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82A521">
      <w:pPr>
        <w:spacing w:line="354" w:lineRule="auto"/>
        <w:rPr>
          <w:rFonts w:ascii="Arial"/>
          <w:sz w:val="21"/>
        </w:rPr>
      </w:pPr>
    </w:p>
    <w:p w14:paraId="3B943263">
      <w:pPr>
        <w:spacing w:line="354" w:lineRule="auto"/>
        <w:rPr>
          <w:rFonts w:ascii="Arial"/>
          <w:sz w:val="21"/>
        </w:rPr>
      </w:pPr>
    </w:p>
    <w:p w14:paraId="30CDACC6">
      <w:pPr>
        <w:pStyle w:val="2"/>
        <w:spacing w:line="325" w:lineRule="auto"/>
      </w:pPr>
      <w:r>
        <w:rPr>
          <w:rFonts w:hint="eastAsia"/>
          <w:spacing w:val="-12"/>
          <w:sz w:val="43"/>
          <w:szCs w:val="43"/>
          <w:u w:val="single" w:color="auto"/>
        </w:rPr>
        <w:drawing>
          <wp:inline distT="0" distB="0" distL="114300" distR="114300">
            <wp:extent cx="5748020" cy="8127365"/>
            <wp:effectExtent l="0" t="0" r="5080" b="6985"/>
            <wp:docPr id="6" name="图片 6" descr="2026042411291012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60424112910125_01"/>
                    <pic:cNvPicPr>
                      <a:picLocks noChangeAspect="1"/>
                    </pic:cNvPicPr>
                  </pic:nvPicPr>
                  <pic:blipFill>
                    <a:blip r:embed="rId222"/>
                    <a:stretch>
                      <a:fillRect/>
                    </a:stretch>
                  </pic:blipFill>
                  <pic:spPr>
                    <a:xfrm>
                      <a:off x="0" y="0"/>
                      <a:ext cx="5748020" cy="8127365"/>
                    </a:xfrm>
                    <a:prstGeom prst="rect">
                      <a:avLst/>
                    </a:prstGeom>
                  </pic:spPr>
                </pic:pic>
              </a:graphicData>
            </a:graphic>
          </wp:inline>
        </w:drawing>
      </w:r>
    </w:p>
    <w:p w14:paraId="6CB9776D">
      <w:pPr>
        <w:pStyle w:val="2"/>
        <w:spacing w:line="325" w:lineRule="auto"/>
      </w:pPr>
    </w:p>
    <w:p w14:paraId="72B8F4F0">
      <w:pPr>
        <w:spacing w:before="139" w:line="226" w:lineRule="auto"/>
        <w:ind w:left="3998"/>
        <w:rPr>
          <w:rFonts w:ascii="黑体" w:hAnsi="黑体" w:eastAsia="黑体" w:cs="黑体"/>
          <w:sz w:val="43"/>
          <w:szCs w:val="43"/>
        </w:rPr>
      </w:pPr>
      <w:r>
        <w:rPr>
          <w:rFonts w:ascii="黑体" w:hAnsi="黑体" w:eastAsia="黑体" w:cs="黑体"/>
          <w:spacing w:val="-32"/>
          <w:sz w:val="43"/>
          <w:szCs w:val="43"/>
        </w:rPr>
        <w:t>目</w:t>
      </w:r>
      <w:r>
        <w:rPr>
          <w:rFonts w:ascii="黑体" w:hAnsi="黑体" w:eastAsia="黑体" w:cs="黑体"/>
          <w:spacing w:val="105"/>
          <w:sz w:val="43"/>
          <w:szCs w:val="43"/>
        </w:rPr>
        <w:t xml:space="preserve"> </w:t>
      </w:r>
      <w:r>
        <w:rPr>
          <w:rFonts w:ascii="黑体" w:hAnsi="黑体" w:eastAsia="黑体" w:cs="黑体"/>
          <w:spacing w:val="-32"/>
          <w:sz w:val="43"/>
          <w:szCs w:val="43"/>
        </w:rPr>
        <w:t>录</w:t>
      </w:r>
    </w:p>
    <w:p w14:paraId="02E8C060">
      <w:pPr>
        <w:pStyle w:val="2"/>
        <w:spacing w:line="407" w:lineRule="auto"/>
      </w:pPr>
    </w:p>
    <w:p w14:paraId="3A07F2B0">
      <w:pPr>
        <w:spacing w:before="98" w:line="222" w:lineRule="auto"/>
        <w:ind w:left="3947"/>
        <w:rPr>
          <w:rFonts w:ascii="黑体" w:hAnsi="黑体" w:eastAsia="黑体" w:cs="黑体"/>
          <w:sz w:val="30"/>
          <w:szCs w:val="30"/>
        </w:rPr>
      </w:pPr>
      <w:r>
        <w:rPr>
          <w:rFonts w:ascii="黑体" w:hAnsi="黑体" w:eastAsia="黑体" w:cs="黑体"/>
          <w:spacing w:val="-10"/>
          <w:sz w:val="30"/>
          <w:szCs w:val="30"/>
        </w:rPr>
        <w:t>第</w:t>
      </w:r>
      <w:r>
        <w:rPr>
          <w:rFonts w:ascii="黑体" w:hAnsi="黑体" w:eastAsia="黑体" w:cs="黑体"/>
          <w:spacing w:val="17"/>
          <w:sz w:val="30"/>
          <w:szCs w:val="30"/>
        </w:rPr>
        <w:t xml:space="preserve"> </w:t>
      </w:r>
      <w:r>
        <w:rPr>
          <w:rFonts w:ascii="黑体" w:hAnsi="黑体" w:eastAsia="黑体" w:cs="黑体"/>
          <w:spacing w:val="-10"/>
          <w:sz w:val="30"/>
          <w:szCs w:val="30"/>
        </w:rPr>
        <w:t>一</w:t>
      </w:r>
      <w:r>
        <w:rPr>
          <w:rFonts w:ascii="黑体" w:hAnsi="黑体" w:eastAsia="黑体" w:cs="黑体"/>
          <w:spacing w:val="16"/>
          <w:sz w:val="30"/>
          <w:szCs w:val="30"/>
        </w:rPr>
        <w:t xml:space="preserve"> </w:t>
      </w:r>
      <w:r>
        <w:rPr>
          <w:rFonts w:ascii="黑体" w:hAnsi="黑体" w:eastAsia="黑体" w:cs="黑体"/>
          <w:spacing w:val="-10"/>
          <w:sz w:val="30"/>
          <w:szCs w:val="30"/>
        </w:rPr>
        <w:t>卷</w:t>
      </w:r>
    </w:p>
    <w:sdt>
      <w:sdtPr>
        <w:rPr>
          <w:rFonts w:ascii="Arial" w:hAnsi="Arial" w:eastAsia="Arial" w:cs="Arial"/>
          <w:sz w:val="21"/>
          <w:szCs w:val="21"/>
        </w:rPr>
        <w:id w:val="147472902"/>
        <w:docPartObj>
          <w:docPartGallery w:val="Table of Contents"/>
          <w:docPartUnique/>
        </w:docPartObj>
      </w:sdtPr>
      <w:sdtEndPr>
        <w:rPr>
          <w:rFonts w:ascii="黑体" w:hAnsi="黑体" w:eastAsia="黑体" w:cs="黑体"/>
          <w:sz w:val="24"/>
          <w:szCs w:val="24"/>
        </w:rPr>
      </w:sdtEndPr>
      <w:sdtContent>
        <w:p w14:paraId="055F1478">
          <w:pPr>
            <w:tabs>
              <w:tab w:val="right" w:leader="dot" w:pos="9072"/>
            </w:tabs>
            <w:spacing w:before="251" w:line="222" w:lineRule="auto"/>
            <w:ind w:left="9"/>
            <w:rPr>
              <w:rFonts w:ascii="黑体" w:hAnsi="黑体" w:eastAsia="黑体" w:cs="黑体"/>
              <w:sz w:val="24"/>
              <w:szCs w:val="24"/>
            </w:rPr>
          </w:pPr>
          <w:r>
            <w:fldChar w:fldCharType="begin"/>
          </w:r>
          <w:r>
            <w:instrText xml:space="preserve"> HYPERLINK \l "bookmark1" </w:instrText>
          </w:r>
          <w:r>
            <w:fldChar w:fldCharType="separate"/>
          </w:r>
          <w:r>
            <w:rPr>
              <w:rFonts w:ascii="黑体" w:hAnsi="黑体" w:eastAsia="黑体" w:cs="黑体"/>
              <w:sz w:val="24"/>
              <w:szCs w:val="24"/>
            </w:rPr>
            <w:t>第一章 招标公告</w:t>
          </w:r>
          <w:r>
            <w:rPr>
              <w:rFonts w:ascii="黑体" w:hAnsi="黑体" w:eastAsia="黑体" w:cs="黑体"/>
              <w:sz w:val="24"/>
              <w:szCs w:val="24"/>
            </w:rPr>
            <w:tab/>
          </w:r>
          <w:r>
            <w:rPr>
              <w:rFonts w:ascii="黑体" w:hAnsi="黑体" w:eastAsia="黑体" w:cs="黑体"/>
              <w:spacing w:val="13"/>
              <w:sz w:val="24"/>
              <w:szCs w:val="24"/>
            </w:rPr>
            <w:t>4</w:t>
          </w:r>
          <w:r>
            <w:rPr>
              <w:rFonts w:ascii="黑体" w:hAnsi="黑体" w:eastAsia="黑体" w:cs="黑体"/>
              <w:spacing w:val="13"/>
              <w:sz w:val="24"/>
              <w:szCs w:val="24"/>
            </w:rPr>
            <w:fldChar w:fldCharType="end"/>
          </w:r>
        </w:p>
        <w:p w14:paraId="28C549F5">
          <w:pPr>
            <w:tabs>
              <w:tab w:val="right" w:leader="dot" w:pos="9072"/>
            </w:tabs>
            <w:spacing w:before="272" w:line="221" w:lineRule="auto"/>
            <w:ind w:left="9"/>
            <w:rPr>
              <w:rFonts w:ascii="黑体" w:hAnsi="黑体" w:eastAsia="黑体" w:cs="黑体"/>
              <w:sz w:val="24"/>
              <w:szCs w:val="24"/>
            </w:rPr>
          </w:pPr>
          <w:r>
            <w:fldChar w:fldCharType="begin"/>
          </w:r>
          <w:r>
            <w:instrText xml:space="preserve"> HYPERLINK \l "bookmark4" </w:instrText>
          </w:r>
          <w:r>
            <w:fldChar w:fldCharType="separate"/>
          </w:r>
          <w:r>
            <w:rPr>
              <w:rFonts w:ascii="黑体" w:hAnsi="黑体" w:eastAsia="黑体" w:cs="黑体"/>
              <w:spacing w:val="-2"/>
              <w:sz w:val="24"/>
              <w:szCs w:val="24"/>
            </w:rPr>
            <w:t>第二章 投标人须知</w:t>
          </w:r>
          <w:r>
            <w:rPr>
              <w:rFonts w:ascii="黑体" w:hAnsi="黑体" w:eastAsia="黑体" w:cs="黑体"/>
              <w:spacing w:val="-96"/>
              <w:sz w:val="24"/>
              <w:szCs w:val="24"/>
            </w:rPr>
            <w:t xml:space="preserve"> </w:t>
          </w:r>
          <w:r>
            <w:rPr>
              <w:rFonts w:ascii="黑体" w:hAnsi="黑体" w:eastAsia="黑体" w:cs="黑体"/>
              <w:sz w:val="24"/>
              <w:szCs w:val="24"/>
            </w:rPr>
            <w:tab/>
          </w:r>
          <w:r>
            <w:rPr>
              <w:rFonts w:ascii="黑体" w:hAnsi="黑体" w:eastAsia="黑体" w:cs="黑体"/>
              <w:spacing w:val="-86"/>
              <w:sz w:val="24"/>
              <w:szCs w:val="24"/>
            </w:rPr>
            <w:t xml:space="preserve"> </w:t>
          </w:r>
          <w:r>
            <w:rPr>
              <w:rFonts w:hint="eastAsia" w:ascii="黑体" w:hAnsi="黑体" w:eastAsia="黑体" w:cs="黑体"/>
              <w:spacing w:val="-16"/>
              <w:sz w:val="24"/>
              <w:szCs w:val="24"/>
              <w:lang w:val="en-US" w:eastAsia="zh-CN"/>
            </w:rPr>
            <w:t>9</w:t>
          </w:r>
          <w:r>
            <w:rPr>
              <w:rFonts w:ascii="黑体" w:hAnsi="黑体" w:eastAsia="黑体" w:cs="黑体"/>
              <w:spacing w:val="-6"/>
              <w:sz w:val="24"/>
              <w:szCs w:val="24"/>
            </w:rPr>
            <w:fldChar w:fldCharType="end"/>
          </w:r>
        </w:p>
        <w:p w14:paraId="648C5837">
          <w:pPr>
            <w:tabs>
              <w:tab w:val="right" w:leader="dot" w:pos="9072"/>
            </w:tabs>
            <w:spacing w:before="274" w:line="221" w:lineRule="auto"/>
            <w:ind w:left="9"/>
            <w:rPr>
              <w:rFonts w:hint="eastAsia" w:ascii="黑体" w:hAnsi="黑体" w:eastAsia="黑体" w:cs="黑体"/>
              <w:sz w:val="24"/>
              <w:szCs w:val="24"/>
              <w:lang w:val="en-US" w:eastAsia="zh-CN"/>
            </w:rPr>
          </w:pPr>
          <w:r>
            <w:fldChar w:fldCharType="begin"/>
          </w:r>
          <w:r>
            <w:instrText xml:space="preserve"> HYPERLINK \l "bookmark7" </w:instrText>
          </w:r>
          <w:r>
            <w:fldChar w:fldCharType="separate"/>
          </w:r>
          <w:r>
            <w:rPr>
              <w:rFonts w:ascii="黑体" w:hAnsi="黑体" w:eastAsia="黑体" w:cs="黑体"/>
              <w:spacing w:val="-1"/>
              <w:sz w:val="24"/>
              <w:szCs w:val="24"/>
            </w:rPr>
            <w:t>第三章 评标办法（双信封的技术评分最低标价法</w:t>
          </w:r>
          <w:r>
            <w:rPr>
              <w:rFonts w:hint="eastAsia" w:ascii="黑体" w:hAnsi="黑体" w:eastAsia="黑体" w:cs="黑体"/>
              <w:spacing w:val="-1"/>
              <w:sz w:val="24"/>
              <w:szCs w:val="24"/>
              <w:lang w:eastAsia="zh-CN"/>
            </w:rPr>
            <w:t>）</w:t>
          </w:r>
          <w:r>
            <w:rPr>
              <w:rFonts w:ascii="黑体" w:hAnsi="黑体" w:eastAsia="黑体" w:cs="黑体"/>
              <w:spacing w:val="-91"/>
              <w:sz w:val="24"/>
              <w:szCs w:val="24"/>
            </w:rPr>
            <w:t xml:space="preserve"> </w:t>
          </w:r>
          <w:r>
            <w:rPr>
              <w:rFonts w:ascii="黑体" w:hAnsi="黑体" w:eastAsia="黑体" w:cs="黑体"/>
              <w:sz w:val="24"/>
              <w:szCs w:val="24"/>
            </w:rPr>
            <w:tab/>
          </w:r>
          <w:r>
            <w:rPr>
              <w:rFonts w:hint="eastAsia" w:ascii="黑体" w:hAnsi="黑体" w:eastAsia="黑体" w:cs="黑体"/>
              <w:spacing w:val="4"/>
              <w:sz w:val="24"/>
              <w:szCs w:val="24"/>
              <w:lang w:val="en-US" w:eastAsia="zh-CN"/>
            </w:rPr>
            <w:t>6</w:t>
          </w:r>
          <w:r>
            <w:rPr>
              <w:rFonts w:ascii="黑体" w:hAnsi="黑体" w:eastAsia="黑体" w:cs="黑体"/>
              <w:spacing w:val="4"/>
              <w:sz w:val="24"/>
              <w:szCs w:val="24"/>
            </w:rPr>
            <w:fldChar w:fldCharType="end"/>
          </w:r>
          <w:r>
            <w:rPr>
              <w:rFonts w:hint="eastAsia" w:ascii="黑体" w:hAnsi="黑体" w:eastAsia="黑体" w:cs="黑体"/>
              <w:spacing w:val="4"/>
              <w:sz w:val="24"/>
              <w:szCs w:val="24"/>
              <w:lang w:val="en-US" w:eastAsia="zh-CN"/>
            </w:rPr>
            <w:t>9</w:t>
          </w:r>
        </w:p>
        <w:p w14:paraId="15CFADA7">
          <w:pPr>
            <w:tabs>
              <w:tab w:val="right" w:leader="dot" w:pos="9072"/>
            </w:tabs>
            <w:spacing w:before="273" w:line="222" w:lineRule="auto"/>
            <w:ind w:left="9"/>
            <w:rPr>
              <w:rFonts w:hint="eastAsia" w:ascii="黑体" w:hAnsi="黑体" w:eastAsia="黑体" w:cs="黑体"/>
              <w:sz w:val="24"/>
              <w:szCs w:val="24"/>
              <w:lang w:val="en-US" w:eastAsia="zh-CN"/>
            </w:rPr>
          </w:pPr>
          <w:r>
            <w:fldChar w:fldCharType="begin"/>
          </w:r>
          <w:r>
            <w:instrText xml:space="preserve"> HYPERLINK \l "bookmark9" </w:instrText>
          </w:r>
          <w:r>
            <w:fldChar w:fldCharType="separate"/>
          </w:r>
          <w:r>
            <w:rPr>
              <w:rFonts w:ascii="黑体" w:hAnsi="黑体" w:eastAsia="黑体" w:cs="黑体"/>
              <w:spacing w:val="-1"/>
              <w:sz w:val="24"/>
              <w:szCs w:val="24"/>
            </w:rPr>
            <w:t>第四章 合同条款及格式</w:t>
          </w:r>
          <w:r>
            <w:rPr>
              <w:rFonts w:ascii="黑体" w:hAnsi="黑体" w:eastAsia="黑体" w:cs="黑体"/>
              <w:spacing w:val="-103"/>
              <w:sz w:val="24"/>
              <w:szCs w:val="24"/>
            </w:rPr>
            <w:t xml:space="preserve"> </w:t>
          </w:r>
          <w:r>
            <w:rPr>
              <w:rFonts w:ascii="黑体" w:hAnsi="黑体" w:eastAsia="黑体" w:cs="黑体"/>
              <w:sz w:val="24"/>
              <w:szCs w:val="24"/>
            </w:rPr>
            <w:tab/>
          </w:r>
          <w:r>
            <w:rPr>
              <w:rFonts w:ascii="黑体" w:hAnsi="黑体" w:eastAsia="黑体" w:cs="黑体"/>
              <w:spacing w:val="-8"/>
              <w:sz w:val="24"/>
              <w:szCs w:val="24"/>
            </w:rPr>
            <w:fldChar w:fldCharType="end"/>
          </w:r>
          <w:r>
            <w:rPr>
              <w:rFonts w:hint="eastAsia" w:ascii="黑体" w:hAnsi="黑体" w:eastAsia="黑体" w:cs="黑体"/>
              <w:spacing w:val="-8"/>
              <w:sz w:val="24"/>
              <w:szCs w:val="24"/>
              <w:lang w:val="en-US" w:eastAsia="zh-CN"/>
            </w:rPr>
            <w:t>90</w:t>
          </w:r>
        </w:p>
        <w:p w14:paraId="02AC1A02">
          <w:pPr>
            <w:tabs>
              <w:tab w:val="right" w:leader="dot" w:pos="9072"/>
            </w:tabs>
            <w:spacing w:before="272" w:line="222" w:lineRule="auto"/>
            <w:ind w:left="9"/>
            <w:rPr>
              <w:rFonts w:ascii="黑体" w:hAnsi="黑体" w:eastAsia="黑体" w:cs="黑体"/>
              <w:sz w:val="24"/>
              <w:szCs w:val="24"/>
            </w:rPr>
          </w:pPr>
          <w:r>
            <w:fldChar w:fldCharType="begin"/>
          </w:r>
          <w:r>
            <w:instrText xml:space="preserve"> HYPERLINK \l "bookmark10" </w:instrText>
          </w:r>
          <w:r>
            <w:fldChar w:fldCharType="separate"/>
          </w:r>
          <w:r>
            <w:rPr>
              <w:rFonts w:ascii="黑体" w:hAnsi="黑体" w:eastAsia="黑体" w:cs="黑体"/>
              <w:spacing w:val="-2"/>
              <w:sz w:val="24"/>
              <w:szCs w:val="24"/>
            </w:rPr>
            <w:t>第五章 工程量清单</w:t>
          </w:r>
          <w:r>
            <w:rPr>
              <w:rFonts w:ascii="黑体" w:hAnsi="黑体" w:eastAsia="黑体" w:cs="黑体"/>
              <w:spacing w:val="-96"/>
              <w:sz w:val="24"/>
              <w:szCs w:val="24"/>
            </w:rPr>
            <w:t xml:space="preserve"> </w:t>
          </w:r>
          <w:r>
            <w:rPr>
              <w:rFonts w:ascii="黑体" w:hAnsi="黑体" w:eastAsia="黑体" w:cs="黑体"/>
              <w:sz w:val="24"/>
              <w:szCs w:val="24"/>
            </w:rPr>
            <w:tab/>
          </w:r>
          <w:r>
            <w:rPr>
              <w:rFonts w:ascii="黑体" w:hAnsi="黑体" w:eastAsia="黑体" w:cs="黑体"/>
              <w:spacing w:val="4"/>
              <w:sz w:val="24"/>
              <w:szCs w:val="24"/>
            </w:rPr>
            <w:t>2</w:t>
          </w:r>
          <w:r>
            <w:rPr>
              <w:rFonts w:hint="eastAsia" w:ascii="黑体" w:hAnsi="黑体" w:eastAsia="黑体" w:cs="黑体"/>
              <w:spacing w:val="4"/>
              <w:sz w:val="24"/>
              <w:szCs w:val="24"/>
              <w:lang w:val="en-US" w:eastAsia="zh-CN"/>
            </w:rPr>
            <w:t>5</w:t>
          </w:r>
          <w:r>
            <w:rPr>
              <w:rFonts w:ascii="黑体" w:hAnsi="黑体" w:eastAsia="黑体" w:cs="黑体"/>
              <w:spacing w:val="4"/>
              <w:sz w:val="24"/>
              <w:szCs w:val="24"/>
            </w:rPr>
            <w:fldChar w:fldCharType="end"/>
          </w:r>
          <w:r>
            <w:rPr>
              <w:rFonts w:hint="eastAsia" w:ascii="黑体" w:hAnsi="黑体" w:eastAsia="黑体" w:cs="黑体"/>
              <w:spacing w:val="4"/>
              <w:sz w:val="24"/>
              <w:szCs w:val="24"/>
              <w:lang w:val="en-US" w:eastAsia="zh-CN"/>
            </w:rPr>
            <w:t>4</w:t>
          </w:r>
        </w:p>
      </w:sdtContent>
    </w:sdt>
    <w:p w14:paraId="60A97A49">
      <w:pPr>
        <w:spacing w:before="219" w:line="222" w:lineRule="auto"/>
        <w:ind w:left="3947"/>
        <w:rPr>
          <w:rFonts w:ascii="黑体" w:hAnsi="黑体" w:eastAsia="黑体" w:cs="黑体"/>
          <w:sz w:val="30"/>
          <w:szCs w:val="30"/>
        </w:rPr>
      </w:pPr>
      <w:r>
        <w:rPr>
          <w:rFonts w:ascii="黑体" w:hAnsi="黑体" w:eastAsia="黑体" w:cs="黑体"/>
          <w:spacing w:val="-10"/>
          <w:sz w:val="30"/>
          <w:szCs w:val="30"/>
        </w:rPr>
        <w:t>第</w:t>
      </w:r>
      <w:r>
        <w:rPr>
          <w:rFonts w:ascii="黑体" w:hAnsi="黑体" w:eastAsia="黑体" w:cs="黑体"/>
          <w:spacing w:val="17"/>
          <w:sz w:val="30"/>
          <w:szCs w:val="30"/>
        </w:rPr>
        <w:t xml:space="preserve"> </w:t>
      </w:r>
      <w:r>
        <w:rPr>
          <w:rFonts w:ascii="黑体" w:hAnsi="黑体" w:eastAsia="黑体" w:cs="黑体"/>
          <w:spacing w:val="-10"/>
          <w:sz w:val="30"/>
          <w:szCs w:val="30"/>
        </w:rPr>
        <w:t>二</w:t>
      </w:r>
      <w:r>
        <w:rPr>
          <w:rFonts w:ascii="黑体" w:hAnsi="黑体" w:eastAsia="黑体" w:cs="黑体"/>
          <w:spacing w:val="16"/>
          <w:sz w:val="30"/>
          <w:szCs w:val="30"/>
        </w:rPr>
        <w:t xml:space="preserve"> </w:t>
      </w:r>
      <w:r>
        <w:rPr>
          <w:rFonts w:ascii="黑体" w:hAnsi="黑体" w:eastAsia="黑体" w:cs="黑体"/>
          <w:spacing w:val="-10"/>
          <w:sz w:val="30"/>
          <w:szCs w:val="30"/>
        </w:rPr>
        <w:t>卷</w:t>
      </w:r>
    </w:p>
    <w:p w14:paraId="48076804">
      <w:pPr>
        <w:tabs>
          <w:tab w:val="right" w:leader="dot" w:pos="9072"/>
        </w:tabs>
        <w:spacing w:before="250" w:line="222" w:lineRule="auto"/>
        <w:ind w:left="9"/>
        <w:rPr>
          <w:rFonts w:hint="default"/>
          <w:lang w:val="en-US" w:eastAsia="zh-CN"/>
        </w:rPr>
      </w:pPr>
      <w:r>
        <w:rPr>
          <w:rFonts w:ascii="黑体" w:hAnsi="黑体" w:eastAsia="黑体" w:cs="黑体"/>
          <w:spacing w:val="-2"/>
          <w:sz w:val="24"/>
          <w:szCs w:val="24"/>
        </w:rPr>
        <w:t>第六章 图纸（另册</w:t>
      </w:r>
      <w:r>
        <w:rPr>
          <w:rFonts w:hint="eastAsia" w:ascii="黑体" w:hAnsi="黑体" w:eastAsia="黑体" w:cs="黑体"/>
          <w:spacing w:val="-2"/>
          <w:sz w:val="24"/>
          <w:szCs w:val="24"/>
          <w:lang w:eastAsia="zh-CN"/>
        </w:rPr>
        <w:t>）</w:t>
      </w:r>
      <w:r>
        <w:rPr>
          <w:rFonts w:ascii="黑体" w:hAnsi="黑体" w:eastAsia="黑体" w:cs="黑体"/>
          <w:sz w:val="24"/>
          <w:szCs w:val="24"/>
        </w:rPr>
        <w:tab/>
      </w:r>
      <w:r>
        <w:t>2</w:t>
      </w:r>
      <w:r>
        <w:rPr>
          <w:rFonts w:hint="eastAsia"/>
          <w:lang w:val="en-US" w:eastAsia="zh-CN"/>
        </w:rPr>
        <w:t>56</w:t>
      </w:r>
    </w:p>
    <w:p w14:paraId="07B54D50">
      <w:pPr>
        <w:spacing w:before="220" w:line="222" w:lineRule="auto"/>
        <w:ind w:left="3947"/>
        <w:rPr>
          <w:rFonts w:ascii="黑体" w:hAnsi="黑体" w:eastAsia="黑体" w:cs="黑体"/>
          <w:sz w:val="30"/>
          <w:szCs w:val="30"/>
        </w:rPr>
      </w:pPr>
      <w:r>
        <w:rPr>
          <w:rFonts w:ascii="黑体" w:hAnsi="黑体" w:eastAsia="黑体" w:cs="黑体"/>
          <w:spacing w:val="-10"/>
          <w:sz w:val="30"/>
          <w:szCs w:val="30"/>
        </w:rPr>
        <w:t>第</w:t>
      </w:r>
      <w:r>
        <w:rPr>
          <w:rFonts w:ascii="黑体" w:hAnsi="黑体" w:eastAsia="黑体" w:cs="黑体"/>
          <w:spacing w:val="17"/>
          <w:sz w:val="30"/>
          <w:szCs w:val="30"/>
        </w:rPr>
        <w:t xml:space="preserve"> </w:t>
      </w:r>
      <w:r>
        <w:rPr>
          <w:rFonts w:ascii="黑体" w:hAnsi="黑体" w:eastAsia="黑体" w:cs="黑体"/>
          <w:spacing w:val="-10"/>
          <w:sz w:val="30"/>
          <w:szCs w:val="30"/>
        </w:rPr>
        <w:t>三</w:t>
      </w:r>
      <w:r>
        <w:rPr>
          <w:rFonts w:ascii="黑体" w:hAnsi="黑体" w:eastAsia="黑体" w:cs="黑体"/>
          <w:spacing w:val="16"/>
          <w:sz w:val="30"/>
          <w:szCs w:val="30"/>
        </w:rPr>
        <w:t xml:space="preserve"> </w:t>
      </w:r>
      <w:r>
        <w:rPr>
          <w:rFonts w:ascii="黑体" w:hAnsi="黑体" w:eastAsia="黑体" w:cs="黑体"/>
          <w:spacing w:val="-10"/>
          <w:sz w:val="30"/>
          <w:szCs w:val="30"/>
        </w:rPr>
        <w:t>卷</w:t>
      </w:r>
    </w:p>
    <w:sdt>
      <w:sdtPr>
        <w:rPr>
          <w:rFonts w:ascii="Arial" w:hAnsi="Arial" w:eastAsia="Arial" w:cs="Arial"/>
          <w:sz w:val="21"/>
          <w:szCs w:val="21"/>
        </w:rPr>
        <w:id w:val="147465193"/>
        <w:docPartObj>
          <w:docPartGallery w:val="Table of Contents"/>
          <w:docPartUnique/>
        </w:docPartObj>
      </w:sdtPr>
      <w:sdtEndPr>
        <w:rPr>
          <w:rFonts w:ascii="黑体" w:hAnsi="黑体" w:eastAsia="黑体" w:cs="黑体"/>
          <w:sz w:val="24"/>
          <w:szCs w:val="24"/>
        </w:rPr>
      </w:sdtEndPr>
      <w:sdtContent>
        <w:p w14:paraId="29A1CA3C">
          <w:pPr>
            <w:tabs>
              <w:tab w:val="right" w:leader="dot" w:pos="9072"/>
            </w:tabs>
            <w:spacing w:before="250" w:line="222" w:lineRule="auto"/>
            <w:ind w:left="9"/>
            <w:rPr>
              <w:rFonts w:hint="eastAsia" w:ascii="黑体" w:hAnsi="黑体" w:eastAsia="黑体" w:cs="黑体"/>
              <w:sz w:val="24"/>
              <w:szCs w:val="24"/>
              <w:lang w:val="en-US" w:eastAsia="zh-CN"/>
            </w:rPr>
          </w:pPr>
          <w:r>
            <w:fldChar w:fldCharType="begin"/>
          </w:r>
          <w:r>
            <w:instrText xml:space="preserve"> HYPERLINK \l "bookmark11" </w:instrText>
          </w:r>
          <w:r>
            <w:fldChar w:fldCharType="separate"/>
          </w:r>
          <w:r>
            <w:rPr>
              <w:rFonts w:ascii="黑体" w:hAnsi="黑体" w:eastAsia="黑体" w:cs="黑体"/>
              <w:spacing w:val="-1"/>
              <w:sz w:val="24"/>
              <w:szCs w:val="24"/>
            </w:rPr>
            <w:t>第七章 技术规范（另</w:t>
          </w:r>
          <w:r>
            <w:rPr>
              <w:rFonts w:hint="eastAsia" w:ascii="黑体" w:hAnsi="黑体" w:eastAsia="黑体" w:cs="黑体"/>
              <w:spacing w:val="-1"/>
              <w:sz w:val="24"/>
              <w:szCs w:val="24"/>
              <w:lang w:eastAsia="zh-CN"/>
            </w:rPr>
            <w:t>）</w:t>
          </w:r>
          <w:r>
            <w:rPr>
              <w:rFonts w:ascii="黑体" w:hAnsi="黑体" w:eastAsia="黑体" w:cs="黑体"/>
              <w:sz w:val="24"/>
              <w:szCs w:val="24"/>
            </w:rPr>
            <w:tab/>
          </w:r>
          <w:r>
            <w:rPr>
              <w:rFonts w:ascii="黑体" w:hAnsi="黑体" w:eastAsia="黑体" w:cs="黑体"/>
              <w:spacing w:val="4"/>
              <w:sz w:val="24"/>
              <w:szCs w:val="24"/>
            </w:rPr>
            <w:t>2</w:t>
          </w:r>
          <w:r>
            <w:rPr>
              <w:rFonts w:hint="eastAsia" w:ascii="黑体" w:hAnsi="黑体" w:eastAsia="黑体" w:cs="黑体"/>
              <w:spacing w:val="4"/>
              <w:sz w:val="24"/>
              <w:szCs w:val="24"/>
              <w:lang w:val="en-US" w:eastAsia="zh-CN"/>
            </w:rPr>
            <w:t>5</w:t>
          </w:r>
          <w:r>
            <w:rPr>
              <w:rFonts w:ascii="黑体" w:hAnsi="黑体" w:eastAsia="黑体" w:cs="黑体"/>
              <w:spacing w:val="4"/>
              <w:sz w:val="24"/>
              <w:szCs w:val="24"/>
            </w:rPr>
            <w:fldChar w:fldCharType="end"/>
          </w:r>
          <w:r>
            <w:rPr>
              <w:rFonts w:hint="eastAsia" w:ascii="黑体" w:hAnsi="黑体" w:eastAsia="黑体" w:cs="黑体"/>
              <w:spacing w:val="4"/>
              <w:sz w:val="24"/>
              <w:szCs w:val="24"/>
              <w:lang w:val="en-US" w:eastAsia="zh-CN"/>
            </w:rPr>
            <w:t>8</w:t>
          </w:r>
        </w:p>
        <w:p w14:paraId="299B565E">
          <w:pPr>
            <w:tabs>
              <w:tab w:val="right" w:leader="dot" w:pos="9072"/>
            </w:tabs>
            <w:spacing w:before="272" w:line="222" w:lineRule="auto"/>
            <w:ind w:left="9"/>
            <w:rPr>
              <w:rFonts w:ascii="黑体" w:hAnsi="黑体" w:eastAsia="黑体" w:cs="黑体"/>
              <w:sz w:val="24"/>
              <w:szCs w:val="24"/>
            </w:rPr>
          </w:pPr>
          <w:r>
            <w:fldChar w:fldCharType="begin"/>
          </w:r>
          <w:r>
            <w:instrText xml:space="preserve"> HYPERLINK \l "bookmark12" </w:instrText>
          </w:r>
          <w:r>
            <w:fldChar w:fldCharType="separate"/>
          </w:r>
          <w:r>
            <w:rPr>
              <w:rFonts w:ascii="黑体" w:hAnsi="黑体" w:eastAsia="黑体" w:cs="黑体"/>
              <w:spacing w:val="-1"/>
              <w:sz w:val="24"/>
              <w:szCs w:val="24"/>
            </w:rPr>
            <w:t>第八章 工程量清单计量规则</w:t>
          </w:r>
          <w:r>
            <w:rPr>
              <w:rFonts w:ascii="黑体" w:hAnsi="黑体" w:eastAsia="黑体" w:cs="黑体"/>
              <w:spacing w:val="-101"/>
              <w:sz w:val="24"/>
              <w:szCs w:val="24"/>
            </w:rPr>
            <w:t xml:space="preserve"> </w:t>
          </w:r>
          <w:r>
            <w:rPr>
              <w:rFonts w:ascii="黑体" w:hAnsi="黑体" w:eastAsia="黑体" w:cs="黑体"/>
              <w:sz w:val="24"/>
              <w:szCs w:val="24"/>
            </w:rPr>
            <w:tab/>
          </w:r>
          <w:r>
            <w:rPr>
              <w:rFonts w:ascii="黑体" w:hAnsi="黑体" w:eastAsia="黑体" w:cs="黑体"/>
              <w:spacing w:val="4"/>
              <w:sz w:val="24"/>
              <w:szCs w:val="24"/>
            </w:rPr>
            <w:t>2</w:t>
          </w:r>
          <w:r>
            <w:rPr>
              <w:rFonts w:hint="eastAsia" w:ascii="黑体" w:hAnsi="黑体" w:eastAsia="黑体" w:cs="黑体"/>
              <w:spacing w:val="4"/>
              <w:sz w:val="24"/>
              <w:szCs w:val="24"/>
              <w:lang w:val="en-US" w:eastAsia="zh-CN"/>
            </w:rPr>
            <w:t>5</w:t>
          </w:r>
          <w:r>
            <w:rPr>
              <w:rFonts w:ascii="黑体" w:hAnsi="黑体" w:eastAsia="黑体" w:cs="黑体"/>
              <w:spacing w:val="4"/>
              <w:sz w:val="24"/>
              <w:szCs w:val="24"/>
            </w:rPr>
            <w:fldChar w:fldCharType="end"/>
          </w:r>
          <w:r>
            <w:rPr>
              <w:rFonts w:hint="eastAsia" w:ascii="黑体" w:hAnsi="黑体" w:eastAsia="黑体" w:cs="黑体"/>
              <w:spacing w:val="4"/>
              <w:sz w:val="24"/>
              <w:szCs w:val="24"/>
              <w:lang w:val="en-US" w:eastAsia="zh-CN"/>
            </w:rPr>
            <w:t>9</w:t>
          </w:r>
        </w:p>
      </w:sdtContent>
    </w:sdt>
    <w:p w14:paraId="601488AA">
      <w:pPr>
        <w:spacing w:before="220" w:line="222" w:lineRule="auto"/>
        <w:ind w:left="3947"/>
        <w:rPr>
          <w:rFonts w:ascii="黑体" w:hAnsi="黑体" w:eastAsia="黑体" w:cs="黑体"/>
          <w:sz w:val="30"/>
          <w:szCs w:val="30"/>
        </w:rPr>
      </w:pPr>
      <w:r>
        <w:rPr>
          <w:rFonts w:ascii="黑体" w:hAnsi="黑体" w:eastAsia="黑体" w:cs="黑体"/>
          <w:spacing w:val="-14"/>
          <w:sz w:val="30"/>
          <w:szCs w:val="30"/>
        </w:rPr>
        <w:t>第</w:t>
      </w:r>
      <w:r>
        <w:rPr>
          <w:rFonts w:ascii="黑体" w:hAnsi="黑体" w:eastAsia="黑体" w:cs="黑体"/>
          <w:spacing w:val="29"/>
          <w:sz w:val="30"/>
          <w:szCs w:val="30"/>
        </w:rPr>
        <w:t xml:space="preserve"> </w:t>
      </w:r>
      <w:r>
        <w:rPr>
          <w:rFonts w:ascii="黑体" w:hAnsi="黑体" w:eastAsia="黑体" w:cs="黑体"/>
          <w:spacing w:val="-14"/>
          <w:sz w:val="30"/>
          <w:szCs w:val="30"/>
        </w:rPr>
        <w:t>四</w:t>
      </w:r>
      <w:r>
        <w:rPr>
          <w:rFonts w:ascii="黑体" w:hAnsi="黑体" w:eastAsia="黑体" w:cs="黑体"/>
          <w:spacing w:val="16"/>
          <w:sz w:val="30"/>
          <w:szCs w:val="30"/>
        </w:rPr>
        <w:t xml:space="preserve"> </w:t>
      </w:r>
      <w:r>
        <w:rPr>
          <w:rFonts w:ascii="黑体" w:hAnsi="黑体" w:eastAsia="黑体" w:cs="黑体"/>
          <w:spacing w:val="-14"/>
          <w:sz w:val="30"/>
          <w:szCs w:val="30"/>
        </w:rPr>
        <w:t>卷</w:t>
      </w:r>
    </w:p>
    <w:p w14:paraId="64D8B67F">
      <w:pPr>
        <w:spacing w:before="251" w:line="222" w:lineRule="auto"/>
        <w:jc w:val="right"/>
        <w:rPr>
          <w:rFonts w:hint="default" w:ascii="黑体" w:hAnsi="黑体" w:eastAsia="黑体" w:cs="黑体"/>
          <w:sz w:val="24"/>
          <w:szCs w:val="24"/>
          <w:lang w:val="en-US" w:eastAsia="zh-CN"/>
        </w:rPr>
      </w:pPr>
      <w:r>
        <w:rPr>
          <w:rFonts w:ascii="黑体" w:hAnsi="黑体" w:eastAsia="黑体" w:cs="黑体"/>
          <w:spacing w:val="-2"/>
          <w:sz w:val="24"/>
          <w:szCs w:val="24"/>
        </w:rPr>
        <w:t>第九章 投标文件格式</w:t>
      </w:r>
      <w:r>
        <w:rPr>
          <w:rFonts w:ascii="黑体" w:hAnsi="黑体" w:eastAsia="黑体" w:cs="黑体"/>
          <w:spacing w:val="-95"/>
          <w:sz w:val="24"/>
          <w:szCs w:val="24"/>
        </w:rPr>
        <w:t xml:space="preserve"> </w:t>
      </w:r>
      <w:r>
        <w:rPr>
          <w:rFonts w:ascii="黑体" w:hAnsi="黑体" w:eastAsia="黑体" w:cs="黑体"/>
          <w:spacing w:val="1"/>
          <w:sz w:val="24"/>
          <w:szCs w:val="24"/>
          <w:u w:val="dotted" w:color="auto"/>
        </w:rPr>
        <w:t xml:space="preserve">                                          </w:t>
      </w:r>
      <w:r>
        <w:rPr>
          <w:rFonts w:ascii="黑体" w:hAnsi="黑体" w:eastAsia="黑体" w:cs="黑体"/>
          <w:sz w:val="24"/>
          <w:szCs w:val="24"/>
          <w:u w:val="dotted" w:color="auto"/>
        </w:rPr>
        <w:t xml:space="preserve">           </w:t>
      </w:r>
      <w:r>
        <w:rPr>
          <w:rFonts w:ascii="黑体" w:hAnsi="黑体" w:eastAsia="黑体" w:cs="黑体"/>
          <w:spacing w:val="-100"/>
          <w:sz w:val="24"/>
          <w:szCs w:val="24"/>
        </w:rPr>
        <w:t xml:space="preserve"> </w:t>
      </w:r>
      <w:r>
        <w:rPr>
          <w:rFonts w:ascii="黑体" w:hAnsi="黑体" w:eastAsia="黑体" w:cs="黑体"/>
          <w:spacing w:val="-2"/>
          <w:sz w:val="24"/>
          <w:szCs w:val="24"/>
        </w:rPr>
        <w:t>2</w:t>
      </w:r>
      <w:r>
        <w:rPr>
          <w:rFonts w:hint="eastAsia" w:ascii="黑体" w:hAnsi="黑体" w:eastAsia="黑体" w:cs="黑体"/>
          <w:spacing w:val="-2"/>
          <w:sz w:val="24"/>
          <w:szCs w:val="24"/>
          <w:lang w:val="en-US" w:eastAsia="zh-CN"/>
        </w:rPr>
        <w:t>61</w:t>
      </w:r>
    </w:p>
    <w:p w14:paraId="395361E5">
      <w:pPr>
        <w:spacing w:line="222" w:lineRule="auto"/>
        <w:rPr>
          <w:rFonts w:ascii="黑体" w:hAnsi="黑体" w:eastAsia="黑体" w:cs="黑体"/>
          <w:sz w:val="24"/>
          <w:szCs w:val="24"/>
        </w:rPr>
      </w:pPr>
    </w:p>
    <w:p w14:paraId="6DE15952">
      <w:pPr>
        <w:pStyle w:val="2"/>
      </w:pPr>
    </w:p>
    <w:p w14:paraId="085C91A5">
      <w:pPr>
        <w:bidi w:val="0"/>
      </w:pPr>
    </w:p>
    <w:p w14:paraId="233C8F41">
      <w:pPr>
        <w:bidi w:val="0"/>
      </w:pPr>
    </w:p>
    <w:p w14:paraId="348698B2">
      <w:pPr>
        <w:bidi w:val="0"/>
      </w:pPr>
    </w:p>
    <w:p w14:paraId="2ACDEC51">
      <w:pPr>
        <w:bidi w:val="0"/>
      </w:pPr>
    </w:p>
    <w:p w14:paraId="475D960F">
      <w:pPr>
        <w:bidi w:val="0"/>
      </w:pPr>
    </w:p>
    <w:p w14:paraId="5004F613">
      <w:pPr>
        <w:tabs>
          <w:tab w:val="left" w:pos="7912"/>
        </w:tabs>
        <w:bidi w:val="0"/>
        <w:jc w:val="left"/>
        <w:rPr>
          <w:rFonts w:hint="eastAsia"/>
          <w:lang w:eastAsia="zh-CN"/>
        </w:rPr>
      </w:pPr>
      <w:r>
        <w:rPr>
          <w:rFonts w:hint="eastAsia"/>
          <w:lang w:eastAsia="zh-CN"/>
        </w:rPr>
        <w:tab/>
      </w:r>
    </w:p>
    <w:p w14:paraId="4144B5DE">
      <w:pPr>
        <w:tabs>
          <w:tab w:val="left" w:pos="7912"/>
        </w:tabs>
        <w:bidi w:val="0"/>
        <w:jc w:val="left"/>
        <w:rPr>
          <w:rFonts w:hint="eastAsia"/>
          <w:lang w:eastAsia="zh-CN"/>
        </w:rPr>
        <w:sectPr>
          <w:footerReference r:id="rId5" w:type="default"/>
          <w:pgSz w:w="11905" w:h="16840"/>
          <w:pgMar w:top="1182" w:right="1416" w:bottom="1171" w:left="1416" w:header="849" w:footer="936" w:gutter="0"/>
          <w:pgNumType w:fmt="decimal"/>
          <w:cols w:space="720" w:num="1"/>
        </w:sectPr>
      </w:pPr>
    </w:p>
    <w:p w14:paraId="0DFCB6F8">
      <w:pPr>
        <w:pStyle w:val="2"/>
        <w:spacing w:line="252" w:lineRule="auto"/>
      </w:pPr>
    </w:p>
    <w:p w14:paraId="713F040E">
      <w:pPr>
        <w:pStyle w:val="2"/>
        <w:spacing w:line="252" w:lineRule="auto"/>
      </w:pPr>
    </w:p>
    <w:p w14:paraId="1AB33CFD">
      <w:pPr>
        <w:pStyle w:val="2"/>
        <w:spacing w:line="252" w:lineRule="auto"/>
      </w:pPr>
    </w:p>
    <w:p w14:paraId="6F1EE32C">
      <w:pPr>
        <w:pStyle w:val="2"/>
        <w:spacing w:line="252" w:lineRule="auto"/>
      </w:pPr>
    </w:p>
    <w:p w14:paraId="739D4C4F">
      <w:pPr>
        <w:pStyle w:val="2"/>
        <w:spacing w:line="252" w:lineRule="auto"/>
      </w:pPr>
    </w:p>
    <w:p w14:paraId="05A0A571">
      <w:pPr>
        <w:pStyle w:val="2"/>
        <w:spacing w:line="252" w:lineRule="auto"/>
      </w:pPr>
    </w:p>
    <w:p w14:paraId="7B08B2B6">
      <w:pPr>
        <w:pStyle w:val="2"/>
        <w:spacing w:line="252" w:lineRule="auto"/>
      </w:pPr>
    </w:p>
    <w:p w14:paraId="1F776094">
      <w:pPr>
        <w:pStyle w:val="2"/>
        <w:spacing w:line="252" w:lineRule="auto"/>
      </w:pPr>
    </w:p>
    <w:p w14:paraId="4CF1C269">
      <w:pPr>
        <w:pStyle w:val="2"/>
        <w:spacing w:line="252" w:lineRule="auto"/>
      </w:pPr>
    </w:p>
    <w:p w14:paraId="50D3732D">
      <w:pPr>
        <w:pStyle w:val="2"/>
        <w:spacing w:line="253" w:lineRule="auto"/>
      </w:pPr>
    </w:p>
    <w:p w14:paraId="609AB100">
      <w:pPr>
        <w:pStyle w:val="2"/>
        <w:spacing w:line="253" w:lineRule="auto"/>
      </w:pPr>
    </w:p>
    <w:p w14:paraId="71C67B31">
      <w:pPr>
        <w:pStyle w:val="2"/>
        <w:spacing w:line="253" w:lineRule="auto"/>
      </w:pPr>
    </w:p>
    <w:p w14:paraId="554EA077">
      <w:pPr>
        <w:pStyle w:val="2"/>
        <w:spacing w:line="253" w:lineRule="auto"/>
      </w:pPr>
    </w:p>
    <w:p w14:paraId="63C41863">
      <w:pPr>
        <w:pStyle w:val="2"/>
        <w:spacing w:line="253" w:lineRule="auto"/>
      </w:pPr>
    </w:p>
    <w:p w14:paraId="1F787E50">
      <w:pPr>
        <w:pStyle w:val="2"/>
        <w:spacing w:line="253" w:lineRule="auto"/>
      </w:pPr>
    </w:p>
    <w:p w14:paraId="3728C5D6">
      <w:pPr>
        <w:pStyle w:val="2"/>
        <w:spacing w:line="253" w:lineRule="auto"/>
      </w:pPr>
    </w:p>
    <w:p w14:paraId="470F9706">
      <w:pPr>
        <w:pStyle w:val="2"/>
        <w:spacing w:line="253" w:lineRule="auto"/>
      </w:pPr>
    </w:p>
    <w:p w14:paraId="53B64C4D">
      <w:pPr>
        <w:spacing w:before="234" w:line="222" w:lineRule="auto"/>
        <w:ind w:left="3124"/>
        <w:rPr>
          <w:rFonts w:ascii="黑体" w:hAnsi="黑体" w:eastAsia="黑体" w:cs="黑体"/>
          <w:sz w:val="72"/>
          <w:szCs w:val="72"/>
        </w:rPr>
      </w:pPr>
      <w:r>
        <w:rPr>
          <w:rFonts w:ascii="黑体" w:hAnsi="黑体" w:eastAsia="黑体" w:cs="黑体"/>
          <w:spacing w:val="-23"/>
          <w:sz w:val="72"/>
          <w:szCs w:val="72"/>
        </w:rPr>
        <w:t>第</w:t>
      </w:r>
      <w:r>
        <w:rPr>
          <w:rFonts w:ascii="黑体" w:hAnsi="黑体" w:eastAsia="黑体" w:cs="黑体"/>
          <w:spacing w:val="39"/>
          <w:sz w:val="72"/>
          <w:szCs w:val="72"/>
        </w:rPr>
        <w:t xml:space="preserve"> </w:t>
      </w:r>
      <w:r>
        <w:rPr>
          <w:rFonts w:ascii="黑体" w:hAnsi="黑体" w:eastAsia="黑体" w:cs="黑体"/>
          <w:spacing w:val="-23"/>
          <w:sz w:val="72"/>
          <w:szCs w:val="72"/>
        </w:rPr>
        <w:t>一</w:t>
      </w:r>
      <w:r>
        <w:rPr>
          <w:rFonts w:ascii="黑体" w:hAnsi="黑体" w:eastAsia="黑体" w:cs="黑体"/>
          <w:spacing w:val="40"/>
          <w:sz w:val="72"/>
          <w:szCs w:val="72"/>
        </w:rPr>
        <w:t xml:space="preserve"> </w:t>
      </w:r>
      <w:r>
        <w:rPr>
          <w:rFonts w:ascii="黑体" w:hAnsi="黑体" w:eastAsia="黑体" w:cs="黑体"/>
          <w:spacing w:val="-23"/>
          <w:sz w:val="72"/>
          <w:szCs w:val="72"/>
        </w:rPr>
        <w:t>卷</w:t>
      </w:r>
    </w:p>
    <w:p w14:paraId="759EB878">
      <w:pPr>
        <w:spacing w:line="222" w:lineRule="auto"/>
        <w:rPr>
          <w:rFonts w:ascii="黑体" w:hAnsi="黑体" w:eastAsia="黑体" w:cs="黑体"/>
          <w:sz w:val="72"/>
          <w:szCs w:val="72"/>
        </w:rPr>
        <w:sectPr>
          <w:footerReference r:id="rId6" w:type="default"/>
          <w:pgSz w:w="11905" w:h="16840"/>
          <w:pgMar w:top="1182" w:right="1416" w:bottom="1171" w:left="1416" w:header="849" w:footer="936" w:gutter="0"/>
          <w:pgNumType w:fmt="decimal"/>
          <w:cols w:space="720" w:num="1"/>
        </w:sectPr>
      </w:pPr>
    </w:p>
    <w:p w14:paraId="5C5EC47B">
      <w:pPr>
        <w:pStyle w:val="2"/>
        <w:spacing w:line="242" w:lineRule="auto"/>
      </w:pPr>
    </w:p>
    <w:p w14:paraId="2BF3F1CA">
      <w:pPr>
        <w:pStyle w:val="2"/>
        <w:spacing w:line="242" w:lineRule="auto"/>
      </w:pPr>
    </w:p>
    <w:p w14:paraId="55875014">
      <w:pPr>
        <w:pStyle w:val="2"/>
        <w:spacing w:line="259" w:lineRule="auto"/>
      </w:pPr>
    </w:p>
    <w:p w14:paraId="6A83236D">
      <w:pPr>
        <w:spacing w:before="101" w:line="239" w:lineRule="auto"/>
        <w:jc w:val="center"/>
        <w:rPr>
          <w:rFonts w:ascii="宋体" w:hAnsi="宋体" w:eastAsia="宋体" w:cs="宋体"/>
          <w:sz w:val="15"/>
          <w:szCs w:val="15"/>
        </w:rPr>
      </w:pPr>
      <w:bookmarkStart w:id="0" w:name="bookmark13"/>
      <w:bookmarkEnd w:id="0"/>
      <w:r>
        <w:rPr>
          <w:rFonts w:ascii="宋体" w:hAnsi="宋体" w:eastAsia="宋体" w:cs="宋体"/>
          <w:b/>
          <w:bCs/>
          <w:spacing w:val="4"/>
          <w:sz w:val="31"/>
          <w:szCs w:val="31"/>
        </w:rPr>
        <w:t>第一章</w:t>
      </w:r>
      <w:r>
        <w:rPr>
          <w:rFonts w:ascii="宋体" w:hAnsi="宋体" w:eastAsia="宋体" w:cs="宋体"/>
          <w:spacing w:val="4"/>
          <w:sz w:val="31"/>
          <w:szCs w:val="31"/>
        </w:rPr>
        <w:t xml:space="preserve"> </w:t>
      </w:r>
      <w:r>
        <w:rPr>
          <w:rFonts w:ascii="宋体" w:hAnsi="宋体" w:eastAsia="宋体" w:cs="宋体"/>
          <w:b/>
          <w:bCs/>
          <w:spacing w:val="4"/>
          <w:sz w:val="31"/>
          <w:szCs w:val="31"/>
        </w:rPr>
        <w:t>招标公告</w:t>
      </w:r>
    </w:p>
    <w:p w14:paraId="5D1DA64F">
      <w:pPr>
        <w:tabs>
          <w:tab w:val="left" w:pos="2540"/>
        </w:tabs>
        <w:spacing w:before="266" w:line="225" w:lineRule="auto"/>
        <w:jc w:val="center"/>
        <w:rPr>
          <w:rFonts w:ascii="宋体" w:hAnsi="宋体" w:eastAsia="宋体" w:cs="宋体"/>
          <w:sz w:val="27"/>
          <w:szCs w:val="27"/>
        </w:rPr>
      </w:pPr>
      <w:r>
        <w:rPr>
          <w:rFonts w:hint="eastAsia" w:ascii="宋体" w:hAnsi="宋体" w:eastAsia="宋体" w:cs="宋体"/>
          <w:sz w:val="27"/>
          <w:szCs w:val="27"/>
          <w:u w:val="single" w:color="auto"/>
        </w:rPr>
        <w:t>云安区白石镇X491线白石街至东星四升三改建工程</w:t>
      </w:r>
      <w:r>
        <w:rPr>
          <w:rFonts w:ascii="宋体" w:hAnsi="宋体" w:eastAsia="宋体" w:cs="宋体"/>
          <w:spacing w:val="3"/>
          <w:sz w:val="27"/>
          <w:szCs w:val="27"/>
        </w:rPr>
        <w:t>施工招</w:t>
      </w:r>
      <w:r>
        <w:rPr>
          <w:rFonts w:ascii="宋体" w:hAnsi="宋体" w:eastAsia="宋体" w:cs="宋体"/>
          <w:spacing w:val="2"/>
          <w:sz w:val="27"/>
          <w:szCs w:val="27"/>
        </w:rPr>
        <w:t>标公告</w:t>
      </w:r>
    </w:p>
    <w:p w14:paraId="5A2EE274">
      <w:pPr>
        <w:spacing w:line="123" w:lineRule="exact"/>
      </w:pPr>
    </w:p>
    <w:tbl>
      <w:tblPr>
        <w:tblStyle w:val="8"/>
        <w:tblW w:w="96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1"/>
        <w:gridCol w:w="2114"/>
        <w:gridCol w:w="1723"/>
        <w:gridCol w:w="1"/>
        <w:gridCol w:w="1589"/>
        <w:gridCol w:w="2688"/>
        <w:gridCol w:w="1"/>
      </w:tblGrid>
      <w:tr w14:paraId="7532C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7" w:hRule="atLeast"/>
        </w:trPr>
        <w:tc>
          <w:tcPr>
            <w:tcW w:w="1581" w:type="dxa"/>
            <w:vAlign w:val="top"/>
          </w:tcPr>
          <w:p w14:paraId="56F70734">
            <w:pPr>
              <w:pStyle w:val="9"/>
              <w:spacing w:before="181" w:line="220" w:lineRule="auto"/>
              <w:ind w:left="167"/>
            </w:pPr>
            <w:r>
              <w:rPr>
                <w:b/>
                <w:bCs/>
                <w:spacing w:val="-4"/>
              </w:rPr>
              <w:t>投资项目代码</w:t>
            </w:r>
          </w:p>
        </w:tc>
        <w:tc>
          <w:tcPr>
            <w:tcW w:w="8115" w:type="dxa"/>
            <w:gridSpan w:val="5"/>
            <w:vAlign w:val="top"/>
          </w:tcPr>
          <w:p w14:paraId="02DFC730">
            <w:pPr>
              <w:pStyle w:val="9"/>
              <w:spacing w:before="190" w:line="233" w:lineRule="auto"/>
              <w:jc w:val="center"/>
              <w:rPr>
                <w:rFonts w:hint="default"/>
                <w:spacing w:val="-3"/>
                <w:position w:val="-1"/>
                <w:lang w:val="en-US" w:eastAsia="zh-CN"/>
              </w:rPr>
            </w:pPr>
            <w:r>
              <w:rPr>
                <w:rFonts w:hint="eastAsia"/>
                <w:spacing w:val="-3"/>
                <w:position w:val="-1"/>
                <w:lang w:val="en-US" w:eastAsia="zh-CN"/>
              </w:rPr>
              <w:t>2601-445303-04-01-841832</w:t>
            </w:r>
          </w:p>
        </w:tc>
      </w:tr>
      <w:tr w14:paraId="2C304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1C224B50">
            <w:pPr>
              <w:pStyle w:val="9"/>
              <w:spacing w:before="176" w:line="220" w:lineRule="auto"/>
              <w:ind w:left="167"/>
            </w:pPr>
            <w:r>
              <w:rPr>
                <w:b/>
                <w:bCs/>
                <w:spacing w:val="-4"/>
              </w:rPr>
              <w:t>投资项目名称</w:t>
            </w:r>
          </w:p>
        </w:tc>
        <w:tc>
          <w:tcPr>
            <w:tcW w:w="8115" w:type="dxa"/>
            <w:gridSpan w:val="5"/>
            <w:vAlign w:val="top"/>
          </w:tcPr>
          <w:p w14:paraId="03B60E66">
            <w:pPr>
              <w:pStyle w:val="9"/>
              <w:spacing w:before="190" w:line="233" w:lineRule="auto"/>
              <w:jc w:val="center"/>
              <w:rPr>
                <w:spacing w:val="-3"/>
                <w:position w:val="-1"/>
              </w:rPr>
            </w:pPr>
            <w:r>
              <w:rPr>
                <w:rFonts w:hint="eastAsia"/>
                <w:spacing w:val="-3"/>
                <w:position w:val="-1"/>
              </w:rPr>
              <w:t>云安区白石镇X491线白石街至东星四升三改建工程</w:t>
            </w:r>
          </w:p>
        </w:tc>
      </w:tr>
      <w:tr w14:paraId="30689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37253BA5">
            <w:pPr>
              <w:pStyle w:val="9"/>
              <w:spacing w:before="176" w:line="220" w:lineRule="auto"/>
              <w:ind w:left="166"/>
            </w:pPr>
            <w:r>
              <w:rPr>
                <w:b/>
                <w:bCs/>
                <w:spacing w:val="-4"/>
              </w:rPr>
              <w:t>招标项目名称</w:t>
            </w:r>
          </w:p>
        </w:tc>
        <w:tc>
          <w:tcPr>
            <w:tcW w:w="8115" w:type="dxa"/>
            <w:gridSpan w:val="5"/>
            <w:vAlign w:val="top"/>
          </w:tcPr>
          <w:p w14:paraId="33394FD5">
            <w:pPr>
              <w:pStyle w:val="9"/>
              <w:spacing w:before="190" w:line="233" w:lineRule="auto"/>
              <w:jc w:val="center"/>
              <w:rPr>
                <w:rFonts w:hint="eastAsia"/>
                <w:spacing w:val="-3"/>
                <w:position w:val="-1"/>
                <w:lang w:eastAsia="zh-CN"/>
              </w:rPr>
            </w:pPr>
            <w:r>
              <w:rPr>
                <w:rFonts w:hint="eastAsia"/>
                <w:spacing w:val="-3"/>
                <w:position w:val="-1"/>
              </w:rPr>
              <w:t>云安区白石镇X491线白石街至东星四升三改建工程</w:t>
            </w:r>
            <w:r>
              <w:rPr>
                <w:rFonts w:hint="eastAsia"/>
                <w:spacing w:val="-3"/>
                <w:position w:val="-1"/>
                <w:lang w:eastAsia="zh-CN"/>
              </w:rPr>
              <w:t>施工</w:t>
            </w:r>
          </w:p>
        </w:tc>
      </w:tr>
      <w:tr w14:paraId="66EC5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628" w:hRule="atLeast"/>
        </w:trPr>
        <w:tc>
          <w:tcPr>
            <w:tcW w:w="1581" w:type="dxa"/>
            <w:vAlign w:val="top"/>
          </w:tcPr>
          <w:p w14:paraId="759D3FAF">
            <w:pPr>
              <w:pStyle w:val="9"/>
              <w:spacing w:before="49" w:line="250" w:lineRule="auto"/>
              <w:ind w:left="689" w:right="155" w:hanging="523"/>
            </w:pPr>
            <w:r>
              <w:rPr>
                <w:b/>
                <w:bCs/>
                <w:spacing w:val="-4"/>
              </w:rPr>
              <w:t>标段（包）名</w:t>
            </w:r>
            <w:r>
              <w:rPr>
                <w:b/>
                <w:bCs/>
                <w:spacing w:val="-3"/>
              </w:rPr>
              <w:t>称</w:t>
            </w:r>
          </w:p>
        </w:tc>
        <w:tc>
          <w:tcPr>
            <w:tcW w:w="2114" w:type="dxa"/>
            <w:vAlign w:val="top"/>
          </w:tcPr>
          <w:p w14:paraId="00A2F285">
            <w:pPr>
              <w:pStyle w:val="9"/>
              <w:spacing w:before="49" w:line="250" w:lineRule="auto"/>
              <w:ind w:left="121" w:right="20" w:firstLine="22"/>
              <w:jc w:val="center"/>
            </w:pPr>
            <w:r>
              <w:rPr>
                <w:spacing w:val="-22"/>
              </w:rPr>
              <w:t>/</w:t>
            </w:r>
          </w:p>
        </w:tc>
        <w:tc>
          <w:tcPr>
            <w:tcW w:w="1723" w:type="dxa"/>
            <w:vAlign w:val="top"/>
          </w:tcPr>
          <w:p w14:paraId="1286EA9E">
            <w:pPr>
              <w:pStyle w:val="9"/>
              <w:spacing w:before="205" w:line="218" w:lineRule="auto"/>
              <w:ind w:left="453"/>
            </w:pPr>
            <w:r>
              <w:rPr>
                <w:b/>
                <w:bCs/>
                <w:spacing w:val="-6"/>
              </w:rPr>
              <w:t>公告性质</w:t>
            </w:r>
          </w:p>
        </w:tc>
        <w:tc>
          <w:tcPr>
            <w:tcW w:w="4278" w:type="dxa"/>
            <w:gridSpan w:val="3"/>
            <w:vAlign w:val="top"/>
          </w:tcPr>
          <w:p w14:paraId="6EF96963">
            <w:pPr>
              <w:pStyle w:val="9"/>
              <w:spacing w:before="190" w:line="233" w:lineRule="auto"/>
              <w:ind w:left="1885"/>
              <w:rPr>
                <w:sz w:val="10"/>
                <w:szCs w:val="10"/>
              </w:rPr>
            </w:pPr>
            <w:r>
              <w:rPr>
                <w:spacing w:val="-3"/>
                <w:position w:val="-1"/>
              </w:rPr>
              <w:t>正常</w:t>
            </w:r>
          </w:p>
        </w:tc>
      </w:tr>
      <w:tr w14:paraId="3621F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0C7545B4">
            <w:pPr>
              <w:pStyle w:val="9"/>
              <w:spacing w:before="176" w:line="220" w:lineRule="auto"/>
              <w:ind w:left="174"/>
            </w:pPr>
            <w:r>
              <w:rPr>
                <w:b/>
                <w:bCs/>
                <w:spacing w:val="-5"/>
              </w:rPr>
              <w:t>资格审查方式</w:t>
            </w:r>
          </w:p>
        </w:tc>
        <w:tc>
          <w:tcPr>
            <w:tcW w:w="8115" w:type="dxa"/>
            <w:gridSpan w:val="5"/>
            <w:vAlign w:val="top"/>
          </w:tcPr>
          <w:p w14:paraId="7C1A1886">
            <w:pPr>
              <w:pStyle w:val="9"/>
              <w:spacing w:before="176" w:line="220" w:lineRule="auto"/>
              <w:ind w:left="3650"/>
            </w:pPr>
            <w:r>
              <w:rPr>
                <w:spacing w:val="-4"/>
              </w:rPr>
              <w:t>资格后审</w:t>
            </w:r>
          </w:p>
        </w:tc>
      </w:tr>
      <w:tr w14:paraId="48A30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628" w:hRule="atLeast"/>
        </w:trPr>
        <w:tc>
          <w:tcPr>
            <w:tcW w:w="1581" w:type="dxa"/>
            <w:vAlign w:val="top"/>
          </w:tcPr>
          <w:p w14:paraId="6534762A">
            <w:pPr>
              <w:pStyle w:val="9"/>
              <w:spacing w:before="49" w:line="250" w:lineRule="auto"/>
              <w:ind w:left="170" w:right="155" w:hanging="4"/>
            </w:pPr>
            <w:r>
              <w:rPr>
                <w:b/>
                <w:bCs/>
                <w:spacing w:val="-4"/>
              </w:rPr>
              <w:t>招标项目实施（交货）地点</w:t>
            </w:r>
          </w:p>
        </w:tc>
        <w:tc>
          <w:tcPr>
            <w:tcW w:w="8115" w:type="dxa"/>
            <w:gridSpan w:val="5"/>
            <w:vAlign w:val="top"/>
          </w:tcPr>
          <w:p w14:paraId="371F643F">
            <w:pPr>
              <w:pStyle w:val="2"/>
              <w:bidi w:val="0"/>
              <w:rPr>
                <w:rFonts w:hint="eastAsia" w:ascii="Arial" w:eastAsia="宋体"/>
                <w:sz w:val="21"/>
                <w:lang w:eastAsia="zh-CN"/>
              </w:rPr>
            </w:pPr>
            <w:r>
              <w:rPr>
                <w:rFonts w:hint="eastAsia" w:ascii="宋体" w:hAnsi="宋体" w:eastAsia="宋体" w:cs="宋体"/>
                <w:sz w:val="21"/>
              </w:rPr>
              <w:t>云浮市云安区白石镇境内</w:t>
            </w:r>
            <w:r>
              <w:rPr>
                <w:rFonts w:hint="eastAsia" w:ascii="宋体" w:hAnsi="宋体" w:eastAsia="宋体" w:cs="宋体"/>
                <w:sz w:val="21"/>
                <w:lang w:eastAsia="zh-CN"/>
              </w:rPr>
              <w:t>。</w:t>
            </w:r>
          </w:p>
        </w:tc>
      </w:tr>
      <w:tr w14:paraId="6F0CE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7AF13F33">
            <w:pPr>
              <w:pStyle w:val="9"/>
              <w:spacing w:before="178" w:line="220" w:lineRule="auto"/>
              <w:ind w:left="384"/>
            </w:pPr>
            <w:r>
              <w:rPr>
                <w:b/>
                <w:bCs/>
                <w:spacing w:val="-6"/>
              </w:rPr>
              <w:t>资金来源</w:t>
            </w:r>
          </w:p>
        </w:tc>
        <w:tc>
          <w:tcPr>
            <w:tcW w:w="2114" w:type="dxa"/>
            <w:vAlign w:val="top"/>
          </w:tcPr>
          <w:p w14:paraId="249A6A31">
            <w:pPr>
              <w:jc w:val="center"/>
              <w:rPr>
                <w:rFonts w:hint="eastAsia" w:ascii="Arial" w:eastAsia="宋体"/>
                <w:sz w:val="21"/>
                <w:lang w:val="en-US" w:eastAsia="zh-CN"/>
              </w:rPr>
            </w:pPr>
            <w:r>
              <w:rPr>
                <w:rFonts w:hint="eastAsia" w:eastAsia="宋体"/>
                <w:sz w:val="21"/>
                <w:lang w:val="en-US" w:eastAsia="zh-CN"/>
              </w:rPr>
              <w:t>财政资金</w:t>
            </w:r>
          </w:p>
        </w:tc>
        <w:tc>
          <w:tcPr>
            <w:tcW w:w="1723" w:type="dxa"/>
            <w:vAlign w:val="top"/>
          </w:tcPr>
          <w:p w14:paraId="0840D586">
            <w:pPr>
              <w:pStyle w:val="9"/>
              <w:spacing w:before="178" w:line="220" w:lineRule="auto"/>
              <w:ind w:left="246"/>
            </w:pPr>
            <w:r>
              <w:rPr>
                <w:b/>
                <w:bCs/>
                <w:spacing w:val="-5"/>
              </w:rPr>
              <w:t>资金来源构成</w:t>
            </w:r>
          </w:p>
        </w:tc>
        <w:tc>
          <w:tcPr>
            <w:tcW w:w="4278" w:type="dxa"/>
            <w:gridSpan w:val="3"/>
            <w:vAlign w:val="top"/>
          </w:tcPr>
          <w:p w14:paraId="734A3EA2">
            <w:pPr>
              <w:bidi w:val="0"/>
              <w:rPr>
                <w:rFonts w:ascii="Arial"/>
              </w:rPr>
            </w:pPr>
            <w:r>
              <w:rPr>
                <w:rFonts w:hint="eastAsia"/>
              </w:rPr>
              <w:t>2026年农村公路建设省级交通建设资金中安排，不足部分由区级财政统筹解决。</w:t>
            </w:r>
          </w:p>
        </w:tc>
      </w:tr>
      <w:tr w14:paraId="290A4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628" w:hRule="atLeast"/>
        </w:trPr>
        <w:tc>
          <w:tcPr>
            <w:tcW w:w="1581" w:type="dxa"/>
            <w:vAlign w:val="top"/>
          </w:tcPr>
          <w:p w14:paraId="714112E2">
            <w:pPr>
              <w:pStyle w:val="9"/>
              <w:spacing w:before="51" w:line="249" w:lineRule="auto"/>
              <w:ind w:left="689" w:right="155" w:hanging="523"/>
            </w:pPr>
            <w:r>
              <w:rPr>
                <w:b/>
                <w:bCs/>
                <w:spacing w:val="-4"/>
              </w:rPr>
              <w:t>招标范围及规</w:t>
            </w:r>
            <w:r>
              <w:rPr>
                <w:b/>
                <w:bCs/>
                <w:spacing w:val="-3"/>
              </w:rPr>
              <w:t>模</w:t>
            </w:r>
          </w:p>
        </w:tc>
        <w:tc>
          <w:tcPr>
            <w:tcW w:w="8115" w:type="dxa"/>
            <w:gridSpan w:val="5"/>
            <w:vAlign w:val="top"/>
          </w:tcPr>
          <w:p w14:paraId="20F0A5D1">
            <w:pPr>
              <w:bidi w:val="0"/>
              <w:ind w:firstLine="420" w:firstLineChars="200"/>
              <w:rPr>
                <w:rFonts w:hint="eastAsia"/>
                <w:lang w:eastAsia="zh-CN"/>
              </w:rPr>
            </w:pPr>
            <w:r>
              <w:rPr>
                <w:rFonts w:hint="eastAsia"/>
                <w:lang w:eastAsia="zh-CN"/>
              </w:rPr>
              <w:t>招标范围按</w:t>
            </w:r>
            <w:r>
              <w:rPr>
                <w:rFonts w:hint="eastAsia" w:ascii="宋体" w:hAnsi="宋体" w:eastAsia="宋体" w:cs="宋体"/>
                <w:color w:val="auto"/>
                <w:sz w:val="21"/>
                <w:szCs w:val="21"/>
                <w:highlight w:val="none"/>
                <w:lang w:val="en-US" w:eastAsia="zh-CN"/>
              </w:rPr>
              <w:t>云安区白石镇X491线白石街至东星四升三改建工程，含路面修复、拓宽，沿线设施改造，危桥改造等内容</w:t>
            </w:r>
            <w:r>
              <w:rPr>
                <w:rFonts w:hint="eastAsia"/>
                <w:lang w:eastAsia="zh-CN"/>
              </w:rPr>
              <w:t>，具体工程项目内容按工程量清单、公路工程图纸内容。</w:t>
            </w:r>
          </w:p>
          <w:p w14:paraId="04DB7969">
            <w:pPr>
              <w:bidi w:val="0"/>
              <w:ind w:firstLine="420" w:firstLineChars="200"/>
              <w:rPr>
                <w:rFonts w:hint="eastAsia"/>
                <w:lang w:eastAsia="zh-CN"/>
              </w:rPr>
            </w:pPr>
            <w:r>
              <w:rPr>
                <w:rFonts w:hint="eastAsia"/>
                <w:lang w:val="en-US" w:eastAsia="zh-CN"/>
              </w:rPr>
              <w:t>本项目主要</w:t>
            </w:r>
            <w:r>
              <w:rPr>
                <w:rFonts w:hint="eastAsia"/>
                <w:lang w:val="en-GB" w:eastAsia="zh-CN"/>
              </w:rPr>
              <w:t>工程内容：该路线起于云安区白石镇圩镇，起点桩号K0+000，终点位于与郁南县交界处，终点桩号K5+858，路线全长5.858公里。三级公路标准。对路面破损严重路段进行修复；根据旧路路基拓宽工程条件，拓宽改造后路基宽7.5米、水泥混凝土路面拓宽改造后为6.5米宽，土路肩宽2*0.5；木棉桥与石下桥两座危桥拆除重建等。</w:t>
            </w:r>
            <w:r>
              <w:rPr>
                <w:rFonts w:hint="eastAsia"/>
                <w:lang w:eastAsia="zh-CN"/>
              </w:rPr>
              <w:t>本次招标共分</w:t>
            </w:r>
            <w:r>
              <w:rPr>
                <w:rFonts w:hint="eastAsia"/>
                <w:lang w:val="en-US" w:eastAsia="zh-CN"/>
              </w:rPr>
              <w:t>3</w:t>
            </w:r>
            <w:r>
              <w:rPr>
                <w:rFonts w:hint="eastAsia"/>
                <w:lang w:eastAsia="zh-CN"/>
              </w:rPr>
              <w:t>个标类1个标段。具体见附件1。</w:t>
            </w:r>
          </w:p>
          <w:tbl>
            <w:tblPr>
              <w:tblStyle w:val="8"/>
              <w:tblpPr w:leftFromText="180" w:rightFromText="180" w:vertAnchor="text" w:horzAnchor="page" w:tblpX="315" w:tblpY="53"/>
              <w:tblOverlap w:val="never"/>
              <w:tblW w:w="71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2"/>
              <w:gridCol w:w="573"/>
              <w:gridCol w:w="657"/>
              <w:gridCol w:w="465"/>
              <w:gridCol w:w="712"/>
              <w:gridCol w:w="1109"/>
              <w:gridCol w:w="2259"/>
            </w:tblGrid>
            <w:tr w14:paraId="6B546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1422" w:type="dxa"/>
                  <w:vAlign w:val="top"/>
                </w:tcPr>
                <w:p w14:paraId="11054962">
                  <w:pPr>
                    <w:bidi w:val="0"/>
                  </w:pPr>
                  <w:r>
                    <w:t>标段类别</w:t>
                  </w:r>
                </w:p>
              </w:tc>
              <w:tc>
                <w:tcPr>
                  <w:tcW w:w="573" w:type="dxa"/>
                  <w:textDirection w:val="tbRlV"/>
                  <w:vAlign w:val="top"/>
                </w:tcPr>
                <w:p w14:paraId="04BE2E3C">
                  <w:pPr>
                    <w:bidi w:val="0"/>
                  </w:pPr>
                  <w:r>
                    <w:t>标段</w:t>
                  </w:r>
                </w:p>
              </w:tc>
              <w:tc>
                <w:tcPr>
                  <w:tcW w:w="657" w:type="dxa"/>
                  <w:vAlign w:val="top"/>
                </w:tcPr>
                <w:p w14:paraId="7688EEB7">
                  <w:pPr>
                    <w:bidi w:val="0"/>
                  </w:pPr>
                  <w:r>
                    <w:t>起讫桩号</w:t>
                  </w:r>
                </w:p>
              </w:tc>
              <w:tc>
                <w:tcPr>
                  <w:tcW w:w="465" w:type="dxa"/>
                  <w:vAlign w:val="top"/>
                </w:tcPr>
                <w:p w14:paraId="6DC099C5">
                  <w:pPr>
                    <w:bidi w:val="0"/>
                  </w:pPr>
                  <w:r>
                    <w:t>长度</w:t>
                  </w:r>
                  <w:r>
                    <w:rPr>
                      <w:rFonts w:hint="eastAsia"/>
                      <w:lang w:eastAsia="zh-CN"/>
                    </w:rPr>
                    <w:t>（</w:t>
                  </w:r>
                  <w:r>
                    <w:t>km</w:t>
                  </w:r>
                  <w:r>
                    <w:rPr>
                      <w:rFonts w:hint="eastAsia"/>
                      <w:lang w:eastAsia="zh-CN"/>
                    </w:rPr>
                    <w:t>）</w:t>
                  </w:r>
                </w:p>
              </w:tc>
              <w:tc>
                <w:tcPr>
                  <w:tcW w:w="712" w:type="dxa"/>
                  <w:vAlign w:val="top"/>
                </w:tcPr>
                <w:p w14:paraId="13D6EBC0">
                  <w:pPr>
                    <w:bidi w:val="0"/>
                  </w:pPr>
                  <w:r>
                    <w:t>主要工程项目</w:t>
                  </w:r>
                </w:p>
              </w:tc>
              <w:tc>
                <w:tcPr>
                  <w:tcW w:w="1109" w:type="dxa"/>
                  <w:vAlign w:val="top"/>
                </w:tcPr>
                <w:p w14:paraId="4BD9A578">
                  <w:pPr>
                    <w:bidi w:val="0"/>
                  </w:pPr>
                  <w:r>
                    <w:t>对投标人资质要求</w:t>
                  </w:r>
                </w:p>
              </w:tc>
              <w:tc>
                <w:tcPr>
                  <w:tcW w:w="2259" w:type="dxa"/>
                  <w:vAlign w:val="top"/>
                </w:tcPr>
                <w:p w14:paraId="140591F7">
                  <w:pPr>
                    <w:bidi w:val="0"/>
                  </w:pPr>
                  <w:r>
                    <w:t>备   注</w:t>
                  </w:r>
                </w:p>
              </w:tc>
            </w:tr>
            <w:tr w14:paraId="15C19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9" w:hRule="atLeast"/>
              </w:trPr>
              <w:tc>
                <w:tcPr>
                  <w:tcW w:w="1422" w:type="dxa"/>
                  <w:vAlign w:val="top"/>
                </w:tcPr>
                <w:p w14:paraId="1CF59A9B">
                  <w:pPr>
                    <w:bidi w:val="0"/>
                    <w:rPr>
                      <w:rFonts w:hint="eastAsia"/>
                      <w:lang w:eastAsia="zh-CN"/>
                    </w:rPr>
                  </w:pPr>
                  <w:r>
                    <w:t>A 类路基桥涵工程</w:t>
                  </w:r>
                  <w:r>
                    <w:rPr>
                      <w:rFonts w:hint="eastAsia"/>
                      <w:lang w:eastAsia="zh-CN"/>
                    </w:rPr>
                    <w:t>、</w:t>
                  </w:r>
                  <w:r>
                    <w:t>G 类路面工程</w:t>
                  </w:r>
                  <w:r>
                    <w:rPr>
                      <w:rFonts w:hint="eastAsia"/>
                      <w:lang w:eastAsia="zh-CN"/>
                    </w:rPr>
                    <w:t>、</w:t>
                  </w:r>
                  <w:r>
                    <w:t>H 类交通安全设施工程</w:t>
                  </w:r>
                </w:p>
              </w:tc>
              <w:tc>
                <w:tcPr>
                  <w:tcW w:w="2407" w:type="dxa"/>
                  <w:gridSpan w:val="4"/>
                  <w:vAlign w:val="top"/>
                </w:tcPr>
                <w:p w14:paraId="52ABBE36">
                  <w:pPr>
                    <w:bidi w:val="0"/>
                  </w:pPr>
                  <w:r>
                    <w:t>标段的划分及主要工程项目情况详见附件 1</w:t>
                  </w:r>
                </w:p>
              </w:tc>
              <w:tc>
                <w:tcPr>
                  <w:tcW w:w="1109" w:type="dxa"/>
                  <w:vAlign w:val="top"/>
                </w:tcPr>
                <w:p w14:paraId="4B992481">
                  <w:pPr>
                    <w:bidi w:val="0"/>
                  </w:pPr>
                </w:p>
                <w:p w14:paraId="14DD5034">
                  <w:pPr>
                    <w:bidi w:val="0"/>
                  </w:pPr>
                  <w:r>
                    <w:t>参照附录 1</w:t>
                  </w:r>
                </w:p>
              </w:tc>
              <w:tc>
                <w:tcPr>
                  <w:tcW w:w="2259" w:type="dxa"/>
                  <w:vAlign w:val="top"/>
                </w:tcPr>
                <w:p w14:paraId="3DD29B40">
                  <w:pPr>
                    <w:bidi w:val="0"/>
                  </w:pPr>
                  <w:r>
                    <w:t xml:space="preserve">资格审查条件附录  1至附录 </w:t>
                  </w:r>
                  <w:r>
                    <w:rPr>
                      <w:rFonts w:hint="eastAsia"/>
                      <w:lang w:val="en-US" w:eastAsia="zh-CN"/>
                    </w:rPr>
                    <w:t>6</w:t>
                  </w:r>
                  <w:r>
                    <w:t>详见附件 2</w:t>
                  </w:r>
                </w:p>
              </w:tc>
            </w:tr>
          </w:tbl>
          <w:p w14:paraId="7A7194ED">
            <w:pPr>
              <w:spacing w:line="360" w:lineRule="auto"/>
              <w:ind w:firstLine="400" w:firstLineChars="200"/>
              <w:rPr>
                <w:rFonts w:hint="eastAsia" w:ascii="宋体" w:hAnsi="宋体" w:eastAsia="宋体" w:cs="宋体"/>
                <w:color w:val="auto"/>
                <w:sz w:val="20"/>
                <w:szCs w:val="20"/>
                <w:highlight w:val="none"/>
                <w:lang w:eastAsia="zh-CN"/>
              </w:rPr>
            </w:pPr>
          </w:p>
          <w:p w14:paraId="1833CFE8">
            <w:pPr>
              <w:widowControl/>
              <w:spacing w:line="360" w:lineRule="auto"/>
              <w:ind w:firstLine="400" w:firstLineChars="200"/>
              <w:textAlignment w:val="center"/>
              <w:rPr>
                <w:rFonts w:hint="default" w:ascii="宋体" w:hAnsi="宋体" w:eastAsia="宋体" w:cs="宋体"/>
                <w:color w:val="auto"/>
                <w:sz w:val="20"/>
                <w:szCs w:val="20"/>
                <w:highlight w:val="none"/>
                <w:lang w:val="en-US" w:eastAsia="zh-CN"/>
              </w:rPr>
            </w:pPr>
          </w:p>
        </w:tc>
      </w:tr>
      <w:tr w14:paraId="07C8F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5D4BC7D9">
            <w:pPr>
              <w:pStyle w:val="9"/>
              <w:spacing w:before="179" w:line="220" w:lineRule="auto"/>
              <w:ind w:left="376"/>
            </w:pPr>
            <w:r>
              <w:rPr>
                <w:b/>
                <w:bCs/>
                <w:spacing w:val="-4"/>
              </w:rPr>
              <w:t>招标内容</w:t>
            </w:r>
          </w:p>
        </w:tc>
        <w:tc>
          <w:tcPr>
            <w:tcW w:w="8115" w:type="dxa"/>
            <w:gridSpan w:val="5"/>
            <w:vAlign w:val="center"/>
          </w:tcPr>
          <w:p w14:paraId="21F3019D">
            <w:pPr>
              <w:spacing w:line="360" w:lineRule="auto"/>
              <w:ind w:firstLine="420" w:firstLineChars="200"/>
              <w:rPr>
                <w:sz w:val="10"/>
                <w:szCs w:val="10"/>
              </w:rPr>
            </w:pPr>
            <w:r>
              <w:rPr>
                <w:rFonts w:hint="eastAsia" w:ascii="宋体" w:hAnsi="宋体" w:cs="宋体"/>
                <w:color w:val="auto"/>
                <w:sz w:val="21"/>
                <w:szCs w:val="21"/>
                <w:highlight w:val="none"/>
                <w:lang w:val="en-US" w:eastAsia="zh-CN"/>
              </w:rPr>
              <w:t>完成</w:t>
            </w:r>
            <w:r>
              <w:rPr>
                <w:rFonts w:hint="eastAsia" w:ascii="宋体" w:hAnsi="宋体" w:eastAsia="宋体" w:cs="宋体"/>
                <w:color w:val="auto"/>
                <w:sz w:val="21"/>
                <w:szCs w:val="21"/>
                <w:highlight w:val="none"/>
                <w:lang w:val="en-US" w:eastAsia="zh-CN"/>
              </w:rPr>
              <w:t>云安区白石镇X491线白石街至东星四升三改建工程，含路面修复、拓宽，沿线设施改造，危桥改造等内容</w:t>
            </w:r>
            <w:r>
              <w:rPr>
                <w:rFonts w:hint="eastAsia" w:ascii="宋体" w:hAnsi="宋体" w:eastAsia="宋体" w:cs="宋体"/>
                <w:color w:val="auto"/>
                <w:sz w:val="21"/>
                <w:szCs w:val="21"/>
                <w:highlight w:val="none"/>
                <w:lang w:eastAsia="zh-CN"/>
              </w:rPr>
              <w:t>，具体工程项目内容按工程量清单、公路工程图纸内容</w:t>
            </w:r>
            <w:r>
              <w:rPr>
                <w:rFonts w:hint="eastAsia" w:ascii="宋体" w:hAnsi="宋体" w:eastAsia="宋体" w:cs="宋体"/>
                <w:color w:val="auto"/>
                <w:sz w:val="21"/>
                <w:szCs w:val="21"/>
                <w:highlight w:val="none"/>
                <w:lang w:val="en-US" w:eastAsia="zh-CN"/>
              </w:rPr>
              <w:t>。</w:t>
            </w:r>
          </w:p>
        </w:tc>
      </w:tr>
      <w:tr w14:paraId="682DF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321" w:hRule="atLeast"/>
        </w:trPr>
        <w:tc>
          <w:tcPr>
            <w:tcW w:w="1581" w:type="dxa"/>
            <w:vAlign w:val="top"/>
          </w:tcPr>
          <w:p w14:paraId="24C18FE3">
            <w:pPr>
              <w:spacing w:line="241" w:lineRule="auto"/>
              <w:rPr>
                <w:rFonts w:ascii="Arial"/>
                <w:sz w:val="21"/>
              </w:rPr>
            </w:pPr>
          </w:p>
          <w:p w14:paraId="2ADEB4D8">
            <w:pPr>
              <w:spacing w:line="241" w:lineRule="auto"/>
              <w:rPr>
                <w:rFonts w:ascii="Arial"/>
                <w:sz w:val="21"/>
              </w:rPr>
            </w:pPr>
          </w:p>
          <w:p w14:paraId="0135E92C">
            <w:pPr>
              <w:pStyle w:val="9"/>
              <w:spacing w:before="69" w:line="219" w:lineRule="auto"/>
              <w:ind w:right="20"/>
              <w:jc w:val="right"/>
            </w:pPr>
            <w:r>
              <w:rPr>
                <w:b/>
                <w:bCs/>
                <w:spacing w:val="-8"/>
              </w:rPr>
              <w:t>工期（交货期）</w:t>
            </w:r>
          </w:p>
        </w:tc>
        <w:tc>
          <w:tcPr>
            <w:tcW w:w="8115" w:type="dxa"/>
            <w:gridSpan w:val="5"/>
            <w:vAlign w:val="top"/>
          </w:tcPr>
          <w:p w14:paraId="113EA929">
            <w:pPr>
              <w:pStyle w:val="9"/>
              <w:spacing w:before="174" w:line="220" w:lineRule="auto"/>
              <w:ind w:left="116"/>
              <w:rPr>
                <w:rFonts w:hint="default" w:eastAsia="宋体"/>
                <w:lang w:val="en-US" w:eastAsia="zh-CN"/>
              </w:rPr>
            </w:pPr>
            <w:r>
              <w:rPr>
                <w:spacing w:val="-2"/>
              </w:rPr>
              <w:t>计划工期：</w:t>
            </w:r>
            <w:r>
              <w:rPr>
                <w:rFonts w:hint="eastAsia"/>
                <w:u w:val="single" w:color="auto"/>
                <w:lang w:val="en-US" w:eastAsia="zh-CN"/>
              </w:rPr>
              <w:t>5个月</w:t>
            </w:r>
          </w:p>
          <w:p w14:paraId="1D9A7ECA">
            <w:pPr>
              <w:pStyle w:val="9"/>
              <w:spacing w:before="130" w:line="220" w:lineRule="auto"/>
              <w:ind w:left="116"/>
            </w:pPr>
            <w:r>
              <w:rPr>
                <w:spacing w:val="-2"/>
              </w:rPr>
              <w:t>计划开工日期：</w:t>
            </w:r>
            <w:r>
              <w:rPr>
                <w:u w:val="single" w:color="auto"/>
              </w:rPr>
              <w:t xml:space="preserve"> </w:t>
            </w:r>
            <w:r>
              <w:rPr>
                <w:rFonts w:hint="eastAsia"/>
                <w:u w:val="single" w:color="auto"/>
                <w:lang w:val="en-US" w:eastAsia="zh-CN"/>
              </w:rPr>
              <w:t>2026年5月30日</w:t>
            </w:r>
            <w:r>
              <w:rPr>
                <w:u w:val="single" w:color="auto"/>
              </w:rPr>
              <w:t xml:space="preserve"> </w:t>
            </w:r>
          </w:p>
          <w:p w14:paraId="65592FC1">
            <w:pPr>
              <w:pStyle w:val="9"/>
              <w:spacing w:before="130" w:line="220" w:lineRule="auto"/>
              <w:ind w:left="116"/>
            </w:pPr>
            <w:r>
              <w:rPr>
                <w:spacing w:val="-2"/>
              </w:rPr>
              <w:t>计划交工日期：</w:t>
            </w:r>
            <w:r>
              <w:rPr>
                <w:u w:val="single" w:color="auto"/>
              </w:rPr>
              <w:t xml:space="preserve"> </w:t>
            </w:r>
            <w:r>
              <w:rPr>
                <w:rFonts w:hint="eastAsia"/>
                <w:u w:val="single" w:color="auto"/>
                <w:lang w:val="en-US" w:eastAsia="zh-CN"/>
              </w:rPr>
              <w:t>2026年10月30日</w:t>
            </w:r>
            <w:r>
              <w:rPr>
                <w:u w:val="single" w:color="auto"/>
              </w:rPr>
              <w:t xml:space="preserve"> </w:t>
            </w:r>
          </w:p>
        </w:tc>
      </w:tr>
      <w:tr w14:paraId="5FE37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572" w:hRule="atLeast"/>
        </w:trPr>
        <w:tc>
          <w:tcPr>
            <w:tcW w:w="1581" w:type="dxa"/>
            <w:vAlign w:val="top"/>
          </w:tcPr>
          <w:p w14:paraId="26607691">
            <w:pPr>
              <w:pStyle w:val="9"/>
              <w:spacing w:before="179" w:line="218" w:lineRule="auto"/>
              <w:ind w:left="167"/>
            </w:pPr>
            <w:r>
              <w:rPr>
                <w:b/>
                <w:bCs/>
                <w:spacing w:val="-4"/>
              </w:rPr>
              <w:t>最高投标限价</w:t>
            </w:r>
          </w:p>
        </w:tc>
        <w:tc>
          <w:tcPr>
            <w:tcW w:w="8115" w:type="dxa"/>
            <w:gridSpan w:val="5"/>
            <w:vAlign w:val="top"/>
          </w:tcPr>
          <w:p w14:paraId="1B1CFB9A">
            <w:pPr>
              <w:pStyle w:val="9"/>
              <w:spacing w:before="180" w:line="220" w:lineRule="auto"/>
              <w:ind w:left="3277"/>
            </w:pPr>
            <w:r>
              <w:rPr>
                <w:rFonts w:hint="eastAsia" w:ascii="宋体" w:hAnsi="宋体" w:eastAsia="宋体" w:cs="宋体"/>
                <w:b/>
                <w:bCs/>
                <w:snapToGrid w:val="0"/>
                <w:color w:val="auto"/>
                <w:kern w:val="0"/>
                <w:sz w:val="20"/>
                <w:szCs w:val="20"/>
                <w:highlight w:val="none"/>
                <w:lang w:val="en-US" w:eastAsia="zh-CN" w:bidi="ar-SA"/>
              </w:rPr>
              <w:t>￥</w:t>
            </w:r>
            <w:r>
              <w:rPr>
                <w:rFonts w:hint="eastAsia" w:cs="宋体"/>
                <w:b/>
                <w:bCs/>
                <w:snapToGrid w:val="0"/>
                <w:color w:val="auto"/>
                <w:kern w:val="0"/>
                <w:sz w:val="20"/>
                <w:szCs w:val="20"/>
                <w:highlight w:val="none"/>
                <w:lang w:val="en-US" w:eastAsia="zh-CN" w:bidi="ar-SA"/>
              </w:rPr>
              <w:t>7541261</w:t>
            </w:r>
            <w:r>
              <w:rPr>
                <w:rFonts w:hint="eastAsia" w:ascii="宋体" w:hAnsi="宋体" w:eastAsia="宋体" w:cs="宋体"/>
                <w:b/>
                <w:bCs/>
                <w:snapToGrid w:val="0"/>
                <w:color w:val="auto"/>
                <w:kern w:val="0"/>
                <w:sz w:val="20"/>
                <w:szCs w:val="20"/>
                <w:highlight w:val="none"/>
                <w:lang w:val="en-US" w:eastAsia="zh-CN" w:bidi="ar-SA"/>
              </w:rPr>
              <w:t>.00元</w:t>
            </w:r>
          </w:p>
        </w:tc>
      </w:tr>
      <w:tr w14:paraId="0708F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 w:type="dxa"/>
          <w:trHeight w:val="1328" w:hRule="atLeast"/>
        </w:trPr>
        <w:tc>
          <w:tcPr>
            <w:tcW w:w="1581" w:type="dxa"/>
            <w:vAlign w:val="center"/>
          </w:tcPr>
          <w:p w14:paraId="1189D34C">
            <w:pPr>
              <w:spacing w:line="274" w:lineRule="auto"/>
              <w:rPr>
                <w:rFonts w:ascii="Arial"/>
                <w:sz w:val="21"/>
              </w:rPr>
            </w:pPr>
          </w:p>
          <w:p w14:paraId="0B8BDBED">
            <w:pPr>
              <w:spacing w:line="274" w:lineRule="auto"/>
              <w:rPr>
                <w:rFonts w:ascii="Arial"/>
                <w:sz w:val="21"/>
              </w:rPr>
            </w:pPr>
          </w:p>
          <w:p w14:paraId="43AB886C">
            <w:pPr>
              <w:spacing w:line="275" w:lineRule="auto"/>
              <w:rPr>
                <w:rFonts w:ascii="Arial"/>
                <w:sz w:val="21"/>
              </w:rPr>
            </w:pPr>
          </w:p>
          <w:p w14:paraId="54E781D7">
            <w:pPr>
              <w:spacing w:line="275" w:lineRule="auto"/>
              <w:rPr>
                <w:rFonts w:ascii="Arial"/>
                <w:sz w:val="21"/>
              </w:rPr>
            </w:pPr>
          </w:p>
          <w:p w14:paraId="5321F7B2">
            <w:pPr>
              <w:spacing w:line="275" w:lineRule="auto"/>
              <w:rPr>
                <w:rFonts w:ascii="Arial"/>
                <w:sz w:val="21"/>
              </w:rPr>
            </w:pPr>
          </w:p>
          <w:p w14:paraId="55ADA292">
            <w:pPr>
              <w:pStyle w:val="9"/>
              <w:spacing w:before="68" w:line="277" w:lineRule="auto"/>
              <w:ind w:left="480" w:right="155" w:hanging="312"/>
            </w:pPr>
            <w:r>
              <w:rPr>
                <w:b/>
                <w:bCs/>
                <w:spacing w:val="-4"/>
              </w:rPr>
              <w:t>是否接受联合</w:t>
            </w:r>
            <w:r>
              <w:rPr>
                <w:b/>
                <w:bCs/>
                <w:spacing w:val="-5"/>
              </w:rPr>
              <w:t>体投标</w:t>
            </w:r>
          </w:p>
        </w:tc>
        <w:tc>
          <w:tcPr>
            <w:tcW w:w="8115" w:type="dxa"/>
            <w:gridSpan w:val="5"/>
            <w:vAlign w:val="center"/>
          </w:tcPr>
          <w:p w14:paraId="6F440923">
            <w:pPr>
              <w:pStyle w:val="9"/>
              <w:spacing w:before="130" w:line="295" w:lineRule="auto"/>
              <w:ind w:left="116" w:right="112" w:firstLine="36"/>
              <w:jc w:val="center"/>
            </w:pPr>
            <w:r>
              <w:rPr>
                <w:spacing w:val="-4"/>
              </w:rPr>
              <w:t>本次招标</w:t>
            </w:r>
            <w:r>
              <w:rPr>
                <w:rFonts w:hint="eastAsia"/>
                <w:spacing w:val="-4"/>
                <w:lang w:val="en-US" w:eastAsia="zh-CN"/>
              </w:rPr>
              <w:t xml:space="preserve"> </w:t>
            </w:r>
            <w:r>
              <w:rPr>
                <w:spacing w:val="-4"/>
                <w:u w:val="single" w:color="auto"/>
              </w:rPr>
              <w:t>不接受</w:t>
            </w:r>
            <w:r>
              <w:rPr>
                <w:rFonts w:hint="eastAsia"/>
                <w:spacing w:val="-4"/>
                <w:u w:val="single" w:color="auto"/>
                <w:lang w:val="en-US" w:eastAsia="zh-CN"/>
              </w:rPr>
              <w:t xml:space="preserve"> </w:t>
            </w:r>
            <w:r>
              <w:rPr>
                <w:spacing w:val="-4"/>
              </w:rPr>
              <w:t>联合体投标。</w:t>
            </w:r>
          </w:p>
        </w:tc>
      </w:tr>
      <w:tr w14:paraId="739DA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581" w:type="dxa"/>
            <w:vMerge w:val="restart"/>
            <w:tcBorders>
              <w:bottom w:val="nil"/>
            </w:tcBorders>
            <w:vAlign w:val="top"/>
          </w:tcPr>
          <w:p w14:paraId="3B0D3A7C">
            <w:pPr>
              <w:spacing w:line="289" w:lineRule="auto"/>
              <w:rPr>
                <w:rFonts w:ascii="Arial"/>
                <w:sz w:val="21"/>
              </w:rPr>
            </w:pPr>
          </w:p>
          <w:p w14:paraId="1983E0C1">
            <w:pPr>
              <w:spacing w:line="289" w:lineRule="auto"/>
              <w:rPr>
                <w:rFonts w:ascii="Arial"/>
                <w:sz w:val="21"/>
              </w:rPr>
            </w:pPr>
          </w:p>
          <w:p w14:paraId="75DFF216">
            <w:pPr>
              <w:pStyle w:val="9"/>
              <w:spacing w:before="68" w:line="274" w:lineRule="auto"/>
              <w:ind w:left="166" w:right="155" w:firstLine="1"/>
              <w:jc w:val="both"/>
            </w:pPr>
            <w:r>
              <w:rPr>
                <w:b/>
                <w:bCs/>
                <w:spacing w:val="-4"/>
              </w:rPr>
              <w:t>投标资格能力要求（包括但不限于资质、</w:t>
            </w:r>
          </w:p>
          <w:p w14:paraId="6883C940">
            <w:pPr>
              <w:pStyle w:val="9"/>
              <w:spacing w:line="277" w:lineRule="auto"/>
              <w:ind w:left="480" w:right="155" w:hanging="314"/>
              <w:jc w:val="both"/>
            </w:pPr>
            <w:r>
              <w:rPr>
                <w:b/>
                <w:bCs/>
                <w:spacing w:val="-4"/>
              </w:rPr>
              <w:t>人员、业绩等</w:t>
            </w:r>
            <w:r>
              <w:rPr>
                <w:b/>
                <w:bCs/>
                <w:spacing w:val="-5"/>
              </w:rPr>
              <w:t>要求）</w:t>
            </w:r>
          </w:p>
        </w:tc>
        <w:tc>
          <w:tcPr>
            <w:tcW w:w="2114" w:type="dxa"/>
            <w:vAlign w:val="top"/>
          </w:tcPr>
          <w:p w14:paraId="27DD0612">
            <w:pPr>
              <w:spacing w:line="303" w:lineRule="auto"/>
              <w:rPr>
                <w:rFonts w:ascii="Arial"/>
                <w:sz w:val="21"/>
              </w:rPr>
            </w:pPr>
          </w:p>
          <w:p w14:paraId="2965BB48">
            <w:pPr>
              <w:spacing w:line="303" w:lineRule="auto"/>
              <w:rPr>
                <w:rFonts w:ascii="Arial"/>
                <w:sz w:val="21"/>
              </w:rPr>
            </w:pPr>
          </w:p>
          <w:p w14:paraId="15B7D9D6">
            <w:pPr>
              <w:spacing w:line="304" w:lineRule="auto"/>
              <w:rPr>
                <w:rFonts w:ascii="Arial"/>
                <w:sz w:val="21"/>
              </w:rPr>
            </w:pPr>
          </w:p>
          <w:p w14:paraId="44EE9618">
            <w:pPr>
              <w:pStyle w:val="9"/>
              <w:spacing w:before="69" w:line="220" w:lineRule="auto"/>
              <w:ind w:left="327"/>
            </w:pPr>
            <w:r>
              <w:rPr>
                <w:spacing w:val="-2"/>
              </w:rPr>
              <w:t>投标人资格要求</w:t>
            </w:r>
          </w:p>
        </w:tc>
        <w:tc>
          <w:tcPr>
            <w:tcW w:w="6002" w:type="dxa"/>
            <w:gridSpan w:val="5"/>
            <w:vAlign w:val="top"/>
          </w:tcPr>
          <w:p w14:paraId="2014A710">
            <w:pPr>
              <w:pStyle w:val="9"/>
              <w:bidi w:val="0"/>
              <w:rPr>
                <w:rFonts w:hint="eastAsia"/>
                <w:lang w:eastAsia="zh-CN"/>
              </w:rPr>
            </w:pPr>
            <w:r>
              <w:rPr>
                <w:rFonts w:hint="eastAsia"/>
                <w:lang w:val="en-US" w:eastAsia="zh-CN"/>
              </w:rPr>
              <w:t>资质要求：</w:t>
            </w:r>
            <w:r>
              <w:rPr>
                <w:rFonts w:hint="eastAsia"/>
                <w:lang w:eastAsia="zh-CN"/>
              </w:rPr>
              <w:t>投标人应具有以下资质：详见招标公告附件</w:t>
            </w:r>
            <w:r>
              <w:rPr>
                <w:rFonts w:hint="eastAsia"/>
                <w:lang w:val="en-US" w:eastAsia="zh-CN"/>
              </w:rPr>
              <w:t>中的附录1</w:t>
            </w:r>
            <w:r>
              <w:rPr>
                <w:rFonts w:hint="eastAsia"/>
                <w:lang w:eastAsia="zh-CN"/>
              </w:rPr>
              <w:t>，投标人应进入交通运输部“全国公路建设市场监督管理系统”中的公路工程施工资质企业名录，且投标人名称和资质与该名录中的相应企业名称和资质完全一致。</w:t>
            </w:r>
          </w:p>
          <w:p w14:paraId="56D56939">
            <w:pPr>
              <w:pStyle w:val="9"/>
              <w:bidi w:val="0"/>
              <w:rPr>
                <w:rFonts w:hint="eastAsia"/>
                <w:lang w:val="en-US" w:eastAsia="zh-CN"/>
              </w:rPr>
            </w:pPr>
            <w:r>
              <w:rPr>
                <w:rFonts w:hint="eastAsia"/>
                <w:lang w:val="en-US" w:eastAsia="zh-CN"/>
              </w:rPr>
              <w:t>财务要求：见附录 2</w:t>
            </w:r>
          </w:p>
          <w:p w14:paraId="504B2847">
            <w:pPr>
              <w:pStyle w:val="9"/>
              <w:bidi w:val="0"/>
              <w:rPr>
                <w:rFonts w:hint="eastAsia"/>
                <w:lang w:val="en-US" w:eastAsia="zh-CN"/>
              </w:rPr>
            </w:pPr>
            <w:r>
              <w:rPr>
                <w:rFonts w:hint="eastAsia"/>
                <w:lang w:val="en-US" w:eastAsia="zh-CN"/>
              </w:rPr>
              <w:t>业绩要求：见附录 3</w:t>
            </w:r>
          </w:p>
          <w:p w14:paraId="73ACA4CA">
            <w:pPr>
              <w:pStyle w:val="9"/>
              <w:bidi w:val="0"/>
              <w:rPr>
                <w:rFonts w:hint="default"/>
                <w:lang w:val="en-US" w:eastAsia="zh-CN"/>
              </w:rPr>
            </w:pPr>
            <w:r>
              <w:rPr>
                <w:rFonts w:hint="eastAsia"/>
                <w:lang w:val="en-US" w:eastAsia="zh-CN"/>
              </w:rPr>
              <w:t>信誉要求：见附录 4</w:t>
            </w:r>
          </w:p>
          <w:p w14:paraId="21C0C077">
            <w:pPr>
              <w:pStyle w:val="9"/>
              <w:bidi w:val="0"/>
              <w:rPr>
                <w:rFonts w:hint="eastAsia"/>
                <w:lang w:val="en-US" w:eastAsia="zh-CN"/>
              </w:rPr>
            </w:pPr>
            <w:r>
              <w:rPr>
                <w:rFonts w:hint="eastAsia"/>
                <w:lang w:val="en-US" w:eastAsia="zh-CN"/>
              </w:rPr>
              <w:t>项目经理、项目总工的资格要求：见附录5</w:t>
            </w:r>
          </w:p>
          <w:p w14:paraId="5EDD2C3D">
            <w:pPr>
              <w:pStyle w:val="9"/>
              <w:bidi w:val="0"/>
            </w:pPr>
            <w:r>
              <w:rPr>
                <w:rFonts w:hint="eastAsia"/>
                <w:lang w:val="en-US" w:eastAsia="zh-CN"/>
              </w:rPr>
              <w:t>其他管理人员、技术人员的资格要求：见附录6</w:t>
            </w:r>
          </w:p>
        </w:tc>
      </w:tr>
      <w:tr w14:paraId="04CFB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81" w:type="dxa"/>
            <w:vMerge w:val="continue"/>
            <w:tcBorders>
              <w:top w:val="nil"/>
            </w:tcBorders>
            <w:vAlign w:val="top"/>
          </w:tcPr>
          <w:p w14:paraId="0AA333FE">
            <w:pPr>
              <w:rPr>
                <w:rFonts w:ascii="Arial"/>
                <w:sz w:val="21"/>
              </w:rPr>
            </w:pPr>
          </w:p>
        </w:tc>
        <w:tc>
          <w:tcPr>
            <w:tcW w:w="2114" w:type="dxa"/>
            <w:vAlign w:val="top"/>
          </w:tcPr>
          <w:p w14:paraId="3BF92A0E">
            <w:pPr>
              <w:pStyle w:val="9"/>
              <w:spacing w:before="177" w:line="220" w:lineRule="auto"/>
              <w:ind w:left="327"/>
            </w:pPr>
            <w:r>
              <w:rPr>
                <w:spacing w:val="-2"/>
              </w:rPr>
              <w:t>投标人业绩要求</w:t>
            </w:r>
          </w:p>
        </w:tc>
        <w:tc>
          <w:tcPr>
            <w:tcW w:w="6002" w:type="dxa"/>
            <w:gridSpan w:val="5"/>
            <w:vAlign w:val="top"/>
          </w:tcPr>
          <w:p w14:paraId="51877BD3">
            <w:pPr>
              <w:pStyle w:val="9"/>
              <w:spacing w:before="177" w:line="218" w:lineRule="auto"/>
              <w:ind w:left="2166"/>
              <w:rPr>
                <w:sz w:val="21"/>
                <w:szCs w:val="21"/>
              </w:rPr>
            </w:pPr>
            <w:r>
              <w:rPr>
                <w:rFonts w:hint="eastAsia" w:ascii="宋体" w:hAnsi="宋体" w:eastAsia="宋体" w:cs="宋体"/>
                <w:color w:val="auto"/>
                <w:sz w:val="21"/>
                <w:szCs w:val="21"/>
                <w:highlight w:val="none"/>
                <w:lang w:eastAsia="zh-CN" w:bidi="ar"/>
              </w:rPr>
              <w:t>见附录 3</w:t>
            </w:r>
          </w:p>
        </w:tc>
      </w:tr>
      <w:tr w14:paraId="45268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trPr>
        <w:tc>
          <w:tcPr>
            <w:tcW w:w="1581" w:type="dxa"/>
            <w:vMerge w:val="restart"/>
            <w:tcBorders>
              <w:bottom w:val="nil"/>
            </w:tcBorders>
            <w:vAlign w:val="top"/>
          </w:tcPr>
          <w:p w14:paraId="3F1213A9">
            <w:pPr>
              <w:spacing w:line="263" w:lineRule="auto"/>
              <w:rPr>
                <w:rFonts w:ascii="Arial"/>
                <w:sz w:val="21"/>
              </w:rPr>
            </w:pPr>
          </w:p>
          <w:p w14:paraId="05C108F0">
            <w:pPr>
              <w:spacing w:line="263" w:lineRule="auto"/>
              <w:rPr>
                <w:rFonts w:ascii="Arial"/>
                <w:sz w:val="21"/>
              </w:rPr>
            </w:pPr>
          </w:p>
          <w:p w14:paraId="3CC203DD">
            <w:pPr>
              <w:spacing w:line="264" w:lineRule="auto"/>
              <w:rPr>
                <w:rFonts w:ascii="Arial"/>
                <w:sz w:val="21"/>
              </w:rPr>
            </w:pPr>
          </w:p>
          <w:p w14:paraId="04E45409">
            <w:pPr>
              <w:spacing w:line="264" w:lineRule="auto"/>
              <w:rPr>
                <w:rFonts w:ascii="Arial"/>
                <w:sz w:val="21"/>
              </w:rPr>
            </w:pPr>
          </w:p>
          <w:p w14:paraId="432BEDB1">
            <w:pPr>
              <w:spacing w:line="264" w:lineRule="auto"/>
              <w:rPr>
                <w:rFonts w:ascii="Arial"/>
                <w:sz w:val="21"/>
              </w:rPr>
            </w:pPr>
          </w:p>
          <w:p w14:paraId="2204EEA2">
            <w:pPr>
              <w:spacing w:line="264" w:lineRule="auto"/>
              <w:rPr>
                <w:rFonts w:ascii="Arial"/>
                <w:sz w:val="21"/>
              </w:rPr>
            </w:pPr>
          </w:p>
          <w:p w14:paraId="6BAEFFD3">
            <w:pPr>
              <w:spacing w:line="264" w:lineRule="auto"/>
              <w:rPr>
                <w:rFonts w:ascii="Arial"/>
                <w:sz w:val="21"/>
              </w:rPr>
            </w:pPr>
          </w:p>
          <w:p w14:paraId="36B07EDC">
            <w:pPr>
              <w:pStyle w:val="9"/>
              <w:spacing w:before="68" w:line="277" w:lineRule="auto"/>
              <w:ind w:left="166" w:right="155" w:firstLine="2"/>
            </w:pPr>
            <w:r>
              <w:rPr>
                <w:b/>
                <w:bCs/>
                <w:spacing w:val="-4"/>
              </w:rPr>
              <w:t>是否采用电子招标投标方式</w:t>
            </w:r>
          </w:p>
        </w:tc>
        <w:tc>
          <w:tcPr>
            <w:tcW w:w="2114" w:type="dxa"/>
            <w:vMerge w:val="restart"/>
            <w:tcBorders>
              <w:bottom w:val="nil"/>
            </w:tcBorders>
            <w:vAlign w:val="top"/>
          </w:tcPr>
          <w:p w14:paraId="02973AA5">
            <w:pPr>
              <w:spacing w:line="250" w:lineRule="auto"/>
              <w:rPr>
                <w:rFonts w:ascii="Arial"/>
                <w:sz w:val="21"/>
              </w:rPr>
            </w:pPr>
          </w:p>
          <w:p w14:paraId="5A24385A">
            <w:pPr>
              <w:spacing w:line="250" w:lineRule="auto"/>
              <w:rPr>
                <w:rFonts w:ascii="Arial"/>
                <w:sz w:val="21"/>
              </w:rPr>
            </w:pPr>
          </w:p>
          <w:p w14:paraId="439B963C">
            <w:pPr>
              <w:spacing w:line="250" w:lineRule="auto"/>
              <w:rPr>
                <w:rFonts w:ascii="Arial"/>
                <w:sz w:val="21"/>
              </w:rPr>
            </w:pPr>
          </w:p>
          <w:p w14:paraId="79271289">
            <w:pPr>
              <w:spacing w:line="250" w:lineRule="auto"/>
              <w:rPr>
                <w:rFonts w:ascii="Arial"/>
                <w:sz w:val="21"/>
              </w:rPr>
            </w:pPr>
          </w:p>
          <w:p w14:paraId="66904E67">
            <w:pPr>
              <w:spacing w:line="250" w:lineRule="auto"/>
              <w:rPr>
                <w:rFonts w:ascii="Arial"/>
                <w:sz w:val="21"/>
              </w:rPr>
            </w:pPr>
          </w:p>
          <w:p w14:paraId="2D3FA52F">
            <w:pPr>
              <w:spacing w:line="250" w:lineRule="auto"/>
              <w:rPr>
                <w:rFonts w:ascii="Arial"/>
                <w:sz w:val="21"/>
              </w:rPr>
            </w:pPr>
          </w:p>
          <w:p w14:paraId="056F514B">
            <w:pPr>
              <w:spacing w:line="251" w:lineRule="auto"/>
              <w:rPr>
                <w:rFonts w:ascii="Arial"/>
                <w:sz w:val="21"/>
              </w:rPr>
            </w:pPr>
          </w:p>
          <w:p w14:paraId="67E9BBD2">
            <w:pPr>
              <w:spacing w:line="251" w:lineRule="auto"/>
              <w:rPr>
                <w:rFonts w:ascii="Arial"/>
                <w:sz w:val="21"/>
              </w:rPr>
            </w:pPr>
          </w:p>
          <w:p w14:paraId="14939807">
            <w:pPr>
              <w:pStyle w:val="9"/>
              <w:spacing w:before="68" w:line="223" w:lineRule="auto"/>
              <w:ind w:left="958"/>
            </w:pPr>
            <w:r>
              <w:t>是</w:t>
            </w:r>
          </w:p>
        </w:tc>
        <w:tc>
          <w:tcPr>
            <w:tcW w:w="1724" w:type="dxa"/>
            <w:gridSpan w:val="2"/>
            <w:vMerge w:val="restart"/>
            <w:tcBorders>
              <w:bottom w:val="nil"/>
            </w:tcBorders>
            <w:vAlign w:val="top"/>
          </w:tcPr>
          <w:p w14:paraId="21054CD3">
            <w:pPr>
              <w:spacing w:line="250" w:lineRule="auto"/>
              <w:rPr>
                <w:rFonts w:ascii="Arial"/>
                <w:sz w:val="21"/>
                <w:szCs w:val="21"/>
              </w:rPr>
            </w:pPr>
          </w:p>
          <w:p w14:paraId="695DDB88">
            <w:pPr>
              <w:spacing w:line="250" w:lineRule="auto"/>
              <w:rPr>
                <w:rFonts w:ascii="Arial"/>
                <w:sz w:val="21"/>
                <w:szCs w:val="21"/>
              </w:rPr>
            </w:pPr>
          </w:p>
          <w:p w14:paraId="5634DDEF">
            <w:pPr>
              <w:spacing w:line="250" w:lineRule="auto"/>
              <w:rPr>
                <w:rFonts w:ascii="Arial"/>
                <w:sz w:val="21"/>
                <w:szCs w:val="21"/>
              </w:rPr>
            </w:pPr>
          </w:p>
          <w:p w14:paraId="7A54E7AB">
            <w:pPr>
              <w:spacing w:line="250" w:lineRule="auto"/>
              <w:rPr>
                <w:rFonts w:ascii="Arial"/>
                <w:sz w:val="21"/>
                <w:szCs w:val="21"/>
              </w:rPr>
            </w:pPr>
          </w:p>
          <w:p w14:paraId="622388D4">
            <w:pPr>
              <w:spacing w:line="250" w:lineRule="auto"/>
              <w:rPr>
                <w:rFonts w:ascii="Arial"/>
                <w:sz w:val="21"/>
                <w:szCs w:val="21"/>
              </w:rPr>
            </w:pPr>
          </w:p>
          <w:p w14:paraId="1604F938">
            <w:pPr>
              <w:spacing w:line="250" w:lineRule="auto"/>
              <w:rPr>
                <w:rFonts w:ascii="Arial"/>
                <w:sz w:val="21"/>
                <w:szCs w:val="21"/>
              </w:rPr>
            </w:pPr>
          </w:p>
          <w:p w14:paraId="7FF664CA">
            <w:pPr>
              <w:spacing w:line="250" w:lineRule="auto"/>
              <w:rPr>
                <w:rFonts w:ascii="Arial"/>
                <w:sz w:val="21"/>
                <w:szCs w:val="21"/>
              </w:rPr>
            </w:pPr>
          </w:p>
          <w:p w14:paraId="03D6D3F8">
            <w:pPr>
              <w:spacing w:line="251" w:lineRule="auto"/>
              <w:rPr>
                <w:rFonts w:ascii="Arial"/>
                <w:sz w:val="21"/>
                <w:szCs w:val="21"/>
              </w:rPr>
            </w:pPr>
          </w:p>
          <w:p w14:paraId="07A5636F">
            <w:pPr>
              <w:pStyle w:val="9"/>
              <w:spacing w:before="68" w:line="220" w:lineRule="auto"/>
              <w:ind w:left="132"/>
              <w:rPr>
                <w:sz w:val="21"/>
                <w:szCs w:val="21"/>
              </w:rPr>
            </w:pPr>
            <w:r>
              <w:rPr>
                <w:b/>
                <w:bCs/>
                <w:spacing w:val="-3"/>
                <w:sz w:val="21"/>
                <w:szCs w:val="21"/>
              </w:rPr>
              <w:t>招标文件的方式</w:t>
            </w:r>
          </w:p>
        </w:tc>
        <w:tc>
          <w:tcPr>
            <w:tcW w:w="1589" w:type="dxa"/>
            <w:vAlign w:val="top"/>
          </w:tcPr>
          <w:p w14:paraId="00C8957C">
            <w:pPr>
              <w:spacing w:line="291" w:lineRule="auto"/>
              <w:rPr>
                <w:rFonts w:ascii="Arial"/>
                <w:sz w:val="21"/>
                <w:szCs w:val="21"/>
              </w:rPr>
            </w:pPr>
          </w:p>
          <w:p w14:paraId="293810C9">
            <w:pPr>
              <w:pStyle w:val="9"/>
              <w:spacing w:before="68" w:line="278" w:lineRule="auto"/>
              <w:ind w:left="135" w:right="109" w:hanging="10"/>
              <w:rPr>
                <w:sz w:val="21"/>
                <w:szCs w:val="21"/>
              </w:rPr>
            </w:pPr>
            <w:r>
              <w:rPr>
                <w:spacing w:val="14"/>
                <w:sz w:val="21"/>
                <w:szCs w:val="21"/>
              </w:rPr>
              <w:t>下载招标文件</w:t>
            </w:r>
            <w:r>
              <w:rPr>
                <w:spacing w:val="-5"/>
                <w:sz w:val="21"/>
                <w:szCs w:val="21"/>
              </w:rPr>
              <w:t>的网络地址</w:t>
            </w:r>
          </w:p>
        </w:tc>
        <w:tc>
          <w:tcPr>
            <w:tcW w:w="2689" w:type="dxa"/>
            <w:gridSpan w:val="2"/>
            <w:vAlign w:val="top"/>
          </w:tcPr>
          <w:p w14:paraId="5AD6FE34">
            <w:pPr>
              <w:pStyle w:val="9"/>
              <w:tabs>
                <w:tab w:val="left" w:pos="545"/>
              </w:tabs>
              <w:spacing w:before="179" w:line="220" w:lineRule="auto"/>
              <w:ind w:left="110"/>
              <w:rPr>
                <w:sz w:val="21"/>
                <w:szCs w:val="21"/>
              </w:rPr>
            </w:pPr>
            <w:r>
              <w:rPr>
                <w:rFonts w:hint="eastAsia" w:ascii="宋体" w:hAnsi="宋体" w:eastAsia="宋体" w:cs="宋体"/>
                <w:snapToGrid w:val="0"/>
                <w:color w:val="auto"/>
                <w:kern w:val="0"/>
                <w:sz w:val="21"/>
                <w:szCs w:val="21"/>
                <w:highlight w:val="none"/>
                <w:lang w:val="en-US" w:eastAsia="zh-CN" w:bidi="ar"/>
              </w:rPr>
              <w:t>凡有意参加投标的投标人，请于招标公告发布之日起至投标截止时间前在广东省招标投标监管网（网址：https://zbtb.gd.gov.cn/#/index）、广东省公共资源交易平台（网址https://ygp.gdzwfw.gov.cn/ggzy-portal/index.html#/44/index、云浮市公共资源交易服务平台（网址：https://jyzx.yunfu.gov.cn/portal/jsgcjy）下载招标文件及其附件、答疑文件、修正文件（如有）等。</w:t>
            </w:r>
          </w:p>
        </w:tc>
      </w:tr>
      <w:tr w14:paraId="27ADE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3" w:hRule="atLeast"/>
        </w:trPr>
        <w:tc>
          <w:tcPr>
            <w:tcW w:w="1581" w:type="dxa"/>
            <w:vMerge w:val="continue"/>
            <w:tcBorders>
              <w:top w:val="nil"/>
            </w:tcBorders>
            <w:vAlign w:val="top"/>
          </w:tcPr>
          <w:p w14:paraId="009E63CB">
            <w:pPr>
              <w:rPr>
                <w:rFonts w:ascii="Arial"/>
                <w:sz w:val="21"/>
              </w:rPr>
            </w:pPr>
          </w:p>
        </w:tc>
        <w:tc>
          <w:tcPr>
            <w:tcW w:w="2114" w:type="dxa"/>
            <w:vMerge w:val="continue"/>
            <w:tcBorders>
              <w:top w:val="nil"/>
            </w:tcBorders>
            <w:vAlign w:val="top"/>
          </w:tcPr>
          <w:p w14:paraId="5D48E8FF">
            <w:pPr>
              <w:rPr>
                <w:rFonts w:ascii="Arial"/>
                <w:sz w:val="21"/>
              </w:rPr>
            </w:pPr>
          </w:p>
        </w:tc>
        <w:tc>
          <w:tcPr>
            <w:tcW w:w="1724" w:type="dxa"/>
            <w:gridSpan w:val="2"/>
            <w:vMerge w:val="continue"/>
            <w:tcBorders>
              <w:top w:val="nil"/>
            </w:tcBorders>
            <w:vAlign w:val="top"/>
          </w:tcPr>
          <w:p w14:paraId="4485B8EB">
            <w:pPr>
              <w:rPr>
                <w:rFonts w:ascii="Arial"/>
                <w:sz w:val="21"/>
                <w:szCs w:val="21"/>
              </w:rPr>
            </w:pPr>
          </w:p>
        </w:tc>
        <w:tc>
          <w:tcPr>
            <w:tcW w:w="1589" w:type="dxa"/>
            <w:vAlign w:val="top"/>
          </w:tcPr>
          <w:p w14:paraId="2CA0A305">
            <w:pPr>
              <w:spacing w:line="244" w:lineRule="auto"/>
              <w:rPr>
                <w:rFonts w:ascii="Arial"/>
                <w:sz w:val="21"/>
                <w:szCs w:val="21"/>
              </w:rPr>
            </w:pPr>
          </w:p>
          <w:p w14:paraId="080EB3B1">
            <w:pPr>
              <w:spacing w:line="245" w:lineRule="auto"/>
              <w:rPr>
                <w:rFonts w:ascii="Arial"/>
                <w:sz w:val="21"/>
                <w:szCs w:val="21"/>
              </w:rPr>
            </w:pPr>
          </w:p>
          <w:p w14:paraId="7C363F99">
            <w:pPr>
              <w:spacing w:line="245" w:lineRule="auto"/>
              <w:rPr>
                <w:rFonts w:ascii="Arial"/>
                <w:sz w:val="21"/>
                <w:szCs w:val="21"/>
              </w:rPr>
            </w:pPr>
          </w:p>
          <w:p w14:paraId="588B2BED">
            <w:pPr>
              <w:pStyle w:val="9"/>
              <w:spacing w:before="68" w:line="277" w:lineRule="auto"/>
              <w:ind w:left="134" w:right="109" w:hanging="13"/>
              <w:rPr>
                <w:sz w:val="21"/>
                <w:szCs w:val="21"/>
              </w:rPr>
            </w:pPr>
            <w:r>
              <w:rPr>
                <w:spacing w:val="15"/>
                <w:sz w:val="21"/>
                <w:szCs w:val="21"/>
              </w:rPr>
              <w:t>获取招标文件</w:t>
            </w:r>
            <w:r>
              <w:rPr>
                <w:spacing w:val="-6"/>
                <w:sz w:val="21"/>
                <w:szCs w:val="21"/>
              </w:rPr>
              <w:t>的方式</w:t>
            </w:r>
          </w:p>
        </w:tc>
        <w:tc>
          <w:tcPr>
            <w:tcW w:w="2689" w:type="dxa"/>
            <w:gridSpan w:val="2"/>
            <w:vAlign w:val="top"/>
          </w:tcPr>
          <w:p w14:paraId="116AB6E7">
            <w:pPr>
              <w:pStyle w:val="9"/>
              <w:tabs>
                <w:tab w:val="left" w:pos="2570"/>
              </w:tabs>
              <w:spacing w:before="53" w:line="269" w:lineRule="auto"/>
              <w:ind w:left="119" w:right="113" w:firstLine="4"/>
              <w:jc w:val="center"/>
              <w:rPr>
                <w:rFonts w:hint="eastAsia"/>
                <w:spacing w:val="-7"/>
                <w:sz w:val="21"/>
                <w:szCs w:val="21"/>
                <w:lang w:val="en-US" w:eastAsia="zh-CN"/>
              </w:rPr>
            </w:pPr>
          </w:p>
          <w:p w14:paraId="2F54C70C">
            <w:pPr>
              <w:pStyle w:val="9"/>
              <w:tabs>
                <w:tab w:val="left" w:pos="2570"/>
              </w:tabs>
              <w:spacing w:before="53" w:line="269" w:lineRule="auto"/>
              <w:ind w:left="119" w:right="113" w:firstLine="4"/>
              <w:jc w:val="center"/>
              <w:rPr>
                <w:rFonts w:hint="default" w:eastAsia="宋体"/>
                <w:sz w:val="21"/>
                <w:szCs w:val="21"/>
                <w:lang w:val="en-US" w:eastAsia="zh-CN"/>
              </w:rPr>
            </w:pPr>
            <w:r>
              <w:rPr>
                <w:rFonts w:hint="eastAsia"/>
                <w:spacing w:val="-7"/>
                <w:sz w:val="21"/>
                <w:szCs w:val="21"/>
                <w:lang w:val="en-US" w:eastAsia="zh-CN"/>
              </w:rPr>
              <w:t>凡有意参加投标者，请于获取招标文件截止时间前，登录云浮市公共资源交易中心 网站（网址：https://jyzx.yunfu.gov.cn/portal/jsgcjy），选择对应招标项目进行投标登记，并自行在网站中下载招标文件</w:t>
            </w:r>
          </w:p>
        </w:tc>
      </w:tr>
      <w:tr w14:paraId="73864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1581" w:type="dxa"/>
            <w:vAlign w:val="top"/>
          </w:tcPr>
          <w:p w14:paraId="3E4867C2">
            <w:pPr>
              <w:pStyle w:val="9"/>
              <w:spacing w:before="132" w:line="277" w:lineRule="auto"/>
              <w:ind w:left="375" w:right="155" w:hanging="207"/>
            </w:pPr>
            <w:r>
              <w:rPr>
                <w:b/>
                <w:bCs/>
                <w:spacing w:val="-4"/>
              </w:rPr>
              <w:t>获取招标文件开始时间</w:t>
            </w:r>
          </w:p>
        </w:tc>
        <w:tc>
          <w:tcPr>
            <w:tcW w:w="2114" w:type="dxa"/>
            <w:vAlign w:val="top"/>
          </w:tcPr>
          <w:p w14:paraId="04598B5B">
            <w:pPr>
              <w:pStyle w:val="9"/>
              <w:spacing w:before="132" w:line="220" w:lineRule="auto"/>
              <w:ind w:firstLine="210" w:firstLineChars="100"/>
            </w:pPr>
            <w:r>
              <mc:AlternateContent>
                <mc:Choice Requires="wps">
                  <w:drawing>
                    <wp:anchor distT="0" distB="0" distL="114300" distR="114300" simplePos="0" relativeHeight="251703296" behindDoc="0" locked="0" layoutInCell="1" allowOverlap="1">
                      <wp:simplePos x="0" y="0"/>
                      <wp:positionH relativeFrom="column">
                        <wp:posOffset>101600</wp:posOffset>
                      </wp:positionH>
                      <wp:positionV relativeFrom="paragraph">
                        <wp:posOffset>210185</wp:posOffset>
                      </wp:positionV>
                      <wp:extent cx="1134110" cy="6350"/>
                      <wp:effectExtent l="0" t="0" r="0" b="0"/>
                      <wp:wrapNone/>
                      <wp:docPr id="3" name="任意多边形 3"/>
                      <wp:cNvGraphicFramePr/>
                      <a:graphic xmlns:a="http://schemas.openxmlformats.org/drawingml/2006/main">
                        <a:graphicData uri="http://schemas.microsoft.com/office/word/2010/wordprocessingShape">
                          <wps:wsp>
                            <wps:cNvSpPr/>
                            <wps:spPr>
                              <a:xfrm>
                                <a:off x="0" y="0"/>
                                <a:ext cx="1134110" cy="6350"/>
                              </a:xfrm>
                              <a:custGeom>
                                <a:avLst/>
                                <a:gdLst/>
                                <a:ahLst/>
                                <a:cxnLst/>
                                <a:pathLst>
                                  <a:path w="1786" h="10">
                                    <a:moveTo>
                                      <a:pt x="0" y="4"/>
                                    </a:moveTo>
                                    <a:lnTo>
                                      <a:pt x="1785"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8pt;margin-top:16.55pt;height:0.5pt;width:89.3pt;z-index:251703296;mso-width-relative:page;mso-height-relative:page;" filled="f" stroked="t" coordsize="1786,10" o:gfxdata="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kMim7UAAAACAEAAA8AAAAAAAAAAQAgAAAAIgAAAGRycy9kb3du&#10;cmV2LnhtbFBLAQIUABQAAAAIAIdO4kBOhR0tPAIAAJYEAAAOAAAAAAAAAAEAIAAAACMBAABkcnMv&#10;ZTJvRG9jLnhtbFBLBQYAAAAABgAGAFkBAADRBQAAAAA=&#10;" path="m0,4l1785,4e">
                      <v:fill on="f" focussize="0,0"/>
                      <v:stroke weight="0.48pt" color="#000000" miterlimit="10" joinstyle="bevel"/>
                      <v:imagedata o:title=""/>
                      <o:lock v:ext="edit" aspectratio="f"/>
                    </v:shape>
                  </w:pict>
                </mc:Fallback>
              </mc:AlternateContent>
            </w:r>
            <w:r>
              <w:rPr>
                <w:rFonts w:hint="eastAsia"/>
                <w:spacing w:val="-8"/>
                <w:lang w:val="en-US" w:eastAsia="zh-CN"/>
              </w:rPr>
              <w:t>2026</w:t>
            </w:r>
            <w:r>
              <w:rPr>
                <w:spacing w:val="-8"/>
              </w:rPr>
              <w:t>年</w:t>
            </w:r>
            <w:r>
              <w:rPr>
                <w:rFonts w:hint="eastAsia"/>
                <w:spacing w:val="4"/>
                <w:lang w:val="en-US" w:eastAsia="zh-CN"/>
              </w:rPr>
              <w:t>04</w:t>
            </w:r>
            <w:r>
              <w:rPr>
                <w:spacing w:val="-8"/>
              </w:rPr>
              <w:t>月</w:t>
            </w:r>
            <w:r>
              <w:rPr>
                <w:spacing w:val="11"/>
              </w:rPr>
              <w:t xml:space="preserve"> </w:t>
            </w:r>
            <w:r>
              <w:rPr>
                <w:rFonts w:hint="eastAsia"/>
                <w:spacing w:val="11"/>
                <w:lang w:val="en-US" w:eastAsia="zh-CN"/>
              </w:rPr>
              <w:t>25</w:t>
            </w:r>
            <w:r>
              <w:rPr>
                <w:spacing w:val="11"/>
              </w:rPr>
              <w:t xml:space="preserve"> </w:t>
            </w:r>
            <w:r>
              <w:rPr>
                <w:spacing w:val="-8"/>
              </w:rPr>
              <w:t>日</w:t>
            </w:r>
          </w:p>
          <w:p w14:paraId="782AE820">
            <w:pPr>
              <w:pStyle w:val="9"/>
              <w:spacing w:before="62" w:line="220" w:lineRule="auto"/>
              <w:ind w:left="703"/>
            </w:pPr>
            <w:r>
              <w:rPr>
                <w:rFonts w:hint="eastAsia"/>
                <w:spacing w:val="-10"/>
                <w:u w:val="single" w:color="auto"/>
                <w:lang w:val="en-US" w:eastAsia="zh-CN"/>
              </w:rPr>
              <w:t>00</w:t>
            </w:r>
            <w:r>
              <w:rPr>
                <w:spacing w:val="-10"/>
                <w:u w:val="single" w:color="auto"/>
              </w:rPr>
              <w:t>时</w:t>
            </w:r>
            <w:r>
              <w:rPr>
                <w:spacing w:val="3"/>
                <w:u w:val="single" w:color="auto"/>
              </w:rPr>
              <w:t xml:space="preserve"> </w:t>
            </w:r>
            <w:r>
              <w:rPr>
                <w:rFonts w:hint="eastAsia"/>
                <w:spacing w:val="3"/>
                <w:u w:val="single" w:color="auto"/>
                <w:lang w:val="en-US" w:eastAsia="zh-CN"/>
              </w:rPr>
              <w:t>00</w:t>
            </w:r>
            <w:r>
              <w:rPr>
                <w:spacing w:val="-10"/>
                <w:u w:val="single" w:color="auto"/>
              </w:rPr>
              <w:t>分</w:t>
            </w:r>
          </w:p>
        </w:tc>
        <w:tc>
          <w:tcPr>
            <w:tcW w:w="1724" w:type="dxa"/>
            <w:gridSpan w:val="2"/>
            <w:vAlign w:val="top"/>
          </w:tcPr>
          <w:p w14:paraId="627AD388">
            <w:pPr>
              <w:pStyle w:val="9"/>
              <w:spacing w:before="133" w:line="277" w:lineRule="auto"/>
              <w:ind w:left="551" w:right="121" w:hanging="417"/>
            </w:pPr>
            <w:r>
              <w:rPr>
                <w:b/>
                <w:bCs/>
                <w:spacing w:val="-4"/>
              </w:rPr>
              <w:t>获取招标文件截</w:t>
            </w:r>
            <w:r>
              <w:rPr>
                <w:b/>
                <w:bCs/>
                <w:spacing w:val="-5"/>
              </w:rPr>
              <w:t>止时间</w:t>
            </w:r>
          </w:p>
        </w:tc>
        <w:tc>
          <w:tcPr>
            <w:tcW w:w="4278" w:type="dxa"/>
            <w:gridSpan w:val="3"/>
            <w:vAlign w:val="top"/>
          </w:tcPr>
          <w:p w14:paraId="0FA66048">
            <w:pPr>
              <w:pStyle w:val="9"/>
              <w:spacing w:before="132" w:line="220" w:lineRule="auto"/>
              <w:ind w:firstLine="1260" w:firstLineChars="600"/>
            </w:pPr>
            <w:r>
              <mc:AlternateContent>
                <mc:Choice Requires="wps">
                  <w:drawing>
                    <wp:anchor distT="0" distB="0" distL="114300" distR="114300" simplePos="0" relativeHeight="251708416" behindDoc="0" locked="0" layoutInCell="1" allowOverlap="1">
                      <wp:simplePos x="0" y="0"/>
                      <wp:positionH relativeFrom="column">
                        <wp:posOffset>755015</wp:posOffset>
                      </wp:positionH>
                      <wp:positionV relativeFrom="paragraph">
                        <wp:posOffset>210185</wp:posOffset>
                      </wp:positionV>
                      <wp:extent cx="1200150" cy="6350"/>
                      <wp:effectExtent l="0" t="0" r="0" b="0"/>
                      <wp:wrapNone/>
                      <wp:docPr id="5" name="任意多边形 5"/>
                      <wp:cNvGraphicFramePr/>
                      <a:graphic xmlns:a="http://schemas.openxmlformats.org/drawingml/2006/main">
                        <a:graphicData uri="http://schemas.microsoft.com/office/word/2010/wordprocessingShape">
                          <wps:wsp>
                            <wps:cNvSpPr/>
                            <wps:spPr>
                              <a:xfrm>
                                <a:off x="0" y="0"/>
                                <a:ext cx="1200150" cy="6350"/>
                              </a:xfrm>
                              <a:custGeom>
                                <a:avLst/>
                                <a:gdLst/>
                                <a:ahLst/>
                                <a:cxnLst/>
                                <a:pathLst>
                                  <a:path w="1890" h="10">
                                    <a:moveTo>
                                      <a:pt x="0" y="4"/>
                                    </a:moveTo>
                                    <a:lnTo>
                                      <a:pt x="1890"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59.45pt;margin-top:16.55pt;height:0.5pt;width:94.5pt;z-index:251708416;mso-width-relative:page;mso-height-relative:page;" filled="f" stroked="t" coordsize="1890,10" o:gfxdata="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QZFynWAAAACQEAAA8AAAAAAAAAAQAgAAAAIgAAAGRycy9kb3ducmV2&#10;LnhtbFBLAQIUABQAAAAIAIdO4kADmkGzNwIAAJYEAAAOAAAAAAAAAAEAIAAAACUBAABkcnMvZTJv&#10;RG9jLnhtbFBLBQYAAAAABgAGAFkBAADOBQAAAAA=&#10;" path="m0,4l1890,4e">
                      <v:fill on="f" focussize="0,0"/>
                      <v:stroke weight="0.48pt" color="#000000" miterlimit="10" joinstyle="bevel"/>
                      <v:imagedata o:title=""/>
                      <o:lock v:ext="edit" aspectratio="f"/>
                    </v:shape>
                  </w:pict>
                </mc:Fallback>
              </mc:AlternateContent>
            </w:r>
            <w:r>
              <w:rPr>
                <w:rFonts w:hint="eastAsia"/>
                <w:spacing w:val="-8"/>
                <w:lang w:val="en-US" w:eastAsia="zh-CN"/>
              </w:rPr>
              <w:t>2026</w:t>
            </w:r>
            <w:r>
              <w:rPr>
                <w:spacing w:val="-8"/>
              </w:rPr>
              <w:t>年</w:t>
            </w:r>
            <w:r>
              <w:rPr>
                <w:spacing w:val="3"/>
              </w:rPr>
              <w:t xml:space="preserve"> </w:t>
            </w:r>
            <w:r>
              <w:rPr>
                <w:rFonts w:hint="eastAsia"/>
                <w:spacing w:val="3"/>
                <w:lang w:val="en-US" w:eastAsia="zh-CN"/>
              </w:rPr>
              <w:t>05</w:t>
            </w:r>
            <w:r>
              <w:rPr>
                <w:spacing w:val="-8"/>
              </w:rPr>
              <w:t>月</w:t>
            </w:r>
            <w:r>
              <w:rPr>
                <w:spacing w:val="11"/>
              </w:rPr>
              <w:t xml:space="preserve"> </w:t>
            </w:r>
            <w:r>
              <w:rPr>
                <w:rFonts w:hint="eastAsia"/>
                <w:spacing w:val="11"/>
                <w:lang w:val="en-US" w:eastAsia="zh-CN"/>
              </w:rPr>
              <w:t>15</w:t>
            </w:r>
            <w:r>
              <w:rPr>
                <w:spacing w:val="11"/>
              </w:rPr>
              <w:t xml:space="preserve"> </w:t>
            </w:r>
            <w:r>
              <w:rPr>
                <w:spacing w:val="-8"/>
              </w:rPr>
              <w:t>日</w:t>
            </w:r>
          </w:p>
          <w:p w14:paraId="1A7CC1E1">
            <w:pPr>
              <w:pStyle w:val="9"/>
              <w:spacing w:before="62" w:line="220" w:lineRule="auto"/>
              <w:ind w:left="1995"/>
            </w:pPr>
            <w:r>
              <mc:AlternateContent>
                <mc:Choice Requires="wps">
                  <w:drawing>
                    <wp:anchor distT="0" distB="0" distL="114300" distR="114300" simplePos="0" relativeHeight="251707392" behindDoc="0" locked="0" layoutInCell="1" allowOverlap="1">
                      <wp:simplePos x="0" y="0"/>
                      <wp:positionH relativeFrom="column">
                        <wp:posOffset>988695</wp:posOffset>
                      </wp:positionH>
                      <wp:positionV relativeFrom="paragraph">
                        <wp:posOffset>166370</wp:posOffset>
                      </wp:positionV>
                      <wp:extent cx="733425" cy="6350"/>
                      <wp:effectExtent l="0" t="0" r="0" b="0"/>
                      <wp:wrapNone/>
                      <wp:docPr id="7" name="任意多边形 7"/>
                      <wp:cNvGraphicFramePr/>
                      <a:graphic xmlns:a="http://schemas.openxmlformats.org/drawingml/2006/main">
                        <a:graphicData uri="http://schemas.microsoft.com/office/word/2010/wordprocessingShape">
                          <wps:wsp>
                            <wps:cNvSpPr/>
                            <wps:spPr>
                              <a:xfrm>
                                <a:off x="0" y="0"/>
                                <a:ext cx="733425" cy="6350"/>
                              </a:xfrm>
                              <a:custGeom>
                                <a:avLst/>
                                <a:gdLst/>
                                <a:ahLst/>
                                <a:cxnLst/>
                                <a:pathLst>
                                  <a:path w="1155" h="10">
                                    <a:moveTo>
                                      <a:pt x="0" y="4"/>
                                    </a:moveTo>
                                    <a:lnTo>
                                      <a:pt x="1154"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77.85pt;margin-top:13.1pt;height:0.5pt;width:57.75pt;z-index:251707392;mso-width-relative:page;mso-height-relative:page;" filled="f" stroked="t" coordsize="1155,10" o:gfxdata="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l0Oa81AAAAAkBAAAPAAAAAAAAAAEAIAAAACIAAABkcnMvZG93bnJl&#10;di54bWxQSwECFAAUAAAACACHTuJAV8Bs2ToCAACVBAAADgAAAAAAAAABACAAAAAjAQAAZHJzL2Uy&#10;b0RvYy54bWxQSwUGAAAAAAYABgBZAQAAzwUAAAAA&#10;" path="m0,4l1154,4e">
                      <v:fill on="f" focussize="0,0"/>
                      <v:stroke weight="0.48pt" color="#000000" miterlimit="10" joinstyle="bevel"/>
                      <v:imagedata o:title=""/>
                      <o:lock v:ext="edit" aspectratio="f"/>
                    </v:shape>
                  </w:pict>
                </mc:Fallback>
              </mc:AlternateContent>
            </w:r>
            <w:r>
              <w:rPr>
                <w:rFonts w:hint="eastAsia"/>
                <w:spacing w:val="-10"/>
                <w:lang w:val="en-US" w:eastAsia="zh-CN"/>
              </w:rPr>
              <w:t>09</w:t>
            </w:r>
            <w:r>
              <w:rPr>
                <w:spacing w:val="-10"/>
              </w:rPr>
              <w:t>时</w:t>
            </w:r>
            <w:r>
              <w:rPr>
                <w:spacing w:val="3"/>
              </w:rPr>
              <w:t xml:space="preserve"> </w:t>
            </w:r>
            <w:r>
              <w:rPr>
                <w:rFonts w:hint="eastAsia"/>
                <w:spacing w:val="3"/>
                <w:lang w:val="en-US" w:eastAsia="zh-CN"/>
              </w:rPr>
              <w:t>30</w:t>
            </w:r>
            <w:r>
              <w:rPr>
                <w:spacing w:val="-10"/>
              </w:rPr>
              <w:t>分</w:t>
            </w:r>
          </w:p>
        </w:tc>
      </w:tr>
      <w:tr w14:paraId="77961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3" w:hRule="atLeast"/>
        </w:trPr>
        <w:tc>
          <w:tcPr>
            <w:tcW w:w="1581" w:type="dxa"/>
            <w:vAlign w:val="top"/>
          </w:tcPr>
          <w:p w14:paraId="0287584D">
            <w:pPr>
              <w:spacing w:line="267" w:lineRule="auto"/>
              <w:rPr>
                <w:rFonts w:ascii="Arial"/>
                <w:sz w:val="21"/>
              </w:rPr>
            </w:pPr>
          </w:p>
          <w:p w14:paraId="50C83369">
            <w:pPr>
              <w:spacing w:line="267" w:lineRule="auto"/>
              <w:rPr>
                <w:rFonts w:ascii="Arial"/>
                <w:sz w:val="21"/>
              </w:rPr>
            </w:pPr>
          </w:p>
          <w:p w14:paraId="39BC5373">
            <w:pPr>
              <w:spacing w:line="267" w:lineRule="auto"/>
              <w:rPr>
                <w:rFonts w:ascii="Arial"/>
                <w:sz w:val="21"/>
              </w:rPr>
            </w:pPr>
          </w:p>
          <w:p w14:paraId="2D161ED2">
            <w:pPr>
              <w:spacing w:line="268" w:lineRule="auto"/>
              <w:rPr>
                <w:rFonts w:ascii="Arial"/>
                <w:sz w:val="21"/>
              </w:rPr>
            </w:pPr>
          </w:p>
          <w:p w14:paraId="1C0DF4CB">
            <w:pPr>
              <w:pStyle w:val="9"/>
              <w:spacing w:before="69" w:line="277" w:lineRule="auto"/>
              <w:ind w:left="374" w:right="155" w:hanging="208"/>
            </w:pPr>
            <w:r>
              <w:rPr>
                <w:b/>
                <w:bCs/>
                <w:spacing w:val="-4"/>
              </w:rPr>
              <w:t>递交投标文件截止时间</w:t>
            </w:r>
          </w:p>
        </w:tc>
        <w:tc>
          <w:tcPr>
            <w:tcW w:w="2114" w:type="dxa"/>
            <w:vAlign w:val="top"/>
          </w:tcPr>
          <w:p w14:paraId="5D5BC092">
            <w:pPr>
              <w:spacing w:line="267" w:lineRule="auto"/>
              <w:rPr>
                <w:rFonts w:ascii="Arial"/>
                <w:sz w:val="21"/>
              </w:rPr>
            </w:pPr>
          </w:p>
          <w:p w14:paraId="529027DD">
            <w:pPr>
              <w:spacing w:line="267" w:lineRule="auto"/>
              <w:rPr>
                <w:rFonts w:ascii="Arial"/>
                <w:sz w:val="21"/>
              </w:rPr>
            </w:pPr>
          </w:p>
          <w:p w14:paraId="310D25C7">
            <w:pPr>
              <w:spacing w:line="268" w:lineRule="auto"/>
              <w:rPr>
                <w:rFonts w:ascii="Arial"/>
                <w:sz w:val="21"/>
              </w:rPr>
            </w:pPr>
          </w:p>
          <w:p w14:paraId="7AC42A96">
            <w:pPr>
              <w:spacing w:line="268" w:lineRule="auto"/>
              <w:rPr>
                <w:rFonts w:ascii="Arial"/>
                <w:sz w:val="21"/>
              </w:rPr>
            </w:pPr>
          </w:p>
          <w:p w14:paraId="6777F69D">
            <w:pPr>
              <w:pStyle w:val="9"/>
              <w:spacing w:before="68" w:line="220" w:lineRule="auto"/>
              <w:ind w:firstLine="210" w:firstLineChars="100"/>
            </w:pPr>
            <w:r>
              <mc:AlternateContent>
                <mc:Choice Requires="wps">
                  <w:drawing>
                    <wp:anchor distT="0" distB="0" distL="114300" distR="114300" simplePos="0" relativeHeight="251710464" behindDoc="0" locked="0" layoutInCell="1" allowOverlap="1">
                      <wp:simplePos x="0" y="0"/>
                      <wp:positionH relativeFrom="column">
                        <wp:posOffset>101600</wp:posOffset>
                      </wp:positionH>
                      <wp:positionV relativeFrom="paragraph">
                        <wp:posOffset>170815</wp:posOffset>
                      </wp:positionV>
                      <wp:extent cx="1134110" cy="6350"/>
                      <wp:effectExtent l="0" t="0" r="0" b="0"/>
                      <wp:wrapNone/>
                      <wp:docPr id="16" name="任意多边形 16"/>
                      <wp:cNvGraphicFramePr/>
                      <a:graphic xmlns:a="http://schemas.openxmlformats.org/drawingml/2006/main">
                        <a:graphicData uri="http://schemas.microsoft.com/office/word/2010/wordprocessingShape">
                          <wps:wsp>
                            <wps:cNvSpPr/>
                            <wps:spPr>
                              <a:xfrm>
                                <a:off x="0" y="0"/>
                                <a:ext cx="1134110" cy="6350"/>
                              </a:xfrm>
                              <a:custGeom>
                                <a:avLst/>
                                <a:gdLst/>
                                <a:ahLst/>
                                <a:cxnLst/>
                                <a:pathLst>
                                  <a:path w="1786" h="10">
                                    <a:moveTo>
                                      <a:pt x="0" y="4"/>
                                    </a:moveTo>
                                    <a:lnTo>
                                      <a:pt x="1785"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8pt;margin-top:13.45pt;height:0.5pt;width:89.3pt;z-index:251710464;mso-width-relative:page;mso-height-relative:page;" filled="f" stroked="t" coordsize="1786,10" o:gfxdata="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E0tNE1QAAAAgBAAAPAAAAAAAAAAEAIAAAACIAAABkcnMvZG93&#10;bnJldi54bWxQSwECFAAUAAAACACHTuJAaMH5zzwCAACYBAAADgAAAAAAAAABACAAAAAkAQAAZHJz&#10;L2Uyb0RvYy54bWxQSwUGAAAAAAYABgBZAQAA0gUAAAAA&#10;" path="m0,4l1785,4e">
                      <v:fill on="f" focussize="0,0"/>
                      <v:stroke weight="0.48pt" color="#000000" miterlimit="10" joinstyle="bevel"/>
                      <v:imagedata o:title=""/>
                      <o:lock v:ext="edit" aspectratio="f"/>
                    </v:shape>
                  </w:pict>
                </mc:Fallback>
              </mc:AlternateContent>
            </w:r>
            <w:r>
              <w:rPr>
                <w:rFonts w:hint="eastAsia"/>
                <w:spacing w:val="-8"/>
                <w:lang w:val="en-US" w:eastAsia="zh-CN"/>
              </w:rPr>
              <w:t>2026</w:t>
            </w:r>
            <w:r>
              <w:rPr>
                <w:spacing w:val="-8"/>
              </w:rPr>
              <w:t>年</w:t>
            </w:r>
            <w:r>
              <w:rPr>
                <w:rFonts w:hint="eastAsia"/>
                <w:spacing w:val="3"/>
                <w:lang w:val="en-US" w:eastAsia="zh-CN"/>
              </w:rPr>
              <w:t>05</w:t>
            </w:r>
            <w:r>
              <w:rPr>
                <w:spacing w:val="3"/>
              </w:rPr>
              <w:t xml:space="preserve"> </w:t>
            </w:r>
            <w:r>
              <w:rPr>
                <w:spacing w:val="-8"/>
              </w:rPr>
              <w:t>月</w:t>
            </w:r>
            <w:r>
              <w:rPr>
                <w:spacing w:val="11"/>
              </w:rPr>
              <w:t xml:space="preserve"> </w:t>
            </w:r>
            <w:r>
              <w:rPr>
                <w:rFonts w:hint="eastAsia"/>
                <w:spacing w:val="3"/>
                <w:lang w:val="en-US" w:eastAsia="zh-CN"/>
              </w:rPr>
              <w:t>15</w:t>
            </w:r>
            <w:r>
              <w:rPr>
                <w:spacing w:val="11"/>
              </w:rPr>
              <w:t xml:space="preserve"> </w:t>
            </w:r>
            <w:r>
              <w:rPr>
                <w:spacing w:val="-8"/>
              </w:rPr>
              <w:t>日</w:t>
            </w:r>
          </w:p>
          <w:p w14:paraId="70746265">
            <w:pPr>
              <w:pStyle w:val="9"/>
              <w:spacing w:before="62" w:line="220" w:lineRule="auto"/>
              <w:ind w:left="860"/>
            </w:pPr>
            <w:r>
              <mc:AlternateContent>
                <mc:Choice Requires="wps">
                  <w:drawing>
                    <wp:anchor distT="0" distB="0" distL="114300" distR="114300" simplePos="0" relativeHeight="251711488" behindDoc="0" locked="0" layoutInCell="1" allowOverlap="1">
                      <wp:simplePos x="0" y="0"/>
                      <wp:positionH relativeFrom="column">
                        <wp:posOffset>334645</wp:posOffset>
                      </wp:positionH>
                      <wp:positionV relativeFrom="paragraph">
                        <wp:posOffset>167005</wp:posOffset>
                      </wp:positionV>
                      <wp:extent cx="666750" cy="6350"/>
                      <wp:effectExtent l="0" t="0" r="0" b="0"/>
                      <wp:wrapNone/>
                      <wp:docPr id="10" name="任意多边形 10"/>
                      <wp:cNvGraphicFramePr/>
                      <a:graphic xmlns:a="http://schemas.openxmlformats.org/drawingml/2006/main">
                        <a:graphicData uri="http://schemas.microsoft.com/office/word/2010/wordprocessingShape">
                          <wps:wsp>
                            <wps:cNvSpPr/>
                            <wps:spPr>
                              <a:xfrm>
                                <a:off x="0" y="0"/>
                                <a:ext cx="666750" cy="6350"/>
                              </a:xfrm>
                              <a:custGeom>
                                <a:avLst/>
                                <a:gdLst/>
                                <a:ahLst/>
                                <a:cxnLst/>
                                <a:pathLst>
                                  <a:path w="1050" h="10">
                                    <a:moveTo>
                                      <a:pt x="0" y="4"/>
                                    </a:moveTo>
                                    <a:lnTo>
                                      <a:pt x="1050" y="4"/>
                                    </a:lnTo>
                                  </a:path>
                                </a:pathLst>
                              </a:custGeom>
                              <a:noFill/>
                              <a:ln w="6096"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26.35pt;margin-top:13.15pt;height:0.5pt;width:52.5pt;z-index:251711488;mso-width-relative:page;mso-height-relative:page;" filled="f" stroked="t" coordsize="1050,10" o:gfxdata="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nHeIdgAAAAIAQAADwAAAAAAAAABACAAAAAiAAAAZHJzL2Rvd25yZXYu&#10;eG1sUEsBAhQAFAAAAAgAh07iQC0pPww0AgAAlwQAAA4AAAAAAAAAAQAgAAAAJwEAAGRycy9lMm9E&#10;b2MueG1sUEsFBgAAAAAGAAYAWQEAAM0FAAAAAA==&#10;" path="m0,4l1050,4e">
                      <v:fill on="f" focussize="0,0"/>
                      <v:stroke weight="0.48pt" color="#000000" miterlimit="10" joinstyle="bevel"/>
                      <v:imagedata o:title=""/>
                      <o:lock v:ext="edit" aspectratio="f"/>
                    </v:shape>
                  </w:pict>
                </mc:Fallback>
              </mc:AlternateContent>
            </w:r>
            <w:r>
              <w:rPr>
                <w:rFonts w:hint="eastAsia"/>
                <w:spacing w:val="-10"/>
                <w:lang w:val="en-US" w:eastAsia="zh-CN"/>
              </w:rPr>
              <w:t>09</w:t>
            </w:r>
            <w:r>
              <w:rPr>
                <w:spacing w:val="-10"/>
              </w:rPr>
              <w:t>时</w:t>
            </w:r>
            <w:r>
              <w:rPr>
                <w:spacing w:val="3"/>
              </w:rPr>
              <w:t xml:space="preserve"> </w:t>
            </w:r>
            <w:r>
              <w:rPr>
                <w:rFonts w:hint="eastAsia"/>
                <w:spacing w:val="3"/>
                <w:lang w:val="en-US" w:eastAsia="zh-CN"/>
              </w:rPr>
              <w:t>30</w:t>
            </w:r>
            <w:r>
              <w:rPr>
                <w:spacing w:val="3"/>
              </w:rPr>
              <w:t xml:space="preserve"> </w:t>
            </w:r>
            <w:r>
              <w:rPr>
                <w:spacing w:val="-10"/>
              </w:rPr>
              <w:t>分</w:t>
            </w:r>
          </w:p>
        </w:tc>
        <w:tc>
          <w:tcPr>
            <w:tcW w:w="1724" w:type="dxa"/>
            <w:gridSpan w:val="2"/>
            <w:vAlign w:val="top"/>
          </w:tcPr>
          <w:p w14:paraId="0B34EED3">
            <w:pPr>
              <w:spacing w:line="267" w:lineRule="auto"/>
              <w:rPr>
                <w:rFonts w:ascii="Arial"/>
                <w:sz w:val="21"/>
              </w:rPr>
            </w:pPr>
          </w:p>
          <w:p w14:paraId="24FD92CE">
            <w:pPr>
              <w:spacing w:line="267" w:lineRule="auto"/>
              <w:rPr>
                <w:rFonts w:ascii="Arial"/>
                <w:sz w:val="21"/>
              </w:rPr>
            </w:pPr>
          </w:p>
          <w:p w14:paraId="21D8361E">
            <w:pPr>
              <w:spacing w:line="268" w:lineRule="auto"/>
              <w:rPr>
                <w:rFonts w:ascii="Arial"/>
                <w:sz w:val="21"/>
              </w:rPr>
            </w:pPr>
          </w:p>
          <w:p w14:paraId="771648BF">
            <w:pPr>
              <w:spacing w:line="268" w:lineRule="auto"/>
              <w:rPr>
                <w:rFonts w:ascii="Arial"/>
                <w:sz w:val="21"/>
              </w:rPr>
            </w:pPr>
          </w:p>
          <w:p w14:paraId="192C5F17">
            <w:pPr>
              <w:pStyle w:val="9"/>
              <w:spacing w:before="68" w:line="277" w:lineRule="auto"/>
              <w:ind w:left="764" w:right="121" w:hanging="631"/>
            </w:pPr>
            <w:r>
              <w:rPr>
                <w:b/>
                <w:bCs/>
                <w:spacing w:val="-4"/>
              </w:rPr>
              <w:t>投标文件递交方</w:t>
            </w:r>
            <w:r>
              <w:rPr>
                <w:b/>
                <w:bCs/>
                <w:spacing w:val="-3"/>
              </w:rPr>
              <w:t>式</w:t>
            </w:r>
          </w:p>
        </w:tc>
        <w:tc>
          <w:tcPr>
            <w:tcW w:w="4278" w:type="dxa"/>
            <w:gridSpan w:val="3"/>
            <w:vAlign w:val="top"/>
          </w:tcPr>
          <w:p w14:paraId="276495B7">
            <w:pPr>
              <w:widowControl/>
              <w:spacing w:line="360" w:lineRule="auto"/>
              <w:textAlignment w:val="center"/>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lang w:eastAsia="zh-CN" w:bidi="ar"/>
              </w:rPr>
              <w:t>投标人应在截止时间前通过</w:t>
            </w:r>
            <w:r>
              <w:rPr>
                <w:rFonts w:hint="eastAsia" w:ascii="宋体" w:hAnsi="宋体" w:eastAsia="宋体" w:cs="宋体"/>
                <w:b/>
                <w:bCs/>
                <w:color w:val="auto"/>
                <w:sz w:val="21"/>
                <w:szCs w:val="21"/>
                <w:highlight w:val="none"/>
                <w:lang w:eastAsia="zh-CN" w:bidi="ar"/>
              </w:rPr>
              <w:t>云浮市公共资源交易服务平台（https://jyzx.yunfu.gov.cn）</w:t>
            </w:r>
            <w:r>
              <w:rPr>
                <w:rFonts w:hint="eastAsia" w:ascii="宋体" w:hAnsi="宋体" w:eastAsia="宋体" w:cs="宋体"/>
                <w:color w:val="auto"/>
                <w:sz w:val="21"/>
                <w:szCs w:val="21"/>
                <w:highlight w:val="none"/>
                <w:lang w:eastAsia="zh-CN" w:bidi="ar"/>
              </w:rPr>
              <w:t>递交电子投标文件。投标人应在递交电子投标文件截止时间前，登录云浮市公共资源交易服务平台办理网上投标登记手续。按照云浮市公共资源交易服务平台关于全流程电子化项目的相关指南进行操作。详见广东省公共资源交易平台</w:t>
            </w:r>
          </w:p>
          <w:p w14:paraId="14319B33">
            <w:pPr>
              <w:pStyle w:val="9"/>
              <w:spacing w:before="49" w:line="269" w:lineRule="auto"/>
              <w:ind w:left="116" w:right="110" w:firstLine="4"/>
              <w:jc w:val="both"/>
            </w:pPr>
            <w:r>
              <w:rPr>
                <w:rFonts w:hint="eastAsia" w:cs="宋体"/>
                <w:color w:val="auto"/>
                <w:sz w:val="21"/>
                <w:szCs w:val="21"/>
                <w:highlight w:val="none"/>
                <w:lang w:eastAsia="zh-CN" w:bidi="ar"/>
              </w:rPr>
              <w:t>(</w:t>
            </w:r>
            <w:r>
              <w:rPr>
                <w:rFonts w:hint="eastAsia" w:ascii="宋体" w:hAnsi="宋体" w:eastAsia="宋体" w:cs="宋体"/>
                <w:color w:val="auto"/>
                <w:sz w:val="21"/>
                <w:szCs w:val="21"/>
                <w:highlight w:val="none"/>
                <w:lang w:eastAsia="zh-CN" w:bidi="ar"/>
              </w:rPr>
              <w:t>https://ygp.gdzwfw.gov.cn/#/445300/index）。逾期上传的电子投标文件，云浮市公共资源交易服务平台将予以拒收。</w:t>
            </w:r>
          </w:p>
        </w:tc>
      </w:tr>
      <w:tr w14:paraId="175F0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top"/>
          </w:tcPr>
          <w:p w14:paraId="2FB767D5">
            <w:pPr>
              <w:pStyle w:val="9"/>
              <w:spacing w:before="180" w:line="220" w:lineRule="auto"/>
              <w:ind w:left="376"/>
            </w:pPr>
            <w:r>
              <w:rPr>
                <w:b/>
                <w:bCs/>
                <w:spacing w:val="-4"/>
              </w:rPr>
              <w:t>开标时间</w:t>
            </w:r>
          </w:p>
        </w:tc>
        <w:tc>
          <w:tcPr>
            <w:tcW w:w="2114" w:type="dxa"/>
            <w:vAlign w:val="top"/>
          </w:tcPr>
          <w:p w14:paraId="37C21FE1">
            <w:pPr>
              <w:pStyle w:val="9"/>
              <w:spacing w:before="68" w:line="220" w:lineRule="auto"/>
              <w:ind w:left="-2" w:leftChars="0" w:firstLine="0" w:firstLineChars="0"/>
            </w:pPr>
            <w:r>
              <w:rPr>
                <w:rFonts w:hint="eastAsia" w:cs="宋体"/>
                <w:snapToGrid/>
                <w:color w:val="auto"/>
                <w:kern w:val="2"/>
                <w:sz w:val="21"/>
                <w:szCs w:val="21"/>
                <w:highlight w:val="none"/>
                <w:u w:val="single"/>
                <w:lang w:val="en-US" w:eastAsia="zh-CN" w:bidi="ar-SA"/>
              </w:rPr>
              <w:t>2026</w:t>
            </w:r>
            <w:r>
              <w:rPr>
                <w:rFonts w:hint="eastAsia" w:ascii="宋体" w:hAnsi="宋体" w:eastAsia="宋体" w:cs="宋体"/>
                <w:snapToGrid/>
                <w:color w:val="auto"/>
                <w:kern w:val="2"/>
                <w:sz w:val="21"/>
                <w:szCs w:val="21"/>
                <w:highlight w:val="none"/>
                <w:u w:val="single"/>
                <w:lang w:val="en-US" w:eastAsia="zh-CN" w:bidi="ar-SA"/>
              </w:rPr>
              <w:t xml:space="preserve">年 </w:t>
            </w:r>
            <w:r>
              <w:rPr>
                <w:rFonts w:hint="eastAsia" w:cs="宋体"/>
                <w:snapToGrid/>
                <w:color w:val="auto"/>
                <w:kern w:val="2"/>
                <w:sz w:val="21"/>
                <w:szCs w:val="21"/>
                <w:highlight w:val="none"/>
                <w:u w:val="single"/>
                <w:lang w:val="en-US" w:eastAsia="zh-CN" w:bidi="ar-SA"/>
              </w:rPr>
              <w:t>05</w:t>
            </w:r>
            <w:r>
              <w:rPr>
                <w:rFonts w:hint="eastAsia" w:ascii="宋体" w:hAnsi="宋体" w:eastAsia="宋体" w:cs="宋体"/>
                <w:snapToGrid/>
                <w:color w:val="auto"/>
                <w:kern w:val="2"/>
                <w:sz w:val="21"/>
                <w:szCs w:val="21"/>
                <w:highlight w:val="none"/>
                <w:u w:val="single"/>
                <w:lang w:val="en-US" w:eastAsia="zh-CN" w:bidi="ar-SA"/>
              </w:rPr>
              <w:t xml:space="preserve"> 月 </w:t>
            </w:r>
            <w:r>
              <w:rPr>
                <w:rFonts w:hint="eastAsia" w:cs="宋体"/>
                <w:snapToGrid/>
                <w:color w:val="auto"/>
                <w:kern w:val="2"/>
                <w:sz w:val="21"/>
                <w:szCs w:val="21"/>
                <w:highlight w:val="none"/>
                <w:u w:val="single"/>
                <w:lang w:val="en-US" w:eastAsia="zh-CN" w:bidi="ar-SA"/>
              </w:rPr>
              <w:t>15</w:t>
            </w:r>
            <w:r>
              <w:rPr>
                <w:rFonts w:hint="eastAsia" w:ascii="宋体" w:hAnsi="宋体" w:eastAsia="宋体" w:cs="宋体"/>
                <w:snapToGrid/>
                <w:color w:val="auto"/>
                <w:kern w:val="2"/>
                <w:sz w:val="21"/>
                <w:szCs w:val="21"/>
                <w:highlight w:val="none"/>
                <w:u w:val="single"/>
                <w:lang w:val="en-US" w:eastAsia="zh-CN" w:bidi="ar-SA"/>
              </w:rPr>
              <w:t xml:space="preserve"> 日</w:t>
            </w:r>
            <w:r>
              <w:rPr>
                <w:rFonts w:hint="eastAsia" w:cs="宋体"/>
                <w:snapToGrid/>
                <w:color w:val="auto"/>
                <w:kern w:val="2"/>
                <w:sz w:val="21"/>
                <w:szCs w:val="21"/>
                <w:highlight w:val="none"/>
                <w:u w:val="single"/>
                <w:lang w:val="en-US" w:eastAsia="zh-CN" w:bidi="ar-SA"/>
              </w:rPr>
              <w:t xml:space="preserve"> 09 </w:t>
            </w:r>
            <w:r>
              <w:rPr>
                <w:rFonts w:hint="eastAsia" w:ascii="宋体" w:hAnsi="宋体" w:eastAsia="宋体" w:cs="宋体"/>
                <w:snapToGrid/>
                <w:color w:val="auto"/>
                <w:kern w:val="2"/>
                <w:sz w:val="21"/>
                <w:szCs w:val="21"/>
                <w:highlight w:val="none"/>
                <w:u w:val="single"/>
                <w:lang w:val="en-US" w:eastAsia="zh-CN" w:bidi="ar-SA"/>
              </w:rPr>
              <w:t xml:space="preserve">时 </w:t>
            </w:r>
            <w:r>
              <w:rPr>
                <w:rFonts w:hint="eastAsia" w:cs="宋体"/>
                <w:snapToGrid/>
                <w:color w:val="auto"/>
                <w:kern w:val="2"/>
                <w:sz w:val="21"/>
                <w:szCs w:val="21"/>
                <w:highlight w:val="none"/>
                <w:u w:val="single"/>
                <w:lang w:val="en-US" w:eastAsia="zh-CN" w:bidi="ar-SA"/>
              </w:rPr>
              <w:t>30</w:t>
            </w:r>
            <w:r>
              <w:rPr>
                <w:rFonts w:hint="eastAsia" w:ascii="宋体" w:hAnsi="宋体" w:eastAsia="宋体" w:cs="宋体"/>
                <w:snapToGrid/>
                <w:color w:val="auto"/>
                <w:kern w:val="2"/>
                <w:sz w:val="21"/>
                <w:szCs w:val="21"/>
                <w:highlight w:val="none"/>
                <w:u w:val="single"/>
                <w:lang w:val="en-US" w:eastAsia="zh-CN" w:bidi="ar-SA"/>
              </w:rPr>
              <w:t xml:space="preserve"> 分</w:t>
            </w:r>
            <w:r>
              <w:rPr>
                <w:rFonts w:hint="eastAsia" w:ascii="宋体" w:hAnsi="宋体" w:eastAsia="宋体" w:cs="宋体"/>
                <w:snapToGrid/>
                <w:color w:val="auto"/>
                <w:kern w:val="2"/>
                <w:sz w:val="21"/>
                <w:szCs w:val="21"/>
                <w:highlight w:val="none"/>
                <w:lang w:val="en-US" w:eastAsia="zh-CN" w:bidi="ar-SA"/>
              </w:rPr>
              <w:t>（与投标截止时间为同一时间）</w:t>
            </w:r>
          </w:p>
        </w:tc>
        <w:tc>
          <w:tcPr>
            <w:tcW w:w="1724" w:type="dxa"/>
            <w:gridSpan w:val="2"/>
            <w:vAlign w:val="top"/>
          </w:tcPr>
          <w:p w14:paraId="38704D87">
            <w:pPr>
              <w:pStyle w:val="9"/>
              <w:spacing w:before="180" w:line="220" w:lineRule="auto"/>
              <w:ind w:left="447"/>
            </w:pPr>
            <w:r>
              <w:rPr>
                <w:b/>
                <w:bCs/>
                <w:spacing w:val="-5"/>
              </w:rPr>
              <w:t>开标地点</w:t>
            </w:r>
          </w:p>
        </w:tc>
        <w:tc>
          <w:tcPr>
            <w:tcW w:w="4278" w:type="dxa"/>
            <w:gridSpan w:val="3"/>
            <w:vAlign w:val="top"/>
          </w:tcPr>
          <w:p w14:paraId="417DB786">
            <w:pPr>
              <w:pStyle w:val="9"/>
              <w:tabs>
                <w:tab w:val="left" w:pos="545"/>
              </w:tabs>
              <w:spacing w:before="179" w:line="220" w:lineRule="auto"/>
              <w:ind w:left="110"/>
            </w:pPr>
            <w:r>
              <w:rPr>
                <w:rFonts w:hint="eastAsia" w:ascii="宋体" w:hAnsi="宋体" w:eastAsia="宋体" w:cs="宋体"/>
                <w:snapToGrid w:val="0"/>
                <w:color w:val="auto"/>
                <w:kern w:val="0"/>
                <w:sz w:val="21"/>
                <w:szCs w:val="21"/>
                <w:highlight w:val="none"/>
                <w:lang w:val="en-US" w:eastAsia="zh-CN" w:bidi="ar"/>
              </w:rPr>
              <w:t>云浮市公共资源交易服务平台（云开标大厅）</w:t>
            </w:r>
          </w:p>
        </w:tc>
      </w:tr>
      <w:tr w14:paraId="1E4C8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top"/>
          </w:tcPr>
          <w:p w14:paraId="25758DE1">
            <w:pPr>
              <w:spacing w:line="251" w:lineRule="auto"/>
              <w:rPr>
                <w:rFonts w:ascii="Arial"/>
                <w:sz w:val="21"/>
              </w:rPr>
            </w:pPr>
          </w:p>
          <w:p w14:paraId="6087B621">
            <w:pPr>
              <w:pStyle w:val="9"/>
              <w:spacing w:before="69" w:line="218" w:lineRule="auto"/>
              <w:ind w:left="168" w:leftChars="0"/>
              <w:rPr>
                <w:b/>
                <w:bCs/>
                <w:spacing w:val="-4"/>
              </w:rPr>
            </w:pPr>
            <w:r>
              <w:rPr>
                <w:b/>
                <w:bCs/>
                <w:spacing w:val="-4"/>
              </w:rPr>
              <w:t>发布公告媒介</w:t>
            </w:r>
          </w:p>
        </w:tc>
        <w:tc>
          <w:tcPr>
            <w:tcW w:w="8116" w:type="dxa"/>
            <w:gridSpan w:val="6"/>
            <w:vAlign w:val="center"/>
          </w:tcPr>
          <w:p w14:paraId="333702DD">
            <w:pPr>
              <w:pStyle w:val="9"/>
              <w:spacing w:before="164" w:line="276" w:lineRule="auto"/>
              <w:ind w:right="111" w:rightChars="0"/>
              <w:jc w:val="center"/>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color w:val="auto"/>
                <w:kern w:val="2"/>
                <w:sz w:val="21"/>
                <w:szCs w:val="21"/>
                <w:highlight w:val="none"/>
                <w:lang w:val="en-US" w:eastAsia="zh-CN" w:bidi="ar"/>
              </w:rPr>
              <w:t>广东省招标投标监管网、广东省公共资源交易平台、云浮市公共资源交易服务平台</w:t>
            </w:r>
          </w:p>
        </w:tc>
      </w:tr>
      <w:tr w14:paraId="522A9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top"/>
          </w:tcPr>
          <w:p w14:paraId="4925A784">
            <w:pPr>
              <w:pStyle w:val="9"/>
              <w:spacing w:before="177" w:line="220" w:lineRule="auto"/>
              <w:ind w:left="481" w:leftChars="0"/>
              <w:rPr>
                <w:b/>
                <w:bCs/>
                <w:spacing w:val="-4"/>
              </w:rPr>
            </w:pPr>
            <w:r>
              <w:rPr>
                <w:b/>
                <w:bCs/>
                <w:spacing w:val="-5"/>
              </w:rPr>
              <w:t>招标人</w:t>
            </w:r>
          </w:p>
        </w:tc>
        <w:tc>
          <w:tcPr>
            <w:tcW w:w="2114" w:type="dxa"/>
            <w:vAlign w:val="center"/>
          </w:tcPr>
          <w:p w14:paraId="7CEEF01E">
            <w:pPr>
              <w:widowControl w:val="0"/>
              <w:kinsoku/>
              <w:autoSpaceDE/>
              <w:autoSpaceDN/>
              <w:adjustRightInd/>
              <w:snapToGrid/>
              <w:spacing w:line="360" w:lineRule="auto"/>
              <w:jc w:val="center"/>
              <w:textAlignment w:val="auto"/>
              <w:rPr>
                <w:rFonts w:hint="eastAsia" w:ascii="宋体" w:hAnsi="宋体" w:eastAsia="宋体" w:cs="宋体"/>
                <w:snapToGrid/>
                <w:color w:val="auto"/>
                <w:kern w:val="2"/>
                <w:sz w:val="21"/>
                <w:szCs w:val="21"/>
                <w:highlight w:val="none"/>
                <w:u w:val="single"/>
                <w:lang w:val="en-US" w:eastAsia="zh-CN" w:bidi="ar-SA"/>
              </w:rPr>
            </w:pPr>
            <w:r>
              <w:rPr>
                <w:rFonts w:hint="eastAsia" w:ascii="宋体" w:hAnsi="宋体" w:cs="宋体"/>
                <w:snapToGrid/>
                <w:color w:val="auto"/>
                <w:kern w:val="2"/>
                <w:sz w:val="21"/>
                <w:szCs w:val="21"/>
                <w:highlight w:val="none"/>
                <w:lang w:val="en-US" w:eastAsia="zh-CN"/>
              </w:rPr>
              <w:t>云浮市</w:t>
            </w:r>
            <w:r>
              <w:rPr>
                <w:rFonts w:hint="eastAsia" w:ascii="宋体" w:hAnsi="宋体" w:eastAsia="宋体" w:cs="宋体"/>
                <w:snapToGrid/>
                <w:color w:val="auto"/>
                <w:kern w:val="2"/>
                <w:sz w:val="21"/>
                <w:szCs w:val="21"/>
                <w:highlight w:val="none"/>
                <w:lang w:val="en-US" w:eastAsia="zh-CN"/>
              </w:rPr>
              <w:t>云安区地方公路和交通运输管理站</w:t>
            </w:r>
          </w:p>
        </w:tc>
        <w:tc>
          <w:tcPr>
            <w:tcW w:w="1724" w:type="dxa"/>
            <w:gridSpan w:val="2"/>
            <w:vAlign w:val="top"/>
          </w:tcPr>
          <w:p w14:paraId="38B51877">
            <w:pPr>
              <w:pStyle w:val="9"/>
              <w:spacing w:before="176" w:line="222" w:lineRule="auto"/>
              <w:ind w:left="447" w:leftChars="0"/>
              <w:rPr>
                <w:b/>
                <w:bCs/>
                <w:spacing w:val="-5"/>
              </w:rPr>
            </w:pPr>
            <w:r>
              <w:rPr>
                <w:b/>
                <w:bCs/>
                <w:spacing w:val="-5"/>
                <w:sz w:val="21"/>
                <w:szCs w:val="21"/>
              </w:rPr>
              <w:t>联系地址</w:t>
            </w:r>
          </w:p>
        </w:tc>
        <w:tc>
          <w:tcPr>
            <w:tcW w:w="4278" w:type="dxa"/>
            <w:gridSpan w:val="3"/>
            <w:vAlign w:val="center"/>
          </w:tcPr>
          <w:p w14:paraId="678C0E08">
            <w:pPr>
              <w:spacing w:line="360" w:lineRule="auto"/>
              <w:jc w:val="center"/>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color w:val="auto"/>
                <w:sz w:val="21"/>
                <w:szCs w:val="21"/>
                <w:highlight w:val="none"/>
                <w:lang w:eastAsia="zh-CN"/>
              </w:rPr>
              <w:t>广东省云浮市云安区云泰大道云聚花园1号楼6楼</w:t>
            </w:r>
          </w:p>
        </w:tc>
      </w:tr>
      <w:tr w14:paraId="6C85C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top"/>
          </w:tcPr>
          <w:p w14:paraId="6DF97D21">
            <w:pPr>
              <w:pStyle w:val="9"/>
              <w:spacing w:before="177" w:line="220" w:lineRule="auto"/>
              <w:ind w:left="166" w:leftChars="0"/>
              <w:rPr>
                <w:b/>
                <w:bCs/>
                <w:spacing w:val="-4"/>
              </w:rPr>
            </w:pPr>
            <w:r>
              <w:rPr>
                <w:b/>
                <w:bCs/>
                <w:spacing w:val="-4"/>
              </w:rPr>
              <w:t>招标人联系人</w:t>
            </w:r>
          </w:p>
        </w:tc>
        <w:tc>
          <w:tcPr>
            <w:tcW w:w="2114" w:type="dxa"/>
            <w:vAlign w:val="center"/>
          </w:tcPr>
          <w:p w14:paraId="7168CB6C">
            <w:pPr>
              <w:widowControl w:val="0"/>
              <w:kinsoku/>
              <w:autoSpaceDE/>
              <w:autoSpaceDN/>
              <w:adjustRightInd/>
              <w:snapToGrid/>
              <w:spacing w:line="360" w:lineRule="auto"/>
              <w:jc w:val="center"/>
              <w:textAlignment w:val="auto"/>
              <w:rPr>
                <w:rFonts w:hint="eastAsia" w:ascii="宋体" w:hAnsi="宋体" w:eastAsia="宋体" w:cs="宋体"/>
                <w:snapToGrid/>
                <w:color w:val="auto"/>
                <w:kern w:val="2"/>
                <w:sz w:val="21"/>
                <w:szCs w:val="21"/>
                <w:highlight w:val="none"/>
                <w:u w:val="single"/>
                <w:lang w:val="en-US" w:eastAsia="zh-CN" w:bidi="ar-SA"/>
              </w:rPr>
            </w:pPr>
            <w:r>
              <w:rPr>
                <w:rFonts w:hint="eastAsia" w:ascii="宋体" w:hAnsi="宋体" w:eastAsia="宋体" w:cs="宋体"/>
                <w:snapToGrid/>
                <w:color w:val="auto"/>
                <w:kern w:val="2"/>
                <w:sz w:val="21"/>
                <w:szCs w:val="21"/>
                <w:highlight w:val="none"/>
                <w:lang w:val="en-US" w:eastAsia="zh-CN"/>
              </w:rPr>
              <w:t>欧先生</w:t>
            </w:r>
          </w:p>
        </w:tc>
        <w:tc>
          <w:tcPr>
            <w:tcW w:w="1724" w:type="dxa"/>
            <w:gridSpan w:val="2"/>
            <w:vAlign w:val="top"/>
          </w:tcPr>
          <w:p w14:paraId="5841A0C8">
            <w:pPr>
              <w:pStyle w:val="9"/>
              <w:spacing w:before="176" w:line="222" w:lineRule="auto"/>
              <w:ind w:left="447" w:leftChars="0"/>
              <w:rPr>
                <w:b/>
                <w:bCs/>
                <w:spacing w:val="-5"/>
              </w:rPr>
            </w:pPr>
            <w:r>
              <w:rPr>
                <w:b/>
                <w:bCs/>
                <w:spacing w:val="-5"/>
                <w:sz w:val="21"/>
                <w:szCs w:val="21"/>
              </w:rPr>
              <w:t>联系电话</w:t>
            </w:r>
          </w:p>
        </w:tc>
        <w:tc>
          <w:tcPr>
            <w:tcW w:w="4278" w:type="dxa"/>
            <w:gridSpan w:val="3"/>
            <w:vAlign w:val="center"/>
          </w:tcPr>
          <w:p w14:paraId="43C34504">
            <w:pPr>
              <w:spacing w:line="360" w:lineRule="auto"/>
              <w:jc w:val="center"/>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color w:val="auto"/>
                <w:sz w:val="21"/>
                <w:szCs w:val="21"/>
                <w:highlight w:val="none"/>
                <w:lang w:eastAsia="zh-CN"/>
              </w:rPr>
              <w:t>0766-8638020</w:t>
            </w:r>
          </w:p>
        </w:tc>
      </w:tr>
      <w:tr w14:paraId="6136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top"/>
          </w:tcPr>
          <w:p w14:paraId="7DEC1AEC">
            <w:pPr>
              <w:pStyle w:val="9"/>
              <w:spacing w:before="176" w:line="219" w:lineRule="auto"/>
              <w:ind w:left="166" w:leftChars="0"/>
              <w:rPr>
                <w:b/>
                <w:bCs/>
                <w:spacing w:val="-4"/>
              </w:rPr>
            </w:pPr>
            <w:r>
              <w:rPr>
                <w:b/>
                <w:bCs/>
                <w:spacing w:val="-4"/>
              </w:rPr>
              <w:t>招标代理机构</w:t>
            </w:r>
          </w:p>
        </w:tc>
        <w:tc>
          <w:tcPr>
            <w:tcW w:w="2114" w:type="dxa"/>
            <w:vAlign w:val="center"/>
          </w:tcPr>
          <w:p w14:paraId="548DFF82">
            <w:pPr>
              <w:widowControl w:val="0"/>
              <w:kinsoku/>
              <w:autoSpaceDE/>
              <w:autoSpaceDN/>
              <w:adjustRightInd/>
              <w:snapToGrid/>
              <w:spacing w:line="360" w:lineRule="auto"/>
              <w:jc w:val="center"/>
              <w:textAlignment w:val="auto"/>
              <w:rPr>
                <w:rFonts w:hint="eastAsia" w:ascii="宋体" w:hAnsi="宋体" w:eastAsia="宋体" w:cs="宋体"/>
                <w:snapToGrid/>
                <w:color w:val="auto"/>
                <w:kern w:val="2"/>
                <w:sz w:val="21"/>
                <w:szCs w:val="21"/>
                <w:highlight w:val="none"/>
                <w:u w:val="single"/>
                <w:lang w:val="en-US" w:eastAsia="zh-CN" w:bidi="ar-SA"/>
              </w:rPr>
            </w:pPr>
            <w:r>
              <w:rPr>
                <w:rFonts w:hint="eastAsia" w:ascii="宋体" w:hAnsi="宋体" w:eastAsia="宋体" w:cs="宋体"/>
                <w:snapToGrid/>
                <w:color w:val="auto"/>
                <w:kern w:val="2"/>
                <w:sz w:val="21"/>
                <w:szCs w:val="21"/>
                <w:highlight w:val="none"/>
                <w:lang w:val="en-US" w:eastAsia="zh-CN"/>
              </w:rPr>
              <w:t>云浮市正和项目管理有限公司</w:t>
            </w:r>
          </w:p>
        </w:tc>
        <w:tc>
          <w:tcPr>
            <w:tcW w:w="1724" w:type="dxa"/>
            <w:gridSpan w:val="2"/>
            <w:vAlign w:val="top"/>
          </w:tcPr>
          <w:p w14:paraId="765BF1EF">
            <w:pPr>
              <w:pStyle w:val="9"/>
              <w:spacing w:before="176" w:line="222" w:lineRule="auto"/>
              <w:ind w:left="447" w:leftChars="0"/>
              <w:rPr>
                <w:b/>
                <w:bCs/>
                <w:spacing w:val="-5"/>
              </w:rPr>
            </w:pPr>
            <w:r>
              <w:rPr>
                <w:b/>
                <w:bCs/>
                <w:spacing w:val="-5"/>
                <w:sz w:val="21"/>
                <w:szCs w:val="21"/>
              </w:rPr>
              <w:t>联系地址</w:t>
            </w:r>
          </w:p>
        </w:tc>
        <w:tc>
          <w:tcPr>
            <w:tcW w:w="4278" w:type="dxa"/>
            <w:gridSpan w:val="3"/>
            <w:vAlign w:val="center"/>
          </w:tcPr>
          <w:p w14:paraId="777155C0">
            <w:pPr>
              <w:spacing w:line="360" w:lineRule="auto"/>
              <w:jc w:val="center"/>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云浮市云城区金山大道89号翔盛大厦6号梯第三层办公室之一</w:t>
            </w:r>
          </w:p>
        </w:tc>
      </w:tr>
      <w:tr w14:paraId="04A70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center"/>
          </w:tcPr>
          <w:p w14:paraId="57225E18">
            <w:pPr>
              <w:pStyle w:val="9"/>
              <w:spacing w:before="49" w:line="250" w:lineRule="auto"/>
              <w:ind w:left="692" w:leftChars="0" w:right="155" w:rightChars="0" w:hanging="526" w:firstLineChars="0"/>
              <w:rPr>
                <w:b/>
                <w:bCs/>
                <w:spacing w:val="-4"/>
              </w:rPr>
            </w:pPr>
            <w:r>
              <w:rPr>
                <w:rFonts w:hint="eastAsia"/>
                <w:b/>
                <w:bCs/>
                <w:spacing w:val="-4"/>
                <w:lang w:val="en-US" w:eastAsia="zh-CN"/>
              </w:rPr>
              <w:t>招标代理项目负责人</w:t>
            </w:r>
          </w:p>
        </w:tc>
        <w:tc>
          <w:tcPr>
            <w:tcW w:w="2114" w:type="dxa"/>
            <w:vAlign w:val="center"/>
          </w:tcPr>
          <w:p w14:paraId="12967938">
            <w:pPr>
              <w:widowControl w:val="0"/>
              <w:kinsoku/>
              <w:autoSpaceDE/>
              <w:autoSpaceDN/>
              <w:adjustRightInd/>
              <w:snapToGrid/>
              <w:spacing w:line="360" w:lineRule="auto"/>
              <w:jc w:val="center"/>
              <w:textAlignment w:val="auto"/>
              <w:rPr>
                <w:rFonts w:hint="eastAsia" w:ascii="宋体" w:hAnsi="宋体" w:eastAsia="宋体" w:cs="宋体"/>
                <w:snapToGrid/>
                <w:color w:val="auto"/>
                <w:kern w:val="2"/>
                <w:sz w:val="21"/>
                <w:szCs w:val="21"/>
                <w:highlight w:val="none"/>
                <w:lang w:val="en-US" w:eastAsia="zh-CN"/>
              </w:rPr>
            </w:pPr>
            <w:r>
              <w:rPr>
                <w:rFonts w:hint="eastAsia" w:ascii="宋体" w:hAnsi="宋体" w:eastAsia="宋体" w:cs="宋体"/>
                <w:snapToGrid/>
                <w:color w:val="auto"/>
                <w:kern w:val="2"/>
                <w:sz w:val="21"/>
                <w:szCs w:val="21"/>
                <w:highlight w:val="none"/>
                <w:lang w:val="en-US" w:eastAsia="zh-CN"/>
              </w:rPr>
              <w:t>张</w:t>
            </w:r>
            <w:r>
              <w:rPr>
                <w:rFonts w:hint="eastAsia" w:ascii="宋体" w:hAnsi="宋体" w:cs="宋体"/>
                <w:snapToGrid/>
                <w:color w:val="auto"/>
                <w:kern w:val="2"/>
                <w:sz w:val="21"/>
                <w:szCs w:val="21"/>
                <w:highlight w:val="none"/>
                <w:lang w:val="en-US" w:eastAsia="zh-CN"/>
              </w:rPr>
              <w:t>海云</w:t>
            </w:r>
          </w:p>
        </w:tc>
        <w:tc>
          <w:tcPr>
            <w:tcW w:w="1724" w:type="dxa"/>
            <w:gridSpan w:val="2"/>
            <w:vAlign w:val="top"/>
          </w:tcPr>
          <w:p w14:paraId="1D128E0A">
            <w:pPr>
              <w:pStyle w:val="9"/>
              <w:spacing w:before="176" w:line="222" w:lineRule="auto"/>
              <w:ind w:left="447" w:leftChars="0"/>
              <w:rPr>
                <w:b/>
                <w:bCs/>
                <w:spacing w:val="-5"/>
                <w:sz w:val="21"/>
                <w:szCs w:val="21"/>
              </w:rPr>
            </w:pPr>
            <w:r>
              <w:rPr>
                <w:b/>
                <w:bCs/>
                <w:spacing w:val="-5"/>
                <w:sz w:val="21"/>
                <w:szCs w:val="21"/>
              </w:rPr>
              <w:t>联系电话</w:t>
            </w:r>
          </w:p>
        </w:tc>
        <w:tc>
          <w:tcPr>
            <w:tcW w:w="4278" w:type="dxa"/>
            <w:gridSpan w:val="3"/>
            <w:vAlign w:val="center"/>
          </w:tcPr>
          <w:p w14:paraId="168286FF">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13672638972</w:t>
            </w:r>
          </w:p>
        </w:tc>
      </w:tr>
      <w:tr w14:paraId="691FC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top"/>
          </w:tcPr>
          <w:p w14:paraId="7EF768F6">
            <w:pPr>
              <w:pStyle w:val="9"/>
              <w:spacing w:before="49" w:line="250" w:lineRule="auto"/>
              <w:ind w:left="692" w:leftChars="0" w:right="155" w:rightChars="0" w:hanging="526" w:firstLineChars="0"/>
              <w:rPr>
                <w:b/>
                <w:bCs/>
                <w:spacing w:val="-4"/>
              </w:rPr>
            </w:pPr>
            <w:r>
              <w:rPr>
                <w:b/>
                <w:bCs/>
                <w:spacing w:val="-4"/>
              </w:rPr>
              <w:t>招标代理联系</w:t>
            </w:r>
            <w:r>
              <w:rPr>
                <w:b/>
                <w:bCs/>
                <w:spacing w:val="-3"/>
              </w:rPr>
              <w:t>人</w:t>
            </w:r>
          </w:p>
        </w:tc>
        <w:tc>
          <w:tcPr>
            <w:tcW w:w="2114" w:type="dxa"/>
            <w:vAlign w:val="center"/>
          </w:tcPr>
          <w:p w14:paraId="561FB37C">
            <w:pPr>
              <w:widowControl w:val="0"/>
              <w:kinsoku/>
              <w:autoSpaceDE/>
              <w:autoSpaceDN/>
              <w:adjustRightInd/>
              <w:snapToGrid/>
              <w:spacing w:line="360" w:lineRule="auto"/>
              <w:jc w:val="center"/>
              <w:textAlignment w:val="auto"/>
              <w:rPr>
                <w:rFonts w:hint="eastAsia" w:ascii="宋体" w:hAnsi="宋体" w:eastAsia="宋体" w:cs="宋体"/>
                <w:snapToGrid/>
                <w:color w:val="auto"/>
                <w:kern w:val="2"/>
                <w:sz w:val="21"/>
                <w:szCs w:val="21"/>
                <w:highlight w:val="none"/>
                <w:u w:val="single"/>
                <w:lang w:val="en-US" w:eastAsia="zh-CN" w:bidi="ar-SA"/>
              </w:rPr>
            </w:pPr>
            <w:r>
              <w:rPr>
                <w:rFonts w:hint="eastAsia" w:ascii="宋体" w:hAnsi="宋体" w:eastAsia="宋体" w:cs="宋体"/>
                <w:snapToGrid/>
                <w:color w:val="auto"/>
                <w:kern w:val="2"/>
                <w:sz w:val="21"/>
                <w:szCs w:val="21"/>
                <w:highlight w:val="none"/>
                <w:lang w:val="en-US" w:eastAsia="zh-CN"/>
              </w:rPr>
              <w:t>张小姐</w:t>
            </w:r>
          </w:p>
        </w:tc>
        <w:tc>
          <w:tcPr>
            <w:tcW w:w="1724" w:type="dxa"/>
            <w:gridSpan w:val="2"/>
            <w:vAlign w:val="top"/>
          </w:tcPr>
          <w:p w14:paraId="1F2C8D89">
            <w:pPr>
              <w:pStyle w:val="9"/>
              <w:spacing w:before="205" w:line="222" w:lineRule="auto"/>
              <w:ind w:left="447" w:leftChars="0"/>
              <w:rPr>
                <w:b/>
                <w:bCs/>
                <w:spacing w:val="-5"/>
              </w:rPr>
            </w:pPr>
            <w:r>
              <w:rPr>
                <w:b/>
                <w:bCs/>
                <w:spacing w:val="-5"/>
                <w:sz w:val="21"/>
                <w:szCs w:val="21"/>
              </w:rPr>
              <w:t>联系电话</w:t>
            </w:r>
          </w:p>
        </w:tc>
        <w:tc>
          <w:tcPr>
            <w:tcW w:w="4278" w:type="dxa"/>
            <w:gridSpan w:val="3"/>
            <w:vAlign w:val="center"/>
          </w:tcPr>
          <w:p w14:paraId="278EF856">
            <w:pPr>
              <w:spacing w:line="360" w:lineRule="auto"/>
              <w:jc w:val="center"/>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color w:val="auto"/>
                <w:sz w:val="21"/>
                <w:szCs w:val="21"/>
                <w:highlight w:val="none"/>
                <w:lang w:eastAsia="zh-CN"/>
              </w:rPr>
              <w:t>0766-8820906</w:t>
            </w:r>
          </w:p>
        </w:tc>
      </w:tr>
      <w:tr w14:paraId="0C520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top"/>
          </w:tcPr>
          <w:p w14:paraId="01798A05">
            <w:pPr>
              <w:pStyle w:val="9"/>
              <w:spacing w:before="177" w:line="219" w:lineRule="auto"/>
              <w:ind w:left="166" w:leftChars="0"/>
              <w:rPr>
                <w:b/>
                <w:bCs/>
                <w:spacing w:val="-4"/>
              </w:rPr>
            </w:pPr>
            <w:r>
              <w:rPr>
                <w:b/>
                <w:bCs/>
                <w:spacing w:val="-4"/>
              </w:rPr>
              <w:t>招标监督机构</w:t>
            </w:r>
          </w:p>
        </w:tc>
        <w:tc>
          <w:tcPr>
            <w:tcW w:w="2114" w:type="dxa"/>
            <w:vAlign w:val="center"/>
          </w:tcPr>
          <w:p w14:paraId="400637A6">
            <w:pPr>
              <w:widowControl w:val="0"/>
              <w:kinsoku/>
              <w:autoSpaceDE/>
              <w:autoSpaceDN/>
              <w:adjustRightInd/>
              <w:snapToGrid/>
              <w:spacing w:line="360" w:lineRule="auto"/>
              <w:jc w:val="center"/>
              <w:textAlignment w:val="auto"/>
              <w:rPr>
                <w:rFonts w:hint="eastAsia" w:ascii="宋体" w:hAnsi="宋体" w:eastAsia="宋体" w:cs="宋体"/>
                <w:snapToGrid/>
                <w:color w:val="auto"/>
                <w:kern w:val="2"/>
                <w:sz w:val="21"/>
                <w:szCs w:val="21"/>
                <w:highlight w:val="none"/>
                <w:u w:val="single"/>
                <w:lang w:val="en-US" w:eastAsia="zh-CN" w:bidi="ar-SA"/>
              </w:rPr>
            </w:pPr>
            <w:r>
              <w:rPr>
                <w:rFonts w:hint="eastAsia" w:ascii="宋体" w:hAnsi="宋体" w:cs="宋体"/>
                <w:snapToGrid/>
                <w:color w:val="auto"/>
                <w:kern w:val="2"/>
                <w:sz w:val="21"/>
                <w:szCs w:val="21"/>
                <w:highlight w:val="none"/>
                <w:lang w:val="en-US" w:eastAsia="zh-CN"/>
              </w:rPr>
              <w:t>云浮市</w:t>
            </w:r>
            <w:r>
              <w:rPr>
                <w:rFonts w:hint="eastAsia" w:ascii="宋体" w:hAnsi="宋体" w:eastAsia="宋体" w:cs="宋体"/>
                <w:snapToGrid/>
                <w:color w:val="auto"/>
                <w:kern w:val="2"/>
                <w:sz w:val="21"/>
                <w:szCs w:val="21"/>
                <w:highlight w:val="none"/>
                <w:lang w:val="en-US" w:eastAsia="zh-CN"/>
              </w:rPr>
              <w:t>云安区交通运输局</w:t>
            </w:r>
          </w:p>
        </w:tc>
        <w:tc>
          <w:tcPr>
            <w:tcW w:w="1724" w:type="dxa"/>
            <w:gridSpan w:val="2"/>
            <w:vAlign w:val="top"/>
          </w:tcPr>
          <w:p w14:paraId="17912E7A">
            <w:pPr>
              <w:pStyle w:val="9"/>
              <w:spacing w:before="177" w:line="222" w:lineRule="auto"/>
              <w:ind w:left="447" w:leftChars="0"/>
              <w:rPr>
                <w:b/>
                <w:bCs/>
                <w:spacing w:val="-5"/>
              </w:rPr>
            </w:pPr>
            <w:r>
              <w:rPr>
                <w:b/>
                <w:bCs/>
                <w:spacing w:val="-5"/>
                <w:sz w:val="21"/>
                <w:szCs w:val="21"/>
              </w:rPr>
              <w:t>联系电话</w:t>
            </w:r>
          </w:p>
        </w:tc>
        <w:tc>
          <w:tcPr>
            <w:tcW w:w="4278" w:type="dxa"/>
            <w:gridSpan w:val="3"/>
            <w:vAlign w:val="center"/>
          </w:tcPr>
          <w:p w14:paraId="4531C37C">
            <w:pPr>
              <w:spacing w:line="360" w:lineRule="auto"/>
              <w:jc w:val="center"/>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color w:val="auto"/>
                <w:sz w:val="21"/>
                <w:szCs w:val="21"/>
                <w:highlight w:val="none"/>
                <w:lang w:eastAsia="zh-CN"/>
              </w:rPr>
              <w:t>0766-8638810</w:t>
            </w:r>
          </w:p>
        </w:tc>
      </w:tr>
      <w:tr w14:paraId="2639C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1581" w:type="dxa"/>
            <w:vAlign w:val="top"/>
          </w:tcPr>
          <w:p w14:paraId="3D62C51F">
            <w:pPr>
              <w:spacing w:line="256" w:lineRule="auto"/>
              <w:rPr>
                <w:rFonts w:ascii="Arial"/>
                <w:sz w:val="21"/>
              </w:rPr>
            </w:pPr>
          </w:p>
          <w:p w14:paraId="2477C0F0">
            <w:pPr>
              <w:spacing w:line="256" w:lineRule="auto"/>
              <w:rPr>
                <w:rFonts w:ascii="Arial"/>
                <w:sz w:val="21"/>
              </w:rPr>
            </w:pPr>
          </w:p>
          <w:p w14:paraId="284F619A">
            <w:pPr>
              <w:spacing w:line="256" w:lineRule="auto"/>
              <w:rPr>
                <w:rFonts w:ascii="Arial"/>
                <w:sz w:val="21"/>
              </w:rPr>
            </w:pPr>
          </w:p>
          <w:p w14:paraId="5964F05E">
            <w:pPr>
              <w:spacing w:line="256" w:lineRule="auto"/>
              <w:rPr>
                <w:rFonts w:ascii="Arial"/>
                <w:sz w:val="21"/>
              </w:rPr>
            </w:pPr>
          </w:p>
          <w:p w14:paraId="64091E4F">
            <w:pPr>
              <w:spacing w:line="256" w:lineRule="auto"/>
              <w:rPr>
                <w:rFonts w:ascii="Arial"/>
                <w:sz w:val="21"/>
              </w:rPr>
            </w:pPr>
          </w:p>
          <w:p w14:paraId="4B8FDBC8">
            <w:pPr>
              <w:spacing w:line="256" w:lineRule="auto"/>
              <w:rPr>
                <w:rFonts w:ascii="Arial"/>
                <w:sz w:val="21"/>
              </w:rPr>
            </w:pPr>
          </w:p>
          <w:p w14:paraId="5F0D6165">
            <w:pPr>
              <w:spacing w:line="257" w:lineRule="auto"/>
              <w:rPr>
                <w:rFonts w:ascii="Arial"/>
                <w:sz w:val="21"/>
              </w:rPr>
            </w:pPr>
          </w:p>
          <w:p w14:paraId="7DE09F35">
            <w:pPr>
              <w:spacing w:line="257" w:lineRule="auto"/>
              <w:rPr>
                <w:rFonts w:ascii="Arial"/>
                <w:sz w:val="21"/>
              </w:rPr>
            </w:pPr>
          </w:p>
          <w:p w14:paraId="3491334A">
            <w:pPr>
              <w:spacing w:line="257" w:lineRule="auto"/>
              <w:rPr>
                <w:rFonts w:ascii="Arial"/>
                <w:sz w:val="21"/>
              </w:rPr>
            </w:pPr>
          </w:p>
          <w:p w14:paraId="11F970EF">
            <w:pPr>
              <w:spacing w:line="257" w:lineRule="auto"/>
              <w:rPr>
                <w:rFonts w:ascii="Arial"/>
                <w:sz w:val="21"/>
              </w:rPr>
            </w:pPr>
          </w:p>
          <w:p w14:paraId="0185DDCD">
            <w:pPr>
              <w:spacing w:line="257" w:lineRule="auto"/>
              <w:rPr>
                <w:rFonts w:ascii="Arial"/>
                <w:sz w:val="21"/>
              </w:rPr>
            </w:pPr>
          </w:p>
          <w:p w14:paraId="6339D9B2">
            <w:pPr>
              <w:pStyle w:val="9"/>
              <w:spacing w:before="68" w:line="335" w:lineRule="auto"/>
              <w:ind w:left="271" w:leftChars="0" w:right="155" w:rightChars="0" w:hanging="105" w:firstLineChars="0"/>
              <w:rPr>
                <w:b/>
                <w:bCs/>
                <w:spacing w:val="-4"/>
              </w:rPr>
            </w:pPr>
            <w:r>
              <w:rPr>
                <w:b/>
                <w:bCs/>
                <w:spacing w:val="-4"/>
              </w:rPr>
              <w:t>其他依法应当载明的内容</w:t>
            </w:r>
          </w:p>
        </w:tc>
        <w:tc>
          <w:tcPr>
            <w:tcW w:w="8116" w:type="dxa"/>
            <w:gridSpan w:val="6"/>
            <w:vAlign w:val="top"/>
          </w:tcPr>
          <w:p w14:paraId="0AD8CCA3">
            <w:pPr>
              <w:pStyle w:val="9"/>
              <w:numPr>
                <w:ilvl w:val="0"/>
                <w:numId w:val="1"/>
              </w:numPr>
              <w:spacing w:before="138" w:line="352" w:lineRule="auto"/>
              <w:ind w:left="115" w:right="111" w:firstLine="16"/>
              <w:rPr>
                <w:rFonts w:hint="eastAsia"/>
                <w:spacing w:val="-1"/>
              </w:rPr>
            </w:pPr>
            <w:r>
              <w:rPr>
                <w:spacing w:val="-2"/>
              </w:rPr>
              <w:t>本招标项目</w:t>
            </w:r>
            <w:r>
              <w:rPr>
                <w:rFonts w:hint="eastAsia"/>
                <w:spacing w:val="-2"/>
                <w:u w:val="single" w:color="auto"/>
              </w:rPr>
              <w:t>云安区白石镇X491线白石街至东星四升三改建工程</w:t>
            </w:r>
            <w:r>
              <w:rPr>
                <w:rFonts w:hint="eastAsia"/>
                <w:spacing w:val="-2"/>
                <w:u w:val="single" w:color="auto"/>
                <w:lang w:eastAsia="zh-CN"/>
              </w:rPr>
              <w:t>施工</w:t>
            </w:r>
            <w:r>
              <w:rPr>
                <w:spacing w:val="-2"/>
              </w:rPr>
              <w:t>已由</w:t>
            </w:r>
            <w:r>
              <w:rPr>
                <w:rFonts w:hint="eastAsia"/>
                <w:spacing w:val="-2"/>
                <w:u w:val="single" w:color="auto"/>
              </w:rPr>
              <w:t>云浮市云安区人民政府办公室</w:t>
            </w:r>
            <w:r>
              <w:rPr>
                <w:spacing w:val="-3"/>
              </w:rPr>
              <w:t>以</w:t>
            </w:r>
            <w:r>
              <w:rPr>
                <w:spacing w:val="-3"/>
                <w:u w:val="single" w:color="auto"/>
              </w:rPr>
              <w:t xml:space="preserve"> </w:t>
            </w:r>
            <w:r>
              <w:rPr>
                <w:rFonts w:hint="eastAsia"/>
                <w:spacing w:val="-3"/>
                <w:u w:val="single" w:color="auto"/>
                <w:lang w:val="en-US" w:eastAsia="zh-CN"/>
              </w:rPr>
              <w:t>云安区府办函〔2025〕158号</w:t>
            </w:r>
            <w:r>
              <w:rPr>
                <w:spacing w:val="-2"/>
              </w:rPr>
              <w:t>批准建设，</w:t>
            </w:r>
            <w:r>
              <w:rPr>
                <w:rFonts w:hint="eastAsia"/>
                <w:spacing w:val="-2"/>
              </w:rPr>
              <w:t>施工图设计</w:t>
            </w:r>
            <w:r>
              <w:rPr>
                <w:spacing w:val="-2"/>
              </w:rPr>
              <w:t>已由</w:t>
            </w:r>
            <w:r>
              <w:rPr>
                <w:rFonts w:hint="eastAsia"/>
                <w:spacing w:val="-2"/>
                <w:u w:val="single" w:color="auto"/>
              </w:rPr>
              <w:t>云浮市云安区交通运输局</w:t>
            </w:r>
            <w:r>
              <w:rPr>
                <w:spacing w:val="-2"/>
              </w:rPr>
              <w:t>以</w:t>
            </w:r>
            <w:r>
              <w:rPr>
                <w:rFonts w:hint="eastAsia"/>
                <w:spacing w:val="-3"/>
                <w:u w:val="single" w:color="auto"/>
                <w:lang w:val="en-US" w:eastAsia="zh-CN"/>
              </w:rPr>
              <w:t>云安区交复〔2026〕7号</w:t>
            </w:r>
            <w:r>
              <w:rPr>
                <w:spacing w:val="-1"/>
              </w:rPr>
              <w:t>批准，招标人为</w:t>
            </w:r>
            <w:r>
              <w:rPr>
                <w:spacing w:val="-80"/>
              </w:rPr>
              <w:t xml:space="preserve"> </w:t>
            </w:r>
            <w:r>
              <w:rPr>
                <w:rFonts w:hint="eastAsia"/>
                <w:spacing w:val="-1"/>
                <w:u w:val="single" w:color="auto"/>
                <w:lang w:val="en-US" w:eastAsia="zh-CN"/>
              </w:rPr>
              <w:t>云浮市云</w:t>
            </w:r>
            <w:r>
              <w:rPr>
                <w:rFonts w:hint="eastAsia"/>
                <w:spacing w:val="-1"/>
                <w:u w:val="single" w:color="auto"/>
              </w:rPr>
              <w:t>安区地方公路和交通运输管理站</w:t>
            </w:r>
            <w:r>
              <w:rPr>
                <w:spacing w:val="-1"/>
                <w:u w:val="single" w:color="auto"/>
              </w:rPr>
              <w:t xml:space="preserve">   </w:t>
            </w:r>
            <w:r>
              <w:rPr>
                <w:spacing w:val="-1"/>
              </w:rPr>
              <w:t>。</w:t>
            </w:r>
            <w:r>
              <w:rPr>
                <w:rFonts w:hint="eastAsia"/>
                <w:spacing w:val="-1"/>
                <w:lang w:val="en-US" w:eastAsia="zh-CN"/>
              </w:rPr>
              <w:t>建设资金为</w:t>
            </w:r>
            <w:r>
              <w:rPr>
                <w:rFonts w:hint="eastAsia"/>
              </w:rPr>
              <w:t>2026年农村公路建设省级交通建设资金中安排，不足部分由区级财政统筹解决。</w:t>
            </w:r>
            <w:r>
              <w:rPr>
                <w:rFonts w:hint="eastAsia"/>
                <w:spacing w:val="-1"/>
                <w:lang w:val="en-US" w:eastAsia="zh-CN"/>
              </w:rPr>
              <w:t>项目已具备招标条件，</w:t>
            </w:r>
            <w:r>
              <w:rPr>
                <w:rFonts w:hint="eastAsia"/>
                <w:spacing w:val="-1"/>
              </w:rPr>
              <w:t>招标计划已于202</w:t>
            </w:r>
            <w:r>
              <w:rPr>
                <w:rFonts w:hint="eastAsia"/>
                <w:spacing w:val="-1"/>
                <w:lang w:val="en-US" w:eastAsia="zh-CN"/>
              </w:rPr>
              <w:t>6</w:t>
            </w:r>
            <w:r>
              <w:rPr>
                <w:rFonts w:hint="eastAsia"/>
                <w:spacing w:val="-1"/>
              </w:rPr>
              <w:t>年0</w:t>
            </w:r>
            <w:r>
              <w:rPr>
                <w:rFonts w:hint="eastAsia"/>
                <w:spacing w:val="-1"/>
                <w:lang w:val="en-US" w:eastAsia="zh-CN"/>
              </w:rPr>
              <w:t>3</w:t>
            </w:r>
            <w:r>
              <w:rPr>
                <w:rFonts w:hint="eastAsia"/>
                <w:spacing w:val="-1"/>
              </w:rPr>
              <w:t>月</w:t>
            </w:r>
            <w:r>
              <w:rPr>
                <w:rFonts w:hint="eastAsia"/>
                <w:spacing w:val="-1"/>
                <w:lang w:val="en-US" w:eastAsia="zh-CN"/>
              </w:rPr>
              <w:t>09</w:t>
            </w:r>
            <w:r>
              <w:rPr>
                <w:rFonts w:hint="eastAsia"/>
                <w:spacing w:val="-1"/>
              </w:rPr>
              <w:t>日在广东省招标投标监管网发布。</w:t>
            </w:r>
          </w:p>
          <w:p w14:paraId="44FC252A">
            <w:pPr>
              <w:pStyle w:val="9"/>
              <w:numPr>
                <w:ilvl w:val="0"/>
                <w:numId w:val="1"/>
              </w:numPr>
              <w:spacing w:before="138" w:line="352" w:lineRule="auto"/>
              <w:ind w:left="115" w:right="111" w:firstLine="16"/>
              <w:rPr>
                <w:rFonts w:hint="eastAsia"/>
                <w:spacing w:val="-1"/>
              </w:rPr>
            </w:pPr>
            <w:r>
              <w:rPr>
                <w:rFonts w:hint="eastAsia"/>
                <w:spacing w:val="-1"/>
              </w:rPr>
              <w:t>本项目不</w:t>
            </w:r>
            <w:r>
              <w:rPr>
                <w:rFonts w:hint="eastAsia"/>
                <w:spacing w:val="-1"/>
                <w:lang w:val="en-US" w:eastAsia="zh-CN"/>
              </w:rPr>
              <w:t>组织</w:t>
            </w:r>
            <w:r>
              <w:rPr>
                <w:rFonts w:hint="eastAsia"/>
                <w:spacing w:val="-1"/>
              </w:rPr>
              <w:t>工程</w:t>
            </w:r>
            <w:r>
              <w:rPr>
                <w:spacing w:val="-2"/>
              </w:rPr>
              <w:t>踏勘现场和投标预备会</w:t>
            </w:r>
            <w:r>
              <w:rPr>
                <w:rFonts w:hint="eastAsia"/>
                <w:spacing w:val="-1"/>
              </w:rPr>
              <w:t>。</w:t>
            </w:r>
          </w:p>
          <w:p w14:paraId="0615D118">
            <w:pPr>
              <w:pStyle w:val="9"/>
              <w:spacing w:before="2" w:line="351" w:lineRule="auto"/>
              <w:ind w:left="117" w:right="110" w:firstLine="3"/>
            </w:pPr>
            <w:r>
              <w:rPr>
                <w:spacing w:val="-3"/>
              </w:rPr>
              <w:t>3、与招标人存在利害关系可能影响招标公正性的法人，不得参加投标；若单位负责人为同一人</w:t>
            </w:r>
            <w:r>
              <w:rPr>
                <w:rFonts w:hint="eastAsia"/>
                <w:spacing w:val="-3"/>
                <w:lang w:eastAsia="zh-CN"/>
              </w:rPr>
              <w:t>，或者</w:t>
            </w:r>
            <w:r>
              <w:rPr>
                <w:spacing w:val="-3"/>
              </w:rPr>
              <w:t>存在控股、管理关系的不同单位，不得参加同一标段投标或者未划分</w:t>
            </w:r>
            <w:r>
              <w:rPr>
                <w:spacing w:val="-2"/>
              </w:rPr>
              <w:t>标段的同一招标项目投标，否则按否决其投标处理。</w:t>
            </w:r>
          </w:p>
          <w:p w14:paraId="5BA03787">
            <w:pPr>
              <w:pStyle w:val="9"/>
              <w:spacing w:line="351" w:lineRule="auto"/>
              <w:ind w:left="122" w:right="108" w:hanging="7"/>
            </w:pPr>
            <w:r>
              <w:rPr>
                <w:spacing w:val="-3"/>
              </w:rPr>
              <w:t>4、在“信用中国”网站中被列入失信被执行人名单的投标人，在“国家企业信</w:t>
            </w:r>
            <w:r>
              <w:rPr>
                <w:spacing w:val="-4"/>
              </w:rPr>
              <w:t>用信息</w:t>
            </w:r>
            <w:r>
              <w:rPr>
                <w:spacing w:val="-2"/>
              </w:rPr>
              <w:t>公示系统”中被列入严重违法失信名单的投标人，均按否决投标处理。</w:t>
            </w:r>
          </w:p>
          <w:p w14:paraId="0B830F67">
            <w:pPr>
              <w:pStyle w:val="9"/>
              <w:spacing w:line="233" w:lineRule="auto"/>
              <w:ind w:left="120"/>
              <w:rPr>
                <w:rFonts w:hint="eastAsia"/>
              </w:rPr>
            </w:pPr>
            <w:r>
              <w:t>5、</w:t>
            </w:r>
            <w:r>
              <w:rPr>
                <w:rFonts w:hint="eastAsia"/>
              </w:rPr>
              <w:t>注意事项：</w:t>
            </w:r>
          </w:p>
          <w:p w14:paraId="1EBC5FC3">
            <w:pPr>
              <w:pStyle w:val="9"/>
              <w:spacing w:line="233" w:lineRule="auto"/>
              <w:ind w:left="120" w:firstLine="420" w:firstLineChars="200"/>
              <w:rPr>
                <w:rFonts w:hint="eastAsia"/>
              </w:rPr>
            </w:pPr>
            <w:r>
              <w:rPr>
                <w:rFonts w:hint="eastAsia"/>
                <w:lang w:eastAsia="zh-CN"/>
              </w:rPr>
              <w:t>（</w:t>
            </w:r>
            <w:r>
              <w:rPr>
                <w:rFonts w:hint="eastAsia"/>
                <w:lang w:val="en-US" w:eastAsia="zh-CN"/>
              </w:rPr>
              <w:t>1</w:t>
            </w:r>
            <w:r>
              <w:rPr>
                <w:rFonts w:hint="eastAsia"/>
                <w:lang w:eastAsia="zh-CN"/>
              </w:rPr>
              <w:t>）</w:t>
            </w:r>
            <w:r>
              <w:rPr>
                <w:rFonts w:hint="eastAsia"/>
              </w:rPr>
              <w:t>根据《电子招标投标办法》（2013年2月4日国家发展改革委、工业和信息化部、监察部、住房城乡建设部、交通运输部、铁道部、水利部、商务部令第20号发布）、国家发展改革委等13部门印发的《关于严格执行招标投标法规制度进一步规范招标投标主体行为的若干意见》（发改法规〔2022〕1117号）、广东省发展改革委等7部门《关于加快推进招标投标全流程电子化工作的通知》（粤发改法规函〔2022〕1484号）、云浮市发展和改革局等6个部门印发的《关于深入推进招标投标全流程电子化的通知》（云发改体改函〔2023〕26号）、云浮市住房和城乡建设局《关于转发《关于严格执行招标投标法规制度进一步规范招标投标主体行为的若干意见》的通知》（云建市〔2022〕26号）、广东省发展和改革委员会等8部门《关于印发广东省工程建设项目电子招标投标交易规则的通知》（粤发改规〔2023〕1号）、《关于全面推进招标投标全流程电子化工作的通知》（云政数公资函〔2023〕1号）等相关文件要求，该项目实行全流程电子化交易（即线上开标、评标），投标人需于投标截止时间前在云浮市公共资源交易服务平台、广东省公共资源交易平台填写投标信息，下载招标文件，并于投标截止时间前将制作完成的电子投标文件上传到云浮市公共资源交易服务平台（</w:t>
            </w:r>
            <w:r>
              <w:rPr>
                <w:rFonts w:hint="eastAsia"/>
                <w:lang w:eastAsia="zh-CN"/>
              </w:rPr>
              <w:t>无需</w:t>
            </w:r>
            <w:r>
              <w:rPr>
                <w:rFonts w:hint="eastAsia"/>
              </w:rPr>
              <w:t>提交纸质投标文件）。电子版投标文件制作过程中，如有技术问题请于投标截止时间前的每天8</w:t>
            </w:r>
            <w:r>
              <w:rPr>
                <w:rFonts w:hint="eastAsia"/>
                <w:lang w:eastAsia="zh-CN"/>
              </w:rPr>
              <w:t>:</w:t>
            </w:r>
            <w:r>
              <w:rPr>
                <w:rFonts w:hint="eastAsia"/>
              </w:rPr>
              <w:t>00-11</w:t>
            </w:r>
            <w:r>
              <w:rPr>
                <w:rFonts w:hint="eastAsia"/>
                <w:lang w:eastAsia="zh-CN"/>
              </w:rPr>
              <w:t>:</w:t>
            </w:r>
            <w:r>
              <w:rPr>
                <w:rFonts w:hint="eastAsia"/>
              </w:rPr>
              <w:t>30，14</w:t>
            </w:r>
            <w:r>
              <w:rPr>
                <w:rFonts w:hint="eastAsia"/>
                <w:lang w:eastAsia="zh-CN"/>
              </w:rPr>
              <w:t>:</w:t>
            </w:r>
            <w:r>
              <w:rPr>
                <w:rFonts w:hint="eastAsia"/>
              </w:rPr>
              <w:t>30-17</w:t>
            </w:r>
            <w:r>
              <w:rPr>
                <w:rFonts w:hint="eastAsia"/>
                <w:lang w:eastAsia="zh-CN"/>
              </w:rPr>
              <w:t>:</w:t>
            </w:r>
            <w:r>
              <w:rPr>
                <w:rFonts w:hint="eastAsia"/>
              </w:rPr>
              <w:t>30，联系云浮市公共资源交易中心，联系电话：0766-8819989，QQ：2648788988。</w:t>
            </w:r>
          </w:p>
          <w:p w14:paraId="32400071">
            <w:pPr>
              <w:pStyle w:val="9"/>
              <w:spacing w:line="233" w:lineRule="auto"/>
              <w:ind w:left="120" w:firstLine="420" w:firstLineChars="200"/>
              <w:rPr>
                <w:rFonts w:hint="eastAsia"/>
              </w:rPr>
            </w:pPr>
            <w:r>
              <w:rPr>
                <w:rFonts w:hint="eastAsia"/>
                <w:lang w:eastAsia="zh-CN"/>
              </w:rPr>
              <w:t>（</w:t>
            </w:r>
            <w:r>
              <w:rPr>
                <w:rFonts w:hint="eastAsia"/>
                <w:lang w:val="en-US" w:eastAsia="zh-CN"/>
              </w:rPr>
              <w:t>2</w:t>
            </w:r>
            <w:r>
              <w:rPr>
                <w:rFonts w:hint="eastAsia"/>
                <w:lang w:eastAsia="zh-CN"/>
              </w:rPr>
              <w:t>）</w:t>
            </w:r>
            <w:r>
              <w:rPr>
                <w:rFonts w:hint="eastAsia"/>
              </w:rPr>
              <w:t>投标保证金转入系统生成的子账号。</w:t>
            </w:r>
          </w:p>
          <w:p w14:paraId="761B2332">
            <w:pPr>
              <w:pStyle w:val="9"/>
              <w:spacing w:line="233" w:lineRule="auto"/>
              <w:ind w:left="120" w:firstLine="420" w:firstLineChars="200"/>
              <w:rPr>
                <w:rFonts w:hint="eastAsia"/>
              </w:rPr>
            </w:pPr>
            <w:r>
              <w:rPr>
                <w:rFonts w:hint="eastAsia"/>
                <w:lang w:eastAsia="zh-CN"/>
              </w:rPr>
              <w:t>（</w:t>
            </w:r>
            <w:r>
              <w:rPr>
                <w:rFonts w:hint="eastAsia"/>
                <w:lang w:val="en-US" w:eastAsia="zh-CN"/>
              </w:rPr>
              <w:t>3</w:t>
            </w:r>
            <w:r>
              <w:rPr>
                <w:rFonts w:hint="eastAsia"/>
                <w:lang w:eastAsia="zh-CN"/>
              </w:rPr>
              <w:t>）</w:t>
            </w:r>
            <w:r>
              <w:rPr>
                <w:rFonts w:hint="eastAsia"/>
              </w:rPr>
              <w:t>系统环境要求：win7以上操作系统、360极速浏览器（版本12或以上，极速模式），具体操作请查看【操作手册】云浮市公共资源建设工程交易系统操作指南（https://jyzx.yunfu.gov.cn/portal/detail?firstTab=04&amp;category=Bszngl&amp;id=467093769fc74aa3aafea7760193f2f0）；有技术问题请致电0766-8819989，QQ：2648788988：</w:t>
            </w:r>
          </w:p>
          <w:p w14:paraId="6136ABBE">
            <w:pPr>
              <w:pStyle w:val="9"/>
              <w:spacing w:line="233" w:lineRule="auto"/>
              <w:ind w:left="120" w:firstLine="420" w:firstLineChars="200"/>
              <w:rPr>
                <w:rFonts w:hint="eastAsia"/>
              </w:rPr>
            </w:pPr>
            <w:r>
              <w:rPr>
                <w:rFonts w:hint="eastAsia"/>
                <w:lang w:eastAsia="zh-CN"/>
              </w:rPr>
              <w:t>（</w:t>
            </w:r>
            <w:r>
              <w:rPr>
                <w:rFonts w:hint="eastAsia"/>
                <w:lang w:val="en-US" w:eastAsia="zh-CN"/>
              </w:rPr>
              <w:t>4</w:t>
            </w:r>
            <w:r>
              <w:rPr>
                <w:rFonts w:hint="eastAsia"/>
                <w:lang w:eastAsia="zh-CN"/>
              </w:rPr>
              <w:t>）</w:t>
            </w:r>
            <w:r>
              <w:rPr>
                <w:rFonts w:hint="eastAsia"/>
              </w:rPr>
              <w:t>投标人需用单位的CA锁（或粤企签）对电子投标文件进行电子签章并在投标截止时间前成功上传到云浮市公共资源交易服务平台；</w:t>
            </w:r>
          </w:p>
          <w:p w14:paraId="39F2979F">
            <w:pPr>
              <w:pStyle w:val="9"/>
              <w:spacing w:line="233" w:lineRule="auto"/>
              <w:ind w:left="120" w:firstLine="420" w:firstLineChars="200"/>
              <w:rPr>
                <w:rFonts w:hint="eastAsia"/>
              </w:rPr>
            </w:pPr>
            <w:r>
              <w:rPr>
                <w:rFonts w:hint="eastAsia"/>
                <w:lang w:eastAsia="zh-CN"/>
              </w:rPr>
              <w:t>（</w:t>
            </w:r>
            <w:r>
              <w:rPr>
                <w:rFonts w:hint="eastAsia"/>
                <w:lang w:val="en-US" w:eastAsia="zh-CN"/>
              </w:rPr>
              <w:t>5</w:t>
            </w:r>
            <w:r>
              <w:rPr>
                <w:rFonts w:hint="eastAsia"/>
                <w:lang w:eastAsia="zh-CN"/>
              </w:rPr>
              <w:t>）</w:t>
            </w:r>
            <w:r>
              <w:rPr>
                <w:rFonts w:hint="eastAsia"/>
              </w:rPr>
              <w:t>邀请所有人参加线上（不见面）开标会，投标截止时间前各投标人登录云浮市公共资源交易服务平台，开标时交易系统自动提取所有投标文件，由招标人/招标代理机构和各投标人对在投标截止时间前成功提交的投标文件按时在线解密【需用单位的CA锁（或粤企签）进行在线解密】。交易系统将向所有投标人公布有效解密（包括按【投标文件解密失败的补救方案和约定】有效提交的投标文件）投标文件对应的投标人名称、投标价格和招标文件规定的其他内容。解密失败且未按【投标文件解密失败的补救方案和约定】有效提交的投标文件的，视为投标人撤销其投标文件。</w:t>
            </w:r>
          </w:p>
          <w:p w14:paraId="10D7B6B9">
            <w:pPr>
              <w:pStyle w:val="9"/>
              <w:spacing w:line="233" w:lineRule="auto"/>
              <w:ind w:left="120" w:firstLine="420" w:firstLineChars="200"/>
              <w:rPr>
                <w:rFonts w:hint="eastAsia"/>
              </w:rPr>
            </w:pPr>
            <w:r>
              <w:rPr>
                <w:rFonts w:hint="eastAsia"/>
                <w:lang w:eastAsia="zh-CN"/>
              </w:rPr>
              <w:t>（</w:t>
            </w:r>
            <w:r>
              <w:rPr>
                <w:rFonts w:hint="eastAsia"/>
                <w:lang w:val="en-US" w:eastAsia="zh-CN"/>
              </w:rPr>
              <w:t>6</w:t>
            </w:r>
            <w:r>
              <w:rPr>
                <w:rFonts w:hint="eastAsia"/>
                <w:lang w:eastAsia="zh-CN"/>
              </w:rPr>
              <w:t>）</w:t>
            </w:r>
            <w:r>
              <w:rPr>
                <w:rFonts w:hint="eastAsia"/>
              </w:rPr>
              <w:t>电子开标按照招标文件确定的时间进行开标，在云浮市公共资源交易服务平台公开进行，所有投标人均应当准时参加线上开标。不参加线上开标会议的，致使其投标文件无法有效解密（包括按【投标文件解密失败的补救方案和约定】有效提交的投标文件）的，视为投标人撤销其投标文件和放弃投标文件解密失败补救权利。</w:t>
            </w:r>
          </w:p>
          <w:p w14:paraId="7F87EBD5">
            <w:pPr>
              <w:pStyle w:val="9"/>
              <w:spacing w:line="233" w:lineRule="auto"/>
              <w:ind w:left="120" w:firstLine="420" w:firstLineChars="200"/>
            </w:pPr>
            <w:r>
              <w:rPr>
                <w:rFonts w:hint="eastAsia"/>
                <w:lang w:eastAsia="zh-CN"/>
              </w:rPr>
              <w:t>（</w:t>
            </w:r>
            <w:r>
              <w:rPr>
                <w:rFonts w:hint="eastAsia"/>
                <w:lang w:val="en-US" w:eastAsia="zh-CN"/>
              </w:rPr>
              <w:t>7</w:t>
            </w:r>
            <w:r>
              <w:rPr>
                <w:rFonts w:hint="eastAsia"/>
                <w:lang w:eastAsia="zh-CN"/>
              </w:rPr>
              <w:t>）</w:t>
            </w:r>
            <w:r>
              <w:rPr>
                <w:rFonts w:hint="eastAsia"/>
              </w:rPr>
              <w:t>参与电子投标，可能会出现未知的风险，存在的一切问题由投标人自行承担。</w:t>
            </w:r>
          </w:p>
          <w:p w14:paraId="5A4FC029">
            <w:pPr>
              <w:pStyle w:val="9"/>
              <w:numPr>
                <w:ilvl w:val="0"/>
                <w:numId w:val="2"/>
              </w:numPr>
              <w:spacing w:line="233" w:lineRule="auto"/>
              <w:ind w:left="120" w:firstLine="420" w:firstLineChars="200"/>
              <w:rPr>
                <w:rFonts w:hint="eastAsia"/>
                <w:lang w:eastAsia="zh-CN"/>
              </w:rPr>
            </w:pPr>
            <w:r>
              <w:rPr>
                <w:rFonts w:hint="eastAsia"/>
                <w:lang w:eastAsia="zh-CN"/>
              </w:rPr>
              <w:t>在规定的投标登记期间，如某个标段投标登记并获取招标文件的投标人不足3家时，招标人有权选择以下任一方式：</w:t>
            </w:r>
            <w:r>
              <w:rPr>
                <w:rFonts w:hint="eastAsia" w:ascii="微软雅黑" w:hAnsi="微软雅黑" w:eastAsia="微软雅黑" w:cs="微软雅黑"/>
                <w:lang w:eastAsia="zh-CN"/>
              </w:rPr>
              <w:t>①</w:t>
            </w:r>
            <w:r>
              <w:rPr>
                <w:rFonts w:hint="eastAsia"/>
                <w:lang w:eastAsia="zh-CN"/>
              </w:rPr>
              <w:t>在广东省招标投标监管网及公共资源交易中心网站发布公告延长上述投标人家数不足的标段投标登记和获取招标文件时间，在延期投标登记和获取招标文件时间内，已投标登记投标人的资料仍有效并可自行补充资料，未投标登记的投标人可根据公告的约定进行投标登记并获取招标文件；</w:t>
            </w:r>
            <w:r>
              <w:rPr>
                <w:rFonts w:hint="eastAsia" w:ascii="微软雅黑" w:hAnsi="微软雅黑" w:eastAsia="微软雅黑" w:cs="微软雅黑"/>
                <w:lang w:eastAsia="zh-CN"/>
              </w:rPr>
              <w:t>②</w:t>
            </w:r>
            <w:r>
              <w:rPr>
                <w:rFonts w:hint="eastAsia"/>
                <w:lang w:eastAsia="zh-CN"/>
              </w:rPr>
              <w:t>对上述投标人家数不足的标段依法重新组织招标或依法开展后续工作。</w:t>
            </w:r>
          </w:p>
          <w:p w14:paraId="7C7A8E29">
            <w:pPr>
              <w:pStyle w:val="9"/>
              <w:numPr>
                <w:ilvl w:val="0"/>
                <w:numId w:val="2"/>
              </w:numPr>
              <w:spacing w:line="233" w:lineRule="auto"/>
              <w:ind w:left="120" w:firstLine="420" w:firstLineChars="200"/>
              <w:rPr>
                <w:rFonts w:hint="eastAsia"/>
                <w:lang w:eastAsia="zh-CN"/>
              </w:rPr>
            </w:pPr>
            <w:r>
              <w:rPr>
                <w:rFonts w:hint="eastAsia"/>
                <w:lang w:eastAsia="zh-CN"/>
              </w:rPr>
              <w:t xml:space="preserve">受理异议的联系人和联系方式： </w:t>
            </w:r>
          </w:p>
          <w:p w14:paraId="679B1BC0">
            <w:pPr>
              <w:pStyle w:val="9"/>
              <w:numPr>
                <w:ilvl w:val="0"/>
                <w:numId w:val="0"/>
              </w:numPr>
              <w:spacing w:line="233" w:lineRule="auto"/>
              <w:ind w:leftChars="200" w:firstLine="630" w:firstLineChars="300"/>
              <w:rPr>
                <w:rFonts w:hint="eastAsia"/>
                <w:lang w:eastAsia="zh-CN"/>
              </w:rPr>
            </w:pPr>
            <w:r>
              <w:rPr>
                <w:rFonts w:hint="eastAsia"/>
                <w:lang w:eastAsia="zh-CN"/>
              </w:rPr>
              <w:t xml:space="preserve">异议受理部门：云浮市云安区地方公路和交通运输管理站 </w:t>
            </w:r>
          </w:p>
          <w:p w14:paraId="6A003088">
            <w:pPr>
              <w:pStyle w:val="9"/>
              <w:numPr>
                <w:ilvl w:val="0"/>
                <w:numId w:val="0"/>
              </w:numPr>
              <w:spacing w:line="233" w:lineRule="auto"/>
              <w:ind w:left="420" w:leftChars="200" w:firstLine="630" w:firstLineChars="300"/>
              <w:rPr>
                <w:rFonts w:hint="eastAsia" w:ascii="宋体" w:hAnsi="宋体" w:eastAsia="宋体" w:cs="宋体"/>
                <w:snapToGrid w:val="0"/>
                <w:color w:val="auto"/>
                <w:kern w:val="0"/>
                <w:sz w:val="21"/>
                <w:szCs w:val="21"/>
                <w:highlight w:val="none"/>
                <w:lang w:val="en-US" w:eastAsia="zh-CN" w:bidi="ar"/>
              </w:rPr>
            </w:pPr>
            <w:r>
              <w:rPr>
                <w:rFonts w:hint="eastAsia"/>
                <w:lang w:eastAsia="zh-CN"/>
              </w:rPr>
              <w:t>联系方式：</w:t>
            </w:r>
            <w:r>
              <w:rPr>
                <w:rFonts w:hint="eastAsia" w:ascii="宋体" w:hAnsi="宋体" w:eastAsia="宋体" w:cs="宋体"/>
                <w:snapToGrid/>
                <w:color w:val="auto"/>
                <w:kern w:val="2"/>
                <w:sz w:val="21"/>
                <w:szCs w:val="21"/>
                <w:highlight w:val="none"/>
                <w:lang w:val="en-US" w:eastAsia="zh-CN"/>
              </w:rPr>
              <w:t>欧先生</w:t>
            </w:r>
            <w:r>
              <w:rPr>
                <w:rFonts w:hint="eastAsia" w:cs="宋体"/>
                <w:snapToGrid/>
                <w:color w:val="auto"/>
                <w:kern w:val="2"/>
                <w:sz w:val="21"/>
                <w:szCs w:val="21"/>
                <w:highlight w:val="none"/>
                <w:lang w:val="en-US" w:eastAsia="zh-CN"/>
              </w:rPr>
              <w:t xml:space="preserve"> </w:t>
            </w:r>
            <w:r>
              <w:rPr>
                <w:rFonts w:hint="eastAsia" w:ascii="宋体" w:hAnsi="宋体" w:eastAsia="宋体" w:cs="宋体"/>
                <w:color w:val="auto"/>
                <w:sz w:val="21"/>
                <w:szCs w:val="21"/>
                <w:highlight w:val="none"/>
                <w:lang w:eastAsia="zh-CN"/>
              </w:rPr>
              <w:t>0766-8638020</w:t>
            </w:r>
          </w:p>
        </w:tc>
      </w:tr>
    </w:tbl>
    <w:p w14:paraId="59B54222">
      <w:pPr>
        <w:spacing w:line="234" w:lineRule="exact"/>
      </w:pPr>
    </w:p>
    <w:p w14:paraId="573A4153">
      <w:pPr>
        <w:spacing w:before="126" w:line="218" w:lineRule="auto"/>
        <w:ind w:left="323"/>
        <w:rPr>
          <w:rFonts w:ascii="宋体" w:hAnsi="宋体" w:eastAsia="宋体" w:cs="宋体"/>
          <w:spacing w:val="-2"/>
          <w:sz w:val="21"/>
          <w:szCs w:val="21"/>
        </w:rPr>
      </w:pPr>
      <w:r>
        <w:rPr>
          <w:rFonts w:ascii="宋体" w:hAnsi="宋体" w:eastAsia="宋体" w:cs="宋体"/>
          <w:spacing w:val="-2"/>
          <w:sz w:val="21"/>
          <w:szCs w:val="21"/>
        </w:rPr>
        <w:t>招标公告附件</w:t>
      </w:r>
    </w:p>
    <w:p w14:paraId="76B36BA3">
      <w:pPr>
        <w:spacing w:before="126" w:line="218" w:lineRule="auto"/>
        <w:ind w:left="323"/>
        <w:rPr>
          <w:rFonts w:ascii="宋体" w:hAnsi="宋体" w:eastAsia="宋体" w:cs="宋体"/>
          <w:spacing w:val="-2"/>
          <w:sz w:val="21"/>
          <w:szCs w:val="21"/>
        </w:rPr>
      </w:pPr>
      <w:r>
        <w:rPr>
          <w:rFonts w:ascii="宋体" w:hAnsi="宋体" w:eastAsia="宋体" w:cs="宋体"/>
          <w:spacing w:val="-2"/>
          <w:sz w:val="21"/>
          <w:szCs w:val="21"/>
        </w:rPr>
        <w:t>附件 1：标段的划分及主要工程项目情况</w:t>
      </w:r>
    </w:p>
    <w:p w14:paraId="0D22E8DD">
      <w:pPr>
        <w:spacing w:before="126" w:line="218" w:lineRule="auto"/>
        <w:ind w:left="323"/>
        <w:rPr>
          <w:rFonts w:hint="eastAsia" w:ascii="宋体" w:hAnsi="宋体" w:eastAsia="宋体" w:cs="宋体"/>
          <w:spacing w:val="-2"/>
          <w:sz w:val="21"/>
          <w:szCs w:val="21"/>
          <w:lang w:eastAsia="zh-CN"/>
        </w:rPr>
      </w:pPr>
      <w:r>
        <w:rPr>
          <w:rFonts w:ascii="宋体" w:hAnsi="宋体" w:eastAsia="宋体" w:cs="宋体"/>
          <w:spacing w:val="-2"/>
          <w:sz w:val="21"/>
          <w:szCs w:val="21"/>
        </w:rPr>
        <w:t xml:space="preserve">附件 2：资格审查条件附录  1 至附录 </w:t>
      </w:r>
      <w:r>
        <w:rPr>
          <w:rFonts w:hint="eastAsia" w:ascii="宋体" w:hAnsi="宋体" w:eastAsia="宋体" w:cs="宋体"/>
          <w:spacing w:val="-2"/>
          <w:sz w:val="21"/>
          <w:szCs w:val="21"/>
          <w:lang w:val="en-US" w:eastAsia="zh-CN"/>
        </w:rPr>
        <w:t>6</w:t>
      </w:r>
    </w:p>
    <w:p w14:paraId="3CF57CE1">
      <w:pPr>
        <w:spacing w:before="126" w:line="218" w:lineRule="auto"/>
        <w:ind w:left="323"/>
        <w:rPr>
          <w:rFonts w:ascii="宋体" w:hAnsi="宋体" w:eastAsia="宋体" w:cs="宋体"/>
          <w:spacing w:val="-2"/>
          <w:sz w:val="21"/>
          <w:szCs w:val="21"/>
        </w:rPr>
      </w:pPr>
      <w:r>
        <w:rPr>
          <w:rFonts w:ascii="宋体" w:hAnsi="宋体" w:eastAsia="宋体" w:cs="宋体"/>
          <w:spacing w:val="-2"/>
          <w:sz w:val="21"/>
          <w:szCs w:val="21"/>
        </w:rPr>
        <w:t>附件 3：评标办法</w:t>
      </w:r>
    </w:p>
    <w:p w14:paraId="7CAE4AB5">
      <w:pPr>
        <w:spacing w:before="126" w:line="218" w:lineRule="auto"/>
        <w:ind w:left="323"/>
        <w:rPr>
          <w:rFonts w:ascii="宋体" w:hAnsi="宋体" w:eastAsia="宋体" w:cs="宋体"/>
          <w:spacing w:val="-2"/>
          <w:sz w:val="21"/>
          <w:szCs w:val="21"/>
        </w:rPr>
      </w:pPr>
      <w:r>
        <w:rPr>
          <w:rFonts w:ascii="宋体" w:hAnsi="宋体" w:eastAsia="宋体" w:cs="宋体"/>
          <w:spacing w:val="-2"/>
          <w:sz w:val="21"/>
          <w:szCs w:val="21"/>
        </w:rPr>
        <w:t>以上附件可从发布公告的网站媒介上下载。</w:t>
      </w:r>
    </w:p>
    <w:p w14:paraId="728E9C62">
      <w:pPr>
        <w:rPr>
          <w:rFonts w:ascii="宋体" w:hAnsi="宋体" w:eastAsia="宋体" w:cs="宋体"/>
          <w:spacing w:val="5"/>
          <w:sz w:val="28"/>
          <w:szCs w:val="28"/>
        </w:rPr>
      </w:pPr>
    </w:p>
    <w:p w14:paraId="7A50D37A">
      <w:pPr>
        <w:rPr>
          <w:rFonts w:ascii="宋体" w:hAnsi="宋体" w:eastAsia="宋体" w:cs="宋体"/>
          <w:spacing w:val="5"/>
          <w:sz w:val="28"/>
          <w:szCs w:val="28"/>
        </w:rPr>
      </w:pPr>
    </w:p>
    <w:p w14:paraId="52C589A4">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 xml:space="preserve">温馨提示： </w:t>
      </w:r>
    </w:p>
    <w:p w14:paraId="55A88752">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1、投标人应在</w:t>
      </w:r>
      <w:r>
        <w:rPr>
          <w:rFonts w:hint="eastAsia" w:ascii="宋体" w:hAnsi="宋体" w:eastAsia="宋体" w:cs="宋体"/>
          <w:b/>
          <w:bCs/>
          <w:snapToGrid w:val="0"/>
          <w:color w:val="000000"/>
          <w:kern w:val="0"/>
          <w:sz w:val="21"/>
          <w:szCs w:val="21"/>
          <w:lang w:val="en-US" w:eastAsia="zh-CN" w:bidi="ar"/>
        </w:rPr>
        <w:t>“递交投标文件截止时间”</w:t>
      </w:r>
      <w:r>
        <w:rPr>
          <w:rFonts w:hint="eastAsia" w:ascii="宋体" w:hAnsi="宋体" w:eastAsia="宋体" w:cs="宋体"/>
          <w:snapToGrid w:val="0"/>
          <w:color w:val="000000"/>
          <w:kern w:val="0"/>
          <w:sz w:val="21"/>
          <w:szCs w:val="21"/>
          <w:lang w:val="en-US" w:eastAsia="zh-CN" w:bidi="ar"/>
        </w:rPr>
        <w:t>前</w:t>
      </w:r>
      <w:r>
        <w:rPr>
          <w:rFonts w:hint="eastAsia" w:ascii="宋体" w:hAnsi="宋体" w:cs="宋体"/>
          <w:snapToGrid w:val="0"/>
          <w:color w:val="000000"/>
          <w:kern w:val="0"/>
          <w:sz w:val="21"/>
          <w:szCs w:val="21"/>
          <w:lang w:val="en-US" w:eastAsia="zh-CN" w:bidi="ar"/>
        </w:rPr>
        <w:t>登录</w:t>
      </w:r>
      <w:r>
        <w:rPr>
          <w:rFonts w:hint="eastAsia" w:ascii="宋体" w:hAnsi="宋体" w:eastAsia="宋体" w:cs="宋体"/>
          <w:snapToGrid w:val="0"/>
          <w:color w:val="000000"/>
          <w:kern w:val="0"/>
          <w:sz w:val="21"/>
          <w:szCs w:val="21"/>
          <w:lang w:val="en-US" w:eastAsia="zh-CN" w:bidi="ar"/>
        </w:rPr>
        <w:t xml:space="preserve">云浮市公共资源交易服务平台后台，进入开标项 </w:t>
      </w:r>
    </w:p>
    <w:p w14:paraId="4B4706A0">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目的“云开标大厅”。建议使用 360 浏览器极速模式。 </w:t>
      </w:r>
    </w:p>
    <w:p w14:paraId="67A14E9B">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2、线上开标期间，投标人需用单位的 CA 锁（或粤企签）对电子投标文件进行电子签章，为保证 CA </w:t>
      </w:r>
    </w:p>
    <w:p w14:paraId="43045D1E">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锁签章顺利，建议投标人提前在电脑中安装 CA 锁介质的，具体操作步骤如下： </w:t>
      </w:r>
    </w:p>
    <w:p w14:paraId="1600E0F8">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第一步：打开“广东省公共资源交易平台（云浮市）”首页 （https://ygp.gdzwfw.gov.cn/#/445300/index） </w:t>
      </w:r>
    </w:p>
    <w:p w14:paraId="5DEEE47A">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第二步：点击“服务指南” </w:t>
      </w:r>
      <w:r>
        <w:drawing>
          <wp:inline distT="0" distB="0" distL="114300" distR="114300">
            <wp:extent cx="5756910" cy="596900"/>
            <wp:effectExtent l="0" t="0" r="571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3"/>
                    <a:stretch>
                      <a:fillRect/>
                    </a:stretch>
                  </pic:blipFill>
                  <pic:spPr>
                    <a:xfrm>
                      <a:off x="0" y="0"/>
                      <a:ext cx="5756910" cy="596900"/>
                    </a:xfrm>
                    <a:prstGeom prst="rect">
                      <a:avLst/>
                    </a:prstGeom>
                    <a:noFill/>
                    <a:ln>
                      <a:noFill/>
                    </a:ln>
                  </pic:spPr>
                </pic:pic>
              </a:graphicData>
            </a:graphic>
          </wp:inline>
        </w:drawing>
      </w:r>
    </w:p>
    <w:p w14:paraId="0BE86A05">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 xml:space="preserve">第三步：点击“企业登记办理指引”，对应投标人的 CA 介质安装对应的签章驱动（必须先解压安 </w:t>
      </w:r>
    </w:p>
    <w:p w14:paraId="7B70A512">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装包，安装驱动后，重启电脑，再进入云浮市公共资源交易服务平台后台）</w:t>
      </w:r>
      <w:r>
        <w:drawing>
          <wp:inline distT="0" distB="0" distL="114300" distR="114300">
            <wp:extent cx="5758180" cy="3905250"/>
            <wp:effectExtent l="0" t="0" r="444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24"/>
                    <a:stretch>
                      <a:fillRect/>
                    </a:stretch>
                  </pic:blipFill>
                  <pic:spPr>
                    <a:xfrm>
                      <a:off x="0" y="0"/>
                      <a:ext cx="5758180" cy="3905250"/>
                    </a:xfrm>
                    <a:prstGeom prst="rect">
                      <a:avLst/>
                    </a:prstGeom>
                    <a:noFill/>
                    <a:ln>
                      <a:noFill/>
                    </a:ln>
                  </pic:spPr>
                </pic:pic>
              </a:graphicData>
            </a:graphic>
          </wp:inline>
        </w:drawing>
      </w:r>
      <w:r>
        <w:rPr>
          <w:rFonts w:hint="eastAsia" w:ascii="宋体" w:hAnsi="宋体" w:eastAsia="宋体" w:cs="宋体"/>
          <w:snapToGrid w:val="0"/>
          <w:color w:val="000000"/>
          <w:kern w:val="0"/>
          <w:sz w:val="21"/>
          <w:szCs w:val="21"/>
          <w:lang w:val="en-US" w:eastAsia="zh-CN" w:bidi="ar"/>
        </w:rPr>
        <w:t xml:space="preserve"> </w:t>
      </w:r>
    </w:p>
    <w:p w14:paraId="6211C34F">
      <w:pPr>
        <w:keepNext w:val="0"/>
        <w:keepLines w:val="0"/>
        <w:widowControl/>
        <w:suppressLineNumbers w:val="0"/>
        <w:jc w:val="left"/>
      </w:pPr>
      <w:r>
        <w:rPr>
          <w:rFonts w:hint="eastAsia" w:ascii="宋体" w:hAnsi="宋体" w:eastAsia="宋体" w:cs="宋体"/>
          <w:snapToGrid w:val="0"/>
          <w:color w:val="000000"/>
          <w:kern w:val="0"/>
          <w:sz w:val="21"/>
          <w:szCs w:val="21"/>
          <w:lang w:val="en-US" w:eastAsia="zh-CN" w:bidi="ar"/>
        </w:rPr>
        <w:t>3、如开评标过程中遇到问题的，请致电 0766-8819989，QQ：2648788988。</w:t>
      </w:r>
    </w:p>
    <w:p w14:paraId="549CF3E4">
      <w:pPr>
        <w:spacing w:before="78" w:line="219" w:lineRule="auto"/>
        <w:ind w:left="287"/>
        <w:rPr>
          <w:rFonts w:ascii="宋体" w:hAnsi="宋体" w:eastAsia="宋体" w:cs="宋体"/>
          <w:spacing w:val="-4"/>
          <w:sz w:val="24"/>
          <w:szCs w:val="24"/>
        </w:rPr>
      </w:pPr>
    </w:p>
    <w:p w14:paraId="3CD8D41A">
      <w:pPr>
        <w:spacing w:before="78" w:line="219" w:lineRule="auto"/>
        <w:ind w:left="287"/>
        <w:rPr>
          <w:rFonts w:ascii="宋体" w:hAnsi="宋体" w:eastAsia="宋体" w:cs="宋体"/>
          <w:spacing w:val="-4"/>
          <w:sz w:val="24"/>
          <w:szCs w:val="24"/>
        </w:rPr>
      </w:pPr>
    </w:p>
    <w:p w14:paraId="6FA09E24">
      <w:pPr>
        <w:spacing w:before="78" w:line="219" w:lineRule="auto"/>
        <w:ind w:left="287"/>
        <w:rPr>
          <w:rFonts w:ascii="宋体" w:hAnsi="宋体" w:eastAsia="宋体" w:cs="宋体"/>
          <w:spacing w:val="-4"/>
          <w:sz w:val="24"/>
          <w:szCs w:val="24"/>
        </w:rPr>
      </w:pPr>
    </w:p>
    <w:p w14:paraId="5E7C448B">
      <w:pPr>
        <w:spacing w:before="78" w:line="219" w:lineRule="auto"/>
        <w:ind w:left="287"/>
        <w:rPr>
          <w:rFonts w:ascii="宋体" w:hAnsi="宋体" w:eastAsia="宋体" w:cs="宋体"/>
          <w:spacing w:val="-4"/>
          <w:sz w:val="24"/>
          <w:szCs w:val="24"/>
        </w:rPr>
      </w:pPr>
    </w:p>
    <w:p w14:paraId="7BEBF826">
      <w:pPr>
        <w:spacing w:before="78" w:line="219" w:lineRule="auto"/>
        <w:ind w:left="287"/>
        <w:rPr>
          <w:rFonts w:ascii="宋体" w:hAnsi="宋体" w:eastAsia="宋体" w:cs="宋体"/>
          <w:spacing w:val="-4"/>
          <w:sz w:val="24"/>
          <w:szCs w:val="24"/>
        </w:rPr>
      </w:pPr>
    </w:p>
    <w:p w14:paraId="2D265B4E">
      <w:pPr>
        <w:pStyle w:val="2"/>
        <w:spacing w:line="284" w:lineRule="auto"/>
      </w:pPr>
    </w:p>
    <w:p w14:paraId="7848773B">
      <w:pPr>
        <w:pStyle w:val="2"/>
      </w:pPr>
      <w:bookmarkStart w:id="1" w:name="bookmark2"/>
      <w:bookmarkEnd w:id="1"/>
    </w:p>
    <w:p w14:paraId="3B18AC13">
      <w:pPr>
        <w:pStyle w:val="2"/>
      </w:pPr>
    </w:p>
    <w:p w14:paraId="58B66C34">
      <w:pPr>
        <w:pStyle w:val="2"/>
      </w:pPr>
    </w:p>
    <w:p w14:paraId="67093470">
      <w:pPr>
        <w:pStyle w:val="2"/>
      </w:pPr>
    </w:p>
    <w:p w14:paraId="0C89DF45">
      <w:pPr>
        <w:pStyle w:val="2"/>
      </w:pPr>
    </w:p>
    <w:p w14:paraId="10EEB747">
      <w:pPr>
        <w:pStyle w:val="2"/>
      </w:pPr>
    </w:p>
    <w:p w14:paraId="270193BA">
      <w:pPr>
        <w:pStyle w:val="2"/>
      </w:pPr>
    </w:p>
    <w:p w14:paraId="62DD229C">
      <w:pPr>
        <w:pStyle w:val="2"/>
      </w:pPr>
    </w:p>
    <w:p w14:paraId="03A985F2">
      <w:pPr>
        <w:pStyle w:val="2"/>
      </w:pPr>
    </w:p>
    <w:p w14:paraId="24F898C3">
      <w:pPr>
        <w:pStyle w:val="2"/>
      </w:pPr>
    </w:p>
    <w:p w14:paraId="0DF87AD8">
      <w:pPr>
        <w:pStyle w:val="2"/>
      </w:pPr>
    </w:p>
    <w:p w14:paraId="56AAC51C">
      <w:pPr>
        <w:pStyle w:val="2"/>
      </w:pPr>
    </w:p>
    <w:p w14:paraId="25CD896E">
      <w:pPr>
        <w:pStyle w:val="2"/>
      </w:pPr>
    </w:p>
    <w:p w14:paraId="4DF3B48D">
      <w:pPr>
        <w:pStyle w:val="2"/>
      </w:pPr>
    </w:p>
    <w:p w14:paraId="56712FD0">
      <w:pPr>
        <w:pStyle w:val="2"/>
      </w:pPr>
    </w:p>
    <w:p w14:paraId="51A898E7">
      <w:pPr>
        <w:pStyle w:val="2"/>
      </w:pPr>
    </w:p>
    <w:p w14:paraId="18BD916A">
      <w:pPr>
        <w:pStyle w:val="2"/>
      </w:pPr>
    </w:p>
    <w:p w14:paraId="091931CA">
      <w:pPr>
        <w:pStyle w:val="2"/>
      </w:pPr>
    </w:p>
    <w:p w14:paraId="0078FF81">
      <w:pPr>
        <w:pStyle w:val="2"/>
        <w:spacing w:line="241" w:lineRule="auto"/>
      </w:pPr>
    </w:p>
    <w:p w14:paraId="25C1623C">
      <w:pPr>
        <w:pStyle w:val="2"/>
        <w:spacing w:line="241" w:lineRule="auto"/>
      </w:pPr>
    </w:p>
    <w:p w14:paraId="7A6F4449">
      <w:pPr>
        <w:pStyle w:val="2"/>
        <w:spacing w:line="241" w:lineRule="auto"/>
      </w:pPr>
    </w:p>
    <w:p w14:paraId="3305FDAC">
      <w:pPr>
        <w:pStyle w:val="2"/>
        <w:spacing w:line="241" w:lineRule="auto"/>
      </w:pPr>
    </w:p>
    <w:p w14:paraId="64B2D777">
      <w:pPr>
        <w:pStyle w:val="2"/>
        <w:spacing w:line="241" w:lineRule="auto"/>
      </w:pPr>
    </w:p>
    <w:p w14:paraId="07E4061E">
      <w:pPr>
        <w:pStyle w:val="2"/>
        <w:spacing w:line="241" w:lineRule="auto"/>
      </w:pPr>
    </w:p>
    <w:p w14:paraId="3B167275">
      <w:pPr>
        <w:spacing w:before="140" w:line="223" w:lineRule="auto"/>
        <w:ind w:left="2678"/>
        <w:outlineLvl w:val="0"/>
        <w:rPr>
          <w:rFonts w:ascii="宋体" w:hAnsi="宋体" w:eastAsia="宋体" w:cs="宋体"/>
          <w:sz w:val="43"/>
          <w:szCs w:val="43"/>
        </w:rPr>
      </w:pPr>
      <w:bookmarkStart w:id="2" w:name="bookmark4"/>
      <w:bookmarkEnd w:id="2"/>
      <w:r>
        <w:rPr>
          <w:rFonts w:ascii="宋体" w:hAnsi="宋体" w:eastAsia="宋体" w:cs="宋体"/>
          <w:b/>
          <w:bCs/>
          <w:spacing w:val="5"/>
          <w:sz w:val="43"/>
          <w:szCs w:val="43"/>
        </w:rPr>
        <w:t>第二章</w:t>
      </w:r>
      <w:r>
        <w:rPr>
          <w:rFonts w:ascii="宋体" w:hAnsi="宋体" w:eastAsia="宋体" w:cs="宋体"/>
          <w:spacing w:val="5"/>
          <w:sz w:val="43"/>
          <w:szCs w:val="43"/>
        </w:rPr>
        <w:t xml:space="preserve"> </w:t>
      </w:r>
      <w:r>
        <w:rPr>
          <w:rFonts w:ascii="宋体" w:hAnsi="宋体" w:eastAsia="宋体" w:cs="宋体"/>
          <w:b/>
          <w:bCs/>
          <w:spacing w:val="5"/>
          <w:sz w:val="43"/>
          <w:szCs w:val="43"/>
        </w:rPr>
        <w:t>投标人须知</w:t>
      </w:r>
    </w:p>
    <w:p w14:paraId="574113FF">
      <w:pPr>
        <w:spacing w:line="223" w:lineRule="auto"/>
        <w:rPr>
          <w:rFonts w:ascii="宋体" w:hAnsi="宋体" w:eastAsia="宋体" w:cs="宋体"/>
          <w:sz w:val="43"/>
          <w:szCs w:val="43"/>
        </w:rPr>
        <w:sectPr>
          <w:headerReference r:id="rId7" w:type="default"/>
          <w:footerReference r:id="rId8" w:type="default"/>
          <w:pgSz w:w="11905" w:h="16840"/>
          <w:pgMar w:top="1182" w:right="1416" w:bottom="1171" w:left="1416" w:header="849" w:footer="937" w:gutter="0"/>
          <w:pgNumType w:fmt="decimal"/>
          <w:cols w:space="720" w:num="1"/>
        </w:sectPr>
      </w:pPr>
    </w:p>
    <w:p w14:paraId="4D286D15">
      <w:pPr>
        <w:pStyle w:val="2"/>
        <w:spacing w:line="284" w:lineRule="auto"/>
      </w:pPr>
    </w:p>
    <w:p w14:paraId="4C5CDC68">
      <w:pPr>
        <w:spacing w:before="100" w:line="225" w:lineRule="auto"/>
        <w:ind w:left="3296"/>
        <w:rPr>
          <w:rFonts w:ascii="宋体" w:hAnsi="宋体" w:eastAsia="宋体" w:cs="宋体"/>
          <w:sz w:val="31"/>
          <w:szCs w:val="31"/>
        </w:rPr>
      </w:pPr>
      <w:r>
        <w:rPr>
          <w:rFonts w:ascii="宋体" w:hAnsi="宋体" w:eastAsia="宋体" w:cs="宋体"/>
          <w:b/>
          <w:bCs/>
          <w:spacing w:val="6"/>
          <w:sz w:val="31"/>
          <w:szCs w:val="31"/>
        </w:rPr>
        <w:t>第二章</w:t>
      </w:r>
      <w:r>
        <w:rPr>
          <w:rFonts w:ascii="宋体" w:hAnsi="宋体" w:eastAsia="宋体" w:cs="宋体"/>
          <w:spacing w:val="6"/>
          <w:sz w:val="31"/>
          <w:szCs w:val="31"/>
        </w:rPr>
        <w:t xml:space="preserve"> </w:t>
      </w:r>
      <w:r>
        <w:rPr>
          <w:rFonts w:ascii="宋体" w:hAnsi="宋体" w:eastAsia="宋体" w:cs="宋体"/>
          <w:b/>
          <w:bCs/>
          <w:spacing w:val="6"/>
          <w:sz w:val="31"/>
          <w:szCs w:val="31"/>
        </w:rPr>
        <w:t>投标人须知</w:t>
      </w:r>
    </w:p>
    <w:p w14:paraId="2DBDC44E">
      <w:pPr>
        <w:pStyle w:val="2"/>
        <w:spacing w:line="265" w:lineRule="auto"/>
      </w:pPr>
    </w:p>
    <w:p w14:paraId="5C3FDDC1">
      <w:pPr>
        <w:spacing w:before="78" w:line="233" w:lineRule="auto"/>
        <w:ind w:left="125" w:firstLine="236" w:firstLineChars="100"/>
        <w:rPr>
          <w:rFonts w:ascii="宋体" w:hAnsi="宋体" w:eastAsia="宋体" w:cs="宋体"/>
          <w:sz w:val="12"/>
          <w:szCs w:val="12"/>
        </w:rPr>
      </w:pPr>
      <w:r>
        <w:rPr>
          <w:rFonts w:ascii="宋体" w:hAnsi="宋体" w:eastAsia="宋体" w:cs="宋体"/>
          <w:spacing w:val="-2"/>
          <w:sz w:val="24"/>
          <w:szCs w:val="24"/>
        </w:rPr>
        <w:t>投标人须知前附表</w:t>
      </w:r>
    </w:p>
    <w:p w14:paraId="4884E0E1">
      <w:pPr>
        <w:spacing w:line="70" w:lineRule="exact"/>
      </w:pPr>
    </w:p>
    <w:tbl>
      <w:tblPr>
        <w:tblStyle w:val="8"/>
        <w:tblW w:w="97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646"/>
        <w:gridCol w:w="5931"/>
      </w:tblGrid>
      <w:tr w14:paraId="5252F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3E26912F">
            <w:pPr>
              <w:pStyle w:val="9"/>
              <w:spacing w:before="181" w:line="220" w:lineRule="auto"/>
              <w:ind w:left="284"/>
            </w:pPr>
            <w:r>
              <w:rPr>
                <w:b/>
                <w:bCs/>
                <w:spacing w:val="-6"/>
              </w:rPr>
              <w:t>条款号</w:t>
            </w:r>
          </w:p>
        </w:tc>
        <w:tc>
          <w:tcPr>
            <w:tcW w:w="2646" w:type="dxa"/>
            <w:vAlign w:val="top"/>
          </w:tcPr>
          <w:p w14:paraId="724599AF">
            <w:pPr>
              <w:pStyle w:val="9"/>
              <w:spacing w:before="181" w:line="220" w:lineRule="auto"/>
              <w:ind w:left="807"/>
            </w:pPr>
            <w:r>
              <w:rPr>
                <w:b/>
                <w:bCs/>
                <w:spacing w:val="-5"/>
              </w:rPr>
              <w:t>条款名称</w:t>
            </w:r>
          </w:p>
        </w:tc>
        <w:tc>
          <w:tcPr>
            <w:tcW w:w="5931" w:type="dxa"/>
            <w:vAlign w:val="top"/>
          </w:tcPr>
          <w:p w14:paraId="7A9D9482">
            <w:pPr>
              <w:pStyle w:val="9"/>
              <w:spacing w:before="181" w:line="220" w:lineRule="auto"/>
              <w:ind w:left="2417"/>
            </w:pPr>
            <w:r>
              <w:rPr>
                <w:b/>
                <w:bCs/>
                <w:spacing w:val="-5"/>
              </w:rPr>
              <w:t>编列内容</w:t>
            </w:r>
          </w:p>
        </w:tc>
      </w:tr>
      <w:tr w14:paraId="1E0A7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185" w:type="dxa"/>
            <w:vAlign w:val="top"/>
          </w:tcPr>
          <w:p w14:paraId="72E7AF8B">
            <w:pPr>
              <w:spacing w:line="257" w:lineRule="auto"/>
              <w:rPr>
                <w:rFonts w:ascii="Arial"/>
                <w:sz w:val="21"/>
              </w:rPr>
            </w:pPr>
          </w:p>
          <w:p w14:paraId="0933CF74">
            <w:pPr>
              <w:spacing w:line="257" w:lineRule="auto"/>
              <w:rPr>
                <w:rFonts w:ascii="Arial"/>
                <w:sz w:val="21"/>
              </w:rPr>
            </w:pPr>
          </w:p>
          <w:p w14:paraId="326AFE25">
            <w:pPr>
              <w:spacing w:line="258" w:lineRule="auto"/>
              <w:rPr>
                <w:rFonts w:ascii="Arial"/>
                <w:sz w:val="21"/>
              </w:rPr>
            </w:pPr>
          </w:p>
          <w:p w14:paraId="3B5F5B6E">
            <w:pPr>
              <w:pStyle w:val="9"/>
              <w:spacing w:before="68" w:line="239" w:lineRule="auto"/>
              <w:ind w:left="349"/>
            </w:pPr>
            <w:r>
              <w:rPr>
                <w:spacing w:val="-5"/>
              </w:rPr>
              <w:t>1.1.2</w:t>
            </w:r>
          </w:p>
        </w:tc>
        <w:tc>
          <w:tcPr>
            <w:tcW w:w="2646" w:type="dxa"/>
            <w:vAlign w:val="top"/>
          </w:tcPr>
          <w:p w14:paraId="78BC97AA">
            <w:pPr>
              <w:spacing w:line="257" w:lineRule="auto"/>
              <w:rPr>
                <w:rFonts w:ascii="Arial"/>
                <w:sz w:val="21"/>
              </w:rPr>
            </w:pPr>
          </w:p>
          <w:p w14:paraId="708EA795">
            <w:pPr>
              <w:spacing w:line="257" w:lineRule="auto"/>
              <w:rPr>
                <w:rFonts w:ascii="Arial"/>
                <w:sz w:val="21"/>
              </w:rPr>
            </w:pPr>
          </w:p>
          <w:p w14:paraId="5F18C4B8">
            <w:pPr>
              <w:spacing w:line="258" w:lineRule="auto"/>
              <w:rPr>
                <w:rFonts w:ascii="Arial"/>
                <w:sz w:val="21"/>
              </w:rPr>
            </w:pPr>
          </w:p>
          <w:p w14:paraId="75EFDD8B">
            <w:pPr>
              <w:pStyle w:val="9"/>
              <w:spacing w:before="68" w:line="220" w:lineRule="auto"/>
              <w:ind w:left="910"/>
            </w:pPr>
            <w:r>
              <w:rPr>
                <w:spacing w:val="-2"/>
              </w:rPr>
              <w:t>招标人</w:t>
            </w:r>
          </w:p>
        </w:tc>
        <w:tc>
          <w:tcPr>
            <w:tcW w:w="5931" w:type="dxa"/>
            <w:vAlign w:val="top"/>
          </w:tcPr>
          <w:p w14:paraId="39994AFA">
            <w:pPr>
              <w:pStyle w:val="9"/>
              <w:spacing w:before="245" w:line="222" w:lineRule="auto"/>
              <w:ind w:left="115"/>
            </w:pPr>
            <w:r>
              <w:rPr>
                <w:spacing w:val="-14"/>
              </w:rPr>
              <w:t>名称：</w:t>
            </w:r>
            <w:r>
              <w:rPr>
                <w:rFonts w:hint="eastAsia"/>
                <w:spacing w:val="-14"/>
              </w:rPr>
              <w:t>云浮市云安区地方公路和交通运输管理站</w:t>
            </w:r>
          </w:p>
          <w:p w14:paraId="0D659968">
            <w:pPr>
              <w:pStyle w:val="9"/>
              <w:spacing w:before="147" w:line="229" w:lineRule="auto"/>
              <w:ind w:left="113"/>
              <w:rPr>
                <w:rFonts w:hint="eastAsia"/>
                <w:spacing w:val="-13"/>
                <w:lang w:eastAsia="zh-CN"/>
              </w:rPr>
            </w:pPr>
            <w:r>
              <w:rPr>
                <w:spacing w:val="-13"/>
              </w:rPr>
              <w:t>地址：</w:t>
            </w:r>
            <w:r>
              <w:rPr>
                <w:rFonts w:hint="eastAsia"/>
                <w:spacing w:val="-13"/>
                <w:lang w:eastAsia="zh-CN"/>
              </w:rPr>
              <w:t>广东省云浮市云安区云泰大道云聚花园1号楼6楼</w:t>
            </w:r>
          </w:p>
          <w:p w14:paraId="5BE42A56">
            <w:pPr>
              <w:pStyle w:val="9"/>
              <w:spacing w:before="147" w:line="229" w:lineRule="auto"/>
              <w:ind w:left="113"/>
              <w:rPr>
                <w:rFonts w:hint="eastAsia"/>
                <w:spacing w:val="-13"/>
                <w:lang w:val="en-US" w:eastAsia="zh-CN"/>
              </w:rPr>
            </w:pPr>
            <w:r>
              <w:rPr>
                <w:rFonts w:hint="eastAsia"/>
                <w:spacing w:val="-13"/>
                <w:lang w:val="en-US" w:eastAsia="zh-CN"/>
              </w:rPr>
              <w:t>联系人：欧先生</w:t>
            </w:r>
          </w:p>
          <w:p w14:paraId="3AF6A00B">
            <w:pPr>
              <w:pStyle w:val="9"/>
              <w:spacing w:before="147" w:line="229" w:lineRule="auto"/>
              <w:ind w:left="113"/>
              <w:rPr>
                <w:rFonts w:hint="default"/>
                <w:spacing w:val="-13"/>
                <w:lang w:val="en-US" w:eastAsia="zh-CN"/>
              </w:rPr>
            </w:pPr>
            <w:r>
              <w:rPr>
                <w:rFonts w:hint="eastAsia"/>
                <w:spacing w:val="-13"/>
                <w:lang w:val="en-US" w:eastAsia="zh-CN"/>
              </w:rPr>
              <w:t>电话：</w:t>
            </w:r>
            <w:r>
              <w:rPr>
                <w:rFonts w:hint="eastAsia"/>
                <w:spacing w:val="8"/>
                <w:sz w:val="20"/>
                <w:szCs w:val="20"/>
              </w:rPr>
              <w:t>0766-8638020</w:t>
            </w:r>
          </w:p>
        </w:tc>
      </w:tr>
      <w:tr w14:paraId="54E64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1185" w:type="dxa"/>
            <w:vAlign w:val="top"/>
          </w:tcPr>
          <w:p w14:paraId="6AC6BBC2">
            <w:pPr>
              <w:spacing w:line="262" w:lineRule="auto"/>
              <w:rPr>
                <w:rFonts w:ascii="Arial"/>
                <w:sz w:val="21"/>
              </w:rPr>
            </w:pPr>
          </w:p>
          <w:p w14:paraId="69B97AF3">
            <w:pPr>
              <w:spacing w:line="262" w:lineRule="auto"/>
              <w:rPr>
                <w:rFonts w:ascii="Arial"/>
                <w:sz w:val="21"/>
              </w:rPr>
            </w:pPr>
          </w:p>
          <w:p w14:paraId="035532D8">
            <w:pPr>
              <w:spacing w:line="263" w:lineRule="auto"/>
              <w:rPr>
                <w:rFonts w:ascii="Arial"/>
                <w:sz w:val="21"/>
              </w:rPr>
            </w:pPr>
          </w:p>
          <w:p w14:paraId="56F4C1A0">
            <w:pPr>
              <w:pStyle w:val="9"/>
              <w:spacing w:before="69" w:line="239" w:lineRule="auto"/>
              <w:ind w:left="349"/>
            </w:pPr>
            <w:r>
              <w:rPr>
                <w:spacing w:val="-4"/>
              </w:rPr>
              <w:t>1.1.3</w:t>
            </w:r>
          </w:p>
        </w:tc>
        <w:tc>
          <w:tcPr>
            <w:tcW w:w="2646" w:type="dxa"/>
            <w:vAlign w:val="top"/>
          </w:tcPr>
          <w:p w14:paraId="41605033">
            <w:pPr>
              <w:spacing w:line="262" w:lineRule="auto"/>
              <w:rPr>
                <w:rFonts w:ascii="Arial"/>
                <w:sz w:val="21"/>
              </w:rPr>
            </w:pPr>
          </w:p>
          <w:p w14:paraId="57686FD3">
            <w:pPr>
              <w:spacing w:line="262" w:lineRule="auto"/>
              <w:rPr>
                <w:rFonts w:ascii="Arial"/>
                <w:sz w:val="21"/>
              </w:rPr>
            </w:pPr>
          </w:p>
          <w:p w14:paraId="7F8B1110">
            <w:pPr>
              <w:spacing w:line="263" w:lineRule="auto"/>
              <w:rPr>
                <w:rFonts w:ascii="Arial"/>
                <w:sz w:val="21"/>
              </w:rPr>
            </w:pPr>
          </w:p>
          <w:p w14:paraId="01F54B3C">
            <w:pPr>
              <w:pStyle w:val="9"/>
              <w:spacing w:before="68" w:line="219" w:lineRule="auto"/>
              <w:ind w:left="596"/>
            </w:pPr>
            <w:r>
              <w:rPr>
                <w:spacing w:val="-2"/>
              </w:rPr>
              <w:t>招标代理机构</w:t>
            </w:r>
          </w:p>
        </w:tc>
        <w:tc>
          <w:tcPr>
            <w:tcW w:w="5931" w:type="dxa"/>
            <w:vAlign w:val="top"/>
          </w:tcPr>
          <w:p w14:paraId="5735D327">
            <w:pPr>
              <w:pStyle w:val="9"/>
              <w:spacing w:before="260" w:line="222" w:lineRule="auto"/>
              <w:ind w:left="115"/>
            </w:pPr>
            <w:r>
              <w:rPr>
                <w:spacing w:val="-14"/>
              </w:rPr>
              <w:t>名称：</w:t>
            </w:r>
            <w:r>
              <w:rPr>
                <w:rFonts w:hint="eastAsia"/>
                <w:spacing w:val="-14"/>
              </w:rPr>
              <w:t>云浮市正和项目管理有限公司</w:t>
            </w:r>
          </w:p>
          <w:p w14:paraId="41E1AE01">
            <w:pPr>
              <w:pStyle w:val="9"/>
              <w:spacing w:before="147" w:line="229" w:lineRule="auto"/>
              <w:ind w:left="113"/>
              <w:rPr>
                <w:rFonts w:hint="eastAsia" w:ascii="宋体" w:hAnsi="宋体" w:eastAsia="宋体" w:cs="宋体"/>
                <w:color w:val="auto"/>
                <w:sz w:val="21"/>
                <w:szCs w:val="21"/>
                <w:highlight w:val="none"/>
                <w:lang w:val="en-US" w:eastAsia="zh-CN"/>
              </w:rPr>
            </w:pPr>
            <w:r>
              <w:rPr>
                <w:spacing w:val="-13"/>
              </w:rPr>
              <w:t>地址：</w:t>
            </w:r>
            <w:r>
              <w:rPr>
                <w:rFonts w:hint="eastAsia" w:ascii="宋体" w:hAnsi="宋体" w:eastAsia="宋体" w:cs="宋体"/>
                <w:color w:val="auto"/>
                <w:sz w:val="21"/>
                <w:szCs w:val="21"/>
                <w:highlight w:val="none"/>
                <w:lang w:val="en-US" w:eastAsia="zh-CN"/>
              </w:rPr>
              <w:t>云浮市云城区金山大道89号翔盛大厦6号梯第三层办公室之一</w:t>
            </w:r>
          </w:p>
          <w:p w14:paraId="414DFE27">
            <w:pPr>
              <w:pStyle w:val="9"/>
              <w:spacing w:before="147" w:line="229" w:lineRule="auto"/>
              <w:ind w:left="113"/>
              <w:rPr>
                <w:rFonts w:hint="default"/>
                <w:spacing w:val="-13"/>
                <w:lang w:val="en-US" w:eastAsia="zh-CN"/>
              </w:rPr>
            </w:pPr>
            <w:r>
              <w:rPr>
                <w:rFonts w:hint="eastAsia"/>
                <w:spacing w:val="-13"/>
                <w:lang w:val="en-US" w:eastAsia="zh-CN"/>
              </w:rPr>
              <w:t>联系人：张小姐</w:t>
            </w:r>
          </w:p>
          <w:p w14:paraId="1D9ABD68">
            <w:pPr>
              <w:pStyle w:val="9"/>
              <w:spacing w:before="148" w:line="229" w:lineRule="auto"/>
              <w:ind w:left="113"/>
            </w:pPr>
            <w:r>
              <w:rPr>
                <w:rFonts w:hint="eastAsia"/>
                <w:spacing w:val="-13"/>
                <w:lang w:val="en-US" w:eastAsia="zh-CN"/>
              </w:rPr>
              <w:t>电话：</w:t>
            </w:r>
            <w:r>
              <w:rPr>
                <w:rFonts w:hint="eastAsia"/>
                <w:spacing w:val="8"/>
                <w:sz w:val="20"/>
                <w:szCs w:val="20"/>
              </w:rPr>
              <w:t>0766-8820906</w:t>
            </w:r>
          </w:p>
        </w:tc>
      </w:tr>
      <w:tr w14:paraId="6A673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185" w:type="dxa"/>
            <w:vAlign w:val="top"/>
          </w:tcPr>
          <w:p w14:paraId="54DD464D">
            <w:pPr>
              <w:pStyle w:val="9"/>
              <w:spacing w:before="223" w:line="239" w:lineRule="auto"/>
              <w:ind w:left="349"/>
            </w:pPr>
            <w:r>
              <w:rPr>
                <w:spacing w:val="-4"/>
              </w:rPr>
              <w:t>1.1.4</w:t>
            </w:r>
          </w:p>
        </w:tc>
        <w:tc>
          <w:tcPr>
            <w:tcW w:w="2646" w:type="dxa"/>
            <w:vAlign w:val="top"/>
          </w:tcPr>
          <w:p w14:paraId="20C21222">
            <w:pPr>
              <w:pStyle w:val="9"/>
              <w:spacing w:before="224" w:line="220" w:lineRule="auto"/>
              <w:ind w:left="596"/>
            </w:pPr>
            <w:r>
              <w:rPr>
                <w:spacing w:val="-2"/>
              </w:rPr>
              <w:t>招标项目名称</w:t>
            </w:r>
          </w:p>
        </w:tc>
        <w:tc>
          <w:tcPr>
            <w:tcW w:w="5931" w:type="dxa"/>
            <w:vAlign w:val="center"/>
          </w:tcPr>
          <w:p w14:paraId="5EFD8F89">
            <w:pPr>
              <w:pStyle w:val="9"/>
              <w:spacing w:before="260" w:line="222" w:lineRule="auto"/>
              <w:ind w:left="115"/>
              <w:rPr>
                <w:rFonts w:hint="eastAsia"/>
                <w:spacing w:val="-14"/>
                <w:lang w:eastAsia="zh-CN"/>
              </w:rPr>
            </w:pPr>
            <w:r>
              <w:rPr>
                <w:rFonts w:hint="eastAsia"/>
                <w:spacing w:val="-14"/>
                <w:lang w:val="en-US" w:eastAsia="en-US"/>
              </w:rPr>
              <w:t>云安区白石镇</w:t>
            </w:r>
            <w:r>
              <w:rPr>
                <w:rFonts w:hint="eastAsia"/>
                <w:spacing w:val="-14"/>
              </w:rPr>
              <w:t>X491线白石街至东星四升三改建工程</w:t>
            </w:r>
            <w:r>
              <w:rPr>
                <w:rFonts w:hint="eastAsia"/>
                <w:spacing w:val="-14"/>
                <w:lang w:eastAsia="zh-CN"/>
              </w:rPr>
              <w:t>施工</w:t>
            </w:r>
          </w:p>
        </w:tc>
      </w:tr>
      <w:tr w14:paraId="02C24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185" w:type="dxa"/>
            <w:vAlign w:val="top"/>
          </w:tcPr>
          <w:p w14:paraId="444CF65B">
            <w:pPr>
              <w:pStyle w:val="9"/>
              <w:spacing w:before="222" w:line="239" w:lineRule="auto"/>
              <w:ind w:left="349"/>
            </w:pPr>
            <w:r>
              <w:rPr>
                <w:spacing w:val="-4"/>
              </w:rPr>
              <w:t>1.1.5</w:t>
            </w:r>
          </w:p>
        </w:tc>
        <w:tc>
          <w:tcPr>
            <w:tcW w:w="2646" w:type="dxa"/>
            <w:vAlign w:val="top"/>
          </w:tcPr>
          <w:p w14:paraId="41059276">
            <w:pPr>
              <w:pStyle w:val="9"/>
              <w:spacing w:before="208" w:line="233" w:lineRule="auto"/>
              <w:ind w:left="543"/>
              <w:rPr>
                <w:sz w:val="10"/>
                <w:szCs w:val="10"/>
              </w:rPr>
            </w:pPr>
            <w:r>
              <w:rPr>
                <w:spacing w:val="-1"/>
              </w:rPr>
              <w:t>标段建设地点</w:t>
            </w:r>
          </w:p>
        </w:tc>
        <w:tc>
          <w:tcPr>
            <w:tcW w:w="5931" w:type="dxa"/>
            <w:vAlign w:val="center"/>
          </w:tcPr>
          <w:p w14:paraId="52AC61C8">
            <w:pPr>
              <w:pStyle w:val="9"/>
              <w:spacing w:before="260" w:line="222" w:lineRule="auto"/>
              <w:ind w:left="115"/>
              <w:rPr>
                <w:rFonts w:hint="default"/>
                <w:spacing w:val="-14"/>
                <w:lang w:val="en-US" w:eastAsia="zh-CN"/>
              </w:rPr>
            </w:pPr>
            <w:r>
              <w:rPr>
                <w:rFonts w:hint="eastAsia"/>
                <w:spacing w:val="-14"/>
              </w:rPr>
              <w:t>云浮市云安区</w:t>
            </w:r>
            <w:r>
              <w:rPr>
                <w:rFonts w:hint="eastAsia"/>
                <w:spacing w:val="-14"/>
                <w:lang w:val="en-US" w:eastAsia="zh-CN"/>
              </w:rPr>
              <w:t>白石镇</w:t>
            </w:r>
          </w:p>
        </w:tc>
      </w:tr>
      <w:tr w14:paraId="3BE8F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12D698EA">
            <w:pPr>
              <w:pStyle w:val="9"/>
              <w:spacing w:before="223" w:line="239" w:lineRule="auto"/>
              <w:ind w:left="349"/>
            </w:pPr>
            <w:r>
              <w:rPr>
                <w:spacing w:val="-4"/>
              </w:rPr>
              <w:t>1.2.1</w:t>
            </w:r>
          </w:p>
        </w:tc>
        <w:tc>
          <w:tcPr>
            <w:tcW w:w="2646" w:type="dxa"/>
            <w:vAlign w:val="top"/>
          </w:tcPr>
          <w:p w14:paraId="1A97EB6D">
            <w:pPr>
              <w:pStyle w:val="9"/>
              <w:spacing w:before="223" w:line="220" w:lineRule="auto"/>
              <w:ind w:left="498"/>
            </w:pPr>
            <w:r>
              <w:rPr>
                <w:spacing w:val="-3"/>
              </w:rPr>
              <w:t>资金来源及比例</w:t>
            </w:r>
          </w:p>
        </w:tc>
        <w:tc>
          <w:tcPr>
            <w:tcW w:w="5931" w:type="dxa"/>
            <w:vAlign w:val="center"/>
          </w:tcPr>
          <w:p w14:paraId="0A180B57">
            <w:pPr>
              <w:pStyle w:val="9"/>
              <w:spacing w:before="260" w:line="222" w:lineRule="auto"/>
              <w:ind w:left="115"/>
              <w:rPr>
                <w:spacing w:val="-14"/>
              </w:rPr>
            </w:pPr>
            <w:r>
              <w:rPr>
                <w:rFonts w:hint="eastAsia"/>
                <w:spacing w:val="-14"/>
              </w:rPr>
              <w:t>2026年农村公路建设省级交通建设资金中安排，不足部分由区级财政统筹解决。</w:t>
            </w:r>
          </w:p>
        </w:tc>
      </w:tr>
      <w:tr w14:paraId="616C7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1185" w:type="dxa"/>
            <w:vAlign w:val="top"/>
          </w:tcPr>
          <w:p w14:paraId="7F67D4ED">
            <w:pPr>
              <w:pStyle w:val="9"/>
              <w:spacing w:before="224" w:line="239" w:lineRule="auto"/>
              <w:ind w:left="349"/>
            </w:pPr>
            <w:r>
              <w:rPr>
                <w:spacing w:val="-4"/>
              </w:rPr>
              <w:t>1.2.2</w:t>
            </w:r>
          </w:p>
        </w:tc>
        <w:tc>
          <w:tcPr>
            <w:tcW w:w="2646" w:type="dxa"/>
            <w:vAlign w:val="top"/>
          </w:tcPr>
          <w:p w14:paraId="303A70AF">
            <w:pPr>
              <w:pStyle w:val="9"/>
              <w:spacing w:before="224" w:line="220" w:lineRule="auto"/>
              <w:ind w:left="604"/>
            </w:pPr>
            <w:r>
              <w:rPr>
                <w:spacing w:val="-3"/>
              </w:rPr>
              <w:t>资金落实情况</w:t>
            </w:r>
          </w:p>
        </w:tc>
        <w:tc>
          <w:tcPr>
            <w:tcW w:w="5931" w:type="dxa"/>
            <w:vAlign w:val="center"/>
          </w:tcPr>
          <w:p w14:paraId="25DDA38C">
            <w:pPr>
              <w:pStyle w:val="9"/>
              <w:spacing w:before="260" w:line="222" w:lineRule="auto"/>
              <w:ind w:left="115"/>
              <w:rPr>
                <w:spacing w:val="-14"/>
              </w:rPr>
            </w:pPr>
            <w:r>
              <w:rPr>
                <w:rFonts w:hint="eastAsia"/>
                <w:spacing w:val="-14"/>
              </w:rPr>
              <w:t>已落实</w:t>
            </w:r>
          </w:p>
        </w:tc>
      </w:tr>
      <w:tr w14:paraId="150D8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1A6C16D8">
            <w:pPr>
              <w:pStyle w:val="9"/>
              <w:spacing w:before="224" w:line="239" w:lineRule="auto"/>
              <w:ind w:left="349"/>
            </w:pPr>
            <w:r>
              <w:rPr>
                <w:spacing w:val="-4"/>
              </w:rPr>
              <w:t>1.3.1</w:t>
            </w:r>
          </w:p>
        </w:tc>
        <w:tc>
          <w:tcPr>
            <w:tcW w:w="2646" w:type="dxa"/>
            <w:vAlign w:val="top"/>
          </w:tcPr>
          <w:p w14:paraId="3C906FA8">
            <w:pPr>
              <w:pStyle w:val="9"/>
              <w:spacing w:before="224" w:line="220" w:lineRule="auto"/>
              <w:ind w:left="806"/>
            </w:pPr>
            <w:r>
              <w:rPr>
                <w:spacing w:val="-2"/>
              </w:rPr>
              <w:t>招标范围</w:t>
            </w:r>
          </w:p>
        </w:tc>
        <w:tc>
          <w:tcPr>
            <w:tcW w:w="5931" w:type="dxa"/>
            <w:vAlign w:val="center"/>
          </w:tcPr>
          <w:p w14:paraId="6022B221">
            <w:pPr>
              <w:pStyle w:val="9"/>
              <w:spacing w:before="260" w:line="222" w:lineRule="auto"/>
              <w:ind w:left="115"/>
              <w:rPr>
                <w:spacing w:val="-14"/>
              </w:rPr>
            </w:pPr>
            <w:r>
              <w:rPr>
                <w:rFonts w:hint="eastAsia"/>
                <w:spacing w:val="-14"/>
                <w:lang w:val="en-US" w:eastAsia="en-US"/>
              </w:rPr>
              <w:t>按云安区白石镇X491线白石街至东星四升三改建工程</w:t>
            </w:r>
            <w:r>
              <w:rPr>
                <w:rFonts w:hint="eastAsia"/>
                <w:spacing w:val="-14"/>
                <w:lang w:val="en-US" w:eastAsia="zh-CN"/>
              </w:rPr>
              <w:t>施工</w:t>
            </w:r>
            <w:r>
              <w:rPr>
                <w:rFonts w:hint="eastAsia"/>
                <w:spacing w:val="-14"/>
                <w:lang w:val="en-US" w:eastAsia="en-US"/>
              </w:rPr>
              <w:t>建设范围内工程的施工、竣（交）工验收、缺陷修复以及质量保修工程等，具体工程项目内容按工程量清单、公路工程图纸内容。</w:t>
            </w:r>
          </w:p>
        </w:tc>
      </w:tr>
      <w:tr w14:paraId="7E87D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1185" w:type="dxa"/>
            <w:vAlign w:val="top"/>
          </w:tcPr>
          <w:p w14:paraId="7AA51020">
            <w:pPr>
              <w:spacing w:line="260" w:lineRule="auto"/>
              <w:rPr>
                <w:rFonts w:ascii="Arial"/>
                <w:sz w:val="21"/>
              </w:rPr>
            </w:pPr>
          </w:p>
          <w:p w14:paraId="12BFADC7">
            <w:pPr>
              <w:spacing w:line="260" w:lineRule="auto"/>
              <w:rPr>
                <w:rFonts w:ascii="Arial"/>
                <w:sz w:val="21"/>
              </w:rPr>
            </w:pPr>
          </w:p>
          <w:p w14:paraId="755B4A2A">
            <w:pPr>
              <w:pStyle w:val="9"/>
              <w:spacing w:before="68" w:line="239" w:lineRule="auto"/>
              <w:ind w:left="349"/>
            </w:pPr>
            <w:r>
              <w:rPr>
                <w:spacing w:val="-4"/>
              </w:rPr>
              <w:t>1.3.2</w:t>
            </w:r>
          </w:p>
        </w:tc>
        <w:tc>
          <w:tcPr>
            <w:tcW w:w="2646" w:type="dxa"/>
            <w:vAlign w:val="top"/>
          </w:tcPr>
          <w:p w14:paraId="786CD26A">
            <w:pPr>
              <w:spacing w:line="260" w:lineRule="auto"/>
              <w:rPr>
                <w:rFonts w:ascii="Arial"/>
                <w:sz w:val="21"/>
              </w:rPr>
            </w:pPr>
          </w:p>
          <w:p w14:paraId="05579926">
            <w:pPr>
              <w:spacing w:line="260" w:lineRule="auto"/>
              <w:rPr>
                <w:rFonts w:ascii="Arial"/>
                <w:sz w:val="21"/>
              </w:rPr>
            </w:pPr>
          </w:p>
          <w:p w14:paraId="77B5406C">
            <w:pPr>
              <w:pStyle w:val="9"/>
              <w:spacing w:before="68" w:line="220" w:lineRule="auto"/>
              <w:ind w:left="805"/>
            </w:pPr>
            <w:r>
              <w:rPr>
                <w:spacing w:val="-2"/>
              </w:rPr>
              <w:t>计划工期</w:t>
            </w:r>
          </w:p>
        </w:tc>
        <w:tc>
          <w:tcPr>
            <w:tcW w:w="5931" w:type="dxa"/>
            <w:vAlign w:val="top"/>
          </w:tcPr>
          <w:p w14:paraId="1E40BE95">
            <w:pPr>
              <w:pStyle w:val="9"/>
              <w:spacing w:before="191" w:line="220" w:lineRule="auto"/>
              <w:ind w:left="113"/>
            </w:pPr>
            <w:r>
              <w:rPr>
                <w:spacing w:val="-4"/>
              </w:rPr>
              <w:t>计划工期：</w:t>
            </w:r>
            <w:r>
              <w:rPr>
                <w:rFonts w:hint="eastAsia"/>
                <w:spacing w:val="-4"/>
                <w:u w:val="single" w:color="auto"/>
                <w:lang w:val="en-US" w:eastAsia="zh-CN"/>
              </w:rPr>
              <w:t>150</w:t>
            </w:r>
            <w:r>
              <w:rPr>
                <w:spacing w:val="-4"/>
              </w:rPr>
              <w:t>日历天</w:t>
            </w:r>
          </w:p>
          <w:p w14:paraId="148B7A9C">
            <w:pPr>
              <w:pStyle w:val="9"/>
              <w:spacing w:before="149" w:line="220" w:lineRule="auto"/>
              <w:ind w:left="113"/>
            </w:pPr>
            <w:r>
              <w:rPr>
                <w:spacing w:val="-2"/>
              </w:rPr>
              <w:t>计划开工日期：</w:t>
            </w:r>
            <w:r>
              <w:rPr>
                <w:rFonts w:hint="eastAsia"/>
                <w:spacing w:val="-2"/>
                <w:u w:val="single" w:color="auto"/>
                <w:lang w:val="en-US" w:eastAsia="zh-CN"/>
              </w:rPr>
              <w:t>2026</w:t>
            </w:r>
            <w:r>
              <w:rPr>
                <w:spacing w:val="-2"/>
              </w:rPr>
              <w:t>年</w:t>
            </w:r>
            <w:r>
              <w:rPr>
                <w:rFonts w:hint="eastAsia"/>
                <w:spacing w:val="-2"/>
                <w:u w:val="single" w:color="auto"/>
                <w:lang w:val="en-US" w:eastAsia="zh-CN"/>
              </w:rPr>
              <w:t>05</w:t>
            </w:r>
            <w:r>
              <w:rPr>
                <w:spacing w:val="-91"/>
              </w:rPr>
              <w:t xml:space="preserve"> </w:t>
            </w:r>
            <w:r>
              <w:rPr>
                <w:spacing w:val="-2"/>
              </w:rPr>
              <w:t>月</w:t>
            </w:r>
            <w:r>
              <w:rPr>
                <w:rFonts w:hint="eastAsia"/>
                <w:spacing w:val="-2"/>
                <w:u w:val="single" w:color="auto"/>
                <w:lang w:val="en-US" w:eastAsia="zh-CN"/>
              </w:rPr>
              <w:t>30</w:t>
            </w:r>
            <w:r>
              <w:rPr>
                <w:spacing w:val="-61"/>
              </w:rPr>
              <w:t xml:space="preserve"> </w:t>
            </w:r>
            <w:r>
              <w:rPr>
                <w:spacing w:val="-2"/>
              </w:rPr>
              <w:t>日</w:t>
            </w:r>
          </w:p>
          <w:p w14:paraId="618740F9">
            <w:pPr>
              <w:pStyle w:val="9"/>
              <w:spacing w:before="135" w:line="232" w:lineRule="auto"/>
              <w:ind w:left="113"/>
              <w:rPr>
                <w:rFonts w:hint="eastAsia" w:eastAsia="宋体"/>
                <w:sz w:val="10"/>
                <w:szCs w:val="10"/>
                <w:lang w:eastAsia="zh-CN"/>
              </w:rPr>
            </w:pPr>
            <w:r>
              <w:rPr>
                <w:spacing w:val="-5"/>
              </w:rPr>
              <w:t>计划交工日期：</w:t>
            </w:r>
            <w:r>
              <w:rPr>
                <w:rFonts w:hint="eastAsia"/>
                <w:spacing w:val="-5"/>
                <w:u w:val="single" w:color="auto"/>
                <w:lang w:val="en-US" w:eastAsia="zh-CN"/>
              </w:rPr>
              <w:t>2026</w:t>
            </w:r>
            <w:r>
              <w:rPr>
                <w:spacing w:val="-5"/>
              </w:rPr>
              <w:t>年</w:t>
            </w:r>
            <w:r>
              <w:rPr>
                <w:rFonts w:hint="eastAsia"/>
                <w:spacing w:val="-5"/>
                <w:u w:val="single" w:color="auto"/>
                <w:lang w:val="en-US" w:eastAsia="zh-CN"/>
              </w:rPr>
              <w:t>10</w:t>
            </w:r>
            <w:r>
              <w:rPr>
                <w:spacing w:val="-5"/>
              </w:rPr>
              <w:t>月</w:t>
            </w:r>
            <w:r>
              <w:rPr>
                <w:rFonts w:hint="eastAsia"/>
                <w:spacing w:val="52"/>
                <w:u w:val="single" w:color="auto"/>
                <w:lang w:val="en-US" w:eastAsia="zh-CN"/>
              </w:rPr>
              <w:t>30</w:t>
            </w:r>
            <w:r>
              <w:rPr>
                <w:spacing w:val="-60"/>
              </w:rPr>
              <w:t xml:space="preserve"> </w:t>
            </w:r>
            <w:r>
              <w:rPr>
                <w:spacing w:val="-5"/>
              </w:rPr>
              <w:t>日</w:t>
            </w:r>
          </w:p>
        </w:tc>
      </w:tr>
      <w:tr w14:paraId="54265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1185" w:type="dxa"/>
            <w:vAlign w:val="top"/>
          </w:tcPr>
          <w:p w14:paraId="070384FF">
            <w:pPr>
              <w:spacing w:line="349" w:lineRule="auto"/>
              <w:rPr>
                <w:rFonts w:ascii="Arial"/>
                <w:sz w:val="21"/>
              </w:rPr>
            </w:pPr>
          </w:p>
          <w:p w14:paraId="4B263EDA">
            <w:pPr>
              <w:spacing w:line="349" w:lineRule="auto"/>
              <w:rPr>
                <w:rFonts w:ascii="Arial"/>
                <w:sz w:val="21"/>
              </w:rPr>
            </w:pPr>
          </w:p>
          <w:p w14:paraId="3C305DA1">
            <w:pPr>
              <w:pStyle w:val="9"/>
              <w:spacing w:before="68" w:line="239" w:lineRule="auto"/>
              <w:ind w:left="349"/>
            </w:pPr>
            <w:r>
              <w:rPr>
                <w:spacing w:val="-4"/>
              </w:rPr>
              <w:t>1.3.3</w:t>
            </w:r>
          </w:p>
        </w:tc>
        <w:tc>
          <w:tcPr>
            <w:tcW w:w="2646" w:type="dxa"/>
            <w:vAlign w:val="top"/>
          </w:tcPr>
          <w:p w14:paraId="0292CF34">
            <w:pPr>
              <w:spacing w:line="349" w:lineRule="auto"/>
              <w:rPr>
                <w:rFonts w:ascii="Arial"/>
                <w:sz w:val="21"/>
              </w:rPr>
            </w:pPr>
          </w:p>
          <w:p w14:paraId="4D530EEA">
            <w:pPr>
              <w:spacing w:line="349" w:lineRule="auto"/>
              <w:rPr>
                <w:rFonts w:ascii="Arial"/>
                <w:sz w:val="21"/>
              </w:rPr>
            </w:pPr>
          </w:p>
          <w:p w14:paraId="3CE4DFDF">
            <w:pPr>
              <w:pStyle w:val="9"/>
              <w:spacing w:before="68" w:line="220" w:lineRule="auto"/>
              <w:ind w:left="806"/>
            </w:pPr>
            <w:r>
              <w:rPr>
                <w:spacing w:val="-2"/>
              </w:rPr>
              <w:t>质量要求</w:t>
            </w:r>
          </w:p>
        </w:tc>
        <w:tc>
          <w:tcPr>
            <w:tcW w:w="5931" w:type="dxa"/>
            <w:vAlign w:val="top"/>
          </w:tcPr>
          <w:p w14:paraId="649E653F">
            <w:pPr>
              <w:spacing w:line="300" w:lineRule="auto"/>
              <w:rPr>
                <w:rFonts w:ascii="Arial"/>
                <w:sz w:val="21"/>
              </w:rPr>
            </w:pPr>
          </w:p>
          <w:p w14:paraId="096D3F68">
            <w:pPr>
              <w:pStyle w:val="9"/>
              <w:spacing w:before="69" w:line="352" w:lineRule="auto"/>
              <w:ind w:right="209"/>
            </w:pPr>
            <w:r>
              <w:rPr>
                <w:spacing w:val="-1"/>
              </w:rPr>
              <w:t>标段工程交工验收的质量评定：质量评分</w:t>
            </w:r>
            <w:r>
              <w:t>：</w:t>
            </w:r>
            <w:r>
              <w:rPr>
                <w:rFonts w:hint="eastAsia"/>
                <w:spacing w:val="6"/>
                <w:sz w:val="21"/>
                <w:szCs w:val="21"/>
                <w:u w:val="single" w:color="auto"/>
                <w:lang w:val="en-US" w:eastAsia="zh-CN"/>
              </w:rPr>
              <w:t>90</w:t>
            </w:r>
            <w:r>
              <w:rPr>
                <w:rFonts w:hint="eastAsia"/>
                <w:spacing w:val="6"/>
                <w:sz w:val="21"/>
                <w:szCs w:val="21"/>
                <w:u w:val="single" w:color="auto"/>
              </w:rPr>
              <w:t>分或以上</w:t>
            </w:r>
            <w:r>
              <w:t>；</w:t>
            </w:r>
            <w:r>
              <w:rPr>
                <w:spacing w:val="-1"/>
              </w:rPr>
              <w:t>质量等</w:t>
            </w:r>
            <w:r>
              <w:rPr>
                <w:spacing w:val="-3"/>
              </w:rPr>
              <w:t>级：</w:t>
            </w:r>
            <w:r>
              <w:rPr>
                <w:spacing w:val="-3"/>
                <w:u w:val="single" w:color="auto"/>
              </w:rPr>
              <w:t>合格</w:t>
            </w:r>
            <w:r>
              <w:rPr>
                <w:spacing w:val="-3"/>
              </w:rPr>
              <w:t>。</w:t>
            </w:r>
          </w:p>
          <w:p w14:paraId="7C4724C4">
            <w:pPr>
              <w:pStyle w:val="9"/>
              <w:spacing w:before="69" w:line="352" w:lineRule="auto"/>
              <w:ind w:left="116" w:right="209" w:hanging="2"/>
              <w:rPr>
                <w:spacing w:val="-1"/>
              </w:rPr>
            </w:pPr>
            <w:r>
              <w:rPr>
                <w:spacing w:val="-1"/>
              </w:rPr>
              <w:t>竣工验收的质量评定：质量评分：</w:t>
            </w:r>
            <w:r>
              <w:rPr>
                <w:rFonts w:hint="eastAsia"/>
                <w:spacing w:val="-1"/>
                <w:u w:val="single"/>
                <w:lang w:val="en-US" w:eastAsia="zh-CN"/>
              </w:rPr>
              <w:t>90</w:t>
            </w:r>
            <w:r>
              <w:rPr>
                <w:rFonts w:hint="eastAsia"/>
                <w:spacing w:val="-1"/>
                <w:u w:val="single"/>
              </w:rPr>
              <w:t>分或以上</w:t>
            </w:r>
            <w:r>
              <w:rPr>
                <w:spacing w:val="-1"/>
              </w:rPr>
              <w:t xml:space="preserve"> ；</w:t>
            </w:r>
          </w:p>
          <w:p w14:paraId="72B9F6BE">
            <w:pPr>
              <w:pStyle w:val="9"/>
              <w:spacing w:before="69" w:line="352" w:lineRule="auto"/>
              <w:ind w:left="116" w:right="209" w:hanging="2"/>
            </w:pPr>
            <w:r>
              <w:rPr>
                <w:spacing w:val="-1"/>
              </w:rPr>
              <w:t>质量等级：</w:t>
            </w:r>
            <w:r>
              <w:rPr>
                <w:spacing w:val="-1"/>
                <w:u w:val="single"/>
              </w:rPr>
              <w:t>优良</w:t>
            </w:r>
            <w:r>
              <w:rPr>
                <w:spacing w:val="-2"/>
              </w:rPr>
              <w:t>。</w:t>
            </w:r>
          </w:p>
        </w:tc>
      </w:tr>
      <w:tr w14:paraId="5E232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185" w:type="dxa"/>
            <w:vAlign w:val="top"/>
          </w:tcPr>
          <w:p w14:paraId="18F14389">
            <w:pPr>
              <w:spacing w:line="419" w:lineRule="auto"/>
              <w:rPr>
                <w:rFonts w:ascii="Arial"/>
                <w:sz w:val="21"/>
              </w:rPr>
            </w:pPr>
          </w:p>
          <w:p w14:paraId="0D58FA13">
            <w:pPr>
              <w:pStyle w:val="9"/>
              <w:spacing w:before="68" w:line="239" w:lineRule="auto"/>
              <w:ind w:left="349"/>
            </w:pPr>
            <w:r>
              <w:rPr>
                <w:spacing w:val="-4"/>
              </w:rPr>
              <w:t>1.3.4</w:t>
            </w:r>
          </w:p>
        </w:tc>
        <w:tc>
          <w:tcPr>
            <w:tcW w:w="2646" w:type="dxa"/>
            <w:vAlign w:val="top"/>
          </w:tcPr>
          <w:p w14:paraId="42A1CC88">
            <w:pPr>
              <w:spacing w:line="419" w:lineRule="auto"/>
              <w:rPr>
                <w:rFonts w:ascii="Arial"/>
                <w:sz w:val="21"/>
              </w:rPr>
            </w:pPr>
          </w:p>
          <w:p w14:paraId="08A98129">
            <w:pPr>
              <w:pStyle w:val="9"/>
              <w:spacing w:before="68" w:line="220" w:lineRule="auto"/>
              <w:ind w:left="809"/>
            </w:pPr>
            <w:r>
              <w:rPr>
                <w:spacing w:val="-3"/>
              </w:rPr>
              <w:t>安全目标</w:t>
            </w:r>
          </w:p>
        </w:tc>
        <w:tc>
          <w:tcPr>
            <w:tcW w:w="5931" w:type="dxa"/>
            <w:vAlign w:val="top"/>
          </w:tcPr>
          <w:p w14:paraId="490FED1E">
            <w:pPr>
              <w:pStyle w:val="9"/>
              <w:spacing w:before="289" w:line="353" w:lineRule="auto"/>
              <w:ind w:left="116" w:right="107" w:hanging="2"/>
            </w:pPr>
            <w:r>
              <w:rPr>
                <w:spacing w:val="-1"/>
              </w:rPr>
              <w:t>严格执行有关安全生产的法律法规和规章制度，确保项目建</w:t>
            </w:r>
            <w:r>
              <w:rPr>
                <w:spacing w:val="-3"/>
              </w:rPr>
              <w:t>设期内</w:t>
            </w:r>
            <w:r>
              <w:rPr>
                <w:rFonts w:hint="eastAsia"/>
                <w:spacing w:val="4"/>
                <w:u w:val="single" w:color="auto"/>
              </w:rPr>
              <w:t>安全达标；杜绝死亡事故，无重大塌方事故，无等级火灾事故，无机械行车和道路交通责任事故，无爆炸事故，无爆破物品丢失事故</w:t>
            </w:r>
            <w:r>
              <w:rPr>
                <w:spacing w:val="-3"/>
              </w:rPr>
              <w:t>。</w:t>
            </w:r>
          </w:p>
        </w:tc>
      </w:tr>
    </w:tbl>
    <w:p w14:paraId="47EF049E">
      <w:pPr>
        <w:pStyle w:val="9"/>
        <w:spacing w:before="181" w:line="220" w:lineRule="auto"/>
        <w:ind w:left="284"/>
        <w:rPr>
          <w:b/>
          <w:bCs/>
          <w:spacing w:val="-6"/>
        </w:rPr>
        <w:sectPr>
          <w:footerReference r:id="rId9" w:type="default"/>
          <w:pgSz w:w="11905" w:h="16840"/>
          <w:pgMar w:top="1182" w:right="1303" w:bottom="1171" w:left="1303" w:header="849" w:footer="937" w:gutter="0"/>
          <w:pgNumType w:fmt="decimal"/>
          <w:cols w:space="720" w:num="1"/>
        </w:sectPr>
      </w:pPr>
    </w:p>
    <w:tbl>
      <w:tblPr>
        <w:tblStyle w:val="8"/>
        <w:tblW w:w="97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646"/>
        <w:gridCol w:w="5931"/>
      </w:tblGrid>
      <w:tr w14:paraId="1CDB2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329FDB37">
            <w:pPr>
              <w:pStyle w:val="9"/>
              <w:spacing w:before="181" w:line="220" w:lineRule="auto"/>
              <w:ind w:left="284"/>
            </w:pPr>
            <w:r>
              <w:rPr>
                <w:b/>
                <w:bCs/>
                <w:spacing w:val="-6"/>
              </w:rPr>
              <w:t>条款号</w:t>
            </w:r>
          </w:p>
        </w:tc>
        <w:tc>
          <w:tcPr>
            <w:tcW w:w="2646" w:type="dxa"/>
            <w:vAlign w:val="top"/>
          </w:tcPr>
          <w:p w14:paraId="3F283EF0">
            <w:pPr>
              <w:pStyle w:val="9"/>
              <w:spacing w:before="181" w:line="220" w:lineRule="auto"/>
              <w:ind w:left="807"/>
            </w:pPr>
            <w:r>
              <w:rPr>
                <w:b/>
                <w:bCs/>
                <w:spacing w:val="-5"/>
              </w:rPr>
              <w:t>条款名称</w:t>
            </w:r>
          </w:p>
        </w:tc>
        <w:tc>
          <w:tcPr>
            <w:tcW w:w="5931" w:type="dxa"/>
            <w:vAlign w:val="top"/>
          </w:tcPr>
          <w:p w14:paraId="4A40523F">
            <w:pPr>
              <w:pStyle w:val="9"/>
              <w:spacing w:before="181" w:line="220" w:lineRule="auto"/>
              <w:ind w:left="2417"/>
            </w:pPr>
            <w:r>
              <w:rPr>
                <w:b/>
                <w:bCs/>
                <w:spacing w:val="-5"/>
              </w:rPr>
              <w:t>编列内容</w:t>
            </w:r>
          </w:p>
        </w:tc>
      </w:tr>
      <w:tr w14:paraId="78D96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4" w:hRule="atLeast"/>
        </w:trPr>
        <w:tc>
          <w:tcPr>
            <w:tcW w:w="1185" w:type="dxa"/>
            <w:vAlign w:val="top"/>
          </w:tcPr>
          <w:p w14:paraId="371F302B">
            <w:pPr>
              <w:spacing w:line="283" w:lineRule="auto"/>
              <w:rPr>
                <w:rFonts w:ascii="Arial"/>
                <w:sz w:val="21"/>
              </w:rPr>
            </w:pPr>
          </w:p>
          <w:p w14:paraId="08797DA5">
            <w:pPr>
              <w:spacing w:line="283" w:lineRule="auto"/>
              <w:rPr>
                <w:rFonts w:ascii="Arial"/>
                <w:sz w:val="21"/>
              </w:rPr>
            </w:pPr>
          </w:p>
          <w:p w14:paraId="69C0C754">
            <w:pPr>
              <w:spacing w:line="283" w:lineRule="auto"/>
              <w:rPr>
                <w:rFonts w:ascii="Arial"/>
                <w:sz w:val="21"/>
              </w:rPr>
            </w:pPr>
          </w:p>
          <w:p w14:paraId="6AA45515">
            <w:pPr>
              <w:spacing w:line="284" w:lineRule="auto"/>
              <w:rPr>
                <w:rFonts w:ascii="Arial"/>
                <w:sz w:val="21"/>
              </w:rPr>
            </w:pPr>
          </w:p>
          <w:p w14:paraId="53F7D357">
            <w:pPr>
              <w:pStyle w:val="9"/>
              <w:spacing w:before="68" w:line="287" w:lineRule="exact"/>
              <w:ind w:left="298"/>
              <w:rPr>
                <w:sz w:val="10"/>
                <w:szCs w:val="10"/>
              </w:rPr>
            </w:pPr>
            <w:r>
              <w:rPr>
                <w:spacing w:val="-4"/>
                <w:position w:val="-1"/>
              </w:rPr>
              <w:t>1.4.1</w:t>
            </w:r>
          </w:p>
        </w:tc>
        <w:tc>
          <w:tcPr>
            <w:tcW w:w="2646" w:type="dxa"/>
            <w:vAlign w:val="top"/>
          </w:tcPr>
          <w:p w14:paraId="115FECD0">
            <w:pPr>
              <w:spacing w:line="316" w:lineRule="auto"/>
              <w:rPr>
                <w:rFonts w:ascii="Arial"/>
                <w:sz w:val="21"/>
              </w:rPr>
            </w:pPr>
          </w:p>
          <w:p w14:paraId="6D21F206">
            <w:pPr>
              <w:spacing w:line="316" w:lineRule="auto"/>
              <w:rPr>
                <w:rFonts w:ascii="Arial"/>
                <w:sz w:val="21"/>
              </w:rPr>
            </w:pPr>
          </w:p>
          <w:p w14:paraId="363E861C">
            <w:pPr>
              <w:spacing w:line="316" w:lineRule="auto"/>
              <w:rPr>
                <w:rFonts w:ascii="Arial"/>
                <w:sz w:val="21"/>
              </w:rPr>
            </w:pPr>
          </w:p>
          <w:p w14:paraId="1B9461A2">
            <w:pPr>
              <w:pStyle w:val="9"/>
              <w:spacing w:before="68" w:line="220" w:lineRule="auto"/>
              <w:ind w:left="113"/>
            </w:pPr>
            <w:r>
              <w:rPr>
                <w:spacing w:val="-9"/>
              </w:rPr>
              <w:t>投标人资质条件、能力和</w:t>
            </w:r>
          </w:p>
          <w:p w14:paraId="4A49A0DD">
            <w:pPr>
              <w:pStyle w:val="9"/>
              <w:spacing w:before="150" w:line="219" w:lineRule="auto"/>
              <w:ind w:left="1015"/>
            </w:pPr>
            <w:r>
              <w:rPr>
                <w:spacing w:val="-3"/>
              </w:rPr>
              <w:t>信誉</w:t>
            </w:r>
          </w:p>
        </w:tc>
        <w:tc>
          <w:tcPr>
            <w:tcW w:w="5931" w:type="dxa"/>
            <w:vAlign w:val="top"/>
          </w:tcPr>
          <w:p w14:paraId="4172CEF2">
            <w:pPr>
              <w:pStyle w:val="9"/>
              <w:spacing w:before="150" w:line="219" w:lineRule="auto"/>
              <w:ind w:left="114"/>
              <w:rPr>
                <w:rFonts w:hint="eastAsia"/>
                <w:spacing w:val="-2"/>
              </w:rPr>
            </w:pPr>
            <w:r>
              <w:rPr>
                <w:rFonts w:hint="eastAsia"/>
                <w:spacing w:val="-2"/>
              </w:rPr>
              <w:t>资质要求：投标人应具有以下资质：详见招标公告附件中的附录1，投标人应进入交通运输部“全国公路建设市场监督管理系统”中的公路工程施工资质企业名录，且投标人名称和资质与该名录中的相应企业名称和资质完全一致。</w:t>
            </w:r>
          </w:p>
          <w:p w14:paraId="67C6FFFA">
            <w:pPr>
              <w:pStyle w:val="9"/>
              <w:spacing w:before="150" w:line="219" w:lineRule="auto"/>
              <w:ind w:left="114"/>
            </w:pPr>
            <w:r>
              <w:rPr>
                <w:spacing w:val="-2"/>
              </w:rPr>
              <w:t>财务要求：见附录</w:t>
            </w:r>
            <w:r>
              <w:rPr>
                <w:spacing w:val="-35"/>
              </w:rPr>
              <w:t xml:space="preserve"> </w:t>
            </w:r>
            <w:r>
              <w:rPr>
                <w:spacing w:val="-2"/>
              </w:rPr>
              <w:t>2</w:t>
            </w:r>
          </w:p>
          <w:p w14:paraId="49FF0E9B">
            <w:pPr>
              <w:pStyle w:val="9"/>
              <w:spacing w:before="150" w:line="219" w:lineRule="auto"/>
              <w:ind w:left="112"/>
            </w:pPr>
            <w:r>
              <w:rPr>
                <w:spacing w:val="-1"/>
              </w:rPr>
              <w:t>业绩要求：见附录</w:t>
            </w:r>
            <w:r>
              <w:rPr>
                <w:spacing w:val="-41"/>
              </w:rPr>
              <w:t xml:space="preserve"> </w:t>
            </w:r>
            <w:r>
              <w:rPr>
                <w:spacing w:val="-1"/>
              </w:rPr>
              <w:t>3</w:t>
            </w:r>
          </w:p>
          <w:p w14:paraId="267C865B">
            <w:pPr>
              <w:pStyle w:val="9"/>
              <w:spacing w:before="151" w:line="219" w:lineRule="auto"/>
              <w:ind w:left="113"/>
            </w:pPr>
            <w:r>
              <w:rPr>
                <w:spacing w:val="-1"/>
              </w:rPr>
              <w:t>信誉要求：见附录</w:t>
            </w:r>
            <w:r>
              <w:rPr>
                <w:spacing w:val="-47"/>
              </w:rPr>
              <w:t xml:space="preserve"> </w:t>
            </w:r>
            <w:r>
              <w:rPr>
                <w:spacing w:val="-1"/>
              </w:rPr>
              <w:t>4</w:t>
            </w:r>
          </w:p>
          <w:p w14:paraId="7B236437">
            <w:pPr>
              <w:pStyle w:val="9"/>
              <w:spacing w:before="150" w:line="219" w:lineRule="auto"/>
              <w:ind w:left="116"/>
            </w:pPr>
            <w:r>
              <w:rPr>
                <w:spacing w:val="-1"/>
              </w:rPr>
              <w:t>项目经理和项目总工等主要管理人员资格：见附录</w:t>
            </w:r>
            <w:r>
              <w:rPr>
                <w:spacing w:val="-31"/>
              </w:rPr>
              <w:t xml:space="preserve"> </w:t>
            </w:r>
            <w:r>
              <w:rPr>
                <w:spacing w:val="-1"/>
              </w:rPr>
              <w:t>5</w:t>
            </w:r>
          </w:p>
          <w:p w14:paraId="2FF80B2D">
            <w:pPr>
              <w:pStyle w:val="9"/>
              <w:spacing w:before="136" w:line="233" w:lineRule="auto"/>
              <w:ind w:left="114"/>
              <w:rPr>
                <w:sz w:val="10"/>
                <w:szCs w:val="10"/>
              </w:rPr>
            </w:pPr>
            <w:r>
              <w:rPr>
                <w:spacing w:val="-1"/>
              </w:rPr>
              <w:t>其他要求：</w:t>
            </w:r>
            <w:r>
              <w:rPr>
                <w:rFonts w:hint="eastAsia"/>
                <w:spacing w:val="-1"/>
                <w:lang w:val="en-US" w:eastAsia="zh-CN"/>
              </w:rPr>
              <w:t>详见附录6</w:t>
            </w:r>
          </w:p>
        </w:tc>
      </w:tr>
      <w:tr w14:paraId="2849D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185" w:type="dxa"/>
            <w:vAlign w:val="top"/>
          </w:tcPr>
          <w:p w14:paraId="5EE89C4F">
            <w:pPr>
              <w:spacing w:line="288" w:lineRule="auto"/>
              <w:rPr>
                <w:rFonts w:ascii="Arial"/>
                <w:sz w:val="21"/>
              </w:rPr>
            </w:pPr>
          </w:p>
          <w:p w14:paraId="3F22C02C">
            <w:pPr>
              <w:spacing w:line="288" w:lineRule="auto"/>
              <w:rPr>
                <w:rFonts w:ascii="Arial"/>
                <w:sz w:val="21"/>
              </w:rPr>
            </w:pPr>
          </w:p>
          <w:p w14:paraId="61CAF859">
            <w:pPr>
              <w:spacing w:line="288" w:lineRule="auto"/>
              <w:rPr>
                <w:rFonts w:ascii="Arial"/>
                <w:sz w:val="21"/>
              </w:rPr>
            </w:pPr>
          </w:p>
          <w:p w14:paraId="4016CC57">
            <w:pPr>
              <w:pStyle w:val="9"/>
              <w:spacing w:before="68" w:line="239" w:lineRule="auto"/>
              <w:ind w:left="349"/>
            </w:pPr>
            <w:r>
              <w:rPr>
                <w:spacing w:val="-4"/>
              </w:rPr>
              <w:t>1.4.2</w:t>
            </w:r>
          </w:p>
        </w:tc>
        <w:tc>
          <w:tcPr>
            <w:tcW w:w="2646" w:type="dxa"/>
            <w:vAlign w:val="top"/>
          </w:tcPr>
          <w:p w14:paraId="7454E0C9">
            <w:pPr>
              <w:spacing w:line="288" w:lineRule="auto"/>
              <w:rPr>
                <w:rFonts w:ascii="Arial"/>
                <w:sz w:val="21"/>
              </w:rPr>
            </w:pPr>
          </w:p>
          <w:p w14:paraId="0559B769">
            <w:pPr>
              <w:spacing w:line="288" w:lineRule="auto"/>
              <w:rPr>
                <w:rFonts w:ascii="Arial"/>
                <w:sz w:val="21"/>
              </w:rPr>
            </w:pPr>
          </w:p>
          <w:p w14:paraId="3260B129">
            <w:pPr>
              <w:spacing w:line="288" w:lineRule="auto"/>
              <w:rPr>
                <w:rFonts w:ascii="Arial"/>
                <w:sz w:val="21"/>
              </w:rPr>
            </w:pPr>
          </w:p>
          <w:p w14:paraId="475A051C">
            <w:pPr>
              <w:pStyle w:val="9"/>
              <w:spacing w:before="68" w:line="220" w:lineRule="auto"/>
              <w:ind w:left="283"/>
            </w:pPr>
            <w:r>
              <w:rPr>
                <w:spacing w:val="-2"/>
              </w:rPr>
              <w:t>是否接受联合体投标</w:t>
            </w:r>
          </w:p>
        </w:tc>
        <w:tc>
          <w:tcPr>
            <w:tcW w:w="5931" w:type="dxa"/>
            <w:vAlign w:val="top"/>
          </w:tcPr>
          <w:p w14:paraId="4A6D25AE">
            <w:pPr>
              <w:pStyle w:val="9"/>
              <w:spacing w:before="139" w:line="221" w:lineRule="auto"/>
              <w:ind w:left="134"/>
            </w:pPr>
            <w:r>
              <w:rPr>
                <w:rFonts w:hint="eastAsia"/>
                <w:spacing w:val="-6"/>
                <w:lang w:eastAsia="zh-CN"/>
              </w:rPr>
              <w:t>☑</w:t>
            </w:r>
            <w:r>
              <w:rPr>
                <w:spacing w:val="-6"/>
              </w:rPr>
              <w:t>不接受</w:t>
            </w:r>
          </w:p>
          <w:p w14:paraId="4EEE33CC">
            <w:pPr>
              <w:pStyle w:val="9"/>
              <w:spacing w:before="147" w:line="220" w:lineRule="auto"/>
              <w:ind w:left="134"/>
            </w:pPr>
            <w:r>
              <w:rPr>
                <w:spacing w:val="-6"/>
              </w:rPr>
              <w:t>□接受，应满足下列要求：</w:t>
            </w:r>
          </w:p>
          <w:p w14:paraId="47BF281F">
            <w:pPr>
              <w:pStyle w:val="9"/>
              <w:spacing w:before="149" w:line="220" w:lineRule="auto"/>
              <w:ind w:left="118"/>
            </w:pPr>
            <w:r>
              <w:rPr>
                <w:spacing w:val="-3"/>
              </w:rPr>
              <w:t>（1）联合体所有成员数量不得超过</w:t>
            </w:r>
            <w:r>
              <w:rPr>
                <w:spacing w:val="-96"/>
              </w:rPr>
              <w:t xml:space="preserve"> </w:t>
            </w:r>
            <w:r>
              <w:rPr>
                <w:u w:val="single" w:color="auto"/>
              </w:rPr>
              <w:t xml:space="preserve"> </w:t>
            </w:r>
            <w:r>
              <w:rPr>
                <w:rFonts w:hint="eastAsia"/>
                <w:u w:val="single" w:color="auto"/>
                <w:lang w:val="en-US" w:eastAsia="zh-CN"/>
              </w:rPr>
              <w:t>/</w:t>
            </w:r>
            <w:r>
              <w:rPr>
                <w:u w:val="single" w:color="auto"/>
              </w:rPr>
              <w:t xml:space="preserve"> </w:t>
            </w:r>
            <w:r>
              <w:rPr>
                <w:spacing w:val="-96"/>
              </w:rPr>
              <w:t xml:space="preserve"> </w:t>
            </w:r>
            <w:r>
              <w:rPr>
                <w:spacing w:val="-3"/>
              </w:rPr>
              <w:t>家；</w:t>
            </w:r>
          </w:p>
          <w:p w14:paraId="36730A7C">
            <w:pPr>
              <w:pStyle w:val="9"/>
              <w:spacing w:before="150" w:line="219" w:lineRule="auto"/>
              <w:ind w:left="118"/>
            </w:pPr>
            <w:r>
              <w:rPr>
                <w:spacing w:val="-5"/>
              </w:rPr>
              <w:t>（2）联合体牵头人应具备</w:t>
            </w:r>
            <w:r>
              <w:rPr>
                <w:spacing w:val="-90"/>
              </w:rPr>
              <w:t xml:space="preserve"> </w:t>
            </w:r>
            <w:r>
              <w:rPr>
                <w:u w:val="single" w:color="auto"/>
              </w:rPr>
              <w:t xml:space="preserve"> </w:t>
            </w:r>
            <w:r>
              <w:rPr>
                <w:rFonts w:hint="eastAsia"/>
                <w:u w:val="single" w:color="auto"/>
                <w:lang w:val="en-US" w:eastAsia="zh-CN"/>
              </w:rPr>
              <w:t>/</w:t>
            </w:r>
            <w:r>
              <w:rPr>
                <w:u w:val="single" w:color="auto"/>
              </w:rPr>
              <w:t xml:space="preserve"> </w:t>
            </w:r>
            <w:r>
              <w:rPr>
                <w:spacing w:val="-87"/>
              </w:rPr>
              <w:t xml:space="preserve"> </w:t>
            </w:r>
            <w:r>
              <w:rPr>
                <w:spacing w:val="-5"/>
              </w:rPr>
              <w:t>资质；</w:t>
            </w:r>
          </w:p>
          <w:p w14:paraId="7B7BF3CF">
            <w:pPr>
              <w:pStyle w:val="9"/>
              <w:spacing w:before="151" w:line="224" w:lineRule="auto"/>
              <w:ind w:left="126"/>
            </w:pPr>
          </w:p>
        </w:tc>
      </w:tr>
      <w:tr w14:paraId="060BE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185" w:type="dxa"/>
            <w:vAlign w:val="top"/>
          </w:tcPr>
          <w:p w14:paraId="4229051C">
            <w:pPr>
              <w:spacing w:line="269" w:lineRule="auto"/>
              <w:rPr>
                <w:rFonts w:ascii="Arial"/>
                <w:sz w:val="21"/>
              </w:rPr>
            </w:pPr>
          </w:p>
          <w:p w14:paraId="42B61349">
            <w:pPr>
              <w:pStyle w:val="9"/>
              <w:spacing w:before="69" w:line="239" w:lineRule="auto"/>
              <w:ind w:left="349"/>
            </w:pPr>
            <w:r>
              <w:rPr>
                <w:spacing w:val="-5"/>
              </w:rPr>
              <w:t>1.4.3</w:t>
            </w:r>
          </w:p>
        </w:tc>
        <w:tc>
          <w:tcPr>
            <w:tcW w:w="2646" w:type="dxa"/>
            <w:vAlign w:val="center"/>
          </w:tcPr>
          <w:p w14:paraId="4E2E63D2">
            <w:pPr>
              <w:pStyle w:val="9"/>
              <w:spacing w:before="141" w:line="287" w:lineRule="auto"/>
              <w:ind w:left="807" w:right="170" w:hanging="630"/>
            </w:pPr>
            <w:r>
              <w:rPr>
                <w:spacing w:val="-2"/>
              </w:rPr>
              <w:t>投标人不得存在的其他</w:t>
            </w:r>
            <w:r>
              <w:rPr>
                <w:spacing w:val="-3"/>
              </w:rPr>
              <w:t>关联情形</w:t>
            </w:r>
          </w:p>
        </w:tc>
        <w:tc>
          <w:tcPr>
            <w:tcW w:w="5931" w:type="dxa"/>
            <w:vAlign w:val="top"/>
          </w:tcPr>
          <w:p w14:paraId="0D0D7E40">
            <w:pPr>
              <w:pStyle w:val="9"/>
              <w:spacing w:before="223" w:line="219" w:lineRule="auto"/>
              <w:ind w:left="122"/>
              <w:rPr>
                <w:rFonts w:ascii="Arial"/>
                <w:sz w:val="21"/>
              </w:rPr>
            </w:pPr>
            <w:r>
              <w:rPr>
                <w:rFonts w:hint="eastAsia"/>
                <w:spacing w:val="-2"/>
              </w:rPr>
              <w:t>与招标人存在利害关系可能影响招标公正性的法人，不得参 加投标；若单位负责人为同一人、或者存在控股、管理关系 的不同单位，不得参加同一标段投标或者未划分标段的同一 招标项目投标，否则按否决其投标处理。</w:t>
            </w:r>
          </w:p>
        </w:tc>
      </w:tr>
      <w:tr w14:paraId="26D95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185" w:type="dxa"/>
            <w:vAlign w:val="top"/>
          </w:tcPr>
          <w:p w14:paraId="7F066EC5">
            <w:pPr>
              <w:spacing w:line="470" w:lineRule="auto"/>
              <w:rPr>
                <w:rFonts w:ascii="Arial"/>
                <w:sz w:val="21"/>
              </w:rPr>
            </w:pPr>
          </w:p>
          <w:p w14:paraId="5BB3723B">
            <w:pPr>
              <w:pStyle w:val="9"/>
              <w:spacing w:before="68" w:line="239" w:lineRule="auto"/>
              <w:ind w:left="349"/>
            </w:pPr>
            <w:r>
              <w:rPr>
                <w:spacing w:val="-5"/>
              </w:rPr>
              <w:t>1.4.4</w:t>
            </w:r>
          </w:p>
        </w:tc>
        <w:tc>
          <w:tcPr>
            <w:tcW w:w="2646" w:type="dxa"/>
            <w:vAlign w:val="center"/>
          </w:tcPr>
          <w:p w14:paraId="74D3AD62">
            <w:pPr>
              <w:pStyle w:val="9"/>
              <w:spacing w:before="141" w:line="220" w:lineRule="auto"/>
              <w:ind w:left="177"/>
            </w:pPr>
            <w:r>
              <w:rPr>
                <w:spacing w:val="-1"/>
              </w:rPr>
              <w:t>投标人不得存在的其他</w:t>
            </w:r>
          </w:p>
          <w:p w14:paraId="099D32BB">
            <w:pPr>
              <w:pStyle w:val="9"/>
              <w:spacing w:before="149" w:line="220" w:lineRule="auto"/>
              <w:ind w:left="178"/>
              <w:rPr>
                <w:rFonts w:hint="eastAsia" w:eastAsia="宋体"/>
                <w:lang w:eastAsia="zh-CN"/>
              </w:rPr>
            </w:pPr>
            <w:r>
              <w:rPr>
                <w:spacing w:val="-2"/>
              </w:rPr>
              <w:t>不良状况或不良信用</w:t>
            </w:r>
            <w:r>
              <w:rPr>
                <w:rFonts w:hint="eastAsia"/>
                <w:spacing w:val="-2"/>
                <w:lang w:eastAsia="zh-CN"/>
              </w:rPr>
              <w:t>记录</w:t>
            </w:r>
          </w:p>
        </w:tc>
        <w:tc>
          <w:tcPr>
            <w:tcW w:w="5931" w:type="dxa"/>
            <w:vAlign w:val="top"/>
          </w:tcPr>
          <w:p w14:paraId="19B73EBA">
            <w:pPr>
              <w:pStyle w:val="9"/>
              <w:spacing w:before="223" w:line="219" w:lineRule="auto"/>
              <w:ind w:left="122"/>
              <w:rPr>
                <w:rFonts w:ascii="Arial"/>
                <w:sz w:val="21"/>
              </w:rPr>
            </w:pPr>
            <w:r>
              <w:rPr>
                <w:rFonts w:hint="eastAsia"/>
                <w:spacing w:val="-2"/>
              </w:rPr>
              <w:t>按招标文件内容</w:t>
            </w:r>
          </w:p>
        </w:tc>
      </w:tr>
      <w:tr w14:paraId="7D2BA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Merge w:val="restart"/>
            <w:tcBorders>
              <w:bottom w:val="nil"/>
            </w:tcBorders>
            <w:vAlign w:val="top"/>
          </w:tcPr>
          <w:p w14:paraId="1F1BB3DF">
            <w:pPr>
              <w:spacing w:line="443" w:lineRule="auto"/>
              <w:rPr>
                <w:rFonts w:ascii="Arial"/>
                <w:sz w:val="21"/>
              </w:rPr>
            </w:pPr>
          </w:p>
          <w:p w14:paraId="56A343D2">
            <w:pPr>
              <w:pStyle w:val="9"/>
              <w:spacing w:before="68" w:line="239" w:lineRule="auto"/>
              <w:ind w:left="298"/>
            </w:pPr>
            <w:r>
              <w:rPr>
                <w:spacing w:val="-4"/>
              </w:rPr>
              <w:t>1.10.2</w:t>
            </w:r>
          </w:p>
        </w:tc>
        <w:tc>
          <w:tcPr>
            <w:tcW w:w="2646" w:type="dxa"/>
            <w:vMerge w:val="restart"/>
            <w:tcBorders>
              <w:bottom w:val="nil"/>
            </w:tcBorders>
            <w:vAlign w:val="top"/>
          </w:tcPr>
          <w:p w14:paraId="6443DF0B">
            <w:pPr>
              <w:spacing w:line="243" w:lineRule="auto"/>
              <w:rPr>
                <w:rFonts w:ascii="Arial"/>
                <w:sz w:val="21"/>
              </w:rPr>
            </w:pPr>
          </w:p>
          <w:p w14:paraId="378AF97C">
            <w:pPr>
              <w:pStyle w:val="9"/>
              <w:spacing w:before="68" w:line="355" w:lineRule="auto"/>
              <w:ind w:left="805" w:right="170" w:hanging="628"/>
            </w:pPr>
            <w:r>
              <w:rPr>
                <w:spacing w:val="-2"/>
              </w:rPr>
              <w:t>投标人在投标预备会前提出问题</w:t>
            </w:r>
          </w:p>
        </w:tc>
        <w:tc>
          <w:tcPr>
            <w:tcW w:w="5931" w:type="dxa"/>
            <w:vAlign w:val="top"/>
          </w:tcPr>
          <w:p w14:paraId="3A03C9A0">
            <w:pPr>
              <w:pStyle w:val="9"/>
              <w:spacing w:before="224" w:line="219" w:lineRule="auto"/>
              <w:ind w:left="123"/>
            </w:pPr>
            <w:r>
              <w:rPr>
                <w:spacing w:val="-3"/>
              </w:rPr>
              <w:t>时间：</w:t>
            </w:r>
            <w:r>
              <w:rPr>
                <w:rFonts w:hint="eastAsia"/>
                <w:spacing w:val="-3"/>
                <w:u w:val="single" w:color="auto"/>
                <w:lang w:val="en-US" w:eastAsia="zh-CN"/>
              </w:rPr>
              <w:t>/</w:t>
            </w:r>
            <w:r>
              <w:rPr>
                <w:spacing w:val="-39"/>
                <w:u w:val="single" w:color="auto"/>
              </w:rPr>
              <w:t xml:space="preserve"> </w:t>
            </w:r>
          </w:p>
        </w:tc>
      </w:tr>
      <w:tr w14:paraId="20B10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Merge w:val="continue"/>
            <w:tcBorders>
              <w:top w:val="nil"/>
            </w:tcBorders>
            <w:vAlign w:val="top"/>
          </w:tcPr>
          <w:p w14:paraId="50DED4BA">
            <w:pPr>
              <w:rPr>
                <w:rFonts w:ascii="Arial"/>
                <w:sz w:val="21"/>
              </w:rPr>
            </w:pPr>
          </w:p>
        </w:tc>
        <w:tc>
          <w:tcPr>
            <w:tcW w:w="2646" w:type="dxa"/>
            <w:vMerge w:val="continue"/>
            <w:tcBorders>
              <w:top w:val="nil"/>
            </w:tcBorders>
            <w:vAlign w:val="top"/>
          </w:tcPr>
          <w:p w14:paraId="6FD9D07B">
            <w:pPr>
              <w:rPr>
                <w:rFonts w:ascii="Arial"/>
                <w:sz w:val="21"/>
              </w:rPr>
            </w:pPr>
          </w:p>
        </w:tc>
        <w:tc>
          <w:tcPr>
            <w:tcW w:w="5931" w:type="dxa"/>
            <w:vAlign w:val="top"/>
          </w:tcPr>
          <w:p w14:paraId="0BDD24CA">
            <w:pPr>
              <w:pStyle w:val="9"/>
              <w:spacing w:before="225" w:line="220" w:lineRule="auto"/>
              <w:ind w:left="115"/>
            </w:pPr>
            <w:r>
              <w:rPr>
                <w:spacing w:val="-1"/>
              </w:rPr>
              <w:t>形式：</w:t>
            </w:r>
            <w:r>
              <w:rPr>
                <w:rFonts w:hint="eastAsia"/>
                <w:spacing w:val="-3"/>
                <w:u w:val="single" w:color="auto"/>
                <w:lang w:val="en-US" w:eastAsia="zh-CN"/>
              </w:rPr>
              <w:t>/</w:t>
            </w:r>
            <w:r>
              <w:rPr>
                <w:spacing w:val="-39"/>
                <w:u w:val="single" w:color="auto"/>
              </w:rPr>
              <w:t xml:space="preserve"> </w:t>
            </w:r>
          </w:p>
        </w:tc>
      </w:tr>
      <w:tr w14:paraId="5A1FF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1185" w:type="dxa"/>
            <w:vAlign w:val="top"/>
          </w:tcPr>
          <w:p w14:paraId="64783EEA">
            <w:pPr>
              <w:spacing w:line="299" w:lineRule="auto"/>
              <w:rPr>
                <w:rFonts w:ascii="Arial"/>
                <w:sz w:val="21"/>
              </w:rPr>
            </w:pPr>
          </w:p>
          <w:p w14:paraId="0DB00184">
            <w:pPr>
              <w:spacing w:line="299" w:lineRule="auto"/>
              <w:rPr>
                <w:rFonts w:ascii="Arial"/>
                <w:sz w:val="21"/>
              </w:rPr>
            </w:pPr>
          </w:p>
          <w:p w14:paraId="6F96AFAF">
            <w:pPr>
              <w:spacing w:line="299" w:lineRule="auto"/>
              <w:rPr>
                <w:rFonts w:ascii="Arial"/>
                <w:sz w:val="21"/>
              </w:rPr>
            </w:pPr>
          </w:p>
          <w:p w14:paraId="35C23FC3">
            <w:pPr>
              <w:spacing w:line="299" w:lineRule="auto"/>
              <w:rPr>
                <w:rFonts w:ascii="Arial"/>
                <w:sz w:val="21"/>
              </w:rPr>
            </w:pPr>
          </w:p>
          <w:p w14:paraId="4BB71472">
            <w:pPr>
              <w:pStyle w:val="9"/>
              <w:spacing w:before="68" w:line="239" w:lineRule="auto"/>
              <w:ind w:left="403"/>
            </w:pPr>
            <w:r>
              <w:rPr>
                <w:spacing w:val="-6"/>
              </w:rPr>
              <w:t>1.11</w:t>
            </w:r>
          </w:p>
        </w:tc>
        <w:tc>
          <w:tcPr>
            <w:tcW w:w="2646" w:type="dxa"/>
            <w:vAlign w:val="top"/>
          </w:tcPr>
          <w:p w14:paraId="201A05E1">
            <w:pPr>
              <w:spacing w:line="299" w:lineRule="auto"/>
              <w:rPr>
                <w:rFonts w:ascii="Arial"/>
                <w:sz w:val="21"/>
              </w:rPr>
            </w:pPr>
          </w:p>
          <w:p w14:paraId="21B36B7B">
            <w:pPr>
              <w:spacing w:line="299" w:lineRule="auto"/>
              <w:rPr>
                <w:rFonts w:ascii="Arial"/>
                <w:sz w:val="21"/>
              </w:rPr>
            </w:pPr>
          </w:p>
          <w:p w14:paraId="7909A19C">
            <w:pPr>
              <w:spacing w:line="299" w:lineRule="auto"/>
              <w:rPr>
                <w:rFonts w:ascii="Arial"/>
                <w:sz w:val="21"/>
              </w:rPr>
            </w:pPr>
          </w:p>
          <w:p w14:paraId="1D22D887">
            <w:pPr>
              <w:spacing w:line="299" w:lineRule="auto"/>
              <w:rPr>
                <w:rFonts w:ascii="Arial"/>
                <w:sz w:val="21"/>
              </w:rPr>
            </w:pPr>
          </w:p>
          <w:p w14:paraId="1BF840D4">
            <w:pPr>
              <w:pStyle w:val="9"/>
              <w:spacing w:before="68" w:line="220" w:lineRule="auto"/>
              <w:ind w:left="1017"/>
            </w:pPr>
            <w:r>
              <w:rPr>
                <w:spacing w:val="-3"/>
              </w:rPr>
              <w:t>分包</w:t>
            </w:r>
          </w:p>
        </w:tc>
        <w:tc>
          <w:tcPr>
            <w:tcW w:w="5931" w:type="dxa"/>
            <w:vAlign w:val="top"/>
          </w:tcPr>
          <w:p w14:paraId="6FC4A67F">
            <w:pPr>
              <w:pStyle w:val="9"/>
              <w:spacing w:before="271" w:line="352" w:lineRule="auto"/>
              <w:ind w:left="114" w:right="107" w:firstLine="1"/>
            </w:pPr>
            <w:r>
              <w:rPr>
                <w:spacing w:val="-1"/>
              </w:rPr>
              <w:t>投标人拟在中标后将中标项目的部分工程进行分包的，应符</w:t>
            </w:r>
            <w:r>
              <w:rPr>
                <w:spacing w:val="-8"/>
              </w:rPr>
              <w:t>合以下规定：</w:t>
            </w:r>
          </w:p>
          <w:p w14:paraId="1C439047">
            <w:pPr>
              <w:pStyle w:val="9"/>
              <w:spacing w:line="351" w:lineRule="auto"/>
              <w:ind w:left="114" w:right="199" w:firstLine="3"/>
            </w:pPr>
            <w:r>
              <w:rPr>
                <w:spacing w:val="-2"/>
              </w:rPr>
              <w:t>（1）分包内容满足项目专用合同条款第</w:t>
            </w:r>
            <w:r>
              <w:rPr>
                <w:spacing w:val="-24"/>
              </w:rPr>
              <w:t xml:space="preserve"> </w:t>
            </w:r>
            <w:r>
              <w:rPr>
                <w:spacing w:val="-2"/>
              </w:rPr>
              <w:t>4.3.2</w:t>
            </w:r>
            <w:r>
              <w:rPr>
                <w:spacing w:val="-41"/>
              </w:rPr>
              <w:t xml:space="preserve"> </w:t>
            </w:r>
            <w:r>
              <w:rPr>
                <w:spacing w:val="-2"/>
              </w:rPr>
              <w:t>项的相关要</w:t>
            </w:r>
            <w:r>
              <w:rPr>
                <w:spacing w:val="-15"/>
              </w:rPr>
              <w:t>求；</w:t>
            </w:r>
          </w:p>
          <w:p w14:paraId="044AA637">
            <w:pPr>
              <w:pStyle w:val="9"/>
              <w:spacing w:before="271" w:line="352" w:lineRule="auto"/>
              <w:ind w:left="114" w:right="107" w:firstLine="1"/>
            </w:pPr>
            <w:r>
              <w:rPr>
                <w:spacing w:val="-2"/>
              </w:rPr>
              <w:t>（2）分包人的资格条件满足项目专用合同条款第</w:t>
            </w:r>
            <w:r>
              <w:rPr>
                <w:spacing w:val="-24"/>
              </w:rPr>
              <w:t xml:space="preserve"> </w:t>
            </w:r>
            <w:r>
              <w:rPr>
                <w:spacing w:val="-2"/>
              </w:rPr>
              <w:t>4.3.3</w:t>
            </w:r>
            <w:r>
              <w:rPr>
                <w:spacing w:val="-41"/>
              </w:rPr>
              <w:t xml:space="preserve"> </w:t>
            </w:r>
            <w:r>
              <w:rPr>
                <w:spacing w:val="-2"/>
              </w:rPr>
              <w:t>项</w:t>
            </w:r>
            <w:r>
              <w:rPr>
                <w:spacing w:val="-8"/>
              </w:rPr>
              <w:t>的相关要求。</w:t>
            </w:r>
          </w:p>
        </w:tc>
      </w:tr>
      <w:tr w14:paraId="524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3F6FF10A">
            <w:pPr>
              <w:spacing w:line="272" w:lineRule="auto"/>
              <w:rPr>
                <w:rFonts w:ascii="Arial"/>
                <w:sz w:val="21"/>
              </w:rPr>
            </w:pPr>
          </w:p>
          <w:p w14:paraId="6370FB3B">
            <w:pPr>
              <w:pStyle w:val="9"/>
              <w:spacing w:before="69" w:line="239" w:lineRule="auto"/>
              <w:ind w:left="442"/>
            </w:pPr>
            <w:r>
              <w:rPr>
                <w:spacing w:val="-4"/>
              </w:rPr>
              <w:t>2.1</w:t>
            </w:r>
          </w:p>
        </w:tc>
        <w:tc>
          <w:tcPr>
            <w:tcW w:w="2646" w:type="dxa"/>
            <w:vAlign w:val="top"/>
          </w:tcPr>
          <w:p w14:paraId="3AC5DBCA">
            <w:pPr>
              <w:pStyle w:val="9"/>
              <w:spacing w:before="143" w:line="220" w:lineRule="auto"/>
              <w:ind w:left="177"/>
            </w:pPr>
            <w:r>
              <w:rPr>
                <w:spacing w:val="-1"/>
              </w:rPr>
              <w:t>构成招标文件的其他资</w:t>
            </w:r>
          </w:p>
          <w:p w14:paraId="0BA4A120">
            <w:pPr>
              <w:pStyle w:val="9"/>
              <w:spacing w:before="150" w:line="220" w:lineRule="auto"/>
              <w:ind w:left="1119"/>
            </w:pPr>
            <w:r>
              <w:t>料</w:t>
            </w:r>
          </w:p>
        </w:tc>
        <w:tc>
          <w:tcPr>
            <w:tcW w:w="5931" w:type="dxa"/>
            <w:vAlign w:val="top"/>
          </w:tcPr>
          <w:p w14:paraId="641A648C">
            <w:pPr>
              <w:pStyle w:val="9"/>
              <w:spacing w:before="223" w:line="219" w:lineRule="auto"/>
              <w:ind w:left="122"/>
              <w:rPr>
                <w:rFonts w:ascii="Arial"/>
                <w:sz w:val="21"/>
              </w:rPr>
            </w:pPr>
            <w:r>
              <w:rPr>
                <w:rFonts w:hint="eastAsia"/>
                <w:spacing w:val="-2"/>
              </w:rPr>
              <w:t>招标公告发出后的修正书、补遗书等资料</w:t>
            </w:r>
          </w:p>
        </w:tc>
      </w:tr>
      <w:tr w14:paraId="7263A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85" w:type="dxa"/>
            <w:vMerge w:val="restart"/>
            <w:vAlign w:val="top"/>
          </w:tcPr>
          <w:p w14:paraId="33ADDAE6">
            <w:pPr>
              <w:pStyle w:val="9"/>
              <w:spacing w:before="226" w:line="239" w:lineRule="auto"/>
              <w:ind w:left="336"/>
            </w:pPr>
            <w:r>
              <w:rPr>
                <w:spacing w:val="-2"/>
              </w:rPr>
              <w:t>2.2.1</w:t>
            </w:r>
          </w:p>
        </w:tc>
        <w:tc>
          <w:tcPr>
            <w:tcW w:w="2646" w:type="dxa"/>
            <w:vMerge w:val="restart"/>
            <w:vAlign w:val="top"/>
          </w:tcPr>
          <w:p w14:paraId="05C5F978">
            <w:pPr>
              <w:pStyle w:val="9"/>
              <w:spacing w:before="226" w:line="220" w:lineRule="auto"/>
              <w:ind w:left="177"/>
              <w:rPr>
                <w:rFonts w:hint="eastAsia" w:eastAsia="宋体"/>
                <w:lang w:val="en-US" w:eastAsia="zh-CN"/>
              </w:rPr>
            </w:pPr>
            <w:r>
              <w:rPr>
                <w:spacing w:val="-1"/>
              </w:rPr>
              <w:t>投标人要求澄清招标文</w:t>
            </w:r>
            <w:r>
              <w:rPr>
                <w:rFonts w:hint="eastAsia"/>
                <w:spacing w:val="-1"/>
                <w:lang w:val="en-US" w:eastAsia="zh-CN"/>
              </w:rPr>
              <w:t>件</w:t>
            </w:r>
          </w:p>
        </w:tc>
        <w:tc>
          <w:tcPr>
            <w:tcW w:w="5931" w:type="dxa"/>
            <w:vAlign w:val="top"/>
          </w:tcPr>
          <w:p w14:paraId="6D8E3DFB">
            <w:pPr>
              <w:pStyle w:val="9"/>
              <w:spacing w:before="225" w:line="220" w:lineRule="auto"/>
              <w:ind w:left="123"/>
              <w:rPr>
                <w:spacing w:val="-2"/>
              </w:rPr>
            </w:pPr>
            <w:r>
              <w:rPr>
                <w:spacing w:val="-2"/>
              </w:rPr>
              <w:t>时间：递交投标文件截止之日</w:t>
            </w:r>
            <w:r>
              <w:rPr>
                <w:spacing w:val="-101"/>
              </w:rPr>
              <w:t xml:space="preserve"> </w:t>
            </w:r>
            <w:r>
              <w:rPr>
                <w:spacing w:val="52"/>
                <w:u w:val="single" w:color="auto"/>
              </w:rPr>
              <w:t xml:space="preserve"> </w:t>
            </w:r>
            <w:r>
              <w:rPr>
                <w:rFonts w:hint="eastAsia"/>
                <w:spacing w:val="52"/>
                <w:u w:val="single" w:color="auto"/>
                <w:lang w:val="en-US" w:eastAsia="zh-CN"/>
              </w:rPr>
              <w:t>15</w:t>
            </w:r>
            <w:r>
              <w:rPr>
                <w:spacing w:val="52"/>
                <w:u w:val="single" w:color="auto"/>
              </w:rPr>
              <w:t xml:space="preserve"> </w:t>
            </w:r>
            <w:r>
              <w:rPr>
                <w:spacing w:val="-92"/>
              </w:rPr>
              <w:t xml:space="preserve"> </w:t>
            </w:r>
            <w:r>
              <w:rPr>
                <w:spacing w:val="-2"/>
              </w:rPr>
              <w:t>天前</w:t>
            </w:r>
          </w:p>
          <w:p w14:paraId="05E795E3">
            <w:pPr>
              <w:pStyle w:val="9"/>
              <w:spacing w:before="225" w:line="220" w:lineRule="auto"/>
              <w:ind w:left="123"/>
              <w:rPr>
                <w:spacing w:val="-2"/>
              </w:rPr>
            </w:pPr>
            <w:r>
              <w:rPr>
                <w:spacing w:val="-3"/>
              </w:rPr>
              <w:t>形式：</w:t>
            </w:r>
            <w:r>
              <w:rPr>
                <w:rFonts w:hint="eastAsia"/>
                <w:spacing w:val="-3"/>
              </w:rPr>
              <w:t>投标人疑问通过云浮市公共资源交易服务平台交易系统进入提问区域将问题提交给招标人/招标代理机构。</w:t>
            </w:r>
          </w:p>
        </w:tc>
      </w:tr>
      <w:tr w14:paraId="42CC6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1185" w:type="dxa"/>
            <w:vMerge w:val="continue"/>
            <w:vAlign w:val="top"/>
          </w:tcPr>
          <w:p w14:paraId="260BB0AF">
            <w:pPr>
              <w:pStyle w:val="9"/>
              <w:spacing w:before="226" w:line="239" w:lineRule="auto"/>
              <w:ind w:left="336"/>
              <w:rPr>
                <w:spacing w:val="-2"/>
              </w:rPr>
            </w:pPr>
          </w:p>
        </w:tc>
        <w:tc>
          <w:tcPr>
            <w:tcW w:w="2646" w:type="dxa"/>
            <w:vMerge w:val="continue"/>
            <w:vAlign w:val="top"/>
          </w:tcPr>
          <w:p w14:paraId="6559A8AE">
            <w:pPr>
              <w:pStyle w:val="9"/>
              <w:spacing w:before="226" w:line="220" w:lineRule="auto"/>
              <w:ind w:left="177"/>
              <w:rPr>
                <w:spacing w:val="-1"/>
              </w:rPr>
            </w:pPr>
          </w:p>
        </w:tc>
        <w:tc>
          <w:tcPr>
            <w:tcW w:w="5931" w:type="dxa"/>
            <w:vAlign w:val="top"/>
          </w:tcPr>
          <w:p w14:paraId="2AB7A600">
            <w:pPr>
              <w:pStyle w:val="9"/>
              <w:spacing w:before="225" w:line="220" w:lineRule="auto"/>
              <w:ind w:left="123"/>
              <w:rPr>
                <w:spacing w:val="-2"/>
              </w:rPr>
            </w:pPr>
            <w:r>
              <w:rPr>
                <w:rFonts w:hint="eastAsia"/>
                <w:spacing w:val="-3"/>
              </w:rPr>
              <w:t>答疑操作指南：登录云浮市公共资源交易中心网站→点击【异议投诉】，→点击【提出异议】，点击【新增在线异议】，选择需要提交异议的项目，选择异议类型，填写异议内容，上传相关附件，点击【提交异议】。</w:t>
            </w:r>
          </w:p>
        </w:tc>
      </w:tr>
    </w:tbl>
    <w:p w14:paraId="6508094C">
      <w:pPr>
        <w:spacing w:line="241" w:lineRule="auto"/>
        <w:rPr>
          <w:rFonts w:ascii="宋体" w:hAnsi="宋体" w:eastAsia="宋体" w:cs="宋体"/>
          <w:sz w:val="18"/>
          <w:szCs w:val="18"/>
        </w:rPr>
        <w:sectPr>
          <w:footerReference r:id="rId10" w:type="default"/>
          <w:pgSz w:w="11905" w:h="16840"/>
          <w:pgMar w:top="1182" w:right="1303" w:bottom="1171" w:left="1303" w:header="849" w:footer="937" w:gutter="0"/>
          <w:pgNumType w:fmt="decimal"/>
          <w:cols w:space="720" w:num="1"/>
        </w:sectPr>
      </w:pPr>
    </w:p>
    <w:p w14:paraId="2AEB6C0C">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423AD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4E92F5E0">
            <w:pPr>
              <w:pStyle w:val="9"/>
              <w:spacing w:before="181" w:line="220" w:lineRule="auto"/>
              <w:ind w:left="284"/>
            </w:pPr>
            <w:r>
              <w:rPr>
                <w:b/>
                <w:bCs/>
                <w:spacing w:val="-6"/>
              </w:rPr>
              <w:t>条款号</w:t>
            </w:r>
          </w:p>
        </w:tc>
        <w:tc>
          <w:tcPr>
            <w:tcW w:w="2443" w:type="dxa"/>
            <w:vAlign w:val="top"/>
          </w:tcPr>
          <w:p w14:paraId="7605DF6A">
            <w:pPr>
              <w:pStyle w:val="9"/>
              <w:spacing w:before="181" w:line="220" w:lineRule="auto"/>
              <w:ind w:left="807"/>
            </w:pPr>
            <w:r>
              <w:rPr>
                <w:b/>
                <w:bCs/>
                <w:spacing w:val="-5"/>
              </w:rPr>
              <w:t>条款名称</w:t>
            </w:r>
          </w:p>
        </w:tc>
        <w:tc>
          <w:tcPr>
            <w:tcW w:w="5664" w:type="dxa"/>
            <w:vAlign w:val="top"/>
          </w:tcPr>
          <w:p w14:paraId="0C2CBE1C">
            <w:pPr>
              <w:pStyle w:val="9"/>
              <w:spacing w:before="181" w:line="220" w:lineRule="auto"/>
              <w:ind w:left="2417"/>
            </w:pPr>
            <w:r>
              <w:rPr>
                <w:b/>
                <w:bCs/>
                <w:spacing w:val="-5"/>
              </w:rPr>
              <w:t>编列内容</w:t>
            </w:r>
          </w:p>
        </w:tc>
      </w:tr>
      <w:tr w14:paraId="77643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10A75FC9">
            <w:pPr>
              <w:spacing w:line="268" w:lineRule="auto"/>
              <w:rPr>
                <w:rFonts w:ascii="Arial"/>
                <w:sz w:val="21"/>
              </w:rPr>
            </w:pPr>
          </w:p>
          <w:p w14:paraId="3DF02725">
            <w:pPr>
              <w:pStyle w:val="9"/>
              <w:spacing w:before="68" w:line="239" w:lineRule="auto"/>
              <w:ind w:left="336"/>
            </w:pPr>
            <w:r>
              <w:rPr>
                <w:spacing w:val="-3"/>
              </w:rPr>
              <w:t>2.2.2</w:t>
            </w:r>
          </w:p>
        </w:tc>
        <w:tc>
          <w:tcPr>
            <w:tcW w:w="2443" w:type="dxa"/>
            <w:vAlign w:val="top"/>
          </w:tcPr>
          <w:p w14:paraId="312306A9">
            <w:pPr>
              <w:pStyle w:val="9"/>
              <w:spacing w:before="138" w:line="220" w:lineRule="auto"/>
              <w:ind w:left="176"/>
            </w:pPr>
            <w:r>
              <w:rPr>
                <w:spacing w:val="-1"/>
              </w:rPr>
              <w:t>招标文件澄清发出的形</w:t>
            </w:r>
          </w:p>
          <w:p w14:paraId="1A172A94">
            <w:pPr>
              <w:pStyle w:val="9"/>
              <w:spacing w:before="149" w:line="221" w:lineRule="auto"/>
              <w:ind w:left="1123"/>
            </w:pPr>
            <w:r>
              <w:t>式</w:t>
            </w:r>
          </w:p>
        </w:tc>
        <w:tc>
          <w:tcPr>
            <w:tcW w:w="5664" w:type="dxa"/>
            <w:vAlign w:val="center"/>
          </w:tcPr>
          <w:p w14:paraId="636C3FF4">
            <w:pPr>
              <w:pStyle w:val="9"/>
              <w:spacing w:before="223" w:line="219" w:lineRule="auto"/>
              <w:ind w:left="122"/>
            </w:pPr>
            <w:r>
              <w:rPr>
                <w:rFonts w:hint="eastAsia"/>
                <w:spacing w:val="-2"/>
              </w:rPr>
              <w:t>投标截止时间前15天，如果澄清发出的时间距投标截止时间不足15天，招标人可相应延长投标截止时间。在云浮市公共资源交易服务平台、广东省公共资源交易平台、广东省招标投标监管网发布。</w:t>
            </w:r>
          </w:p>
        </w:tc>
      </w:tr>
      <w:tr w14:paraId="7955B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185" w:type="dxa"/>
            <w:vMerge w:val="restart"/>
            <w:vAlign w:val="top"/>
          </w:tcPr>
          <w:p w14:paraId="63614F19">
            <w:pPr>
              <w:spacing w:line="283" w:lineRule="auto"/>
              <w:rPr>
                <w:rFonts w:ascii="Arial"/>
                <w:sz w:val="21"/>
              </w:rPr>
            </w:pPr>
          </w:p>
          <w:p w14:paraId="3AA7E1E4">
            <w:pPr>
              <w:spacing w:line="284" w:lineRule="auto"/>
              <w:rPr>
                <w:rFonts w:ascii="Arial"/>
                <w:sz w:val="21"/>
              </w:rPr>
            </w:pPr>
          </w:p>
          <w:p w14:paraId="34B54432">
            <w:pPr>
              <w:pStyle w:val="9"/>
              <w:spacing w:before="68" w:line="239" w:lineRule="auto"/>
              <w:ind w:left="336"/>
            </w:pPr>
            <w:r>
              <w:rPr>
                <w:spacing w:val="-3"/>
              </w:rPr>
              <w:t>2.2.3</w:t>
            </w:r>
          </w:p>
        </w:tc>
        <w:tc>
          <w:tcPr>
            <w:tcW w:w="2443" w:type="dxa"/>
            <w:vMerge w:val="restart"/>
            <w:vAlign w:val="top"/>
          </w:tcPr>
          <w:p w14:paraId="0280CFD6">
            <w:pPr>
              <w:spacing w:line="370" w:lineRule="auto"/>
              <w:rPr>
                <w:rFonts w:ascii="Arial"/>
                <w:sz w:val="21"/>
              </w:rPr>
            </w:pPr>
          </w:p>
          <w:p w14:paraId="4986DD3D">
            <w:pPr>
              <w:pStyle w:val="9"/>
              <w:spacing w:before="68" w:line="353" w:lineRule="auto"/>
              <w:ind w:left="908" w:right="170" w:hanging="731"/>
            </w:pPr>
            <w:r>
              <w:rPr>
                <w:spacing w:val="-2"/>
              </w:rPr>
              <w:t>投标人确认收到招标文件澄清</w:t>
            </w:r>
          </w:p>
        </w:tc>
        <w:tc>
          <w:tcPr>
            <w:tcW w:w="5664" w:type="dxa"/>
            <w:vAlign w:val="center"/>
          </w:tcPr>
          <w:p w14:paraId="3A6E5264">
            <w:pPr>
              <w:pStyle w:val="9"/>
              <w:spacing w:before="223" w:line="219" w:lineRule="auto"/>
              <w:ind w:left="122"/>
              <w:rPr>
                <w:rFonts w:hint="eastAsia"/>
                <w:spacing w:val="-2"/>
                <w:lang w:val="en-US" w:eastAsia="en-US"/>
              </w:rPr>
            </w:pPr>
            <w:r>
              <w:rPr>
                <w:rFonts w:hint="eastAsia"/>
                <w:spacing w:val="-2"/>
                <w:lang w:val="en-US" w:eastAsia="zh-CN"/>
              </w:rPr>
              <w:t>时间：网站发布当日视为投标人确认收到</w:t>
            </w:r>
            <w:r>
              <w:rPr>
                <w:rFonts w:hint="eastAsia"/>
                <w:spacing w:val="-2"/>
              </w:rPr>
              <w:t>。</w:t>
            </w:r>
          </w:p>
        </w:tc>
      </w:tr>
      <w:tr w14:paraId="2201E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1185" w:type="dxa"/>
            <w:vMerge w:val="continue"/>
            <w:vAlign w:val="top"/>
          </w:tcPr>
          <w:p w14:paraId="7D05F114">
            <w:pPr>
              <w:pStyle w:val="9"/>
              <w:spacing w:line="220" w:lineRule="auto"/>
              <w:ind w:left="113"/>
            </w:pPr>
          </w:p>
        </w:tc>
        <w:tc>
          <w:tcPr>
            <w:tcW w:w="2443" w:type="dxa"/>
            <w:vMerge w:val="continue"/>
            <w:vAlign w:val="top"/>
          </w:tcPr>
          <w:p w14:paraId="2FBEBB71">
            <w:pPr>
              <w:pStyle w:val="9"/>
              <w:spacing w:line="220" w:lineRule="auto"/>
              <w:ind w:left="113"/>
            </w:pPr>
          </w:p>
        </w:tc>
        <w:tc>
          <w:tcPr>
            <w:tcW w:w="5664" w:type="dxa"/>
            <w:vAlign w:val="center"/>
          </w:tcPr>
          <w:p w14:paraId="3F53B4D0">
            <w:pPr>
              <w:pStyle w:val="9"/>
              <w:spacing w:before="223" w:line="219" w:lineRule="auto"/>
              <w:ind w:left="122"/>
              <w:rPr>
                <w:rFonts w:hint="eastAsia"/>
                <w:spacing w:val="-2"/>
                <w:lang w:val="en-US" w:eastAsia="en-US"/>
              </w:rPr>
            </w:pPr>
            <w:r>
              <w:rPr>
                <w:rFonts w:hint="eastAsia"/>
                <w:spacing w:val="-2"/>
                <w:lang w:val="en-US" w:eastAsia="zh-CN"/>
              </w:rPr>
              <w:t>形式：投标人自行到云浮市公共资源交易服务平台、广东省公共资源交易 平台、广东省招标投标监管网下载，投标人未及时关注而造成的损失和后 果，由投标人自行承担。</w:t>
            </w:r>
          </w:p>
        </w:tc>
      </w:tr>
      <w:tr w14:paraId="2C2CE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2" w:hRule="atLeast"/>
        </w:trPr>
        <w:tc>
          <w:tcPr>
            <w:tcW w:w="1185" w:type="dxa"/>
            <w:vAlign w:val="top"/>
          </w:tcPr>
          <w:p w14:paraId="40CC3EE8">
            <w:pPr>
              <w:spacing w:line="270" w:lineRule="auto"/>
              <w:rPr>
                <w:rFonts w:ascii="Arial"/>
                <w:sz w:val="21"/>
              </w:rPr>
            </w:pPr>
          </w:p>
          <w:p w14:paraId="4ECDA5E7">
            <w:pPr>
              <w:pStyle w:val="9"/>
              <w:spacing w:before="68" w:line="239" w:lineRule="auto"/>
              <w:ind w:left="336"/>
            </w:pPr>
            <w:r>
              <w:rPr>
                <w:spacing w:val="-3"/>
              </w:rPr>
              <w:t>2.3.1</w:t>
            </w:r>
          </w:p>
        </w:tc>
        <w:tc>
          <w:tcPr>
            <w:tcW w:w="2443" w:type="dxa"/>
            <w:vAlign w:val="top"/>
          </w:tcPr>
          <w:p w14:paraId="65C8EFF5">
            <w:pPr>
              <w:pStyle w:val="9"/>
              <w:spacing w:before="140" w:line="220" w:lineRule="auto"/>
              <w:ind w:left="176"/>
            </w:pPr>
            <w:r>
              <w:rPr>
                <w:spacing w:val="-1"/>
              </w:rPr>
              <w:t>招标文件修改发出的形</w:t>
            </w:r>
          </w:p>
          <w:p w14:paraId="737E5EF6">
            <w:pPr>
              <w:pStyle w:val="9"/>
              <w:spacing w:before="149" w:line="221" w:lineRule="auto"/>
              <w:ind w:left="1123"/>
            </w:pPr>
            <w:r>
              <w:t>式</w:t>
            </w:r>
          </w:p>
        </w:tc>
        <w:tc>
          <w:tcPr>
            <w:tcW w:w="5664" w:type="dxa"/>
            <w:vAlign w:val="center"/>
          </w:tcPr>
          <w:p w14:paraId="1ABDAA59">
            <w:pPr>
              <w:pStyle w:val="9"/>
              <w:spacing w:before="68" w:line="220" w:lineRule="auto"/>
              <w:ind w:left="113"/>
            </w:pPr>
            <w:r>
              <w:rPr>
                <w:rFonts w:hint="eastAsia"/>
                <w:spacing w:val="-2"/>
              </w:rPr>
              <w:t>投标截止时间前15天，如果</w:t>
            </w:r>
            <w:r>
              <w:rPr>
                <w:rFonts w:hint="eastAsia"/>
                <w:spacing w:val="-2"/>
                <w:lang w:val="en-US" w:eastAsia="zh-CN"/>
              </w:rPr>
              <w:t>修改</w:t>
            </w:r>
            <w:r>
              <w:rPr>
                <w:rFonts w:hint="eastAsia"/>
                <w:spacing w:val="-2"/>
              </w:rPr>
              <w:t>发出的时间距投标截止时间不足15天，招标人可相应延长投标截止时间。在云浮市公共资源交易服务平台、广东省公共资源交易平台、广东省招标投标监管网发布。</w:t>
            </w:r>
          </w:p>
        </w:tc>
      </w:tr>
      <w:tr w14:paraId="78889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185" w:type="dxa"/>
            <w:vMerge w:val="restart"/>
            <w:vAlign w:val="top"/>
          </w:tcPr>
          <w:p w14:paraId="6549C80D">
            <w:pPr>
              <w:spacing w:line="291" w:lineRule="auto"/>
              <w:rPr>
                <w:rFonts w:ascii="Arial"/>
                <w:sz w:val="21"/>
              </w:rPr>
            </w:pPr>
          </w:p>
          <w:p w14:paraId="5213E635">
            <w:pPr>
              <w:spacing w:line="292" w:lineRule="auto"/>
              <w:rPr>
                <w:rFonts w:ascii="Arial"/>
                <w:sz w:val="21"/>
              </w:rPr>
            </w:pPr>
          </w:p>
          <w:p w14:paraId="504C7664">
            <w:pPr>
              <w:pStyle w:val="9"/>
              <w:spacing w:before="69" w:line="239" w:lineRule="auto"/>
              <w:ind w:left="336"/>
            </w:pPr>
            <w:r>
              <w:rPr>
                <w:spacing w:val="-3"/>
              </w:rPr>
              <w:t>2.3.2</w:t>
            </w:r>
          </w:p>
        </w:tc>
        <w:tc>
          <w:tcPr>
            <w:tcW w:w="2443" w:type="dxa"/>
            <w:vMerge w:val="restart"/>
            <w:vAlign w:val="top"/>
          </w:tcPr>
          <w:p w14:paraId="599DE629">
            <w:pPr>
              <w:spacing w:line="385" w:lineRule="auto"/>
              <w:rPr>
                <w:rFonts w:ascii="Arial"/>
                <w:sz w:val="21"/>
              </w:rPr>
            </w:pPr>
          </w:p>
          <w:p w14:paraId="4886AD2B">
            <w:pPr>
              <w:pStyle w:val="9"/>
              <w:spacing w:before="68" w:line="353" w:lineRule="auto"/>
              <w:ind w:left="908" w:right="170" w:hanging="731"/>
            </w:pPr>
            <w:r>
              <w:rPr>
                <w:spacing w:val="-2"/>
              </w:rPr>
              <w:t>投标人确认收到招标文件修改</w:t>
            </w:r>
          </w:p>
        </w:tc>
        <w:tc>
          <w:tcPr>
            <w:tcW w:w="5664" w:type="dxa"/>
            <w:vAlign w:val="center"/>
          </w:tcPr>
          <w:p w14:paraId="01C466A4">
            <w:pPr>
              <w:pStyle w:val="9"/>
              <w:spacing w:line="220" w:lineRule="auto"/>
              <w:ind w:left="113"/>
            </w:pPr>
            <w:r>
              <w:rPr>
                <w:rFonts w:hint="eastAsia"/>
                <w:spacing w:val="-2"/>
                <w:lang w:val="en-US" w:eastAsia="zh-CN"/>
              </w:rPr>
              <w:t>时间：网站发布当日视为投标人确认收到</w:t>
            </w:r>
            <w:r>
              <w:rPr>
                <w:rFonts w:hint="eastAsia"/>
                <w:spacing w:val="-2"/>
              </w:rPr>
              <w:t>。</w:t>
            </w:r>
          </w:p>
        </w:tc>
      </w:tr>
      <w:tr w14:paraId="66442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1185" w:type="dxa"/>
            <w:vMerge w:val="continue"/>
            <w:vAlign w:val="top"/>
          </w:tcPr>
          <w:p w14:paraId="102A7352">
            <w:pPr>
              <w:pStyle w:val="9"/>
              <w:spacing w:line="220" w:lineRule="auto"/>
              <w:ind w:left="113"/>
            </w:pPr>
          </w:p>
        </w:tc>
        <w:tc>
          <w:tcPr>
            <w:tcW w:w="2443" w:type="dxa"/>
            <w:vMerge w:val="continue"/>
            <w:vAlign w:val="top"/>
          </w:tcPr>
          <w:p w14:paraId="787F44A5">
            <w:pPr>
              <w:pStyle w:val="9"/>
              <w:spacing w:line="220" w:lineRule="auto"/>
              <w:ind w:left="113"/>
            </w:pPr>
          </w:p>
        </w:tc>
        <w:tc>
          <w:tcPr>
            <w:tcW w:w="5664" w:type="dxa"/>
            <w:vAlign w:val="center"/>
          </w:tcPr>
          <w:p w14:paraId="20598F23">
            <w:pPr>
              <w:pStyle w:val="9"/>
              <w:spacing w:line="220" w:lineRule="auto"/>
              <w:ind w:left="113"/>
              <w:rPr>
                <w:spacing w:val="-10"/>
              </w:rPr>
            </w:pPr>
            <w:r>
              <w:rPr>
                <w:rFonts w:hint="eastAsia"/>
                <w:spacing w:val="-2"/>
                <w:lang w:val="en-US" w:eastAsia="zh-CN"/>
              </w:rPr>
              <w:t>形式：投标人自行到云浮市公共资源交易服务平台、广东省公共资源交易平台、广东省招标投标监管网下载，投标人未及时关注而造成的损失和后果，由投标人自行承担。</w:t>
            </w:r>
          </w:p>
        </w:tc>
      </w:tr>
      <w:tr w14:paraId="421A6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175B63BA">
            <w:pPr>
              <w:pStyle w:val="9"/>
              <w:spacing w:before="224" w:line="239" w:lineRule="auto"/>
              <w:ind w:left="338"/>
            </w:pPr>
            <w:r>
              <w:rPr>
                <w:spacing w:val="-2"/>
              </w:rPr>
              <w:t>3.1.1</w:t>
            </w:r>
          </w:p>
        </w:tc>
        <w:tc>
          <w:tcPr>
            <w:tcW w:w="2443" w:type="dxa"/>
            <w:vAlign w:val="top"/>
          </w:tcPr>
          <w:p w14:paraId="2FA2DADD">
            <w:pPr>
              <w:pStyle w:val="9"/>
              <w:spacing w:before="224" w:line="220" w:lineRule="auto"/>
              <w:ind w:left="387"/>
            </w:pPr>
            <w:r>
              <w:rPr>
                <w:spacing w:val="-2"/>
              </w:rPr>
              <w:t>投标文件密封形式</w:t>
            </w:r>
          </w:p>
        </w:tc>
        <w:tc>
          <w:tcPr>
            <w:tcW w:w="5664" w:type="dxa"/>
            <w:vAlign w:val="center"/>
          </w:tcPr>
          <w:p w14:paraId="4CD858BE">
            <w:pPr>
              <w:pStyle w:val="9"/>
              <w:spacing w:before="68" w:line="353" w:lineRule="auto"/>
              <w:ind w:left="908" w:right="170" w:hanging="731"/>
              <w:rPr>
                <w:spacing w:val="-2"/>
              </w:rPr>
            </w:pPr>
            <w:r>
              <w:rPr>
                <w:rFonts w:hint="eastAsia"/>
                <w:spacing w:val="-2"/>
                <w:lang w:eastAsia="zh-CN"/>
              </w:rPr>
              <w:t>☑</w:t>
            </w:r>
            <w:r>
              <w:rPr>
                <w:spacing w:val="-2"/>
              </w:rPr>
              <w:t xml:space="preserve">双信封 </w:t>
            </w:r>
          </w:p>
          <w:p w14:paraId="66510554">
            <w:pPr>
              <w:pStyle w:val="9"/>
              <w:spacing w:before="68" w:line="353" w:lineRule="auto"/>
              <w:ind w:left="908" w:right="170" w:hanging="731"/>
            </w:pPr>
            <w:r>
              <w:rPr>
                <w:spacing w:val="-2"/>
              </w:rPr>
              <w:t>□单信封</w:t>
            </w:r>
          </w:p>
        </w:tc>
      </w:tr>
      <w:tr w14:paraId="7A65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64AC0293">
            <w:pPr>
              <w:spacing w:line="271" w:lineRule="auto"/>
              <w:rPr>
                <w:rFonts w:ascii="Arial"/>
                <w:sz w:val="21"/>
              </w:rPr>
            </w:pPr>
          </w:p>
          <w:p w14:paraId="372EFC54">
            <w:pPr>
              <w:pStyle w:val="9"/>
              <w:spacing w:before="68" w:line="239" w:lineRule="auto"/>
              <w:ind w:left="338"/>
            </w:pPr>
            <w:r>
              <w:rPr>
                <w:spacing w:val="-3"/>
              </w:rPr>
              <w:t>3.1.1</w:t>
            </w:r>
          </w:p>
        </w:tc>
        <w:tc>
          <w:tcPr>
            <w:tcW w:w="2443" w:type="dxa"/>
            <w:vAlign w:val="top"/>
          </w:tcPr>
          <w:p w14:paraId="2CC22225">
            <w:pPr>
              <w:pStyle w:val="9"/>
              <w:spacing w:before="140" w:line="220" w:lineRule="auto"/>
              <w:ind w:left="177"/>
            </w:pPr>
            <w:r>
              <w:rPr>
                <w:spacing w:val="-1"/>
              </w:rPr>
              <w:t>构成投标文件的其他资</w:t>
            </w:r>
          </w:p>
          <w:p w14:paraId="6E209481">
            <w:pPr>
              <w:pStyle w:val="9"/>
              <w:spacing w:before="151" w:line="220" w:lineRule="auto"/>
              <w:ind w:left="1119"/>
            </w:pPr>
            <w:r>
              <w:t>料</w:t>
            </w:r>
          </w:p>
        </w:tc>
        <w:tc>
          <w:tcPr>
            <w:tcW w:w="5664" w:type="dxa"/>
            <w:vAlign w:val="center"/>
          </w:tcPr>
          <w:p w14:paraId="26597AD1">
            <w:pPr>
              <w:pStyle w:val="9"/>
              <w:spacing w:before="224" w:line="220" w:lineRule="auto"/>
              <w:ind w:left="113"/>
              <w:rPr>
                <w:spacing w:val="-2"/>
              </w:rPr>
            </w:pPr>
            <w:r>
              <w:rPr>
                <w:spacing w:val="-2"/>
              </w:rPr>
              <w:t>评标过程中，评标委员会要求投标单位作出的相关澄清，或其他补充资料。</w:t>
            </w:r>
          </w:p>
        </w:tc>
      </w:tr>
      <w:tr w14:paraId="6180B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5" w:type="dxa"/>
            <w:vAlign w:val="top"/>
          </w:tcPr>
          <w:p w14:paraId="2D79CE15">
            <w:pPr>
              <w:pStyle w:val="9"/>
              <w:spacing w:before="224" w:line="239" w:lineRule="auto"/>
              <w:ind w:left="338"/>
            </w:pPr>
            <w:r>
              <w:rPr>
                <w:spacing w:val="-2"/>
              </w:rPr>
              <w:t>3.2.1</w:t>
            </w:r>
          </w:p>
        </w:tc>
        <w:tc>
          <w:tcPr>
            <w:tcW w:w="2443" w:type="dxa"/>
            <w:vAlign w:val="top"/>
          </w:tcPr>
          <w:p w14:paraId="69ED57A0">
            <w:pPr>
              <w:pStyle w:val="9"/>
              <w:spacing w:before="224" w:line="220" w:lineRule="auto"/>
              <w:ind w:left="176"/>
            </w:pPr>
            <w:r>
              <w:rPr>
                <w:spacing w:val="-1"/>
              </w:rPr>
              <w:t>增值税税金的计算方法</w:t>
            </w:r>
          </w:p>
        </w:tc>
        <w:tc>
          <w:tcPr>
            <w:tcW w:w="5664" w:type="dxa"/>
            <w:vAlign w:val="center"/>
          </w:tcPr>
          <w:p w14:paraId="03F89B84">
            <w:pPr>
              <w:pStyle w:val="9"/>
              <w:spacing w:before="224" w:line="220" w:lineRule="auto"/>
              <w:ind w:left="113"/>
              <w:rPr>
                <w:spacing w:val="-2"/>
              </w:rPr>
            </w:pPr>
            <w:r>
              <w:rPr>
                <w:spacing w:val="-2"/>
              </w:rPr>
              <w:t>按照国家、云浮市增值税税金的有关规定执行。</w:t>
            </w:r>
          </w:p>
        </w:tc>
      </w:tr>
      <w:tr w14:paraId="00BA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9" w:hRule="atLeast"/>
        </w:trPr>
        <w:tc>
          <w:tcPr>
            <w:tcW w:w="1185" w:type="dxa"/>
            <w:vAlign w:val="top"/>
          </w:tcPr>
          <w:p w14:paraId="218D633D">
            <w:pPr>
              <w:spacing w:line="247" w:lineRule="auto"/>
              <w:rPr>
                <w:rFonts w:ascii="Arial"/>
                <w:sz w:val="21"/>
              </w:rPr>
            </w:pPr>
          </w:p>
          <w:p w14:paraId="5BE00C03">
            <w:pPr>
              <w:spacing w:line="247" w:lineRule="auto"/>
              <w:rPr>
                <w:rFonts w:ascii="Arial"/>
                <w:sz w:val="21"/>
              </w:rPr>
            </w:pPr>
          </w:p>
          <w:p w14:paraId="64CC24E5">
            <w:pPr>
              <w:spacing w:line="247" w:lineRule="auto"/>
              <w:rPr>
                <w:rFonts w:ascii="Arial"/>
                <w:sz w:val="21"/>
              </w:rPr>
            </w:pPr>
          </w:p>
          <w:p w14:paraId="3234B3B0">
            <w:pPr>
              <w:spacing w:line="248" w:lineRule="auto"/>
              <w:rPr>
                <w:rFonts w:ascii="Arial"/>
                <w:sz w:val="21"/>
              </w:rPr>
            </w:pPr>
          </w:p>
          <w:p w14:paraId="13692235">
            <w:pPr>
              <w:pStyle w:val="9"/>
              <w:spacing w:before="68" w:line="239" w:lineRule="auto"/>
              <w:ind w:left="338"/>
            </w:pPr>
            <w:r>
              <w:rPr>
                <w:spacing w:val="-2"/>
              </w:rPr>
              <w:t>3.2.1</w:t>
            </w:r>
          </w:p>
        </w:tc>
        <w:tc>
          <w:tcPr>
            <w:tcW w:w="2443" w:type="dxa"/>
            <w:vAlign w:val="top"/>
          </w:tcPr>
          <w:p w14:paraId="701701FD">
            <w:pPr>
              <w:spacing w:line="247" w:lineRule="auto"/>
              <w:rPr>
                <w:rFonts w:ascii="Arial"/>
                <w:sz w:val="21"/>
              </w:rPr>
            </w:pPr>
          </w:p>
          <w:p w14:paraId="06937541">
            <w:pPr>
              <w:spacing w:line="247" w:lineRule="auto"/>
              <w:rPr>
                <w:rFonts w:ascii="Arial"/>
                <w:sz w:val="21"/>
              </w:rPr>
            </w:pPr>
          </w:p>
          <w:p w14:paraId="178D9D73">
            <w:pPr>
              <w:spacing w:line="247" w:lineRule="auto"/>
              <w:rPr>
                <w:rFonts w:ascii="Arial"/>
                <w:sz w:val="21"/>
              </w:rPr>
            </w:pPr>
          </w:p>
          <w:p w14:paraId="6C7A6359">
            <w:pPr>
              <w:spacing w:line="248" w:lineRule="auto"/>
              <w:rPr>
                <w:rFonts w:ascii="Arial"/>
                <w:sz w:val="21"/>
              </w:rPr>
            </w:pPr>
          </w:p>
          <w:p w14:paraId="6F78CEA9">
            <w:pPr>
              <w:pStyle w:val="9"/>
              <w:spacing w:before="69" w:line="220" w:lineRule="auto"/>
              <w:ind w:left="177"/>
            </w:pPr>
            <w:r>
              <w:rPr>
                <w:spacing w:val="-1"/>
              </w:rPr>
              <w:t>工程量清单的填写方式</w:t>
            </w:r>
          </w:p>
        </w:tc>
        <w:tc>
          <w:tcPr>
            <w:tcW w:w="5664" w:type="dxa"/>
            <w:vAlign w:val="top"/>
          </w:tcPr>
          <w:p w14:paraId="6C2538FF">
            <w:pPr>
              <w:pStyle w:val="9"/>
              <w:spacing w:before="263" w:line="219" w:lineRule="auto"/>
              <w:ind w:left="134"/>
            </w:pPr>
            <w:r>
              <w:rPr>
                <w:rFonts w:hint="eastAsia"/>
                <w:spacing w:val="-1"/>
                <w:lang w:eastAsia="zh-CN"/>
              </w:rPr>
              <w:t>☑</w:t>
            </w:r>
            <w:r>
              <w:rPr>
                <w:spacing w:val="-1"/>
              </w:rPr>
              <w:t>投标人按照招标人提供的工程量固化清单电</w:t>
            </w:r>
            <w:r>
              <w:rPr>
                <w:spacing w:val="-2"/>
              </w:rPr>
              <w:t>子文件填写</w:t>
            </w:r>
            <w:r>
              <w:rPr>
                <w:spacing w:val="-1"/>
              </w:rPr>
              <w:t>工程量清单，招标人提供固化清单的形式：通过“电子交易</w:t>
            </w:r>
            <w:r>
              <w:rPr>
                <w:spacing w:val="-2"/>
              </w:rPr>
              <w:t>平台”发出</w:t>
            </w:r>
          </w:p>
          <w:p w14:paraId="30176F9E">
            <w:pPr>
              <w:pStyle w:val="9"/>
              <w:spacing w:before="1" w:line="340" w:lineRule="auto"/>
              <w:ind w:left="114" w:right="304" w:firstLine="19"/>
            </w:pPr>
            <w:r>
              <w:rPr>
                <w:spacing w:val="-1"/>
              </w:rPr>
              <w:t>□投标人按照招标人提供的书面工程量清单</w:t>
            </w:r>
            <w:r>
              <w:rPr>
                <w:spacing w:val="-2"/>
              </w:rPr>
              <w:t>填写工程量清</w:t>
            </w:r>
            <w:r>
              <w:t>单</w:t>
            </w:r>
          </w:p>
        </w:tc>
      </w:tr>
      <w:tr w14:paraId="034B0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9" w:hRule="atLeast"/>
        </w:trPr>
        <w:tc>
          <w:tcPr>
            <w:tcW w:w="1185" w:type="dxa"/>
            <w:vAlign w:val="top"/>
          </w:tcPr>
          <w:p w14:paraId="74977CCD">
            <w:pPr>
              <w:spacing w:line="348" w:lineRule="auto"/>
              <w:rPr>
                <w:rFonts w:ascii="Arial"/>
                <w:sz w:val="21"/>
              </w:rPr>
            </w:pPr>
          </w:p>
          <w:p w14:paraId="5CE62B47">
            <w:pPr>
              <w:pStyle w:val="9"/>
              <w:spacing w:before="68" w:line="239" w:lineRule="auto"/>
              <w:ind w:left="338"/>
            </w:pPr>
            <w:r>
              <w:rPr>
                <w:spacing w:val="-2"/>
              </w:rPr>
              <w:t>3.2.3</w:t>
            </w:r>
          </w:p>
        </w:tc>
        <w:tc>
          <w:tcPr>
            <w:tcW w:w="2443" w:type="dxa"/>
            <w:vAlign w:val="top"/>
          </w:tcPr>
          <w:p w14:paraId="1E9891A9">
            <w:pPr>
              <w:spacing w:line="348" w:lineRule="auto"/>
              <w:rPr>
                <w:rFonts w:ascii="Arial"/>
                <w:sz w:val="21"/>
              </w:rPr>
            </w:pPr>
          </w:p>
          <w:p w14:paraId="255675E5">
            <w:pPr>
              <w:pStyle w:val="9"/>
              <w:spacing w:before="69" w:line="218" w:lineRule="auto"/>
              <w:ind w:left="803"/>
            </w:pPr>
            <w:r>
              <w:rPr>
                <w:spacing w:val="-2"/>
              </w:rPr>
              <w:t>报价方式</w:t>
            </w:r>
          </w:p>
        </w:tc>
        <w:tc>
          <w:tcPr>
            <w:tcW w:w="5664" w:type="dxa"/>
            <w:vAlign w:val="top"/>
          </w:tcPr>
          <w:p w14:paraId="2B5B6718">
            <w:pPr>
              <w:pStyle w:val="9"/>
              <w:spacing w:before="219" w:line="218" w:lineRule="auto"/>
              <w:ind w:left="134"/>
            </w:pPr>
            <w:r>
              <w:rPr>
                <w:rFonts w:hint="eastAsia"/>
                <w:spacing w:val="-7"/>
                <w:lang w:eastAsia="zh-CN"/>
              </w:rPr>
              <w:t>□</w:t>
            </w:r>
            <w:r>
              <w:rPr>
                <w:spacing w:val="-7"/>
              </w:rPr>
              <w:t>单价</w:t>
            </w:r>
          </w:p>
          <w:p w14:paraId="6CCED218">
            <w:pPr>
              <w:pStyle w:val="9"/>
              <w:spacing w:before="151" w:line="218" w:lineRule="auto"/>
              <w:ind w:left="134"/>
            </w:pPr>
            <w:r>
              <w:rPr>
                <w:rFonts w:hint="eastAsia"/>
                <w:spacing w:val="-7"/>
                <w:lang w:eastAsia="zh-CN"/>
              </w:rPr>
              <w:t>☑</w:t>
            </w:r>
            <w:r>
              <w:rPr>
                <w:spacing w:val="-7"/>
              </w:rPr>
              <w:t>总价</w:t>
            </w:r>
          </w:p>
        </w:tc>
      </w:tr>
      <w:tr w14:paraId="35967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185" w:type="dxa"/>
            <w:vAlign w:val="top"/>
          </w:tcPr>
          <w:p w14:paraId="3EAD5998">
            <w:pPr>
              <w:spacing w:line="343" w:lineRule="auto"/>
              <w:rPr>
                <w:rFonts w:ascii="Arial"/>
                <w:sz w:val="21"/>
              </w:rPr>
            </w:pPr>
          </w:p>
          <w:p w14:paraId="3C5AE491">
            <w:pPr>
              <w:pStyle w:val="9"/>
              <w:spacing w:before="68" w:line="239" w:lineRule="auto"/>
              <w:ind w:left="338"/>
            </w:pPr>
            <w:r>
              <w:rPr>
                <w:spacing w:val="-2"/>
              </w:rPr>
              <w:t>3.2.6</w:t>
            </w:r>
          </w:p>
        </w:tc>
        <w:tc>
          <w:tcPr>
            <w:tcW w:w="2443" w:type="dxa"/>
            <w:vAlign w:val="top"/>
          </w:tcPr>
          <w:p w14:paraId="7A1E6C24">
            <w:pPr>
              <w:spacing w:line="327" w:lineRule="auto"/>
              <w:rPr>
                <w:rFonts w:ascii="Arial"/>
                <w:sz w:val="21"/>
              </w:rPr>
            </w:pPr>
          </w:p>
          <w:p w14:paraId="60B28C00">
            <w:pPr>
              <w:pStyle w:val="9"/>
              <w:spacing w:before="69" w:line="232" w:lineRule="auto"/>
              <w:ind w:left="441"/>
              <w:rPr>
                <w:rFonts w:hint="eastAsia" w:eastAsia="宋体"/>
                <w:sz w:val="10"/>
                <w:szCs w:val="10"/>
                <w:lang w:eastAsia="zh-CN"/>
              </w:rPr>
            </w:pPr>
            <w:r>
              <w:rPr>
                <w:spacing w:val="-1"/>
              </w:rPr>
              <w:t>是否接受调价函</w:t>
            </w:r>
          </w:p>
        </w:tc>
        <w:tc>
          <w:tcPr>
            <w:tcW w:w="5664" w:type="dxa"/>
            <w:vAlign w:val="top"/>
          </w:tcPr>
          <w:p w14:paraId="5B0CED18">
            <w:pPr>
              <w:pStyle w:val="9"/>
              <w:spacing w:before="213" w:line="223" w:lineRule="auto"/>
              <w:ind w:left="134"/>
            </w:pPr>
            <w:r>
              <w:rPr>
                <w:spacing w:val="-8"/>
              </w:rPr>
              <w:t>□是</w:t>
            </w:r>
          </w:p>
          <w:p w14:paraId="35817929">
            <w:pPr>
              <w:pStyle w:val="9"/>
              <w:spacing w:before="146" w:line="220" w:lineRule="auto"/>
              <w:ind w:left="134"/>
            </w:pPr>
            <w:r>
              <w:rPr>
                <w:rFonts w:hint="eastAsia"/>
                <w:spacing w:val="-8"/>
                <w:lang w:eastAsia="zh-CN"/>
              </w:rPr>
              <w:t>☑</w:t>
            </w:r>
            <w:r>
              <w:rPr>
                <w:spacing w:val="-8"/>
              </w:rPr>
              <w:t>否</w:t>
            </w:r>
          </w:p>
        </w:tc>
      </w:tr>
      <w:tr w14:paraId="7C1E3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1185" w:type="dxa"/>
            <w:vAlign w:val="top"/>
          </w:tcPr>
          <w:p w14:paraId="3572786A">
            <w:pPr>
              <w:spacing w:line="251" w:lineRule="auto"/>
              <w:rPr>
                <w:rFonts w:ascii="Arial"/>
                <w:sz w:val="21"/>
              </w:rPr>
            </w:pPr>
          </w:p>
          <w:p w14:paraId="6B1F41C0">
            <w:pPr>
              <w:spacing w:line="251" w:lineRule="auto"/>
              <w:rPr>
                <w:rFonts w:ascii="Arial"/>
                <w:sz w:val="21"/>
              </w:rPr>
            </w:pPr>
          </w:p>
          <w:p w14:paraId="7A45C5FC">
            <w:pPr>
              <w:pStyle w:val="9"/>
              <w:spacing w:before="68" w:line="239" w:lineRule="auto"/>
              <w:ind w:left="338"/>
            </w:pPr>
            <w:r>
              <w:rPr>
                <w:spacing w:val="-2"/>
              </w:rPr>
              <w:t>3.2.8</w:t>
            </w:r>
          </w:p>
        </w:tc>
        <w:tc>
          <w:tcPr>
            <w:tcW w:w="2443" w:type="dxa"/>
            <w:vAlign w:val="top"/>
          </w:tcPr>
          <w:p w14:paraId="04006AC6">
            <w:pPr>
              <w:spacing w:line="251" w:lineRule="auto"/>
              <w:rPr>
                <w:rFonts w:ascii="Arial"/>
                <w:sz w:val="21"/>
              </w:rPr>
            </w:pPr>
          </w:p>
          <w:p w14:paraId="30D67724">
            <w:pPr>
              <w:spacing w:line="251" w:lineRule="auto"/>
              <w:rPr>
                <w:rFonts w:ascii="Arial"/>
                <w:sz w:val="21"/>
              </w:rPr>
            </w:pPr>
          </w:p>
          <w:p w14:paraId="688F97BB">
            <w:pPr>
              <w:pStyle w:val="9"/>
              <w:spacing w:before="68" w:line="218" w:lineRule="auto"/>
              <w:ind w:left="597"/>
            </w:pPr>
            <w:r>
              <w:rPr>
                <w:spacing w:val="-2"/>
              </w:rPr>
              <w:t>最高投标限价</w:t>
            </w:r>
          </w:p>
        </w:tc>
        <w:tc>
          <w:tcPr>
            <w:tcW w:w="5664" w:type="dxa"/>
            <w:vAlign w:val="top"/>
          </w:tcPr>
          <w:p w14:paraId="44B4DAA1">
            <w:pPr>
              <w:spacing w:line="304" w:lineRule="auto"/>
              <w:rPr>
                <w:rFonts w:ascii="Arial"/>
                <w:sz w:val="21"/>
              </w:rPr>
            </w:pPr>
          </w:p>
          <w:p w14:paraId="7918D16C">
            <w:pPr>
              <w:pStyle w:val="9"/>
              <w:spacing w:before="68" w:line="349" w:lineRule="auto"/>
              <w:ind w:left="114" w:right="107"/>
              <w:rPr>
                <w:rFonts w:hint="eastAsia" w:eastAsia="宋体"/>
                <w:sz w:val="10"/>
                <w:szCs w:val="10"/>
                <w:lang w:eastAsia="zh-CN"/>
              </w:rPr>
            </w:pPr>
            <w:r>
              <w:rPr>
                <w:spacing w:val="-1"/>
              </w:rPr>
              <w:t>最高投标限价</w:t>
            </w:r>
            <w:r>
              <w:rPr>
                <w:rFonts w:hint="eastAsia"/>
                <w:spacing w:val="-1"/>
                <w:u w:val="single" w:color="auto"/>
                <w:lang w:val="en-US" w:eastAsia="zh-CN"/>
              </w:rPr>
              <w:t>7541261.00</w:t>
            </w:r>
            <w:r>
              <w:rPr>
                <w:spacing w:val="-1"/>
              </w:rPr>
              <w:t>元</w:t>
            </w:r>
            <w:r>
              <w:rPr>
                <w:spacing w:val="-1"/>
                <w:u w:val="single" w:color="auto"/>
              </w:rPr>
              <w:t>（其中安全生产费</w:t>
            </w:r>
            <w:r>
              <w:rPr>
                <w:rFonts w:hint="eastAsia"/>
                <w:spacing w:val="-1"/>
                <w:u w:val="single" w:color="auto"/>
                <w:lang w:val="en-US" w:eastAsia="zh-CN"/>
              </w:rPr>
              <w:t>107104.00</w:t>
            </w:r>
            <w:r>
              <w:rPr>
                <w:spacing w:val="-1"/>
                <w:u w:val="single" w:color="auto"/>
              </w:rPr>
              <w:t>元，</w:t>
            </w:r>
            <w:r>
              <w:rPr>
                <w:spacing w:val="-2"/>
                <w:u w:val="single" w:color="auto"/>
              </w:rPr>
              <w:t>暂列金额</w:t>
            </w:r>
            <w:r>
              <w:rPr>
                <w:rFonts w:hint="eastAsia"/>
                <w:spacing w:val="-2"/>
                <w:u w:val="single" w:color="auto"/>
                <w:lang w:val="en-US" w:eastAsia="zh-CN"/>
              </w:rPr>
              <w:t>219598.00</w:t>
            </w:r>
            <w:r>
              <w:rPr>
                <w:spacing w:val="-2"/>
                <w:position w:val="-1"/>
                <w:u w:val="single" w:color="auto"/>
              </w:rPr>
              <w:t>元）</w:t>
            </w:r>
          </w:p>
        </w:tc>
      </w:tr>
      <w:tr w14:paraId="58D4B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2061EDAF">
            <w:pPr>
              <w:pStyle w:val="9"/>
              <w:spacing w:before="181" w:line="220" w:lineRule="auto"/>
              <w:ind w:left="284"/>
            </w:pPr>
            <w:r>
              <w:rPr>
                <w:b/>
                <w:bCs/>
                <w:spacing w:val="-6"/>
              </w:rPr>
              <w:t>条款号</w:t>
            </w:r>
          </w:p>
        </w:tc>
        <w:tc>
          <w:tcPr>
            <w:tcW w:w="2443" w:type="dxa"/>
            <w:vAlign w:val="top"/>
          </w:tcPr>
          <w:p w14:paraId="1AA480BE">
            <w:pPr>
              <w:pStyle w:val="9"/>
              <w:spacing w:before="181" w:line="220" w:lineRule="auto"/>
              <w:ind w:left="807"/>
            </w:pPr>
            <w:r>
              <w:rPr>
                <w:b/>
                <w:bCs/>
                <w:spacing w:val="-5"/>
              </w:rPr>
              <w:t>条款名称</w:t>
            </w:r>
          </w:p>
        </w:tc>
        <w:tc>
          <w:tcPr>
            <w:tcW w:w="5664" w:type="dxa"/>
            <w:vAlign w:val="top"/>
          </w:tcPr>
          <w:p w14:paraId="4AA3AB3E">
            <w:pPr>
              <w:pStyle w:val="9"/>
              <w:spacing w:before="181" w:line="220" w:lineRule="auto"/>
              <w:ind w:left="2417"/>
            </w:pPr>
            <w:r>
              <w:rPr>
                <w:b/>
                <w:bCs/>
                <w:spacing w:val="-5"/>
              </w:rPr>
              <w:t>编列内容</w:t>
            </w:r>
          </w:p>
        </w:tc>
      </w:tr>
      <w:tr w14:paraId="27942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1185" w:type="dxa"/>
            <w:vAlign w:val="top"/>
          </w:tcPr>
          <w:p w14:paraId="3EB5C21D">
            <w:pPr>
              <w:spacing w:line="296" w:lineRule="auto"/>
              <w:rPr>
                <w:rFonts w:ascii="Arial"/>
                <w:sz w:val="21"/>
              </w:rPr>
            </w:pPr>
          </w:p>
          <w:p w14:paraId="5BD9E1AA">
            <w:pPr>
              <w:pStyle w:val="9"/>
              <w:spacing w:before="68" w:line="239" w:lineRule="auto"/>
              <w:ind w:left="338"/>
            </w:pPr>
            <w:r>
              <w:rPr>
                <w:spacing w:val="-2"/>
              </w:rPr>
              <w:t>3.2.9</w:t>
            </w:r>
          </w:p>
        </w:tc>
        <w:tc>
          <w:tcPr>
            <w:tcW w:w="2443" w:type="dxa"/>
            <w:vAlign w:val="top"/>
          </w:tcPr>
          <w:p w14:paraId="4BDF0F32">
            <w:pPr>
              <w:spacing w:line="296" w:lineRule="auto"/>
              <w:rPr>
                <w:rFonts w:ascii="Arial"/>
                <w:sz w:val="21"/>
              </w:rPr>
            </w:pPr>
          </w:p>
          <w:p w14:paraId="1ACA7F31">
            <w:pPr>
              <w:pStyle w:val="9"/>
              <w:spacing w:before="68" w:line="218" w:lineRule="auto"/>
              <w:ind w:left="282"/>
            </w:pPr>
            <w:r>
              <w:rPr>
                <w:spacing w:val="-2"/>
              </w:rPr>
              <w:t>投标报价的其他要求</w:t>
            </w:r>
          </w:p>
        </w:tc>
        <w:tc>
          <w:tcPr>
            <w:tcW w:w="5664" w:type="dxa"/>
            <w:vAlign w:val="top"/>
          </w:tcPr>
          <w:p w14:paraId="1EF79028">
            <w:pPr>
              <w:pStyle w:val="9"/>
              <w:spacing w:before="223" w:line="219" w:lineRule="auto"/>
              <w:ind w:left="122"/>
              <w:rPr>
                <w:rFonts w:ascii="Arial"/>
                <w:sz w:val="21"/>
              </w:rPr>
            </w:pPr>
            <w:r>
              <w:rPr>
                <w:rFonts w:hint="eastAsia"/>
                <w:spacing w:val="-2"/>
                <w:lang w:val="en-US" w:eastAsia="en-US"/>
              </w:rPr>
              <w:t>按招标文件要求</w:t>
            </w:r>
          </w:p>
        </w:tc>
      </w:tr>
      <w:tr w14:paraId="7CAC4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185" w:type="dxa"/>
            <w:vAlign w:val="top"/>
          </w:tcPr>
          <w:p w14:paraId="4E68F45B">
            <w:pPr>
              <w:spacing w:line="288" w:lineRule="auto"/>
              <w:rPr>
                <w:rFonts w:ascii="Arial"/>
                <w:sz w:val="21"/>
              </w:rPr>
            </w:pPr>
          </w:p>
          <w:p w14:paraId="7CF97FC1">
            <w:pPr>
              <w:pStyle w:val="9"/>
              <w:spacing w:before="69" w:line="239" w:lineRule="auto"/>
              <w:ind w:left="338"/>
            </w:pPr>
            <w:r>
              <w:rPr>
                <w:spacing w:val="-2"/>
              </w:rPr>
              <w:t>3.3.1</w:t>
            </w:r>
          </w:p>
        </w:tc>
        <w:tc>
          <w:tcPr>
            <w:tcW w:w="2443" w:type="dxa"/>
            <w:vAlign w:val="top"/>
          </w:tcPr>
          <w:p w14:paraId="14F5501E">
            <w:pPr>
              <w:spacing w:line="289" w:lineRule="auto"/>
              <w:rPr>
                <w:rFonts w:ascii="Arial"/>
                <w:sz w:val="21"/>
              </w:rPr>
            </w:pPr>
          </w:p>
          <w:p w14:paraId="5F7E5831">
            <w:pPr>
              <w:pStyle w:val="9"/>
              <w:spacing w:before="68" w:line="220" w:lineRule="auto"/>
              <w:ind w:left="702"/>
            </w:pPr>
            <w:r>
              <w:rPr>
                <w:spacing w:val="-2"/>
              </w:rPr>
              <w:t>投标有效期</w:t>
            </w:r>
          </w:p>
        </w:tc>
        <w:tc>
          <w:tcPr>
            <w:tcW w:w="5664" w:type="dxa"/>
            <w:vAlign w:val="top"/>
          </w:tcPr>
          <w:p w14:paraId="4A447A81">
            <w:pPr>
              <w:spacing w:line="288" w:lineRule="auto"/>
              <w:rPr>
                <w:rFonts w:ascii="Arial"/>
                <w:sz w:val="21"/>
              </w:rPr>
            </w:pPr>
          </w:p>
          <w:p w14:paraId="1B798BA5">
            <w:pPr>
              <w:pStyle w:val="9"/>
              <w:spacing w:before="68" w:line="220" w:lineRule="auto"/>
              <w:ind w:left="147"/>
            </w:pPr>
            <w:r>
              <w:rPr>
                <w:spacing w:val="-3"/>
              </w:rPr>
              <w:t>自投标人提交投标文件截止之日起计算</w:t>
            </w:r>
            <w:r>
              <w:rPr>
                <w:rFonts w:hint="eastAsia"/>
                <w:spacing w:val="-3"/>
                <w:u w:val="single" w:color="auto"/>
                <w:lang w:val="en-US" w:eastAsia="zh-CN"/>
              </w:rPr>
              <w:t>90</w:t>
            </w:r>
            <w:r>
              <w:rPr>
                <w:spacing w:val="-3"/>
              </w:rPr>
              <w:t>日</w:t>
            </w:r>
          </w:p>
        </w:tc>
      </w:tr>
      <w:tr w14:paraId="0B4F1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6" w:hRule="atLeast"/>
        </w:trPr>
        <w:tc>
          <w:tcPr>
            <w:tcW w:w="1185" w:type="dxa"/>
            <w:vAlign w:val="center"/>
          </w:tcPr>
          <w:p w14:paraId="703D1BC5">
            <w:pPr>
              <w:pStyle w:val="9"/>
              <w:spacing w:before="68" w:line="239" w:lineRule="auto"/>
              <w:ind w:left="338"/>
              <w:rPr>
                <w:spacing w:val="-2"/>
              </w:rPr>
            </w:pPr>
            <w:r>
              <w:rPr>
                <w:spacing w:val="-2"/>
              </w:rPr>
              <w:t>3.4.1</w:t>
            </w:r>
          </w:p>
        </w:tc>
        <w:tc>
          <w:tcPr>
            <w:tcW w:w="2443" w:type="dxa"/>
            <w:vAlign w:val="center"/>
          </w:tcPr>
          <w:p w14:paraId="53619070">
            <w:pPr>
              <w:pStyle w:val="9"/>
              <w:spacing w:before="68" w:line="234" w:lineRule="auto"/>
              <w:ind w:left="650"/>
              <w:rPr>
                <w:spacing w:val="-2"/>
              </w:rPr>
            </w:pPr>
            <w:r>
              <w:rPr>
                <w:spacing w:val="-2"/>
              </w:rPr>
              <w:t>投标保证金</w:t>
            </w:r>
          </w:p>
        </w:tc>
        <w:tc>
          <w:tcPr>
            <w:tcW w:w="5664" w:type="dxa"/>
            <w:vAlign w:val="top"/>
          </w:tcPr>
          <w:p w14:paraId="0504BFBA">
            <w:pPr>
              <w:pStyle w:val="9"/>
              <w:spacing w:before="139" w:line="220" w:lineRule="auto"/>
              <w:ind w:left="116"/>
              <w:rPr>
                <w:rFonts w:hint="eastAsia"/>
                <w:spacing w:val="-6"/>
              </w:rPr>
            </w:pPr>
            <w:r>
              <w:rPr>
                <w:rFonts w:hint="eastAsia"/>
                <w:spacing w:val="-6"/>
              </w:rPr>
              <w:t>是否要求投标人递交投标保证金：</w:t>
            </w:r>
          </w:p>
          <w:p w14:paraId="3B8C49A6">
            <w:pPr>
              <w:pStyle w:val="9"/>
              <w:spacing w:before="139" w:line="220" w:lineRule="auto"/>
              <w:ind w:left="116"/>
              <w:rPr>
                <w:rFonts w:hint="eastAsia"/>
                <w:spacing w:val="-6"/>
                <w:u w:val="single"/>
              </w:rPr>
            </w:pPr>
            <w:r>
              <w:rPr>
                <w:rFonts w:hint="eastAsia"/>
                <w:spacing w:val="-6"/>
                <w:lang w:eastAsia="zh-CN"/>
              </w:rPr>
              <w:t>☑</w:t>
            </w:r>
            <w:r>
              <w:rPr>
                <w:rFonts w:hint="eastAsia"/>
                <w:spacing w:val="-6"/>
              </w:rPr>
              <w:t>要求，投标保证金的金额：</w:t>
            </w:r>
            <w:r>
              <w:rPr>
                <w:rFonts w:hint="eastAsia"/>
                <w:spacing w:val="-6"/>
                <w:u w:val="single"/>
              </w:rPr>
              <w:t>￥100000.00元（大写：壹拾万元整）</w:t>
            </w:r>
          </w:p>
          <w:p w14:paraId="7AF8A0D4">
            <w:pPr>
              <w:pStyle w:val="9"/>
              <w:spacing w:before="139" w:line="220" w:lineRule="auto"/>
              <w:ind w:left="116"/>
              <w:rPr>
                <w:rFonts w:hint="eastAsia"/>
                <w:spacing w:val="-6"/>
              </w:rPr>
            </w:pPr>
            <w:r>
              <w:rPr>
                <w:rFonts w:hint="eastAsia"/>
                <w:spacing w:val="-6"/>
                <w:lang w:eastAsia="zh-CN"/>
              </w:rPr>
              <w:t>☑</w:t>
            </w:r>
            <w:r>
              <w:rPr>
                <w:rFonts w:hint="eastAsia"/>
                <w:spacing w:val="-6"/>
              </w:rPr>
              <w:t>按投标人在广东省交通运输厅最新年度发布的广东省公路工程从业单位信用等级（信用等级类别应与招标相应的标段类别对应）减免投标保证金，减免幅度如下：</w:t>
            </w:r>
          </w:p>
          <w:tbl>
            <w:tblPr>
              <w:tblStyle w:val="5"/>
              <w:tblpPr w:leftFromText="180" w:rightFromText="180" w:vertAnchor="text" w:horzAnchor="page" w:tblpX="276" w:tblpY="48"/>
              <w:tblOverlap w:val="never"/>
              <w:tblW w:w="51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76"/>
              <w:gridCol w:w="1095"/>
              <w:gridCol w:w="976"/>
              <w:gridCol w:w="804"/>
              <w:gridCol w:w="766"/>
            </w:tblGrid>
            <w:tr w14:paraId="427E8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1476" w:type="dxa"/>
                  <w:tcBorders>
                    <w:top w:val="single" w:color="000000" w:sz="4" w:space="0"/>
                    <w:left w:val="single" w:color="000000" w:sz="4" w:space="0"/>
                    <w:bottom w:val="single" w:color="000000" w:sz="4" w:space="0"/>
                    <w:right w:val="single" w:color="000000" w:sz="4" w:space="0"/>
                  </w:tcBorders>
                  <w:shd w:val="clear" w:color="auto" w:fill="auto"/>
                  <w:vAlign w:val="top"/>
                </w:tcPr>
                <w:p w14:paraId="098E1924">
                  <w:pPr>
                    <w:keepNext w:val="0"/>
                    <w:keepLines w:val="0"/>
                    <w:widowControl/>
                    <w:suppressLineNumbers w:val="0"/>
                    <w:jc w:val="left"/>
                    <w:textAlignment w:val="top"/>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br w:type="textWrapping"/>
                  </w:r>
                  <w:r>
                    <w:rPr>
                      <w:rFonts w:hint="eastAsia" w:ascii="宋体" w:hAnsi="宋体" w:eastAsia="宋体" w:cs="宋体"/>
                      <w:snapToGrid w:val="0"/>
                      <w:color w:val="000000"/>
                      <w:spacing w:val="-6"/>
                      <w:kern w:val="0"/>
                      <w:sz w:val="21"/>
                      <w:szCs w:val="21"/>
                      <w:lang w:val="en-US" w:eastAsia="zh-CN" w:bidi="ar-SA"/>
                    </w:rPr>
                    <w:t>信用评价等级</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1086">
                  <w:pPr>
                    <w:keepNext w:val="0"/>
                    <w:keepLines w:val="0"/>
                    <w:widowControl/>
                    <w:suppressLineNumbers w:val="0"/>
                    <w:jc w:val="center"/>
                    <w:textAlignment w:val="bottom"/>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AA</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7B47">
                  <w:pPr>
                    <w:keepNext w:val="0"/>
                    <w:keepLines w:val="0"/>
                    <w:widowControl/>
                    <w:suppressLineNumbers w:val="0"/>
                    <w:jc w:val="center"/>
                    <w:textAlignment w:val="bottom"/>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A</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85EA">
                  <w:pPr>
                    <w:keepNext w:val="0"/>
                    <w:keepLines w:val="0"/>
                    <w:widowControl/>
                    <w:suppressLineNumbers w:val="0"/>
                    <w:jc w:val="center"/>
                    <w:textAlignment w:val="center"/>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B</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CEC7">
                  <w:pPr>
                    <w:keepNext w:val="0"/>
                    <w:keepLines w:val="0"/>
                    <w:widowControl/>
                    <w:suppressLineNumbers w:val="0"/>
                    <w:jc w:val="center"/>
                    <w:textAlignment w:val="center"/>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C</w:t>
                  </w:r>
                </w:p>
              </w:tc>
            </w:tr>
            <w:tr w14:paraId="0EE44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trPr>
              <w:tc>
                <w:tcPr>
                  <w:tcW w:w="1476" w:type="dxa"/>
                  <w:tcBorders>
                    <w:top w:val="single" w:color="000000" w:sz="4" w:space="0"/>
                    <w:left w:val="single" w:color="000000" w:sz="4" w:space="0"/>
                    <w:bottom w:val="single" w:color="000000" w:sz="4" w:space="0"/>
                    <w:right w:val="single" w:color="000000" w:sz="4" w:space="0"/>
                  </w:tcBorders>
                  <w:shd w:val="clear" w:color="auto" w:fill="auto"/>
                  <w:vAlign w:val="top"/>
                </w:tcPr>
                <w:p w14:paraId="546C3539">
                  <w:pPr>
                    <w:keepNext w:val="0"/>
                    <w:keepLines w:val="0"/>
                    <w:widowControl/>
                    <w:suppressLineNumbers w:val="0"/>
                    <w:jc w:val="left"/>
                    <w:textAlignment w:val="top"/>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投标保证金减免幅度</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D3A0">
                  <w:pPr>
                    <w:keepNext w:val="0"/>
                    <w:keepLines w:val="0"/>
                    <w:widowControl/>
                    <w:suppressLineNumbers w:val="0"/>
                    <w:jc w:val="center"/>
                    <w:textAlignment w:val="center"/>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50%</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A5EC">
                  <w:pPr>
                    <w:keepNext w:val="0"/>
                    <w:keepLines w:val="0"/>
                    <w:widowControl/>
                    <w:suppressLineNumbers w:val="0"/>
                    <w:jc w:val="center"/>
                    <w:textAlignment w:val="center"/>
                    <w:rPr>
                      <w:rFonts w:hint="eastAsia" w:ascii="宋体" w:hAnsi="宋体" w:eastAsia="宋体" w:cs="宋体"/>
                      <w:snapToGrid w:val="0"/>
                      <w:color w:val="000000"/>
                      <w:spacing w:val="-6"/>
                      <w:kern w:val="0"/>
                      <w:sz w:val="21"/>
                      <w:szCs w:val="21"/>
                      <w:lang w:val="en-US" w:eastAsia="en-US" w:bidi="ar-SA"/>
                    </w:rPr>
                  </w:pPr>
                  <w:r>
                    <w:rPr>
                      <w:rFonts w:hint="eastAsia" w:ascii="宋体" w:hAnsi="宋体" w:cs="宋体"/>
                      <w:snapToGrid w:val="0"/>
                      <w:color w:val="000000"/>
                      <w:spacing w:val="-6"/>
                      <w:kern w:val="0"/>
                      <w:sz w:val="21"/>
                      <w:szCs w:val="21"/>
                      <w:lang w:val="en-US" w:eastAsia="zh-CN" w:bidi="ar-SA"/>
                    </w:rPr>
                    <w:t>20</w:t>
                  </w:r>
                  <w:r>
                    <w:rPr>
                      <w:rFonts w:hint="eastAsia" w:ascii="宋体" w:hAnsi="宋体" w:eastAsia="宋体" w:cs="宋体"/>
                      <w:snapToGrid w:val="0"/>
                      <w:color w:val="000000"/>
                      <w:spacing w:val="-6"/>
                      <w:kern w:val="0"/>
                      <w:sz w:val="21"/>
                      <w:szCs w:val="21"/>
                      <w:lang w:val="en-US" w:eastAsia="zh-CN" w:bidi="ar-SA"/>
                    </w:rPr>
                    <w:t>%</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A32A">
                  <w:pPr>
                    <w:keepNext w:val="0"/>
                    <w:keepLines w:val="0"/>
                    <w:widowControl/>
                    <w:suppressLineNumbers w:val="0"/>
                    <w:jc w:val="center"/>
                    <w:textAlignment w:val="center"/>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0%</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C658">
                  <w:pPr>
                    <w:keepNext w:val="0"/>
                    <w:keepLines w:val="0"/>
                    <w:widowControl/>
                    <w:suppressLineNumbers w:val="0"/>
                    <w:jc w:val="center"/>
                    <w:textAlignment w:val="center"/>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0%</w:t>
                  </w:r>
                </w:p>
              </w:tc>
            </w:tr>
            <w:tr w14:paraId="33DA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1476" w:type="dxa"/>
                  <w:tcBorders>
                    <w:top w:val="single" w:color="000000" w:sz="4" w:space="0"/>
                    <w:left w:val="single" w:color="000000" w:sz="4" w:space="0"/>
                    <w:bottom w:val="single" w:color="000000" w:sz="4" w:space="0"/>
                    <w:right w:val="single" w:color="000000" w:sz="4" w:space="0"/>
                  </w:tcBorders>
                  <w:shd w:val="clear" w:color="auto" w:fill="auto"/>
                  <w:vAlign w:val="top"/>
                </w:tcPr>
                <w:p w14:paraId="39BCC6ED">
                  <w:pPr>
                    <w:keepNext w:val="0"/>
                    <w:keepLines w:val="0"/>
                    <w:widowControl/>
                    <w:suppressLineNumbers w:val="0"/>
                    <w:jc w:val="left"/>
                    <w:textAlignment w:val="top"/>
                    <w:rPr>
                      <w:rFonts w:hint="eastAsia" w:ascii="宋体" w:hAnsi="宋体" w:eastAsia="宋体" w:cs="宋体"/>
                      <w:snapToGrid w:val="0"/>
                      <w:color w:val="000000"/>
                      <w:spacing w:val="-6"/>
                      <w:kern w:val="0"/>
                      <w:sz w:val="21"/>
                      <w:szCs w:val="21"/>
                      <w:lang w:val="en-US" w:eastAsia="en-US" w:bidi="ar-SA"/>
                    </w:rPr>
                  </w:pPr>
                  <w:r>
                    <w:rPr>
                      <w:rFonts w:hint="eastAsia" w:ascii="宋体" w:hAnsi="宋体" w:eastAsia="宋体" w:cs="宋体"/>
                      <w:snapToGrid w:val="0"/>
                      <w:color w:val="000000"/>
                      <w:spacing w:val="-6"/>
                      <w:kern w:val="0"/>
                      <w:sz w:val="21"/>
                      <w:szCs w:val="21"/>
                      <w:lang w:val="en-US" w:eastAsia="zh-CN" w:bidi="ar-SA"/>
                    </w:rPr>
                    <w:t>减免后的投标保证金金额</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top"/>
                </w:tcPr>
                <w:p w14:paraId="7DBA90D3">
                  <w:pPr>
                    <w:pStyle w:val="9"/>
                    <w:spacing w:before="139" w:line="220" w:lineRule="auto"/>
                    <w:ind w:left="116"/>
                    <w:rPr>
                      <w:rFonts w:hint="eastAsia"/>
                      <w:spacing w:val="-6"/>
                      <w:u w:val="single"/>
                    </w:rPr>
                  </w:pPr>
                  <w:r>
                    <w:rPr>
                      <w:rFonts w:hint="eastAsia"/>
                      <w:spacing w:val="-6"/>
                      <w:u w:val="single"/>
                    </w:rPr>
                    <w:t>￥</w:t>
                  </w:r>
                  <w:r>
                    <w:rPr>
                      <w:rFonts w:hint="eastAsia"/>
                      <w:spacing w:val="-6"/>
                      <w:u w:val="single"/>
                      <w:lang w:val="en-US" w:eastAsia="zh-CN"/>
                    </w:rPr>
                    <w:t>5</w:t>
                  </w:r>
                  <w:r>
                    <w:rPr>
                      <w:rFonts w:hint="eastAsia"/>
                      <w:spacing w:val="-6"/>
                      <w:u w:val="single"/>
                    </w:rPr>
                    <w:t>0000.00元（大写：</w:t>
                  </w:r>
                  <w:r>
                    <w:rPr>
                      <w:rFonts w:hint="eastAsia"/>
                      <w:spacing w:val="-6"/>
                      <w:u w:val="single"/>
                      <w:lang w:val="en-US" w:eastAsia="zh-CN"/>
                    </w:rPr>
                    <w:t>伍万元整</w:t>
                  </w:r>
                  <w:r>
                    <w:rPr>
                      <w:rFonts w:hint="eastAsia"/>
                      <w:spacing w:val="-6"/>
                      <w:u w:val="single"/>
                    </w:rPr>
                    <w:t>）</w:t>
                  </w:r>
                </w:p>
                <w:p w14:paraId="37163501">
                  <w:pPr>
                    <w:jc w:val="left"/>
                    <w:rPr>
                      <w:rFonts w:hint="default" w:ascii="宋体" w:hAnsi="宋体" w:eastAsia="宋体" w:cs="宋体"/>
                      <w:snapToGrid w:val="0"/>
                      <w:color w:val="000000"/>
                      <w:spacing w:val="-6"/>
                      <w:kern w:val="0"/>
                      <w:sz w:val="21"/>
                      <w:szCs w:val="21"/>
                      <w:lang w:val="en-US" w:eastAsia="en-US" w:bidi="ar-SA"/>
                    </w:rPr>
                  </w:pP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top"/>
                </w:tcPr>
                <w:p w14:paraId="15EB75A2">
                  <w:pPr>
                    <w:pStyle w:val="9"/>
                    <w:spacing w:before="139" w:line="220" w:lineRule="auto"/>
                    <w:ind w:left="116"/>
                    <w:rPr>
                      <w:rFonts w:hint="eastAsia"/>
                      <w:spacing w:val="-6"/>
                      <w:u w:val="single"/>
                    </w:rPr>
                  </w:pPr>
                  <w:r>
                    <w:rPr>
                      <w:rFonts w:hint="eastAsia"/>
                      <w:spacing w:val="-6"/>
                      <w:u w:val="single"/>
                    </w:rPr>
                    <w:t>￥</w:t>
                  </w:r>
                  <w:r>
                    <w:rPr>
                      <w:rFonts w:hint="eastAsia"/>
                      <w:spacing w:val="-6"/>
                      <w:u w:val="single"/>
                      <w:lang w:val="en-US" w:eastAsia="zh-CN"/>
                    </w:rPr>
                    <w:t>8</w:t>
                  </w:r>
                  <w:r>
                    <w:rPr>
                      <w:rFonts w:hint="eastAsia"/>
                      <w:spacing w:val="-6"/>
                      <w:u w:val="single"/>
                    </w:rPr>
                    <w:t>0000.00元（大写：</w:t>
                  </w:r>
                  <w:r>
                    <w:rPr>
                      <w:rFonts w:hint="eastAsia"/>
                      <w:spacing w:val="-6"/>
                      <w:u w:val="single"/>
                      <w:lang w:val="en-US" w:eastAsia="zh-CN"/>
                    </w:rPr>
                    <w:t>捌万元整</w:t>
                  </w:r>
                  <w:r>
                    <w:rPr>
                      <w:rFonts w:hint="eastAsia"/>
                      <w:spacing w:val="-6"/>
                      <w:u w:val="single"/>
                    </w:rPr>
                    <w:t>）</w:t>
                  </w:r>
                </w:p>
                <w:p w14:paraId="5EE710B3">
                  <w:pPr>
                    <w:jc w:val="left"/>
                    <w:rPr>
                      <w:rFonts w:hint="default" w:ascii="宋体" w:hAnsi="宋体" w:eastAsia="宋体" w:cs="宋体"/>
                      <w:snapToGrid w:val="0"/>
                      <w:color w:val="000000"/>
                      <w:spacing w:val="-6"/>
                      <w:kern w:val="0"/>
                      <w:sz w:val="21"/>
                      <w:szCs w:val="21"/>
                      <w:lang w:val="en-US" w:eastAsia="en-US" w:bidi="ar-SA"/>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top"/>
                </w:tcPr>
                <w:p w14:paraId="1425F282">
                  <w:pPr>
                    <w:jc w:val="left"/>
                    <w:rPr>
                      <w:rFonts w:hint="default" w:ascii="宋体" w:hAnsi="宋体" w:eastAsia="宋体" w:cs="宋体"/>
                      <w:snapToGrid w:val="0"/>
                      <w:color w:val="000000"/>
                      <w:spacing w:val="-6"/>
                      <w:kern w:val="0"/>
                      <w:sz w:val="21"/>
                      <w:szCs w:val="21"/>
                      <w:lang w:val="en-US" w:eastAsia="en-US" w:bidi="ar-SA"/>
                    </w:rPr>
                  </w:pPr>
                  <w:r>
                    <w:rPr>
                      <w:rFonts w:hint="default" w:ascii="宋体" w:hAnsi="宋体" w:eastAsia="宋体" w:cs="宋体"/>
                      <w:snapToGrid w:val="0"/>
                      <w:color w:val="000000"/>
                      <w:spacing w:val="-6"/>
                      <w:kern w:val="0"/>
                      <w:sz w:val="21"/>
                      <w:szCs w:val="21"/>
                      <w:lang w:val="en-US" w:eastAsia="en-US" w:bidi="ar-SA"/>
                    </w:rPr>
                    <w:t>￥100000.00元（大写：壹拾万元整）</w:t>
                  </w:r>
                </w:p>
              </w:tc>
              <w:tc>
                <w:tcPr>
                  <w:tcW w:w="766" w:type="dxa"/>
                  <w:tcBorders>
                    <w:top w:val="single" w:color="000000" w:sz="4" w:space="0"/>
                    <w:left w:val="single" w:color="000000" w:sz="4" w:space="0"/>
                    <w:bottom w:val="single" w:color="000000" w:sz="4" w:space="0"/>
                    <w:right w:val="single" w:color="000000" w:sz="4" w:space="0"/>
                  </w:tcBorders>
                  <w:shd w:val="clear" w:color="auto" w:fill="auto"/>
                  <w:vAlign w:val="top"/>
                </w:tcPr>
                <w:p w14:paraId="7A9CD18F">
                  <w:pPr>
                    <w:jc w:val="left"/>
                    <w:rPr>
                      <w:rFonts w:hint="default" w:ascii="宋体" w:hAnsi="宋体" w:eastAsia="宋体" w:cs="宋体"/>
                      <w:snapToGrid w:val="0"/>
                      <w:color w:val="000000"/>
                      <w:spacing w:val="-6"/>
                      <w:kern w:val="0"/>
                      <w:sz w:val="21"/>
                      <w:szCs w:val="21"/>
                      <w:lang w:val="en-US" w:eastAsia="en-US" w:bidi="ar-SA"/>
                    </w:rPr>
                  </w:pPr>
                  <w:r>
                    <w:rPr>
                      <w:rFonts w:hint="default" w:ascii="宋体" w:hAnsi="宋体" w:eastAsia="宋体" w:cs="宋体"/>
                      <w:snapToGrid w:val="0"/>
                      <w:color w:val="000000"/>
                      <w:spacing w:val="-6"/>
                      <w:kern w:val="0"/>
                      <w:sz w:val="21"/>
                      <w:szCs w:val="21"/>
                      <w:lang w:val="en-US" w:eastAsia="en-US" w:bidi="ar-SA"/>
                    </w:rPr>
                    <w:t>￥100000.00元（大写：壹拾万元整）</w:t>
                  </w:r>
                </w:p>
              </w:tc>
            </w:tr>
          </w:tbl>
          <w:p w14:paraId="229EAEA3">
            <w:pPr>
              <w:pStyle w:val="9"/>
              <w:spacing w:before="139" w:line="220" w:lineRule="auto"/>
              <w:ind w:left="116"/>
              <w:rPr>
                <w:rFonts w:hint="eastAsia"/>
                <w:spacing w:val="-6"/>
              </w:rPr>
            </w:pPr>
          </w:p>
          <w:p w14:paraId="5A41B074">
            <w:pPr>
              <w:pStyle w:val="9"/>
              <w:spacing w:before="139" w:line="220" w:lineRule="auto"/>
              <w:ind w:left="116"/>
              <w:rPr>
                <w:rFonts w:hint="eastAsia"/>
                <w:spacing w:val="-6"/>
              </w:rPr>
            </w:pPr>
            <w:r>
              <w:rPr>
                <w:rFonts w:hint="eastAsia"/>
                <w:spacing w:val="-6"/>
              </w:rPr>
              <w:t>□无失信记录的中小微企业，给予减免投标保证金，减免</w:t>
            </w:r>
            <w:r>
              <w:rPr>
                <w:rFonts w:hint="eastAsia"/>
                <w:spacing w:val="-6"/>
                <w:u w:val="single"/>
                <w:lang w:val="en-US" w:eastAsia="zh-CN"/>
              </w:rPr>
              <w:t xml:space="preserve">  </w:t>
            </w:r>
            <w:r>
              <w:rPr>
                <w:rFonts w:hint="eastAsia"/>
                <w:spacing w:val="-6"/>
              </w:rPr>
              <w:t>%缴纳投标保证金，减免后投标保证金金额：</w:t>
            </w:r>
            <w:r>
              <w:rPr>
                <w:rFonts w:hint="eastAsia"/>
                <w:spacing w:val="-6"/>
                <w:u w:val="single"/>
                <w:lang w:val="en-US" w:eastAsia="zh-CN"/>
              </w:rPr>
              <w:t xml:space="preserve">     </w:t>
            </w:r>
            <w:r>
              <w:rPr>
                <w:rFonts w:hint="eastAsia"/>
                <w:spacing w:val="-6"/>
              </w:rPr>
              <w:t>。</w:t>
            </w:r>
          </w:p>
          <w:p w14:paraId="4B95EDFE">
            <w:pPr>
              <w:pStyle w:val="9"/>
              <w:spacing w:before="139" w:line="220" w:lineRule="auto"/>
              <w:ind w:left="116"/>
              <w:rPr>
                <w:rFonts w:hint="eastAsia"/>
                <w:spacing w:val="-6"/>
              </w:rPr>
            </w:pPr>
            <w:r>
              <w:rPr>
                <w:rFonts w:hint="eastAsia"/>
                <w:spacing w:val="-6"/>
              </w:rPr>
              <w:t>如同时满足以上信用等级和中小微企业减免投标保证金的情形，则以减免后投标保证金金额较少的为准。以联合体形式参加投标的，以上减免情形以联合体牵头人为准。</w:t>
            </w:r>
          </w:p>
          <w:p w14:paraId="6A93479F">
            <w:pPr>
              <w:pStyle w:val="9"/>
              <w:spacing w:before="139" w:line="220" w:lineRule="auto"/>
              <w:ind w:left="116"/>
              <w:rPr>
                <w:rFonts w:hint="eastAsia"/>
                <w:spacing w:val="-6"/>
              </w:rPr>
            </w:pPr>
            <w:r>
              <w:rPr>
                <w:rFonts w:hint="eastAsia"/>
                <w:spacing w:val="-6"/>
              </w:rPr>
              <w:t>投标保证金可采用的其他形式：汇票、信用证、保证保险（含</w:t>
            </w:r>
          </w:p>
          <w:p w14:paraId="643A06A2">
            <w:pPr>
              <w:pStyle w:val="9"/>
              <w:spacing w:before="139" w:line="220" w:lineRule="auto"/>
              <w:ind w:left="116"/>
              <w:rPr>
                <w:rFonts w:hint="eastAsia"/>
                <w:spacing w:val="-6"/>
              </w:rPr>
            </w:pPr>
            <w:r>
              <w:rPr>
                <w:rFonts w:hint="eastAsia"/>
                <w:spacing w:val="-6"/>
              </w:rPr>
              <w:t>电子保证保险）、电子保函、银行本票</w:t>
            </w:r>
            <w:r>
              <w:rPr>
                <w:rFonts w:hint="eastAsia"/>
                <w:spacing w:val="-6"/>
                <w:lang w:eastAsia="zh-CN"/>
              </w:rPr>
              <w:t>、</w:t>
            </w:r>
            <w:r>
              <w:rPr>
                <w:rFonts w:hint="eastAsia"/>
                <w:spacing w:val="-6"/>
                <w:lang w:val="en-US" w:eastAsia="zh-CN"/>
              </w:rPr>
              <w:t>信用承诺书</w:t>
            </w:r>
            <w:r>
              <w:rPr>
                <w:rFonts w:hint="eastAsia"/>
                <w:spacing w:val="-6"/>
              </w:rPr>
              <w:t>或其他合法形式。</w:t>
            </w:r>
          </w:p>
          <w:p w14:paraId="24FB5295">
            <w:pPr>
              <w:pStyle w:val="9"/>
              <w:spacing w:before="139" w:line="220" w:lineRule="auto"/>
              <w:ind w:left="116"/>
              <w:rPr>
                <w:rFonts w:hint="eastAsia"/>
                <w:spacing w:val="-6"/>
              </w:rPr>
            </w:pPr>
            <w:r>
              <w:rPr>
                <w:rFonts w:hint="eastAsia"/>
                <w:spacing w:val="-6"/>
              </w:rPr>
              <w:t>招标人指定的开户银行及账号如下：</w:t>
            </w:r>
          </w:p>
          <w:p w14:paraId="6CD68858">
            <w:pPr>
              <w:pStyle w:val="9"/>
              <w:spacing w:before="139" w:line="220" w:lineRule="auto"/>
              <w:ind w:left="116"/>
              <w:rPr>
                <w:rFonts w:hint="eastAsia"/>
                <w:spacing w:val="-6"/>
              </w:rPr>
            </w:pPr>
            <w:r>
              <w:rPr>
                <w:rFonts w:hint="eastAsia"/>
                <w:spacing w:val="-6"/>
              </w:rPr>
              <w:t>账户名称：</w:t>
            </w:r>
            <w:r>
              <w:rPr>
                <w:rFonts w:hint="eastAsia"/>
                <w:spacing w:val="-6"/>
                <w:u w:val="single"/>
                <w:lang w:val="en-US" w:eastAsia="zh-CN"/>
              </w:rPr>
              <w:t xml:space="preserve">          /           </w:t>
            </w:r>
            <w:r>
              <w:rPr>
                <w:rFonts w:hint="eastAsia"/>
                <w:spacing w:val="-6"/>
              </w:rPr>
              <w:t>；</w:t>
            </w:r>
          </w:p>
          <w:p w14:paraId="15BA954E">
            <w:pPr>
              <w:pStyle w:val="9"/>
              <w:spacing w:before="139" w:line="220" w:lineRule="auto"/>
              <w:ind w:left="116"/>
              <w:rPr>
                <w:rFonts w:hint="eastAsia"/>
                <w:spacing w:val="-6"/>
              </w:rPr>
            </w:pPr>
            <w:r>
              <w:rPr>
                <w:rFonts w:hint="eastAsia"/>
                <w:spacing w:val="-6"/>
              </w:rPr>
              <w:t>开户银行：</w:t>
            </w:r>
            <w:r>
              <w:rPr>
                <w:rFonts w:hint="eastAsia"/>
                <w:spacing w:val="-6"/>
                <w:u w:val="single"/>
                <w:lang w:val="en-US" w:eastAsia="zh-CN"/>
              </w:rPr>
              <w:t xml:space="preserve">           /           </w:t>
            </w:r>
            <w:r>
              <w:rPr>
                <w:rFonts w:hint="eastAsia"/>
                <w:spacing w:val="-6"/>
              </w:rPr>
              <w:t>；</w:t>
            </w:r>
          </w:p>
          <w:p w14:paraId="5E783E8B">
            <w:pPr>
              <w:pStyle w:val="9"/>
              <w:spacing w:before="139" w:line="220" w:lineRule="auto"/>
              <w:ind w:left="116"/>
              <w:rPr>
                <w:rFonts w:hint="eastAsia"/>
                <w:spacing w:val="-6"/>
              </w:rPr>
            </w:pPr>
            <w:r>
              <w:rPr>
                <w:rFonts w:hint="eastAsia"/>
                <w:spacing w:val="-6"/>
              </w:rPr>
              <w:t>账 号：</w:t>
            </w:r>
            <w:r>
              <w:rPr>
                <w:rFonts w:hint="eastAsia"/>
                <w:spacing w:val="-6"/>
                <w:u w:val="single"/>
                <w:lang w:val="en-US" w:eastAsia="zh-CN"/>
              </w:rPr>
              <w:t xml:space="preserve">              /            </w:t>
            </w:r>
            <w:r>
              <w:rPr>
                <w:rFonts w:hint="eastAsia"/>
                <w:spacing w:val="-6"/>
              </w:rPr>
              <w:t>；</w:t>
            </w:r>
          </w:p>
          <w:p w14:paraId="1FA43744">
            <w:pPr>
              <w:pStyle w:val="9"/>
              <w:spacing w:before="139" w:line="220" w:lineRule="auto"/>
              <w:ind w:left="116"/>
              <w:rPr>
                <w:rFonts w:hint="eastAsia"/>
                <w:spacing w:val="-6"/>
              </w:rPr>
            </w:pPr>
            <w:r>
              <w:rPr>
                <w:rFonts w:hint="eastAsia"/>
                <w:spacing w:val="-6"/>
              </w:rPr>
              <w:t>财务联系人及电话：</w:t>
            </w:r>
            <w:r>
              <w:rPr>
                <w:rFonts w:hint="eastAsia"/>
                <w:spacing w:val="-6"/>
                <w:u w:val="single"/>
                <w:lang w:val="en-US" w:eastAsia="zh-CN"/>
              </w:rPr>
              <w:t xml:space="preserve">      /           </w:t>
            </w:r>
            <w:r>
              <w:rPr>
                <w:rFonts w:hint="eastAsia"/>
                <w:spacing w:val="-6"/>
              </w:rPr>
              <w:t>。</w:t>
            </w:r>
          </w:p>
          <w:p w14:paraId="5183FD17">
            <w:pPr>
              <w:pStyle w:val="9"/>
              <w:spacing w:before="139" w:line="220" w:lineRule="auto"/>
              <w:ind w:left="116"/>
              <w:rPr>
                <w:rFonts w:hint="eastAsia"/>
                <w:spacing w:val="-6"/>
              </w:rPr>
            </w:pPr>
            <w:r>
              <w:rPr>
                <w:rFonts w:hint="eastAsia"/>
                <w:spacing w:val="-6"/>
              </w:rPr>
              <w:t>采用银行保函时：必须由投标人的基本账户开具，若基本账户银行不能开具，可由上级银行出具并附相关证明材料，否则视为无效。且银行保函原件在递交投标文件截止时间之前单独密封递交，其扫描件放在投标文件中。</w:t>
            </w:r>
          </w:p>
          <w:p w14:paraId="73E0BFFD">
            <w:pPr>
              <w:pStyle w:val="9"/>
              <w:spacing w:before="139" w:line="220" w:lineRule="auto"/>
              <w:ind w:left="116"/>
              <w:rPr>
                <w:rFonts w:hint="eastAsia"/>
                <w:spacing w:val="-6"/>
              </w:rPr>
            </w:pPr>
            <w:r>
              <w:rPr>
                <w:rFonts w:hint="eastAsia"/>
                <w:spacing w:val="-6"/>
              </w:rPr>
              <w:t>信用承诺书</w:t>
            </w:r>
            <w:r>
              <w:rPr>
                <w:rFonts w:hint="eastAsia"/>
                <w:spacing w:val="-6"/>
                <w:lang w:eastAsia="zh-CN"/>
              </w:rPr>
              <w:t>：根据《关于在工程建设项目招标投标领域推行投标保证金“信用承诺制”的通知》，</w:t>
            </w:r>
            <w:r>
              <w:rPr>
                <w:rFonts w:hint="eastAsia"/>
                <w:spacing w:val="-6"/>
              </w:rPr>
              <w:t>信用状况良好、没有失信记录的投标人可使用“信用承诺书”替代投标保证金</w:t>
            </w:r>
          </w:p>
          <w:p w14:paraId="116BC3CC">
            <w:pPr>
              <w:pStyle w:val="9"/>
              <w:spacing w:before="139" w:line="220" w:lineRule="auto"/>
              <w:ind w:left="116"/>
              <w:rPr>
                <w:rFonts w:hint="eastAsia"/>
                <w:spacing w:val="-6"/>
              </w:rPr>
            </w:pPr>
            <w:r>
              <w:rPr>
                <w:rFonts w:hint="eastAsia"/>
                <w:spacing w:val="-6"/>
              </w:rPr>
              <w:t>适用对象：信用状况良好且没有失信记录的投标人。信用状况良好是指在广东省或云浮市行业主管部门诚信管理系统的诚信等级为最高级或次高级，（示例：某房屋市政工程招标项目诚信状况使用“云浮市智慧建筑管理服务信息平台”，投标人信用等级需为 AAA 级或 AA 级；水利行业在“广东省水利建设市场信用信息平台”上公告信用分值为 90（含本数）分以上的企业；交通行业在最新年度“广东省公路、水运工程从业单位信用评价”中信用等级为 AA 级的企业。）；没有失信记录是指投标人在“信用中国”或“信用广东”网站的公开信用报告没有被列入严重失信主体名单、经营异常名录、行政处罚信息，且没有投标过程中出现违约失信行为的记录。</w:t>
            </w:r>
          </w:p>
          <w:p w14:paraId="2B45C11B">
            <w:pPr>
              <w:pStyle w:val="9"/>
              <w:spacing w:before="139" w:line="220" w:lineRule="auto"/>
              <w:ind w:left="116"/>
              <w:rPr>
                <w:rFonts w:hint="eastAsia"/>
                <w:spacing w:val="-6"/>
              </w:rPr>
            </w:pPr>
            <w:r>
              <w:rPr>
                <w:rFonts w:hint="eastAsia"/>
                <w:spacing w:val="-6"/>
              </w:rPr>
              <w:t>选择“信用承诺制”替代投标保证金，应在投标文件中附具“信用承诺书”（联合体形式参与投标的，由联合体牵头单位提供即可）；选择“信用承诺制”替代投标保证金的投标人，也可同时以现金转账、保函方式缴纳投标保证金</w:t>
            </w:r>
          </w:p>
          <w:p w14:paraId="3D0434CE">
            <w:pPr>
              <w:pStyle w:val="9"/>
              <w:spacing w:before="139" w:line="220" w:lineRule="auto"/>
              <w:ind w:left="116"/>
              <w:rPr>
                <w:rFonts w:hint="eastAsia"/>
                <w:spacing w:val="-6"/>
                <w:lang w:val="en-US" w:eastAsia="zh-CN"/>
              </w:rPr>
            </w:pPr>
            <w:r>
              <w:rPr>
                <w:rFonts w:hint="eastAsia"/>
                <w:spacing w:val="-6"/>
                <w:lang w:val="en-US" w:eastAsia="zh-CN"/>
              </w:rPr>
              <w:t>注：1.电子保函（保险）。根据《云浮市人民政府关于印发云浮市贯彻落实国务院扎实稳住经济的一揽子政策措施实施方案的通知》（云府〔2022〕21 号）第 87 条“在招投标领域全面推行电子保函（保险）替代现金缴纳投标、履约、工程质量等保证金”，降低企业招投标成本的相关要求，结合开标过程工作人员不具备对纸质保函真伪进行甄别的能力；为了进一步保证在出现招标文件规定不予退回投标保证金的行为时招标人行使不予退回保证金的权利，同时提高投标保证金缴纳的便捷性、保密性和提高投标保证金有效提交率，投标人应通过“云浮市公共资源交易电子保函平台”提交投标保证金。电子保函须为无条件且不可撤销保函，有效期不得少于投标文件的有效期。</w:t>
            </w:r>
          </w:p>
          <w:p w14:paraId="276CBDB8">
            <w:pPr>
              <w:pStyle w:val="9"/>
              <w:spacing w:before="139" w:line="220" w:lineRule="auto"/>
              <w:ind w:left="116"/>
              <w:rPr>
                <w:rFonts w:hint="eastAsia"/>
                <w:spacing w:val="-6"/>
              </w:rPr>
            </w:pPr>
            <w:r>
              <w:rPr>
                <w:rFonts w:hint="eastAsia"/>
                <w:spacing w:val="-6"/>
                <w:lang w:val="en-US" w:eastAsia="zh-CN"/>
              </w:rPr>
              <w:t>2.银行转账。由云浮市公共资源交易中心代收代退本项目提交的投标保证金。具体缴纳要求如下 ：①投标人参与投标须于开标前在云浮市公共资源交易服务平台(新平台)填写投标信息，下载招标文件，投标成功后，于规定时间将足额投标担保采取银行转账方式转账至云浮市公共资源交易服务平台（新平台）报名成功后生成的保证金子账号 。②投标保证金不采用直接存款或缴纳现金的方式，必须从投标人基本账户按要求转出，转账单（或电汇单）注明“云安区白石镇X491线白石街至东星四升三改建工程施工投标保证金 ”字样（如转账单的备注内容有字数限制，可缩写）。③未按要求汇入（到账为准）子账号的视为未缴纳保证金。</w:t>
            </w:r>
            <w:r>
              <w:rPr>
                <w:rFonts w:hint="eastAsia"/>
                <w:spacing w:val="-6"/>
              </w:rPr>
              <w:t>采用现金或支票方式：投标保证金到达招标人指定账户时间为：递交投标文件截止时间前（以到账时间为准）；</w:t>
            </w:r>
          </w:p>
          <w:p w14:paraId="4D4007D4">
            <w:pPr>
              <w:pStyle w:val="9"/>
              <w:spacing w:before="139" w:line="220" w:lineRule="auto"/>
              <w:ind w:left="116"/>
              <w:rPr>
                <w:rFonts w:hint="eastAsia"/>
                <w:spacing w:val="-4"/>
                <w:lang w:val="zh-CN" w:eastAsia="zh-CN"/>
              </w:rPr>
            </w:pPr>
            <w:r>
              <w:rPr>
                <w:rFonts w:hint="eastAsia"/>
                <w:spacing w:val="-4"/>
                <w:lang w:val="en-US" w:eastAsia="zh-CN"/>
              </w:rPr>
              <w:t>3.</w:t>
            </w:r>
            <w:r>
              <w:rPr>
                <w:rFonts w:hint="eastAsia"/>
                <w:spacing w:val="-4"/>
                <w:lang w:val="zh-CN" w:eastAsia="zh-CN"/>
              </w:rPr>
              <w:t xml:space="preserve">开标会公布投标人的投标保证金提交情况： </w:t>
            </w:r>
          </w:p>
          <w:p w14:paraId="798D5265">
            <w:pPr>
              <w:pStyle w:val="9"/>
              <w:spacing w:before="139" w:line="220" w:lineRule="auto"/>
              <w:ind w:left="116"/>
              <w:rPr>
                <w:rFonts w:hint="eastAsia"/>
                <w:spacing w:val="-4"/>
                <w:lang w:val="zh-CN" w:eastAsia="zh-CN"/>
              </w:rPr>
            </w:pPr>
            <w:r>
              <w:rPr>
                <w:rFonts w:hint="eastAsia"/>
                <w:spacing w:val="-4"/>
                <w:lang w:val="zh-CN" w:eastAsia="zh-CN"/>
              </w:rPr>
              <w:t>（1）由招标代理机构在云浮市公共资源交易服务平台查询</w:t>
            </w:r>
            <w:r>
              <w:rPr>
                <w:rFonts w:hint="eastAsia"/>
                <w:spacing w:val="-4"/>
                <w:lang w:val="en-US" w:eastAsia="zh-CN"/>
              </w:rPr>
              <w:t>采用</w:t>
            </w:r>
            <w:r>
              <w:rPr>
                <w:rFonts w:hint="eastAsia"/>
                <w:spacing w:val="-6"/>
                <w:lang w:val="en-US" w:eastAsia="zh-CN"/>
              </w:rPr>
              <w:t>电子保函（保险）</w:t>
            </w:r>
            <w:r>
              <w:rPr>
                <w:rFonts w:hint="eastAsia"/>
                <w:spacing w:val="-4"/>
                <w:lang w:val="zh-CN" w:eastAsia="zh-CN"/>
              </w:rPr>
              <w:t xml:space="preserve">提交的投标保证金的投标人名单。 </w:t>
            </w:r>
          </w:p>
          <w:p w14:paraId="4DFB1A9E">
            <w:pPr>
              <w:pStyle w:val="9"/>
              <w:spacing w:before="139" w:line="220" w:lineRule="auto"/>
              <w:ind w:left="116"/>
              <w:rPr>
                <w:rFonts w:hint="eastAsia"/>
                <w:spacing w:val="-4"/>
                <w:lang w:val="zh-CN" w:eastAsia="zh-CN"/>
              </w:rPr>
            </w:pPr>
            <w:r>
              <w:rPr>
                <w:rFonts w:hint="eastAsia"/>
                <w:spacing w:val="-4"/>
                <w:lang w:val="zh-CN" w:eastAsia="zh-CN"/>
              </w:rPr>
              <w:t>采用</w:t>
            </w:r>
            <w:r>
              <w:rPr>
                <w:rFonts w:hint="eastAsia"/>
                <w:spacing w:val="-6"/>
                <w:lang w:val="en-US" w:eastAsia="zh-CN"/>
              </w:rPr>
              <w:t>电子保函（保险）</w:t>
            </w:r>
            <w:r>
              <w:rPr>
                <w:rFonts w:hint="eastAsia"/>
                <w:spacing w:val="-4"/>
                <w:lang w:val="en-US" w:eastAsia="zh-CN"/>
              </w:rPr>
              <w:t>提交</w:t>
            </w:r>
            <w:r>
              <w:rPr>
                <w:rFonts w:hint="eastAsia"/>
                <w:spacing w:val="-4"/>
                <w:lang w:val="zh-CN" w:eastAsia="zh-CN"/>
              </w:rPr>
              <w:t xml:space="preserve">投标保证金的，须在投标截止时间前通过“云浮市公共资源交易电子保函平台”购买并成功出函。 </w:t>
            </w:r>
          </w:p>
          <w:p w14:paraId="720B88C1">
            <w:pPr>
              <w:pStyle w:val="9"/>
              <w:spacing w:before="139" w:line="220" w:lineRule="auto"/>
              <w:ind w:left="116"/>
              <w:rPr>
                <w:rFonts w:hint="eastAsia"/>
                <w:spacing w:val="-4"/>
                <w:lang w:val="zh-CN" w:eastAsia="zh-CN"/>
              </w:rPr>
            </w:pPr>
            <w:r>
              <w:rPr>
                <w:rFonts w:hint="eastAsia"/>
                <w:spacing w:val="-4"/>
                <w:lang w:val="zh-CN" w:eastAsia="zh-CN"/>
              </w:rPr>
              <w:t>投标人</w:t>
            </w:r>
            <w:r>
              <w:rPr>
                <w:rFonts w:hint="eastAsia"/>
                <w:spacing w:val="-4"/>
                <w:lang w:val="en-US" w:eastAsia="zh-CN"/>
              </w:rPr>
              <w:t>以</w:t>
            </w:r>
            <w:r>
              <w:rPr>
                <w:rFonts w:hint="eastAsia"/>
                <w:spacing w:val="-6"/>
                <w:lang w:val="en-US" w:eastAsia="zh-CN"/>
              </w:rPr>
              <w:t>电子保函（保险）</w:t>
            </w:r>
            <w:r>
              <w:rPr>
                <w:rFonts w:hint="eastAsia"/>
                <w:spacing w:val="-4"/>
                <w:lang w:val="zh-CN" w:eastAsia="zh-CN"/>
              </w:rPr>
              <w:t xml:space="preserve">缴纳投标保证金的，如出现招标文件规定不予退回投标保证金的行为，招标人有权向出函机构提出与担保金额等额的索赔，投标人不得有异议。 </w:t>
            </w:r>
          </w:p>
          <w:p w14:paraId="10476620">
            <w:pPr>
              <w:pStyle w:val="9"/>
              <w:numPr>
                <w:ilvl w:val="0"/>
                <w:numId w:val="3"/>
              </w:numPr>
              <w:spacing w:before="139" w:line="220" w:lineRule="auto"/>
              <w:ind w:left="116"/>
              <w:rPr>
                <w:rFonts w:hint="eastAsia"/>
                <w:spacing w:val="-4"/>
                <w:lang w:val="zh-CN" w:eastAsia="zh-CN"/>
              </w:rPr>
            </w:pPr>
            <w:r>
              <w:rPr>
                <w:rFonts w:hint="eastAsia"/>
                <w:spacing w:val="-4"/>
                <w:lang w:val="zh-CN" w:eastAsia="zh-CN"/>
              </w:rPr>
              <w:t>由招标代理机构在云浮市公共资源交易服务平台查询采用</w:t>
            </w:r>
            <w:r>
              <w:rPr>
                <w:rFonts w:hint="eastAsia"/>
                <w:spacing w:val="-6"/>
                <w:lang w:val="en-US" w:eastAsia="zh-CN"/>
              </w:rPr>
              <w:t>银行转账</w:t>
            </w:r>
            <w:r>
              <w:rPr>
                <w:rFonts w:hint="eastAsia"/>
                <w:spacing w:val="-4"/>
                <w:lang w:val="zh-CN" w:eastAsia="zh-CN"/>
              </w:rPr>
              <w:t>缴纳投标保证金的投标人名单。 采用</w:t>
            </w:r>
            <w:r>
              <w:rPr>
                <w:rFonts w:hint="eastAsia"/>
                <w:spacing w:val="-6"/>
                <w:lang w:val="en-US" w:eastAsia="zh-CN"/>
              </w:rPr>
              <w:t>银行转账</w:t>
            </w:r>
            <w:r>
              <w:rPr>
                <w:rFonts w:hint="eastAsia"/>
                <w:spacing w:val="-4"/>
                <w:lang w:val="zh-CN" w:eastAsia="zh-CN"/>
              </w:rPr>
              <w:t xml:space="preserve">缴纳投标保证金的，须按时到账。 </w:t>
            </w:r>
          </w:p>
          <w:p w14:paraId="086CAC36">
            <w:pPr>
              <w:pStyle w:val="9"/>
              <w:spacing w:before="139" w:line="220" w:lineRule="auto"/>
              <w:ind w:left="116"/>
              <w:rPr>
                <w:rFonts w:hint="eastAsia"/>
                <w:spacing w:val="-4"/>
                <w:lang w:val="zh-CN" w:eastAsia="zh-CN"/>
              </w:rPr>
            </w:pPr>
            <w:r>
              <w:rPr>
                <w:rFonts w:hint="eastAsia"/>
                <w:spacing w:val="-6"/>
                <w:lang w:val="en-US" w:eastAsia="zh-CN"/>
              </w:rPr>
              <w:t>银行转账的</w:t>
            </w:r>
            <w:r>
              <w:rPr>
                <w:rFonts w:hint="eastAsia"/>
                <w:spacing w:val="-4"/>
                <w:lang w:val="zh-CN" w:eastAsia="zh-CN"/>
              </w:rPr>
              <w:t>投标保证金退还：交易中心在中标通知书发出之日起5个工作日内将投标保证金退回非中标候选人；投标保证金银行同期存款利息由银行自行结算。招标人应在发出中标通知书起30日内和中标人签订合同签订应通过云浮市公共资源交易服务平台的“合同签订”功能在线签订。 招标人、中标人双方在发出中标通知书起30日内未在交易服务平台在线签 订合同且无特殊情况的，交易中心将在30日期满后5个工作日内原路退还中标候选人及中标人保证金；投标保证金的银行同期存款利息由银行自行结算一并退回。</w:t>
            </w:r>
          </w:p>
          <w:p w14:paraId="7FB2062F">
            <w:pPr>
              <w:pStyle w:val="9"/>
              <w:spacing w:before="139" w:line="220" w:lineRule="auto"/>
              <w:ind w:left="116"/>
              <w:rPr>
                <w:rFonts w:hint="eastAsia"/>
                <w:spacing w:val="-4"/>
                <w:lang w:val="en-US" w:eastAsia="zh-CN"/>
              </w:rPr>
            </w:pPr>
            <w:r>
              <w:rPr>
                <w:rFonts w:hint="eastAsia"/>
                <w:spacing w:val="-4"/>
                <w:lang w:val="en-US" w:eastAsia="zh-CN"/>
              </w:rPr>
              <w:t>（3）采用“信用承诺制”替代投标保证金的，评标委员会应对提供“信用承诺书”的投标人是否满足“信用承诺制”的适用条件进行审查，重点核查以下两项内容：</w:t>
            </w:r>
          </w:p>
          <w:p w14:paraId="7C2AFAB2">
            <w:pPr>
              <w:pStyle w:val="9"/>
              <w:spacing w:before="139" w:line="220" w:lineRule="auto"/>
              <w:ind w:left="116"/>
              <w:rPr>
                <w:rFonts w:hint="eastAsia"/>
                <w:spacing w:val="-4"/>
                <w:lang w:val="en-US" w:eastAsia="zh-CN"/>
              </w:rPr>
            </w:pPr>
            <w:r>
              <w:rPr>
                <w:rFonts w:hint="eastAsia"/>
                <w:spacing w:val="-4"/>
                <w:lang w:val="en-US" w:eastAsia="zh-CN"/>
              </w:rPr>
              <w:t>①投标人在行业主管部门诚信管理系统的信用等级（联合体形式参与投标的，需核查联合体各方的信用等级）。</w:t>
            </w:r>
          </w:p>
          <w:p w14:paraId="137C8BB7">
            <w:pPr>
              <w:pStyle w:val="9"/>
              <w:spacing w:before="139" w:line="220" w:lineRule="auto"/>
              <w:ind w:left="116"/>
              <w:rPr>
                <w:rFonts w:hint="eastAsia"/>
                <w:spacing w:val="-4"/>
                <w:lang w:val="en-US" w:eastAsia="zh-CN"/>
              </w:rPr>
            </w:pPr>
            <w:r>
              <w:rPr>
                <w:rFonts w:hint="eastAsia"/>
                <w:spacing w:val="-4"/>
                <w:lang w:val="en-US" w:eastAsia="zh-CN"/>
              </w:rPr>
              <w:t>②投标人在“信用中国”或“信用广东”网站的公开信用报告（联合体形式参与投标的，需核查联合体各方的公开信用报告）。</w:t>
            </w:r>
          </w:p>
          <w:p w14:paraId="05ACCDCD">
            <w:pPr>
              <w:pStyle w:val="9"/>
              <w:spacing w:before="139" w:line="220" w:lineRule="auto"/>
              <w:ind w:left="116" w:firstLine="404" w:firstLineChars="200"/>
              <w:rPr>
                <w:rFonts w:hint="default"/>
                <w:spacing w:val="-4"/>
                <w:lang w:val="en-US" w:eastAsia="zh-CN"/>
              </w:rPr>
            </w:pPr>
            <w:r>
              <w:rPr>
                <w:rFonts w:hint="eastAsia"/>
                <w:spacing w:val="-4"/>
                <w:lang w:val="en-US" w:eastAsia="zh-CN"/>
              </w:rPr>
              <w:t>对仅提供“信用承诺书”，且未以其他方式缴纳投标保证金的投标人，若其不满足“信用承诺制”适用条件，评标委员会应依据招标文件否决其投标资格。</w:t>
            </w:r>
          </w:p>
          <w:p w14:paraId="1C4F6B96">
            <w:pPr>
              <w:pStyle w:val="9"/>
              <w:spacing w:before="139" w:line="220" w:lineRule="auto"/>
              <w:ind w:left="116"/>
              <w:rPr>
                <w:rFonts w:hint="eastAsia" w:eastAsia="宋体"/>
                <w:spacing w:val="-6"/>
                <w:lang w:val="en-US" w:eastAsia="zh-CN"/>
              </w:rPr>
            </w:pPr>
          </w:p>
          <w:p w14:paraId="1C713044">
            <w:pPr>
              <w:pStyle w:val="9"/>
              <w:spacing w:before="139" w:line="220" w:lineRule="auto"/>
              <w:ind w:left="116"/>
              <w:rPr>
                <w:rFonts w:hint="eastAsia"/>
                <w:spacing w:val="-6"/>
              </w:rPr>
            </w:pPr>
            <w:r>
              <w:rPr>
                <w:rFonts w:hint="eastAsia"/>
                <w:spacing w:val="-6"/>
              </w:rPr>
              <w:t>采用其他形式时：</w:t>
            </w:r>
            <w:r>
              <w:rPr>
                <w:rFonts w:hint="eastAsia"/>
                <w:spacing w:val="-6"/>
                <w:u w:val="single"/>
                <w:lang w:val="en-US" w:eastAsia="zh-CN"/>
              </w:rPr>
              <w:t xml:space="preserve"> / </w:t>
            </w:r>
            <w:r>
              <w:rPr>
                <w:rFonts w:hint="eastAsia"/>
                <w:spacing w:val="-6"/>
              </w:rPr>
              <w:t>。</w:t>
            </w:r>
          </w:p>
          <w:p w14:paraId="21DBD74E">
            <w:pPr>
              <w:pStyle w:val="9"/>
              <w:spacing w:before="139" w:line="220" w:lineRule="auto"/>
              <w:ind w:left="116"/>
              <w:rPr>
                <w:rFonts w:hint="eastAsia"/>
                <w:spacing w:val="-6"/>
              </w:rPr>
            </w:pPr>
            <w:r>
              <w:rPr>
                <w:rFonts w:hint="eastAsia"/>
                <w:spacing w:val="-6"/>
              </w:rPr>
              <w:t>□不要求</w:t>
            </w:r>
          </w:p>
        </w:tc>
      </w:tr>
    </w:tbl>
    <w:p w14:paraId="29BF82E7">
      <w:pPr>
        <w:pStyle w:val="2"/>
        <w:spacing w:line="302" w:lineRule="auto"/>
      </w:pPr>
    </w:p>
    <w:p w14:paraId="33DA31DC">
      <w:pPr>
        <w:spacing w:line="217" w:lineRule="auto"/>
        <w:rPr>
          <w:rFonts w:ascii="宋体" w:hAnsi="宋体" w:eastAsia="宋体" w:cs="宋体"/>
          <w:sz w:val="18"/>
          <w:szCs w:val="18"/>
        </w:rPr>
        <w:sectPr>
          <w:footerReference r:id="rId11" w:type="default"/>
          <w:pgSz w:w="11905" w:h="16840"/>
          <w:pgMar w:top="1182" w:right="1303" w:bottom="1171" w:left="1303" w:header="849" w:footer="937" w:gutter="0"/>
          <w:pgNumType w:fmt="decimal"/>
          <w:cols w:space="720" w:num="1"/>
        </w:sectPr>
      </w:pPr>
    </w:p>
    <w:p w14:paraId="306A61F9">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60093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671C46C4">
            <w:pPr>
              <w:pStyle w:val="9"/>
              <w:spacing w:before="181" w:line="220" w:lineRule="auto"/>
              <w:ind w:left="284"/>
            </w:pPr>
            <w:r>
              <w:rPr>
                <w:b/>
                <w:bCs/>
                <w:spacing w:val="-6"/>
              </w:rPr>
              <w:t>条款号</w:t>
            </w:r>
          </w:p>
        </w:tc>
        <w:tc>
          <w:tcPr>
            <w:tcW w:w="2443" w:type="dxa"/>
            <w:vAlign w:val="top"/>
          </w:tcPr>
          <w:p w14:paraId="11415277">
            <w:pPr>
              <w:pStyle w:val="9"/>
              <w:spacing w:before="181" w:line="220" w:lineRule="auto"/>
              <w:ind w:left="807"/>
            </w:pPr>
            <w:r>
              <w:rPr>
                <w:b/>
                <w:bCs/>
                <w:spacing w:val="-5"/>
              </w:rPr>
              <w:t>条款名称</w:t>
            </w:r>
          </w:p>
        </w:tc>
        <w:tc>
          <w:tcPr>
            <w:tcW w:w="5664" w:type="dxa"/>
            <w:vAlign w:val="top"/>
          </w:tcPr>
          <w:p w14:paraId="4D1927DE">
            <w:pPr>
              <w:pStyle w:val="9"/>
              <w:spacing w:before="181" w:line="220" w:lineRule="auto"/>
              <w:ind w:left="2417"/>
            </w:pPr>
            <w:r>
              <w:rPr>
                <w:b/>
                <w:bCs/>
                <w:spacing w:val="-5"/>
              </w:rPr>
              <w:t>编列内容</w:t>
            </w:r>
          </w:p>
        </w:tc>
      </w:tr>
      <w:tr w14:paraId="0733C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trPr>
        <w:tc>
          <w:tcPr>
            <w:tcW w:w="1185" w:type="dxa"/>
            <w:vAlign w:val="center"/>
          </w:tcPr>
          <w:p w14:paraId="4CD8FCDF">
            <w:pPr>
              <w:spacing w:line="253" w:lineRule="auto"/>
              <w:rPr>
                <w:rFonts w:ascii="Arial"/>
                <w:sz w:val="21"/>
              </w:rPr>
            </w:pPr>
          </w:p>
          <w:p w14:paraId="41D5C85A">
            <w:pPr>
              <w:pStyle w:val="9"/>
              <w:spacing w:before="69" w:line="239" w:lineRule="auto"/>
              <w:ind w:left="338"/>
            </w:pPr>
            <w:r>
              <w:rPr>
                <w:spacing w:val="-3"/>
              </w:rPr>
              <w:t>3.4.3</w:t>
            </w:r>
          </w:p>
        </w:tc>
        <w:tc>
          <w:tcPr>
            <w:tcW w:w="2443" w:type="dxa"/>
            <w:vAlign w:val="center"/>
          </w:tcPr>
          <w:p w14:paraId="5EEFAC43">
            <w:pPr>
              <w:spacing w:line="259" w:lineRule="auto"/>
              <w:rPr>
                <w:rFonts w:ascii="Arial"/>
                <w:sz w:val="21"/>
              </w:rPr>
            </w:pPr>
          </w:p>
          <w:p w14:paraId="1C3BE48F">
            <w:pPr>
              <w:pStyle w:val="9"/>
              <w:spacing w:before="68" w:line="220" w:lineRule="auto"/>
              <w:ind w:left="177"/>
            </w:pPr>
            <w:r>
              <w:rPr>
                <w:spacing w:val="-1"/>
              </w:rPr>
              <w:t>投标保证金的利息计算</w:t>
            </w:r>
          </w:p>
          <w:p w14:paraId="3C3C5C18">
            <w:pPr>
              <w:pStyle w:val="9"/>
              <w:spacing w:before="150" w:line="220" w:lineRule="auto"/>
              <w:ind w:left="1020"/>
            </w:pPr>
            <w:r>
              <w:rPr>
                <w:spacing w:val="-4"/>
              </w:rPr>
              <w:t>原则</w:t>
            </w:r>
          </w:p>
        </w:tc>
        <w:tc>
          <w:tcPr>
            <w:tcW w:w="5664" w:type="dxa"/>
            <w:vAlign w:val="center"/>
          </w:tcPr>
          <w:p w14:paraId="0645B30D">
            <w:pPr>
              <w:pStyle w:val="9"/>
              <w:spacing w:before="1" w:line="233" w:lineRule="auto"/>
              <w:ind w:left="114"/>
              <w:rPr>
                <w:spacing w:val="-2"/>
              </w:rPr>
            </w:pPr>
          </w:p>
          <w:p w14:paraId="445A746F">
            <w:pPr>
              <w:pStyle w:val="9"/>
              <w:spacing w:before="1" w:line="233" w:lineRule="auto"/>
              <w:ind w:left="114"/>
              <w:rPr>
                <w:sz w:val="10"/>
                <w:szCs w:val="10"/>
              </w:rPr>
            </w:pPr>
            <w:r>
              <w:rPr>
                <w:spacing w:val="-2"/>
              </w:rPr>
              <w:t>方式二：</w:t>
            </w:r>
          </w:p>
          <w:p w14:paraId="00CBEAFF">
            <w:pPr>
              <w:pStyle w:val="9"/>
              <w:spacing w:before="148" w:line="220" w:lineRule="auto"/>
              <w:ind w:left="114"/>
            </w:pPr>
            <w:r>
              <w:rPr>
                <w:spacing w:val="-2"/>
              </w:rPr>
              <w:t>利息退还方式按</w:t>
            </w:r>
            <w:r>
              <w:rPr>
                <w:rFonts w:hint="eastAsia"/>
                <w:spacing w:val="-2"/>
                <w:u w:val="single" w:color="auto"/>
                <w:lang w:val="en-US" w:eastAsia="zh-CN"/>
              </w:rPr>
              <w:t>云浮市</w:t>
            </w:r>
            <w:r>
              <w:rPr>
                <w:spacing w:val="-91"/>
              </w:rPr>
              <w:t xml:space="preserve"> </w:t>
            </w:r>
            <w:r>
              <w:rPr>
                <w:spacing w:val="-2"/>
              </w:rPr>
              <w:t>公共资源交易中心规定办理。</w:t>
            </w:r>
          </w:p>
        </w:tc>
      </w:tr>
      <w:tr w14:paraId="0B081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1185" w:type="dxa"/>
            <w:vAlign w:val="top"/>
          </w:tcPr>
          <w:p w14:paraId="141081E8">
            <w:pPr>
              <w:spacing w:line="285" w:lineRule="auto"/>
              <w:rPr>
                <w:rFonts w:ascii="Arial"/>
                <w:sz w:val="21"/>
              </w:rPr>
            </w:pPr>
          </w:p>
          <w:p w14:paraId="049A340E">
            <w:pPr>
              <w:spacing w:line="286" w:lineRule="auto"/>
              <w:rPr>
                <w:rFonts w:ascii="Arial"/>
                <w:sz w:val="21"/>
              </w:rPr>
            </w:pPr>
          </w:p>
          <w:p w14:paraId="23C76378">
            <w:pPr>
              <w:spacing w:line="286" w:lineRule="auto"/>
              <w:rPr>
                <w:rFonts w:ascii="Arial"/>
                <w:sz w:val="21"/>
              </w:rPr>
            </w:pPr>
          </w:p>
          <w:p w14:paraId="2309CEB1">
            <w:pPr>
              <w:spacing w:line="286" w:lineRule="auto"/>
              <w:rPr>
                <w:rFonts w:ascii="Arial"/>
                <w:sz w:val="21"/>
              </w:rPr>
            </w:pPr>
          </w:p>
          <w:p w14:paraId="271C3BE6">
            <w:pPr>
              <w:pStyle w:val="9"/>
              <w:spacing w:before="68" w:line="239" w:lineRule="auto"/>
              <w:ind w:left="338"/>
            </w:pPr>
            <w:r>
              <w:rPr>
                <w:spacing w:val="-3"/>
              </w:rPr>
              <w:t>3.4.4</w:t>
            </w:r>
          </w:p>
        </w:tc>
        <w:tc>
          <w:tcPr>
            <w:tcW w:w="2443" w:type="dxa"/>
            <w:vAlign w:val="top"/>
          </w:tcPr>
          <w:p w14:paraId="7D1D769B">
            <w:pPr>
              <w:spacing w:line="314" w:lineRule="auto"/>
              <w:rPr>
                <w:rFonts w:ascii="Arial"/>
                <w:sz w:val="21"/>
              </w:rPr>
            </w:pPr>
          </w:p>
          <w:p w14:paraId="22A62E18">
            <w:pPr>
              <w:spacing w:line="314" w:lineRule="auto"/>
              <w:rPr>
                <w:rFonts w:ascii="Arial"/>
                <w:sz w:val="21"/>
              </w:rPr>
            </w:pPr>
          </w:p>
          <w:p w14:paraId="401A9596">
            <w:pPr>
              <w:spacing w:line="315" w:lineRule="auto"/>
              <w:rPr>
                <w:rFonts w:ascii="Arial"/>
                <w:sz w:val="21"/>
              </w:rPr>
            </w:pPr>
          </w:p>
          <w:p w14:paraId="02BFD352">
            <w:pPr>
              <w:pStyle w:val="9"/>
              <w:spacing w:before="68" w:line="355" w:lineRule="auto"/>
              <w:ind w:left="596" w:right="170" w:hanging="420"/>
            </w:pPr>
            <w:r>
              <w:rPr>
                <w:spacing w:val="-1"/>
              </w:rPr>
              <w:t>其他可以不予退还投标</w:t>
            </w:r>
            <w:r>
              <w:rPr>
                <w:spacing w:val="-2"/>
              </w:rPr>
              <w:t>保证金的情形</w:t>
            </w:r>
          </w:p>
        </w:tc>
        <w:tc>
          <w:tcPr>
            <w:tcW w:w="5664" w:type="dxa"/>
            <w:vAlign w:val="top"/>
          </w:tcPr>
          <w:p w14:paraId="00D494DF">
            <w:pPr>
              <w:pStyle w:val="9"/>
              <w:spacing w:before="219" w:line="220" w:lineRule="auto"/>
              <w:ind w:left="118"/>
            </w:pPr>
            <w:r>
              <w:rPr>
                <w:spacing w:val="-3"/>
              </w:rPr>
              <w:t>（4）串通投标；或</w:t>
            </w:r>
          </w:p>
          <w:p w14:paraId="236478A8">
            <w:pPr>
              <w:pStyle w:val="9"/>
              <w:spacing w:before="148" w:line="352" w:lineRule="auto"/>
              <w:ind w:left="113" w:right="210" w:firstLine="5"/>
            </w:pPr>
            <w:r>
              <w:rPr>
                <w:spacing w:val="-1"/>
              </w:rPr>
              <w:t>（5）评标、中标候选人公示、签订合同前等环节因作假而被取消中标资格；或</w:t>
            </w:r>
          </w:p>
          <w:p w14:paraId="763E299F">
            <w:pPr>
              <w:pStyle w:val="9"/>
              <w:spacing w:line="219" w:lineRule="auto"/>
              <w:ind w:left="118"/>
            </w:pPr>
            <w:r>
              <w:rPr>
                <w:spacing w:val="-2"/>
              </w:rPr>
              <w:t>（6）因投诉属实取消投标资格的；或</w:t>
            </w:r>
          </w:p>
          <w:p w14:paraId="0FC7A556">
            <w:pPr>
              <w:pStyle w:val="9"/>
              <w:spacing w:before="149" w:line="321" w:lineRule="auto"/>
              <w:ind w:left="125" w:right="839" w:hanging="7"/>
            </w:pPr>
            <w:r>
              <w:rPr>
                <w:spacing w:val="-1"/>
              </w:rPr>
              <w:t>（7）其他违反规定、妨碍公平竞争准则的行</w:t>
            </w:r>
            <w:r>
              <w:rPr>
                <w:spacing w:val="-2"/>
              </w:rPr>
              <w:t>为；或</w:t>
            </w:r>
            <w:r>
              <w:rPr>
                <w:spacing w:val="-6"/>
              </w:rPr>
              <w:t>……</w:t>
            </w:r>
          </w:p>
        </w:tc>
      </w:tr>
      <w:tr w14:paraId="00960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85" w:type="dxa"/>
            <w:vAlign w:val="top"/>
          </w:tcPr>
          <w:p w14:paraId="65550929">
            <w:pPr>
              <w:spacing w:line="258" w:lineRule="auto"/>
              <w:rPr>
                <w:rFonts w:ascii="Arial"/>
                <w:sz w:val="21"/>
              </w:rPr>
            </w:pPr>
          </w:p>
          <w:p w14:paraId="4EBD2125">
            <w:pPr>
              <w:pStyle w:val="9"/>
              <w:spacing w:before="68" w:line="288" w:lineRule="exact"/>
              <w:ind w:left="392"/>
              <w:rPr>
                <w:sz w:val="10"/>
                <w:szCs w:val="10"/>
              </w:rPr>
            </w:pPr>
            <w:r>
              <w:rPr>
                <w:spacing w:val="-3"/>
              </w:rPr>
              <w:t>3.5</w:t>
            </w:r>
          </w:p>
        </w:tc>
        <w:tc>
          <w:tcPr>
            <w:tcW w:w="2443" w:type="dxa"/>
            <w:vAlign w:val="top"/>
          </w:tcPr>
          <w:p w14:paraId="4A6AB66E">
            <w:pPr>
              <w:pStyle w:val="9"/>
              <w:spacing w:before="142" w:line="220" w:lineRule="auto"/>
              <w:ind w:left="184"/>
            </w:pPr>
            <w:r>
              <w:rPr>
                <w:spacing w:val="-2"/>
              </w:rPr>
              <w:t>资格审查资料的特殊要</w:t>
            </w:r>
          </w:p>
          <w:p w14:paraId="3253F704">
            <w:pPr>
              <w:pStyle w:val="9"/>
              <w:spacing w:before="149" w:line="221" w:lineRule="auto"/>
              <w:ind w:left="1121"/>
            </w:pPr>
            <w:r>
              <w:t>求</w:t>
            </w:r>
          </w:p>
        </w:tc>
        <w:tc>
          <w:tcPr>
            <w:tcW w:w="5664" w:type="dxa"/>
            <w:vAlign w:val="top"/>
          </w:tcPr>
          <w:p w14:paraId="2BA40E24">
            <w:pPr>
              <w:pStyle w:val="9"/>
              <w:spacing w:before="143" w:line="220" w:lineRule="auto"/>
              <w:ind w:left="134"/>
            </w:pPr>
            <w:r>
              <w:rPr>
                <w:rFonts w:hint="eastAsia"/>
                <w:spacing w:val="-8"/>
                <w:lang w:eastAsia="zh-CN"/>
              </w:rPr>
              <w:t>☑</w:t>
            </w:r>
            <w:r>
              <w:rPr>
                <w:spacing w:val="-8"/>
              </w:rPr>
              <w:t>无</w:t>
            </w:r>
          </w:p>
          <w:p w14:paraId="688FF803">
            <w:pPr>
              <w:pStyle w:val="9"/>
              <w:spacing w:before="149" w:line="220" w:lineRule="auto"/>
              <w:ind w:left="134"/>
            </w:pPr>
            <w:r>
              <w:rPr>
                <w:spacing w:val="-4"/>
              </w:rPr>
              <w:t>□有，具体要求：</w:t>
            </w:r>
            <w:r>
              <w:rPr>
                <w:u w:val="single" w:color="auto"/>
              </w:rPr>
              <w:t xml:space="preserve">          </w:t>
            </w:r>
          </w:p>
        </w:tc>
      </w:tr>
      <w:tr w14:paraId="41C65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185" w:type="dxa"/>
            <w:vAlign w:val="top"/>
          </w:tcPr>
          <w:p w14:paraId="36A52CAB">
            <w:pPr>
              <w:spacing w:line="258" w:lineRule="auto"/>
              <w:rPr>
                <w:rFonts w:ascii="Arial"/>
                <w:sz w:val="21"/>
              </w:rPr>
            </w:pPr>
          </w:p>
          <w:p w14:paraId="5044F049">
            <w:pPr>
              <w:pStyle w:val="9"/>
              <w:spacing w:before="68" w:line="288" w:lineRule="exact"/>
              <w:ind w:left="286"/>
              <w:rPr>
                <w:sz w:val="10"/>
                <w:szCs w:val="10"/>
              </w:rPr>
            </w:pPr>
            <w:r>
              <w:rPr>
                <w:spacing w:val="-2"/>
                <w:position w:val="-1"/>
              </w:rPr>
              <w:t>3.5.2</w:t>
            </w:r>
          </w:p>
        </w:tc>
        <w:tc>
          <w:tcPr>
            <w:tcW w:w="2443" w:type="dxa"/>
            <w:vAlign w:val="top"/>
          </w:tcPr>
          <w:p w14:paraId="19A12DB0">
            <w:pPr>
              <w:pStyle w:val="9"/>
              <w:spacing w:before="142" w:line="220" w:lineRule="auto"/>
              <w:ind w:left="174"/>
            </w:pPr>
            <w:r>
              <w:rPr>
                <w:spacing w:val="-1"/>
              </w:rPr>
              <w:t>近年财务状况的年份要</w:t>
            </w:r>
          </w:p>
          <w:p w14:paraId="1CDFC492">
            <w:pPr>
              <w:pStyle w:val="9"/>
              <w:spacing w:before="149" w:line="221" w:lineRule="auto"/>
              <w:ind w:left="1121"/>
            </w:pPr>
            <w:r>
              <w:t>求</w:t>
            </w:r>
          </w:p>
        </w:tc>
        <w:tc>
          <w:tcPr>
            <w:tcW w:w="5664" w:type="dxa"/>
            <w:vAlign w:val="top"/>
          </w:tcPr>
          <w:p w14:paraId="7C1242B9">
            <w:pPr>
              <w:spacing w:line="273" w:lineRule="auto"/>
              <w:rPr>
                <w:rFonts w:ascii="Arial"/>
                <w:sz w:val="21"/>
              </w:rPr>
            </w:pPr>
          </w:p>
          <w:p w14:paraId="0AF84F90">
            <w:pPr>
              <w:pStyle w:val="9"/>
              <w:tabs>
                <w:tab w:val="left" w:pos="735"/>
              </w:tabs>
              <w:spacing w:before="68" w:line="220" w:lineRule="auto"/>
              <w:ind w:left="105"/>
            </w:pPr>
            <w:r>
              <w:rPr>
                <w:rFonts w:hint="eastAsia"/>
                <w:spacing w:val="-2"/>
                <w:u w:val="single"/>
                <w:lang w:val="en-US" w:eastAsia="zh-CN"/>
              </w:rPr>
              <w:t>2022</w:t>
            </w:r>
            <w:r>
              <w:rPr>
                <w:spacing w:val="-2"/>
              </w:rPr>
              <w:t>年</w:t>
            </w:r>
            <w:r>
              <w:rPr>
                <w:rFonts w:hint="eastAsia"/>
                <w:spacing w:val="-2"/>
                <w:lang w:eastAsia="zh-CN"/>
              </w:rPr>
              <w:t>—</w:t>
            </w:r>
            <w:r>
              <w:rPr>
                <w:rFonts w:hint="eastAsia"/>
                <w:spacing w:val="-2"/>
                <w:u w:val="single" w:color="auto"/>
                <w:lang w:val="en-US" w:eastAsia="zh-CN"/>
              </w:rPr>
              <w:t>2024</w:t>
            </w:r>
            <w:r>
              <w:rPr>
                <w:spacing w:val="-2"/>
              </w:rPr>
              <w:t>年（近三个年度）</w:t>
            </w:r>
          </w:p>
        </w:tc>
      </w:tr>
    </w:tbl>
    <w:p w14:paraId="2EE0B02C">
      <w:pPr>
        <w:pStyle w:val="2"/>
        <w:spacing w:line="252" w:lineRule="auto"/>
      </w:pPr>
    </w:p>
    <w:p w14:paraId="34EC9BDD">
      <w:pPr>
        <w:pStyle w:val="2"/>
        <w:spacing w:line="252" w:lineRule="auto"/>
      </w:pPr>
    </w:p>
    <w:p w14:paraId="28357433">
      <w:pPr>
        <w:spacing w:line="217" w:lineRule="auto"/>
        <w:rPr>
          <w:rFonts w:ascii="宋体" w:hAnsi="宋体" w:eastAsia="宋体" w:cs="宋体"/>
          <w:sz w:val="18"/>
          <w:szCs w:val="18"/>
        </w:rPr>
        <w:sectPr>
          <w:footerReference r:id="rId12" w:type="default"/>
          <w:pgSz w:w="11905" w:h="16840"/>
          <w:pgMar w:top="1182" w:right="1303" w:bottom="1171" w:left="1303" w:header="849" w:footer="936" w:gutter="0"/>
          <w:pgNumType w:fmt="decimal"/>
          <w:cols w:space="720" w:num="1"/>
        </w:sectPr>
      </w:pPr>
    </w:p>
    <w:p w14:paraId="01891744">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6546C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203A3330">
            <w:pPr>
              <w:pStyle w:val="9"/>
              <w:spacing w:before="181" w:line="220" w:lineRule="auto"/>
              <w:ind w:left="284"/>
            </w:pPr>
            <w:r>
              <w:rPr>
                <w:b/>
                <w:bCs/>
                <w:spacing w:val="-6"/>
              </w:rPr>
              <w:t>条款号</w:t>
            </w:r>
          </w:p>
        </w:tc>
        <w:tc>
          <w:tcPr>
            <w:tcW w:w="2443" w:type="dxa"/>
            <w:vAlign w:val="top"/>
          </w:tcPr>
          <w:p w14:paraId="759C8B3B">
            <w:pPr>
              <w:pStyle w:val="9"/>
              <w:spacing w:before="181" w:line="220" w:lineRule="auto"/>
              <w:ind w:left="807"/>
            </w:pPr>
            <w:r>
              <w:rPr>
                <w:b/>
                <w:bCs/>
                <w:spacing w:val="-5"/>
              </w:rPr>
              <w:t>条款名称</w:t>
            </w:r>
          </w:p>
        </w:tc>
        <w:tc>
          <w:tcPr>
            <w:tcW w:w="5664" w:type="dxa"/>
            <w:vAlign w:val="top"/>
          </w:tcPr>
          <w:p w14:paraId="08E6EBE7">
            <w:pPr>
              <w:pStyle w:val="9"/>
              <w:spacing w:before="181" w:line="220" w:lineRule="auto"/>
              <w:ind w:left="2417"/>
            </w:pPr>
            <w:r>
              <w:rPr>
                <w:b/>
                <w:bCs/>
                <w:spacing w:val="-5"/>
              </w:rPr>
              <w:t>编列内容</w:t>
            </w:r>
          </w:p>
        </w:tc>
      </w:tr>
      <w:tr w14:paraId="22E96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1185" w:type="dxa"/>
            <w:vAlign w:val="top"/>
          </w:tcPr>
          <w:p w14:paraId="087CAB2A">
            <w:pPr>
              <w:spacing w:line="241" w:lineRule="auto"/>
              <w:rPr>
                <w:rFonts w:ascii="Arial"/>
                <w:sz w:val="21"/>
              </w:rPr>
            </w:pPr>
          </w:p>
          <w:p w14:paraId="505832CC">
            <w:pPr>
              <w:spacing w:line="241" w:lineRule="auto"/>
              <w:rPr>
                <w:rFonts w:ascii="Arial"/>
                <w:sz w:val="21"/>
              </w:rPr>
            </w:pPr>
          </w:p>
          <w:p w14:paraId="4A0941A3">
            <w:pPr>
              <w:spacing w:line="241" w:lineRule="auto"/>
              <w:rPr>
                <w:rFonts w:ascii="Arial"/>
                <w:sz w:val="21"/>
              </w:rPr>
            </w:pPr>
          </w:p>
          <w:p w14:paraId="5C40473B">
            <w:pPr>
              <w:spacing w:line="241" w:lineRule="auto"/>
              <w:rPr>
                <w:rFonts w:ascii="Arial"/>
                <w:sz w:val="21"/>
              </w:rPr>
            </w:pPr>
          </w:p>
          <w:p w14:paraId="5833230B">
            <w:pPr>
              <w:spacing w:line="241" w:lineRule="auto"/>
              <w:rPr>
                <w:rFonts w:ascii="Arial"/>
                <w:sz w:val="21"/>
              </w:rPr>
            </w:pPr>
          </w:p>
          <w:p w14:paraId="08C57BD2">
            <w:pPr>
              <w:spacing w:line="241" w:lineRule="auto"/>
              <w:rPr>
                <w:rFonts w:ascii="Arial"/>
                <w:sz w:val="21"/>
              </w:rPr>
            </w:pPr>
          </w:p>
          <w:p w14:paraId="40DD8238">
            <w:pPr>
              <w:pStyle w:val="9"/>
              <w:spacing w:before="68" w:line="286" w:lineRule="exact"/>
              <w:ind w:left="286"/>
              <w:rPr>
                <w:sz w:val="10"/>
                <w:szCs w:val="10"/>
              </w:rPr>
            </w:pPr>
            <w:r>
              <w:rPr>
                <w:spacing w:val="-2"/>
                <w:position w:val="-1"/>
              </w:rPr>
              <w:t>3.5.3</w:t>
            </w:r>
          </w:p>
        </w:tc>
        <w:tc>
          <w:tcPr>
            <w:tcW w:w="2443" w:type="dxa"/>
            <w:vAlign w:val="top"/>
          </w:tcPr>
          <w:p w14:paraId="0F472D13">
            <w:pPr>
              <w:spacing w:line="252" w:lineRule="auto"/>
              <w:rPr>
                <w:rFonts w:ascii="Arial"/>
                <w:sz w:val="21"/>
              </w:rPr>
            </w:pPr>
          </w:p>
          <w:p w14:paraId="02063991">
            <w:pPr>
              <w:spacing w:line="252" w:lineRule="auto"/>
              <w:rPr>
                <w:rFonts w:ascii="Arial"/>
                <w:sz w:val="21"/>
              </w:rPr>
            </w:pPr>
          </w:p>
          <w:p w14:paraId="12D09749">
            <w:pPr>
              <w:spacing w:line="253" w:lineRule="auto"/>
              <w:rPr>
                <w:rFonts w:ascii="Arial"/>
                <w:sz w:val="21"/>
              </w:rPr>
            </w:pPr>
          </w:p>
          <w:p w14:paraId="1B6A9B52">
            <w:pPr>
              <w:spacing w:line="253" w:lineRule="auto"/>
              <w:rPr>
                <w:rFonts w:ascii="Arial"/>
                <w:sz w:val="21"/>
              </w:rPr>
            </w:pPr>
          </w:p>
          <w:p w14:paraId="3D09A6A0">
            <w:pPr>
              <w:spacing w:line="253" w:lineRule="auto"/>
              <w:rPr>
                <w:rFonts w:ascii="Arial"/>
                <w:sz w:val="21"/>
              </w:rPr>
            </w:pPr>
          </w:p>
          <w:p w14:paraId="0373B907">
            <w:pPr>
              <w:pStyle w:val="9"/>
              <w:spacing w:before="68" w:line="349" w:lineRule="auto"/>
              <w:ind w:left="543" w:right="170" w:hanging="369"/>
              <w:rPr>
                <w:rFonts w:hint="eastAsia" w:eastAsia="宋体"/>
                <w:sz w:val="10"/>
                <w:szCs w:val="10"/>
                <w:lang w:eastAsia="zh-CN"/>
              </w:rPr>
            </w:pPr>
            <w:r>
              <w:rPr>
                <w:spacing w:val="-1"/>
              </w:rPr>
              <w:t>近年完成的类似项目情况的时间要求</w:t>
            </w:r>
          </w:p>
        </w:tc>
        <w:tc>
          <w:tcPr>
            <w:tcW w:w="5664" w:type="dxa"/>
            <w:vAlign w:val="top"/>
          </w:tcPr>
          <w:p w14:paraId="30E9350D">
            <w:pPr>
              <w:pStyle w:val="9"/>
              <w:tabs>
                <w:tab w:val="left" w:pos="525"/>
              </w:tabs>
              <w:spacing w:before="139" w:line="351" w:lineRule="auto"/>
              <w:ind w:left="136" w:right="36" w:hanging="31"/>
            </w:pPr>
            <w:r>
              <w:rPr>
                <w:rFonts w:hint="eastAsia"/>
                <w:u w:val="single" w:color="auto"/>
                <w:lang w:val="en-US" w:eastAsia="zh-CN"/>
              </w:rPr>
              <w:t>2021</w:t>
            </w:r>
            <w:r>
              <w:rPr>
                <w:spacing w:val="-5"/>
              </w:rPr>
              <w:t>年</w:t>
            </w:r>
            <w:r>
              <w:rPr>
                <w:rFonts w:hint="eastAsia"/>
                <w:spacing w:val="-5"/>
                <w:u w:val="single" w:color="auto"/>
                <w:lang w:val="en-US" w:eastAsia="zh-CN"/>
              </w:rPr>
              <w:t>04</w:t>
            </w:r>
            <w:r>
              <w:rPr>
                <w:spacing w:val="-5"/>
              </w:rPr>
              <w:t>月</w:t>
            </w:r>
            <w:r>
              <w:rPr>
                <w:rFonts w:hint="eastAsia"/>
                <w:spacing w:val="-5"/>
                <w:u w:val="single" w:color="auto"/>
                <w:lang w:val="en-US" w:eastAsia="zh-CN"/>
              </w:rPr>
              <w:t>01</w:t>
            </w:r>
            <w:r>
              <w:rPr>
                <w:spacing w:val="-5"/>
              </w:rPr>
              <w:t>日至投标文件递交截止之日止（近五年</w:t>
            </w:r>
            <w:r>
              <w:rPr>
                <w:spacing w:val="-43"/>
              </w:rPr>
              <w:t>），</w:t>
            </w:r>
            <w:r>
              <w:rPr>
                <w:u w:val="single" w:color="auto"/>
              </w:rPr>
              <w:t>以</w:t>
            </w:r>
          </w:p>
          <w:p w14:paraId="185A2F34">
            <w:pPr>
              <w:pStyle w:val="9"/>
              <w:spacing w:before="1" w:line="351" w:lineRule="auto"/>
              <w:ind w:left="116" w:right="107" w:firstLine="438"/>
            </w:pPr>
            <w:r>
              <w:rPr>
                <w:spacing w:val="-2"/>
                <w:u w:val="single" w:color="auto"/>
              </w:rPr>
              <w:t>“全国公路建设市场监督管理系统”上的交工验收或</w:t>
            </w:r>
            <w:r>
              <w:rPr>
                <w:spacing w:val="-1"/>
                <w:u w:val="single" w:color="auto"/>
              </w:rPr>
              <w:t>未交工验收一次性竣工验收的时间为准。</w:t>
            </w:r>
          </w:p>
          <w:p w14:paraId="506E4DDC">
            <w:pPr>
              <w:pStyle w:val="9"/>
              <w:spacing w:line="218" w:lineRule="auto"/>
              <w:ind w:left="554"/>
            </w:pPr>
          </w:p>
        </w:tc>
      </w:tr>
      <w:tr w14:paraId="06762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185" w:type="dxa"/>
            <w:vAlign w:val="top"/>
          </w:tcPr>
          <w:p w14:paraId="165F7896">
            <w:pPr>
              <w:spacing w:line="268" w:lineRule="auto"/>
              <w:rPr>
                <w:rFonts w:ascii="Arial"/>
                <w:sz w:val="21"/>
              </w:rPr>
            </w:pPr>
          </w:p>
          <w:p w14:paraId="147804C0">
            <w:pPr>
              <w:pStyle w:val="9"/>
              <w:spacing w:before="69" w:line="239" w:lineRule="auto"/>
              <w:ind w:left="338"/>
            </w:pPr>
            <w:r>
              <w:rPr>
                <w:spacing w:val="-3"/>
              </w:rPr>
              <w:t>3.6.1</w:t>
            </w:r>
          </w:p>
        </w:tc>
        <w:tc>
          <w:tcPr>
            <w:tcW w:w="2443" w:type="dxa"/>
            <w:vAlign w:val="top"/>
          </w:tcPr>
          <w:p w14:paraId="5D2693D9">
            <w:pPr>
              <w:pStyle w:val="9"/>
              <w:spacing w:before="139" w:line="220" w:lineRule="auto"/>
              <w:ind w:left="178"/>
            </w:pPr>
            <w:r>
              <w:rPr>
                <w:spacing w:val="-2"/>
              </w:rPr>
              <w:t>是否允许递交备选投标</w:t>
            </w:r>
          </w:p>
          <w:p w14:paraId="76F61138">
            <w:pPr>
              <w:pStyle w:val="9"/>
              <w:spacing w:before="150" w:line="220" w:lineRule="auto"/>
              <w:ind w:left="1016"/>
            </w:pPr>
            <w:r>
              <w:rPr>
                <w:spacing w:val="-3"/>
              </w:rPr>
              <w:t>方案</w:t>
            </w:r>
          </w:p>
        </w:tc>
        <w:tc>
          <w:tcPr>
            <w:tcW w:w="5664" w:type="dxa"/>
            <w:vAlign w:val="top"/>
          </w:tcPr>
          <w:p w14:paraId="66B9B071">
            <w:pPr>
              <w:pStyle w:val="9"/>
              <w:spacing w:before="138" w:line="288" w:lineRule="auto"/>
              <w:ind w:left="134" w:right="4714"/>
            </w:pPr>
            <w:r>
              <w:rPr>
                <w:rFonts w:hint="eastAsia"/>
                <w:spacing w:val="-8"/>
                <w:lang w:eastAsia="zh-CN"/>
              </w:rPr>
              <w:t>☑</w:t>
            </w:r>
            <w:r>
              <w:rPr>
                <w:spacing w:val="-8"/>
              </w:rPr>
              <w:t>不允许</w:t>
            </w:r>
            <w:r>
              <w:rPr>
                <w:spacing w:val="-7"/>
              </w:rPr>
              <w:t>□允许</w:t>
            </w:r>
          </w:p>
        </w:tc>
      </w:tr>
      <w:tr w14:paraId="00D0D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2" w:hRule="atLeast"/>
        </w:trPr>
        <w:tc>
          <w:tcPr>
            <w:tcW w:w="1185" w:type="dxa"/>
            <w:vAlign w:val="top"/>
          </w:tcPr>
          <w:p w14:paraId="373515A5">
            <w:pPr>
              <w:spacing w:line="243" w:lineRule="auto"/>
              <w:rPr>
                <w:rFonts w:ascii="Arial"/>
                <w:sz w:val="21"/>
              </w:rPr>
            </w:pPr>
          </w:p>
          <w:p w14:paraId="4E4DDF7E">
            <w:pPr>
              <w:spacing w:line="243" w:lineRule="auto"/>
              <w:rPr>
                <w:rFonts w:ascii="Arial"/>
                <w:sz w:val="21"/>
              </w:rPr>
            </w:pPr>
          </w:p>
          <w:p w14:paraId="6384D59A">
            <w:pPr>
              <w:spacing w:line="243" w:lineRule="auto"/>
              <w:rPr>
                <w:rFonts w:ascii="Arial"/>
                <w:sz w:val="21"/>
              </w:rPr>
            </w:pPr>
          </w:p>
          <w:p w14:paraId="598BA8C7">
            <w:pPr>
              <w:spacing w:line="243" w:lineRule="auto"/>
              <w:rPr>
                <w:rFonts w:ascii="Arial"/>
                <w:sz w:val="21"/>
              </w:rPr>
            </w:pPr>
          </w:p>
          <w:p w14:paraId="65F406DA">
            <w:pPr>
              <w:spacing w:line="243" w:lineRule="auto"/>
              <w:rPr>
                <w:rFonts w:ascii="Arial"/>
                <w:sz w:val="21"/>
              </w:rPr>
            </w:pPr>
          </w:p>
          <w:p w14:paraId="000013D1">
            <w:pPr>
              <w:spacing w:line="243" w:lineRule="auto"/>
              <w:rPr>
                <w:rFonts w:ascii="Arial"/>
                <w:sz w:val="21"/>
              </w:rPr>
            </w:pPr>
          </w:p>
          <w:p w14:paraId="604E8E3A">
            <w:pPr>
              <w:spacing w:line="243" w:lineRule="auto"/>
              <w:rPr>
                <w:rFonts w:ascii="Arial"/>
                <w:sz w:val="21"/>
              </w:rPr>
            </w:pPr>
          </w:p>
          <w:p w14:paraId="0C2E02EB">
            <w:pPr>
              <w:spacing w:line="243" w:lineRule="auto"/>
              <w:rPr>
                <w:rFonts w:ascii="Arial"/>
                <w:sz w:val="21"/>
              </w:rPr>
            </w:pPr>
          </w:p>
          <w:p w14:paraId="0F9FD59A">
            <w:pPr>
              <w:spacing w:line="243" w:lineRule="auto"/>
              <w:rPr>
                <w:rFonts w:ascii="Arial"/>
                <w:sz w:val="21"/>
              </w:rPr>
            </w:pPr>
          </w:p>
          <w:p w14:paraId="48CF5257">
            <w:pPr>
              <w:spacing w:line="243" w:lineRule="auto"/>
              <w:rPr>
                <w:rFonts w:ascii="Arial"/>
                <w:sz w:val="21"/>
              </w:rPr>
            </w:pPr>
          </w:p>
          <w:p w14:paraId="76458064">
            <w:pPr>
              <w:spacing w:line="243" w:lineRule="auto"/>
              <w:rPr>
                <w:rFonts w:ascii="Arial"/>
                <w:sz w:val="21"/>
              </w:rPr>
            </w:pPr>
          </w:p>
          <w:p w14:paraId="699EACE8">
            <w:pPr>
              <w:spacing w:line="244" w:lineRule="auto"/>
              <w:rPr>
                <w:rFonts w:ascii="Arial"/>
                <w:sz w:val="21"/>
              </w:rPr>
            </w:pPr>
          </w:p>
          <w:p w14:paraId="2E4A52C1">
            <w:pPr>
              <w:spacing w:line="244" w:lineRule="auto"/>
              <w:rPr>
                <w:rFonts w:ascii="Arial"/>
                <w:sz w:val="21"/>
              </w:rPr>
            </w:pPr>
          </w:p>
          <w:p w14:paraId="42967636">
            <w:pPr>
              <w:spacing w:line="244" w:lineRule="auto"/>
              <w:rPr>
                <w:rFonts w:ascii="Arial"/>
                <w:sz w:val="21"/>
              </w:rPr>
            </w:pPr>
          </w:p>
          <w:p w14:paraId="2CC952D3">
            <w:pPr>
              <w:spacing w:line="244" w:lineRule="auto"/>
              <w:rPr>
                <w:rFonts w:ascii="Arial"/>
                <w:sz w:val="21"/>
              </w:rPr>
            </w:pPr>
          </w:p>
          <w:p w14:paraId="0EE425BD">
            <w:pPr>
              <w:pStyle w:val="9"/>
              <w:spacing w:before="69" w:line="239" w:lineRule="auto"/>
              <w:ind w:left="338"/>
            </w:pPr>
            <w:r>
              <w:rPr>
                <w:spacing w:val="-2"/>
              </w:rPr>
              <w:t>3.7.4</w:t>
            </w:r>
          </w:p>
        </w:tc>
        <w:tc>
          <w:tcPr>
            <w:tcW w:w="2443" w:type="dxa"/>
            <w:vAlign w:val="top"/>
          </w:tcPr>
          <w:p w14:paraId="078C92F9">
            <w:pPr>
              <w:spacing w:line="243" w:lineRule="auto"/>
              <w:rPr>
                <w:rFonts w:ascii="Arial"/>
                <w:sz w:val="21"/>
              </w:rPr>
            </w:pPr>
          </w:p>
          <w:p w14:paraId="70DC7D9D">
            <w:pPr>
              <w:spacing w:line="243" w:lineRule="auto"/>
              <w:rPr>
                <w:rFonts w:ascii="Arial"/>
                <w:sz w:val="21"/>
              </w:rPr>
            </w:pPr>
          </w:p>
          <w:p w14:paraId="40A8450C">
            <w:pPr>
              <w:spacing w:line="243" w:lineRule="auto"/>
              <w:rPr>
                <w:rFonts w:ascii="Arial"/>
                <w:sz w:val="21"/>
              </w:rPr>
            </w:pPr>
          </w:p>
          <w:p w14:paraId="798367EB">
            <w:pPr>
              <w:spacing w:line="243" w:lineRule="auto"/>
              <w:rPr>
                <w:rFonts w:ascii="Arial"/>
                <w:sz w:val="21"/>
              </w:rPr>
            </w:pPr>
          </w:p>
          <w:p w14:paraId="7B1D8026">
            <w:pPr>
              <w:spacing w:line="243" w:lineRule="auto"/>
              <w:rPr>
                <w:rFonts w:ascii="Arial"/>
                <w:sz w:val="21"/>
              </w:rPr>
            </w:pPr>
          </w:p>
          <w:p w14:paraId="3022D4FB">
            <w:pPr>
              <w:spacing w:line="243" w:lineRule="auto"/>
              <w:rPr>
                <w:rFonts w:ascii="Arial"/>
                <w:sz w:val="21"/>
              </w:rPr>
            </w:pPr>
          </w:p>
          <w:p w14:paraId="1BE7F093">
            <w:pPr>
              <w:spacing w:line="243" w:lineRule="auto"/>
              <w:rPr>
                <w:rFonts w:ascii="Arial"/>
                <w:sz w:val="21"/>
              </w:rPr>
            </w:pPr>
          </w:p>
          <w:p w14:paraId="5ADD17D5">
            <w:pPr>
              <w:spacing w:line="243" w:lineRule="auto"/>
              <w:rPr>
                <w:rFonts w:ascii="Arial"/>
                <w:sz w:val="21"/>
              </w:rPr>
            </w:pPr>
          </w:p>
          <w:p w14:paraId="22894E35">
            <w:pPr>
              <w:spacing w:line="243" w:lineRule="auto"/>
              <w:rPr>
                <w:rFonts w:ascii="Arial"/>
                <w:sz w:val="21"/>
              </w:rPr>
            </w:pPr>
          </w:p>
          <w:p w14:paraId="484CD418">
            <w:pPr>
              <w:spacing w:line="243" w:lineRule="auto"/>
              <w:rPr>
                <w:rFonts w:ascii="Arial"/>
                <w:sz w:val="21"/>
              </w:rPr>
            </w:pPr>
          </w:p>
          <w:p w14:paraId="24E55B9E">
            <w:pPr>
              <w:spacing w:line="243" w:lineRule="auto"/>
              <w:rPr>
                <w:rFonts w:ascii="Arial"/>
                <w:sz w:val="21"/>
              </w:rPr>
            </w:pPr>
          </w:p>
          <w:p w14:paraId="147FFF16">
            <w:pPr>
              <w:spacing w:line="244" w:lineRule="auto"/>
              <w:rPr>
                <w:rFonts w:ascii="Arial"/>
                <w:sz w:val="21"/>
              </w:rPr>
            </w:pPr>
          </w:p>
          <w:p w14:paraId="04958F03">
            <w:pPr>
              <w:spacing w:line="244" w:lineRule="auto"/>
              <w:rPr>
                <w:rFonts w:ascii="Arial"/>
                <w:sz w:val="21"/>
              </w:rPr>
            </w:pPr>
          </w:p>
          <w:p w14:paraId="47B79E1C">
            <w:pPr>
              <w:spacing w:line="244" w:lineRule="auto"/>
              <w:rPr>
                <w:rFonts w:ascii="Arial"/>
                <w:sz w:val="21"/>
              </w:rPr>
            </w:pPr>
          </w:p>
          <w:p w14:paraId="53A54EDD">
            <w:pPr>
              <w:spacing w:line="244" w:lineRule="auto"/>
              <w:rPr>
                <w:rFonts w:ascii="Arial"/>
                <w:sz w:val="21"/>
              </w:rPr>
            </w:pPr>
          </w:p>
          <w:p w14:paraId="777C5117">
            <w:pPr>
              <w:pStyle w:val="9"/>
              <w:spacing w:before="68" w:line="220" w:lineRule="auto"/>
              <w:ind w:left="282"/>
            </w:pPr>
            <w:r>
              <w:rPr>
                <w:spacing w:val="-2"/>
              </w:rPr>
              <w:t>投标文件</w:t>
            </w:r>
            <w:r>
              <w:rPr>
                <w:rFonts w:hint="eastAsia"/>
                <w:spacing w:val="-2"/>
                <w:lang w:val="en-US" w:eastAsia="zh-CN"/>
              </w:rPr>
              <w:t>副本份数及</w:t>
            </w:r>
            <w:r>
              <w:rPr>
                <w:spacing w:val="-2"/>
              </w:rPr>
              <w:t>其他要求</w:t>
            </w:r>
          </w:p>
        </w:tc>
        <w:tc>
          <w:tcPr>
            <w:tcW w:w="5664" w:type="dxa"/>
            <w:vAlign w:val="top"/>
          </w:tcPr>
          <w:p w14:paraId="0E084094">
            <w:pPr>
              <w:pStyle w:val="9"/>
              <w:spacing w:before="135" w:line="345" w:lineRule="auto"/>
              <w:ind w:left="112" w:right="107" w:firstLine="3"/>
            </w:pPr>
            <w:r>
              <w:rPr>
                <w:rFonts w:hint="eastAsia"/>
                <w:spacing w:val="-1"/>
              </w:rPr>
              <w:t>投标文件包括盖有电子公章的加密电子投标文件。投标人可制作非加密的电子投标文件（PDF 格式），包括第一个信封（商务及技术文件）和第二个信封（报价文件），其中第二个信封（报价文件）还需包含工程量清单电子文件（EXCEL格式）。第一个信封和第二个信封分别刻入独立的光盘或 U盘，在招标公告规定的时间、地点提交备用。刻录好的第一个信封和第二个信封的光盘或 U 盘分别密封在各自独立的密封袋中，并在封口处加盖投标人单位公章。密封袋上应写明项目名称（第    个信封）和招标人名称。递交的光盘或 U盘不得加密。光盘或 U 盘无法读取或导入的，则视为未提交备用投标文件光盘或 U 盘。备用光盘或 U 盘仅限于系统技术问题导致电子文件损坏或无法解密的情况时，由系统开发人员确认后使用，如果投标人没有按规定通过交易平台递交电子投标文件的，不再读取提交的光盘或 U 盘。是否递交备用光盘或 U 盘由投标人自行选择，系统技术问题导致电子文件损坏或无法解密的情况出现时，未递交备用光盘或 U 盘的投标人自行承担相关风险。第二信封的光盘或 U 盘在第一信封开标完成后，由交易中心见证人员密封至封标室，待第一信封评审完毕后由交易中心见证人员取出。</w:t>
            </w:r>
          </w:p>
        </w:tc>
      </w:tr>
      <w:tr w14:paraId="24D0D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185" w:type="dxa"/>
            <w:vAlign w:val="center"/>
          </w:tcPr>
          <w:p w14:paraId="7C42B889">
            <w:pPr>
              <w:pStyle w:val="9"/>
              <w:spacing w:before="68" w:line="239" w:lineRule="auto"/>
              <w:ind w:left="444"/>
              <w:rPr>
                <w:rFonts w:hint="default" w:eastAsia="宋体"/>
                <w:spacing w:val="-3"/>
                <w:lang w:val="en-US" w:eastAsia="zh-CN"/>
              </w:rPr>
            </w:pPr>
            <w:r>
              <w:rPr>
                <w:rFonts w:hint="eastAsia"/>
                <w:spacing w:val="-3"/>
                <w:lang w:val="en-US" w:eastAsia="zh-CN"/>
              </w:rPr>
              <w:t>3.7.5</w:t>
            </w:r>
          </w:p>
        </w:tc>
        <w:tc>
          <w:tcPr>
            <w:tcW w:w="2443" w:type="dxa"/>
            <w:vAlign w:val="center"/>
          </w:tcPr>
          <w:p w14:paraId="607250C0">
            <w:pPr>
              <w:pStyle w:val="9"/>
              <w:spacing w:before="68" w:line="220" w:lineRule="auto"/>
              <w:ind w:left="490"/>
              <w:rPr>
                <w:rFonts w:hint="default" w:eastAsia="宋体"/>
                <w:spacing w:val="-2"/>
                <w:lang w:val="en-US" w:eastAsia="zh-CN"/>
              </w:rPr>
            </w:pPr>
            <w:r>
              <w:rPr>
                <w:rFonts w:hint="eastAsia"/>
                <w:spacing w:val="-2"/>
                <w:lang w:val="en-US" w:eastAsia="zh-CN"/>
              </w:rPr>
              <w:t>装订的其他要求</w:t>
            </w:r>
          </w:p>
        </w:tc>
        <w:tc>
          <w:tcPr>
            <w:tcW w:w="5664" w:type="dxa"/>
            <w:vAlign w:val="center"/>
          </w:tcPr>
          <w:p w14:paraId="7121DFA6">
            <w:pPr>
              <w:pStyle w:val="9"/>
              <w:spacing w:before="142" w:line="288" w:lineRule="auto"/>
              <w:ind w:left="112" w:right="107" w:firstLine="3"/>
              <w:rPr>
                <w:spacing w:val="-1"/>
              </w:rPr>
            </w:pPr>
            <w:r>
              <w:rPr>
                <w:rFonts w:hint="eastAsia"/>
                <w:spacing w:val="-1"/>
              </w:rPr>
              <w:t>项目实行全流程电子化交易（即线上开标、评标），无需装订。</w:t>
            </w:r>
          </w:p>
        </w:tc>
      </w:tr>
      <w:tr w14:paraId="3BE0A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185" w:type="dxa"/>
            <w:vAlign w:val="center"/>
          </w:tcPr>
          <w:p w14:paraId="3609AC25">
            <w:pPr>
              <w:pStyle w:val="9"/>
              <w:spacing w:before="68" w:line="239" w:lineRule="auto"/>
              <w:ind w:left="444"/>
              <w:rPr>
                <w:rFonts w:hint="default"/>
                <w:spacing w:val="-3"/>
                <w:lang w:val="en-US" w:eastAsia="zh-CN"/>
              </w:rPr>
            </w:pPr>
            <w:r>
              <w:rPr>
                <w:rFonts w:hint="eastAsia"/>
                <w:spacing w:val="-3"/>
                <w:lang w:val="en-US" w:eastAsia="zh-CN"/>
              </w:rPr>
              <w:t>4.1.2</w:t>
            </w:r>
          </w:p>
        </w:tc>
        <w:tc>
          <w:tcPr>
            <w:tcW w:w="2443" w:type="dxa"/>
            <w:vAlign w:val="center"/>
          </w:tcPr>
          <w:p w14:paraId="1D783A54">
            <w:pPr>
              <w:pStyle w:val="9"/>
              <w:spacing w:before="68" w:line="220" w:lineRule="auto"/>
              <w:ind w:left="490"/>
              <w:rPr>
                <w:rFonts w:hint="eastAsia"/>
                <w:spacing w:val="-2"/>
                <w:lang w:val="en-US" w:eastAsia="zh-CN"/>
              </w:rPr>
            </w:pPr>
            <w:r>
              <w:rPr>
                <w:rFonts w:hint="eastAsia"/>
                <w:spacing w:val="-2"/>
                <w:lang w:val="en-US" w:eastAsia="zh-CN"/>
              </w:rPr>
              <w:t>封套上应载明的信息</w:t>
            </w:r>
          </w:p>
        </w:tc>
        <w:tc>
          <w:tcPr>
            <w:tcW w:w="5664" w:type="dxa"/>
            <w:vAlign w:val="center"/>
          </w:tcPr>
          <w:p w14:paraId="15A7FA89">
            <w:pPr>
              <w:pStyle w:val="9"/>
              <w:spacing w:before="142" w:line="288" w:lineRule="auto"/>
              <w:ind w:left="112" w:right="107" w:firstLine="3"/>
              <w:rPr>
                <w:rFonts w:hint="eastAsia"/>
                <w:spacing w:val="-1"/>
              </w:rPr>
            </w:pPr>
            <w:r>
              <w:rPr>
                <w:rFonts w:hint="eastAsia"/>
                <w:spacing w:val="-1"/>
              </w:rPr>
              <w:t>投标文件全部采用电子文档，无需提交线下投标文件。</w:t>
            </w:r>
          </w:p>
        </w:tc>
      </w:tr>
      <w:tr w14:paraId="16342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1185" w:type="dxa"/>
            <w:vAlign w:val="center"/>
          </w:tcPr>
          <w:p w14:paraId="6752D221">
            <w:pPr>
              <w:pStyle w:val="9"/>
              <w:spacing w:before="68" w:line="239" w:lineRule="auto"/>
              <w:ind w:left="444"/>
              <w:rPr>
                <w:rFonts w:hint="default"/>
                <w:spacing w:val="-3"/>
                <w:lang w:val="en-US" w:eastAsia="zh-CN"/>
              </w:rPr>
            </w:pPr>
            <w:r>
              <w:rPr>
                <w:rFonts w:hint="eastAsia"/>
                <w:spacing w:val="-3"/>
                <w:lang w:val="en-US" w:eastAsia="zh-CN"/>
              </w:rPr>
              <w:t>4.1.3</w:t>
            </w:r>
          </w:p>
        </w:tc>
        <w:tc>
          <w:tcPr>
            <w:tcW w:w="2443" w:type="dxa"/>
            <w:vAlign w:val="center"/>
          </w:tcPr>
          <w:p w14:paraId="1F126D0C">
            <w:pPr>
              <w:pStyle w:val="9"/>
              <w:spacing w:before="68" w:line="220" w:lineRule="auto"/>
              <w:ind w:left="490"/>
              <w:rPr>
                <w:rFonts w:hint="eastAsia"/>
                <w:spacing w:val="-2"/>
                <w:lang w:val="en-US" w:eastAsia="zh-CN"/>
              </w:rPr>
            </w:pPr>
            <w:r>
              <w:rPr>
                <w:rFonts w:hint="eastAsia"/>
                <w:spacing w:val="-2"/>
                <w:lang w:val="en-US" w:eastAsia="zh-CN"/>
              </w:rPr>
              <w:t>是否退还投标文件</w:t>
            </w:r>
          </w:p>
        </w:tc>
        <w:tc>
          <w:tcPr>
            <w:tcW w:w="5664" w:type="dxa"/>
            <w:vAlign w:val="center"/>
          </w:tcPr>
          <w:p w14:paraId="153212B7">
            <w:pPr>
              <w:pStyle w:val="9"/>
              <w:spacing w:before="142" w:line="288" w:lineRule="auto"/>
              <w:ind w:left="112" w:right="107" w:firstLine="3"/>
              <w:rPr>
                <w:rFonts w:hint="eastAsia"/>
                <w:spacing w:val="-1"/>
              </w:rPr>
            </w:pPr>
            <w:r>
              <w:rPr>
                <w:rFonts w:hint="eastAsia"/>
                <w:spacing w:val="-1"/>
              </w:rPr>
              <w:t>☑否</w:t>
            </w:r>
          </w:p>
          <w:p w14:paraId="01078F16">
            <w:pPr>
              <w:pStyle w:val="9"/>
              <w:spacing w:before="142" w:line="288" w:lineRule="auto"/>
              <w:ind w:left="112" w:right="107" w:firstLine="3"/>
              <w:rPr>
                <w:rFonts w:hint="eastAsia"/>
                <w:spacing w:val="-1"/>
              </w:rPr>
            </w:pPr>
            <w:r>
              <w:rPr>
                <w:rFonts w:hint="eastAsia"/>
                <w:spacing w:val="-1"/>
              </w:rPr>
              <w:t>□是，退还时间：</w:t>
            </w:r>
          </w:p>
        </w:tc>
      </w:tr>
      <w:tr w14:paraId="5F2C8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185" w:type="dxa"/>
            <w:vAlign w:val="top"/>
          </w:tcPr>
          <w:p w14:paraId="7CCDD995">
            <w:pPr>
              <w:spacing w:line="273" w:lineRule="auto"/>
              <w:rPr>
                <w:rFonts w:ascii="Arial"/>
                <w:sz w:val="21"/>
              </w:rPr>
            </w:pPr>
          </w:p>
          <w:p w14:paraId="0C027EEA">
            <w:pPr>
              <w:pStyle w:val="9"/>
              <w:spacing w:before="68" w:line="239" w:lineRule="auto"/>
              <w:ind w:left="444"/>
            </w:pPr>
            <w:r>
              <w:rPr>
                <w:spacing w:val="-3"/>
              </w:rPr>
              <w:t>5.1</w:t>
            </w:r>
          </w:p>
        </w:tc>
        <w:tc>
          <w:tcPr>
            <w:tcW w:w="2443" w:type="dxa"/>
            <w:vAlign w:val="top"/>
          </w:tcPr>
          <w:p w14:paraId="3A3E2411">
            <w:pPr>
              <w:spacing w:line="273" w:lineRule="auto"/>
              <w:rPr>
                <w:rFonts w:ascii="Arial"/>
                <w:sz w:val="21"/>
              </w:rPr>
            </w:pPr>
          </w:p>
          <w:p w14:paraId="2E05C71C">
            <w:pPr>
              <w:pStyle w:val="9"/>
              <w:spacing w:before="68" w:line="220" w:lineRule="auto"/>
              <w:ind w:left="490"/>
            </w:pPr>
            <w:r>
              <w:rPr>
                <w:spacing w:val="-2"/>
              </w:rPr>
              <w:t>开标时间和地点</w:t>
            </w:r>
          </w:p>
        </w:tc>
        <w:tc>
          <w:tcPr>
            <w:tcW w:w="5664" w:type="dxa"/>
            <w:vAlign w:val="top"/>
          </w:tcPr>
          <w:p w14:paraId="713B44E7">
            <w:pPr>
              <w:pStyle w:val="9"/>
              <w:spacing w:before="142" w:line="288" w:lineRule="auto"/>
              <w:ind w:left="112" w:right="107" w:firstLine="3"/>
            </w:pPr>
            <w:r>
              <w:rPr>
                <w:spacing w:val="-1"/>
              </w:rPr>
              <w:t>投标文件第一个信封（商务及技术文件）开标时间：同投标</w:t>
            </w:r>
            <w:r>
              <w:rPr>
                <w:spacing w:val="-2"/>
              </w:rPr>
              <w:t>截止时间</w:t>
            </w:r>
          </w:p>
        </w:tc>
      </w:tr>
    </w:tbl>
    <w:p w14:paraId="6EE64D79">
      <w:pPr>
        <w:spacing w:line="249" w:lineRule="auto"/>
        <w:rPr>
          <w:rFonts w:ascii="宋体" w:hAnsi="宋体" w:eastAsia="宋体" w:cs="宋体"/>
          <w:sz w:val="18"/>
          <w:szCs w:val="18"/>
        </w:rPr>
        <w:sectPr>
          <w:footerReference r:id="rId13" w:type="default"/>
          <w:pgSz w:w="11905" w:h="16840"/>
          <w:pgMar w:top="1182" w:right="1303" w:bottom="1171" w:left="1303" w:header="849" w:footer="936" w:gutter="0"/>
          <w:pgNumType w:fmt="decimal"/>
          <w:cols w:space="720" w:num="1"/>
        </w:sectPr>
      </w:pPr>
    </w:p>
    <w:p w14:paraId="2FC64A56">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4919D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7D10F5C6">
            <w:pPr>
              <w:pStyle w:val="9"/>
              <w:spacing w:before="181" w:line="220" w:lineRule="auto"/>
              <w:ind w:left="284"/>
            </w:pPr>
            <w:r>
              <w:rPr>
                <w:b/>
                <w:bCs/>
                <w:spacing w:val="-6"/>
              </w:rPr>
              <w:t>条款号</w:t>
            </w:r>
          </w:p>
        </w:tc>
        <w:tc>
          <w:tcPr>
            <w:tcW w:w="2443" w:type="dxa"/>
            <w:vAlign w:val="top"/>
          </w:tcPr>
          <w:p w14:paraId="3571BD77">
            <w:pPr>
              <w:pStyle w:val="9"/>
              <w:spacing w:before="181" w:line="220" w:lineRule="auto"/>
              <w:ind w:left="807"/>
            </w:pPr>
            <w:r>
              <w:rPr>
                <w:b/>
                <w:bCs/>
                <w:spacing w:val="-5"/>
              </w:rPr>
              <w:t>条款名称</w:t>
            </w:r>
          </w:p>
        </w:tc>
        <w:tc>
          <w:tcPr>
            <w:tcW w:w="5664" w:type="dxa"/>
            <w:vAlign w:val="top"/>
          </w:tcPr>
          <w:p w14:paraId="2495A184">
            <w:pPr>
              <w:pStyle w:val="9"/>
              <w:spacing w:before="181" w:line="220" w:lineRule="auto"/>
              <w:ind w:left="2417"/>
            </w:pPr>
            <w:r>
              <w:rPr>
                <w:b/>
                <w:bCs/>
                <w:spacing w:val="-5"/>
              </w:rPr>
              <w:t>编列内容</w:t>
            </w:r>
          </w:p>
        </w:tc>
      </w:tr>
      <w:tr w14:paraId="33A86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1185" w:type="dxa"/>
            <w:vAlign w:val="top"/>
          </w:tcPr>
          <w:p w14:paraId="51CB4320">
            <w:pPr>
              <w:rPr>
                <w:rFonts w:ascii="Arial"/>
                <w:sz w:val="21"/>
              </w:rPr>
            </w:pPr>
          </w:p>
        </w:tc>
        <w:tc>
          <w:tcPr>
            <w:tcW w:w="2443" w:type="dxa"/>
            <w:vAlign w:val="top"/>
          </w:tcPr>
          <w:p w14:paraId="76CD5E76">
            <w:pPr>
              <w:rPr>
                <w:rFonts w:ascii="Arial"/>
                <w:sz w:val="21"/>
              </w:rPr>
            </w:pPr>
          </w:p>
        </w:tc>
        <w:tc>
          <w:tcPr>
            <w:tcW w:w="5664" w:type="dxa"/>
            <w:vAlign w:val="top"/>
          </w:tcPr>
          <w:p w14:paraId="098FBB3D">
            <w:pPr>
              <w:pStyle w:val="9"/>
              <w:spacing w:before="139" w:line="351" w:lineRule="auto"/>
              <w:ind w:left="115" w:right="107"/>
            </w:pPr>
            <w:r>
              <w:rPr>
                <w:spacing w:val="-1"/>
              </w:rPr>
              <w:t>投标文件第一个信封（商务及技术文件）开标地点：同递交</w:t>
            </w:r>
            <w:r>
              <w:rPr>
                <w:spacing w:val="-2"/>
              </w:rPr>
              <w:t>投标文件地点</w:t>
            </w:r>
          </w:p>
          <w:p w14:paraId="719584C3">
            <w:pPr>
              <w:pStyle w:val="9"/>
              <w:spacing w:before="1" w:line="351" w:lineRule="auto"/>
              <w:ind w:left="114" w:right="107"/>
            </w:pPr>
            <w:r>
              <w:rPr>
                <w:spacing w:val="-9"/>
              </w:rPr>
              <w:t>投标文件第二个信封（报价文件）开标时间：</w:t>
            </w:r>
            <w:r>
              <w:rPr>
                <w:spacing w:val="-9"/>
                <w:u w:val="single" w:color="auto"/>
              </w:rPr>
              <w:t>第一个信封（商</w:t>
            </w:r>
            <w:r>
              <w:rPr>
                <w:spacing w:val="-1"/>
                <w:u w:val="single" w:color="auto"/>
              </w:rPr>
              <w:t>务及技术文件）评审结束后，另行通知</w:t>
            </w:r>
          </w:p>
          <w:p w14:paraId="2404FE4E">
            <w:pPr>
              <w:pStyle w:val="9"/>
              <w:spacing w:before="1" w:line="287" w:lineRule="auto"/>
              <w:ind w:left="112" w:right="107" w:firstLine="3"/>
            </w:pPr>
            <w:r>
              <w:rPr>
                <w:spacing w:val="-1"/>
              </w:rPr>
              <w:t>投标文件第二个信封（报价文件）开标地点：</w:t>
            </w:r>
            <w:r>
              <w:rPr>
                <w:spacing w:val="-1"/>
                <w:u w:val="single" w:color="auto"/>
              </w:rPr>
              <w:t>同递交投标文件地点，另行通知</w:t>
            </w:r>
          </w:p>
        </w:tc>
      </w:tr>
      <w:tr w14:paraId="30F03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8" w:hRule="atLeast"/>
        </w:trPr>
        <w:tc>
          <w:tcPr>
            <w:tcW w:w="1185" w:type="dxa"/>
            <w:vAlign w:val="top"/>
          </w:tcPr>
          <w:p w14:paraId="58AA5905">
            <w:pPr>
              <w:spacing w:line="252" w:lineRule="auto"/>
              <w:rPr>
                <w:rFonts w:ascii="Arial"/>
                <w:sz w:val="21"/>
              </w:rPr>
            </w:pPr>
          </w:p>
          <w:p w14:paraId="4AB7C8B0">
            <w:pPr>
              <w:spacing w:line="253" w:lineRule="auto"/>
              <w:rPr>
                <w:rFonts w:ascii="Arial"/>
                <w:sz w:val="21"/>
              </w:rPr>
            </w:pPr>
          </w:p>
          <w:p w14:paraId="4CCEB9A3">
            <w:pPr>
              <w:spacing w:line="253" w:lineRule="auto"/>
              <w:rPr>
                <w:rFonts w:ascii="Arial"/>
                <w:sz w:val="21"/>
              </w:rPr>
            </w:pPr>
          </w:p>
          <w:p w14:paraId="41610288">
            <w:pPr>
              <w:pStyle w:val="9"/>
              <w:spacing w:before="68" w:line="239" w:lineRule="auto"/>
              <w:ind w:left="338"/>
            </w:pPr>
            <w:r>
              <w:rPr>
                <w:spacing w:val="-3"/>
              </w:rPr>
              <w:t>5.2.1</w:t>
            </w:r>
          </w:p>
        </w:tc>
        <w:tc>
          <w:tcPr>
            <w:tcW w:w="2443" w:type="dxa"/>
            <w:vAlign w:val="top"/>
          </w:tcPr>
          <w:p w14:paraId="65D043B5">
            <w:pPr>
              <w:spacing w:line="262" w:lineRule="auto"/>
              <w:rPr>
                <w:rFonts w:ascii="Arial"/>
                <w:sz w:val="21"/>
              </w:rPr>
            </w:pPr>
          </w:p>
          <w:p w14:paraId="2FA7B26C">
            <w:pPr>
              <w:spacing w:line="262" w:lineRule="auto"/>
              <w:rPr>
                <w:rFonts w:ascii="Arial"/>
                <w:sz w:val="21"/>
              </w:rPr>
            </w:pPr>
          </w:p>
          <w:p w14:paraId="5BFAB415">
            <w:pPr>
              <w:pStyle w:val="9"/>
              <w:spacing w:before="69" w:line="414" w:lineRule="auto"/>
              <w:ind w:left="281" w:right="119" w:hanging="168"/>
            </w:pPr>
            <w:r>
              <w:rPr>
                <w:spacing w:val="-10"/>
              </w:rPr>
              <w:t>投标文件第一个信封（商</w:t>
            </w:r>
            <w:r>
              <w:rPr>
                <w:spacing w:val="-1"/>
              </w:rPr>
              <w:t>务及技术文件）开标</w:t>
            </w:r>
          </w:p>
        </w:tc>
        <w:tc>
          <w:tcPr>
            <w:tcW w:w="5664" w:type="dxa"/>
            <w:vAlign w:val="top"/>
          </w:tcPr>
          <w:p w14:paraId="39962020">
            <w:pPr>
              <w:pStyle w:val="9"/>
              <w:spacing w:before="128" w:line="382" w:lineRule="auto"/>
              <w:ind w:left="112" w:right="97" w:firstLine="6"/>
              <w:jc w:val="both"/>
              <w:rPr>
                <w:rFonts w:hint="eastAsia"/>
                <w:spacing w:val="3"/>
              </w:rPr>
            </w:pPr>
            <w:r>
              <w:rPr>
                <w:rFonts w:hint="eastAsia"/>
                <w:spacing w:val="3"/>
              </w:rPr>
              <w:t>1、开标由招标人（或其委托的招标代理机构）主持，邀请所有投标人参加。</w:t>
            </w:r>
          </w:p>
          <w:p w14:paraId="2D6D6C52">
            <w:pPr>
              <w:pStyle w:val="9"/>
              <w:spacing w:before="128" w:line="382" w:lineRule="auto"/>
              <w:ind w:left="112" w:right="97" w:firstLine="6"/>
              <w:jc w:val="both"/>
              <w:rPr>
                <w:rFonts w:hint="eastAsia"/>
                <w:spacing w:val="3"/>
              </w:rPr>
            </w:pPr>
            <w:r>
              <w:rPr>
                <w:rFonts w:hint="eastAsia"/>
                <w:spacing w:val="3"/>
              </w:rPr>
              <w:t>2、电子开标按照招标文件确定的时间进行开标，在云浮市公共资源交易服务平台上公开进行，所有投标人均应准时参加线上开标。开标时，云浮市公共资源交易服务平台自动提取所有投标文件，由招标人/招标代理机构和各投标人对在投标截止时间前成功提交的第一个信封（商务及技术文件）投标文件按时在线解密【需用单位的CA锁（或粤企签）进行在线解密，在线解密须在【30】分钟内完成，限时未完成解密的，作解密失败处理】。解密全部完成后，向所有投标人公布投标人名称、工期和招标文件规定的其他内容。不参加线上开标会议的，致使其投标文件无法有效解密的，视为投标人撤销其投标文件和放弃投标文件解密失败补救权利。</w:t>
            </w:r>
          </w:p>
          <w:p w14:paraId="5254714D">
            <w:pPr>
              <w:pStyle w:val="9"/>
              <w:spacing w:before="128" w:line="382" w:lineRule="auto"/>
              <w:ind w:left="112" w:right="97" w:firstLine="6"/>
              <w:jc w:val="both"/>
              <w:rPr>
                <w:rFonts w:hint="eastAsia"/>
                <w:spacing w:val="3"/>
              </w:rPr>
            </w:pPr>
            <w:r>
              <w:rPr>
                <w:rFonts w:hint="eastAsia"/>
                <w:spacing w:val="3"/>
              </w:rPr>
              <w:t>3、通过云浮市公共资源交易服务平台查询投标保证金的到账及电子保函（保险）的购买及出函情况。若选择“信用承诺制”替代投标保证金，应在投标文件中附具“信用承诺书”</w:t>
            </w:r>
          </w:p>
          <w:p w14:paraId="501531C7">
            <w:pPr>
              <w:pStyle w:val="9"/>
              <w:spacing w:before="128" w:line="382" w:lineRule="auto"/>
              <w:ind w:left="112" w:right="97" w:firstLine="6"/>
              <w:jc w:val="both"/>
              <w:rPr>
                <w:rFonts w:hint="eastAsia"/>
                <w:spacing w:val="3"/>
              </w:rPr>
            </w:pPr>
            <w:r>
              <w:rPr>
                <w:rFonts w:hint="eastAsia"/>
                <w:spacing w:val="3"/>
              </w:rPr>
              <w:t>4、各投标人法定代表人或授权委托人用单位的CA锁（或粤企签）进行在线确认开标结果；不参加线上开标会议的，视同默认开标结果和放弃在开标会提出异议的权利。开标会议结束后，各投标人代表应保持通讯设备畅通，及时关注交易平台信息提示并作出处理。招标人（或招标代理机构）对开标若出现异常情况作出说明并记录在案。</w:t>
            </w:r>
          </w:p>
          <w:p w14:paraId="422FE38C">
            <w:pPr>
              <w:pStyle w:val="9"/>
              <w:spacing w:before="128" w:line="382" w:lineRule="auto"/>
              <w:ind w:left="112" w:right="97" w:firstLine="6"/>
              <w:jc w:val="both"/>
              <w:rPr>
                <w:rFonts w:hint="eastAsia"/>
                <w:spacing w:val="3"/>
              </w:rPr>
            </w:pPr>
            <w:r>
              <w:rPr>
                <w:rFonts w:hint="eastAsia"/>
                <w:spacing w:val="3"/>
              </w:rPr>
              <w:t>5、由评标委员会根据招标文件和有关招投标的法规对各投标人的投标文件进行封闭评审。</w:t>
            </w:r>
          </w:p>
          <w:p w14:paraId="766C9493">
            <w:pPr>
              <w:pStyle w:val="9"/>
              <w:spacing w:before="128" w:line="382" w:lineRule="auto"/>
              <w:ind w:left="112" w:right="97" w:firstLine="6"/>
              <w:jc w:val="both"/>
              <w:rPr>
                <w:rFonts w:hint="eastAsia"/>
                <w:spacing w:val="3"/>
              </w:rPr>
            </w:pPr>
            <w:r>
              <w:rPr>
                <w:rFonts w:hint="eastAsia"/>
                <w:spacing w:val="3"/>
              </w:rPr>
              <w:t>6、评标委员会按招标文件确定的评标标准和方法，对投标文件进行评审，并确定通过第一个信封（商务及技术文件）评审的投标人。</w:t>
            </w:r>
          </w:p>
        </w:tc>
      </w:tr>
      <w:tr w14:paraId="56CF0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185" w:type="dxa"/>
            <w:vAlign w:val="top"/>
          </w:tcPr>
          <w:p w14:paraId="02941814">
            <w:pPr>
              <w:spacing w:line="252" w:lineRule="auto"/>
              <w:rPr>
                <w:rFonts w:ascii="Arial"/>
                <w:sz w:val="21"/>
              </w:rPr>
            </w:pPr>
          </w:p>
          <w:p w14:paraId="4ABAA1E1">
            <w:pPr>
              <w:spacing w:line="253" w:lineRule="auto"/>
              <w:rPr>
                <w:rFonts w:ascii="Arial"/>
                <w:sz w:val="21"/>
              </w:rPr>
            </w:pPr>
          </w:p>
          <w:p w14:paraId="12B703B1">
            <w:pPr>
              <w:spacing w:line="253" w:lineRule="auto"/>
              <w:rPr>
                <w:rFonts w:ascii="Arial"/>
                <w:sz w:val="21"/>
              </w:rPr>
            </w:pPr>
          </w:p>
          <w:p w14:paraId="4CCBE21B">
            <w:pPr>
              <w:pStyle w:val="9"/>
              <w:spacing w:before="68" w:line="239" w:lineRule="auto"/>
              <w:ind w:left="338"/>
            </w:pPr>
            <w:r>
              <w:rPr>
                <w:spacing w:val="-3"/>
              </w:rPr>
              <w:t>5.2.3</w:t>
            </w:r>
          </w:p>
        </w:tc>
        <w:tc>
          <w:tcPr>
            <w:tcW w:w="2443" w:type="dxa"/>
            <w:vAlign w:val="top"/>
          </w:tcPr>
          <w:p w14:paraId="0A6BCF43">
            <w:pPr>
              <w:spacing w:line="262" w:lineRule="auto"/>
              <w:rPr>
                <w:rFonts w:ascii="Arial"/>
                <w:sz w:val="21"/>
              </w:rPr>
            </w:pPr>
          </w:p>
          <w:p w14:paraId="7EC838EB">
            <w:pPr>
              <w:spacing w:line="263" w:lineRule="auto"/>
              <w:rPr>
                <w:rFonts w:ascii="Arial"/>
                <w:sz w:val="21"/>
              </w:rPr>
            </w:pPr>
          </w:p>
          <w:p w14:paraId="20E105D4">
            <w:pPr>
              <w:pStyle w:val="9"/>
              <w:spacing w:before="68" w:line="413" w:lineRule="auto"/>
              <w:ind w:left="596" w:right="115" w:hanging="483"/>
            </w:pPr>
            <w:r>
              <w:rPr>
                <w:spacing w:val="-10"/>
              </w:rPr>
              <w:t>投标文件第二个信封（报</w:t>
            </w:r>
            <w:r>
              <w:rPr>
                <w:spacing w:val="-2"/>
              </w:rPr>
              <w:t>价文件）开标</w:t>
            </w:r>
          </w:p>
        </w:tc>
        <w:tc>
          <w:tcPr>
            <w:tcW w:w="5664" w:type="dxa"/>
            <w:vAlign w:val="top"/>
          </w:tcPr>
          <w:p w14:paraId="5AB75B29">
            <w:pPr>
              <w:pStyle w:val="9"/>
              <w:spacing w:before="127" w:line="382" w:lineRule="auto"/>
              <w:ind w:left="112" w:right="105" w:firstLine="6"/>
              <w:jc w:val="both"/>
              <w:rPr>
                <w:rFonts w:hint="eastAsia"/>
                <w:spacing w:val="3"/>
              </w:rPr>
            </w:pPr>
            <w:r>
              <w:rPr>
                <w:rFonts w:hint="eastAsia"/>
                <w:spacing w:val="3"/>
              </w:rPr>
              <w:t>1、开标由招标人（或其委托的招标代理机构）主持，邀请通过第一个信封（商务及技术文件）评审的投标人参加第二个信封（报价文件）的线上开标会议。</w:t>
            </w:r>
          </w:p>
          <w:p w14:paraId="1C181FE3">
            <w:pPr>
              <w:pStyle w:val="9"/>
              <w:spacing w:before="127" w:line="382" w:lineRule="auto"/>
              <w:ind w:left="112" w:right="105" w:firstLine="6"/>
              <w:jc w:val="both"/>
              <w:rPr>
                <w:rFonts w:hint="eastAsia"/>
                <w:spacing w:val="3"/>
              </w:rPr>
            </w:pPr>
            <w:r>
              <w:rPr>
                <w:rFonts w:hint="eastAsia"/>
                <w:spacing w:val="3"/>
              </w:rPr>
              <w:t>2、电子开标按照招标文件确定的时间进行开标，在云浮市公共资源交易服务平台上公开进行，所有通过第一个信封（商务及技术文件）评审的投标人均应准时参加线上开标。开标时，云浮市公共资源交易服务平台自动提取所有投标文件，由招标人/招标代理机构和各通过第一个信封（商务及技术文件）评审的投标人对在投标截止时间前成功提交的第二个信封（报价文件）投标文件按时在线解密【需用单位的CA锁（或粤企签）进行在线解密，在线解密须在【30】分钟内完成，限时未完成解密的，作解密失败处理】。解密全部完成后，向所有投标人公布投标人名称、投标价格和招标文件规定的其他内容。不参加线上开标会议的，致使其投标文件无法有效解密的，视为投标人撤销其投标文件和放弃投标文件解密失败补救权利。</w:t>
            </w:r>
          </w:p>
          <w:p w14:paraId="163C29EE">
            <w:pPr>
              <w:pStyle w:val="9"/>
              <w:spacing w:before="127" w:line="382" w:lineRule="auto"/>
              <w:ind w:left="112" w:right="105" w:firstLine="6"/>
              <w:jc w:val="both"/>
              <w:rPr>
                <w:rFonts w:hint="eastAsia"/>
                <w:spacing w:val="3"/>
              </w:rPr>
            </w:pPr>
            <w:r>
              <w:rPr>
                <w:rFonts w:hint="eastAsia"/>
                <w:spacing w:val="3"/>
              </w:rPr>
              <w:t>3、各投标人法定代表人或授权委托人用单位的CA锁（或粤企签）进行在线确认开标结果；不参加线上开标会议的，视同默认开标结果和放弃在开标会提出异议的权利。开标会议结束后，各投标人代表应保持通讯设备畅通，及时关注交易平台信息提示并作出处理。招标人（或招标代理机构）对开标若出现异常情况作出说明并记录在案。</w:t>
            </w:r>
          </w:p>
          <w:p w14:paraId="4C7F83F3">
            <w:pPr>
              <w:pStyle w:val="9"/>
              <w:spacing w:before="127" w:line="382" w:lineRule="auto"/>
              <w:ind w:left="112" w:right="105" w:firstLine="6"/>
              <w:jc w:val="both"/>
              <w:rPr>
                <w:rFonts w:hint="eastAsia"/>
                <w:spacing w:val="3"/>
              </w:rPr>
            </w:pPr>
            <w:r>
              <w:rPr>
                <w:rFonts w:hint="eastAsia"/>
                <w:spacing w:val="3"/>
              </w:rPr>
              <w:t>4、由评标委员会根据招标文件和有关招投标的法规对各投标人的投标文件进行封闭评审。</w:t>
            </w:r>
          </w:p>
          <w:p w14:paraId="280D31C3">
            <w:pPr>
              <w:pStyle w:val="9"/>
              <w:spacing w:before="127" w:line="382" w:lineRule="auto"/>
              <w:ind w:left="112" w:right="105" w:firstLine="6"/>
              <w:jc w:val="both"/>
            </w:pPr>
            <w:r>
              <w:rPr>
                <w:rFonts w:hint="eastAsia"/>
                <w:spacing w:val="3"/>
              </w:rPr>
              <w:t>5、评标委员会按招标文件确定的评标标准和方法，对投标文件进行评审，确定中标候选人推荐顺序，并对评标结果予以公示。</w:t>
            </w:r>
          </w:p>
        </w:tc>
      </w:tr>
      <w:tr w14:paraId="3B6F7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1185" w:type="dxa"/>
            <w:vAlign w:val="top"/>
          </w:tcPr>
          <w:p w14:paraId="3A9E1E47">
            <w:pPr>
              <w:spacing w:line="334" w:lineRule="auto"/>
              <w:rPr>
                <w:rFonts w:ascii="Arial"/>
                <w:sz w:val="21"/>
              </w:rPr>
            </w:pPr>
          </w:p>
          <w:p w14:paraId="19B34266">
            <w:pPr>
              <w:spacing w:line="335" w:lineRule="auto"/>
              <w:rPr>
                <w:rFonts w:ascii="Arial"/>
                <w:sz w:val="21"/>
              </w:rPr>
            </w:pPr>
          </w:p>
          <w:p w14:paraId="67BAFE9B">
            <w:pPr>
              <w:pStyle w:val="9"/>
              <w:spacing w:before="68" w:line="239" w:lineRule="auto"/>
              <w:ind w:left="336"/>
            </w:pPr>
            <w:r>
              <w:rPr>
                <w:spacing w:val="-2"/>
              </w:rPr>
              <w:t>6.1.1</w:t>
            </w:r>
          </w:p>
        </w:tc>
        <w:tc>
          <w:tcPr>
            <w:tcW w:w="2443" w:type="dxa"/>
            <w:vAlign w:val="top"/>
          </w:tcPr>
          <w:p w14:paraId="584AFE04">
            <w:pPr>
              <w:spacing w:line="326" w:lineRule="auto"/>
              <w:rPr>
                <w:rFonts w:ascii="Arial"/>
                <w:sz w:val="21"/>
              </w:rPr>
            </w:pPr>
          </w:p>
          <w:p w14:paraId="73796C6D">
            <w:pPr>
              <w:spacing w:line="327" w:lineRule="auto"/>
              <w:rPr>
                <w:rFonts w:ascii="Arial"/>
                <w:sz w:val="21"/>
              </w:rPr>
            </w:pPr>
          </w:p>
          <w:p w14:paraId="6BF69B85">
            <w:pPr>
              <w:pStyle w:val="9"/>
              <w:spacing w:before="68" w:line="233" w:lineRule="auto"/>
              <w:ind w:left="331"/>
              <w:rPr>
                <w:rFonts w:hint="eastAsia" w:eastAsia="宋体"/>
                <w:sz w:val="10"/>
                <w:szCs w:val="10"/>
                <w:lang w:eastAsia="zh-CN"/>
              </w:rPr>
            </w:pPr>
            <w:r>
              <w:rPr>
                <w:spacing w:val="-1"/>
              </w:rPr>
              <w:t>评标委员会的组建</w:t>
            </w:r>
          </w:p>
        </w:tc>
        <w:tc>
          <w:tcPr>
            <w:tcW w:w="5664" w:type="dxa"/>
            <w:vAlign w:val="top"/>
          </w:tcPr>
          <w:p w14:paraId="10306A78">
            <w:pPr>
              <w:pStyle w:val="9"/>
              <w:spacing w:before="140" w:line="352" w:lineRule="auto"/>
              <w:ind w:left="113" w:right="107" w:hanging="1"/>
              <w:jc w:val="both"/>
            </w:pPr>
            <w:r>
              <w:rPr>
                <w:spacing w:val="-1"/>
              </w:rPr>
              <w:t>评标委员会构成：</w:t>
            </w:r>
            <w:r>
              <w:rPr>
                <w:rFonts w:hint="eastAsia"/>
                <w:spacing w:val="-1"/>
                <w:u w:val="single" w:color="auto"/>
                <w:lang w:val="en-US" w:eastAsia="zh-CN"/>
              </w:rPr>
              <w:t>7</w:t>
            </w:r>
            <w:r>
              <w:rPr>
                <w:spacing w:val="-1"/>
              </w:rPr>
              <w:t>人，评标委员会由招标人代表和有关专家组成，其中技术、经济等方面的专家不得少于成员总数</w:t>
            </w:r>
            <w:r>
              <w:rPr>
                <w:spacing w:val="-6"/>
              </w:rPr>
              <w:t>的三分之二。</w:t>
            </w:r>
          </w:p>
          <w:p w14:paraId="59BC1763">
            <w:pPr>
              <w:pStyle w:val="9"/>
              <w:spacing w:line="218" w:lineRule="auto"/>
            </w:pPr>
            <w:r>
              <w:rPr>
                <w:spacing w:val="-2"/>
              </w:rPr>
              <w:t>评标专家确定方式：依法从相应评标专家库中随机抽取。</w:t>
            </w:r>
          </w:p>
        </w:tc>
      </w:tr>
      <w:tr w14:paraId="668DA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185" w:type="dxa"/>
            <w:vAlign w:val="top"/>
          </w:tcPr>
          <w:p w14:paraId="44968192">
            <w:pPr>
              <w:spacing w:line="271" w:lineRule="auto"/>
              <w:rPr>
                <w:rFonts w:ascii="Arial"/>
                <w:sz w:val="21"/>
              </w:rPr>
            </w:pPr>
          </w:p>
          <w:p w14:paraId="789F93AA">
            <w:pPr>
              <w:pStyle w:val="9"/>
              <w:spacing w:before="68" w:line="239" w:lineRule="auto"/>
              <w:ind w:left="336"/>
            </w:pPr>
            <w:r>
              <w:rPr>
                <w:spacing w:val="-2"/>
              </w:rPr>
              <w:t>6.3.2</w:t>
            </w:r>
          </w:p>
        </w:tc>
        <w:tc>
          <w:tcPr>
            <w:tcW w:w="2443" w:type="dxa"/>
            <w:vAlign w:val="top"/>
          </w:tcPr>
          <w:p w14:paraId="15331107">
            <w:pPr>
              <w:pStyle w:val="9"/>
              <w:spacing w:before="141" w:line="287" w:lineRule="auto"/>
              <w:ind w:left="698" w:right="170" w:hanging="524"/>
            </w:pPr>
            <w:r>
              <w:rPr>
                <w:spacing w:val="-1"/>
              </w:rPr>
              <w:t>评标委员会推荐中标候</w:t>
            </w:r>
            <w:r>
              <w:rPr>
                <w:spacing w:val="-2"/>
              </w:rPr>
              <w:t>选人的人数</w:t>
            </w:r>
          </w:p>
        </w:tc>
        <w:tc>
          <w:tcPr>
            <w:tcW w:w="5664" w:type="dxa"/>
            <w:vAlign w:val="top"/>
          </w:tcPr>
          <w:p w14:paraId="2CBE800B">
            <w:pPr>
              <w:spacing w:line="256" w:lineRule="auto"/>
              <w:rPr>
                <w:rFonts w:ascii="Arial"/>
                <w:sz w:val="21"/>
              </w:rPr>
            </w:pPr>
          </w:p>
          <w:p w14:paraId="77D5D88E">
            <w:pPr>
              <w:pStyle w:val="9"/>
              <w:spacing w:before="68" w:line="232" w:lineRule="auto"/>
              <w:ind w:left="118"/>
            </w:pPr>
            <w:r>
              <w:rPr>
                <w:spacing w:val="-1"/>
              </w:rPr>
              <w:t>原则上</w:t>
            </w:r>
            <w:r>
              <w:rPr>
                <w:spacing w:val="-1"/>
                <w:u w:val="single" w:color="auto"/>
              </w:rPr>
              <w:t xml:space="preserve"> 3 </w:t>
            </w:r>
            <w:r>
              <w:rPr>
                <w:spacing w:val="-1"/>
              </w:rPr>
              <w:t>名（评标办法规定的特殊情况按实际数量推荐）</w:t>
            </w:r>
          </w:p>
        </w:tc>
      </w:tr>
      <w:tr w14:paraId="264E4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185" w:type="dxa"/>
            <w:vAlign w:val="top"/>
          </w:tcPr>
          <w:p w14:paraId="1AE26F93">
            <w:pPr>
              <w:spacing w:line="266" w:lineRule="auto"/>
              <w:rPr>
                <w:rFonts w:ascii="Arial"/>
                <w:sz w:val="21"/>
              </w:rPr>
            </w:pPr>
          </w:p>
          <w:p w14:paraId="6201AAF1">
            <w:pPr>
              <w:spacing w:line="267" w:lineRule="auto"/>
              <w:rPr>
                <w:rFonts w:ascii="Arial"/>
                <w:sz w:val="21"/>
              </w:rPr>
            </w:pPr>
          </w:p>
          <w:p w14:paraId="7C4E5B34">
            <w:pPr>
              <w:spacing w:line="267" w:lineRule="auto"/>
              <w:rPr>
                <w:rFonts w:ascii="Arial"/>
                <w:sz w:val="21"/>
              </w:rPr>
            </w:pPr>
          </w:p>
          <w:p w14:paraId="33A504CC">
            <w:pPr>
              <w:spacing w:line="267" w:lineRule="auto"/>
              <w:rPr>
                <w:rFonts w:ascii="Arial"/>
                <w:sz w:val="21"/>
              </w:rPr>
            </w:pPr>
          </w:p>
          <w:p w14:paraId="4162FF9A">
            <w:pPr>
              <w:pStyle w:val="9"/>
              <w:spacing w:before="69" w:line="239" w:lineRule="auto"/>
              <w:ind w:left="445" w:leftChars="0"/>
              <w:rPr>
                <w:spacing w:val="-2"/>
              </w:rPr>
            </w:pPr>
            <w:r>
              <w:rPr>
                <w:spacing w:val="-5"/>
              </w:rPr>
              <w:t>7.1</w:t>
            </w:r>
          </w:p>
        </w:tc>
        <w:tc>
          <w:tcPr>
            <w:tcW w:w="2443" w:type="dxa"/>
            <w:vAlign w:val="top"/>
          </w:tcPr>
          <w:p w14:paraId="774081C9">
            <w:pPr>
              <w:spacing w:line="289" w:lineRule="auto"/>
              <w:rPr>
                <w:rFonts w:ascii="Arial"/>
                <w:sz w:val="21"/>
              </w:rPr>
            </w:pPr>
          </w:p>
          <w:p w14:paraId="20E32EDC">
            <w:pPr>
              <w:spacing w:line="289" w:lineRule="auto"/>
              <w:rPr>
                <w:rFonts w:ascii="Arial"/>
                <w:sz w:val="21"/>
              </w:rPr>
            </w:pPr>
          </w:p>
          <w:p w14:paraId="552A9D54">
            <w:pPr>
              <w:spacing w:line="290" w:lineRule="auto"/>
              <w:rPr>
                <w:rFonts w:ascii="Arial"/>
                <w:sz w:val="21"/>
              </w:rPr>
            </w:pPr>
          </w:p>
          <w:p w14:paraId="206BF7F4">
            <w:pPr>
              <w:pStyle w:val="9"/>
              <w:spacing w:before="68" w:line="219" w:lineRule="auto"/>
              <w:ind w:left="195"/>
            </w:pPr>
            <w:r>
              <w:rPr>
                <w:spacing w:val="-3"/>
              </w:rPr>
              <w:t>中标候选人公示媒介及</w:t>
            </w:r>
          </w:p>
          <w:p w14:paraId="4BBFB18F">
            <w:pPr>
              <w:pStyle w:val="9"/>
              <w:spacing w:before="150" w:line="220" w:lineRule="auto"/>
              <w:ind w:left="1017" w:leftChars="0"/>
              <w:rPr>
                <w:spacing w:val="-1"/>
              </w:rPr>
            </w:pPr>
            <w:r>
              <w:rPr>
                <w:spacing w:val="-3"/>
              </w:rPr>
              <w:t>期限</w:t>
            </w:r>
          </w:p>
        </w:tc>
        <w:tc>
          <w:tcPr>
            <w:tcW w:w="5664" w:type="dxa"/>
            <w:vAlign w:val="top"/>
          </w:tcPr>
          <w:p w14:paraId="71B688BD">
            <w:pPr>
              <w:pStyle w:val="9"/>
              <w:spacing w:before="142" w:line="345" w:lineRule="auto"/>
              <w:ind w:left="132" w:right="145" w:hanging="13"/>
              <w:rPr>
                <w:spacing w:val="-5"/>
                <w:u w:val="single" w:color="auto"/>
              </w:rPr>
            </w:pPr>
            <w:r>
              <w:rPr>
                <w:spacing w:val="-5"/>
              </w:rPr>
              <w:t>公示媒介：广东省招标投标监管网、</w:t>
            </w:r>
            <w:r>
              <w:rPr>
                <w:rFonts w:hint="eastAsia"/>
                <w:spacing w:val="-5"/>
                <w:u w:val="single" w:color="auto"/>
              </w:rPr>
              <w:t>云浮市公共资源交易服务平台、广东省公共资源交易平台</w:t>
            </w:r>
          </w:p>
          <w:p w14:paraId="154CCB44">
            <w:pPr>
              <w:pStyle w:val="9"/>
              <w:spacing w:before="142" w:line="345" w:lineRule="auto"/>
              <w:ind w:left="132" w:right="145" w:hanging="13"/>
              <w:rPr>
                <w:spacing w:val="-5"/>
              </w:rPr>
            </w:pPr>
            <w:r>
              <w:rPr>
                <w:spacing w:val="-7"/>
              </w:rPr>
              <w:t>公示期限：</w:t>
            </w:r>
            <w:r>
              <w:rPr>
                <w:spacing w:val="-7"/>
                <w:u w:val="single" w:color="auto"/>
              </w:rPr>
              <w:t>3</w:t>
            </w:r>
            <w:r>
              <w:rPr>
                <w:spacing w:val="-53"/>
                <w:u w:val="single" w:color="auto"/>
              </w:rPr>
              <w:t xml:space="preserve"> </w:t>
            </w:r>
            <w:r>
              <w:rPr>
                <w:spacing w:val="-61"/>
              </w:rPr>
              <w:t xml:space="preserve"> </w:t>
            </w:r>
            <w:r>
              <w:rPr>
                <w:spacing w:val="-7"/>
              </w:rPr>
              <w:t>日</w:t>
            </w:r>
            <w:r>
              <w:rPr>
                <w:rFonts w:hint="eastAsia"/>
                <w:spacing w:val="-5"/>
              </w:rPr>
              <w:t>【根据《民法典》第二百零三条，期间的最后一日是法定休假日的，公示期限应当延长至法定休假日结束的次日</w:t>
            </w:r>
            <w:r>
              <w:rPr>
                <w:rFonts w:hint="eastAsia"/>
                <w:spacing w:val="-5"/>
                <w:lang w:eastAsia="zh-CN"/>
              </w:rPr>
              <w:t>】</w:t>
            </w:r>
          </w:p>
          <w:p w14:paraId="52A46526">
            <w:pPr>
              <w:pStyle w:val="9"/>
              <w:spacing w:before="136" w:line="313" w:lineRule="auto"/>
              <w:ind w:left="112" w:right="107" w:firstLine="7"/>
              <w:jc w:val="both"/>
              <w:rPr>
                <w:rFonts w:hint="default"/>
                <w:spacing w:val="-2"/>
                <w:lang w:val="en-US"/>
              </w:rPr>
            </w:pPr>
            <w:r>
              <w:rPr>
                <w:spacing w:val="-2"/>
              </w:rPr>
              <w:t>公示的其他内容：</w:t>
            </w:r>
            <w:r>
              <w:rPr>
                <w:rFonts w:hint="eastAsia"/>
                <w:spacing w:val="-2"/>
                <w:lang w:val="en-US" w:eastAsia="zh-CN"/>
              </w:rPr>
              <w:t>1、中标候选人的投标文件、评标报告（含资审结果）、最新年度 AA、A 级投标人的信用等级使用情况及所有承诺使用最新年度 AA、A 级投标人的年度信用等级使用情况</w:t>
            </w:r>
          </w:p>
          <w:p w14:paraId="518FDDE1">
            <w:pPr>
              <w:pStyle w:val="9"/>
              <w:spacing w:before="136" w:line="313" w:lineRule="auto"/>
              <w:ind w:left="112" w:leftChars="0" w:right="107" w:rightChars="0" w:firstLine="7" w:firstLineChars="0"/>
              <w:jc w:val="both"/>
              <w:rPr>
                <w:spacing w:val="-1"/>
              </w:rPr>
            </w:pPr>
          </w:p>
        </w:tc>
      </w:tr>
    </w:tbl>
    <w:p w14:paraId="05CE5030">
      <w:pPr>
        <w:pStyle w:val="2"/>
        <w:spacing w:line="280" w:lineRule="auto"/>
      </w:pPr>
    </w:p>
    <w:p w14:paraId="65651414">
      <w:r>
        <w:br w:type="page"/>
      </w:r>
    </w:p>
    <w:p w14:paraId="095FD42C">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4F086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45310F6C">
            <w:pPr>
              <w:pStyle w:val="9"/>
              <w:spacing w:before="181" w:line="220" w:lineRule="auto"/>
              <w:ind w:left="284"/>
            </w:pPr>
            <w:r>
              <w:rPr>
                <w:b/>
                <w:bCs/>
                <w:spacing w:val="-6"/>
              </w:rPr>
              <w:t>条款号</w:t>
            </w:r>
          </w:p>
        </w:tc>
        <w:tc>
          <w:tcPr>
            <w:tcW w:w="2443" w:type="dxa"/>
            <w:vAlign w:val="top"/>
          </w:tcPr>
          <w:p w14:paraId="5A45A3B5">
            <w:pPr>
              <w:pStyle w:val="9"/>
              <w:spacing w:before="181" w:line="220" w:lineRule="auto"/>
              <w:ind w:left="807"/>
            </w:pPr>
            <w:r>
              <w:rPr>
                <w:b/>
                <w:bCs/>
                <w:spacing w:val="-5"/>
              </w:rPr>
              <w:t>条款名称</w:t>
            </w:r>
          </w:p>
        </w:tc>
        <w:tc>
          <w:tcPr>
            <w:tcW w:w="5664" w:type="dxa"/>
            <w:vAlign w:val="top"/>
          </w:tcPr>
          <w:p w14:paraId="01070867">
            <w:pPr>
              <w:pStyle w:val="9"/>
              <w:spacing w:before="181" w:line="220" w:lineRule="auto"/>
              <w:ind w:left="2417"/>
            </w:pPr>
            <w:r>
              <w:rPr>
                <w:b/>
                <w:bCs/>
                <w:spacing w:val="-5"/>
              </w:rPr>
              <w:t>编列内容</w:t>
            </w:r>
          </w:p>
        </w:tc>
      </w:tr>
      <w:tr w14:paraId="144A2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185" w:type="dxa"/>
            <w:vAlign w:val="top"/>
          </w:tcPr>
          <w:p w14:paraId="3F46E407">
            <w:pPr>
              <w:spacing w:line="268" w:lineRule="auto"/>
              <w:rPr>
                <w:rFonts w:ascii="Arial"/>
                <w:sz w:val="21"/>
              </w:rPr>
            </w:pPr>
          </w:p>
          <w:p w14:paraId="173221CD">
            <w:pPr>
              <w:pStyle w:val="9"/>
              <w:spacing w:before="68" w:line="239" w:lineRule="auto"/>
              <w:ind w:left="445"/>
            </w:pPr>
            <w:r>
              <w:rPr>
                <w:spacing w:val="-5"/>
              </w:rPr>
              <w:t>7.4</w:t>
            </w:r>
          </w:p>
        </w:tc>
        <w:tc>
          <w:tcPr>
            <w:tcW w:w="2443" w:type="dxa"/>
            <w:vAlign w:val="top"/>
          </w:tcPr>
          <w:p w14:paraId="20DDD6D0">
            <w:pPr>
              <w:pStyle w:val="9"/>
              <w:spacing w:before="138" w:line="288" w:lineRule="auto"/>
              <w:ind w:left="809" w:right="170" w:hanging="631"/>
            </w:pPr>
            <w:r>
              <w:rPr>
                <w:spacing w:val="-2"/>
              </w:rPr>
              <w:t>是否授权评标委员会确</w:t>
            </w:r>
            <w:r>
              <w:rPr>
                <w:spacing w:val="-3"/>
              </w:rPr>
              <w:t>定中标人</w:t>
            </w:r>
          </w:p>
        </w:tc>
        <w:tc>
          <w:tcPr>
            <w:tcW w:w="5664" w:type="dxa"/>
            <w:vAlign w:val="top"/>
          </w:tcPr>
          <w:p w14:paraId="772B2D48">
            <w:pPr>
              <w:pStyle w:val="9"/>
              <w:spacing w:before="138" w:line="223" w:lineRule="auto"/>
              <w:ind w:left="134"/>
            </w:pPr>
            <w:r>
              <w:rPr>
                <w:spacing w:val="-8"/>
              </w:rPr>
              <w:t>□是</w:t>
            </w:r>
          </w:p>
          <w:p w14:paraId="1251FCD7">
            <w:pPr>
              <w:pStyle w:val="9"/>
              <w:spacing w:before="146" w:line="220" w:lineRule="auto"/>
              <w:ind w:left="134"/>
            </w:pPr>
            <w:r>
              <w:rPr>
                <w:rFonts w:hint="eastAsia"/>
                <w:spacing w:val="-8"/>
                <w:lang w:eastAsia="zh-CN"/>
              </w:rPr>
              <w:t>☑</w:t>
            </w:r>
            <w:r>
              <w:rPr>
                <w:spacing w:val="-8"/>
              </w:rPr>
              <w:t>否</w:t>
            </w:r>
          </w:p>
        </w:tc>
      </w:tr>
      <w:tr w14:paraId="4E9F4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1185" w:type="dxa"/>
            <w:vAlign w:val="top"/>
          </w:tcPr>
          <w:p w14:paraId="06E7E296">
            <w:pPr>
              <w:spacing w:line="348" w:lineRule="auto"/>
              <w:rPr>
                <w:rFonts w:ascii="Arial"/>
                <w:sz w:val="21"/>
              </w:rPr>
            </w:pPr>
          </w:p>
          <w:p w14:paraId="5EBF5E2C">
            <w:pPr>
              <w:spacing w:line="349" w:lineRule="auto"/>
              <w:rPr>
                <w:rFonts w:ascii="Arial"/>
                <w:sz w:val="21"/>
              </w:rPr>
            </w:pPr>
          </w:p>
          <w:p w14:paraId="7E322A37">
            <w:pPr>
              <w:pStyle w:val="9"/>
              <w:spacing w:before="68" w:line="239" w:lineRule="auto"/>
              <w:ind w:left="445"/>
            </w:pPr>
            <w:r>
              <w:rPr>
                <w:spacing w:val="-5"/>
              </w:rPr>
              <w:t>7.5</w:t>
            </w:r>
          </w:p>
        </w:tc>
        <w:tc>
          <w:tcPr>
            <w:tcW w:w="2443" w:type="dxa"/>
            <w:vAlign w:val="top"/>
          </w:tcPr>
          <w:p w14:paraId="1285F90F">
            <w:pPr>
              <w:spacing w:line="248" w:lineRule="auto"/>
              <w:rPr>
                <w:rFonts w:ascii="Arial"/>
                <w:sz w:val="21"/>
              </w:rPr>
            </w:pPr>
          </w:p>
          <w:p w14:paraId="3C56E4FC">
            <w:pPr>
              <w:spacing w:line="249" w:lineRule="auto"/>
              <w:rPr>
                <w:rFonts w:ascii="Arial"/>
                <w:sz w:val="21"/>
              </w:rPr>
            </w:pPr>
          </w:p>
          <w:p w14:paraId="5F759A17">
            <w:pPr>
              <w:pStyle w:val="9"/>
              <w:spacing w:before="68" w:line="354" w:lineRule="auto"/>
              <w:ind w:left="489" w:right="170" w:hanging="294"/>
            </w:pPr>
            <w:r>
              <w:rPr>
                <w:spacing w:val="-3"/>
              </w:rPr>
              <w:t>中标通知书和中标结果</w:t>
            </w:r>
            <w:r>
              <w:rPr>
                <w:spacing w:val="-2"/>
              </w:rPr>
              <w:t>通知发出的形式</w:t>
            </w:r>
          </w:p>
        </w:tc>
        <w:tc>
          <w:tcPr>
            <w:tcW w:w="5664" w:type="dxa"/>
            <w:vAlign w:val="top"/>
          </w:tcPr>
          <w:p w14:paraId="57929856">
            <w:pPr>
              <w:spacing w:line="249" w:lineRule="auto"/>
              <w:rPr>
                <w:rFonts w:ascii="Arial"/>
                <w:sz w:val="21"/>
              </w:rPr>
            </w:pPr>
          </w:p>
          <w:p w14:paraId="579A9017">
            <w:pPr>
              <w:spacing w:line="249" w:lineRule="auto"/>
              <w:rPr>
                <w:rFonts w:ascii="Arial"/>
                <w:sz w:val="21"/>
              </w:rPr>
            </w:pPr>
          </w:p>
          <w:p w14:paraId="55EBB545">
            <w:pPr>
              <w:pStyle w:val="9"/>
              <w:spacing w:before="68" w:line="353" w:lineRule="auto"/>
              <w:ind w:left="115" w:right="107" w:firstLine="17"/>
            </w:pPr>
            <w:r>
              <w:rPr>
                <w:rFonts w:hint="eastAsia"/>
                <w:spacing w:val="-2"/>
              </w:rPr>
              <w:t>中标通知书以电子形式发出（中标人在云浮市公共资源交易服务平台自行打印），中标结果在云浮市公共资源交易服务平台、广东省公共资源交易平台、广东省招标投标监管网发布，</w:t>
            </w:r>
            <w:r>
              <w:rPr>
                <w:rFonts w:hint="eastAsia"/>
                <w:spacing w:val="-2"/>
                <w:lang w:val="en-US" w:eastAsia="zh-CN"/>
              </w:rPr>
              <w:t>发布当日</w:t>
            </w:r>
            <w:r>
              <w:rPr>
                <w:rFonts w:hint="eastAsia"/>
                <w:spacing w:val="-2"/>
              </w:rPr>
              <w:t>视为已送达</w:t>
            </w:r>
            <w:r>
              <w:rPr>
                <w:rFonts w:hint="eastAsia"/>
                <w:spacing w:val="-2"/>
                <w:lang w:eastAsia="zh-CN"/>
              </w:rPr>
              <w:t>，</w:t>
            </w:r>
            <w:r>
              <w:rPr>
                <w:rFonts w:hint="eastAsia"/>
                <w:spacing w:val="-2"/>
              </w:rPr>
              <w:t>未中标的投标人，不再另行通知。</w:t>
            </w:r>
          </w:p>
        </w:tc>
      </w:tr>
      <w:tr w14:paraId="4AFC6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1185" w:type="dxa"/>
            <w:vAlign w:val="top"/>
          </w:tcPr>
          <w:p w14:paraId="5004F8F1">
            <w:pPr>
              <w:spacing w:line="469" w:lineRule="auto"/>
              <w:rPr>
                <w:rFonts w:ascii="Arial"/>
                <w:sz w:val="21"/>
              </w:rPr>
            </w:pPr>
          </w:p>
          <w:p w14:paraId="163CA38F">
            <w:pPr>
              <w:pStyle w:val="9"/>
              <w:spacing w:before="68" w:line="239" w:lineRule="auto"/>
              <w:ind w:left="445"/>
            </w:pPr>
            <w:r>
              <w:rPr>
                <w:spacing w:val="-5"/>
              </w:rPr>
              <w:t>7.6</w:t>
            </w:r>
          </w:p>
        </w:tc>
        <w:tc>
          <w:tcPr>
            <w:tcW w:w="2443" w:type="dxa"/>
            <w:vAlign w:val="top"/>
          </w:tcPr>
          <w:p w14:paraId="14A27132">
            <w:pPr>
              <w:spacing w:line="269" w:lineRule="auto"/>
              <w:rPr>
                <w:rFonts w:ascii="Arial"/>
                <w:sz w:val="21"/>
              </w:rPr>
            </w:pPr>
          </w:p>
          <w:p w14:paraId="512914E5">
            <w:pPr>
              <w:pStyle w:val="9"/>
              <w:spacing w:before="69" w:line="354" w:lineRule="auto"/>
              <w:ind w:left="908" w:right="380" w:hanging="503"/>
            </w:pPr>
            <w:r>
              <w:rPr>
                <w:spacing w:val="-4"/>
              </w:rPr>
              <w:t>中标结果公告媒介</w:t>
            </w:r>
            <w:r>
              <w:rPr>
                <w:spacing w:val="-2"/>
              </w:rPr>
              <w:t>及期限</w:t>
            </w:r>
          </w:p>
        </w:tc>
        <w:tc>
          <w:tcPr>
            <w:tcW w:w="5664" w:type="dxa"/>
            <w:vAlign w:val="center"/>
          </w:tcPr>
          <w:p w14:paraId="676C13E8">
            <w:pPr>
              <w:pStyle w:val="9"/>
              <w:spacing w:line="218" w:lineRule="auto"/>
              <w:ind w:left="119"/>
              <w:rPr>
                <w:rFonts w:hint="eastAsia"/>
                <w:spacing w:val="-8"/>
              </w:rPr>
            </w:pPr>
            <w:r>
              <w:rPr>
                <w:rFonts w:hint="eastAsia"/>
                <w:spacing w:val="-8"/>
              </w:rPr>
              <w:t>广东省招标投标监管网、广东省公共资源交易平台、云浮市公共资源交易服务平台。</w:t>
            </w:r>
          </w:p>
          <w:p w14:paraId="7A04ED65">
            <w:pPr>
              <w:pStyle w:val="9"/>
              <w:spacing w:line="218" w:lineRule="auto"/>
              <w:ind w:left="119"/>
            </w:pPr>
            <w:r>
              <w:rPr>
                <w:spacing w:val="-2"/>
              </w:rPr>
              <w:t>公告期限：</w:t>
            </w:r>
            <w:r>
              <w:rPr>
                <w:rFonts w:hint="eastAsia"/>
                <w:spacing w:val="-2"/>
                <w:u w:val="single" w:color="auto"/>
                <w:lang w:val="en-US" w:eastAsia="zh-CN"/>
              </w:rPr>
              <w:t>3</w:t>
            </w:r>
            <w:r>
              <w:rPr>
                <w:spacing w:val="-2"/>
              </w:rPr>
              <w:t>日</w:t>
            </w:r>
          </w:p>
        </w:tc>
      </w:tr>
      <w:tr w14:paraId="79279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0" w:hRule="atLeast"/>
        </w:trPr>
        <w:tc>
          <w:tcPr>
            <w:tcW w:w="1185" w:type="dxa"/>
            <w:vAlign w:val="top"/>
          </w:tcPr>
          <w:p w14:paraId="2434BA59">
            <w:pPr>
              <w:spacing w:line="251" w:lineRule="auto"/>
              <w:rPr>
                <w:rFonts w:ascii="Arial"/>
                <w:sz w:val="21"/>
              </w:rPr>
            </w:pPr>
          </w:p>
          <w:p w14:paraId="0A863D9D">
            <w:pPr>
              <w:spacing w:line="251" w:lineRule="auto"/>
              <w:rPr>
                <w:rFonts w:ascii="Arial"/>
                <w:sz w:val="21"/>
              </w:rPr>
            </w:pPr>
          </w:p>
          <w:p w14:paraId="4441D1F0">
            <w:pPr>
              <w:spacing w:line="251" w:lineRule="auto"/>
              <w:rPr>
                <w:rFonts w:ascii="Arial"/>
                <w:sz w:val="21"/>
              </w:rPr>
            </w:pPr>
          </w:p>
          <w:p w14:paraId="7C834133">
            <w:pPr>
              <w:spacing w:line="251" w:lineRule="auto"/>
              <w:rPr>
                <w:rFonts w:ascii="Arial"/>
                <w:sz w:val="21"/>
              </w:rPr>
            </w:pPr>
          </w:p>
          <w:p w14:paraId="3105A93B">
            <w:pPr>
              <w:spacing w:line="251" w:lineRule="auto"/>
              <w:rPr>
                <w:rFonts w:ascii="Arial"/>
                <w:sz w:val="21"/>
              </w:rPr>
            </w:pPr>
          </w:p>
          <w:p w14:paraId="06908DB9">
            <w:pPr>
              <w:spacing w:line="251" w:lineRule="auto"/>
              <w:rPr>
                <w:rFonts w:ascii="Arial"/>
                <w:sz w:val="21"/>
              </w:rPr>
            </w:pPr>
          </w:p>
          <w:p w14:paraId="5F948719">
            <w:pPr>
              <w:spacing w:line="251" w:lineRule="auto"/>
              <w:rPr>
                <w:rFonts w:ascii="Arial"/>
                <w:sz w:val="21"/>
              </w:rPr>
            </w:pPr>
          </w:p>
          <w:p w14:paraId="0B8D21C5">
            <w:pPr>
              <w:spacing w:line="251" w:lineRule="auto"/>
              <w:rPr>
                <w:rFonts w:ascii="Arial"/>
                <w:sz w:val="21"/>
              </w:rPr>
            </w:pPr>
          </w:p>
          <w:p w14:paraId="7A4D51D8">
            <w:pPr>
              <w:spacing w:line="251" w:lineRule="auto"/>
              <w:rPr>
                <w:rFonts w:ascii="Arial"/>
                <w:sz w:val="21"/>
              </w:rPr>
            </w:pPr>
          </w:p>
          <w:p w14:paraId="237948CD">
            <w:pPr>
              <w:pStyle w:val="9"/>
              <w:spacing w:before="68" w:line="239" w:lineRule="auto"/>
              <w:ind w:left="339"/>
            </w:pPr>
            <w:r>
              <w:rPr>
                <w:spacing w:val="-3"/>
              </w:rPr>
              <w:t>7.7.1</w:t>
            </w:r>
          </w:p>
        </w:tc>
        <w:tc>
          <w:tcPr>
            <w:tcW w:w="2443" w:type="dxa"/>
            <w:vAlign w:val="top"/>
          </w:tcPr>
          <w:p w14:paraId="790D217B">
            <w:pPr>
              <w:spacing w:line="251" w:lineRule="auto"/>
              <w:rPr>
                <w:rFonts w:ascii="Arial"/>
                <w:sz w:val="21"/>
              </w:rPr>
            </w:pPr>
          </w:p>
          <w:p w14:paraId="791F0BFE">
            <w:pPr>
              <w:spacing w:line="251" w:lineRule="auto"/>
              <w:rPr>
                <w:rFonts w:ascii="Arial"/>
                <w:sz w:val="21"/>
              </w:rPr>
            </w:pPr>
          </w:p>
          <w:p w14:paraId="109532AA">
            <w:pPr>
              <w:spacing w:line="251" w:lineRule="auto"/>
              <w:rPr>
                <w:rFonts w:ascii="Arial"/>
                <w:sz w:val="21"/>
              </w:rPr>
            </w:pPr>
          </w:p>
          <w:p w14:paraId="27F2B868">
            <w:pPr>
              <w:spacing w:line="251" w:lineRule="auto"/>
              <w:rPr>
                <w:rFonts w:ascii="Arial"/>
                <w:sz w:val="21"/>
              </w:rPr>
            </w:pPr>
          </w:p>
          <w:p w14:paraId="096A6C6D">
            <w:pPr>
              <w:spacing w:line="251" w:lineRule="auto"/>
              <w:rPr>
                <w:rFonts w:ascii="Arial"/>
                <w:sz w:val="21"/>
              </w:rPr>
            </w:pPr>
          </w:p>
          <w:p w14:paraId="4DD4AFA3">
            <w:pPr>
              <w:spacing w:line="251" w:lineRule="auto"/>
              <w:rPr>
                <w:rFonts w:ascii="Arial"/>
                <w:sz w:val="21"/>
              </w:rPr>
            </w:pPr>
          </w:p>
          <w:p w14:paraId="5B1AA466">
            <w:pPr>
              <w:spacing w:line="251" w:lineRule="auto"/>
              <w:rPr>
                <w:rFonts w:ascii="Arial"/>
                <w:sz w:val="21"/>
              </w:rPr>
            </w:pPr>
          </w:p>
          <w:p w14:paraId="02EBE76F">
            <w:pPr>
              <w:spacing w:line="251" w:lineRule="auto"/>
              <w:rPr>
                <w:rFonts w:ascii="Arial"/>
                <w:sz w:val="21"/>
              </w:rPr>
            </w:pPr>
          </w:p>
          <w:p w14:paraId="73ACD984">
            <w:pPr>
              <w:spacing w:line="251" w:lineRule="auto"/>
              <w:rPr>
                <w:rFonts w:ascii="Arial"/>
                <w:sz w:val="21"/>
              </w:rPr>
            </w:pPr>
          </w:p>
          <w:p w14:paraId="45BFE08C">
            <w:pPr>
              <w:pStyle w:val="9"/>
              <w:spacing w:before="68" w:line="220" w:lineRule="auto"/>
              <w:ind w:left="703"/>
            </w:pPr>
            <w:r>
              <w:rPr>
                <w:spacing w:val="-2"/>
              </w:rPr>
              <w:t>履约保证金</w:t>
            </w:r>
          </w:p>
        </w:tc>
        <w:tc>
          <w:tcPr>
            <w:tcW w:w="5664" w:type="dxa"/>
            <w:vAlign w:val="top"/>
          </w:tcPr>
          <w:p w14:paraId="418B7550">
            <w:pPr>
              <w:pStyle w:val="9"/>
              <w:spacing w:before="142" w:line="220" w:lineRule="auto"/>
              <w:ind w:left="116"/>
            </w:pPr>
            <w:r>
              <w:rPr>
                <w:spacing w:val="-4"/>
              </w:rPr>
              <w:t>是否要求中标人提交履约保证金：</w:t>
            </w:r>
          </w:p>
          <w:p w14:paraId="16FDBF6B">
            <w:pPr>
              <w:pStyle w:val="9"/>
              <w:spacing w:before="148" w:line="345" w:lineRule="auto"/>
              <w:ind w:left="114" w:right="107" w:firstLine="20"/>
              <w:rPr>
                <w:sz w:val="10"/>
                <w:szCs w:val="10"/>
              </w:rPr>
            </w:pPr>
            <w:r>
              <w:rPr>
                <w:rFonts w:hint="eastAsia"/>
                <w:spacing w:val="-2"/>
                <w:lang w:eastAsia="zh-CN"/>
              </w:rPr>
              <w:t>☑</w:t>
            </w:r>
            <w:r>
              <w:rPr>
                <w:spacing w:val="-2"/>
              </w:rPr>
              <w:t>要求，履约保证金形式：</w:t>
            </w:r>
            <w:r>
              <w:rPr>
                <w:spacing w:val="-2"/>
                <w:u w:val="single" w:color="auto"/>
              </w:rPr>
              <w:t>由投标人自主选择采用现金（或</w:t>
            </w:r>
            <w:r>
              <w:rPr>
                <w:spacing w:val="-1"/>
                <w:u w:val="single" w:color="auto"/>
              </w:rPr>
              <w:t>支票）、或银行保函、或其他合法形式。</w:t>
            </w:r>
          </w:p>
          <w:p w14:paraId="3936CD50">
            <w:pPr>
              <w:pStyle w:val="9"/>
              <w:spacing w:before="1" w:line="231" w:lineRule="auto"/>
              <w:ind w:left="116" w:firstLine="412" w:firstLineChars="200"/>
              <w:rPr>
                <w:spacing w:val="-2"/>
              </w:rPr>
            </w:pPr>
            <w:r>
              <w:rPr>
                <w:spacing w:val="-2"/>
              </w:rPr>
              <w:t>履约保证金金额：</w:t>
            </w:r>
            <w:r>
              <w:rPr>
                <w:rFonts w:hint="eastAsia"/>
                <w:spacing w:val="-2"/>
                <w:u w:val="single" w:color="auto"/>
                <w:lang w:val="en-US" w:eastAsia="zh-CN"/>
              </w:rPr>
              <w:t>10</w:t>
            </w:r>
            <w:r>
              <w:rPr>
                <w:spacing w:val="-101"/>
              </w:rPr>
              <w:t xml:space="preserve"> </w:t>
            </w:r>
            <w:r>
              <w:rPr>
                <w:spacing w:val="-2"/>
              </w:rPr>
              <w:t>%签约合同价。</w:t>
            </w:r>
          </w:p>
          <w:p w14:paraId="2B8F9B11">
            <w:pPr>
              <w:pStyle w:val="9"/>
              <w:spacing w:before="1" w:line="231" w:lineRule="auto"/>
              <w:ind w:left="116" w:firstLine="412" w:firstLineChars="200"/>
              <w:rPr>
                <w:rFonts w:hint="eastAsia"/>
                <w:spacing w:val="-2"/>
              </w:rPr>
            </w:pPr>
            <w:r>
              <w:rPr>
                <w:rFonts w:hint="eastAsia"/>
                <w:spacing w:val="-2"/>
              </w:rPr>
              <w:t>采用银行保函时，出具履约担保的银行级别：投标人公司注册所在地的全国性国有商业银行或股份制商业银行的分支机构。</w:t>
            </w:r>
          </w:p>
          <w:p w14:paraId="53533CC0">
            <w:pPr>
              <w:pStyle w:val="9"/>
              <w:spacing w:before="1" w:line="231" w:lineRule="auto"/>
              <w:ind w:left="116" w:firstLine="412" w:firstLineChars="200"/>
              <w:rPr>
                <w:rFonts w:hint="eastAsia"/>
                <w:spacing w:val="-2"/>
              </w:rPr>
            </w:pPr>
            <w:r>
              <w:rPr>
                <w:rFonts w:hint="eastAsia"/>
                <w:spacing w:val="-2"/>
              </w:rPr>
              <w:t>若采用银行担保、或工程保险、或工程担保方式提供担保的，必须选择在云浮市有营业场所的银行机构、保险机构或融资担保机构。具体要求按《关于印发云浮市落实工程建设项目工程款支付担保制度指引（试行）的通知》（云建通〔2022〕46号）执行。</w:t>
            </w:r>
          </w:p>
          <w:p w14:paraId="4FDDBF66">
            <w:pPr>
              <w:pStyle w:val="9"/>
              <w:spacing w:before="1" w:line="231" w:lineRule="auto"/>
              <w:ind w:left="116" w:firstLine="420" w:firstLineChars="200"/>
              <w:rPr>
                <w:rFonts w:hint="eastAsia" w:ascii="宋体" w:hAnsi="宋体" w:eastAsia="宋体" w:cs="宋体"/>
                <w:snapToGrid w:val="0"/>
                <w:color w:val="000000"/>
                <w:kern w:val="0"/>
                <w:sz w:val="21"/>
                <w:szCs w:val="21"/>
                <w:lang w:val="en-US" w:eastAsia="zh-CN" w:bidi="ar"/>
              </w:rPr>
            </w:pPr>
            <w:r>
              <w:rPr>
                <w:rFonts w:hint="eastAsia" w:cs="宋体"/>
                <w:snapToGrid w:val="0"/>
                <w:color w:val="000000"/>
                <w:kern w:val="0"/>
                <w:sz w:val="21"/>
                <w:szCs w:val="21"/>
                <w:lang w:val="en-US" w:eastAsia="zh-CN" w:bidi="ar"/>
              </w:rPr>
              <w:t>☑</w:t>
            </w:r>
            <w:r>
              <w:rPr>
                <w:rFonts w:hint="eastAsia" w:ascii="宋体" w:hAnsi="宋体" w:eastAsia="宋体" w:cs="宋体"/>
                <w:snapToGrid w:val="0"/>
                <w:color w:val="000000"/>
                <w:kern w:val="0"/>
                <w:sz w:val="21"/>
                <w:szCs w:val="21"/>
                <w:lang w:val="en-US" w:eastAsia="zh-CN" w:bidi="ar"/>
              </w:rPr>
              <w:t>广东省交通运输厅最新年度的信用评价为 AA 级的投标人，给予减少履约保证金，减少后的履约保证金金额 :</w:t>
            </w:r>
            <w:r>
              <w:rPr>
                <w:rFonts w:hint="eastAsia" w:ascii="宋体" w:hAnsi="宋体" w:eastAsia="宋体" w:cs="宋体"/>
                <w:snapToGrid w:val="0"/>
                <w:color w:val="000000"/>
                <w:kern w:val="0"/>
                <w:sz w:val="21"/>
                <w:szCs w:val="21"/>
                <w:u w:val="single"/>
                <w:lang w:val="en-US" w:eastAsia="zh-CN" w:bidi="ar"/>
              </w:rPr>
              <w:t xml:space="preserve"> </w:t>
            </w:r>
            <w:r>
              <w:rPr>
                <w:rFonts w:hint="eastAsia" w:cs="宋体"/>
                <w:snapToGrid w:val="0"/>
                <w:color w:val="000000"/>
                <w:kern w:val="0"/>
                <w:sz w:val="21"/>
                <w:szCs w:val="21"/>
                <w:u w:val="single"/>
                <w:lang w:val="en-US" w:eastAsia="zh-CN" w:bidi="ar"/>
              </w:rPr>
              <w:t>5%</w:t>
            </w:r>
            <w:r>
              <w:rPr>
                <w:rFonts w:hint="eastAsia" w:ascii="宋体" w:hAnsi="宋体" w:eastAsia="宋体" w:cs="宋体"/>
                <w:snapToGrid w:val="0"/>
                <w:color w:val="000000"/>
                <w:kern w:val="0"/>
                <w:sz w:val="21"/>
                <w:szCs w:val="21"/>
                <w:u w:val="single"/>
                <w:lang w:val="en-US" w:eastAsia="zh-CN" w:bidi="ar"/>
              </w:rPr>
              <w:t xml:space="preserve"> 签约合同价 </w:t>
            </w:r>
            <w:r>
              <w:rPr>
                <w:rFonts w:hint="eastAsia" w:ascii="宋体" w:hAnsi="宋体" w:eastAsia="宋体" w:cs="宋体"/>
                <w:snapToGrid w:val="0"/>
                <w:color w:val="000000"/>
                <w:kern w:val="0"/>
                <w:sz w:val="21"/>
                <w:szCs w:val="21"/>
                <w:lang w:val="en-US" w:eastAsia="zh-CN" w:bidi="ar"/>
              </w:rPr>
              <w:t xml:space="preserve">  </w:t>
            </w:r>
          </w:p>
          <w:p w14:paraId="2C903AC7">
            <w:pPr>
              <w:pStyle w:val="9"/>
              <w:spacing w:before="1" w:line="231" w:lineRule="auto"/>
              <w:ind w:left="116" w:firstLine="420" w:firstLineChars="200"/>
              <w:rPr>
                <w:rFonts w:hint="eastAsia" w:ascii="宋体" w:hAnsi="宋体" w:eastAsia="宋体" w:cs="宋体"/>
                <w:snapToGrid w:val="0"/>
                <w:color w:val="000000"/>
                <w:kern w:val="0"/>
                <w:sz w:val="21"/>
                <w:szCs w:val="21"/>
                <w:lang w:val="en-US" w:eastAsia="zh-CN" w:bidi="ar"/>
              </w:rPr>
            </w:pPr>
            <w:r>
              <w:rPr>
                <w:rFonts w:hint="eastAsia" w:cs="宋体"/>
                <w:snapToGrid w:val="0"/>
                <w:color w:val="000000"/>
                <w:kern w:val="0"/>
                <w:sz w:val="21"/>
                <w:szCs w:val="21"/>
                <w:lang w:val="en-US" w:eastAsia="zh-CN" w:bidi="ar"/>
              </w:rPr>
              <w:t>☑</w:t>
            </w:r>
            <w:r>
              <w:rPr>
                <w:rFonts w:hint="eastAsia" w:ascii="宋体" w:hAnsi="宋体" w:eastAsia="宋体" w:cs="宋体"/>
                <w:snapToGrid w:val="0"/>
                <w:color w:val="000000"/>
                <w:kern w:val="0"/>
                <w:sz w:val="21"/>
                <w:szCs w:val="21"/>
                <w:lang w:val="en-US" w:eastAsia="zh-CN" w:bidi="ar"/>
              </w:rPr>
              <w:t>广东省交通运输厅最新年度的信用评价为 A 级的投标人，给予减少履约保证金，减少后的履约保证金金额 :</w:t>
            </w:r>
            <w:r>
              <w:rPr>
                <w:rFonts w:hint="eastAsia" w:ascii="宋体" w:hAnsi="宋体" w:eastAsia="宋体" w:cs="宋体"/>
                <w:snapToGrid w:val="0"/>
                <w:color w:val="000000"/>
                <w:kern w:val="0"/>
                <w:sz w:val="21"/>
                <w:szCs w:val="21"/>
                <w:u w:val="single"/>
                <w:lang w:val="en-US" w:eastAsia="zh-CN" w:bidi="ar"/>
              </w:rPr>
              <w:t xml:space="preserve"> </w:t>
            </w:r>
            <w:r>
              <w:rPr>
                <w:rFonts w:hint="eastAsia" w:cs="宋体"/>
                <w:snapToGrid w:val="0"/>
                <w:color w:val="000000"/>
                <w:kern w:val="0"/>
                <w:sz w:val="21"/>
                <w:szCs w:val="21"/>
                <w:u w:val="single"/>
                <w:lang w:val="en-US" w:eastAsia="zh-CN" w:bidi="ar"/>
              </w:rPr>
              <w:t>8%</w:t>
            </w:r>
            <w:r>
              <w:rPr>
                <w:rFonts w:hint="eastAsia" w:ascii="宋体" w:hAnsi="宋体" w:eastAsia="宋体" w:cs="宋体"/>
                <w:snapToGrid w:val="0"/>
                <w:color w:val="000000"/>
                <w:kern w:val="0"/>
                <w:sz w:val="21"/>
                <w:szCs w:val="21"/>
                <w:u w:val="single"/>
                <w:lang w:val="en-US" w:eastAsia="zh-CN" w:bidi="ar"/>
              </w:rPr>
              <w:t xml:space="preserve"> 签约合同价  </w:t>
            </w:r>
            <w:r>
              <w:rPr>
                <w:rFonts w:hint="eastAsia" w:ascii="宋体" w:hAnsi="宋体" w:eastAsia="宋体" w:cs="宋体"/>
                <w:snapToGrid w:val="0"/>
                <w:color w:val="000000"/>
                <w:kern w:val="0"/>
                <w:sz w:val="21"/>
                <w:szCs w:val="21"/>
                <w:lang w:val="en-US" w:eastAsia="zh-CN" w:bidi="ar"/>
              </w:rPr>
              <w:t xml:space="preserve">  </w:t>
            </w:r>
          </w:p>
          <w:p w14:paraId="5DB8D4BC">
            <w:pPr>
              <w:pStyle w:val="9"/>
              <w:spacing w:before="1" w:line="231" w:lineRule="auto"/>
              <w:ind w:left="116" w:firstLine="420" w:firstLineChars="200"/>
              <w:rPr>
                <w:rFonts w:hint="eastAsia"/>
                <w:spacing w:val="-2"/>
              </w:rPr>
            </w:pPr>
            <w:r>
              <w:rPr>
                <w:rFonts w:hint="eastAsia" w:ascii="宋体" w:hAnsi="宋体" w:eastAsia="宋体" w:cs="宋体"/>
                <w:snapToGrid w:val="0"/>
                <w:color w:val="000000"/>
                <w:kern w:val="0"/>
                <w:sz w:val="21"/>
                <w:szCs w:val="21"/>
                <w:lang w:val="en-US" w:eastAsia="zh-CN" w:bidi="ar"/>
              </w:rPr>
              <w:t>采用银行保函时，出具履约担保的银行级别：投标人公司注册所在地的股份制商业银行或城市商业银行或农村商业银行或全国性国有商业银行的分支机构。</w:t>
            </w:r>
          </w:p>
          <w:p w14:paraId="19525F62">
            <w:pPr>
              <w:pStyle w:val="9"/>
              <w:spacing w:before="151" w:line="221" w:lineRule="auto"/>
              <w:ind w:left="134"/>
            </w:pPr>
            <w:r>
              <w:rPr>
                <w:spacing w:val="-6"/>
              </w:rPr>
              <w:t>□不要求</w:t>
            </w:r>
          </w:p>
        </w:tc>
      </w:tr>
    </w:tbl>
    <w:p w14:paraId="7A54B42B">
      <w:r>
        <w:br w:type="page"/>
      </w:r>
    </w:p>
    <w:p w14:paraId="1F547CB8">
      <w:pPr>
        <w:spacing w:line="234" w:lineRule="exact"/>
      </w:pPr>
    </w:p>
    <w:tbl>
      <w:tblPr>
        <w:tblStyle w:val="8"/>
        <w:tblW w:w="9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747"/>
      </w:tblGrid>
      <w:tr w14:paraId="6130F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380C3ADA">
            <w:pPr>
              <w:pStyle w:val="9"/>
              <w:spacing w:before="181" w:line="220" w:lineRule="auto"/>
              <w:ind w:left="284"/>
            </w:pPr>
            <w:r>
              <w:rPr>
                <w:b/>
                <w:bCs/>
                <w:spacing w:val="-6"/>
              </w:rPr>
              <w:t>条款号</w:t>
            </w:r>
          </w:p>
        </w:tc>
        <w:tc>
          <w:tcPr>
            <w:tcW w:w="2443" w:type="dxa"/>
            <w:vAlign w:val="top"/>
          </w:tcPr>
          <w:p w14:paraId="04F58D0C">
            <w:pPr>
              <w:pStyle w:val="9"/>
              <w:spacing w:before="181" w:line="220" w:lineRule="auto"/>
              <w:ind w:left="807"/>
            </w:pPr>
            <w:r>
              <w:rPr>
                <w:b/>
                <w:bCs/>
                <w:spacing w:val="-5"/>
              </w:rPr>
              <w:t>条款名称</w:t>
            </w:r>
          </w:p>
        </w:tc>
        <w:tc>
          <w:tcPr>
            <w:tcW w:w="5747" w:type="dxa"/>
            <w:vAlign w:val="top"/>
          </w:tcPr>
          <w:p w14:paraId="0C2D26C6">
            <w:pPr>
              <w:pStyle w:val="9"/>
              <w:spacing w:before="181" w:line="220" w:lineRule="auto"/>
              <w:ind w:left="2417"/>
            </w:pPr>
            <w:r>
              <w:rPr>
                <w:b/>
                <w:bCs/>
                <w:spacing w:val="-5"/>
              </w:rPr>
              <w:t>编列内容</w:t>
            </w:r>
          </w:p>
        </w:tc>
      </w:tr>
      <w:tr w14:paraId="4BB6A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6" w:hRule="atLeast"/>
        </w:trPr>
        <w:tc>
          <w:tcPr>
            <w:tcW w:w="1185" w:type="dxa"/>
            <w:vAlign w:val="top"/>
          </w:tcPr>
          <w:p w14:paraId="335224DE">
            <w:pPr>
              <w:spacing w:line="242" w:lineRule="auto"/>
              <w:rPr>
                <w:rFonts w:ascii="Arial"/>
                <w:sz w:val="21"/>
              </w:rPr>
            </w:pPr>
          </w:p>
          <w:p w14:paraId="367B869E">
            <w:pPr>
              <w:spacing w:line="242" w:lineRule="auto"/>
              <w:rPr>
                <w:rFonts w:ascii="Arial"/>
                <w:sz w:val="21"/>
              </w:rPr>
            </w:pPr>
          </w:p>
          <w:p w14:paraId="68DD9E55">
            <w:pPr>
              <w:spacing w:line="242" w:lineRule="auto"/>
              <w:rPr>
                <w:rFonts w:ascii="Arial"/>
                <w:sz w:val="21"/>
              </w:rPr>
            </w:pPr>
          </w:p>
          <w:p w14:paraId="41822688">
            <w:pPr>
              <w:spacing w:line="242" w:lineRule="auto"/>
              <w:rPr>
                <w:rFonts w:ascii="Arial"/>
                <w:sz w:val="21"/>
              </w:rPr>
            </w:pPr>
          </w:p>
          <w:p w14:paraId="6E0EA5DE">
            <w:pPr>
              <w:spacing w:line="243" w:lineRule="auto"/>
              <w:rPr>
                <w:rFonts w:ascii="Arial"/>
                <w:sz w:val="21"/>
              </w:rPr>
            </w:pPr>
          </w:p>
          <w:p w14:paraId="1FF8A0AF">
            <w:pPr>
              <w:spacing w:line="243" w:lineRule="auto"/>
              <w:rPr>
                <w:rFonts w:ascii="Arial"/>
                <w:sz w:val="21"/>
              </w:rPr>
            </w:pPr>
          </w:p>
          <w:p w14:paraId="7FD98534">
            <w:pPr>
              <w:spacing w:line="243" w:lineRule="auto"/>
              <w:rPr>
                <w:rFonts w:ascii="Arial"/>
                <w:sz w:val="21"/>
              </w:rPr>
            </w:pPr>
          </w:p>
          <w:p w14:paraId="1945B5DB">
            <w:pPr>
              <w:spacing w:line="243" w:lineRule="auto"/>
              <w:rPr>
                <w:rFonts w:ascii="Arial"/>
                <w:sz w:val="21"/>
              </w:rPr>
            </w:pPr>
          </w:p>
          <w:p w14:paraId="66F388E1">
            <w:pPr>
              <w:spacing w:line="243" w:lineRule="auto"/>
              <w:rPr>
                <w:rFonts w:ascii="Arial"/>
                <w:sz w:val="21"/>
              </w:rPr>
            </w:pPr>
          </w:p>
          <w:p w14:paraId="4347D74A">
            <w:pPr>
              <w:spacing w:line="243" w:lineRule="auto"/>
              <w:rPr>
                <w:rFonts w:ascii="Arial"/>
                <w:sz w:val="21"/>
              </w:rPr>
            </w:pPr>
          </w:p>
          <w:p w14:paraId="29FEC726">
            <w:pPr>
              <w:spacing w:line="243" w:lineRule="auto"/>
              <w:rPr>
                <w:rFonts w:ascii="Arial"/>
                <w:sz w:val="21"/>
              </w:rPr>
            </w:pPr>
          </w:p>
          <w:p w14:paraId="4D326F17">
            <w:pPr>
              <w:spacing w:line="243" w:lineRule="auto"/>
              <w:rPr>
                <w:rFonts w:ascii="Arial"/>
                <w:sz w:val="21"/>
              </w:rPr>
            </w:pPr>
          </w:p>
          <w:p w14:paraId="23D2C3CD">
            <w:pPr>
              <w:pStyle w:val="9"/>
              <w:spacing w:before="68" w:line="239" w:lineRule="auto"/>
              <w:ind w:left="335"/>
            </w:pPr>
            <w:r>
              <w:rPr>
                <w:spacing w:val="-2"/>
              </w:rPr>
              <w:t>8.5.1</w:t>
            </w:r>
          </w:p>
        </w:tc>
        <w:tc>
          <w:tcPr>
            <w:tcW w:w="2443" w:type="dxa"/>
            <w:vAlign w:val="top"/>
          </w:tcPr>
          <w:p w14:paraId="2F26D0E3">
            <w:pPr>
              <w:spacing w:line="242" w:lineRule="auto"/>
              <w:rPr>
                <w:rFonts w:ascii="Arial"/>
                <w:sz w:val="21"/>
              </w:rPr>
            </w:pPr>
          </w:p>
          <w:p w14:paraId="07E8792D">
            <w:pPr>
              <w:spacing w:line="242" w:lineRule="auto"/>
              <w:rPr>
                <w:rFonts w:ascii="Arial"/>
                <w:sz w:val="21"/>
              </w:rPr>
            </w:pPr>
          </w:p>
          <w:p w14:paraId="2187730D">
            <w:pPr>
              <w:spacing w:line="242" w:lineRule="auto"/>
              <w:rPr>
                <w:rFonts w:ascii="Arial"/>
                <w:sz w:val="21"/>
              </w:rPr>
            </w:pPr>
          </w:p>
          <w:p w14:paraId="51EF1288">
            <w:pPr>
              <w:spacing w:line="242" w:lineRule="auto"/>
              <w:rPr>
                <w:rFonts w:ascii="Arial"/>
                <w:sz w:val="21"/>
              </w:rPr>
            </w:pPr>
          </w:p>
          <w:p w14:paraId="04602B65">
            <w:pPr>
              <w:spacing w:line="242" w:lineRule="auto"/>
              <w:rPr>
                <w:rFonts w:ascii="Arial"/>
                <w:sz w:val="21"/>
              </w:rPr>
            </w:pPr>
          </w:p>
          <w:p w14:paraId="127830AF">
            <w:pPr>
              <w:pStyle w:val="9"/>
              <w:spacing w:before="68" w:line="220" w:lineRule="auto"/>
              <w:ind w:firstLine="824" w:firstLineChars="400"/>
            </w:pPr>
            <w:r>
              <w:rPr>
                <w:spacing w:val="-2"/>
              </w:rPr>
              <w:t>监督部门</w:t>
            </w:r>
          </w:p>
        </w:tc>
        <w:tc>
          <w:tcPr>
            <w:tcW w:w="5747" w:type="dxa"/>
            <w:vAlign w:val="top"/>
          </w:tcPr>
          <w:p w14:paraId="09D51189">
            <w:pPr>
              <w:pStyle w:val="9"/>
              <w:spacing w:before="92" w:line="232" w:lineRule="auto"/>
              <w:ind w:left="114"/>
              <w:rPr>
                <w:rFonts w:hint="default" w:eastAsia="宋体"/>
                <w:lang w:val="en-US" w:eastAsia="zh-CN"/>
              </w:rPr>
            </w:pPr>
            <w:r>
              <w:rPr>
                <w:spacing w:val="-2"/>
              </w:rPr>
              <w:t>监督部门</w:t>
            </w:r>
            <w:r>
              <w:rPr>
                <w:rFonts w:hint="eastAsia"/>
                <w:spacing w:val="-2"/>
                <w:lang w:eastAsia="zh-CN"/>
              </w:rPr>
              <w:t>：</w:t>
            </w:r>
            <w:r>
              <w:rPr>
                <w:spacing w:val="48"/>
              </w:rPr>
              <w:t xml:space="preserve"> </w:t>
            </w:r>
            <w:r>
              <w:rPr>
                <w:rFonts w:hint="eastAsia"/>
                <w:u w:val="single" w:color="auto"/>
                <w:lang w:val="en-US" w:eastAsia="zh-CN"/>
              </w:rPr>
              <w:t>云浮市云安区交通运输局</w:t>
            </w:r>
          </w:p>
          <w:p w14:paraId="0B1D7B3E">
            <w:pPr>
              <w:pStyle w:val="9"/>
              <w:spacing w:before="109" w:line="222" w:lineRule="auto"/>
              <w:ind w:left="137"/>
            </w:pPr>
            <w:r>
              <w:rPr>
                <w:spacing w:val="-6"/>
              </w:rPr>
              <w:t>电话：</w:t>
            </w:r>
            <w:r>
              <w:rPr>
                <w:rFonts w:hint="eastAsia"/>
                <w:spacing w:val="-6"/>
                <w:u w:val="none" w:color="auto"/>
              </w:rPr>
              <w:t>0766-8638810</w:t>
            </w:r>
          </w:p>
          <w:p w14:paraId="66F79892">
            <w:pPr>
              <w:pStyle w:val="9"/>
              <w:spacing w:before="107" w:line="219" w:lineRule="auto"/>
              <w:ind w:left="111"/>
            </w:pPr>
            <w:r>
              <w:rPr>
                <w:spacing w:val="-3"/>
              </w:rPr>
              <w:t>传真：</w:t>
            </w:r>
            <w:r>
              <w:rPr>
                <w:u w:val="single" w:color="auto"/>
              </w:rPr>
              <w:t xml:space="preserve"> </w:t>
            </w:r>
            <w:r>
              <w:rPr>
                <w:rFonts w:hint="eastAsia"/>
                <w:spacing w:val="-6"/>
                <w:u w:val="single" w:color="auto"/>
              </w:rPr>
              <w:t>0766-8638810</w:t>
            </w:r>
            <w:r>
              <w:rPr>
                <w:u w:val="single" w:color="auto"/>
              </w:rPr>
              <w:t xml:space="preserve"> </w:t>
            </w:r>
          </w:p>
          <w:p w14:paraId="62CA4687">
            <w:pPr>
              <w:pStyle w:val="9"/>
              <w:spacing w:before="110" w:line="220" w:lineRule="auto"/>
              <w:ind w:left="113"/>
            </w:pPr>
            <w:r>
              <w:rPr>
                <w:spacing w:val="-2"/>
              </w:rPr>
              <w:t>通信地址：</w:t>
            </w:r>
            <w:r>
              <w:rPr>
                <w:rFonts w:hint="eastAsia"/>
                <w:spacing w:val="-2"/>
                <w:u w:val="single"/>
                <w:lang w:eastAsia="zh-CN"/>
              </w:rPr>
              <w:t>广东省云浮市云安区云泰大道云聚花园1号楼</w:t>
            </w:r>
            <w:r>
              <w:rPr>
                <w:rFonts w:hint="eastAsia"/>
                <w:spacing w:val="-2"/>
                <w:u w:val="single"/>
                <w:lang w:val="en-US" w:eastAsia="zh-CN"/>
              </w:rPr>
              <w:t>9</w:t>
            </w:r>
            <w:r>
              <w:rPr>
                <w:rFonts w:hint="eastAsia"/>
                <w:spacing w:val="-2"/>
                <w:u w:val="single"/>
                <w:lang w:eastAsia="zh-CN"/>
              </w:rPr>
              <w:t>楼</w:t>
            </w:r>
          </w:p>
          <w:p w14:paraId="1AE432CC">
            <w:pPr>
              <w:pStyle w:val="9"/>
              <w:spacing w:before="109" w:line="220" w:lineRule="auto"/>
              <w:ind w:left="128"/>
              <w:rPr>
                <w:spacing w:val="-4"/>
                <w:u w:val="single" w:color="auto"/>
              </w:rPr>
            </w:pPr>
            <w:r>
              <w:rPr>
                <w:spacing w:val="-4"/>
              </w:rPr>
              <w:t>邮政编码：</w:t>
            </w:r>
            <w:r>
              <w:rPr>
                <w:spacing w:val="-4"/>
                <w:u w:val="single" w:color="auto"/>
              </w:rPr>
              <w:t xml:space="preserve"> </w:t>
            </w:r>
            <w:r>
              <w:rPr>
                <w:rFonts w:hint="eastAsia"/>
                <w:spacing w:val="-4"/>
                <w:u w:val="single" w:color="auto"/>
                <w:lang w:val="en-US" w:eastAsia="zh-CN"/>
              </w:rPr>
              <w:t>527500</w:t>
            </w:r>
            <w:r>
              <w:rPr>
                <w:spacing w:val="-4"/>
                <w:u w:val="single" w:color="auto"/>
              </w:rPr>
              <w:t xml:space="preserve"> </w:t>
            </w:r>
          </w:p>
          <w:p w14:paraId="51ECC8EB">
            <w:pPr>
              <w:pStyle w:val="9"/>
              <w:spacing w:before="109" w:line="220" w:lineRule="auto"/>
              <w:ind w:left="128"/>
              <w:rPr>
                <w:spacing w:val="-4"/>
                <w:u w:val="single" w:color="auto"/>
              </w:rPr>
            </w:pPr>
          </w:p>
          <w:p w14:paraId="6A9ACFBC">
            <w:pPr>
              <w:pStyle w:val="9"/>
              <w:spacing w:before="109" w:line="220" w:lineRule="auto"/>
              <w:ind w:left="128"/>
              <w:rPr>
                <w:rFonts w:hint="eastAsia"/>
                <w:spacing w:val="-4"/>
                <w:u w:val="single" w:color="auto"/>
              </w:rPr>
            </w:pPr>
            <w:r>
              <w:rPr>
                <w:rFonts w:hint="eastAsia"/>
                <w:spacing w:val="-4"/>
                <w:u w:val="single" w:color="auto"/>
              </w:rPr>
              <w:t>云浮市云安区交通运输局</w:t>
            </w:r>
            <w:r>
              <w:rPr>
                <w:rFonts w:hint="eastAsia"/>
                <w:spacing w:val="-4"/>
                <w:u w:val="none" w:color="auto"/>
              </w:rPr>
              <w:t>（或项目上级管理单位）：</w:t>
            </w:r>
          </w:p>
          <w:p w14:paraId="29B31102">
            <w:pPr>
              <w:pStyle w:val="9"/>
              <w:spacing w:before="109" w:line="220" w:lineRule="auto"/>
              <w:ind w:left="128"/>
              <w:rPr>
                <w:rFonts w:hint="eastAsia"/>
                <w:spacing w:val="-4"/>
                <w:u w:val="single" w:color="auto"/>
              </w:rPr>
            </w:pPr>
            <w:r>
              <w:rPr>
                <w:rFonts w:hint="eastAsia"/>
                <w:spacing w:val="-4"/>
                <w:u w:val="none" w:color="auto"/>
              </w:rPr>
              <w:t>电话：</w:t>
            </w:r>
            <w:r>
              <w:rPr>
                <w:rFonts w:hint="eastAsia"/>
                <w:spacing w:val="-4"/>
                <w:u w:val="single" w:color="auto"/>
              </w:rPr>
              <w:t xml:space="preserve"> </w:t>
            </w:r>
            <w:r>
              <w:rPr>
                <w:rFonts w:hint="eastAsia"/>
                <w:spacing w:val="-6"/>
                <w:u w:val="single" w:color="auto"/>
              </w:rPr>
              <w:t>0766-8638810</w:t>
            </w:r>
            <w:r>
              <w:rPr>
                <w:rFonts w:hint="eastAsia"/>
                <w:spacing w:val="-4"/>
                <w:u w:val="single" w:color="auto"/>
              </w:rPr>
              <w:t xml:space="preserve"> </w:t>
            </w:r>
          </w:p>
          <w:p w14:paraId="05123FE6">
            <w:pPr>
              <w:pStyle w:val="9"/>
              <w:spacing w:before="109" w:line="220" w:lineRule="auto"/>
              <w:ind w:left="128"/>
              <w:rPr>
                <w:rFonts w:hint="eastAsia"/>
                <w:spacing w:val="-4"/>
                <w:u w:val="single" w:color="auto"/>
              </w:rPr>
            </w:pPr>
            <w:r>
              <w:rPr>
                <w:rFonts w:hint="eastAsia"/>
                <w:spacing w:val="-4"/>
                <w:u w:val="single" w:color="auto"/>
              </w:rPr>
              <w:t xml:space="preserve">传真： </w:t>
            </w:r>
            <w:r>
              <w:rPr>
                <w:rFonts w:hint="eastAsia"/>
                <w:spacing w:val="-6"/>
                <w:u w:val="single" w:color="auto"/>
              </w:rPr>
              <w:t>0766-8638810</w:t>
            </w:r>
            <w:r>
              <w:rPr>
                <w:rFonts w:hint="eastAsia"/>
                <w:spacing w:val="-4"/>
                <w:u w:val="single" w:color="auto"/>
              </w:rPr>
              <w:t xml:space="preserve"> </w:t>
            </w:r>
          </w:p>
          <w:p w14:paraId="534DF7BE">
            <w:pPr>
              <w:pStyle w:val="9"/>
              <w:spacing w:before="109" w:line="220" w:lineRule="auto"/>
              <w:ind w:left="128"/>
              <w:rPr>
                <w:rFonts w:hint="eastAsia"/>
                <w:spacing w:val="-4"/>
                <w:u w:val="single" w:color="auto"/>
              </w:rPr>
            </w:pPr>
            <w:r>
              <w:rPr>
                <w:rFonts w:hint="eastAsia"/>
                <w:spacing w:val="-4"/>
                <w:u w:val="none" w:color="auto"/>
              </w:rPr>
              <w:t>通信地址：</w:t>
            </w:r>
            <w:r>
              <w:rPr>
                <w:rFonts w:hint="eastAsia"/>
                <w:spacing w:val="-4"/>
                <w:u w:val="single" w:color="auto"/>
              </w:rPr>
              <w:t xml:space="preserve"> </w:t>
            </w:r>
            <w:r>
              <w:rPr>
                <w:rFonts w:hint="eastAsia"/>
                <w:spacing w:val="-2"/>
                <w:u w:val="single"/>
                <w:lang w:eastAsia="zh-CN"/>
              </w:rPr>
              <w:t>广东省云浮市云安区云泰大道云聚花园1号楼</w:t>
            </w:r>
            <w:r>
              <w:rPr>
                <w:rFonts w:hint="eastAsia"/>
                <w:spacing w:val="-2"/>
                <w:u w:val="single"/>
                <w:lang w:val="en-US" w:eastAsia="zh-CN"/>
              </w:rPr>
              <w:t>9</w:t>
            </w:r>
            <w:r>
              <w:rPr>
                <w:rFonts w:hint="eastAsia"/>
                <w:spacing w:val="-2"/>
                <w:u w:val="single"/>
                <w:lang w:eastAsia="zh-CN"/>
              </w:rPr>
              <w:t>楼</w:t>
            </w:r>
            <w:r>
              <w:rPr>
                <w:rFonts w:hint="eastAsia"/>
                <w:spacing w:val="-4"/>
                <w:u w:val="single" w:color="auto"/>
              </w:rPr>
              <w:t xml:space="preserve"> </w:t>
            </w:r>
          </w:p>
          <w:p w14:paraId="6D668201">
            <w:pPr>
              <w:pStyle w:val="9"/>
              <w:spacing w:before="109" w:line="220" w:lineRule="auto"/>
              <w:ind w:left="128"/>
              <w:rPr>
                <w:rFonts w:hint="eastAsia"/>
                <w:spacing w:val="-4"/>
                <w:u w:val="single" w:color="auto"/>
              </w:rPr>
            </w:pPr>
            <w:r>
              <w:rPr>
                <w:rFonts w:hint="eastAsia"/>
                <w:spacing w:val="-4"/>
                <w:u w:val="none" w:color="auto"/>
              </w:rPr>
              <w:t>邮政编码：</w:t>
            </w:r>
            <w:r>
              <w:rPr>
                <w:rFonts w:hint="eastAsia"/>
                <w:spacing w:val="-4"/>
                <w:u w:val="single" w:color="auto"/>
              </w:rPr>
              <w:t xml:space="preserve"> </w:t>
            </w:r>
            <w:r>
              <w:rPr>
                <w:rFonts w:hint="eastAsia"/>
                <w:spacing w:val="-4"/>
                <w:u w:val="single" w:color="auto"/>
                <w:lang w:val="en-US" w:eastAsia="zh-CN"/>
              </w:rPr>
              <w:t>527500</w:t>
            </w:r>
            <w:r>
              <w:rPr>
                <w:rFonts w:hint="eastAsia"/>
                <w:spacing w:val="-4"/>
                <w:u w:val="single" w:color="auto"/>
              </w:rPr>
              <w:t xml:space="preserve"> </w:t>
            </w:r>
          </w:p>
          <w:p w14:paraId="7D6B6634">
            <w:pPr>
              <w:pStyle w:val="9"/>
              <w:spacing w:before="109" w:line="220" w:lineRule="auto"/>
              <w:ind w:left="128"/>
              <w:rPr>
                <w:rFonts w:hint="eastAsia"/>
                <w:spacing w:val="-4"/>
                <w:u w:val="single" w:color="auto"/>
              </w:rPr>
            </w:pPr>
          </w:p>
          <w:p w14:paraId="2BEA32E1">
            <w:pPr>
              <w:pStyle w:val="9"/>
              <w:spacing w:before="109" w:line="220" w:lineRule="auto"/>
              <w:ind w:left="128"/>
              <w:rPr>
                <w:rFonts w:hint="eastAsia"/>
                <w:spacing w:val="-4"/>
                <w:u w:val="single" w:color="auto"/>
              </w:rPr>
            </w:pPr>
            <w:r>
              <w:rPr>
                <w:rFonts w:hint="eastAsia"/>
                <w:spacing w:val="-4"/>
                <w:u w:val="none" w:color="auto"/>
              </w:rPr>
              <w:t>项目管理单位：</w:t>
            </w:r>
            <w:r>
              <w:rPr>
                <w:rFonts w:hint="eastAsia"/>
                <w:spacing w:val="-4"/>
                <w:u w:val="single" w:color="auto"/>
              </w:rPr>
              <w:t xml:space="preserve"> 云浮市云安区地方公路和交通运输管理站   </w:t>
            </w:r>
          </w:p>
          <w:p w14:paraId="0986FD62">
            <w:pPr>
              <w:pStyle w:val="9"/>
              <w:spacing w:before="109" w:line="220" w:lineRule="auto"/>
              <w:ind w:left="128"/>
              <w:rPr>
                <w:rFonts w:hint="eastAsia"/>
                <w:spacing w:val="-4"/>
                <w:u w:val="single" w:color="auto"/>
              </w:rPr>
            </w:pPr>
            <w:r>
              <w:rPr>
                <w:rFonts w:hint="eastAsia"/>
                <w:spacing w:val="-4"/>
                <w:u w:val="none" w:color="auto"/>
              </w:rPr>
              <w:t>电话：</w:t>
            </w:r>
            <w:r>
              <w:rPr>
                <w:rFonts w:hint="eastAsia"/>
                <w:spacing w:val="-4"/>
                <w:u w:val="single" w:color="auto"/>
              </w:rPr>
              <w:t xml:space="preserve"> 0766-8638020 </w:t>
            </w:r>
          </w:p>
          <w:p w14:paraId="35D45C56">
            <w:pPr>
              <w:pStyle w:val="9"/>
              <w:spacing w:before="109" w:line="220" w:lineRule="auto"/>
              <w:ind w:left="128"/>
              <w:rPr>
                <w:rFonts w:hint="eastAsia"/>
                <w:spacing w:val="-4"/>
                <w:u w:val="single" w:color="auto"/>
              </w:rPr>
            </w:pPr>
            <w:r>
              <w:rPr>
                <w:rFonts w:hint="eastAsia"/>
                <w:spacing w:val="-4"/>
                <w:u w:val="none" w:color="auto"/>
              </w:rPr>
              <w:t>传真：</w:t>
            </w:r>
            <w:r>
              <w:rPr>
                <w:rFonts w:hint="eastAsia"/>
                <w:spacing w:val="-4"/>
                <w:u w:val="single" w:color="auto"/>
              </w:rPr>
              <w:t xml:space="preserve"> 0766-8638020 </w:t>
            </w:r>
          </w:p>
          <w:p w14:paraId="0A782D2A">
            <w:pPr>
              <w:pStyle w:val="9"/>
              <w:spacing w:before="109" w:line="220" w:lineRule="auto"/>
              <w:ind w:left="128"/>
              <w:rPr>
                <w:rFonts w:hint="eastAsia"/>
                <w:spacing w:val="-4"/>
                <w:u w:val="single" w:color="auto"/>
              </w:rPr>
            </w:pPr>
            <w:r>
              <w:rPr>
                <w:rFonts w:hint="eastAsia"/>
                <w:spacing w:val="-4"/>
                <w:u w:val="none" w:color="auto"/>
              </w:rPr>
              <w:t>通信地址：</w:t>
            </w:r>
            <w:r>
              <w:rPr>
                <w:rFonts w:hint="eastAsia"/>
                <w:spacing w:val="-4"/>
                <w:u w:val="single" w:color="auto"/>
              </w:rPr>
              <w:t xml:space="preserve"> 广东省云浮市云安区云泰大道云聚花园1号楼</w:t>
            </w:r>
            <w:r>
              <w:rPr>
                <w:rFonts w:hint="eastAsia"/>
                <w:spacing w:val="-4"/>
                <w:u w:val="single" w:color="auto"/>
                <w:lang w:val="en-US" w:eastAsia="zh-CN"/>
              </w:rPr>
              <w:t>6</w:t>
            </w:r>
            <w:r>
              <w:rPr>
                <w:rFonts w:hint="eastAsia"/>
                <w:spacing w:val="-4"/>
                <w:u w:val="single" w:color="auto"/>
              </w:rPr>
              <w:t xml:space="preserve">楼 </w:t>
            </w:r>
          </w:p>
          <w:p w14:paraId="1CABF594">
            <w:pPr>
              <w:pStyle w:val="9"/>
              <w:spacing w:before="109" w:line="220" w:lineRule="auto"/>
              <w:ind w:left="128"/>
              <w:rPr>
                <w:spacing w:val="-4"/>
                <w:u w:val="single" w:color="auto"/>
              </w:rPr>
            </w:pPr>
            <w:r>
              <w:rPr>
                <w:rFonts w:hint="eastAsia"/>
                <w:spacing w:val="-4"/>
                <w:u w:val="none" w:color="auto"/>
              </w:rPr>
              <w:t>邮政编码：</w:t>
            </w:r>
            <w:r>
              <w:rPr>
                <w:rFonts w:hint="eastAsia"/>
                <w:spacing w:val="-4"/>
                <w:u w:val="single" w:color="auto"/>
              </w:rPr>
              <w:t xml:space="preserve"> </w:t>
            </w:r>
            <w:r>
              <w:rPr>
                <w:rFonts w:hint="eastAsia"/>
                <w:spacing w:val="-4"/>
                <w:u w:val="single" w:color="auto"/>
                <w:lang w:val="en-US" w:eastAsia="zh-CN"/>
              </w:rPr>
              <w:t>527500</w:t>
            </w:r>
            <w:r>
              <w:rPr>
                <w:rFonts w:hint="eastAsia"/>
                <w:spacing w:val="-4"/>
                <w:u w:val="single" w:color="auto"/>
              </w:rPr>
              <w:t xml:space="preserve"> </w:t>
            </w:r>
          </w:p>
          <w:p w14:paraId="1E86ABF8">
            <w:pPr>
              <w:pStyle w:val="9"/>
              <w:spacing w:before="110" w:line="216" w:lineRule="auto"/>
              <w:ind w:left="128"/>
            </w:pPr>
            <w:r>
              <w:rPr>
                <w:spacing w:val="-91"/>
              </w:rPr>
              <w:t xml:space="preserve"> </w:t>
            </w:r>
          </w:p>
        </w:tc>
      </w:tr>
      <w:tr w14:paraId="12ECF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1185" w:type="dxa"/>
            <w:vAlign w:val="top"/>
          </w:tcPr>
          <w:p w14:paraId="75004D14">
            <w:pPr>
              <w:pStyle w:val="9"/>
              <w:spacing w:before="264"/>
              <w:ind w:left="545"/>
            </w:pPr>
            <w:r>
              <w:t>9</w:t>
            </w:r>
          </w:p>
        </w:tc>
        <w:tc>
          <w:tcPr>
            <w:tcW w:w="2443" w:type="dxa"/>
            <w:vAlign w:val="top"/>
          </w:tcPr>
          <w:p w14:paraId="20551E1D">
            <w:pPr>
              <w:pStyle w:val="9"/>
              <w:spacing w:before="264" w:line="219" w:lineRule="auto"/>
              <w:ind w:left="178"/>
            </w:pPr>
            <w:r>
              <w:rPr>
                <w:spacing w:val="-2"/>
              </w:rPr>
              <w:t>是否采用电子招标投标</w:t>
            </w:r>
          </w:p>
        </w:tc>
        <w:tc>
          <w:tcPr>
            <w:tcW w:w="5747" w:type="dxa"/>
            <w:vAlign w:val="top"/>
          </w:tcPr>
          <w:p w14:paraId="428AD9D8">
            <w:pPr>
              <w:pStyle w:val="9"/>
              <w:spacing w:before="85" w:line="220" w:lineRule="auto"/>
              <w:ind w:left="134"/>
            </w:pPr>
            <w:r>
              <w:rPr>
                <w:spacing w:val="-8"/>
              </w:rPr>
              <w:t>□否</w:t>
            </w:r>
          </w:p>
          <w:p w14:paraId="3A319CCB">
            <w:pPr>
              <w:pStyle w:val="9"/>
              <w:spacing w:before="49" w:line="225" w:lineRule="auto"/>
              <w:ind w:left="124"/>
              <w:rPr>
                <w:rFonts w:hint="eastAsia"/>
                <w:spacing w:val="-2"/>
              </w:rPr>
            </w:pPr>
            <w:r>
              <w:rPr>
                <w:rFonts w:ascii="Segoe UI Emoji" w:hAnsi="Segoe UI Emoji" w:eastAsia="Segoe UI Emoji" w:cs="Segoe UI Emoji"/>
                <w:spacing w:val="-2"/>
                <w:sz w:val="15"/>
                <w:szCs w:val="15"/>
              </w:rPr>
              <w:t>☑</w:t>
            </w:r>
            <w:r>
              <w:rPr>
                <w:spacing w:val="-2"/>
              </w:rPr>
              <w:t>是，</w:t>
            </w:r>
            <w:r>
              <w:rPr>
                <w:rFonts w:hint="eastAsia"/>
                <w:spacing w:val="-2"/>
              </w:rPr>
              <w:t>具体要求：按照《电子招标投标办法》（2013年2月4日国家发展改革委、工业和信息化部、监察部、住房城乡建设部、交通运输部、铁道部、水利部、商务部令第20号发布）、广东省发展和改革委员会等8部门《关于印发广东省工程建设项目电子招标投标交易规则的通知》（粤发改规〔2023〕1号）等相关法律法规执行。</w:t>
            </w:r>
          </w:p>
          <w:p w14:paraId="07060D0F">
            <w:pPr>
              <w:pStyle w:val="9"/>
              <w:spacing w:before="49" w:line="225" w:lineRule="auto"/>
              <w:ind w:left="124" w:firstLine="412" w:firstLineChars="200"/>
              <w:rPr>
                <w:rFonts w:hint="eastAsia"/>
                <w:spacing w:val="-2"/>
              </w:rPr>
            </w:pPr>
            <w:r>
              <w:rPr>
                <w:rFonts w:hint="eastAsia"/>
                <w:spacing w:val="-2"/>
              </w:rPr>
              <w:t xml:space="preserve">特殊情况处理： </w:t>
            </w:r>
          </w:p>
          <w:p w14:paraId="194CC0E6">
            <w:pPr>
              <w:pStyle w:val="9"/>
              <w:spacing w:before="49" w:line="225" w:lineRule="auto"/>
              <w:ind w:left="124" w:firstLine="412" w:firstLineChars="200"/>
              <w:rPr>
                <w:rFonts w:hint="eastAsia"/>
                <w:spacing w:val="-2"/>
              </w:rPr>
            </w:pPr>
            <w:r>
              <w:rPr>
                <w:rFonts w:hint="eastAsia"/>
                <w:spacing w:val="-2"/>
              </w:rPr>
              <w:t xml:space="preserve">一、因下列情形导致电子交易系统无法正常运行，影响招标投标活动公平、公正和信息安全的，视为特殊情况： </w:t>
            </w:r>
          </w:p>
          <w:p w14:paraId="33C9B8FF">
            <w:pPr>
              <w:pStyle w:val="9"/>
              <w:spacing w:before="49" w:line="225" w:lineRule="auto"/>
              <w:ind w:left="124" w:firstLine="412" w:firstLineChars="200"/>
              <w:rPr>
                <w:rFonts w:hint="eastAsia"/>
                <w:spacing w:val="-2"/>
              </w:rPr>
            </w:pPr>
            <w:r>
              <w:rPr>
                <w:rFonts w:hint="eastAsia"/>
                <w:spacing w:val="-2"/>
              </w:rPr>
              <w:t>（一）网络、招标投标相关的软件或硬件故障而无法访问或无法使用的；</w:t>
            </w:r>
          </w:p>
          <w:p w14:paraId="5AA9C722">
            <w:pPr>
              <w:pStyle w:val="9"/>
              <w:spacing w:before="49" w:line="225" w:lineRule="auto"/>
              <w:ind w:left="124" w:firstLine="412" w:firstLineChars="200"/>
              <w:rPr>
                <w:rFonts w:hint="eastAsia"/>
                <w:spacing w:val="-2"/>
              </w:rPr>
            </w:pPr>
            <w:r>
              <w:rPr>
                <w:rFonts w:hint="eastAsia"/>
                <w:spacing w:val="-2"/>
              </w:rPr>
              <w:t>（二）网络攻击、病毒入侵或发现电子交易系统存在严重安全漏洞等导致无法提供正常服务的；</w:t>
            </w:r>
          </w:p>
          <w:p w14:paraId="68107B04">
            <w:pPr>
              <w:pStyle w:val="9"/>
              <w:spacing w:before="49" w:line="225" w:lineRule="auto"/>
              <w:ind w:left="124" w:firstLine="412" w:firstLineChars="200"/>
              <w:rPr>
                <w:rFonts w:hint="eastAsia"/>
                <w:spacing w:val="-2"/>
              </w:rPr>
            </w:pPr>
            <w:r>
              <w:rPr>
                <w:rFonts w:hint="eastAsia"/>
                <w:spacing w:val="-2"/>
              </w:rPr>
              <w:t>（三）电力系统故障供电中断导致电子交易系统无法运行的；</w:t>
            </w:r>
          </w:p>
          <w:p w14:paraId="13312025">
            <w:pPr>
              <w:pStyle w:val="9"/>
              <w:spacing w:before="49" w:line="225" w:lineRule="auto"/>
              <w:ind w:left="124" w:firstLine="412" w:firstLineChars="200"/>
              <w:rPr>
                <w:rFonts w:hint="eastAsia"/>
                <w:spacing w:val="-2"/>
              </w:rPr>
            </w:pPr>
            <w:r>
              <w:rPr>
                <w:rFonts w:hint="eastAsia"/>
                <w:spacing w:val="-2"/>
              </w:rPr>
              <w:t>（四）其他无法保证招标投标活动公平、公正和信息安全的。</w:t>
            </w:r>
          </w:p>
          <w:p w14:paraId="47C4AEB4">
            <w:pPr>
              <w:pStyle w:val="9"/>
              <w:spacing w:before="49" w:line="225" w:lineRule="auto"/>
              <w:ind w:left="124" w:firstLine="412" w:firstLineChars="200"/>
              <w:rPr>
                <w:rFonts w:hint="eastAsia"/>
                <w:spacing w:val="-2"/>
              </w:rPr>
            </w:pPr>
            <w:r>
              <w:rPr>
                <w:rFonts w:hint="eastAsia"/>
                <w:spacing w:val="-2"/>
              </w:rPr>
              <w:t xml:space="preserve">二、发生特殊情况时的补救方案 </w:t>
            </w:r>
          </w:p>
          <w:p w14:paraId="63EFCC51">
            <w:pPr>
              <w:pStyle w:val="9"/>
              <w:spacing w:before="49" w:line="225" w:lineRule="auto"/>
              <w:ind w:left="124" w:firstLine="412" w:firstLineChars="200"/>
              <w:rPr>
                <w:rFonts w:hint="eastAsia"/>
                <w:spacing w:val="-2"/>
              </w:rPr>
            </w:pPr>
            <w:r>
              <w:rPr>
                <w:rFonts w:hint="eastAsia"/>
                <w:spacing w:val="-2"/>
              </w:rPr>
              <w:t>（一）投标文件解密失败的补救方案：</w:t>
            </w:r>
          </w:p>
          <w:p w14:paraId="77FF8749">
            <w:pPr>
              <w:pStyle w:val="9"/>
              <w:spacing w:before="49" w:line="225" w:lineRule="auto"/>
              <w:ind w:left="124" w:firstLine="412" w:firstLineChars="200"/>
              <w:rPr>
                <w:rFonts w:hint="eastAsia"/>
                <w:spacing w:val="-2"/>
              </w:rPr>
            </w:pPr>
            <w:r>
              <w:rPr>
                <w:rFonts w:hint="eastAsia"/>
                <w:spacing w:val="-2"/>
              </w:rPr>
              <w:t>根据《电子招标投标办法》（2013年2月4日国家发展改革委、工业和信息化部、监察部、住房城乡建设部、交通运输部、铁道部、水利部、商务部令第20号发布）和《广东省工程建设项目电子招标投标交易规则的通知》（粤发改规〔2023〕1号）规定，各投标人参加线上开标会时需要准备非加密电子投标文件，当投标人上传到云浮市公共资源交易服务平台的投标文件出现解密失败时，会议组织方接受投标人重新上传与投标截止时间前提交加密投标文件一致的非加密投标文件（投标人须在30分钟内有效提交到云浮市公共资源交易服务平台），参与开标和评标；未在限时内有效提交非加密电子投标文件到云浮市公共资源交易服务平台的，视同放弃投标文件解密失败补救权利。所上传的电子投标文件必须与在线投标时的电子投标文件完全一致，如果重新上传的非加密电子投标文件计算的“哈希摘要”与系统存储的“哈希摘要”不相同，系统将拒收；各投标人对其提供的非加密投标文件与投标截止时间前提交加密投标文件一致性、真实性、有效性、合法性负责，并无条件认可和接受非加密投标文件的全部内容。</w:t>
            </w:r>
          </w:p>
          <w:p w14:paraId="44327A3C">
            <w:pPr>
              <w:pStyle w:val="9"/>
              <w:spacing w:before="49" w:line="225" w:lineRule="auto"/>
              <w:ind w:left="124" w:firstLine="412" w:firstLineChars="200"/>
              <w:rPr>
                <w:rFonts w:hint="eastAsia"/>
                <w:spacing w:val="-2"/>
              </w:rPr>
            </w:pPr>
            <w:r>
              <w:rPr>
                <w:rFonts w:hint="eastAsia"/>
                <w:spacing w:val="-2"/>
              </w:rPr>
              <w:t>（二）投标保证金补救方案：电子保函（保险）查验（解密）失败的，以电子投标文件提交的保证金资料为准进行评审；电子投标文件中未提交保证金或其他相关凭证材料的，以电子保函平台电子保函（保险）查询结果或银行转账到账查询为准进行评审。</w:t>
            </w:r>
          </w:p>
          <w:p w14:paraId="687DC374">
            <w:pPr>
              <w:pStyle w:val="9"/>
              <w:spacing w:before="49" w:line="225" w:lineRule="auto"/>
              <w:ind w:left="124" w:firstLine="412" w:firstLineChars="200"/>
              <w:rPr>
                <w:rFonts w:hint="eastAsia"/>
                <w:spacing w:val="-2"/>
              </w:rPr>
            </w:pPr>
            <w:r>
              <w:rPr>
                <w:rFonts w:hint="eastAsia"/>
                <w:spacing w:val="-2"/>
              </w:rPr>
              <w:t>（三）发生特殊情况时，电子交易系统运营机构应启动应急处置措施，查明原因，排除故障。</w:t>
            </w:r>
          </w:p>
          <w:p w14:paraId="707E04EF">
            <w:pPr>
              <w:pStyle w:val="9"/>
              <w:spacing w:before="49" w:line="225" w:lineRule="auto"/>
              <w:ind w:left="124" w:firstLine="412" w:firstLineChars="200"/>
              <w:rPr>
                <w:rFonts w:hint="eastAsia"/>
                <w:spacing w:val="-2"/>
              </w:rPr>
            </w:pPr>
            <w:r>
              <w:rPr>
                <w:rFonts w:hint="eastAsia"/>
                <w:spacing w:val="-2"/>
              </w:rPr>
              <w:t>如在开标前恢复系统运行的，招标投标活动继续进行。如开评标活动无法按时开展，按本须知前附表“需要补充的其他内容”条款号11的约定处理。</w:t>
            </w:r>
          </w:p>
          <w:p w14:paraId="106E5309">
            <w:pPr>
              <w:pStyle w:val="9"/>
              <w:spacing w:before="49" w:line="225" w:lineRule="auto"/>
              <w:ind w:left="124" w:firstLine="412" w:firstLineChars="200"/>
            </w:pPr>
            <w:r>
              <w:rPr>
                <w:rFonts w:hint="eastAsia"/>
                <w:spacing w:val="-2"/>
              </w:rPr>
              <w:t>除发生上述情况外，开标评标均以投标人通过云浮市公共资源交易服务平台网上递交的电子投标文件为准。</w:t>
            </w:r>
          </w:p>
        </w:tc>
      </w:tr>
      <w:tr w14:paraId="1E559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375" w:type="dxa"/>
            <w:gridSpan w:val="3"/>
            <w:vAlign w:val="top"/>
          </w:tcPr>
          <w:p w14:paraId="18ADB9FA">
            <w:pPr>
              <w:pStyle w:val="9"/>
              <w:spacing w:before="141" w:line="220" w:lineRule="auto"/>
              <w:ind w:left="127"/>
            </w:pPr>
            <w:r>
              <w:rPr>
                <w:b/>
                <w:bCs/>
                <w:spacing w:val="-4"/>
              </w:rPr>
              <w:t>需要补充的其他内容</w:t>
            </w:r>
          </w:p>
        </w:tc>
      </w:tr>
      <w:tr w14:paraId="0BA82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79BC1785">
            <w:pPr>
              <w:pStyle w:val="9"/>
              <w:spacing w:before="302" w:line="239" w:lineRule="auto"/>
              <w:ind w:left="349"/>
            </w:pPr>
            <w:r>
              <w:rPr>
                <w:spacing w:val="-4"/>
              </w:rPr>
              <w:t>1.4.4</w:t>
            </w:r>
          </w:p>
        </w:tc>
        <w:tc>
          <w:tcPr>
            <w:tcW w:w="8190" w:type="dxa"/>
            <w:gridSpan w:val="2"/>
            <w:vAlign w:val="top"/>
          </w:tcPr>
          <w:p w14:paraId="0DFCBC9B">
            <w:pPr>
              <w:pStyle w:val="9"/>
              <w:spacing w:before="287" w:line="233" w:lineRule="auto"/>
              <w:ind w:left="111"/>
              <w:rPr>
                <w:rFonts w:hint="eastAsia"/>
                <w:b/>
                <w:bCs/>
                <w:spacing w:val="6"/>
              </w:rPr>
            </w:pPr>
            <w:r>
              <w:rPr>
                <w:rFonts w:hint="eastAsia"/>
                <w:b/>
                <w:bCs/>
                <w:spacing w:val="6"/>
              </w:rPr>
              <w:t>第 1.4.4 项中（1）目中的“招标项目所在地”指“广东省”。</w:t>
            </w:r>
          </w:p>
          <w:p w14:paraId="1C45F097">
            <w:pPr>
              <w:pStyle w:val="9"/>
              <w:spacing w:before="287" w:line="233" w:lineRule="auto"/>
              <w:ind w:left="111"/>
              <w:rPr>
                <w:rFonts w:hint="eastAsia"/>
                <w:b/>
                <w:bCs/>
                <w:spacing w:val="6"/>
              </w:rPr>
            </w:pPr>
            <w:r>
              <w:rPr>
                <w:rFonts w:hint="eastAsia"/>
                <w:b/>
                <w:bCs/>
                <w:spacing w:val="6"/>
              </w:rPr>
              <w:t xml:space="preserve">第1.4.4项中（4）修改为： </w:t>
            </w:r>
          </w:p>
          <w:p w14:paraId="751B3FC4">
            <w:pPr>
              <w:pStyle w:val="9"/>
              <w:spacing w:before="302" w:line="220" w:lineRule="auto"/>
              <w:ind w:left="110"/>
              <w:rPr>
                <w:rFonts w:hint="eastAsia"/>
                <w:spacing w:val="-3"/>
              </w:rPr>
            </w:pPr>
            <w:r>
              <w:rPr>
                <w:rFonts w:hint="eastAsia"/>
                <w:spacing w:val="-3"/>
              </w:rPr>
              <w:t>（4）在国家企业信用信息公示系统（https://www.gsxt.gov.cn）中被列入严重违法失信企业名单（或联合体各成员）。</w:t>
            </w:r>
          </w:p>
          <w:p w14:paraId="45039E15">
            <w:pPr>
              <w:pStyle w:val="9"/>
              <w:spacing w:before="302" w:line="220" w:lineRule="auto"/>
              <w:ind w:left="110"/>
              <w:rPr>
                <w:rFonts w:hint="eastAsia"/>
                <w:spacing w:val="-3"/>
              </w:rPr>
            </w:pPr>
            <w:r>
              <w:rPr>
                <w:rFonts w:hint="eastAsia"/>
                <w:b/>
                <w:bCs/>
                <w:spacing w:val="6"/>
              </w:rPr>
              <w:t>第1.4.4项中（5）修改为：</w:t>
            </w:r>
            <w:r>
              <w:rPr>
                <w:rFonts w:hint="eastAsia"/>
                <w:spacing w:val="-3"/>
              </w:rPr>
              <w:t xml:space="preserve"> </w:t>
            </w:r>
          </w:p>
          <w:p w14:paraId="78E15225">
            <w:pPr>
              <w:pStyle w:val="9"/>
              <w:spacing w:before="302" w:line="220" w:lineRule="auto"/>
              <w:ind w:left="110"/>
              <w:rPr>
                <w:rFonts w:hint="eastAsia"/>
                <w:spacing w:val="-3"/>
              </w:rPr>
            </w:pPr>
            <w:r>
              <w:rPr>
                <w:rFonts w:hint="eastAsia"/>
                <w:spacing w:val="-3"/>
              </w:rPr>
              <w:t>（5）在“中国执行信息公开网”网站（https://zxgk.court.gov.cn/shixin/）中被列</w:t>
            </w:r>
          </w:p>
          <w:p w14:paraId="10398947">
            <w:pPr>
              <w:pStyle w:val="9"/>
              <w:spacing w:before="302" w:line="220" w:lineRule="auto"/>
              <w:rPr>
                <w:rFonts w:hint="eastAsia"/>
                <w:spacing w:val="-3"/>
              </w:rPr>
            </w:pPr>
            <w:r>
              <w:rPr>
                <w:rFonts w:hint="eastAsia"/>
                <w:spacing w:val="-3"/>
              </w:rPr>
              <w:t>入失信被执行人名单的投标人（或联合体各成员）。</w:t>
            </w:r>
          </w:p>
          <w:p w14:paraId="74FF6E1B">
            <w:pPr>
              <w:pStyle w:val="9"/>
              <w:spacing w:before="302" w:line="220" w:lineRule="auto"/>
              <w:ind w:left="110"/>
              <w:rPr>
                <w:rFonts w:hint="eastAsia"/>
                <w:spacing w:val="-3"/>
              </w:rPr>
            </w:pPr>
            <w:r>
              <w:rPr>
                <w:rFonts w:hint="eastAsia"/>
                <w:b/>
                <w:bCs/>
                <w:spacing w:val="6"/>
              </w:rPr>
              <w:t>第1.4.4项中（6）修改为：</w:t>
            </w:r>
            <w:r>
              <w:rPr>
                <w:rFonts w:hint="eastAsia"/>
                <w:spacing w:val="-3"/>
              </w:rPr>
              <w:t xml:space="preserve"> </w:t>
            </w:r>
          </w:p>
          <w:p w14:paraId="790FDC5B">
            <w:pPr>
              <w:pStyle w:val="9"/>
              <w:spacing w:before="302" w:line="220" w:lineRule="auto"/>
              <w:ind w:left="110"/>
              <w:rPr>
                <w:rFonts w:hint="eastAsia"/>
                <w:spacing w:val="-3"/>
              </w:rPr>
            </w:pPr>
            <w:r>
              <w:rPr>
                <w:rFonts w:hint="eastAsia"/>
                <w:spacing w:val="-3"/>
              </w:rPr>
              <w:t>（6）投标人及其法定代表人、拟委任的项目经理（以及备选人，如有）、项目总工（以</w:t>
            </w:r>
          </w:p>
          <w:p w14:paraId="4696F86A">
            <w:pPr>
              <w:pStyle w:val="9"/>
              <w:spacing w:before="302" w:line="220" w:lineRule="auto"/>
              <w:ind w:left="110"/>
              <w:rPr>
                <w:spacing w:val="-3"/>
              </w:rPr>
            </w:pPr>
            <w:r>
              <w:rPr>
                <w:rFonts w:hint="eastAsia"/>
                <w:spacing w:val="-3"/>
              </w:rPr>
              <w:t>及备选人，如有）在近三年内有行贿犯罪行为的（以投标人投标函中的承诺为准）。</w:t>
            </w:r>
          </w:p>
        </w:tc>
      </w:tr>
      <w:tr w14:paraId="481A5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33DFA03D">
            <w:pPr>
              <w:pStyle w:val="9"/>
              <w:spacing w:before="303" w:line="239" w:lineRule="auto"/>
              <w:ind w:left="338"/>
              <w:rPr>
                <w:rFonts w:hint="default" w:eastAsia="宋体"/>
                <w:spacing w:val="-3"/>
                <w:lang w:val="en-US" w:eastAsia="zh-CN"/>
              </w:rPr>
            </w:pPr>
            <w:r>
              <w:rPr>
                <w:rFonts w:hint="eastAsia"/>
                <w:spacing w:val="-3"/>
                <w:lang w:val="en-US" w:eastAsia="zh-CN"/>
              </w:rPr>
              <w:t>1.4.5</w:t>
            </w:r>
          </w:p>
        </w:tc>
        <w:tc>
          <w:tcPr>
            <w:tcW w:w="8190" w:type="dxa"/>
            <w:gridSpan w:val="2"/>
            <w:vAlign w:val="top"/>
          </w:tcPr>
          <w:p w14:paraId="2BC8C40C">
            <w:pPr>
              <w:pStyle w:val="9"/>
              <w:spacing w:before="287" w:line="233" w:lineRule="auto"/>
              <w:ind w:left="111"/>
              <w:rPr>
                <w:rFonts w:hint="eastAsia"/>
                <w:b/>
                <w:bCs/>
                <w:spacing w:val="6"/>
              </w:rPr>
            </w:pPr>
            <w:r>
              <w:rPr>
                <w:rFonts w:hint="eastAsia"/>
                <w:b/>
                <w:bCs/>
                <w:spacing w:val="6"/>
              </w:rPr>
              <w:t xml:space="preserve">投标人须知正文第1.4.5项内容修改如下： </w:t>
            </w:r>
          </w:p>
          <w:p w14:paraId="272363D3">
            <w:pPr>
              <w:pStyle w:val="9"/>
              <w:spacing w:before="287" w:line="233" w:lineRule="auto"/>
              <w:ind w:left="111"/>
              <w:rPr>
                <w:spacing w:val="6"/>
              </w:rPr>
            </w:pPr>
            <w:r>
              <w:rPr>
                <w:rFonts w:hint="eastAsia"/>
                <w:spacing w:val="6"/>
              </w:rPr>
              <w:t>投标人（包括联合体各成员）应进入交通运输部“全国公路建设市场监督管理系统（https://hwdms.mot.gov.cn）”中的公路工程施工资质企业名录，且投标人名称和资质与该名录中的相应企业名称和资质完全一致。投标人不满足本项规定条件的，将被否决投标。</w:t>
            </w:r>
          </w:p>
        </w:tc>
      </w:tr>
      <w:tr w14:paraId="00217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52A38557">
            <w:pPr>
              <w:pStyle w:val="9"/>
              <w:spacing w:before="303" w:line="239" w:lineRule="auto"/>
              <w:ind w:left="338"/>
              <w:rPr>
                <w:rFonts w:hint="default" w:eastAsia="宋体"/>
                <w:spacing w:val="-3"/>
                <w:lang w:val="en-US" w:eastAsia="zh-CN"/>
              </w:rPr>
            </w:pPr>
            <w:r>
              <w:rPr>
                <w:rFonts w:hint="eastAsia"/>
                <w:spacing w:val="-3"/>
                <w:lang w:val="en-US" w:eastAsia="zh-CN"/>
              </w:rPr>
              <w:t>2.4</w:t>
            </w:r>
          </w:p>
        </w:tc>
        <w:tc>
          <w:tcPr>
            <w:tcW w:w="8190" w:type="dxa"/>
            <w:gridSpan w:val="2"/>
            <w:vAlign w:val="top"/>
          </w:tcPr>
          <w:p w14:paraId="34806F66">
            <w:pPr>
              <w:pStyle w:val="9"/>
              <w:spacing w:before="287" w:line="233" w:lineRule="auto"/>
              <w:ind w:left="111"/>
              <w:rPr>
                <w:rFonts w:hint="eastAsia"/>
                <w:spacing w:val="6"/>
              </w:rPr>
            </w:pPr>
            <w:r>
              <w:rPr>
                <w:rFonts w:hint="eastAsia"/>
                <w:b/>
                <w:bCs/>
                <w:spacing w:val="6"/>
              </w:rPr>
              <w:t>投标人须知正文第2.4项内容修改如下：</w:t>
            </w:r>
            <w:r>
              <w:rPr>
                <w:rFonts w:hint="eastAsia"/>
                <w:spacing w:val="6"/>
              </w:rPr>
              <w:t xml:space="preserve"> </w:t>
            </w:r>
          </w:p>
          <w:p w14:paraId="72C99639">
            <w:pPr>
              <w:pStyle w:val="9"/>
              <w:spacing w:before="287" w:line="233" w:lineRule="auto"/>
              <w:ind w:left="111"/>
              <w:rPr>
                <w:rFonts w:hint="eastAsia"/>
                <w:spacing w:val="6"/>
              </w:rPr>
            </w:pPr>
            <w:r>
              <w:rPr>
                <w:rFonts w:hint="eastAsia"/>
                <w:spacing w:val="6"/>
              </w:rPr>
              <w:t>投标人或者其他利害关系人对招标文件有异议的，应当在投标截止时间10日前以线上形式提出。招标人将在收到异议之日起3日内作出答复；作出答复前，将暂停招标投标活动。提出异议与作出答复均应通过“电子交易平台”在“异议与答复”菜单以</w:t>
            </w:r>
            <w:r>
              <w:rPr>
                <w:rFonts w:hint="eastAsia"/>
                <w:spacing w:val="6"/>
                <w:lang w:val="en-US" w:eastAsia="zh-CN"/>
              </w:rPr>
              <w:t>线上</w:t>
            </w:r>
            <w:r>
              <w:rPr>
                <w:rFonts w:hint="eastAsia"/>
                <w:spacing w:val="6"/>
              </w:rPr>
              <w:t>形式完成。</w:t>
            </w:r>
          </w:p>
          <w:p w14:paraId="3396010B">
            <w:pPr>
              <w:pStyle w:val="9"/>
              <w:spacing w:before="287" w:line="233" w:lineRule="auto"/>
              <w:ind w:left="111"/>
              <w:rPr>
                <w:spacing w:val="6"/>
              </w:rPr>
            </w:pPr>
            <w:r>
              <w:rPr>
                <w:rFonts w:hint="eastAsia"/>
                <w:spacing w:val="6"/>
              </w:rPr>
              <w:t>如投标人为联合体投标的，由联合体牵头人提出异议。</w:t>
            </w:r>
          </w:p>
        </w:tc>
      </w:tr>
      <w:tr w14:paraId="36E34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4D6EAF79">
            <w:pPr>
              <w:pStyle w:val="9"/>
              <w:spacing w:before="303" w:line="239" w:lineRule="auto"/>
              <w:ind w:left="338"/>
              <w:rPr>
                <w:rFonts w:hint="default"/>
                <w:spacing w:val="-3"/>
                <w:lang w:val="en-US" w:eastAsia="zh-CN"/>
              </w:rPr>
            </w:pPr>
            <w:r>
              <w:rPr>
                <w:rFonts w:hint="eastAsia"/>
                <w:spacing w:val="-3"/>
                <w:lang w:val="en-US" w:eastAsia="zh-CN"/>
              </w:rPr>
              <w:t>3.1.1</w:t>
            </w:r>
          </w:p>
        </w:tc>
        <w:tc>
          <w:tcPr>
            <w:tcW w:w="8190" w:type="dxa"/>
            <w:gridSpan w:val="2"/>
            <w:vAlign w:val="top"/>
          </w:tcPr>
          <w:p w14:paraId="6BD3D0A5">
            <w:pPr>
              <w:keepNext w:val="0"/>
              <w:keepLines w:val="0"/>
              <w:widowControl/>
              <w:suppressLineNumbers w:val="0"/>
              <w:jc w:val="left"/>
              <w:rPr>
                <w:rFonts w:hint="eastAsia" w:ascii="宋体" w:hAnsi="宋体" w:eastAsia="宋体" w:cs="宋体"/>
                <w:b/>
                <w:bCs/>
                <w:snapToGrid w:val="0"/>
                <w:color w:val="000000"/>
                <w:spacing w:val="6"/>
                <w:kern w:val="0"/>
                <w:sz w:val="21"/>
                <w:szCs w:val="21"/>
                <w:lang w:val="en-US" w:eastAsia="en-US" w:bidi="ar-SA"/>
              </w:rPr>
            </w:pPr>
            <w:r>
              <w:rPr>
                <w:rFonts w:hint="eastAsia" w:ascii="宋体" w:hAnsi="宋体" w:eastAsia="宋体" w:cs="宋体"/>
                <w:b/>
                <w:bCs/>
                <w:snapToGrid w:val="0"/>
                <w:color w:val="000000"/>
                <w:spacing w:val="6"/>
                <w:kern w:val="0"/>
                <w:sz w:val="21"/>
                <w:szCs w:val="21"/>
                <w:lang w:val="en-US" w:eastAsia="zh-CN" w:bidi="ar-SA"/>
              </w:rPr>
              <w:t xml:space="preserve">投标人须知正文第3.1.1项内容修改如下： </w:t>
            </w:r>
          </w:p>
          <w:p w14:paraId="290718C2">
            <w:pPr>
              <w:pStyle w:val="9"/>
              <w:spacing w:before="287" w:line="233" w:lineRule="auto"/>
              <w:ind w:left="111"/>
              <w:rPr>
                <w:rFonts w:hint="eastAsia"/>
                <w:spacing w:val="6"/>
              </w:rPr>
            </w:pPr>
            <w:r>
              <w:rPr>
                <w:rFonts w:hint="eastAsia"/>
                <w:spacing w:val="6"/>
                <w:lang w:val="en-US" w:eastAsia="zh-CN"/>
              </w:rPr>
              <w:t xml:space="preserve">3.1.1投标文件应包括下列内容【全部使用电子文档】： </w:t>
            </w:r>
          </w:p>
          <w:p w14:paraId="098C8C05">
            <w:pPr>
              <w:pStyle w:val="9"/>
              <w:spacing w:before="287" w:line="233" w:lineRule="auto"/>
              <w:ind w:left="111"/>
              <w:rPr>
                <w:rFonts w:hint="eastAsia"/>
                <w:spacing w:val="6"/>
              </w:rPr>
            </w:pPr>
            <w:r>
              <w:rPr>
                <w:rFonts w:hint="eastAsia"/>
                <w:spacing w:val="6"/>
                <w:lang w:val="en-US" w:eastAsia="zh-CN"/>
              </w:rPr>
              <w:t xml:space="preserve">第一个信封（商务及技术文件）： </w:t>
            </w:r>
          </w:p>
          <w:p w14:paraId="0704CDF8">
            <w:pPr>
              <w:pStyle w:val="9"/>
              <w:spacing w:before="287" w:line="233" w:lineRule="auto"/>
              <w:ind w:left="111"/>
              <w:rPr>
                <w:rFonts w:hint="eastAsia"/>
                <w:spacing w:val="6"/>
              </w:rPr>
            </w:pPr>
            <w:r>
              <w:rPr>
                <w:rFonts w:hint="eastAsia"/>
                <w:spacing w:val="6"/>
                <w:lang w:val="en-US" w:eastAsia="zh-CN"/>
              </w:rPr>
              <w:t xml:space="preserve">（1）投标函及投标函附录； </w:t>
            </w:r>
          </w:p>
          <w:p w14:paraId="70B160A4">
            <w:pPr>
              <w:pStyle w:val="9"/>
              <w:spacing w:before="287" w:line="233" w:lineRule="auto"/>
              <w:ind w:left="111"/>
              <w:rPr>
                <w:rFonts w:hint="eastAsia"/>
                <w:spacing w:val="6"/>
              </w:rPr>
            </w:pPr>
            <w:r>
              <w:rPr>
                <w:rFonts w:hint="eastAsia"/>
                <w:spacing w:val="6"/>
                <w:lang w:val="en-US" w:eastAsia="zh-CN"/>
              </w:rPr>
              <w:t xml:space="preserve">（2）授权委托书或法定代表人身份证明； </w:t>
            </w:r>
          </w:p>
          <w:p w14:paraId="5E8AD05B">
            <w:pPr>
              <w:pStyle w:val="9"/>
              <w:spacing w:before="287" w:line="233" w:lineRule="auto"/>
              <w:ind w:left="111"/>
              <w:rPr>
                <w:rFonts w:hint="eastAsia"/>
                <w:spacing w:val="6"/>
              </w:rPr>
            </w:pPr>
            <w:r>
              <w:rPr>
                <w:rFonts w:hint="eastAsia"/>
                <w:spacing w:val="6"/>
                <w:lang w:val="en-US" w:eastAsia="zh-CN"/>
              </w:rPr>
              <w:t xml:space="preserve">（3）联合体协议书（如有）； </w:t>
            </w:r>
          </w:p>
          <w:p w14:paraId="59675FCC">
            <w:pPr>
              <w:pStyle w:val="9"/>
              <w:spacing w:before="287" w:line="233" w:lineRule="auto"/>
              <w:ind w:left="111"/>
              <w:rPr>
                <w:rFonts w:hint="eastAsia"/>
                <w:spacing w:val="6"/>
              </w:rPr>
            </w:pPr>
            <w:r>
              <w:rPr>
                <w:rFonts w:hint="eastAsia"/>
                <w:spacing w:val="6"/>
                <w:lang w:val="en-US" w:eastAsia="zh-CN"/>
              </w:rPr>
              <w:t xml:space="preserve">（4）投标保证金；（若选择“信用承诺制”替代投标保证金，应附具“信用承诺书”） </w:t>
            </w:r>
          </w:p>
          <w:p w14:paraId="102F8DA8">
            <w:pPr>
              <w:pStyle w:val="9"/>
              <w:spacing w:before="287" w:line="233" w:lineRule="auto"/>
              <w:ind w:left="111"/>
              <w:rPr>
                <w:rFonts w:hint="eastAsia"/>
                <w:spacing w:val="6"/>
              </w:rPr>
            </w:pPr>
            <w:r>
              <w:rPr>
                <w:rFonts w:hint="eastAsia"/>
                <w:spacing w:val="6"/>
                <w:lang w:val="en-US" w:eastAsia="zh-CN"/>
              </w:rPr>
              <w:t xml:space="preserve">（5）施工组织设计及承包人项目管理方案； </w:t>
            </w:r>
          </w:p>
          <w:p w14:paraId="4678C364">
            <w:pPr>
              <w:pStyle w:val="9"/>
              <w:spacing w:before="287" w:line="233" w:lineRule="auto"/>
              <w:ind w:left="111"/>
              <w:rPr>
                <w:rFonts w:hint="eastAsia"/>
                <w:spacing w:val="6"/>
              </w:rPr>
            </w:pPr>
            <w:r>
              <w:rPr>
                <w:rFonts w:hint="eastAsia"/>
                <w:spacing w:val="6"/>
                <w:lang w:val="en-US" w:eastAsia="zh-CN"/>
              </w:rPr>
              <w:t xml:space="preserve">（6）项目管理机构； </w:t>
            </w:r>
          </w:p>
          <w:p w14:paraId="48FEF1BD">
            <w:pPr>
              <w:pStyle w:val="9"/>
              <w:spacing w:before="287" w:line="233" w:lineRule="auto"/>
              <w:ind w:left="111"/>
              <w:rPr>
                <w:rFonts w:hint="eastAsia"/>
                <w:spacing w:val="6"/>
              </w:rPr>
            </w:pPr>
            <w:r>
              <w:rPr>
                <w:rFonts w:hint="eastAsia"/>
                <w:spacing w:val="6"/>
                <w:lang w:val="en-US" w:eastAsia="zh-CN"/>
              </w:rPr>
              <w:t xml:space="preserve">（7）拟分包项目情况表； </w:t>
            </w:r>
          </w:p>
          <w:p w14:paraId="467DD98F">
            <w:pPr>
              <w:pStyle w:val="9"/>
              <w:spacing w:before="287" w:line="233" w:lineRule="auto"/>
              <w:ind w:left="111"/>
              <w:rPr>
                <w:rFonts w:hint="eastAsia"/>
                <w:spacing w:val="6"/>
              </w:rPr>
            </w:pPr>
            <w:r>
              <w:rPr>
                <w:rFonts w:hint="eastAsia"/>
                <w:spacing w:val="6"/>
                <w:lang w:val="en-US" w:eastAsia="zh-CN"/>
              </w:rPr>
              <w:t xml:space="preserve">（8）资格审查资料； </w:t>
            </w:r>
          </w:p>
          <w:p w14:paraId="5BF2A104">
            <w:pPr>
              <w:pStyle w:val="9"/>
              <w:spacing w:before="287" w:line="233" w:lineRule="auto"/>
              <w:ind w:left="111"/>
              <w:rPr>
                <w:rFonts w:hint="eastAsia"/>
                <w:spacing w:val="6"/>
              </w:rPr>
            </w:pPr>
            <w:r>
              <w:rPr>
                <w:rFonts w:hint="eastAsia"/>
                <w:spacing w:val="6"/>
                <w:lang w:val="en-US" w:eastAsia="zh-CN"/>
              </w:rPr>
              <w:t xml:space="preserve">（9）投标人须知前附表规定的其他资料； </w:t>
            </w:r>
          </w:p>
          <w:p w14:paraId="1FAD450B">
            <w:pPr>
              <w:pStyle w:val="9"/>
              <w:spacing w:before="287" w:line="233" w:lineRule="auto"/>
              <w:ind w:left="111"/>
              <w:rPr>
                <w:rFonts w:hint="eastAsia"/>
                <w:spacing w:val="6"/>
              </w:rPr>
            </w:pPr>
            <w:r>
              <w:rPr>
                <w:rFonts w:hint="eastAsia"/>
                <w:spacing w:val="6"/>
                <w:lang w:val="en-US" w:eastAsia="zh-CN"/>
              </w:rPr>
              <w:t xml:space="preserve">第二个信封（报价文件） </w:t>
            </w:r>
          </w:p>
          <w:p w14:paraId="51853938">
            <w:pPr>
              <w:pStyle w:val="9"/>
              <w:spacing w:before="287" w:line="233" w:lineRule="auto"/>
              <w:ind w:left="111"/>
              <w:rPr>
                <w:rFonts w:hint="eastAsia"/>
                <w:spacing w:val="6"/>
              </w:rPr>
            </w:pPr>
            <w:r>
              <w:rPr>
                <w:rFonts w:hint="eastAsia"/>
                <w:spacing w:val="6"/>
                <w:lang w:val="en-US" w:eastAsia="zh-CN"/>
              </w:rPr>
              <w:t xml:space="preserve">（1）投标函； </w:t>
            </w:r>
          </w:p>
          <w:p w14:paraId="3E5CA0BB">
            <w:pPr>
              <w:pStyle w:val="9"/>
              <w:spacing w:before="287" w:line="233" w:lineRule="auto"/>
              <w:ind w:left="111"/>
              <w:rPr>
                <w:rFonts w:hint="eastAsia"/>
                <w:spacing w:val="6"/>
              </w:rPr>
            </w:pPr>
            <w:r>
              <w:rPr>
                <w:rFonts w:hint="eastAsia"/>
                <w:spacing w:val="6"/>
                <w:lang w:val="en-US" w:eastAsia="zh-CN"/>
              </w:rPr>
              <w:t xml:space="preserve">（2）已标价工程量清单； </w:t>
            </w:r>
          </w:p>
          <w:p w14:paraId="4722401C">
            <w:pPr>
              <w:pStyle w:val="9"/>
              <w:spacing w:before="287" w:line="233" w:lineRule="auto"/>
              <w:ind w:left="111"/>
              <w:rPr>
                <w:rFonts w:hint="eastAsia"/>
                <w:spacing w:val="6"/>
              </w:rPr>
            </w:pPr>
            <w:r>
              <w:rPr>
                <w:rFonts w:hint="eastAsia"/>
                <w:spacing w:val="6"/>
                <w:lang w:val="en-US" w:eastAsia="zh-CN"/>
              </w:rPr>
              <w:t>投标人在评标过程中作出的符合法律法规和招标文件规定的澄清确认，构成投标文件的组成部分。</w:t>
            </w:r>
          </w:p>
          <w:p w14:paraId="74487EDF">
            <w:pPr>
              <w:pStyle w:val="9"/>
              <w:spacing w:before="287" w:line="233" w:lineRule="auto"/>
              <w:ind w:left="111"/>
              <w:rPr>
                <w:rFonts w:hint="eastAsia"/>
                <w:spacing w:val="6"/>
              </w:rPr>
            </w:pPr>
          </w:p>
        </w:tc>
      </w:tr>
      <w:tr w14:paraId="4D5A5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67526511">
            <w:pPr>
              <w:pStyle w:val="9"/>
              <w:spacing w:before="303" w:line="239" w:lineRule="auto"/>
              <w:ind w:left="338"/>
              <w:rPr>
                <w:rFonts w:hint="default" w:eastAsia="宋体"/>
                <w:spacing w:val="-3"/>
                <w:lang w:val="en-US" w:eastAsia="zh-CN"/>
              </w:rPr>
            </w:pPr>
            <w:r>
              <w:rPr>
                <w:rFonts w:hint="eastAsia"/>
                <w:spacing w:val="-3"/>
                <w:lang w:val="en-US" w:eastAsia="zh-CN"/>
              </w:rPr>
              <w:t>3.2.1</w:t>
            </w:r>
          </w:p>
        </w:tc>
        <w:tc>
          <w:tcPr>
            <w:tcW w:w="8190" w:type="dxa"/>
            <w:gridSpan w:val="2"/>
            <w:vAlign w:val="top"/>
          </w:tcPr>
          <w:p w14:paraId="66A54057">
            <w:pPr>
              <w:pStyle w:val="9"/>
              <w:spacing w:before="287" w:line="233" w:lineRule="auto"/>
              <w:ind w:left="111"/>
              <w:rPr>
                <w:rFonts w:hint="eastAsia"/>
                <w:b/>
                <w:bCs/>
                <w:spacing w:val="6"/>
              </w:rPr>
            </w:pPr>
            <w:r>
              <w:rPr>
                <w:rFonts w:hint="eastAsia"/>
                <w:b/>
                <w:bCs/>
                <w:spacing w:val="6"/>
              </w:rPr>
              <w:t>投标人须知正文第 3.2.1 项部分内容细化如下：</w:t>
            </w:r>
          </w:p>
          <w:p w14:paraId="2F88D402">
            <w:pPr>
              <w:pStyle w:val="9"/>
              <w:spacing w:before="287" w:line="233" w:lineRule="auto"/>
              <w:ind w:left="111"/>
              <w:rPr>
                <w:rFonts w:hint="eastAsia"/>
                <w:spacing w:val="6"/>
              </w:rPr>
            </w:pPr>
            <w:r>
              <w:rPr>
                <w:rFonts w:hint="eastAsia"/>
                <w:spacing w:val="6"/>
              </w:rPr>
              <w:t>3.2.1投标报价应包括国家规定的增值税税金，除投标人须知前附表另有规定外，增值 税税金按一般计税方法计算。投标人应按第九章“投标文件格式”的要求在投标函中进行报价并填写工程量清单相应表格。 工程量清单的填写分下列两种方式。投标人应按投标人须知前附表规定的方式填写工程量清单。</w:t>
            </w:r>
          </w:p>
          <w:p w14:paraId="78A6968E">
            <w:pPr>
              <w:pStyle w:val="9"/>
              <w:numPr>
                <w:ilvl w:val="0"/>
                <w:numId w:val="4"/>
              </w:numPr>
              <w:spacing w:before="287" w:line="233" w:lineRule="auto"/>
              <w:ind w:left="111"/>
              <w:rPr>
                <w:rFonts w:hint="eastAsia"/>
                <w:spacing w:val="6"/>
              </w:rPr>
            </w:pPr>
            <w:r>
              <w:rPr>
                <w:rFonts w:hint="eastAsia"/>
                <w:spacing w:val="6"/>
              </w:rPr>
              <w:t>本项目招标如采用工程量固化清单，招标人在发出招标文件的同时将工程量固化 清单电子文件按投标人须知前附表载明的形式公布给投标人。投标人填写工程量清单中各子目的单价及总额价，即可完成投标工程量清单的编制，确定投标报价，编入投标文件。投标人未在工程量清单中填入单价或总额价的工程子目，将被认为其已包含在工程量清单其他子 目的单价和总额价中，招标人将不予支付。 投标人必须严格遵循工程量固化清单电子文件中的数据、格式及运算定义，严禁投标人修改工程量固化清单电子文件中的数据、格式及运算定义。投标人中标后，发包人可要求中标人提交已填写完毕的投标工程量固化清单电子文件，中标人不得拒绝。投标人根据招标人提供的工程量固化清单电子文件填报完成的投标工程量清单中的投标总报价和投标函大写金额报价应一致，如果报价金额出现差异时，其投标将被否决。</w:t>
            </w:r>
          </w:p>
          <w:p w14:paraId="2A44B875">
            <w:pPr>
              <w:pStyle w:val="9"/>
              <w:spacing w:before="287" w:line="233" w:lineRule="auto"/>
              <w:ind w:left="111"/>
              <w:rPr>
                <w:spacing w:val="6"/>
              </w:rPr>
            </w:pPr>
            <w:r>
              <w:rPr>
                <w:rFonts w:hint="eastAsia"/>
                <w:spacing w:val="6"/>
              </w:rPr>
              <w:t>（2）投标报价的所有单价取小数点后两位，所有合价和总价应四舍五入取整数。工程量清单不需要附单价分析表、项目清单、分项清单，但投标人中标后，发包人可要求中标人提交项目清单、分项清单及单价分析表，中标人不得拒绝。</w:t>
            </w:r>
          </w:p>
        </w:tc>
      </w:tr>
      <w:tr w14:paraId="3B256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5275ADC6">
            <w:pPr>
              <w:pStyle w:val="9"/>
              <w:spacing w:before="303" w:line="239" w:lineRule="auto"/>
              <w:ind w:left="338"/>
              <w:rPr>
                <w:rFonts w:hint="default"/>
                <w:spacing w:val="-3"/>
                <w:lang w:val="en-US" w:eastAsia="zh-CN"/>
              </w:rPr>
            </w:pPr>
            <w:r>
              <w:rPr>
                <w:rFonts w:hint="eastAsia"/>
                <w:spacing w:val="-3"/>
                <w:lang w:val="en-US" w:eastAsia="zh-CN"/>
              </w:rPr>
              <w:t>3.3.3</w:t>
            </w:r>
          </w:p>
        </w:tc>
        <w:tc>
          <w:tcPr>
            <w:tcW w:w="8190" w:type="dxa"/>
            <w:gridSpan w:val="2"/>
            <w:vAlign w:val="top"/>
          </w:tcPr>
          <w:p w14:paraId="71AAB12A">
            <w:pPr>
              <w:pStyle w:val="9"/>
              <w:spacing w:before="287" w:line="233" w:lineRule="auto"/>
              <w:ind w:left="111"/>
              <w:rPr>
                <w:rFonts w:hint="eastAsia"/>
                <w:spacing w:val="6"/>
              </w:rPr>
            </w:pPr>
            <w:r>
              <w:rPr>
                <w:rFonts w:hint="eastAsia"/>
                <w:b/>
                <w:bCs/>
                <w:spacing w:val="6"/>
              </w:rPr>
              <w:t>投标人须知正文第3.3.3项内容修改如下：</w:t>
            </w:r>
            <w:r>
              <w:rPr>
                <w:rFonts w:hint="eastAsia"/>
                <w:spacing w:val="6"/>
              </w:rPr>
              <w:t xml:space="preserve"> </w:t>
            </w:r>
          </w:p>
          <w:p w14:paraId="4B36ADE1">
            <w:pPr>
              <w:pStyle w:val="9"/>
              <w:spacing w:before="287" w:line="233" w:lineRule="auto"/>
              <w:ind w:left="111"/>
              <w:rPr>
                <w:rFonts w:hint="eastAsia"/>
                <w:spacing w:val="6"/>
              </w:rPr>
            </w:pPr>
            <w:r>
              <w:rPr>
                <w:rFonts w:hint="eastAsia"/>
                <w:spacing w:val="6"/>
              </w:rPr>
              <w:t>出现特殊情况需要延长投标有效期的，招标人以</w:t>
            </w:r>
            <w:r>
              <w:rPr>
                <w:rFonts w:hint="eastAsia"/>
                <w:b/>
                <w:bCs/>
                <w:spacing w:val="6"/>
              </w:rPr>
              <w:t>线上形式</w:t>
            </w:r>
            <w:r>
              <w:rPr>
                <w:rFonts w:hint="eastAsia"/>
                <w:spacing w:val="6"/>
              </w:rPr>
              <w:t>通知所有投标人延长投标有效期。投标人应予以</w:t>
            </w:r>
            <w:r>
              <w:rPr>
                <w:rFonts w:hint="eastAsia"/>
                <w:b/>
                <w:bCs/>
                <w:spacing w:val="6"/>
              </w:rPr>
              <w:t>线上形式答复</w:t>
            </w:r>
            <w:r>
              <w:rPr>
                <w:rFonts w:hint="eastAsia"/>
                <w:spacing w:val="6"/>
              </w:rPr>
              <w:t>，同意延长的，应相应延长其投标保证金的有效期，但不得 要求或被允许修改其投标文件；投标人拒绝延长的，其投标失效，但投标人有权收回其投标 保证金及以</w:t>
            </w:r>
            <w:r>
              <w:rPr>
                <w:rFonts w:hint="eastAsia"/>
                <w:b/>
                <w:bCs/>
                <w:spacing w:val="6"/>
              </w:rPr>
              <w:t>银行转账形式</w:t>
            </w:r>
            <w:r>
              <w:rPr>
                <w:rFonts w:hint="eastAsia"/>
                <w:spacing w:val="6"/>
              </w:rPr>
              <w:t>递交的投标保证金的银行同期活期存款利息。</w:t>
            </w:r>
          </w:p>
        </w:tc>
      </w:tr>
      <w:tr w14:paraId="5C03A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3BD4CB1D">
            <w:pPr>
              <w:pStyle w:val="9"/>
              <w:spacing w:before="303" w:line="239" w:lineRule="auto"/>
              <w:ind w:left="338"/>
              <w:rPr>
                <w:rFonts w:hint="default" w:eastAsia="宋体"/>
                <w:spacing w:val="-3"/>
                <w:lang w:val="en-US" w:eastAsia="zh-CN"/>
              </w:rPr>
            </w:pPr>
            <w:r>
              <w:rPr>
                <w:rFonts w:hint="eastAsia"/>
                <w:spacing w:val="-3"/>
                <w:lang w:val="en-US" w:eastAsia="zh-CN"/>
              </w:rPr>
              <w:t>3.4.1</w:t>
            </w:r>
          </w:p>
        </w:tc>
        <w:tc>
          <w:tcPr>
            <w:tcW w:w="8190" w:type="dxa"/>
            <w:gridSpan w:val="2"/>
            <w:vAlign w:val="top"/>
          </w:tcPr>
          <w:p w14:paraId="10911312">
            <w:pPr>
              <w:pStyle w:val="9"/>
              <w:spacing w:before="287" w:line="233" w:lineRule="auto"/>
              <w:ind w:left="111"/>
              <w:rPr>
                <w:rFonts w:hint="eastAsia"/>
                <w:b/>
                <w:bCs/>
                <w:spacing w:val="6"/>
              </w:rPr>
            </w:pPr>
            <w:r>
              <w:rPr>
                <w:rFonts w:hint="eastAsia"/>
                <w:b/>
                <w:bCs/>
                <w:spacing w:val="6"/>
              </w:rPr>
              <w:t>投标人须知正文第 3.4.1 项内容修改如下：</w:t>
            </w:r>
          </w:p>
          <w:p w14:paraId="6058AA81">
            <w:pPr>
              <w:pStyle w:val="9"/>
              <w:spacing w:before="287" w:line="233" w:lineRule="auto"/>
              <w:ind w:left="111"/>
              <w:rPr>
                <w:rFonts w:hint="eastAsia"/>
                <w:spacing w:val="6"/>
              </w:rPr>
            </w:pPr>
            <w:r>
              <w:rPr>
                <w:rFonts w:hint="eastAsia"/>
                <w:spacing w:val="6"/>
              </w:rPr>
              <w:t>3.4.1投标人在递交投标文件的同时，应按投标人须知前附表规定的金额和第</w:t>
            </w:r>
            <w:r>
              <w:rPr>
                <w:rFonts w:hint="eastAsia"/>
                <w:spacing w:val="6"/>
                <w:lang w:val="en-US" w:eastAsia="zh-CN"/>
              </w:rPr>
              <w:t>九</w:t>
            </w:r>
            <w:r>
              <w:rPr>
                <w:rFonts w:hint="eastAsia"/>
                <w:spacing w:val="6"/>
              </w:rPr>
              <w:t>章“投标文件格式”规定的投标保证金格式递交投标保证金，并作为其投标文件的组成部分。联合体投标的，其投标保证金由牵头人递交，并应符合投标人须知前附表的规定。</w:t>
            </w:r>
          </w:p>
          <w:p w14:paraId="3835349A">
            <w:pPr>
              <w:pStyle w:val="9"/>
              <w:spacing w:before="287" w:line="233" w:lineRule="auto"/>
              <w:ind w:left="111"/>
              <w:rPr>
                <w:rFonts w:hint="eastAsia"/>
                <w:spacing w:val="6"/>
              </w:rPr>
            </w:pPr>
            <w:r>
              <w:rPr>
                <w:rFonts w:hint="eastAsia"/>
                <w:spacing w:val="6"/>
              </w:rPr>
              <w:t>投标保证金应采用电子保函（保险）、银行转账或招标人在投标人须知前附表规定的其他形式。</w:t>
            </w:r>
          </w:p>
          <w:p w14:paraId="60FCFD22">
            <w:pPr>
              <w:pStyle w:val="9"/>
              <w:spacing w:before="287" w:line="233" w:lineRule="auto"/>
              <w:ind w:left="111"/>
              <w:rPr>
                <w:rFonts w:hint="eastAsia"/>
                <w:spacing w:val="6"/>
              </w:rPr>
            </w:pPr>
            <w:r>
              <w:rPr>
                <w:rFonts w:hint="eastAsia"/>
                <w:spacing w:val="6"/>
              </w:rPr>
              <w:t>(1)若采用银行转账，投标人应在递交投标文件截止时间之前，将投标保证金由投标人的基本账户转入招标人指定账户，否则视为投标保证金无效。招标人指定的开户银行及账号见投标人须知前附表。</w:t>
            </w:r>
          </w:p>
          <w:p w14:paraId="3CC3A086">
            <w:pPr>
              <w:pStyle w:val="9"/>
              <w:spacing w:before="287" w:line="233" w:lineRule="auto"/>
              <w:ind w:left="111"/>
              <w:rPr>
                <w:rFonts w:hint="eastAsia"/>
                <w:spacing w:val="6"/>
              </w:rPr>
            </w:pPr>
            <w:r>
              <w:rPr>
                <w:rFonts w:hint="eastAsia"/>
                <w:spacing w:val="6"/>
              </w:rPr>
              <w:t>(2)若采用电子保函</w:t>
            </w:r>
            <w:r>
              <w:rPr>
                <w:rFonts w:hint="eastAsia"/>
                <w:spacing w:val="6"/>
                <w:lang w:eastAsia="zh-CN"/>
              </w:rPr>
              <w:t>（</w:t>
            </w:r>
            <w:r>
              <w:rPr>
                <w:rFonts w:hint="eastAsia"/>
                <w:spacing w:val="6"/>
              </w:rPr>
              <w:t>保险</w:t>
            </w:r>
            <w:r>
              <w:rPr>
                <w:rFonts w:hint="eastAsia"/>
                <w:spacing w:val="6"/>
                <w:lang w:eastAsia="zh-CN"/>
              </w:rPr>
              <w:t>），</w:t>
            </w:r>
            <w:r>
              <w:rPr>
                <w:rFonts w:hint="eastAsia"/>
                <w:spacing w:val="6"/>
              </w:rPr>
              <w:t>投标人应通过“云浮市公共资源交易电子保函平台”提交投标保证金。投标人须在投标截止时间前通过“云浮市公共资源交易电子保函平台”购买并成功出函。</w:t>
            </w:r>
          </w:p>
          <w:p w14:paraId="258B3EEC">
            <w:pPr>
              <w:pStyle w:val="9"/>
              <w:spacing w:before="287" w:line="233" w:lineRule="auto"/>
              <w:ind w:left="111"/>
              <w:rPr>
                <w:rFonts w:hint="default" w:eastAsia="宋体"/>
                <w:spacing w:val="6"/>
                <w:lang w:val="en-US" w:eastAsia="zh-CN"/>
              </w:rPr>
            </w:pPr>
            <w:r>
              <w:rPr>
                <w:rFonts w:hint="eastAsia"/>
                <w:spacing w:val="6"/>
                <w:lang w:eastAsia="zh-CN"/>
              </w:rPr>
              <w:t>（</w:t>
            </w:r>
            <w:r>
              <w:rPr>
                <w:rFonts w:hint="eastAsia"/>
                <w:spacing w:val="6"/>
                <w:lang w:val="en-US" w:eastAsia="zh-CN"/>
              </w:rPr>
              <w:t>3</w:t>
            </w:r>
            <w:r>
              <w:rPr>
                <w:rFonts w:hint="eastAsia"/>
                <w:spacing w:val="6"/>
                <w:lang w:eastAsia="zh-CN"/>
              </w:rPr>
              <w:t>）</w:t>
            </w:r>
            <w:r>
              <w:rPr>
                <w:rFonts w:hint="eastAsia"/>
                <w:spacing w:val="-4"/>
                <w:lang w:val="en-US" w:eastAsia="zh-CN"/>
              </w:rPr>
              <w:t>信用状况良好、没有失信记录的投标人可使用“信用承诺书”替代投标保证金。适用对象：信用状况良好且没有失信记录的投标人。信用状况良好是指在广东省或云浮市行业主管部门诚信管理系统的诚信等级为最高级或次高级，（示例：某房屋市政工程招标项目诚信状况使用“云浮市智慧建筑管理服务信息平台”，投标人信用等级需为 AAA 级或 AA 级；水利行业在“广东省水利建设市场信用信息平台”上公告信用分值为 90（含本数）分以上的企业；交通行业在最新年度“广东省公路、水运工程从业单位信用评价”中信用等级为 AA 级的企业。）；没有失信记录是指投标人在“信用中国”或“信用广东”网站的公开信用报告没有被列入严重失信主体名单、经营异常名录、行政处罚信息，且没有投标过程中出现违约失信行为的记录。</w:t>
            </w:r>
          </w:p>
          <w:p w14:paraId="0EB03F62">
            <w:pPr>
              <w:pStyle w:val="9"/>
              <w:spacing w:before="287" w:line="233" w:lineRule="auto"/>
              <w:ind w:left="111"/>
              <w:rPr>
                <w:spacing w:val="6"/>
              </w:rPr>
            </w:pPr>
            <w:r>
              <w:rPr>
                <w:rFonts w:hint="eastAsia"/>
                <w:spacing w:val="6"/>
              </w:rPr>
              <w:t>无论采取何种形式的投标保证金，投标保证金有效期均应与投标有效期一致。招标人如果按本章第3.3.3项的规定延长了投标有效期，则投标保证金的有效期也相应延长。</w:t>
            </w:r>
          </w:p>
        </w:tc>
      </w:tr>
      <w:tr w14:paraId="74876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4CD5A414">
            <w:pPr>
              <w:pStyle w:val="9"/>
              <w:spacing w:before="303" w:line="239" w:lineRule="auto"/>
              <w:ind w:left="338"/>
              <w:rPr>
                <w:rFonts w:hint="default" w:eastAsia="宋体"/>
                <w:spacing w:val="-3"/>
                <w:lang w:val="en-US" w:eastAsia="zh-CN"/>
              </w:rPr>
            </w:pPr>
            <w:r>
              <w:rPr>
                <w:rFonts w:hint="eastAsia"/>
                <w:spacing w:val="-3"/>
                <w:lang w:val="en-US" w:eastAsia="zh-CN"/>
              </w:rPr>
              <w:t>3.4.3</w:t>
            </w:r>
          </w:p>
        </w:tc>
        <w:tc>
          <w:tcPr>
            <w:tcW w:w="8190" w:type="dxa"/>
            <w:gridSpan w:val="2"/>
            <w:vAlign w:val="top"/>
          </w:tcPr>
          <w:p w14:paraId="5D5B00CE">
            <w:pPr>
              <w:pStyle w:val="9"/>
              <w:spacing w:before="287" w:line="233" w:lineRule="auto"/>
              <w:ind w:left="111"/>
              <w:rPr>
                <w:rFonts w:ascii="宋体" w:hAnsi="宋体" w:eastAsia="宋体" w:cs="宋体"/>
                <w:sz w:val="24"/>
                <w:szCs w:val="24"/>
              </w:rPr>
            </w:pPr>
            <w:r>
              <w:rPr>
                <w:rFonts w:hint="eastAsia"/>
                <w:b/>
                <w:bCs/>
                <w:spacing w:val="6"/>
              </w:rPr>
              <w:t>投标人须知正文第3.4.3项内容修改如下：</w:t>
            </w:r>
            <w:r>
              <w:rPr>
                <w:rFonts w:ascii="宋体" w:hAnsi="宋体" w:eastAsia="宋体" w:cs="宋体"/>
                <w:sz w:val="24"/>
                <w:szCs w:val="24"/>
              </w:rPr>
              <w:t xml:space="preserve"> </w:t>
            </w:r>
          </w:p>
          <w:p w14:paraId="09B335BB">
            <w:pPr>
              <w:pStyle w:val="9"/>
              <w:spacing w:before="287" w:line="233" w:lineRule="auto"/>
              <w:ind w:left="111"/>
              <w:rPr>
                <w:spacing w:val="6"/>
              </w:rPr>
            </w:pPr>
            <w:r>
              <w:rPr>
                <w:rFonts w:hint="eastAsia"/>
                <w:spacing w:val="6"/>
              </w:rPr>
              <w:t>3.4.3对于采用投标须知前附表3.4.1中方式二缴纳的投标保证金，方式二投标保证金退还：交易中心在中标通知书发出之日起5个工作日内将投标保证金退回非中标候选人；投标 保证金银行同期存款利息由银行自行结算。招标人应在发出中标通知书起30日内和中标人签订合同，合同签订应通过交易服务平台的“合同签订”功能在线签订。招标人、中标人双方 在发出中标通知书起30日内未在交易服务平台在线签订合同且无特殊情况的，交易中心将在30日期满5个工作日内原路退还中标候选人及中标人保证金；投标保证金的银行同期存款利 息由银行自行结算一并退回。法律、行政法规规定不予退还或者可以不退还投标保证金的，从其规定。</w:t>
            </w:r>
          </w:p>
        </w:tc>
      </w:tr>
      <w:tr w14:paraId="64088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6A7ECB7B">
            <w:pPr>
              <w:pStyle w:val="9"/>
              <w:spacing w:before="303" w:line="239" w:lineRule="auto"/>
              <w:ind w:left="338"/>
              <w:rPr>
                <w:spacing w:val="-3"/>
              </w:rPr>
            </w:pPr>
            <w:r>
              <w:rPr>
                <w:spacing w:val="2"/>
                <w:position w:val="1"/>
                <w:sz w:val="20"/>
                <w:szCs w:val="20"/>
              </w:rPr>
              <w:t>3.5.1</w:t>
            </w:r>
          </w:p>
        </w:tc>
        <w:tc>
          <w:tcPr>
            <w:tcW w:w="8190" w:type="dxa"/>
            <w:gridSpan w:val="2"/>
            <w:vAlign w:val="top"/>
          </w:tcPr>
          <w:p w14:paraId="111564DF">
            <w:pPr>
              <w:pStyle w:val="9"/>
              <w:spacing w:before="287"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 xml:space="preserve">投标人须知正文第3.5.1项内容修改如下： </w:t>
            </w:r>
          </w:p>
          <w:p w14:paraId="521D0880">
            <w:pPr>
              <w:pStyle w:val="9"/>
              <w:spacing w:before="287" w:line="233" w:lineRule="auto"/>
              <w:ind w:left="111"/>
              <w:rPr>
                <w:spacing w:val="6"/>
              </w:rPr>
            </w:pPr>
            <w:r>
              <w:rPr>
                <w:rFonts w:hint="eastAsia"/>
                <w:b/>
                <w:bCs/>
                <w:spacing w:val="6"/>
                <w:lang w:val="en-US" w:eastAsia="zh-CN"/>
              </w:rPr>
              <w:t>“投标人基本情况表”</w:t>
            </w:r>
            <w:r>
              <w:rPr>
                <w:rFonts w:hint="eastAsia"/>
                <w:spacing w:val="6"/>
                <w:lang w:val="en-US" w:eastAsia="zh-CN"/>
              </w:rPr>
              <w:t>应附企业法人营业执照、施工资质证书、安全生产许可证、基本账户开户许可证（如企业所在地已取消企业银行账户许可而无法提供开户许可证的，则需附上开户银行出具的“基本存款账户信息”或“人民银行账户管理系统查询的基本账户信息截图”，下同）的复印件，投标人在交通运输部“全国公路建设市场监督管理系统”公路工程施工资质企业名录中的网页截图复印件或网页打印件，以及投标人在“国家企业信用信息公示系统”中基础信息（体现股东及出资详细信息）的网页截图复印件或网页打印件。企业法人营业执照、施工资质证书、安全生产许可证、基本账户开户许可证的复印件应提供全本（证书封面、封底、空白页除外），包括投标人名称、投标人其他相关信息、颁发机构名称、投标人信息变更情况等关键页在内。</w:t>
            </w:r>
            <w:r>
              <w:rPr>
                <w:rFonts w:hint="eastAsia" w:ascii="宋体" w:hAnsi="宋体" w:eastAsia="宋体" w:cs="宋体"/>
                <w:b/>
                <w:bCs/>
                <w:snapToGrid w:val="0"/>
                <w:color w:val="000000"/>
                <w:kern w:val="0"/>
                <w:sz w:val="21"/>
                <w:szCs w:val="21"/>
                <w:lang w:val="en-US" w:eastAsia="zh-CN" w:bidi="ar"/>
              </w:rPr>
              <w:t>如为联合体投标的，联合体各成员均须提供以上证明资料。</w:t>
            </w:r>
          </w:p>
        </w:tc>
      </w:tr>
      <w:tr w14:paraId="28BC4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1185" w:type="dxa"/>
            <w:vAlign w:val="top"/>
          </w:tcPr>
          <w:p w14:paraId="74273D76">
            <w:pPr>
              <w:pStyle w:val="9"/>
              <w:spacing w:before="303" w:line="239" w:lineRule="auto"/>
              <w:ind w:left="338"/>
            </w:pPr>
            <w:r>
              <w:rPr>
                <w:spacing w:val="-3"/>
              </w:rPr>
              <w:t>3.5.2</w:t>
            </w:r>
          </w:p>
        </w:tc>
        <w:tc>
          <w:tcPr>
            <w:tcW w:w="8190" w:type="dxa"/>
            <w:gridSpan w:val="2"/>
            <w:vAlign w:val="top"/>
          </w:tcPr>
          <w:p w14:paraId="0AE66B4B">
            <w:pPr>
              <w:pStyle w:val="9"/>
              <w:spacing w:before="287"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投标人须知正文第 3.5.2 项内容修改如下：（适用于未进行资格预审的）</w:t>
            </w:r>
          </w:p>
          <w:p w14:paraId="6E09F84C">
            <w:pPr>
              <w:pStyle w:val="9"/>
              <w:spacing w:before="287" w:line="233" w:lineRule="auto"/>
              <w:ind w:left="111"/>
            </w:pPr>
            <w:r>
              <w:rPr>
                <w:rFonts w:hint="eastAsia"/>
                <w:spacing w:val="6"/>
              </w:rPr>
              <w:t>“近年财务状况表 ”具体年份要求见投标人须知前附表，近年财务信息以投标人提供的“全国公路建设市场监督管理系统 ”企业所填的信息截图为准。投标人的成立时间少于投标人须知前附表规定年份的，应提供成立以来的财务信息截图或网页打印件，且规定年份的平均营业总收入按成立以来的财务数据结合招标文件规定的年份进行计算评审，盈利满足资格审查要求的年数。“近年财务状况表 ”所填数据应与信息截图的数据一致。</w:t>
            </w:r>
          </w:p>
        </w:tc>
      </w:tr>
      <w:tr w14:paraId="6DAB4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1185" w:type="dxa"/>
            <w:vAlign w:val="top"/>
          </w:tcPr>
          <w:p w14:paraId="52C06A18">
            <w:pPr>
              <w:pStyle w:val="9"/>
              <w:spacing w:before="304" w:line="239" w:lineRule="auto"/>
              <w:ind w:left="338"/>
            </w:pPr>
            <w:r>
              <w:rPr>
                <w:spacing w:val="-3"/>
              </w:rPr>
              <w:t>3.5.3</w:t>
            </w:r>
          </w:p>
        </w:tc>
        <w:tc>
          <w:tcPr>
            <w:tcW w:w="8190" w:type="dxa"/>
            <w:gridSpan w:val="2"/>
            <w:vAlign w:val="top"/>
          </w:tcPr>
          <w:p w14:paraId="0880721D">
            <w:pPr>
              <w:pStyle w:val="9"/>
              <w:spacing w:before="288"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投标人须知正文第 3.5.3 项内容修改如下：（适用于未进行资格预审的）</w:t>
            </w:r>
          </w:p>
          <w:p w14:paraId="087FAA24">
            <w:pPr>
              <w:pStyle w:val="9"/>
              <w:spacing w:before="288" w:line="233" w:lineRule="auto"/>
              <w:ind w:left="111"/>
              <w:rPr>
                <w:rFonts w:hint="eastAsia"/>
                <w:spacing w:val="6"/>
              </w:rPr>
            </w:pPr>
            <w:r>
              <w:rPr>
                <w:rFonts w:hint="eastAsia"/>
                <w:spacing w:val="6"/>
              </w:rPr>
              <w:t>“近年完成的类似项目”应是已列入交通运输部“全国公路建设市场监督管理系统”并公开的总包已建业绩或分包（不包括劳务分包）已建业绩，具体时间要求见投标人须知前附表。</w:t>
            </w:r>
          </w:p>
          <w:p w14:paraId="00077051">
            <w:pPr>
              <w:pStyle w:val="9"/>
              <w:spacing w:before="288" w:line="233" w:lineRule="auto"/>
              <w:ind w:left="111"/>
              <w:rPr>
                <w:rFonts w:hint="eastAsia"/>
                <w:spacing w:val="6"/>
              </w:rPr>
            </w:pPr>
            <w:r>
              <w:rPr>
                <w:rFonts w:hint="eastAsia"/>
                <w:spacing w:val="6"/>
              </w:rPr>
              <w:t>“近年完成的类似项目情况表”应附在交通运输部“全国公路建设市场监督管理系统”中查询到的企业“业绩信息”相关项目网页截图复印件或网页打印件，即包括“项目名称”、“标段类型”、“合同价”、“主要工程量 ”等栏目在内的项目详细信息网页截图复印件或网页打印件。除网页截图复印件或网页打印件外，投标人无需再提供任何业绩证明材料。</w:t>
            </w:r>
          </w:p>
          <w:p w14:paraId="5F4B678D">
            <w:pPr>
              <w:pStyle w:val="9"/>
              <w:spacing w:before="288" w:line="233" w:lineRule="auto"/>
              <w:ind w:left="111"/>
              <w:rPr>
                <w:rFonts w:hint="eastAsia"/>
                <w:spacing w:val="6"/>
              </w:rPr>
            </w:pPr>
            <w:r>
              <w:rPr>
                <w:rFonts w:hint="eastAsia"/>
                <w:spacing w:val="6"/>
              </w:rPr>
              <w:t>如投标人未提供相关项目网页截图复印件或相关项目网页截图中的信息无法证实投标人满足招标文件规定的资格审查条件（业绩最低要求）或评标办法评分标准（如有），则该项目业绩不予认定。</w:t>
            </w:r>
          </w:p>
          <w:p w14:paraId="17064E0C">
            <w:pPr>
              <w:pStyle w:val="9"/>
              <w:spacing w:before="288" w:line="233" w:lineRule="auto"/>
              <w:ind w:left="111" w:firstLine="444" w:firstLineChars="200"/>
              <w:rPr>
                <w:rFonts w:hint="eastAsia"/>
                <w:spacing w:val="6"/>
              </w:rPr>
            </w:pPr>
            <w:r>
              <w:rPr>
                <w:rFonts w:hint="eastAsia"/>
                <w:spacing w:val="6"/>
              </w:rPr>
              <w:t>如要求投标人具备声屏障工程施工业绩，投标人的业绩已列入交通运输部“全国公路建设市场监督管理系统”，则按本条款 3.5.3（a）上述规定的“全国公路建设市场监督管理系统”的业绩要求执行；如投标人的业绩未列入交通运输部“全国公路建设市场监督管理系统”，则“近年完成的类似项目情况表”应同时附中标通知书、合同协议书、交工验收（或未交工验收一次性竣工验收）证书扫描件，如上述资料均无法证实投标人满足招标文件规定的资格审查条件（业绩最低要求）或评标办法评分标准（如有），则该项目业绩不予认定。</w:t>
            </w:r>
          </w:p>
          <w:p w14:paraId="0069FD47">
            <w:pPr>
              <w:pStyle w:val="9"/>
              <w:spacing w:before="288" w:line="233" w:lineRule="auto"/>
              <w:ind w:left="111" w:firstLine="444" w:firstLineChars="200"/>
            </w:pPr>
            <w:r>
              <w:rPr>
                <w:rFonts w:hint="eastAsia"/>
                <w:spacing w:val="6"/>
              </w:rPr>
              <w:t>如近年来，投标人法人机构发生合法变更或重组或法人名称变更时，应提供相关部门的合法批件或其他相关证明材料来证明其所附业绩的继承性。</w:t>
            </w:r>
          </w:p>
        </w:tc>
      </w:tr>
      <w:tr w14:paraId="52765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85" w:type="dxa"/>
            <w:vAlign w:val="top"/>
          </w:tcPr>
          <w:p w14:paraId="04D2CA12">
            <w:pPr>
              <w:pStyle w:val="9"/>
              <w:spacing w:before="304" w:line="239" w:lineRule="auto"/>
              <w:ind w:left="338"/>
              <w:rPr>
                <w:rFonts w:hint="default" w:eastAsia="宋体"/>
                <w:spacing w:val="-3"/>
                <w:lang w:val="en-US" w:eastAsia="zh-CN"/>
              </w:rPr>
            </w:pPr>
            <w:r>
              <w:rPr>
                <w:rFonts w:hint="eastAsia"/>
                <w:spacing w:val="-3"/>
                <w:lang w:val="en-US" w:eastAsia="zh-CN"/>
              </w:rPr>
              <w:t>3.5.4</w:t>
            </w:r>
          </w:p>
        </w:tc>
        <w:tc>
          <w:tcPr>
            <w:tcW w:w="8190" w:type="dxa"/>
            <w:gridSpan w:val="2"/>
            <w:vAlign w:val="top"/>
          </w:tcPr>
          <w:p w14:paraId="4F11FD96">
            <w:pPr>
              <w:pStyle w:val="9"/>
              <w:spacing w:before="288" w:line="233" w:lineRule="auto"/>
              <w:ind w:left="111"/>
              <w:rPr>
                <w:rFonts w:hint="eastAsia"/>
                <w:spacing w:val="6"/>
              </w:rPr>
            </w:pPr>
            <w:r>
              <w:rPr>
                <w:rFonts w:hint="eastAsia" w:ascii="宋体" w:hAnsi="宋体" w:eastAsia="宋体" w:cs="宋体"/>
                <w:b/>
                <w:bCs/>
                <w:snapToGrid w:val="0"/>
                <w:color w:val="000000"/>
                <w:spacing w:val="6"/>
                <w:kern w:val="0"/>
                <w:sz w:val="21"/>
                <w:szCs w:val="21"/>
                <w:lang w:val="en-US" w:eastAsia="zh-CN" w:bidi="ar-SA"/>
              </w:rPr>
              <w:t>投标人须知正文第3.5.4项内容修改如下：</w:t>
            </w:r>
            <w:r>
              <w:rPr>
                <w:rFonts w:hint="eastAsia"/>
                <w:spacing w:val="6"/>
              </w:rPr>
              <w:t xml:space="preserve"> </w:t>
            </w:r>
          </w:p>
          <w:p w14:paraId="76C9AB6A">
            <w:pPr>
              <w:pStyle w:val="9"/>
              <w:spacing w:before="288" w:line="233" w:lineRule="auto"/>
              <w:ind w:left="111"/>
              <w:rPr>
                <w:spacing w:val="6"/>
              </w:rPr>
            </w:pPr>
            <w:r>
              <w:rPr>
                <w:rFonts w:hint="eastAsia"/>
                <w:spacing w:val="6"/>
              </w:rPr>
              <w:t>“投标人的信誉情况”应附投标人在“国家企业信用信息公示系统”中未被列入严重违法失信企业名单、在“中国执行信息公开网”中未被列入失信被执行人名单的网页截图复印件或网页打印件。如为联合体投标的，此处的“投标人”包括联合体各成员。</w:t>
            </w:r>
          </w:p>
        </w:tc>
      </w:tr>
      <w:tr w14:paraId="6232A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5" w:hRule="atLeast"/>
        </w:trPr>
        <w:tc>
          <w:tcPr>
            <w:tcW w:w="1185" w:type="dxa"/>
            <w:vAlign w:val="top"/>
          </w:tcPr>
          <w:p w14:paraId="29986291">
            <w:pPr>
              <w:pStyle w:val="9"/>
              <w:spacing w:before="304" w:line="239" w:lineRule="auto"/>
              <w:ind w:left="338"/>
            </w:pPr>
            <w:r>
              <w:rPr>
                <w:spacing w:val="-3"/>
              </w:rPr>
              <w:t>3.5.5</w:t>
            </w:r>
          </w:p>
        </w:tc>
        <w:tc>
          <w:tcPr>
            <w:tcW w:w="8190" w:type="dxa"/>
            <w:gridSpan w:val="2"/>
            <w:vAlign w:val="top"/>
          </w:tcPr>
          <w:p w14:paraId="09E0FC88">
            <w:pPr>
              <w:pStyle w:val="9"/>
              <w:spacing w:before="288" w:line="233" w:lineRule="auto"/>
              <w:ind w:left="111"/>
              <w:rPr>
                <w:rFonts w:hint="eastAsia"/>
                <w:spacing w:val="6"/>
              </w:rPr>
            </w:pPr>
            <w:r>
              <w:rPr>
                <w:rFonts w:hint="eastAsia" w:ascii="宋体" w:hAnsi="宋体" w:eastAsia="宋体" w:cs="宋体"/>
                <w:b/>
                <w:bCs/>
                <w:snapToGrid w:val="0"/>
                <w:color w:val="000000"/>
                <w:spacing w:val="6"/>
                <w:kern w:val="0"/>
                <w:sz w:val="21"/>
                <w:szCs w:val="21"/>
                <w:lang w:val="en-US" w:eastAsia="zh-CN" w:bidi="ar-SA"/>
              </w:rPr>
              <w:t>删除投标人须知正文3.5.5项内容，修改如下：</w:t>
            </w:r>
            <w:r>
              <w:rPr>
                <w:rFonts w:hint="eastAsia"/>
                <w:spacing w:val="6"/>
              </w:rPr>
              <w:t xml:space="preserve"> </w:t>
            </w:r>
          </w:p>
          <w:p w14:paraId="2BEDDA15">
            <w:pPr>
              <w:pStyle w:val="9"/>
              <w:numPr>
                <w:ilvl w:val="0"/>
                <w:numId w:val="5"/>
              </w:numPr>
              <w:spacing w:before="288" w:line="233" w:lineRule="auto"/>
              <w:ind w:left="111"/>
              <w:rPr>
                <w:rFonts w:hint="eastAsia"/>
                <w:spacing w:val="6"/>
              </w:rPr>
            </w:pPr>
            <w:r>
              <w:rPr>
                <w:rFonts w:hint="eastAsia"/>
                <w:b/>
                <w:bCs/>
                <w:spacing w:val="6"/>
                <w:lang w:val="en-US" w:eastAsia="zh-CN"/>
              </w:rPr>
              <w:t>项目经理应附：</w:t>
            </w:r>
            <w:r>
              <w:rPr>
                <w:rFonts w:hint="eastAsia"/>
                <w:spacing w:val="6"/>
                <w:lang w:val="en-US" w:eastAsia="zh-CN"/>
              </w:rPr>
              <w:t>①交通运输部“全国公路建设市场监督管理系统”中载明的、能够证明项目经理满足投标人须知前附表附录5或者评标办法评分标准（如有）所提出的各项指标（即包括人员的“基本信息”、“职称信息”、“执业资格”、“个人业绩”等栏目在内）的网页截图复印件或网页打印件；②建造师注册证书在全国建筑市场监管公共服务平台上公开信息的网页截图复印件或网页打印件；③安全生产考核合格证书在交通运输部公路水运工程企业负责人和安全生产管理人员信息公共平台查询公开信息的网页截图复印件或网页打印件，或安全生产考核合格证书在交通运输工程施工单位安管人员安全生产考核管理系统信息公共查询平台上的网页截图复印件或网页打印件</w:t>
            </w:r>
            <w:r>
              <w:rPr>
                <w:rFonts w:hint="eastAsia"/>
              </w:rPr>
              <w:t>或各省级交通运输主管部门指定公开信息查询平台的</w:t>
            </w:r>
            <w:r>
              <w:rPr>
                <w:rFonts w:hint="eastAsia"/>
                <w:spacing w:val="6"/>
              </w:rPr>
              <w:t>网页截图复印件或网页打印件</w:t>
            </w:r>
            <w:r>
              <w:rPr>
                <w:rFonts w:hint="eastAsia"/>
                <w:spacing w:val="6"/>
                <w:lang w:val="en-US" w:eastAsia="zh-CN"/>
              </w:rPr>
              <w:t xml:space="preserve">；④投标人在社保系统打印的拟委任的项目经理参加社保的缴费明细复印件（社保时段为投标文件递交截止日前半年时间内连续不少于三个月）；⑤职称证书。 </w:t>
            </w:r>
          </w:p>
          <w:p w14:paraId="6B658E91">
            <w:pPr>
              <w:pStyle w:val="9"/>
              <w:numPr>
                <w:ilvl w:val="0"/>
                <w:numId w:val="0"/>
              </w:numPr>
              <w:spacing w:before="288" w:line="233" w:lineRule="auto"/>
              <w:ind w:firstLine="446" w:firstLineChars="200"/>
              <w:rPr>
                <w:rFonts w:hint="eastAsia"/>
                <w:spacing w:val="6"/>
              </w:rPr>
            </w:pPr>
            <w:r>
              <w:rPr>
                <w:rFonts w:hint="eastAsia"/>
                <w:b/>
                <w:bCs/>
                <w:spacing w:val="6"/>
                <w:lang w:val="en-US" w:eastAsia="zh-CN"/>
              </w:rPr>
              <w:t>建造师注册信息以</w:t>
            </w:r>
            <w:r>
              <w:rPr>
                <w:rFonts w:hint="eastAsia"/>
                <w:spacing w:val="6"/>
                <w:lang w:val="en-US" w:eastAsia="zh-CN"/>
              </w:rPr>
              <w:t xml:space="preserve">②的证明材料为准，安全生产考核信息以③的证明材料为准。 </w:t>
            </w:r>
          </w:p>
          <w:p w14:paraId="4BC30C8A">
            <w:pPr>
              <w:pStyle w:val="9"/>
              <w:spacing w:before="288" w:line="233" w:lineRule="auto"/>
              <w:ind w:left="111"/>
              <w:rPr>
                <w:rFonts w:hint="eastAsia"/>
                <w:spacing w:val="6"/>
              </w:rPr>
            </w:pPr>
            <w:r>
              <w:rPr>
                <w:rFonts w:hint="eastAsia"/>
                <w:spacing w:val="6"/>
                <w:lang w:val="en-US" w:eastAsia="zh-CN"/>
              </w:rPr>
              <w:t>（2）</w:t>
            </w:r>
            <w:r>
              <w:rPr>
                <w:rFonts w:hint="eastAsia"/>
                <w:b/>
                <w:bCs/>
                <w:spacing w:val="6"/>
                <w:lang w:val="en-US" w:eastAsia="zh-CN"/>
              </w:rPr>
              <w:t>项目总工应附：</w:t>
            </w:r>
            <w:r>
              <w:rPr>
                <w:rFonts w:hint="eastAsia"/>
                <w:spacing w:val="6"/>
                <w:lang w:val="en-US" w:eastAsia="zh-CN"/>
              </w:rPr>
              <w:t>①交通运输部“全国公路建设市场监督管理系统”中载明的、能够证明项目总工满足投标人须知前附表附录5或者评标办法评分标准（如有）所提出的各项 指标（即包括人员的“基本信息”、“职称信息”、“执业资格”、“个人业绩”等栏目在内）的网页截图复印件或网页打印件；②投标人在社保系统打印的拟委任的项目总工参加社保的缴费明细复印件（社保时段为投标文件递交截止日前半年时间内连续不少于三个月）；☂️③职称证书。</w:t>
            </w:r>
          </w:p>
          <w:p w14:paraId="79292834">
            <w:pPr>
              <w:pStyle w:val="9"/>
              <w:spacing w:before="288" w:line="233" w:lineRule="auto"/>
              <w:ind w:left="111"/>
              <w:rPr>
                <w:rFonts w:hint="eastAsia"/>
                <w:spacing w:val="6"/>
              </w:rPr>
            </w:pPr>
            <w:r>
              <w:rPr>
                <w:rFonts w:hint="eastAsia"/>
                <w:spacing w:val="6"/>
                <w:lang w:val="en-US" w:eastAsia="zh-CN"/>
              </w:rPr>
              <w:t xml:space="preserve">（3）除上述资料外，投标人无需再提供任何证明材料。 如项目经理和项目总工目前仍在其他项目上任职，则投标人应按投标函的格式承诺上述人员能够从该项目撤离。 </w:t>
            </w:r>
          </w:p>
          <w:p w14:paraId="483FAE98">
            <w:pPr>
              <w:pStyle w:val="9"/>
              <w:spacing w:before="288" w:line="233" w:lineRule="auto"/>
              <w:ind w:left="111"/>
            </w:pPr>
            <w:r>
              <w:rPr>
                <w:rFonts w:hint="eastAsia"/>
                <w:spacing w:val="6"/>
              </w:rPr>
              <w:t xml:space="preserve"> </w:t>
            </w:r>
          </w:p>
        </w:tc>
      </w:tr>
      <w:tr w14:paraId="57C0F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185" w:type="dxa"/>
            <w:vAlign w:val="center"/>
          </w:tcPr>
          <w:p w14:paraId="5DE951F7">
            <w:pPr>
              <w:pStyle w:val="9"/>
              <w:spacing w:before="68" w:line="288" w:lineRule="exact"/>
              <w:ind w:left="286" w:leftChars="0"/>
              <w:rPr>
                <w:spacing w:val="-3"/>
              </w:rPr>
            </w:pPr>
            <w:r>
              <w:rPr>
                <w:spacing w:val="-2"/>
                <w:position w:val="-1"/>
              </w:rPr>
              <w:t>3.5.6</w:t>
            </w:r>
          </w:p>
        </w:tc>
        <w:tc>
          <w:tcPr>
            <w:tcW w:w="8190" w:type="dxa"/>
            <w:gridSpan w:val="2"/>
            <w:vAlign w:val="center"/>
          </w:tcPr>
          <w:p w14:paraId="6DFAC091">
            <w:pPr>
              <w:pStyle w:val="9"/>
              <w:spacing w:before="288" w:line="233" w:lineRule="auto"/>
              <w:ind w:left="111"/>
              <w:rPr>
                <w:rFonts w:hint="eastAsia"/>
                <w:spacing w:val="6"/>
                <w:lang w:val="en-US" w:eastAsia="zh-CN"/>
              </w:rPr>
            </w:pPr>
            <w:r>
              <w:rPr>
                <w:rFonts w:hint="eastAsia"/>
                <w:b/>
                <w:bCs/>
                <w:spacing w:val="6"/>
                <w:lang w:val="en-US" w:eastAsia="zh-CN"/>
              </w:rPr>
              <w:t>删除投标人须知正文3.5.6项内容，修改如下</w:t>
            </w:r>
            <w:r>
              <w:rPr>
                <w:rFonts w:hint="eastAsia"/>
                <w:spacing w:val="6"/>
                <w:lang w:val="en-US" w:eastAsia="zh-CN"/>
              </w:rPr>
              <w:t xml:space="preserve">： </w:t>
            </w:r>
          </w:p>
          <w:p w14:paraId="180557CC">
            <w:pPr>
              <w:pStyle w:val="9"/>
              <w:spacing w:before="288" w:line="233" w:lineRule="auto"/>
              <w:ind w:left="111"/>
            </w:pPr>
            <w:r>
              <w:rPr>
                <w:rFonts w:hint="eastAsia"/>
                <w:spacing w:val="6"/>
                <w:lang w:val="en-US" w:eastAsia="zh-CN"/>
              </w:rPr>
              <w:t>3.5.6“</w:t>
            </w:r>
            <w:r>
              <w:rPr>
                <w:rFonts w:hint="eastAsia"/>
                <w:b/>
                <w:bCs/>
                <w:spacing w:val="6"/>
                <w:lang w:val="en-US" w:eastAsia="zh-CN"/>
              </w:rPr>
              <w:t>拟委任的其他管理和技术人员汇总表</w:t>
            </w:r>
            <w:r>
              <w:rPr>
                <w:rFonts w:hint="eastAsia"/>
                <w:spacing w:val="6"/>
                <w:lang w:val="en-US" w:eastAsia="zh-CN"/>
              </w:rPr>
              <w:t>”（如有）应填报满足投标人须知前附表 附录6规定的其他人员的相关信息。“拟委任的其他管理和技术人员资历表”（如有）中相关人员应附身份证、职称资格证书（按资格审查条件要求提供）以及资格审查条件所要求的其他相关证书的复印件、相关业绩证明材料复印件（按资格审查条件要求提供），以及投标人在社保系统打印的参加社保的缴费明细复印件（社保时段为投标文件递交截止日前半年时间内连续不少于三个月）。</w:t>
            </w:r>
            <w:r>
              <w:rPr>
                <w:rFonts w:hint="eastAsia" w:ascii="宋体" w:hAnsi="宋体" w:eastAsia="宋体" w:cs="宋体"/>
                <w:snapToGrid w:val="0"/>
                <w:color w:val="000000"/>
                <w:kern w:val="0"/>
                <w:sz w:val="21"/>
                <w:szCs w:val="21"/>
                <w:lang w:val="en-US" w:eastAsia="zh-CN" w:bidi="ar"/>
              </w:rPr>
              <w:t xml:space="preserve"> </w:t>
            </w:r>
          </w:p>
          <w:p w14:paraId="41DC6461">
            <w:pPr>
              <w:pStyle w:val="9"/>
              <w:spacing w:before="288"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b/>
                <w:bCs/>
                <w:spacing w:val="6"/>
                <w:lang w:val="en-US" w:eastAsia="zh-CN"/>
              </w:rPr>
              <w:t>注：如设置其他管理人员和技术人员按投标文件投标函的格式承诺的招标项目，投标人 编制投标文件时，投标文件格式中表（七）-1、表（七）-2可不填写。附录6资格审查条件（其他管理人员和技术人员最低要求）所要求人员须按投标文件投标函的格式承诺，中标人在进场前向招标人提交实际投入的人员。</w:t>
            </w:r>
            <w:r>
              <w:rPr>
                <w:rFonts w:hint="eastAsia"/>
                <w:spacing w:val="6"/>
                <w:lang w:val="en-US" w:eastAsia="zh-CN"/>
              </w:rPr>
              <w:t xml:space="preserve"> </w:t>
            </w:r>
          </w:p>
        </w:tc>
      </w:tr>
      <w:tr w14:paraId="7148D3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185" w:type="dxa"/>
            <w:vAlign w:val="center"/>
          </w:tcPr>
          <w:p w14:paraId="7F76E7A8">
            <w:pPr>
              <w:pStyle w:val="9"/>
              <w:spacing w:before="68" w:line="286" w:lineRule="exact"/>
              <w:ind w:left="286" w:leftChars="0"/>
              <w:rPr>
                <w:spacing w:val="-3"/>
              </w:rPr>
            </w:pPr>
            <w:r>
              <w:rPr>
                <w:spacing w:val="-2"/>
                <w:position w:val="-1"/>
              </w:rPr>
              <w:t>3.5.7</w:t>
            </w:r>
          </w:p>
        </w:tc>
        <w:tc>
          <w:tcPr>
            <w:tcW w:w="8190" w:type="dxa"/>
            <w:gridSpan w:val="2"/>
            <w:vAlign w:val="center"/>
          </w:tcPr>
          <w:p w14:paraId="6B7AACF9">
            <w:pPr>
              <w:pStyle w:val="9"/>
              <w:spacing w:before="69" w:line="220" w:lineRule="auto"/>
              <w:ind w:left="109" w:leftChars="0"/>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删除原 3.5.7 条款内容。</w:t>
            </w:r>
          </w:p>
        </w:tc>
      </w:tr>
      <w:tr w14:paraId="247C2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85" w:type="dxa"/>
            <w:vAlign w:val="top"/>
          </w:tcPr>
          <w:p w14:paraId="1341F5AB">
            <w:pPr>
              <w:pStyle w:val="9"/>
              <w:spacing w:before="304" w:line="239" w:lineRule="auto"/>
              <w:ind w:left="338"/>
              <w:rPr>
                <w:rFonts w:hint="default" w:eastAsia="宋体"/>
                <w:spacing w:val="-3"/>
                <w:lang w:val="en-US" w:eastAsia="zh-CN"/>
              </w:rPr>
            </w:pPr>
            <w:r>
              <w:rPr>
                <w:rFonts w:hint="eastAsia"/>
                <w:spacing w:val="-3"/>
                <w:lang w:val="en-US" w:eastAsia="zh-CN"/>
              </w:rPr>
              <w:t>3.5.12</w:t>
            </w:r>
          </w:p>
        </w:tc>
        <w:tc>
          <w:tcPr>
            <w:tcW w:w="8190" w:type="dxa"/>
            <w:gridSpan w:val="2"/>
            <w:vAlign w:val="top"/>
          </w:tcPr>
          <w:p w14:paraId="607187B7">
            <w:pPr>
              <w:pStyle w:val="9"/>
              <w:spacing w:before="200" w:line="220" w:lineRule="auto"/>
              <w:ind w:left="113"/>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投标人须知正文增加第 3.5.12 项内容：</w:t>
            </w:r>
          </w:p>
          <w:p w14:paraId="6986ACC1">
            <w:pPr>
              <w:pStyle w:val="9"/>
              <w:spacing w:before="288" w:line="233" w:lineRule="auto"/>
              <w:ind w:left="111"/>
              <w:rPr>
                <w:rFonts w:hint="eastAsia"/>
                <w:spacing w:val="6"/>
              </w:rPr>
            </w:pPr>
            <w:r>
              <w:rPr>
                <w:spacing w:val="-3"/>
              </w:rPr>
              <w:t>投标人在资格预审申请文件中填报的项目经理</w:t>
            </w:r>
            <w:r>
              <w:rPr>
                <w:spacing w:val="-3"/>
                <w:u w:val="single" w:color="auto"/>
              </w:rPr>
              <w:t>（以及备选人，如有）</w:t>
            </w:r>
            <w:r>
              <w:rPr>
                <w:spacing w:val="-3"/>
              </w:rPr>
              <w:t>和项目总工</w:t>
            </w:r>
            <w:r>
              <w:rPr>
                <w:spacing w:val="-3"/>
                <w:u w:val="single" w:color="auto"/>
              </w:rPr>
              <w:t>（以及</w:t>
            </w:r>
            <w:r>
              <w:rPr>
                <w:u w:val="single" w:color="auto"/>
              </w:rPr>
              <w:t>备选人，如有）</w:t>
            </w:r>
            <w:r>
              <w:t>在投标阶段原则上不允许更换，特殊情况可除外：</w:t>
            </w:r>
            <w:r>
              <w:rPr>
                <w:u w:val="single" w:color="auto"/>
              </w:rPr>
              <w:t xml:space="preserve"> </w:t>
            </w:r>
            <w:r>
              <w:rPr>
                <w:spacing w:val="-1"/>
                <w:u w:val="single" w:color="auto"/>
              </w:rPr>
              <w:t xml:space="preserve">     </w:t>
            </w:r>
            <w:r>
              <w:rPr>
                <w:rFonts w:hint="eastAsia"/>
                <w:spacing w:val="-1"/>
                <w:u w:val="single" w:color="auto"/>
                <w:lang w:val="en-US" w:eastAsia="zh-CN"/>
              </w:rPr>
              <w:t>/</w:t>
            </w:r>
            <w:r>
              <w:rPr>
                <w:spacing w:val="-1"/>
                <w:u w:val="single" w:color="auto"/>
              </w:rPr>
              <w:t xml:space="preserve">      </w:t>
            </w:r>
            <w:r>
              <w:rPr>
                <w:spacing w:val="-1"/>
              </w:rPr>
              <w:t>。</w:t>
            </w:r>
          </w:p>
        </w:tc>
      </w:tr>
      <w:tr w14:paraId="0CAFE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85" w:type="dxa"/>
            <w:vAlign w:val="top"/>
          </w:tcPr>
          <w:p w14:paraId="1E39DDE6">
            <w:pPr>
              <w:pStyle w:val="9"/>
              <w:spacing w:before="304" w:line="239" w:lineRule="auto"/>
              <w:ind w:left="338"/>
              <w:rPr>
                <w:rFonts w:hint="default" w:eastAsia="宋体"/>
                <w:spacing w:val="-3"/>
                <w:lang w:val="en-US" w:eastAsia="zh-CN"/>
              </w:rPr>
            </w:pPr>
            <w:r>
              <w:rPr>
                <w:rFonts w:hint="eastAsia"/>
                <w:spacing w:val="-3"/>
                <w:lang w:val="en-US" w:eastAsia="zh-CN"/>
              </w:rPr>
              <w:t>3.7.3</w:t>
            </w:r>
          </w:p>
        </w:tc>
        <w:tc>
          <w:tcPr>
            <w:tcW w:w="8190" w:type="dxa"/>
            <w:gridSpan w:val="2"/>
            <w:vAlign w:val="top"/>
          </w:tcPr>
          <w:p w14:paraId="6C1B908F">
            <w:pPr>
              <w:pStyle w:val="9"/>
              <w:spacing w:before="200" w:line="220" w:lineRule="auto"/>
              <w:ind w:left="113"/>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 xml:space="preserve">删除投标人须知正文3.7.3项内容，修改如下： </w:t>
            </w:r>
          </w:p>
          <w:p w14:paraId="63E8BA7C">
            <w:pPr>
              <w:pStyle w:val="9"/>
              <w:spacing w:before="288" w:line="233" w:lineRule="auto"/>
              <w:ind w:left="111"/>
              <w:rPr>
                <w:rFonts w:hint="eastAsia"/>
                <w:spacing w:val="6"/>
                <w:lang w:val="en-US" w:eastAsia="zh-CN"/>
              </w:rPr>
            </w:pPr>
            <w:r>
              <w:rPr>
                <w:rFonts w:hint="eastAsia"/>
                <w:spacing w:val="6"/>
                <w:lang w:val="en-US" w:eastAsia="zh-CN"/>
              </w:rPr>
              <w:t>投标文件全部采用电子文档。投标文件格式中明确要求投标人法定代表人或其委托代理人签字之处，必须由相关人员</w:t>
            </w:r>
            <w:r>
              <w:rPr>
                <w:rFonts w:hint="eastAsia"/>
                <w:b/>
                <w:bCs/>
                <w:spacing w:val="6"/>
                <w:lang w:val="en-US" w:eastAsia="zh-CN"/>
              </w:rPr>
              <w:t>加盖个人电子印章或由相关人员亲笔签名</w:t>
            </w:r>
            <w:r>
              <w:rPr>
                <w:rFonts w:hint="eastAsia"/>
                <w:spacing w:val="6"/>
                <w:lang w:val="en-US" w:eastAsia="zh-CN"/>
              </w:rPr>
              <w:t>后扫描上传；明确要求投标人加盖单位章之处，必须加盖单位章。其中，投标函、调价函及对投标文件的澄清和说明应加盖投标人单位章，或由投标人的法定代表人或其委托代理人</w:t>
            </w:r>
            <w:r>
              <w:rPr>
                <w:rFonts w:hint="eastAsia"/>
                <w:b/>
                <w:bCs/>
                <w:spacing w:val="6"/>
                <w:lang w:val="en-US" w:eastAsia="zh-CN"/>
              </w:rPr>
              <w:t>加盖个人电子印章或由相关人员亲笔签名后扫描上传</w:t>
            </w:r>
            <w:r>
              <w:rPr>
                <w:rFonts w:hint="eastAsia"/>
                <w:spacing w:val="6"/>
                <w:lang w:val="en-US" w:eastAsia="zh-CN"/>
              </w:rPr>
              <w:t xml:space="preserve">。 </w:t>
            </w:r>
          </w:p>
          <w:p w14:paraId="18FC57B5">
            <w:pPr>
              <w:pStyle w:val="9"/>
              <w:spacing w:before="288" w:line="233" w:lineRule="auto"/>
              <w:ind w:left="111"/>
              <w:rPr>
                <w:rFonts w:hint="eastAsia"/>
                <w:spacing w:val="6"/>
                <w:lang w:val="en-US" w:eastAsia="zh-CN"/>
              </w:rPr>
            </w:pPr>
            <w:r>
              <w:rPr>
                <w:rFonts w:hint="eastAsia"/>
                <w:spacing w:val="6"/>
                <w:lang w:val="en-US" w:eastAsia="zh-CN"/>
              </w:rPr>
              <w:t>如果投标文件由委托代理人签署，则投标人须提交授权委托书，授权委托书应按第九章 “投标文件格式”的要求出具，并由法定代表人和委托代理人</w:t>
            </w:r>
            <w:r>
              <w:rPr>
                <w:rFonts w:hint="eastAsia"/>
                <w:b/>
                <w:bCs/>
                <w:spacing w:val="6"/>
                <w:lang w:val="en-US" w:eastAsia="zh-CN"/>
              </w:rPr>
              <w:t>加盖个人电子印章或由相关人员亲笔签名</w:t>
            </w:r>
            <w:r>
              <w:rPr>
                <w:rFonts w:hint="eastAsia"/>
                <w:spacing w:val="6"/>
                <w:lang w:val="en-US" w:eastAsia="zh-CN"/>
              </w:rPr>
              <w:t xml:space="preserve">后扫描上传。 </w:t>
            </w:r>
          </w:p>
          <w:p w14:paraId="6AF67E2D">
            <w:pPr>
              <w:pStyle w:val="9"/>
              <w:spacing w:before="288" w:line="233" w:lineRule="auto"/>
              <w:ind w:left="111"/>
              <w:rPr>
                <w:rFonts w:hint="eastAsia"/>
                <w:spacing w:val="6"/>
                <w:lang w:val="en-US" w:eastAsia="zh-CN"/>
              </w:rPr>
            </w:pPr>
            <w:r>
              <w:rPr>
                <w:rFonts w:hint="eastAsia"/>
                <w:spacing w:val="6"/>
                <w:lang w:val="en-US" w:eastAsia="zh-CN"/>
              </w:rPr>
              <w:t xml:space="preserve">如果由投标人的法定代表人亲自签署投标文件，则投标人须提交法定代表人身份证明， 身份证明应符合第九章“投标文件格式”的要求。 </w:t>
            </w:r>
          </w:p>
          <w:p w14:paraId="236A67ED">
            <w:pPr>
              <w:pStyle w:val="9"/>
              <w:spacing w:before="288" w:line="233" w:lineRule="auto"/>
              <w:ind w:left="111"/>
              <w:rPr>
                <w:rFonts w:hint="eastAsia"/>
                <w:spacing w:val="6"/>
              </w:rPr>
            </w:pPr>
            <w:r>
              <w:rPr>
                <w:rFonts w:hint="eastAsia"/>
                <w:spacing w:val="6"/>
                <w:lang w:val="en-US" w:eastAsia="zh-CN"/>
              </w:rPr>
              <w:t>投标文件应尽量避免涂改、行间插字或删除。如果出现上述情况，改动之处应由投标人 的法定代表人或其授权的代理人</w:t>
            </w:r>
            <w:r>
              <w:rPr>
                <w:rFonts w:hint="eastAsia"/>
                <w:b/>
                <w:bCs/>
                <w:spacing w:val="6"/>
                <w:lang w:val="en-US" w:eastAsia="zh-CN"/>
              </w:rPr>
              <w:t>加盖个人电子印章或由相关人员亲笔签名</w:t>
            </w:r>
            <w:r>
              <w:rPr>
                <w:rFonts w:hint="eastAsia"/>
                <w:spacing w:val="6"/>
                <w:lang w:val="en-US" w:eastAsia="zh-CN"/>
              </w:rPr>
              <w:t>后扫描上传或盖单位章。</w:t>
            </w:r>
          </w:p>
        </w:tc>
      </w:tr>
      <w:tr w14:paraId="59803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185" w:type="dxa"/>
            <w:vAlign w:val="top"/>
          </w:tcPr>
          <w:p w14:paraId="6C7F758F">
            <w:pPr>
              <w:pStyle w:val="9"/>
              <w:spacing w:before="304" w:line="239" w:lineRule="auto"/>
              <w:ind w:left="338"/>
              <w:rPr>
                <w:rFonts w:hint="default"/>
                <w:spacing w:val="-3"/>
                <w:lang w:val="en-US" w:eastAsia="zh-CN"/>
              </w:rPr>
            </w:pPr>
            <w:r>
              <w:rPr>
                <w:rFonts w:hint="eastAsia"/>
                <w:spacing w:val="-3"/>
                <w:lang w:val="en-US" w:eastAsia="zh-CN"/>
              </w:rPr>
              <w:t>3.7.5</w:t>
            </w:r>
          </w:p>
        </w:tc>
        <w:tc>
          <w:tcPr>
            <w:tcW w:w="8190" w:type="dxa"/>
            <w:gridSpan w:val="2"/>
            <w:vAlign w:val="center"/>
          </w:tcPr>
          <w:p w14:paraId="0A5E6BBB">
            <w:pPr>
              <w:pStyle w:val="9"/>
              <w:spacing w:before="288" w:line="233" w:lineRule="auto"/>
              <w:ind w:left="111"/>
              <w:rPr>
                <w:rFonts w:hint="eastAsia"/>
                <w:spacing w:val="6"/>
              </w:rPr>
            </w:pPr>
            <w:r>
              <w:rPr>
                <w:rFonts w:hint="eastAsia"/>
                <w:spacing w:val="6"/>
                <w:lang w:val="en-US" w:eastAsia="zh-CN"/>
              </w:rPr>
              <w:t>删除投标人须知正文3.7.5项内容，修改内容详见本章投标人须知前附表3.7.5。</w:t>
            </w:r>
          </w:p>
        </w:tc>
      </w:tr>
      <w:tr w14:paraId="56DD9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1" w:hRule="atLeast"/>
        </w:trPr>
        <w:tc>
          <w:tcPr>
            <w:tcW w:w="1185" w:type="dxa"/>
            <w:vAlign w:val="top"/>
          </w:tcPr>
          <w:p w14:paraId="3A975F2E">
            <w:pPr>
              <w:pStyle w:val="9"/>
              <w:spacing w:before="304" w:line="239" w:lineRule="auto"/>
              <w:ind w:left="338"/>
              <w:rPr>
                <w:rFonts w:hint="default"/>
                <w:spacing w:val="-3"/>
                <w:lang w:val="en-US" w:eastAsia="zh-CN"/>
              </w:rPr>
            </w:pPr>
            <w:r>
              <w:rPr>
                <w:rFonts w:hint="eastAsia"/>
                <w:spacing w:val="-3"/>
                <w:lang w:val="en-US" w:eastAsia="zh-CN"/>
              </w:rPr>
              <w:t>4.2</w:t>
            </w:r>
          </w:p>
        </w:tc>
        <w:tc>
          <w:tcPr>
            <w:tcW w:w="8190" w:type="dxa"/>
            <w:gridSpan w:val="2"/>
            <w:vAlign w:val="top"/>
          </w:tcPr>
          <w:p w14:paraId="101B3CDE">
            <w:pPr>
              <w:pStyle w:val="9"/>
              <w:spacing w:before="288"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投标人须知正文第 4.2 款内容修改如下：</w:t>
            </w:r>
          </w:p>
          <w:p w14:paraId="78C8798A">
            <w:pPr>
              <w:pStyle w:val="9"/>
              <w:spacing w:before="288" w:line="233" w:lineRule="auto"/>
              <w:ind w:left="111"/>
              <w:rPr>
                <w:rFonts w:hint="eastAsia"/>
                <w:spacing w:val="6"/>
              </w:rPr>
            </w:pPr>
            <w:r>
              <w:rPr>
                <w:rFonts w:hint="eastAsia"/>
                <w:b/>
                <w:bCs/>
                <w:spacing w:val="6"/>
              </w:rPr>
              <w:t>4.2.1 投标人应在第一章</w:t>
            </w:r>
            <w:r>
              <w:rPr>
                <w:rFonts w:hint="eastAsia"/>
                <w:spacing w:val="6"/>
              </w:rPr>
              <w:t>“招标公告”规定的投标截止时间前，通过互联网使用CA 数字证书登录“电子交易平台”</w:t>
            </w:r>
            <w:r>
              <w:rPr>
                <w:rFonts w:hint="eastAsia"/>
                <w:spacing w:val="6"/>
                <w:lang w:eastAsia="zh-CN"/>
              </w:rPr>
              <w:t>，</w:t>
            </w:r>
            <w:r>
              <w:rPr>
                <w:rFonts w:hint="eastAsia"/>
                <w:spacing w:val="6"/>
              </w:rPr>
              <w:t>将加密的投标文件上传，并保存上传成功后系统自动生成的电子签收凭证，递交时间即为电子签收凭证时间。投标人应充分考虑上传文件时 的不可预见因素，未在投标截止时间前完成上传的，视为逾期送达，招标人</w:t>
            </w:r>
            <w:r>
              <w:rPr>
                <w:rFonts w:hint="eastAsia"/>
                <w:spacing w:val="6"/>
                <w:lang w:eastAsia="zh-CN"/>
              </w:rPr>
              <w:t>（</w:t>
            </w:r>
            <w:r>
              <w:rPr>
                <w:rFonts w:hint="eastAsia"/>
                <w:spacing w:val="6"/>
              </w:rPr>
              <w:t>“电子交易平台”</w:t>
            </w:r>
            <w:r>
              <w:rPr>
                <w:rFonts w:hint="eastAsia"/>
                <w:spacing w:val="6"/>
                <w:lang w:eastAsia="zh-CN"/>
              </w:rPr>
              <w:t>）</w:t>
            </w:r>
            <w:r>
              <w:rPr>
                <w:rFonts w:hint="eastAsia"/>
                <w:spacing w:val="6"/>
              </w:rPr>
              <w:t>将拒绝接收。</w:t>
            </w:r>
          </w:p>
          <w:p w14:paraId="44CA9D70">
            <w:pPr>
              <w:pStyle w:val="9"/>
              <w:spacing w:before="288" w:line="233" w:lineRule="auto"/>
              <w:ind w:left="111"/>
              <w:rPr>
                <w:rFonts w:hint="eastAsia"/>
                <w:b/>
                <w:bCs/>
                <w:spacing w:val="6"/>
              </w:rPr>
            </w:pPr>
            <w:r>
              <w:rPr>
                <w:rFonts w:hint="eastAsia"/>
                <w:b/>
                <w:bCs/>
                <w:spacing w:val="6"/>
              </w:rPr>
              <w:t>4.2.2 根据本章第4.1 款的规定，投标人递交的投标文件，只要出现应当拒收的情形，其投标文件予以拒收。</w:t>
            </w:r>
          </w:p>
          <w:p w14:paraId="34B5019C">
            <w:pPr>
              <w:pStyle w:val="9"/>
              <w:spacing w:before="288" w:line="233" w:lineRule="auto"/>
              <w:ind w:left="111"/>
              <w:rPr>
                <w:rFonts w:hint="eastAsia"/>
                <w:b/>
                <w:bCs/>
                <w:spacing w:val="6"/>
              </w:rPr>
            </w:pPr>
            <w:r>
              <w:rPr>
                <w:rFonts w:hint="eastAsia"/>
                <w:b/>
                <w:bCs/>
                <w:spacing w:val="6"/>
                <w:lang w:val="en-US" w:eastAsia="zh-CN"/>
              </w:rPr>
              <w:t>4.2.4修改如下：4.2.4投标人完成电子投标文件上传后，云浮市公共资源交易服务平台即时向投标人发出递交回执通知。递交时间以递交回执通知载明的传输完成时间为准。</w:t>
            </w:r>
          </w:p>
          <w:p w14:paraId="2C45BDEC">
            <w:pPr>
              <w:pStyle w:val="9"/>
              <w:spacing w:before="288" w:line="233" w:lineRule="auto"/>
              <w:ind w:left="111"/>
              <w:rPr>
                <w:rFonts w:hint="eastAsia"/>
                <w:spacing w:val="6"/>
              </w:rPr>
            </w:pPr>
          </w:p>
        </w:tc>
      </w:tr>
      <w:tr w14:paraId="0F36D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85" w:type="dxa"/>
            <w:vAlign w:val="top"/>
          </w:tcPr>
          <w:p w14:paraId="4B40FD7A">
            <w:pPr>
              <w:pStyle w:val="9"/>
              <w:spacing w:before="304" w:line="239" w:lineRule="auto"/>
              <w:ind w:left="338"/>
              <w:rPr>
                <w:rFonts w:hint="default"/>
                <w:spacing w:val="-3"/>
                <w:lang w:val="en-US" w:eastAsia="zh-CN"/>
              </w:rPr>
            </w:pPr>
            <w:r>
              <w:rPr>
                <w:rFonts w:hint="eastAsia"/>
                <w:spacing w:val="-3"/>
                <w:lang w:val="en-US" w:eastAsia="zh-CN"/>
              </w:rPr>
              <w:t>5.3</w:t>
            </w:r>
          </w:p>
        </w:tc>
        <w:tc>
          <w:tcPr>
            <w:tcW w:w="8190" w:type="dxa"/>
            <w:gridSpan w:val="2"/>
            <w:vAlign w:val="top"/>
          </w:tcPr>
          <w:p w14:paraId="4A9C1C28">
            <w:pPr>
              <w:pStyle w:val="9"/>
              <w:spacing w:before="288"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 xml:space="preserve">投标人须知正文第5.3项内容修改如下： </w:t>
            </w:r>
          </w:p>
          <w:p w14:paraId="6E645BB1">
            <w:pPr>
              <w:pStyle w:val="9"/>
              <w:spacing w:before="288" w:line="233" w:lineRule="auto"/>
              <w:ind w:left="111"/>
              <w:rPr>
                <w:rFonts w:hint="eastAsia"/>
                <w:spacing w:val="6"/>
              </w:rPr>
            </w:pPr>
            <w:r>
              <w:rPr>
                <w:rFonts w:hint="eastAsia"/>
                <w:spacing w:val="6"/>
              </w:rPr>
              <w:t>5.3开标异议</w:t>
            </w:r>
          </w:p>
          <w:p w14:paraId="1C3817BC">
            <w:pPr>
              <w:pStyle w:val="9"/>
              <w:spacing w:before="288" w:line="233" w:lineRule="auto"/>
              <w:ind w:left="111"/>
              <w:rPr>
                <w:rFonts w:hint="eastAsia"/>
                <w:spacing w:val="6"/>
              </w:rPr>
            </w:pPr>
            <w:r>
              <w:rPr>
                <w:rFonts w:hint="eastAsia"/>
                <w:spacing w:val="6"/>
              </w:rPr>
              <w:t>投标人对开标有异议的，应在开标现场提出（采用电子化开标的可在系统平台提出），招标人当场作出答复（采用电子化开标的可在系统平台答复），并制作记录，有异议的投标人（现场如有）、招标人代表、招标代理代表等有关人员在记录上签字（或签章）确认。未参加开标的投标人，视为对开标过程无异议。如投标人为联合体投标的，由联合体牵头人提出异议。</w:t>
            </w:r>
          </w:p>
        </w:tc>
      </w:tr>
      <w:tr w14:paraId="660C2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85" w:type="dxa"/>
            <w:vAlign w:val="top"/>
          </w:tcPr>
          <w:p w14:paraId="1846BFE3">
            <w:pPr>
              <w:pStyle w:val="9"/>
              <w:spacing w:before="304" w:line="239" w:lineRule="auto"/>
              <w:ind w:left="338"/>
              <w:rPr>
                <w:rFonts w:hint="default"/>
                <w:spacing w:val="-3"/>
                <w:lang w:val="en-US" w:eastAsia="zh-CN"/>
              </w:rPr>
            </w:pPr>
            <w:r>
              <w:rPr>
                <w:rFonts w:hint="eastAsia"/>
                <w:spacing w:val="-3"/>
                <w:lang w:val="en-US" w:eastAsia="zh-CN"/>
              </w:rPr>
              <w:t>5.4</w:t>
            </w:r>
          </w:p>
        </w:tc>
        <w:tc>
          <w:tcPr>
            <w:tcW w:w="8190" w:type="dxa"/>
            <w:gridSpan w:val="2"/>
            <w:vAlign w:val="top"/>
          </w:tcPr>
          <w:p w14:paraId="05007194">
            <w:pPr>
              <w:pStyle w:val="9"/>
              <w:spacing w:before="288"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投标人须知正文第 5.4款内容修改如下：</w:t>
            </w:r>
          </w:p>
          <w:p w14:paraId="5E1271BF">
            <w:pPr>
              <w:pStyle w:val="9"/>
              <w:spacing w:before="288" w:line="233" w:lineRule="auto"/>
              <w:ind w:left="111"/>
              <w:rPr>
                <w:rFonts w:hint="eastAsia"/>
                <w:spacing w:val="6"/>
              </w:rPr>
            </w:pPr>
            <w:r>
              <w:rPr>
                <w:rFonts w:hint="eastAsia"/>
                <w:spacing w:val="6"/>
              </w:rPr>
              <w:t>开标补救措施</w:t>
            </w:r>
          </w:p>
          <w:p w14:paraId="2DD3A708">
            <w:pPr>
              <w:pStyle w:val="9"/>
              <w:spacing w:before="288" w:line="233" w:lineRule="auto"/>
              <w:ind w:left="111"/>
              <w:rPr>
                <w:rFonts w:hint="eastAsia"/>
                <w:spacing w:val="6"/>
              </w:rPr>
            </w:pPr>
            <w:r>
              <w:rPr>
                <w:rFonts w:hint="eastAsia"/>
                <w:spacing w:val="6"/>
              </w:rPr>
              <w:t>5.</w:t>
            </w:r>
            <w:r>
              <w:rPr>
                <w:rFonts w:hint="eastAsia"/>
                <w:spacing w:val="6"/>
                <w:lang w:val="en-US" w:eastAsia="zh-CN"/>
              </w:rPr>
              <w:t>4</w:t>
            </w:r>
            <w:r>
              <w:rPr>
                <w:rFonts w:hint="eastAsia"/>
                <w:spacing w:val="6"/>
              </w:rPr>
              <w:t>.1 开标过程中因本章第5.3.2项、第5.3.3项所列原因，导致系统无法正常运行，将按投标人须知前附表的规定采取补救措施。</w:t>
            </w:r>
          </w:p>
          <w:p w14:paraId="20B06765">
            <w:pPr>
              <w:pStyle w:val="9"/>
              <w:spacing w:before="288" w:line="233" w:lineRule="auto"/>
              <w:ind w:left="111"/>
              <w:rPr>
                <w:rFonts w:hint="eastAsia"/>
                <w:spacing w:val="6"/>
              </w:rPr>
            </w:pPr>
            <w:r>
              <w:rPr>
                <w:rFonts w:hint="eastAsia"/>
                <w:spacing w:val="6"/>
              </w:rPr>
              <w:t>5.</w:t>
            </w:r>
            <w:r>
              <w:rPr>
                <w:rFonts w:hint="eastAsia"/>
                <w:spacing w:val="6"/>
                <w:lang w:val="en-US" w:eastAsia="zh-CN"/>
              </w:rPr>
              <w:t>4</w:t>
            </w:r>
            <w:r>
              <w:rPr>
                <w:rFonts w:hint="eastAsia"/>
                <w:spacing w:val="6"/>
              </w:rPr>
              <w:t>.2 因“电子交易平台”系统故障导致投标人无法正常上传加密的投标文件，投标人应打印并递交电子交易平台自动生成的上传失败的异常记录单。</w:t>
            </w:r>
          </w:p>
          <w:p w14:paraId="08FFED3B">
            <w:pPr>
              <w:pStyle w:val="9"/>
              <w:spacing w:before="288" w:line="233" w:lineRule="auto"/>
              <w:ind w:left="111"/>
              <w:rPr>
                <w:rFonts w:hint="eastAsia"/>
                <w:spacing w:val="6"/>
              </w:rPr>
            </w:pPr>
            <w:r>
              <w:rPr>
                <w:rFonts w:hint="eastAsia"/>
                <w:spacing w:val="6"/>
              </w:rPr>
              <w:t>5.</w:t>
            </w:r>
            <w:r>
              <w:rPr>
                <w:rFonts w:hint="eastAsia"/>
                <w:spacing w:val="6"/>
                <w:lang w:val="en-US" w:eastAsia="zh-CN"/>
              </w:rPr>
              <w:t>4</w:t>
            </w:r>
            <w:r>
              <w:rPr>
                <w:rFonts w:hint="eastAsia"/>
                <w:spacing w:val="6"/>
              </w:rPr>
              <w:t>.3 当出现以下情况时，应对未开标的中止电子开标，并在恢复正常后及时安排时间 开标：</w:t>
            </w:r>
          </w:p>
          <w:p w14:paraId="3B817C0C">
            <w:pPr>
              <w:pStyle w:val="9"/>
              <w:spacing w:before="288" w:line="233" w:lineRule="auto"/>
              <w:ind w:left="111"/>
              <w:rPr>
                <w:rFonts w:hint="eastAsia"/>
                <w:spacing w:val="6"/>
              </w:rPr>
            </w:pPr>
            <w:r>
              <w:rPr>
                <w:rFonts w:hint="eastAsia"/>
                <w:spacing w:val="6"/>
              </w:rPr>
              <w:t>(1)系统服务器发生故障，无法访问或无法使用系统；</w:t>
            </w:r>
          </w:p>
          <w:p w14:paraId="62E7651A">
            <w:pPr>
              <w:pStyle w:val="9"/>
              <w:spacing w:before="288" w:line="233" w:lineRule="auto"/>
              <w:ind w:left="111"/>
              <w:rPr>
                <w:rFonts w:hint="eastAsia"/>
                <w:spacing w:val="6"/>
              </w:rPr>
            </w:pPr>
            <w:r>
              <w:rPr>
                <w:rFonts w:hint="eastAsia"/>
                <w:spacing w:val="6"/>
              </w:rPr>
              <w:t>(2)系统的软件或数据库出现错误，不能进行正常操作；</w:t>
            </w:r>
          </w:p>
          <w:p w14:paraId="33CB1DCE">
            <w:pPr>
              <w:pStyle w:val="9"/>
              <w:spacing w:before="288" w:line="233" w:lineRule="auto"/>
              <w:ind w:left="111"/>
              <w:rPr>
                <w:rFonts w:hint="eastAsia"/>
                <w:spacing w:val="6"/>
              </w:rPr>
            </w:pPr>
            <w:r>
              <w:rPr>
                <w:rFonts w:hint="eastAsia"/>
                <w:spacing w:val="6"/>
              </w:rPr>
              <w:t>(3)系统发现有安全漏洞，有潜在的泄密危险；</w:t>
            </w:r>
          </w:p>
          <w:p w14:paraId="15D26E7F">
            <w:pPr>
              <w:pStyle w:val="9"/>
              <w:spacing w:before="288" w:line="233" w:lineRule="auto"/>
              <w:ind w:left="111"/>
              <w:rPr>
                <w:rFonts w:hint="eastAsia"/>
                <w:spacing w:val="6"/>
              </w:rPr>
            </w:pPr>
            <w:r>
              <w:rPr>
                <w:rFonts w:hint="eastAsia"/>
                <w:spacing w:val="6"/>
              </w:rPr>
              <w:t>(4)出现断电事故且短时间内无法恢复供电；</w:t>
            </w:r>
          </w:p>
          <w:p w14:paraId="3BEABE6F">
            <w:pPr>
              <w:pStyle w:val="9"/>
              <w:spacing w:before="288" w:line="233" w:lineRule="auto"/>
              <w:ind w:left="111"/>
              <w:rPr>
                <w:rFonts w:hint="eastAsia"/>
                <w:spacing w:val="6"/>
              </w:rPr>
            </w:pPr>
            <w:r>
              <w:rPr>
                <w:rFonts w:hint="eastAsia"/>
                <w:spacing w:val="6"/>
              </w:rPr>
              <w:t>(5)其他无法保证招投标过程正常进行的情形。</w:t>
            </w:r>
          </w:p>
          <w:p w14:paraId="2ACC16F2">
            <w:pPr>
              <w:pStyle w:val="9"/>
              <w:spacing w:before="288" w:line="233" w:lineRule="auto"/>
              <w:ind w:left="111"/>
              <w:rPr>
                <w:rFonts w:hint="eastAsia"/>
                <w:spacing w:val="6"/>
              </w:rPr>
            </w:pPr>
            <w:r>
              <w:rPr>
                <w:rFonts w:hint="eastAsia"/>
                <w:spacing w:val="6"/>
              </w:rPr>
              <w:t>5.</w:t>
            </w:r>
            <w:r>
              <w:rPr>
                <w:rFonts w:hint="eastAsia"/>
                <w:spacing w:val="6"/>
                <w:lang w:val="en-US" w:eastAsia="zh-CN"/>
              </w:rPr>
              <w:t>4</w:t>
            </w:r>
            <w:r>
              <w:rPr>
                <w:rFonts w:hint="eastAsia"/>
                <w:spacing w:val="6"/>
              </w:rPr>
              <w:t>.4 采取补救措施时，必须对原有资料及信息作出妥善保密处理。</w:t>
            </w:r>
          </w:p>
        </w:tc>
      </w:tr>
      <w:tr w14:paraId="677EC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85" w:type="dxa"/>
            <w:vAlign w:val="top"/>
          </w:tcPr>
          <w:p w14:paraId="3F44C55B">
            <w:pPr>
              <w:pStyle w:val="9"/>
              <w:spacing w:before="304" w:line="239" w:lineRule="auto"/>
              <w:ind w:left="338"/>
              <w:rPr>
                <w:rFonts w:hint="default"/>
                <w:spacing w:val="-3"/>
                <w:lang w:val="en-US" w:eastAsia="zh-CN"/>
              </w:rPr>
            </w:pPr>
            <w:r>
              <w:rPr>
                <w:rFonts w:hint="eastAsia"/>
                <w:spacing w:val="-3"/>
                <w:lang w:val="en-US" w:eastAsia="zh-CN"/>
              </w:rPr>
              <w:t>6.1.2</w:t>
            </w:r>
          </w:p>
        </w:tc>
        <w:tc>
          <w:tcPr>
            <w:tcW w:w="8190" w:type="dxa"/>
            <w:gridSpan w:val="2"/>
            <w:vAlign w:val="top"/>
          </w:tcPr>
          <w:p w14:paraId="470BFC26">
            <w:pPr>
              <w:pStyle w:val="9"/>
              <w:spacing w:before="288"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 xml:space="preserve">原6.1.2项末增加如下内容： </w:t>
            </w:r>
          </w:p>
          <w:p w14:paraId="417ADF8C">
            <w:pPr>
              <w:pStyle w:val="9"/>
              <w:spacing w:before="288" w:line="233" w:lineRule="auto"/>
              <w:ind w:left="111" w:firstLine="444" w:firstLineChars="200"/>
              <w:rPr>
                <w:rFonts w:hint="eastAsia"/>
                <w:spacing w:val="6"/>
              </w:rPr>
            </w:pPr>
            <w:r>
              <w:rPr>
                <w:rFonts w:hint="eastAsia"/>
                <w:spacing w:val="6"/>
              </w:rPr>
              <w:t>招标人及其子公司、招标人下属单位、招标人的上级主管部门或者控股公司、招标代理机构的工作人员或者退休人员不得以专家身份参与本单位招标或者招标代理项目的评标。</w:t>
            </w:r>
          </w:p>
          <w:p w14:paraId="77B39985">
            <w:pPr>
              <w:pStyle w:val="9"/>
              <w:spacing w:before="288" w:line="233" w:lineRule="auto"/>
              <w:ind w:left="111" w:firstLine="444" w:firstLineChars="200"/>
              <w:rPr>
                <w:rFonts w:hint="eastAsia"/>
                <w:spacing w:val="6"/>
              </w:rPr>
            </w:pPr>
            <w:r>
              <w:rPr>
                <w:rFonts w:hint="eastAsia"/>
                <w:spacing w:val="6"/>
              </w:rPr>
              <w:t>评标评审专家除根据《广东省交通运输厅关于加强公路水运工程建设项目招标投标管理工作的通知》（粤交〔2022〕11号）文件要求执行外，还须符合《云浮市交通运输局关于做好我市交通工程建设项目评标评审专家回避制度的通知》（云交基〔2023〕67号）规定：</w:t>
            </w:r>
          </w:p>
          <w:p w14:paraId="42776780">
            <w:pPr>
              <w:pStyle w:val="9"/>
              <w:spacing w:before="288" w:line="233" w:lineRule="auto"/>
              <w:ind w:left="111"/>
              <w:rPr>
                <w:rFonts w:hint="eastAsia"/>
                <w:spacing w:val="6"/>
              </w:rPr>
            </w:pPr>
            <w:r>
              <w:rPr>
                <w:rFonts w:hint="eastAsia"/>
                <w:spacing w:val="6"/>
              </w:rPr>
              <w:t>（1）各级交通运输主管部门及其所属公路、港口航道管理机构的工作人员不得参与本单位负责监督或管理项目的评标评审工作。</w:t>
            </w:r>
          </w:p>
          <w:p w14:paraId="50526BDD">
            <w:pPr>
              <w:pStyle w:val="9"/>
              <w:spacing w:before="288" w:line="233" w:lineRule="auto"/>
              <w:ind w:left="111"/>
              <w:rPr>
                <w:rFonts w:hint="eastAsia"/>
                <w:spacing w:val="6"/>
              </w:rPr>
            </w:pPr>
            <w:r>
              <w:rPr>
                <w:rFonts w:hint="eastAsia"/>
                <w:spacing w:val="6"/>
              </w:rPr>
              <w:t>（2）市公路事务中心作为我市国省道管理部门，对于我市国省道建设项目的招标项目，其工作人员应当主动提出回避该项目的评标评审工作。</w:t>
            </w:r>
          </w:p>
          <w:p w14:paraId="07A34F76">
            <w:pPr>
              <w:pStyle w:val="9"/>
              <w:spacing w:before="288" w:line="233" w:lineRule="auto"/>
              <w:ind w:left="111"/>
              <w:rPr>
                <w:rFonts w:hint="eastAsia"/>
                <w:spacing w:val="6"/>
              </w:rPr>
            </w:pPr>
            <w:r>
              <w:rPr>
                <w:rFonts w:hint="eastAsia"/>
                <w:spacing w:val="6"/>
              </w:rPr>
              <w:t>（3）市交通运输事务服务中心作为协助做好全市交通运输工程项目的造价、建设质量与施工安全管理，以及建设市场管理、信息统计分析等工作职能的单位，对于我市交通工程的招标项目，其工作人员应当主动提出回避该项目的评标评审工作。</w:t>
            </w:r>
          </w:p>
          <w:p w14:paraId="273A1EAD">
            <w:pPr>
              <w:pStyle w:val="9"/>
              <w:spacing w:before="288" w:line="233" w:lineRule="auto"/>
              <w:rPr>
                <w:rFonts w:hint="eastAsia"/>
                <w:spacing w:val="6"/>
              </w:rPr>
            </w:pPr>
          </w:p>
        </w:tc>
      </w:tr>
      <w:tr w14:paraId="1D72B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9" w:hRule="atLeast"/>
        </w:trPr>
        <w:tc>
          <w:tcPr>
            <w:tcW w:w="1185" w:type="dxa"/>
            <w:vAlign w:val="top"/>
          </w:tcPr>
          <w:p w14:paraId="7D8619C7">
            <w:pPr>
              <w:pStyle w:val="9"/>
              <w:spacing w:before="304" w:line="239" w:lineRule="auto"/>
              <w:ind w:left="338"/>
              <w:rPr>
                <w:rFonts w:hint="default"/>
                <w:spacing w:val="-3"/>
                <w:lang w:val="en-US" w:eastAsia="zh-CN"/>
              </w:rPr>
            </w:pPr>
            <w:r>
              <w:rPr>
                <w:rFonts w:hint="eastAsia"/>
                <w:spacing w:val="-3"/>
                <w:lang w:val="en-US" w:eastAsia="zh-CN"/>
              </w:rPr>
              <w:t>6.3.4</w:t>
            </w:r>
          </w:p>
        </w:tc>
        <w:tc>
          <w:tcPr>
            <w:tcW w:w="8190" w:type="dxa"/>
            <w:gridSpan w:val="2"/>
            <w:vAlign w:val="top"/>
          </w:tcPr>
          <w:p w14:paraId="116B13BB">
            <w:pPr>
              <w:pStyle w:val="9"/>
              <w:spacing w:before="288" w:line="233" w:lineRule="auto"/>
              <w:ind w:left="111"/>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投标人须知正文增加第 6.3.4 项，内容如下：</w:t>
            </w:r>
          </w:p>
          <w:p w14:paraId="310DEB72">
            <w:pPr>
              <w:pStyle w:val="9"/>
              <w:spacing w:before="288" w:line="233" w:lineRule="auto"/>
              <w:ind w:left="111" w:firstLine="444" w:firstLineChars="200"/>
              <w:rPr>
                <w:rFonts w:hint="eastAsia"/>
                <w:spacing w:val="6"/>
              </w:rPr>
            </w:pPr>
            <w:r>
              <w:rPr>
                <w:rFonts w:hint="eastAsia"/>
                <w:spacing w:val="6"/>
              </w:rPr>
              <w:t>远程异地评标注意事项：1、远程异地评标要求按照广东省工程建设项目远程异地评标管理暂行办法的通知“粤发改规〔2022〕9号”文件执行。</w:t>
            </w:r>
          </w:p>
          <w:p w14:paraId="10B2EC08">
            <w:pPr>
              <w:pStyle w:val="9"/>
              <w:spacing w:before="288" w:line="233" w:lineRule="auto"/>
              <w:ind w:left="111"/>
              <w:rPr>
                <w:rFonts w:hint="eastAsia"/>
                <w:spacing w:val="6"/>
              </w:rPr>
            </w:pPr>
            <w:r>
              <w:rPr>
                <w:rFonts w:hint="eastAsia"/>
                <w:spacing w:val="6"/>
              </w:rPr>
              <w:t>2、在评标活动开始前，因主场或副场网络故障、电子设备或者评标系统故障，以及其他原因导致无法正常评标时，招标人可以延迟评标开始时间，待故障解除后开始评标；超过评标开始时间2小时仍无法解除故障的，由招标人确定是否进行评标。如延期评标，招标人应当配合主场、副场做好招投标资料的封存和保密工作，另外组建评标委员会进行评标。</w:t>
            </w:r>
          </w:p>
          <w:p w14:paraId="3CA698E0">
            <w:pPr>
              <w:pStyle w:val="9"/>
              <w:spacing w:before="288" w:line="233" w:lineRule="auto"/>
              <w:ind w:left="111"/>
              <w:rPr>
                <w:rFonts w:hint="eastAsia"/>
                <w:spacing w:val="6"/>
              </w:rPr>
            </w:pPr>
            <w:r>
              <w:rPr>
                <w:rFonts w:hint="eastAsia"/>
                <w:spacing w:val="6"/>
              </w:rPr>
              <w:t>3、在评标过程中，因主场或副场网络故障、电子设备或者评标系统故障，以及其他原因导致无法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352C420">
            <w:pPr>
              <w:pStyle w:val="9"/>
              <w:spacing w:before="288" w:line="233" w:lineRule="auto"/>
              <w:ind w:left="111"/>
              <w:rPr>
                <w:rFonts w:hint="eastAsia"/>
                <w:spacing w:val="6"/>
              </w:rPr>
            </w:pPr>
            <w:r>
              <w:rPr>
                <w:rFonts w:hint="eastAsia"/>
                <w:spacing w:val="6"/>
              </w:rPr>
              <w:t>4、主场和副场应当做好远程异地评标活动全程见证服务并采用音视频设备在线记录，妥善保存评标活动过程中的文字和音视频资料。评标结束后，副场应当在5个工作日内将评标活动过程中产生的资料原件、电子文档、音视频以及其他有关资料，按双方约定的方式移交主场保存，保存期限按国家有关规定执行。</w:t>
            </w:r>
          </w:p>
        </w:tc>
      </w:tr>
    </w:tbl>
    <w:p w14:paraId="7116F2DE">
      <w:pPr>
        <w:pStyle w:val="2"/>
      </w:pPr>
    </w:p>
    <w:p w14:paraId="53F952A1">
      <w:pPr>
        <w:pStyle w:val="2"/>
      </w:pPr>
    </w:p>
    <w:p w14:paraId="608ADDCE">
      <w:pPr>
        <w:pStyle w:val="2"/>
        <w:spacing w:line="241" w:lineRule="auto"/>
      </w:pPr>
    </w:p>
    <w:p w14:paraId="0C3B51BC">
      <w:pPr>
        <w:pStyle w:val="2"/>
        <w:spacing w:line="241" w:lineRule="auto"/>
      </w:pPr>
    </w:p>
    <w:p w14:paraId="30B9F7B0">
      <w:pPr>
        <w:pStyle w:val="2"/>
        <w:spacing w:line="241" w:lineRule="auto"/>
      </w:pPr>
    </w:p>
    <w:p w14:paraId="40C3D0B8">
      <w:r>
        <w:br w:type="page"/>
      </w:r>
    </w:p>
    <w:p w14:paraId="61304AFC">
      <w:pPr>
        <w:pStyle w:val="2"/>
        <w:spacing w:line="241" w:lineRule="auto"/>
      </w:pPr>
    </w:p>
    <w:p w14:paraId="17389779">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5"/>
        <w:gridCol w:w="2443"/>
        <w:gridCol w:w="5664"/>
      </w:tblGrid>
      <w:tr w14:paraId="43964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85" w:type="dxa"/>
            <w:vAlign w:val="top"/>
          </w:tcPr>
          <w:p w14:paraId="246382EB">
            <w:pPr>
              <w:pStyle w:val="9"/>
              <w:spacing w:before="181" w:line="220" w:lineRule="auto"/>
              <w:ind w:left="284"/>
            </w:pPr>
            <w:r>
              <w:rPr>
                <w:b/>
                <w:bCs/>
                <w:spacing w:val="-6"/>
              </w:rPr>
              <w:t>条款号</w:t>
            </w:r>
          </w:p>
        </w:tc>
        <w:tc>
          <w:tcPr>
            <w:tcW w:w="2443" w:type="dxa"/>
            <w:vAlign w:val="top"/>
          </w:tcPr>
          <w:p w14:paraId="250B7A87">
            <w:pPr>
              <w:pStyle w:val="9"/>
              <w:spacing w:before="181" w:line="220" w:lineRule="auto"/>
              <w:ind w:left="807"/>
            </w:pPr>
            <w:r>
              <w:rPr>
                <w:b/>
                <w:bCs/>
                <w:spacing w:val="-5"/>
              </w:rPr>
              <w:t>条款名称</w:t>
            </w:r>
          </w:p>
        </w:tc>
        <w:tc>
          <w:tcPr>
            <w:tcW w:w="5664" w:type="dxa"/>
            <w:vAlign w:val="top"/>
          </w:tcPr>
          <w:p w14:paraId="430FF0AC">
            <w:pPr>
              <w:pStyle w:val="9"/>
              <w:spacing w:before="181" w:line="220" w:lineRule="auto"/>
              <w:ind w:left="2417"/>
            </w:pPr>
            <w:r>
              <w:rPr>
                <w:b/>
                <w:bCs/>
                <w:spacing w:val="-5"/>
              </w:rPr>
              <w:t>编列内容</w:t>
            </w:r>
          </w:p>
        </w:tc>
      </w:tr>
      <w:tr w14:paraId="6FE49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1185" w:type="dxa"/>
            <w:vAlign w:val="top"/>
          </w:tcPr>
          <w:p w14:paraId="77577330">
            <w:pPr>
              <w:spacing w:line="283" w:lineRule="auto"/>
              <w:rPr>
                <w:rFonts w:ascii="Arial"/>
                <w:sz w:val="21"/>
              </w:rPr>
            </w:pPr>
          </w:p>
          <w:p w14:paraId="24856E04">
            <w:pPr>
              <w:spacing w:line="284" w:lineRule="auto"/>
              <w:rPr>
                <w:rFonts w:ascii="Arial"/>
                <w:sz w:val="21"/>
              </w:rPr>
            </w:pPr>
          </w:p>
          <w:p w14:paraId="269D7239">
            <w:pPr>
              <w:pStyle w:val="9"/>
              <w:spacing w:before="68" w:line="239" w:lineRule="auto"/>
              <w:ind w:left="445"/>
            </w:pPr>
            <w:r>
              <w:rPr>
                <w:spacing w:val="-5"/>
              </w:rPr>
              <w:t>7.5</w:t>
            </w:r>
          </w:p>
        </w:tc>
        <w:tc>
          <w:tcPr>
            <w:tcW w:w="8107" w:type="dxa"/>
            <w:gridSpan w:val="2"/>
            <w:vAlign w:val="top"/>
          </w:tcPr>
          <w:p w14:paraId="5A577343">
            <w:pPr>
              <w:pStyle w:val="9"/>
              <w:spacing w:before="239" w:line="220" w:lineRule="auto"/>
              <w:ind w:left="113"/>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投标人须知正文第 7.5 款的内容增加项号 7.5.1，另增加 7.5.2 项内容：</w:t>
            </w:r>
          </w:p>
          <w:p w14:paraId="5412E516">
            <w:pPr>
              <w:pStyle w:val="9"/>
              <w:spacing w:before="135" w:line="338" w:lineRule="auto"/>
              <w:ind w:left="114" w:right="108"/>
            </w:pPr>
            <w:r>
              <w:rPr>
                <w:spacing w:val="-1"/>
              </w:rPr>
              <w:t>7.5.2</w:t>
            </w:r>
            <w:r>
              <w:rPr>
                <w:rFonts w:hint="eastAsia"/>
                <w:spacing w:val="-3"/>
              </w:rPr>
              <w:t>中标人/招标人在领取中标通知书前需向云浮市公共资源交易中心缴纳公共资源交易服务费，具体按云浮市公共资源交易中心相关规定执行</w:t>
            </w:r>
            <w:r>
              <w:rPr>
                <w:spacing w:val="-3"/>
              </w:rPr>
              <w:t>。</w:t>
            </w:r>
          </w:p>
        </w:tc>
      </w:tr>
      <w:tr w14:paraId="70A17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1185" w:type="dxa"/>
            <w:vAlign w:val="top"/>
          </w:tcPr>
          <w:p w14:paraId="51F279F6">
            <w:pPr>
              <w:pStyle w:val="9"/>
              <w:spacing w:before="68" w:line="288" w:lineRule="exact"/>
              <w:ind w:left="287"/>
              <w:rPr>
                <w:rFonts w:hint="default" w:eastAsia="宋体"/>
                <w:spacing w:val="-2"/>
                <w:position w:val="-1"/>
                <w:lang w:val="en-US" w:eastAsia="zh-CN"/>
              </w:rPr>
            </w:pPr>
            <w:r>
              <w:rPr>
                <w:rFonts w:hint="eastAsia"/>
                <w:spacing w:val="-2"/>
                <w:position w:val="-1"/>
                <w:lang w:val="en-US" w:eastAsia="zh-CN"/>
              </w:rPr>
              <w:t>7.8.1</w:t>
            </w:r>
          </w:p>
        </w:tc>
        <w:tc>
          <w:tcPr>
            <w:tcW w:w="8107" w:type="dxa"/>
            <w:gridSpan w:val="2"/>
            <w:vAlign w:val="top"/>
          </w:tcPr>
          <w:p w14:paraId="31E6526D">
            <w:pPr>
              <w:pStyle w:val="9"/>
              <w:spacing w:before="239" w:line="220" w:lineRule="auto"/>
              <w:ind w:left="113"/>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投标人须知范本原文第 7.8.1 项细化如下：</w:t>
            </w:r>
          </w:p>
          <w:p w14:paraId="001882DC">
            <w:pPr>
              <w:pStyle w:val="9"/>
              <w:spacing w:before="147" w:line="335" w:lineRule="auto"/>
              <w:ind w:left="110" w:right="107" w:firstLine="434" w:firstLineChars="207"/>
              <w:jc w:val="both"/>
              <w:rPr>
                <w:rFonts w:hint="eastAsia"/>
                <w:spacing w:val="-3"/>
              </w:rPr>
            </w:pPr>
            <w:r>
              <w:rPr>
                <w:rFonts w:hint="eastAsia"/>
              </w:rPr>
              <w:t>招标人和中标人应当在中标通知书发出之日起30日内，根据招标文件和中标人的投标文件在线签订合同【需要使用双方法定代表人或授权委托人的个人电子数字证书（个人CA证书）进行法定代表人或授权委托人签名，使用单位电子数字证书（或粤企签）进行盖章】。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40A0EDC0">
            <w:pPr>
              <w:pStyle w:val="9"/>
              <w:spacing w:before="239" w:line="220" w:lineRule="auto"/>
              <w:ind w:left="113" w:firstLine="408" w:firstLineChars="200"/>
              <w:rPr>
                <w:rFonts w:hint="eastAsia"/>
              </w:rPr>
            </w:pPr>
            <w:r>
              <w:rPr>
                <w:rFonts w:hint="eastAsia"/>
                <w:spacing w:val="-3"/>
              </w:rPr>
              <w:t>注：招标人和中标人双方法定代表人或授权委托人请提前办理个人电子数字证书（个人CA证书）。</w:t>
            </w:r>
          </w:p>
        </w:tc>
      </w:tr>
      <w:tr w14:paraId="57430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1" w:hRule="atLeast"/>
        </w:trPr>
        <w:tc>
          <w:tcPr>
            <w:tcW w:w="1185" w:type="dxa"/>
            <w:vAlign w:val="top"/>
          </w:tcPr>
          <w:p w14:paraId="7D181A63">
            <w:pPr>
              <w:pStyle w:val="9"/>
              <w:spacing w:before="68" w:line="288" w:lineRule="exact"/>
              <w:ind w:left="287"/>
              <w:rPr>
                <w:rFonts w:hint="default" w:eastAsia="宋体"/>
                <w:spacing w:val="-2"/>
                <w:position w:val="-1"/>
                <w:lang w:val="en-US" w:eastAsia="zh-CN"/>
              </w:rPr>
            </w:pPr>
            <w:r>
              <w:rPr>
                <w:rFonts w:hint="eastAsia"/>
                <w:spacing w:val="-2"/>
                <w:position w:val="-1"/>
                <w:lang w:val="en-US" w:eastAsia="zh-CN"/>
              </w:rPr>
              <w:t>8.5</w:t>
            </w:r>
          </w:p>
        </w:tc>
        <w:tc>
          <w:tcPr>
            <w:tcW w:w="8107" w:type="dxa"/>
            <w:gridSpan w:val="2"/>
            <w:vAlign w:val="top"/>
          </w:tcPr>
          <w:p w14:paraId="42AFAA2D">
            <w:pPr>
              <w:pStyle w:val="9"/>
              <w:spacing w:before="239" w:line="220" w:lineRule="auto"/>
              <w:ind w:left="113"/>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投标人须知范本原文第 8.5.1 项细化如下：</w:t>
            </w:r>
          </w:p>
          <w:p w14:paraId="68BAA914">
            <w:pPr>
              <w:pStyle w:val="9"/>
              <w:spacing w:before="288" w:line="233" w:lineRule="auto"/>
              <w:ind w:left="111"/>
            </w:pPr>
            <w:r>
              <w:rPr>
                <w:rFonts w:hint="eastAsia"/>
                <w:spacing w:val="6"/>
              </w:rPr>
              <w:t>8.5.1 投标人或其他利害关系人认为招标投标活动不符合法律、行政法规规定的，可以自知道或应当知道之日起 10 日内向交通运输主管部门投诉。对于按法规规定应先提出异议的事项进行投诉的，应当提交已提出异议的证明文件。未按规定提出异议或者未提交已提出异议的证明文件的投诉，交通运输主管部门可以不予受理。投诉人缺乏事实根据或者法律依据进行投诉的，或者有证据表明投诉人捏造事实、伪造材料的，或者投诉人以非法手段取得证明材料进行投诉的，交通运输主管部门应当予以驳回，并对恶意投诉按照有关规定追究投诉人责任。交通运输主管部门处理投诉，有权查阅、复制有关文件、资料，调查有关情况，相关单位和人员应当予以配合。必要时，交通运输主管部门可以责令暂停招标投标活动。</w:t>
            </w:r>
          </w:p>
        </w:tc>
      </w:tr>
      <w:tr w14:paraId="5FB2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3" w:hRule="atLeast"/>
        </w:trPr>
        <w:tc>
          <w:tcPr>
            <w:tcW w:w="1185" w:type="dxa"/>
            <w:vAlign w:val="top"/>
          </w:tcPr>
          <w:p w14:paraId="7100C3CF">
            <w:pPr>
              <w:spacing w:line="266" w:lineRule="auto"/>
              <w:rPr>
                <w:rFonts w:ascii="Arial"/>
                <w:sz w:val="21"/>
              </w:rPr>
            </w:pPr>
          </w:p>
          <w:p w14:paraId="577DEE7F">
            <w:pPr>
              <w:spacing w:line="266" w:lineRule="auto"/>
              <w:rPr>
                <w:rFonts w:ascii="Arial"/>
                <w:sz w:val="21"/>
              </w:rPr>
            </w:pPr>
          </w:p>
          <w:p w14:paraId="78B32261">
            <w:pPr>
              <w:spacing w:line="266" w:lineRule="auto"/>
              <w:rPr>
                <w:rFonts w:ascii="Arial"/>
                <w:sz w:val="21"/>
              </w:rPr>
            </w:pPr>
          </w:p>
          <w:p w14:paraId="0E0655DE">
            <w:pPr>
              <w:spacing w:line="266" w:lineRule="auto"/>
              <w:rPr>
                <w:rFonts w:ascii="Arial"/>
                <w:sz w:val="21"/>
              </w:rPr>
            </w:pPr>
          </w:p>
          <w:p w14:paraId="5AA19B32">
            <w:pPr>
              <w:spacing w:line="266" w:lineRule="auto"/>
              <w:rPr>
                <w:rFonts w:ascii="Arial"/>
                <w:sz w:val="21"/>
              </w:rPr>
            </w:pPr>
          </w:p>
          <w:p w14:paraId="3A0424C3">
            <w:pPr>
              <w:spacing w:line="266" w:lineRule="auto"/>
              <w:rPr>
                <w:rFonts w:ascii="Arial"/>
                <w:sz w:val="21"/>
              </w:rPr>
            </w:pPr>
          </w:p>
          <w:p w14:paraId="57450D85">
            <w:pPr>
              <w:spacing w:line="266" w:lineRule="auto"/>
              <w:rPr>
                <w:rFonts w:ascii="Arial"/>
                <w:sz w:val="21"/>
              </w:rPr>
            </w:pPr>
          </w:p>
          <w:p w14:paraId="3539A60F">
            <w:pPr>
              <w:pStyle w:val="9"/>
              <w:spacing w:before="68"/>
              <w:ind w:left="508"/>
            </w:pPr>
            <w:r>
              <w:rPr>
                <w:spacing w:val="-6"/>
              </w:rPr>
              <w:t>10</w:t>
            </w:r>
          </w:p>
        </w:tc>
        <w:tc>
          <w:tcPr>
            <w:tcW w:w="8107" w:type="dxa"/>
            <w:gridSpan w:val="2"/>
            <w:vAlign w:val="top"/>
          </w:tcPr>
          <w:p w14:paraId="5D121F21">
            <w:pPr>
              <w:pStyle w:val="9"/>
              <w:spacing w:before="142" w:line="220" w:lineRule="auto"/>
              <w:ind w:right="15"/>
              <w:jc w:val="both"/>
              <w:rPr>
                <w:rFonts w:hint="eastAsia" w:ascii="宋体" w:hAnsi="宋体" w:eastAsia="宋体" w:cs="宋体"/>
                <w:b/>
                <w:bCs/>
                <w:snapToGrid w:val="0"/>
                <w:color w:val="000000"/>
                <w:spacing w:val="6"/>
                <w:kern w:val="0"/>
                <w:sz w:val="21"/>
                <w:szCs w:val="21"/>
                <w:lang w:val="en-US" w:eastAsia="zh-CN" w:bidi="ar-SA"/>
              </w:rPr>
            </w:pPr>
            <w:r>
              <w:rPr>
                <w:rFonts w:hint="eastAsia" w:ascii="宋体" w:hAnsi="宋体" w:eastAsia="宋体" w:cs="宋体"/>
                <w:b/>
                <w:bCs/>
                <w:snapToGrid w:val="0"/>
                <w:color w:val="000000"/>
                <w:spacing w:val="6"/>
                <w:kern w:val="0"/>
                <w:sz w:val="21"/>
                <w:szCs w:val="21"/>
                <w:lang w:val="en-US" w:eastAsia="zh-CN" w:bidi="ar-SA"/>
              </w:rPr>
              <w:t>在 10.1 款后增加如下条款：10.2 款、10.3 款、10.4 款、10.5 款、10.6 款10.7 款、10.8 款。</w:t>
            </w:r>
          </w:p>
          <w:p w14:paraId="7BDFEAF1">
            <w:pPr>
              <w:pStyle w:val="9"/>
              <w:spacing w:before="147" w:line="220" w:lineRule="auto"/>
              <w:ind w:left="126"/>
            </w:pPr>
            <w:r>
              <w:rPr>
                <w:spacing w:val="-6"/>
              </w:rPr>
              <w:t>10.2</w:t>
            </w:r>
            <w:r>
              <w:rPr>
                <w:spacing w:val="-36"/>
              </w:rPr>
              <w:t xml:space="preserve"> </w:t>
            </w:r>
            <w:r>
              <w:rPr>
                <w:spacing w:val="-6"/>
              </w:rPr>
              <w:t>信用等级的确定原则：</w:t>
            </w:r>
          </w:p>
          <w:p w14:paraId="6943E383">
            <w:pPr>
              <w:pStyle w:val="9"/>
              <w:spacing w:before="147" w:line="335" w:lineRule="auto"/>
              <w:ind w:left="110" w:right="107" w:firstLine="434" w:firstLineChars="207"/>
              <w:jc w:val="both"/>
              <w:rPr>
                <w:spacing w:val="-5"/>
              </w:rPr>
            </w:pPr>
            <w:r>
              <w:t>10.2.1 招标文件中的信用等级指的是广东省交通运输厅最新年</w:t>
            </w:r>
            <w:r>
              <w:rPr>
                <w:spacing w:val="-1"/>
              </w:rPr>
              <w:t>度发布的公路工程从业</w:t>
            </w:r>
            <w:r>
              <w:rPr>
                <w:spacing w:val="2"/>
              </w:rPr>
              <w:t>单位信用评价等级。如无广东省最新年度信用等级而有上一年度广东省</w:t>
            </w:r>
            <w:r>
              <w:rPr>
                <w:spacing w:val="-3"/>
              </w:rPr>
              <w:t>信用等级的，则其原信用等级可延续一年，但在递交资审申请文件（资格后审的为投标文件）时信用等级的使用次数应按上一年度公布的信用评价结果顺延上一年度的使用次数。同一投标人在同一招标项目中参与多个标段投标时，信用等级使用次数按标段独立计算，累计使用次数不得超过广东省交通运输厅信用评价结果应用规则规定的上限。具</w:t>
            </w:r>
            <w:r>
              <w:rPr>
                <w:spacing w:val="-5"/>
              </w:rPr>
              <w:t>体使用次数有关规定如下：</w:t>
            </w:r>
          </w:p>
          <w:p w14:paraId="7AA976BA">
            <w:pPr>
              <w:pStyle w:val="9"/>
              <w:spacing w:before="138" w:line="220" w:lineRule="auto"/>
              <w:ind w:left="126" w:firstLine="412" w:firstLineChars="200"/>
            </w:pPr>
            <w:r>
              <w:rPr>
                <w:spacing w:val="-2"/>
              </w:rPr>
              <w:t>1.对于信用等级为</w:t>
            </w:r>
            <w:r>
              <w:rPr>
                <w:spacing w:val="-51"/>
              </w:rPr>
              <w:t xml:space="preserve"> </w:t>
            </w:r>
            <w:r>
              <w:rPr>
                <w:spacing w:val="-2"/>
              </w:rPr>
              <w:t>AA</w:t>
            </w:r>
            <w:r>
              <w:rPr>
                <w:spacing w:val="-41"/>
              </w:rPr>
              <w:t xml:space="preserve"> </w:t>
            </w:r>
            <w:r>
              <w:rPr>
                <w:spacing w:val="-2"/>
              </w:rPr>
              <w:t>级的从业单位</w:t>
            </w:r>
            <w:r>
              <w:rPr>
                <w:rFonts w:hint="eastAsia"/>
                <w:spacing w:val="-2"/>
                <w:lang w:eastAsia="zh-CN"/>
              </w:rPr>
              <w:t>：</w:t>
            </w:r>
          </w:p>
          <w:p w14:paraId="62DD9047">
            <w:pPr>
              <w:pStyle w:val="9"/>
              <w:spacing w:before="148" w:line="352" w:lineRule="auto"/>
              <w:ind w:left="111" w:right="100" w:firstLine="464" w:firstLineChars="217"/>
            </w:pPr>
            <w:r>
              <w:rPr>
                <w:spacing w:val="2"/>
              </w:rPr>
              <w:t>(1)仅最新一年度信用等级为</w:t>
            </w:r>
            <w:r>
              <w:rPr>
                <w:spacing w:val="-51"/>
              </w:rPr>
              <w:t xml:space="preserve"> </w:t>
            </w:r>
            <w:r>
              <w:t>AA</w:t>
            </w:r>
            <w:r>
              <w:rPr>
                <w:spacing w:val="-38"/>
              </w:rPr>
              <w:t xml:space="preserve"> </w:t>
            </w:r>
            <w:r>
              <w:rPr>
                <w:spacing w:val="2"/>
              </w:rPr>
              <w:t>级的从业单位在参加广东省公路工程</w:t>
            </w:r>
            <w:r>
              <w:rPr>
                <w:spacing w:val="1"/>
              </w:rPr>
              <w:t>建设项目投标活动（以递交资格预审申请文件或资格后审递交投标文件时间为准）时，可申请使用</w:t>
            </w:r>
            <w:r>
              <w:rPr>
                <w:spacing w:val="-30"/>
              </w:rPr>
              <w:t xml:space="preserve"> </w:t>
            </w:r>
            <w:r>
              <w:t>AA</w:t>
            </w:r>
            <w:r>
              <w:rPr>
                <w:spacing w:val="-4"/>
              </w:rPr>
              <w:t>级分值</w:t>
            </w:r>
            <w:r>
              <w:rPr>
                <w:spacing w:val="-43"/>
              </w:rPr>
              <w:t xml:space="preserve"> </w:t>
            </w:r>
            <w:r>
              <w:rPr>
                <w:spacing w:val="-4"/>
              </w:rPr>
              <w:t>8</w:t>
            </w:r>
            <w:r>
              <w:rPr>
                <w:spacing w:val="-39"/>
              </w:rPr>
              <w:t xml:space="preserve"> </w:t>
            </w:r>
            <w:r>
              <w:rPr>
                <w:spacing w:val="-4"/>
              </w:rPr>
              <w:t>次，用完</w:t>
            </w:r>
            <w:r>
              <w:rPr>
                <w:spacing w:val="-43"/>
              </w:rPr>
              <w:t xml:space="preserve"> </w:t>
            </w:r>
            <w:r>
              <w:rPr>
                <w:spacing w:val="-4"/>
              </w:rPr>
              <w:t>8</w:t>
            </w:r>
            <w:r>
              <w:rPr>
                <w:spacing w:val="-39"/>
              </w:rPr>
              <w:t xml:space="preserve"> </w:t>
            </w:r>
            <w:r>
              <w:rPr>
                <w:spacing w:val="-4"/>
              </w:rPr>
              <w:t>次后信用等级分值将按</w:t>
            </w:r>
            <w:r>
              <w:rPr>
                <w:spacing w:val="-50"/>
              </w:rPr>
              <w:t xml:space="preserve"> </w:t>
            </w:r>
            <w:r>
              <w:rPr>
                <w:spacing w:val="-4"/>
              </w:rPr>
              <w:t>A</w:t>
            </w:r>
            <w:r>
              <w:rPr>
                <w:spacing w:val="-42"/>
              </w:rPr>
              <w:t xml:space="preserve"> </w:t>
            </w:r>
            <w:r>
              <w:rPr>
                <w:spacing w:val="-4"/>
              </w:rPr>
              <w:t>级</w:t>
            </w:r>
            <w:r>
              <w:rPr>
                <w:spacing w:val="-5"/>
              </w:rPr>
              <w:t>分值取定；</w:t>
            </w:r>
          </w:p>
          <w:p w14:paraId="70641E34">
            <w:pPr>
              <w:pStyle w:val="9"/>
              <w:spacing w:before="2" w:line="351" w:lineRule="auto"/>
              <w:ind w:left="116" w:right="106" w:firstLine="430" w:firstLineChars="213"/>
            </w:pPr>
            <w:r>
              <w:rPr>
                <w:spacing w:val="-4"/>
              </w:rPr>
              <w:t>(2)连续最近两个年度信用等级为</w:t>
            </w:r>
            <w:r>
              <w:rPr>
                <w:spacing w:val="-46"/>
              </w:rPr>
              <w:t xml:space="preserve"> </w:t>
            </w:r>
            <w:r>
              <w:rPr>
                <w:spacing w:val="-4"/>
              </w:rPr>
              <w:t>AA</w:t>
            </w:r>
            <w:r>
              <w:rPr>
                <w:spacing w:val="-42"/>
              </w:rPr>
              <w:t xml:space="preserve"> </w:t>
            </w:r>
            <w:r>
              <w:rPr>
                <w:spacing w:val="-4"/>
              </w:rPr>
              <w:t>级的单位在参加广东省公路工程投标活动（以递交</w:t>
            </w:r>
            <w:r>
              <w:rPr>
                <w:spacing w:val="3"/>
              </w:rPr>
              <w:t>资格预审申请文件或资格后审递交投标文件时间为准）时，可申请使用</w:t>
            </w:r>
            <w:r>
              <w:rPr>
                <w:spacing w:val="-44"/>
              </w:rPr>
              <w:t xml:space="preserve"> </w:t>
            </w:r>
            <w:r>
              <w:t>AA</w:t>
            </w:r>
            <w:r>
              <w:rPr>
                <w:spacing w:val="-37"/>
              </w:rPr>
              <w:t xml:space="preserve"> </w:t>
            </w:r>
            <w:r>
              <w:rPr>
                <w:spacing w:val="3"/>
              </w:rPr>
              <w:t>级分值</w:t>
            </w:r>
            <w:r>
              <w:rPr>
                <w:spacing w:val="-24"/>
              </w:rPr>
              <w:t xml:space="preserve"> </w:t>
            </w:r>
            <w:r>
              <w:rPr>
                <w:spacing w:val="3"/>
              </w:rPr>
              <w:t>12</w:t>
            </w:r>
            <w:r>
              <w:rPr>
                <w:spacing w:val="-5"/>
              </w:rPr>
              <w:t>次，用完</w:t>
            </w:r>
            <w:r>
              <w:rPr>
                <w:spacing w:val="-23"/>
              </w:rPr>
              <w:t xml:space="preserve"> </w:t>
            </w:r>
            <w:r>
              <w:rPr>
                <w:spacing w:val="-5"/>
              </w:rPr>
              <w:t>12</w:t>
            </w:r>
            <w:r>
              <w:rPr>
                <w:spacing w:val="-39"/>
              </w:rPr>
              <w:t xml:space="preserve"> </w:t>
            </w:r>
            <w:r>
              <w:rPr>
                <w:spacing w:val="-5"/>
              </w:rPr>
              <w:t>次后信用等级分值将按</w:t>
            </w:r>
            <w:r>
              <w:rPr>
                <w:spacing w:val="-51"/>
              </w:rPr>
              <w:t xml:space="preserve"> </w:t>
            </w:r>
            <w:r>
              <w:rPr>
                <w:spacing w:val="-5"/>
              </w:rPr>
              <w:t>A</w:t>
            </w:r>
            <w:r>
              <w:rPr>
                <w:spacing w:val="-40"/>
              </w:rPr>
              <w:t xml:space="preserve"> </w:t>
            </w:r>
            <w:r>
              <w:rPr>
                <w:spacing w:val="-5"/>
              </w:rPr>
              <w:t>级取定；</w:t>
            </w:r>
          </w:p>
          <w:p w14:paraId="3ADDF535">
            <w:pPr>
              <w:pStyle w:val="9"/>
              <w:spacing w:before="2" w:line="351" w:lineRule="auto"/>
              <w:ind w:left="112" w:right="66" w:firstLine="416" w:firstLineChars="200"/>
            </w:pPr>
            <w:r>
              <w:rPr>
                <w:spacing w:val="-1"/>
              </w:rPr>
              <w:t>2.对于信用等级为</w:t>
            </w:r>
            <w:r>
              <w:rPr>
                <w:spacing w:val="-35"/>
              </w:rPr>
              <w:t xml:space="preserve"> </w:t>
            </w:r>
            <w:r>
              <w:rPr>
                <w:spacing w:val="-1"/>
              </w:rPr>
              <w:t>A</w:t>
            </w:r>
            <w:r>
              <w:rPr>
                <w:spacing w:val="-40"/>
              </w:rPr>
              <w:t xml:space="preserve"> </w:t>
            </w:r>
            <w:r>
              <w:rPr>
                <w:spacing w:val="-1"/>
              </w:rPr>
              <w:t>级的从业单位</w:t>
            </w:r>
            <w:r>
              <w:rPr>
                <w:rFonts w:hint="eastAsia"/>
                <w:spacing w:val="-1"/>
                <w:lang w:eastAsia="zh-CN"/>
              </w:rPr>
              <w:t>：</w:t>
            </w:r>
            <w:r>
              <w:rPr>
                <w:spacing w:val="-1"/>
              </w:rPr>
              <w:t>当年度信用等级</w:t>
            </w:r>
            <w:r>
              <w:rPr>
                <w:spacing w:val="-50"/>
              </w:rPr>
              <w:t xml:space="preserve"> </w:t>
            </w:r>
            <w:r>
              <w:rPr>
                <w:spacing w:val="-1"/>
              </w:rPr>
              <w:t>A</w:t>
            </w:r>
            <w:r>
              <w:rPr>
                <w:spacing w:val="-40"/>
              </w:rPr>
              <w:t xml:space="preserve"> </w:t>
            </w:r>
            <w:r>
              <w:rPr>
                <w:spacing w:val="-1"/>
              </w:rPr>
              <w:t>级单位在参加广东省公路工程建</w:t>
            </w:r>
            <w:r>
              <w:rPr>
                <w:spacing w:val="-2"/>
              </w:rPr>
              <w:t>设项目招投标活动（以递交资格预审申请文件或资格后审递交投标文件时间为准）时，</w:t>
            </w:r>
            <w:r>
              <w:rPr>
                <w:spacing w:val="-4"/>
              </w:rPr>
              <w:t>可申请使用</w:t>
            </w:r>
            <w:r>
              <w:rPr>
                <w:spacing w:val="-50"/>
              </w:rPr>
              <w:t xml:space="preserve"> </w:t>
            </w:r>
            <w:r>
              <w:rPr>
                <w:spacing w:val="-4"/>
              </w:rPr>
              <w:t>A</w:t>
            </w:r>
            <w:r>
              <w:rPr>
                <w:spacing w:val="-41"/>
              </w:rPr>
              <w:t xml:space="preserve"> </w:t>
            </w:r>
            <w:r>
              <w:rPr>
                <w:spacing w:val="-4"/>
              </w:rPr>
              <w:t>级分值</w:t>
            </w:r>
            <w:r>
              <w:rPr>
                <w:spacing w:val="-29"/>
              </w:rPr>
              <w:t xml:space="preserve"> </w:t>
            </w:r>
            <w:r>
              <w:rPr>
                <w:spacing w:val="-4"/>
              </w:rPr>
              <w:t>12</w:t>
            </w:r>
            <w:r>
              <w:rPr>
                <w:spacing w:val="-39"/>
              </w:rPr>
              <w:t xml:space="preserve"> </w:t>
            </w:r>
            <w:r>
              <w:rPr>
                <w:spacing w:val="-4"/>
              </w:rPr>
              <w:t>次，用完</w:t>
            </w:r>
            <w:r>
              <w:rPr>
                <w:spacing w:val="-29"/>
              </w:rPr>
              <w:t xml:space="preserve"> </w:t>
            </w:r>
            <w:r>
              <w:rPr>
                <w:spacing w:val="-4"/>
              </w:rPr>
              <w:t>12</w:t>
            </w:r>
            <w:r>
              <w:rPr>
                <w:spacing w:val="-40"/>
              </w:rPr>
              <w:t xml:space="preserve"> </w:t>
            </w:r>
            <w:r>
              <w:rPr>
                <w:spacing w:val="-4"/>
              </w:rPr>
              <w:t>次后信用等级分值将按</w:t>
            </w:r>
            <w:r>
              <w:rPr>
                <w:spacing w:val="-49"/>
              </w:rPr>
              <w:t xml:space="preserve"> </w:t>
            </w:r>
            <w:r>
              <w:rPr>
                <w:spacing w:val="-4"/>
              </w:rPr>
              <w:t>B</w:t>
            </w:r>
            <w:r>
              <w:rPr>
                <w:spacing w:val="-41"/>
              </w:rPr>
              <w:t xml:space="preserve"> </w:t>
            </w:r>
            <w:r>
              <w:rPr>
                <w:spacing w:val="-4"/>
              </w:rPr>
              <w:t>级分值取定。</w:t>
            </w:r>
          </w:p>
          <w:p w14:paraId="62504AD3">
            <w:pPr>
              <w:pStyle w:val="9"/>
              <w:spacing w:before="1" w:line="351" w:lineRule="auto"/>
              <w:ind w:left="113" w:right="107" w:firstLine="424" w:firstLineChars="200"/>
            </w:pPr>
            <w:r>
              <w:rPr>
                <w:spacing w:val="1"/>
              </w:rPr>
              <w:t>3.当年度信用等级为</w:t>
            </w:r>
            <w:r>
              <w:rPr>
                <w:spacing w:val="-45"/>
              </w:rPr>
              <w:t xml:space="preserve"> </w:t>
            </w:r>
            <w:r>
              <w:t>AA</w:t>
            </w:r>
            <w:r>
              <w:rPr>
                <w:spacing w:val="1"/>
              </w:rPr>
              <w:t>、A</w:t>
            </w:r>
            <w:r>
              <w:rPr>
                <w:spacing w:val="-40"/>
              </w:rPr>
              <w:t xml:space="preserve"> </w:t>
            </w:r>
            <w:r>
              <w:rPr>
                <w:spacing w:val="1"/>
              </w:rPr>
              <w:t>级的从业单位未承诺使用的</w:t>
            </w:r>
            <w:r>
              <w:t>信用等级分值的，AA</w:t>
            </w:r>
            <w:r>
              <w:rPr>
                <w:spacing w:val="-40"/>
              </w:rPr>
              <w:t xml:space="preserve"> </w:t>
            </w:r>
            <w:r>
              <w:t>级信用等</w:t>
            </w:r>
            <w:r>
              <w:rPr>
                <w:spacing w:val="-3"/>
              </w:rPr>
              <w:t>级企业按</w:t>
            </w:r>
            <w:r>
              <w:rPr>
                <w:spacing w:val="-50"/>
              </w:rPr>
              <w:t xml:space="preserve"> </w:t>
            </w:r>
            <w:r>
              <w:rPr>
                <w:spacing w:val="-3"/>
              </w:rPr>
              <w:t>A</w:t>
            </w:r>
            <w:r>
              <w:rPr>
                <w:spacing w:val="-41"/>
              </w:rPr>
              <w:t xml:space="preserve"> </w:t>
            </w:r>
            <w:r>
              <w:rPr>
                <w:spacing w:val="-3"/>
              </w:rPr>
              <w:t>级对待、A</w:t>
            </w:r>
            <w:r>
              <w:rPr>
                <w:spacing w:val="-42"/>
              </w:rPr>
              <w:t xml:space="preserve"> </w:t>
            </w:r>
            <w:r>
              <w:rPr>
                <w:spacing w:val="-3"/>
              </w:rPr>
              <w:t>级信用等级企业按</w:t>
            </w:r>
            <w:r>
              <w:rPr>
                <w:spacing w:val="-49"/>
              </w:rPr>
              <w:t xml:space="preserve"> </w:t>
            </w:r>
            <w:r>
              <w:rPr>
                <w:spacing w:val="-3"/>
              </w:rPr>
              <w:t>B</w:t>
            </w:r>
            <w:r>
              <w:rPr>
                <w:spacing w:val="-41"/>
              </w:rPr>
              <w:t xml:space="preserve"> </w:t>
            </w:r>
            <w:r>
              <w:rPr>
                <w:spacing w:val="-4"/>
              </w:rPr>
              <w:t>级对待。</w:t>
            </w:r>
          </w:p>
          <w:p w14:paraId="1AE177B3">
            <w:pPr>
              <w:pStyle w:val="9"/>
              <w:spacing w:before="1" w:line="351" w:lineRule="auto"/>
              <w:ind w:left="113" w:right="107" w:firstLine="424" w:firstLineChars="200"/>
            </w:pPr>
            <w:r>
              <w:rPr>
                <w:spacing w:val="1"/>
              </w:rPr>
              <w:t>4.若从业企业在信用评价年度信用等级由 AA 降级为 A 级时，AA 级信用等级已使用次数纳入 A 级信用等级使用次数合并累计。</w:t>
            </w:r>
          </w:p>
          <w:p w14:paraId="4708A6EC">
            <w:pPr>
              <w:pStyle w:val="9"/>
              <w:spacing w:before="4" w:line="351" w:lineRule="auto"/>
              <w:ind w:left="109" w:right="47" w:firstLine="430" w:firstLineChars="207"/>
            </w:pPr>
            <w:r>
              <w:rPr>
                <w:spacing w:val="-1"/>
              </w:rPr>
              <w:t>10.2.2 信用等级延续</w:t>
            </w:r>
            <w:r>
              <w:rPr>
                <w:spacing w:val="-29"/>
              </w:rPr>
              <w:t xml:space="preserve"> </w:t>
            </w:r>
            <w:r>
              <w:rPr>
                <w:spacing w:val="-1"/>
              </w:rPr>
              <w:t>1</w:t>
            </w:r>
            <w:r>
              <w:rPr>
                <w:spacing w:val="-42"/>
              </w:rPr>
              <w:t xml:space="preserve"> </w:t>
            </w:r>
            <w:r>
              <w:rPr>
                <w:spacing w:val="-1"/>
              </w:rPr>
              <w:t>年后仍无信用评价等级的，按照初次进入广东省确定，</w:t>
            </w:r>
            <w:r>
              <w:rPr>
                <w:spacing w:val="-2"/>
              </w:rPr>
              <w:t>原则上</w:t>
            </w:r>
            <w:r>
              <w:rPr>
                <w:spacing w:val="-3"/>
              </w:rPr>
              <w:t>按</w:t>
            </w:r>
            <w:r>
              <w:rPr>
                <w:spacing w:val="-46"/>
              </w:rPr>
              <w:t xml:space="preserve"> </w:t>
            </w:r>
            <w:r>
              <w:rPr>
                <w:spacing w:val="-3"/>
              </w:rPr>
              <w:t>B</w:t>
            </w:r>
            <w:r>
              <w:rPr>
                <w:spacing w:val="-41"/>
              </w:rPr>
              <w:t xml:space="preserve"> </w:t>
            </w:r>
            <w:r>
              <w:rPr>
                <w:spacing w:val="-3"/>
              </w:rPr>
              <w:t>级对待，但下列情况除外：最新年度的全国公路从业单位（施工单位）信用评价结</w:t>
            </w:r>
            <w:r>
              <w:rPr>
                <w:spacing w:val="-7"/>
              </w:rPr>
              <w:t>果为</w:t>
            </w:r>
            <w:r>
              <w:rPr>
                <w:spacing w:val="-46"/>
              </w:rPr>
              <w:t xml:space="preserve"> </w:t>
            </w:r>
            <w:r>
              <w:rPr>
                <w:spacing w:val="-7"/>
              </w:rPr>
              <w:t>C</w:t>
            </w:r>
            <w:r>
              <w:rPr>
                <w:spacing w:val="-41"/>
              </w:rPr>
              <w:t xml:space="preserve"> </w:t>
            </w:r>
            <w:r>
              <w:rPr>
                <w:spacing w:val="-7"/>
              </w:rPr>
              <w:t>级或</w:t>
            </w:r>
            <w:r>
              <w:rPr>
                <w:spacing w:val="-48"/>
              </w:rPr>
              <w:t xml:space="preserve"> </w:t>
            </w:r>
            <w:r>
              <w:rPr>
                <w:spacing w:val="-7"/>
              </w:rPr>
              <w:t>D</w:t>
            </w:r>
            <w:r>
              <w:rPr>
                <w:spacing w:val="-41"/>
              </w:rPr>
              <w:t xml:space="preserve"> </w:t>
            </w:r>
            <w:r>
              <w:rPr>
                <w:spacing w:val="-7"/>
              </w:rPr>
              <w:t>级的，则按最新年度的全国公路从业单位（施工单位）信用</w:t>
            </w:r>
            <w:r>
              <w:rPr>
                <w:spacing w:val="-8"/>
              </w:rPr>
              <w:t>评价结果对待；</w:t>
            </w:r>
            <w:r>
              <w:rPr>
                <w:spacing w:val="-3"/>
              </w:rPr>
              <w:t>或最新年度的全国公路从业单位（施工单位）信用评价结</w:t>
            </w:r>
            <w:r>
              <w:rPr>
                <w:spacing w:val="-4"/>
              </w:rPr>
              <w:t>果未被评为</w:t>
            </w:r>
            <w:r>
              <w:rPr>
                <w:spacing w:val="-45"/>
              </w:rPr>
              <w:t xml:space="preserve"> </w:t>
            </w:r>
            <w:r>
              <w:rPr>
                <w:spacing w:val="-4"/>
              </w:rPr>
              <w:t>C</w:t>
            </w:r>
            <w:r>
              <w:rPr>
                <w:spacing w:val="-42"/>
              </w:rPr>
              <w:t xml:space="preserve"> </w:t>
            </w:r>
            <w:r>
              <w:rPr>
                <w:spacing w:val="-4"/>
              </w:rPr>
              <w:t>级或</w:t>
            </w:r>
            <w:r>
              <w:rPr>
                <w:spacing w:val="-48"/>
              </w:rPr>
              <w:t xml:space="preserve"> </w:t>
            </w:r>
            <w:r>
              <w:rPr>
                <w:spacing w:val="-4"/>
              </w:rPr>
              <w:t>D</w:t>
            </w:r>
            <w:r>
              <w:rPr>
                <w:spacing w:val="-41"/>
              </w:rPr>
              <w:t xml:space="preserve"> </w:t>
            </w:r>
            <w:r>
              <w:rPr>
                <w:spacing w:val="-4"/>
              </w:rPr>
              <w:t>级的，但</w:t>
            </w:r>
            <w:r>
              <w:rPr>
                <w:spacing w:val="-3"/>
              </w:rPr>
              <w:t>在广东省最近年度原评价等级为</w:t>
            </w:r>
            <w:r>
              <w:rPr>
                <w:spacing w:val="-36"/>
              </w:rPr>
              <w:t xml:space="preserve"> </w:t>
            </w:r>
            <w:r>
              <w:rPr>
                <w:spacing w:val="-3"/>
              </w:rPr>
              <w:t>D</w:t>
            </w:r>
            <w:r>
              <w:rPr>
                <w:spacing w:val="-41"/>
              </w:rPr>
              <w:t xml:space="preserve"> </w:t>
            </w:r>
            <w:r>
              <w:rPr>
                <w:spacing w:val="-3"/>
              </w:rPr>
              <w:t>级的，则按</w:t>
            </w:r>
            <w:r>
              <w:rPr>
                <w:spacing w:val="-46"/>
              </w:rPr>
              <w:t xml:space="preserve"> </w:t>
            </w:r>
            <w:r>
              <w:rPr>
                <w:spacing w:val="-3"/>
              </w:rPr>
              <w:t>C</w:t>
            </w:r>
            <w:r>
              <w:rPr>
                <w:spacing w:val="-41"/>
              </w:rPr>
              <w:t xml:space="preserve"> </w:t>
            </w:r>
            <w:r>
              <w:rPr>
                <w:spacing w:val="-3"/>
              </w:rPr>
              <w:t>级对待。</w:t>
            </w:r>
          </w:p>
          <w:p w14:paraId="27CFA88A">
            <w:pPr>
              <w:pStyle w:val="9"/>
              <w:spacing w:before="5" w:line="351" w:lineRule="auto"/>
              <w:ind w:left="110" w:right="104" w:firstLine="426" w:firstLineChars="207"/>
            </w:pPr>
            <w:r>
              <w:rPr>
                <w:spacing w:val="-2"/>
              </w:rPr>
              <w:t>10.2.3  AA、A</w:t>
            </w:r>
            <w:r>
              <w:rPr>
                <w:spacing w:val="-27"/>
              </w:rPr>
              <w:t xml:space="preserve"> </w:t>
            </w:r>
            <w:r>
              <w:rPr>
                <w:spacing w:val="-2"/>
              </w:rPr>
              <w:t>级单位是指使用广东省信用评价等级申请承诺书的单位。提交申请承诺</w:t>
            </w:r>
            <w:r>
              <w:rPr>
                <w:spacing w:val="-4"/>
              </w:rPr>
              <w:t>书未使用</w:t>
            </w:r>
            <w:r>
              <w:rPr>
                <w:spacing w:val="-42"/>
              </w:rPr>
              <w:t xml:space="preserve"> </w:t>
            </w:r>
            <w:r>
              <w:rPr>
                <w:spacing w:val="-4"/>
              </w:rPr>
              <w:t>AA、A</w:t>
            </w:r>
            <w:r>
              <w:rPr>
                <w:spacing w:val="-34"/>
              </w:rPr>
              <w:t xml:space="preserve"> </w:t>
            </w:r>
            <w:r>
              <w:rPr>
                <w:spacing w:val="-4"/>
              </w:rPr>
              <w:t>时，在评标过程中，AA</w:t>
            </w:r>
            <w:r>
              <w:rPr>
                <w:spacing w:val="-43"/>
              </w:rPr>
              <w:t xml:space="preserve"> </w:t>
            </w:r>
            <w:r>
              <w:rPr>
                <w:spacing w:val="-4"/>
              </w:rPr>
              <w:t>级信用等级企业按</w:t>
            </w:r>
            <w:r>
              <w:rPr>
                <w:spacing w:val="-50"/>
              </w:rPr>
              <w:t xml:space="preserve"> </w:t>
            </w:r>
            <w:r>
              <w:rPr>
                <w:spacing w:val="-4"/>
              </w:rPr>
              <w:t>A</w:t>
            </w:r>
            <w:r>
              <w:rPr>
                <w:spacing w:val="-41"/>
              </w:rPr>
              <w:t xml:space="preserve"> </w:t>
            </w:r>
            <w:r>
              <w:rPr>
                <w:spacing w:val="-4"/>
              </w:rPr>
              <w:t>级对待、A</w:t>
            </w:r>
            <w:r>
              <w:rPr>
                <w:spacing w:val="-40"/>
              </w:rPr>
              <w:t xml:space="preserve"> </w:t>
            </w:r>
            <w:r>
              <w:rPr>
                <w:spacing w:val="-4"/>
              </w:rPr>
              <w:t>级信用等级企业</w:t>
            </w:r>
            <w:r>
              <w:rPr>
                <w:spacing w:val="-5"/>
              </w:rPr>
              <w:t>按</w:t>
            </w:r>
            <w:r>
              <w:rPr>
                <w:spacing w:val="-49"/>
              </w:rPr>
              <w:t xml:space="preserve"> </w:t>
            </w:r>
            <w:r>
              <w:rPr>
                <w:spacing w:val="-5"/>
              </w:rPr>
              <w:t>B</w:t>
            </w:r>
            <w:r>
              <w:rPr>
                <w:spacing w:val="-41"/>
              </w:rPr>
              <w:t xml:space="preserve"> </w:t>
            </w:r>
            <w:r>
              <w:rPr>
                <w:spacing w:val="-5"/>
              </w:rPr>
              <w:t>级对待。（注： 属于资格预审项目的</w:t>
            </w:r>
            <w:r>
              <w:rPr>
                <w:spacing w:val="-6"/>
              </w:rPr>
              <w:t>，以资格预审申请文件的为准。当出现跨年度</w:t>
            </w:r>
            <w:r>
              <w:rPr>
                <w:spacing w:val="-3"/>
              </w:rPr>
              <w:t>信用等级时，以投标人资格预审时申请使用信用等级与投标文件递交截止日的信用等级作比较，按“就低原则”认定等级，即降低等级的按低等级认定、升高等级的仍维持资审时的申请等级。）</w:t>
            </w:r>
          </w:p>
          <w:p w14:paraId="065B937F">
            <w:pPr>
              <w:pStyle w:val="9"/>
              <w:spacing w:before="3" w:line="351" w:lineRule="auto"/>
              <w:ind w:left="114" w:right="105" w:firstLine="428" w:firstLineChars="204"/>
            </w:pPr>
            <w:r>
              <w:t>10.2.4 在招标评标中，信用评价等级采用按次、按标段或标类</w:t>
            </w:r>
            <w:r>
              <w:rPr>
                <w:spacing w:val="-1"/>
              </w:rPr>
              <w:t>（指资格预审时未明确</w:t>
            </w:r>
            <w:r>
              <w:rPr>
                <w:spacing w:val="-3"/>
              </w:rPr>
              <w:t>具体标段的情形）申请使用的原则，即在同一次招标中的多个标段的投标，可自愿对其</w:t>
            </w:r>
            <w:r>
              <w:rPr>
                <w:spacing w:val="-6"/>
              </w:rPr>
              <w:t>中部分或全部标段申请使用</w:t>
            </w:r>
            <w:r>
              <w:rPr>
                <w:spacing w:val="-51"/>
              </w:rPr>
              <w:t xml:space="preserve"> </w:t>
            </w:r>
            <w:r>
              <w:rPr>
                <w:spacing w:val="-6"/>
              </w:rPr>
              <w:t>AA</w:t>
            </w:r>
            <w:r>
              <w:rPr>
                <w:spacing w:val="-41"/>
              </w:rPr>
              <w:t xml:space="preserve"> </w:t>
            </w:r>
            <w:r>
              <w:rPr>
                <w:spacing w:val="-6"/>
              </w:rPr>
              <w:t>或</w:t>
            </w:r>
            <w:r>
              <w:rPr>
                <w:spacing w:val="-51"/>
              </w:rPr>
              <w:t xml:space="preserve"> </w:t>
            </w:r>
            <w:r>
              <w:rPr>
                <w:spacing w:val="-6"/>
              </w:rPr>
              <w:t>A</w:t>
            </w:r>
            <w:r>
              <w:rPr>
                <w:spacing w:val="-41"/>
              </w:rPr>
              <w:t xml:space="preserve"> </w:t>
            </w:r>
            <w:r>
              <w:rPr>
                <w:spacing w:val="-6"/>
              </w:rPr>
              <w:t>级信用等级，无论中标与否，均应根据</w:t>
            </w:r>
            <w:r>
              <w:rPr>
                <w:spacing w:val="-7"/>
              </w:rPr>
              <w:t>递交投标（或</w:t>
            </w:r>
            <w:r>
              <w:rPr>
                <w:spacing w:val="-1"/>
              </w:rPr>
              <w:t>申请）文件情况按标段计算使用次数（非投标人原因导致招标失败</w:t>
            </w:r>
            <w:r>
              <w:rPr>
                <w:spacing w:val="-2"/>
              </w:rPr>
              <w:t>的情况除外）。</w:t>
            </w:r>
          </w:p>
          <w:p w14:paraId="25CD0CD3">
            <w:pPr>
              <w:pStyle w:val="9"/>
              <w:spacing w:before="3" w:line="351" w:lineRule="auto"/>
              <w:ind w:left="114" w:right="105" w:firstLine="428" w:firstLineChars="204"/>
            </w:pPr>
            <w:r>
              <w:t>10.2.5 招标项目为一个标段类别时，投标人以联合体形式投标的，信用等级以联合体中信用等级较低的为准。</w:t>
            </w:r>
          </w:p>
          <w:p w14:paraId="61DDE446">
            <w:pPr>
              <w:pStyle w:val="9"/>
              <w:spacing w:before="3" w:line="351" w:lineRule="auto"/>
              <w:ind w:left="114" w:right="105" w:firstLine="428" w:firstLineChars="204"/>
            </w:pPr>
            <w:r>
              <w:t>10.2.6 如招标内容包含了多个标段类别（如机电工程+交通安全设施工程类），招标项目的资质条件设置不止一个资质时投标人的信用等级认定原则：①方法一（就低不就高模式）：</w:t>
            </w:r>
          </w:p>
          <w:p w14:paraId="38CB6F54">
            <w:pPr>
              <w:pStyle w:val="9"/>
              <w:spacing w:before="3" w:line="351" w:lineRule="auto"/>
              <w:ind w:left="114" w:right="105" w:firstLine="428" w:firstLineChars="204"/>
            </w:pPr>
            <w:r>
              <w:t xml:space="preserve">独立投标的，按各类别招标内容相对应的投标人的信用等级，按就低不就高的原则确定投标人的最终信用等级得分；以联合体形式投标的，联合体成员按联合体协议书中约定承担的专业工程对应相应的信用等级② </w:t>
            </w:r>
            <w:r>
              <w:rPr>
                <w:rFonts w:hint="eastAsia"/>
                <w:lang w:eastAsia="zh-CN"/>
              </w:rPr>
              <w:t>，</w:t>
            </w:r>
            <w:r>
              <w:t>按就低不就高的原则确定投标人的最终信用等级得分。</w:t>
            </w:r>
          </w:p>
          <w:p w14:paraId="37FDD16B">
            <w:pPr>
              <w:pStyle w:val="9"/>
              <w:spacing w:before="3" w:line="351" w:lineRule="auto"/>
              <w:ind w:left="114" w:right="105" w:firstLine="428" w:firstLineChars="204"/>
            </w:pPr>
            <w:r>
              <w:t>举例：招标文件约定的机电工程所占的比例为 70%，交通安全设施工程所占的比例为30%，联合体形式投标的情形：单位甲为机电专业，其信用等级分值为机电工程 A 级，单位乙为交通安全设施工程专业，其信用等级分值为交通安全设施工程 B 级。结合招标文件中约定的信用等级 A 级对应分值为 4.75 分，B 级对应分值为 4.45 分，则按方法一计算的联合体信用等级分值为：4.45 分。</w:t>
            </w:r>
          </w:p>
          <w:p w14:paraId="3894BC87">
            <w:pPr>
              <w:pStyle w:val="9"/>
              <w:spacing w:before="3" w:line="351" w:lineRule="auto"/>
              <w:ind w:left="114" w:right="105" w:firstLine="428" w:firstLineChars="204"/>
            </w:pPr>
            <w:r>
              <w:t>方法二（组合模式）：</w:t>
            </w:r>
          </w:p>
          <w:p w14:paraId="50D55504">
            <w:pPr>
              <w:pStyle w:val="9"/>
              <w:spacing w:before="3" w:line="351" w:lineRule="auto"/>
              <w:ind w:left="114" w:right="105" w:firstLine="428" w:firstLineChars="204"/>
            </w:pPr>
            <w:r>
              <w:t xml:space="preserve">独立投标的，按各类别招标内容相对应的投标人的信用等级分值（m1、m2……）分别乘以招标文件中约定的各类别招标内容所占的比例③后（比例为 n1、n2……）加总之和为投标人的最终信用等级得分（m1×n1+ m2×n2+……）；以联合体形式投标的，联合体成员按联合体协议书中约定承担的专业工程对应相应的信用等级类别④ </w:t>
            </w:r>
            <w:r>
              <w:rPr>
                <w:rFonts w:hint="eastAsia"/>
                <w:lang w:eastAsia="zh-CN"/>
              </w:rPr>
              <w:t>，</w:t>
            </w:r>
            <w:r>
              <w:t>其相应的信用评价分值（成员 1 为 k1、成员 2 为 k2……）分别乘以招标文件中约定的各类别招标内容所占的比例⑤后（比例为 t1、t2……）加总之和为投标人的最终信用等级得分（k1× t1+ k2×t2+……）。投标人的信用等级使用次数应分别按类别计算。</w:t>
            </w:r>
          </w:p>
          <w:p w14:paraId="532FD866">
            <w:pPr>
              <w:pStyle w:val="9"/>
              <w:spacing w:before="3" w:line="351" w:lineRule="auto"/>
              <w:ind w:left="114" w:right="105" w:firstLine="428" w:firstLineChars="204"/>
            </w:pPr>
            <w:r>
              <w:t>举例：招标文件约定的机电工程所占的比例为 70%，交通安全设施工程所占的比例为30%，联合体形式投标的情形：单位甲为机电专业，其信用等级分值为机电工程 A 级，单位乙为交通安全设施工程专业，其信用等级分值为交通安全设施工程 B 级。结合招标文件中约定的信用等级 A 级对应分值为 4.75 分，B 级对应分值为 4.45 分，则按方法二计算的联合体信用等级分值为：4.75×70%+4.45×30%=4.66 分。</w:t>
            </w:r>
          </w:p>
          <w:p w14:paraId="4C1026DE">
            <w:pPr>
              <w:pStyle w:val="9"/>
              <w:spacing w:before="3" w:line="351" w:lineRule="auto"/>
              <w:ind w:left="114" w:right="105" w:firstLine="428" w:firstLineChars="204"/>
            </w:pPr>
            <w:r>
              <w:t>10.2.7 特大桥梁工程中钢结构工程（或主缆、斜拉索及吊索制造、运输） 、附属区房建项目不属于广东省公路水运工程从业企业信用评价体系的参评范围，故特大桥梁工程中钢结构工程（或主缆、斜拉索及吊索制造、运输） 、附属区房建项目单独招标时，投标人的信用评价等级视为 B 级。</w:t>
            </w:r>
          </w:p>
          <w:p w14:paraId="06FFC73F">
            <w:pPr>
              <w:pStyle w:val="9"/>
              <w:spacing w:before="3" w:line="351" w:lineRule="auto"/>
              <w:ind w:left="114" w:right="105" w:firstLine="428" w:firstLineChars="204"/>
            </w:pPr>
            <w:r>
              <w:t>10.3 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w:t>
            </w:r>
            <w:r>
              <w:rPr>
                <w:rFonts w:hint="eastAsia"/>
                <w:lang w:eastAsia="zh-CN"/>
              </w:rPr>
              <w:t>，</w:t>
            </w:r>
            <w:r>
              <w:t>或重新组织招标，以此类推。</w:t>
            </w:r>
          </w:p>
          <w:p w14:paraId="011B9DD7">
            <w:pPr>
              <w:pStyle w:val="9"/>
              <w:spacing w:before="3" w:line="351" w:lineRule="auto"/>
              <w:ind w:left="114" w:right="105" w:firstLine="428" w:firstLineChars="204"/>
            </w:pPr>
            <w:r>
              <w:t>10.4 如果开标后至中标通知书发出前，第一中标候选人发生投标人须知 1.4.4（1）至（7）的情形及中标候选人信用等级被广东省交通运输厅直接降为 D 级的情形，则取消其中标资格，招标人按推荐中标候选人排名顺序依次确定中标人，或重新组织招标。</w:t>
            </w:r>
          </w:p>
          <w:p w14:paraId="032EEEF2">
            <w:pPr>
              <w:pStyle w:val="9"/>
              <w:spacing w:before="3" w:line="351" w:lineRule="auto"/>
              <w:ind w:left="114" w:right="105" w:firstLine="428" w:firstLineChars="204"/>
            </w:pPr>
            <w:r>
              <w:t>10.5 本招标文件中所有 “类似工程”①均指新建或改、扩建</w:t>
            </w:r>
            <w:r>
              <w:rPr>
                <w:rFonts w:hint="eastAsia"/>
                <w:lang w:eastAsia="zh-CN"/>
              </w:rPr>
              <w:t>（</w:t>
            </w:r>
            <w:r>
              <w:t>公路技术等级</w:t>
            </w:r>
            <w:r>
              <w:rPr>
                <w:rFonts w:hint="eastAsia"/>
                <w:lang w:eastAsia="zh-CN"/>
              </w:rPr>
              <w:t>）</w:t>
            </w:r>
            <w:r>
              <w:t>公路施工项目。在采用新建公路项目完工业绩时，对于同公路等级改、扩建中的新建桥梁或隧道工程业绩也应认可。</w:t>
            </w:r>
          </w:p>
          <w:p w14:paraId="1A7B873E">
            <w:pPr>
              <w:pStyle w:val="9"/>
              <w:spacing w:before="3" w:line="351" w:lineRule="auto"/>
              <w:ind w:left="114" w:right="105" w:firstLine="428" w:firstLineChars="204"/>
            </w:pPr>
            <w:r>
              <w:t>10.6 有关说明10.6.1</w:t>
            </w:r>
          </w:p>
          <w:p w14:paraId="5F785B77">
            <w:pPr>
              <w:pStyle w:val="9"/>
              <w:spacing w:before="3" w:line="351" w:lineRule="auto"/>
              <w:ind w:left="114" w:right="105" w:firstLine="428" w:firstLineChars="204"/>
            </w:pPr>
            <w:r>
              <w:t>a、特大桥及大桥按国家最新颁布的标准进行划分；</w:t>
            </w:r>
          </w:p>
          <w:p w14:paraId="6C24DBCD">
            <w:pPr>
              <w:pStyle w:val="9"/>
              <w:spacing w:before="3" w:line="351" w:lineRule="auto"/>
              <w:ind w:left="114" w:right="105" w:firstLine="428" w:firstLineChars="204"/>
            </w:pPr>
            <w:r>
              <w:t>b、完成整座桥梁的半幅或整座桥梁其中的一部分工作内容达到特大桥或大桥对应技术标准的，按相应标段标准以座计算；</w:t>
            </w:r>
          </w:p>
          <w:p w14:paraId="0BBD3F00">
            <w:pPr>
              <w:pStyle w:val="9"/>
              <w:spacing w:before="3" w:line="351" w:lineRule="auto"/>
              <w:ind w:left="114" w:right="105" w:firstLine="428" w:firstLineChars="204"/>
            </w:pPr>
            <w:r>
              <w:t>c、同一投标人的单座桥梁仅能计一次，只完成整个工程部分分部工程不参与计算业绩。 10.6.2</w:t>
            </w:r>
          </w:p>
          <w:p w14:paraId="06CBE571">
            <w:pPr>
              <w:pStyle w:val="9"/>
              <w:spacing w:before="3" w:line="351" w:lineRule="auto"/>
              <w:ind w:left="114" w:right="105" w:firstLine="428" w:firstLineChars="204"/>
            </w:pPr>
            <w:r>
              <w:t>a、特长隧道： 单座隧道单洞（即左洞加右洞）总长大于 6000 米的，或完成单座隧道的一部分且该部分的单洞累计长度大于 6000 米的，均按 1 座计；完成单座特长隧道的一部分，该部分单洞累计长度大于 3000 米且不大于 6000 米的，按 0.5 座计，完成 N 座该类隧道按 N×0.5 座计；</w:t>
            </w:r>
          </w:p>
          <w:p w14:paraId="66DE50C5">
            <w:pPr>
              <w:pStyle w:val="9"/>
              <w:spacing w:before="3" w:line="351" w:lineRule="auto"/>
              <w:ind w:left="114" w:right="105" w:firstLine="428" w:firstLineChars="204"/>
            </w:pPr>
            <w:r>
              <w:t>b、长隧道：单座隧道单洞（即左洞加右洞）总长大于 2000 米且不大于 6000 米的，或完成单座隧道的一部分且该部分的单洞累计长度大于 2000 米且不大于 6000 米的，均按1 座计；</w:t>
            </w:r>
          </w:p>
          <w:p w14:paraId="29ACBF79">
            <w:pPr>
              <w:pStyle w:val="9"/>
              <w:spacing w:before="3" w:line="351" w:lineRule="auto"/>
              <w:ind w:left="114" w:right="105" w:firstLine="428" w:firstLineChars="204"/>
            </w:pPr>
            <w:r>
              <w:t>c、同一座隧道同时满足条件的，同一投标人只计算一次业绩；特长隧道可计为长隧道。</w:t>
            </w:r>
          </w:p>
          <w:p w14:paraId="2BCB6012">
            <w:pPr>
              <w:pStyle w:val="9"/>
              <w:spacing w:before="3" w:line="351" w:lineRule="auto"/>
              <w:ind w:left="114" w:right="105" w:firstLine="428" w:firstLineChars="204"/>
            </w:pPr>
            <w:r>
              <w:t>10.6.3 一般互通式立交和枢纽互通式立交按国家最新颁布的标准进行划分。</w:t>
            </w:r>
          </w:p>
          <w:p w14:paraId="77338E96">
            <w:pPr>
              <w:pStyle w:val="9"/>
              <w:spacing w:before="3" w:line="351" w:lineRule="auto"/>
              <w:ind w:left="114" w:right="105" w:firstLine="428" w:firstLineChars="204"/>
            </w:pPr>
            <w:r>
              <w:t>10.6.4 本招标文件 C 类特大桥梁工程中钢结构工程中所指“钢结构”是特指桥梁钢桁梁、钢箱梁、钢板梁、钢管结构、钢</w:t>
            </w:r>
            <w:r>
              <w:rPr>
                <w:rFonts w:hint="eastAsia"/>
                <w:lang w:eastAsia="zh-CN"/>
              </w:rPr>
              <w:t>－</w:t>
            </w:r>
            <w:r>
              <w:t>混凝土组合梁、钢塔、钢盖梁。其他形式钢结构不包含其中。</w:t>
            </w:r>
          </w:p>
          <w:p w14:paraId="1441F044">
            <w:pPr>
              <w:pStyle w:val="9"/>
              <w:spacing w:before="3" w:line="351" w:lineRule="auto"/>
              <w:ind w:left="114" w:right="105" w:firstLine="428" w:firstLineChars="204"/>
            </w:pPr>
            <w:r>
              <w:t>10.7 招标文件中如无特别说明，业绩里程累计长度均不扣除桥隧等构造物长度。</w:t>
            </w:r>
          </w:p>
          <w:p w14:paraId="02167E7F">
            <w:pPr>
              <w:pStyle w:val="9"/>
              <w:spacing w:before="3" w:line="351" w:lineRule="auto"/>
              <w:ind w:left="114" w:right="105" w:firstLine="428" w:firstLineChars="204"/>
            </w:pPr>
            <w:r>
              <w:t>10.8 同时对两个及两个以上标段进行投标的投标人，不能使用相同的人员、设备。（如果最终只允许中一个标段，则允许使用相同的人员、设备）。</w:t>
            </w:r>
          </w:p>
          <w:p w14:paraId="028CC9A8">
            <w:pPr>
              <w:pStyle w:val="9"/>
              <w:spacing w:before="161" w:line="327" w:lineRule="auto"/>
              <w:ind w:left="122" w:right="125" w:firstLine="434"/>
              <w:rPr>
                <w:rFonts w:hint="eastAsia" w:ascii="宋体" w:hAnsi="宋体" w:eastAsia="宋体" w:cs="宋体"/>
                <w:b/>
                <w:bCs/>
                <w:spacing w:val="6"/>
                <w:sz w:val="21"/>
                <w:szCs w:val="21"/>
                <w:lang w:val="en-US" w:eastAsia="en-US"/>
              </w:rPr>
            </w:pPr>
            <w:r>
              <w:rPr>
                <w:rFonts w:hint="eastAsia" w:ascii="宋体" w:hAnsi="宋体" w:eastAsia="宋体" w:cs="宋体"/>
                <w:b/>
                <w:bCs/>
                <w:spacing w:val="6"/>
                <w:sz w:val="21"/>
                <w:szCs w:val="21"/>
                <w:lang w:val="en-US" w:eastAsia="en-US"/>
              </w:rPr>
              <w:t>10.1</w:t>
            </w:r>
            <w:r>
              <w:rPr>
                <w:rFonts w:hint="eastAsia" w:ascii="宋体" w:hAnsi="宋体" w:eastAsia="宋体" w:cs="宋体"/>
                <w:b/>
                <w:bCs/>
                <w:spacing w:val="6"/>
                <w:sz w:val="21"/>
                <w:szCs w:val="21"/>
                <w:lang w:val="en-US" w:eastAsia="zh-CN"/>
              </w:rPr>
              <w:t>0</w:t>
            </w:r>
            <w:r>
              <w:rPr>
                <w:rFonts w:hint="eastAsia" w:ascii="宋体" w:hAnsi="宋体" w:eastAsia="宋体" w:cs="宋体"/>
                <w:b/>
                <w:bCs/>
                <w:spacing w:val="6"/>
                <w:sz w:val="21"/>
                <w:szCs w:val="21"/>
                <w:lang w:val="en-US" w:eastAsia="en-US"/>
              </w:rPr>
              <w:t>特殊情况处理</w:t>
            </w:r>
          </w:p>
          <w:p w14:paraId="2B5B0DB8">
            <w:pPr>
              <w:pStyle w:val="9"/>
              <w:spacing w:before="161" w:line="327" w:lineRule="auto"/>
              <w:ind w:left="122" w:right="125" w:firstLine="434"/>
              <w:rPr>
                <w:rFonts w:hint="eastAsia" w:ascii="宋体" w:hAnsi="宋体" w:eastAsia="宋体" w:cs="宋体"/>
                <w:b/>
                <w:bCs/>
                <w:spacing w:val="6"/>
                <w:sz w:val="21"/>
                <w:szCs w:val="21"/>
                <w:lang w:val="en-US" w:eastAsia="en-US"/>
              </w:rPr>
            </w:pPr>
            <w:r>
              <w:rPr>
                <w:rFonts w:hint="eastAsia" w:ascii="宋体" w:hAnsi="宋体" w:eastAsia="宋体" w:cs="宋体"/>
                <w:b/>
                <w:bCs/>
                <w:spacing w:val="6"/>
                <w:sz w:val="21"/>
                <w:szCs w:val="21"/>
                <w:lang w:val="en-US" w:eastAsia="en-US"/>
              </w:rPr>
              <w:t>发生特殊情况时的补救方案</w:t>
            </w:r>
          </w:p>
          <w:p w14:paraId="482B6C0B">
            <w:pPr>
              <w:pStyle w:val="9"/>
              <w:spacing w:before="161" w:line="327" w:lineRule="auto"/>
              <w:ind w:left="122" w:right="125" w:firstLine="434"/>
              <w:rPr>
                <w:rFonts w:hint="eastAsia" w:ascii="宋体" w:hAnsi="宋体" w:eastAsia="宋体" w:cs="宋体"/>
                <w:spacing w:val="6"/>
                <w:sz w:val="21"/>
                <w:szCs w:val="21"/>
                <w:lang w:val="en-US" w:eastAsia="en-US"/>
              </w:rPr>
            </w:pPr>
            <w:r>
              <w:rPr>
                <w:rFonts w:hint="eastAsia" w:ascii="宋体" w:hAnsi="宋体" w:eastAsia="宋体" w:cs="宋体"/>
                <w:spacing w:val="6"/>
                <w:sz w:val="21"/>
                <w:szCs w:val="21"/>
                <w:lang w:val="en-US" w:eastAsia="en-US"/>
              </w:rPr>
              <w:t>投标文件解密失败的补救方案和约定：根据《电子招标投标办法》（2013年2月4日国家发展改革委、工业和信息化部、监察部、住房城乡建设部、交通运输部、铁道部、水利部、商务部令第20号发布）有关规定，各投标人参加线上开标会时需要准备非加密电子投标文件（须与在云浮市公共资源交易服务平台上传的投标文件一致），当投标人上传到云浮市公共资源交易服务平台的投标文件出现解密失败时，会议组织方接受投标人重新上传与投标截止时间前提交加密投标文件一致的非加密投标文件（投标人须在30分钟内有效提交到云浮市公共资源交易服务平台），参与开标和评标；未在限时内有效提交非加密电子投标文件（须与在云浮市公共资源交易服务平台上传的投标文件一致）到云浮市公共资源交易服务平台的，视同放弃投标文件解密失败补救权利。各投标人对其提供的非加密投标文件与投标截止时间前提交加密投标文件一致性、真实性、有效性、合法性负责，并无条件认可和接受非加密投标文件的全部内容。</w:t>
            </w:r>
          </w:p>
          <w:p w14:paraId="384AC5C1">
            <w:pPr>
              <w:pStyle w:val="9"/>
              <w:spacing w:before="161" w:line="327" w:lineRule="auto"/>
              <w:ind w:left="122" w:right="125" w:firstLine="434"/>
              <w:rPr>
                <w:rFonts w:hint="eastAsia" w:ascii="宋体" w:hAnsi="宋体" w:eastAsia="宋体" w:cs="宋体"/>
                <w:spacing w:val="6"/>
                <w:sz w:val="21"/>
                <w:szCs w:val="21"/>
                <w:lang w:val="en-US" w:eastAsia="en-US"/>
              </w:rPr>
            </w:pPr>
            <w:r>
              <w:rPr>
                <w:rFonts w:hint="eastAsia" w:ascii="宋体" w:hAnsi="宋体" w:eastAsia="宋体" w:cs="宋体"/>
                <w:spacing w:val="6"/>
                <w:sz w:val="21"/>
                <w:szCs w:val="21"/>
                <w:lang w:val="en-US" w:eastAsia="en-US"/>
              </w:rPr>
              <w:t>投标保证金补救方案：电子保函查验（解密）失败的，以电子投标文件提交的保证金资料为准进行评审；电子投标文件中未提交保证金或其他相关凭证材料的，以电子保函平台电子保函查询结果或银行转账到账查询为准进行评审。</w:t>
            </w:r>
          </w:p>
          <w:p w14:paraId="5FD8B4DC">
            <w:pPr>
              <w:pStyle w:val="9"/>
              <w:spacing w:before="161" w:line="327" w:lineRule="auto"/>
              <w:ind w:left="122" w:right="125" w:firstLine="434"/>
              <w:rPr>
                <w:rFonts w:hint="eastAsia" w:ascii="宋体" w:hAnsi="宋体" w:eastAsia="宋体" w:cs="宋体"/>
                <w:spacing w:val="6"/>
                <w:sz w:val="21"/>
                <w:szCs w:val="21"/>
                <w:lang w:val="en-US" w:eastAsia="en-US"/>
              </w:rPr>
            </w:pPr>
            <w:r>
              <w:rPr>
                <w:rFonts w:hint="eastAsia" w:ascii="宋体" w:hAnsi="宋体" w:eastAsia="宋体" w:cs="宋体"/>
                <w:spacing w:val="6"/>
                <w:sz w:val="21"/>
                <w:szCs w:val="21"/>
                <w:lang w:val="en-US" w:eastAsia="en-US"/>
              </w:rPr>
              <w:t>发生特殊情况时，电子交易系统运营机构应启动应急处置措施，查明原因，排除故障。如在开标前恢复系统运行的，招标投标活动继续进行。如开评标活动无法按时开展，作招标失败处理。除发生上述情况外，开标评标均以投标人通过云浮市公共资源交易服务平台网上递交的电子投标文件为准。</w:t>
            </w:r>
          </w:p>
          <w:p w14:paraId="041430F9">
            <w:pPr>
              <w:pStyle w:val="9"/>
              <w:spacing w:before="161" w:line="327" w:lineRule="auto"/>
              <w:ind w:left="122" w:right="125" w:firstLine="434"/>
              <w:rPr>
                <w:rFonts w:hint="eastAsia"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10.11  招标代理费用的约定：</w:t>
            </w:r>
          </w:p>
          <w:p w14:paraId="01D7DB73">
            <w:pPr>
              <w:pStyle w:val="9"/>
              <w:spacing w:before="147" w:line="335" w:lineRule="auto"/>
              <w:ind w:left="110" w:right="107" w:firstLine="15"/>
              <w:jc w:val="both"/>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招标代理服务费的收费按《国家发展改革委关于进一步放开建设项目专业服务价格的通知》（发改价格〔2015〕299号）的规定计算，最终招标代理服务费以招标人和招标代理机构签订的招标代理合同为准，招标代理费用在完成招标工作后，由招标人将代理报酬一次性支付给招标代理机构。</w:t>
            </w:r>
          </w:p>
          <w:p w14:paraId="75D1F00F">
            <w:pPr>
              <w:pStyle w:val="9"/>
              <w:spacing w:before="147" w:line="335" w:lineRule="auto"/>
              <w:ind w:left="110" w:right="107" w:firstLine="436" w:firstLineChars="207"/>
              <w:jc w:val="both"/>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10.12  本项目招标文件如有歧义，解释权属于云浮市云安区地方公路和交通运输管理站。</w:t>
            </w:r>
          </w:p>
          <w:p w14:paraId="2A48BA26">
            <w:pPr>
              <w:pStyle w:val="9"/>
              <w:spacing w:before="147" w:line="335" w:lineRule="auto"/>
              <w:ind w:left="110" w:right="107" w:firstLine="436" w:firstLineChars="207"/>
              <w:jc w:val="both"/>
              <w:rPr>
                <w:spacing w:val="-5"/>
              </w:rPr>
            </w:pPr>
            <w:r>
              <w:rPr>
                <w:rFonts w:hint="eastAsia" w:ascii="宋体" w:hAnsi="宋体" w:eastAsia="宋体" w:cs="宋体"/>
                <w:b/>
                <w:bCs/>
                <w:color w:val="auto"/>
                <w:sz w:val="21"/>
                <w:szCs w:val="21"/>
                <w:highlight w:val="none"/>
                <w:lang w:eastAsia="zh-CN"/>
              </w:rPr>
              <w:t xml:space="preserve">10.13  中标单位须在中标通知书发出五个工作日内提供施工合同 </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lang w:eastAsia="zh-CN"/>
              </w:rPr>
              <w:t>含电子版</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lang w:eastAsia="zh-CN"/>
              </w:rPr>
              <w:t xml:space="preserve"> 给发包人审核。</w:t>
            </w:r>
          </w:p>
        </w:tc>
      </w:tr>
      <w:tr w14:paraId="0C6C4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7" w:hRule="atLeast"/>
        </w:trPr>
        <w:tc>
          <w:tcPr>
            <w:tcW w:w="1185" w:type="dxa"/>
            <w:vAlign w:val="top"/>
          </w:tcPr>
          <w:p w14:paraId="5FBC04B6">
            <w:pPr>
              <w:pStyle w:val="9"/>
              <w:spacing w:before="68"/>
              <w:ind w:left="508"/>
              <w:rPr>
                <w:rFonts w:hint="default" w:eastAsia="宋体"/>
                <w:spacing w:val="-6"/>
                <w:lang w:val="en-US" w:eastAsia="zh-CN"/>
              </w:rPr>
            </w:pPr>
            <w:r>
              <w:rPr>
                <w:rFonts w:hint="eastAsia"/>
                <w:spacing w:val="-6"/>
                <w:lang w:val="en-US" w:eastAsia="zh-CN"/>
              </w:rPr>
              <w:t>12</w:t>
            </w:r>
          </w:p>
        </w:tc>
        <w:tc>
          <w:tcPr>
            <w:tcW w:w="8107" w:type="dxa"/>
            <w:gridSpan w:val="2"/>
            <w:vAlign w:val="top"/>
          </w:tcPr>
          <w:p w14:paraId="45786E13">
            <w:pPr>
              <w:pStyle w:val="9"/>
              <w:spacing w:before="147" w:line="335" w:lineRule="auto"/>
              <w:ind w:left="110" w:right="107" w:firstLine="436" w:firstLineChars="207"/>
              <w:jc w:val="both"/>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 xml:space="preserve">投标人须知正文增加第12项内容： </w:t>
            </w:r>
          </w:p>
          <w:p w14:paraId="3A9D65E4">
            <w:pPr>
              <w:pStyle w:val="9"/>
              <w:spacing w:before="147" w:line="335" w:lineRule="auto"/>
              <w:ind w:left="110" w:right="107" w:firstLine="436" w:firstLineChars="207"/>
              <w:jc w:val="both"/>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签订合同前，中标人须提供一式五份的纸质版投标文件给招标人存档。投标文件须与中标人投标时上传的电子投标文件一致，不得作出任何修改。如为联合体投标的，由联合体牵头人提供资料存档。</w:t>
            </w:r>
          </w:p>
        </w:tc>
      </w:tr>
    </w:tbl>
    <w:p w14:paraId="4464015B">
      <w:pPr>
        <w:pStyle w:val="2"/>
        <w:spacing w:line="277" w:lineRule="auto"/>
      </w:pPr>
    </w:p>
    <w:p w14:paraId="600865C5">
      <w:pPr>
        <w:pStyle w:val="2"/>
        <w:spacing w:line="250" w:lineRule="auto"/>
      </w:pPr>
    </w:p>
    <w:p w14:paraId="579D354A">
      <w:pPr>
        <w:spacing w:before="78" w:line="219" w:lineRule="auto"/>
        <w:ind w:left="140"/>
        <w:rPr>
          <w:rFonts w:ascii="宋体" w:hAnsi="宋体" w:eastAsia="宋体" w:cs="宋体"/>
          <w:b/>
          <w:bCs/>
          <w:spacing w:val="-10"/>
          <w:sz w:val="24"/>
          <w:szCs w:val="24"/>
        </w:rPr>
      </w:pPr>
    </w:p>
    <w:p w14:paraId="293627BD">
      <w:pPr>
        <w:spacing w:before="78" w:line="219" w:lineRule="auto"/>
        <w:ind w:left="140"/>
        <w:rPr>
          <w:rFonts w:ascii="宋体" w:hAnsi="宋体" w:eastAsia="宋体" w:cs="宋体"/>
          <w:sz w:val="24"/>
          <w:szCs w:val="24"/>
        </w:rPr>
      </w:pPr>
      <w:r>
        <w:rPr>
          <w:rFonts w:ascii="宋体" w:hAnsi="宋体" w:eastAsia="宋体" w:cs="宋体"/>
          <w:b/>
          <w:bCs/>
          <w:spacing w:val="-10"/>
          <w:sz w:val="24"/>
          <w:szCs w:val="24"/>
        </w:rPr>
        <w:t>附录</w:t>
      </w:r>
    </w:p>
    <w:p w14:paraId="46123DA8">
      <w:pPr>
        <w:pStyle w:val="2"/>
        <w:spacing w:line="273" w:lineRule="auto"/>
      </w:pPr>
    </w:p>
    <w:p w14:paraId="44FF1856">
      <w:pPr>
        <w:spacing w:line="217" w:lineRule="auto"/>
        <w:rPr>
          <w:rFonts w:ascii="宋体" w:hAnsi="宋体" w:eastAsia="宋体" w:cs="宋体"/>
          <w:sz w:val="18"/>
          <w:szCs w:val="18"/>
        </w:rPr>
        <w:sectPr>
          <w:footerReference r:id="rId14" w:type="default"/>
          <w:pgSz w:w="11905" w:h="16840"/>
          <w:pgMar w:top="1182" w:right="1303" w:bottom="1171" w:left="1303" w:header="849" w:footer="937" w:gutter="0"/>
          <w:pgNumType w:fmt="decimal"/>
          <w:cols w:space="720" w:num="1"/>
        </w:sectPr>
      </w:pPr>
    </w:p>
    <w:p w14:paraId="5A732D16">
      <w:pPr>
        <w:pStyle w:val="2"/>
        <w:spacing w:line="293" w:lineRule="auto"/>
      </w:pPr>
    </w:p>
    <w:p w14:paraId="77B8BC38">
      <w:pPr>
        <w:spacing w:before="88" w:line="241" w:lineRule="auto"/>
        <w:ind w:left="2117"/>
        <w:rPr>
          <w:rFonts w:ascii="宋体" w:hAnsi="宋体" w:eastAsia="宋体" w:cs="宋体"/>
          <w:sz w:val="13"/>
          <w:szCs w:val="13"/>
        </w:rPr>
      </w:pPr>
      <w:r>
        <w:rPr>
          <w:rFonts w:ascii="宋体" w:hAnsi="宋体" w:eastAsia="宋体" w:cs="宋体"/>
          <w:b/>
          <w:bCs/>
          <w:spacing w:val="-4"/>
          <w:sz w:val="27"/>
          <w:szCs w:val="27"/>
        </w:rPr>
        <w:t>附录</w:t>
      </w:r>
      <w:r>
        <w:rPr>
          <w:rFonts w:ascii="宋体" w:hAnsi="宋体" w:eastAsia="宋体" w:cs="宋体"/>
          <w:spacing w:val="-27"/>
          <w:sz w:val="27"/>
          <w:szCs w:val="27"/>
        </w:rPr>
        <w:t xml:space="preserve"> </w:t>
      </w:r>
      <w:r>
        <w:rPr>
          <w:rFonts w:ascii="宋体" w:hAnsi="宋体" w:eastAsia="宋体" w:cs="宋体"/>
          <w:b/>
          <w:bCs/>
          <w:spacing w:val="-4"/>
          <w:sz w:val="27"/>
          <w:szCs w:val="27"/>
        </w:rPr>
        <w:t>1</w:t>
      </w:r>
      <w:r>
        <w:rPr>
          <w:rFonts w:ascii="宋体" w:hAnsi="宋体" w:eastAsia="宋体" w:cs="宋体"/>
          <w:spacing w:val="-4"/>
          <w:sz w:val="27"/>
          <w:szCs w:val="27"/>
        </w:rPr>
        <w:t xml:space="preserve">  </w:t>
      </w:r>
      <w:r>
        <w:rPr>
          <w:rFonts w:ascii="宋体" w:hAnsi="宋体" w:eastAsia="宋体" w:cs="宋体"/>
          <w:b/>
          <w:bCs/>
          <w:spacing w:val="-4"/>
          <w:sz w:val="27"/>
          <w:szCs w:val="27"/>
        </w:rPr>
        <w:t>资格审查条件（资质最低条件）</w:t>
      </w:r>
    </w:p>
    <w:p w14:paraId="1A0754A7">
      <w:pPr>
        <w:spacing w:line="122"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18B5C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92" w:type="dxa"/>
            <w:vAlign w:val="top"/>
          </w:tcPr>
          <w:p w14:paraId="7D13710C">
            <w:pPr>
              <w:pStyle w:val="9"/>
              <w:spacing w:before="207" w:line="220" w:lineRule="auto"/>
              <w:ind w:left="3452"/>
              <w:rPr>
                <w:sz w:val="24"/>
                <w:szCs w:val="24"/>
              </w:rPr>
            </w:pPr>
            <w:r>
              <w:rPr>
                <w:b/>
                <w:bCs/>
                <w:spacing w:val="-3"/>
                <w:sz w:val="24"/>
                <w:szCs w:val="24"/>
              </w:rPr>
              <w:t>施工企业资质等级要求</w:t>
            </w:r>
          </w:p>
        </w:tc>
      </w:tr>
      <w:tr w14:paraId="5E778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4" w:hRule="atLeast"/>
        </w:trPr>
        <w:tc>
          <w:tcPr>
            <w:tcW w:w="9292" w:type="dxa"/>
            <w:vAlign w:val="top"/>
          </w:tcPr>
          <w:p w14:paraId="3B1B933C">
            <w:pPr>
              <w:pStyle w:val="9"/>
              <w:spacing w:before="66" w:line="206" w:lineRule="auto"/>
              <w:ind w:left="112" w:firstLine="420" w:firstLineChars="200"/>
              <w:rPr>
                <w:rFonts w:hint="eastAsia"/>
              </w:rPr>
            </w:pPr>
            <w:r>
              <w:rPr>
                <w:rFonts w:hint="eastAsia"/>
              </w:rPr>
              <w:t>1.具备住建部门核发的公路工程施工总承包叁级</w:t>
            </w:r>
            <w:r>
              <w:rPr>
                <w:rFonts w:hint="eastAsia"/>
                <w:lang w:eastAsia="zh-CN"/>
              </w:rPr>
              <w:t>（</w:t>
            </w:r>
            <w:r>
              <w:rPr>
                <w:rFonts w:hint="eastAsia"/>
                <w:lang w:val="en-US" w:eastAsia="zh-CN"/>
              </w:rPr>
              <w:t>含叁级</w:t>
            </w:r>
            <w:r>
              <w:rPr>
                <w:rFonts w:hint="eastAsia"/>
                <w:lang w:eastAsia="zh-CN"/>
              </w:rPr>
              <w:t>）</w:t>
            </w:r>
            <w:r>
              <w:rPr>
                <w:rFonts w:hint="eastAsia"/>
              </w:rPr>
              <w:t>及以上资质；</w:t>
            </w:r>
          </w:p>
          <w:p w14:paraId="1D7A6D42">
            <w:pPr>
              <w:pStyle w:val="9"/>
              <w:spacing w:before="66" w:line="206" w:lineRule="auto"/>
              <w:ind w:left="112"/>
              <w:rPr>
                <w:rFonts w:hint="eastAsia"/>
              </w:rPr>
            </w:pPr>
          </w:p>
          <w:p w14:paraId="3EFA647D">
            <w:pPr>
              <w:pStyle w:val="9"/>
              <w:spacing w:before="66" w:line="206" w:lineRule="auto"/>
              <w:ind w:left="112" w:firstLine="420" w:firstLineChars="200"/>
              <w:rPr>
                <w:rFonts w:hint="eastAsia"/>
              </w:rPr>
            </w:pPr>
            <w:r>
              <w:rPr>
                <w:rFonts w:hint="eastAsia"/>
              </w:rPr>
              <w:t xml:space="preserve">注：招标人将按照交通运输部《全国公路建设市场监督管理系统》网站中“公路工程施工资质企业名录” </w:t>
            </w:r>
            <w:r>
              <w:rPr>
                <w:rFonts w:hint="eastAsia"/>
                <w:lang w:eastAsia="zh-CN"/>
              </w:rPr>
              <w:t>（</w:t>
            </w:r>
            <w:r>
              <w:rPr>
                <w:rFonts w:hint="eastAsia"/>
              </w:rPr>
              <w:t>以下简称“名录”</w:t>
            </w:r>
            <w:r>
              <w:rPr>
                <w:rFonts w:hint="eastAsia"/>
                <w:lang w:eastAsia="zh-CN"/>
              </w:rPr>
              <w:t>）</w:t>
            </w:r>
            <w:r>
              <w:rPr>
                <w:rFonts w:hint="eastAsia"/>
              </w:rPr>
              <w:t xml:space="preserve"> 进行审核。对于未列入“名录”或申请人名称、 资质信息与“名录”查询结果不符的，将不能通过资格审查。</w:t>
            </w:r>
          </w:p>
          <w:p w14:paraId="7D1DBC0C">
            <w:pPr>
              <w:pStyle w:val="9"/>
              <w:spacing w:before="66" w:line="206" w:lineRule="auto"/>
              <w:ind w:left="112"/>
              <w:rPr>
                <w:rFonts w:hint="eastAsia"/>
              </w:rPr>
            </w:pPr>
          </w:p>
          <w:p w14:paraId="0D0E0810">
            <w:pPr>
              <w:pStyle w:val="9"/>
              <w:spacing w:before="66" w:line="206" w:lineRule="auto"/>
              <w:ind w:left="112" w:firstLine="420" w:firstLineChars="200"/>
              <w:rPr>
                <w:rFonts w:hint="eastAsia"/>
              </w:rPr>
            </w:pPr>
            <w:r>
              <w:rPr>
                <w:rFonts w:hint="eastAsia"/>
              </w:rPr>
              <w:t>2.具备有效的安全生产许可证。</w:t>
            </w:r>
          </w:p>
          <w:p w14:paraId="7AC0054B">
            <w:pPr>
              <w:pStyle w:val="9"/>
              <w:spacing w:before="66" w:line="206" w:lineRule="auto"/>
              <w:ind w:left="112"/>
              <w:rPr>
                <w:rFonts w:hint="eastAsia"/>
              </w:rPr>
            </w:pPr>
          </w:p>
          <w:p w14:paraId="4EA616F5">
            <w:pPr>
              <w:pStyle w:val="9"/>
              <w:spacing w:before="66" w:line="206" w:lineRule="auto"/>
              <w:ind w:left="112" w:firstLine="420" w:firstLineChars="200"/>
              <w:rPr>
                <w:sz w:val="24"/>
                <w:szCs w:val="24"/>
              </w:rPr>
            </w:pPr>
            <w:r>
              <w:rPr>
                <w:rFonts w:hint="eastAsia"/>
              </w:rPr>
              <w:t>3.具备有效的营业执照。</w:t>
            </w:r>
          </w:p>
        </w:tc>
      </w:tr>
    </w:tbl>
    <w:p w14:paraId="54997A93">
      <w:pPr>
        <w:pStyle w:val="2"/>
        <w:spacing w:line="247" w:lineRule="auto"/>
      </w:pPr>
    </w:p>
    <w:p w14:paraId="6DAD9301">
      <w:pPr>
        <w:pStyle w:val="2"/>
        <w:spacing w:line="247" w:lineRule="auto"/>
      </w:pPr>
    </w:p>
    <w:p w14:paraId="26D9F4EE">
      <w:pPr>
        <w:spacing w:line="234" w:lineRule="exact"/>
      </w:pPr>
    </w:p>
    <w:p w14:paraId="2DFBA608">
      <w:pPr>
        <w:spacing w:before="49" w:line="219" w:lineRule="auto"/>
        <w:ind w:left="120"/>
        <w:rPr>
          <w:rFonts w:ascii="宋体" w:hAnsi="宋体" w:eastAsia="宋体" w:cs="宋体"/>
          <w:sz w:val="21"/>
          <w:szCs w:val="21"/>
        </w:rPr>
      </w:pPr>
      <w:r>
        <w:rPr>
          <w:rFonts w:ascii="宋体" w:hAnsi="宋体" w:eastAsia="宋体" w:cs="宋体"/>
          <w:spacing w:val="-1"/>
          <w:sz w:val="21"/>
          <w:szCs w:val="21"/>
        </w:rPr>
        <w:t>注：投标人应根据投标文件第二章“投标人</w:t>
      </w:r>
      <w:r>
        <w:rPr>
          <w:rFonts w:ascii="宋体" w:hAnsi="宋体" w:eastAsia="宋体" w:cs="宋体"/>
          <w:spacing w:val="-2"/>
          <w:sz w:val="21"/>
          <w:szCs w:val="21"/>
        </w:rPr>
        <w:t>须知”第</w:t>
      </w:r>
      <w:r>
        <w:rPr>
          <w:rFonts w:ascii="宋体" w:hAnsi="宋体" w:eastAsia="宋体" w:cs="宋体"/>
          <w:spacing w:val="-41"/>
          <w:sz w:val="21"/>
          <w:szCs w:val="21"/>
        </w:rPr>
        <w:t xml:space="preserve"> </w:t>
      </w:r>
      <w:r>
        <w:rPr>
          <w:rFonts w:ascii="宋体" w:hAnsi="宋体" w:eastAsia="宋体" w:cs="宋体"/>
          <w:spacing w:val="-2"/>
          <w:sz w:val="21"/>
          <w:szCs w:val="21"/>
        </w:rPr>
        <w:t>3.5.1</w:t>
      </w:r>
      <w:r>
        <w:rPr>
          <w:rFonts w:ascii="宋体" w:hAnsi="宋体" w:eastAsia="宋体" w:cs="宋体"/>
          <w:spacing w:val="-40"/>
          <w:sz w:val="21"/>
          <w:szCs w:val="21"/>
        </w:rPr>
        <w:t xml:space="preserve"> </w:t>
      </w:r>
      <w:r>
        <w:rPr>
          <w:rFonts w:ascii="宋体" w:hAnsi="宋体" w:eastAsia="宋体" w:cs="宋体"/>
          <w:spacing w:val="-2"/>
          <w:sz w:val="21"/>
          <w:szCs w:val="21"/>
        </w:rPr>
        <w:t>项的要求附相关证明材料。</w:t>
      </w:r>
      <w:r>
        <w:rPr>
          <w:rFonts w:hint="eastAsia" w:ascii="宋体" w:hAnsi="宋体" w:eastAsia="宋体" w:cs="宋体"/>
          <w:spacing w:val="8"/>
          <w:sz w:val="21"/>
          <w:szCs w:val="21"/>
        </w:rPr>
        <w:t>以上所有证明材料均需装订进投标文件，开标现场不做原件核查。</w:t>
      </w:r>
    </w:p>
    <w:p w14:paraId="1C697CBA">
      <w:pPr>
        <w:pStyle w:val="2"/>
        <w:spacing w:line="261" w:lineRule="auto"/>
      </w:pPr>
    </w:p>
    <w:p w14:paraId="0CC55464">
      <w:pPr>
        <w:pStyle w:val="2"/>
        <w:spacing w:line="261" w:lineRule="auto"/>
      </w:pPr>
    </w:p>
    <w:p w14:paraId="6EFD6F11">
      <w:pPr>
        <w:pStyle w:val="2"/>
        <w:spacing w:line="262" w:lineRule="auto"/>
      </w:pPr>
    </w:p>
    <w:p w14:paraId="0CA334AF">
      <w:pPr>
        <w:pStyle w:val="2"/>
        <w:spacing w:line="262" w:lineRule="auto"/>
      </w:pPr>
    </w:p>
    <w:p w14:paraId="5FF48B86">
      <w:pPr>
        <w:pStyle w:val="2"/>
        <w:spacing w:line="262" w:lineRule="auto"/>
      </w:pPr>
    </w:p>
    <w:p w14:paraId="7D026E4C">
      <w:pPr>
        <w:pStyle w:val="2"/>
        <w:spacing w:line="262" w:lineRule="auto"/>
      </w:pPr>
    </w:p>
    <w:p w14:paraId="4CE080FE">
      <w:pPr>
        <w:pStyle w:val="2"/>
        <w:spacing w:line="262" w:lineRule="auto"/>
      </w:pPr>
    </w:p>
    <w:p w14:paraId="448CAFBC">
      <w:pPr>
        <w:pStyle w:val="2"/>
        <w:spacing w:line="262" w:lineRule="auto"/>
      </w:pPr>
    </w:p>
    <w:p w14:paraId="4861FB8A">
      <w:pPr>
        <w:pStyle w:val="2"/>
        <w:spacing w:line="262" w:lineRule="auto"/>
      </w:pPr>
    </w:p>
    <w:p w14:paraId="158BD437">
      <w:pPr>
        <w:pStyle w:val="2"/>
        <w:spacing w:line="293" w:lineRule="auto"/>
      </w:pPr>
    </w:p>
    <w:p w14:paraId="23E1E5D7">
      <w:pPr>
        <w:spacing w:before="88" w:line="241" w:lineRule="auto"/>
        <w:ind w:left="2117"/>
        <w:rPr>
          <w:rFonts w:ascii="宋体" w:hAnsi="宋体" w:eastAsia="宋体" w:cs="宋体"/>
          <w:sz w:val="13"/>
          <w:szCs w:val="13"/>
        </w:rPr>
      </w:pPr>
      <w:r>
        <w:rPr>
          <w:rFonts w:ascii="宋体" w:hAnsi="宋体" w:eastAsia="宋体" w:cs="宋体"/>
          <w:b/>
          <w:bCs/>
          <w:spacing w:val="-3"/>
          <w:sz w:val="27"/>
          <w:szCs w:val="27"/>
        </w:rPr>
        <w:t>附录</w:t>
      </w:r>
      <w:r>
        <w:rPr>
          <w:rFonts w:ascii="宋体" w:hAnsi="宋体" w:eastAsia="宋体" w:cs="宋体"/>
          <w:spacing w:val="-47"/>
          <w:sz w:val="27"/>
          <w:szCs w:val="27"/>
        </w:rPr>
        <w:t xml:space="preserve"> </w:t>
      </w:r>
      <w:r>
        <w:rPr>
          <w:rFonts w:ascii="宋体" w:hAnsi="宋体" w:eastAsia="宋体" w:cs="宋体"/>
          <w:b/>
          <w:bCs/>
          <w:spacing w:val="-3"/>
          <w:sz w:val="27"/>
          <w:szCs w:val="27"/>
        </w:rPr>
        <w:t>2</w:t>
      </w:r>
      <w:r>
        <w:rPr>
          <w:rFonts w:ascii="宋体" w:hAnsi="宋体" w:eastAsia="宋体" w:cs="宋体"/>
          <w:spacing w:val="-3"/>
          <w:sz w:val="27"/>
          <w:szCs w:val="27"/>
        </w:rPr>
        <w:t xml:space="preserve">  </w:t>
      </w:r>
      <w:r>
        <w:rPr>
          <w:rFonts w:ascii="宋体" w:hAnsi="宋体" w:eastAsia="宋体" w:cs="宋体"/>
          <w:b/>
          <w:bCs/>
          <w:spacing w:val="-3"/>
          <w:sz w:val="27"/>
          <w:szCs w:val="27"/>
        </w:rPr>
        <w:t>资格审查条件（财务最低要求）</w:t>
      </w:r>
    </w:p>
    <w:p w14:paraId="4B513ACD">
      <w:pPr>
        <w:spacing w:line="122"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50B22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92" w:type="dxa"/>
            <w:vAlign w:val="top"/>
          </w:tcPr>
          <w:p w14:paraId="6B6A5C7A">
            <w:pPr>
              <w:pStyle w:val="9"/>
              <w:spacing w:before="207" w:line="220" w:lineRule="auto"/>
              <w:ind w:left="4174"/>
              <w:rPr>
                <w:sz w:val="24"/>
                <w:szCs w:val="24"/>
              </w:rPr>
            </w:pPr>
            <w:r>
              <w:rPr>
                <w:b/>
                <w:bCs/>
                <w:spacing w:val="-5"/>
                <w:sz w:val="24"/>
                <w:szCs w:val="24"/>
              </w:rPr>
              <w:t>财务要求</w:t>
            </w:r>
          </w:p>
        </w:tc>
      </w:tr>
      <w:tr w14:paraId="28FBF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0" w:hRule="atLeast"/>
        </w:trPr>
        <w:tc>
          <w:tcPr>
            <w:tcW w:w="9292" w:type="dxa"/>
            <w:vAlign w:val="top"/>
          </w:tcPr>
          <w:p w14:paraId="6DD4E679">
            <w:pPr>
              <w:spacing w:line="262" w:lineRule="auto"/>
              <w:rPr>
                <w:rFonts w:ascii="Arial"/>
                <w:sz w:val="21"/>
              </w:rPr>
            </w:pPr>
          </w:p>
          <w:p w14:paraId="521D5802">
            <w:pPr>
              <w:spacing w:line="262" w:lineRule="auto"/>
              <w:rPr>
                <w:rFonts w:ascii="Arial"/>
                <w:sz w:val="21"/>
              </w:rPr>
            </w:pPr>
          </w:p>
          <w:p w14:paraId="5D127140">
            <w:pPr>
              <w:spacing w:line="262" w:lineRule="auto"/>
              <w:rPr>
                <w:rFonts w:ascii="Arial"/>
                <w:sz w:val="21"/>
              </w:rPr>
            </w:pPr>
          </w:p>
          <w:p w14:paraId="0B3CD0B0">
            <w:pPr>
              <w:spacing w:line="262" w:lineRule="auto"/>
              <w:rPr>
                <w:rFonts w:ascii="Arial"/>
                <w:sz w:val="21"/>
              </w:rPr>
            </w:pPr>
          </w:p>
          <w:p w14:paraId="74876533">
            <w:pPr>
              <w:spacing w:line="263" w:lineRule="auto"/>
              <w:rPr>
                <w:rFonts w:ascii="Arial"/>
                <w:sz w:val="21"/>
              </w:rPr>
            </w:pPr>
          </w:p>
          <w:p w14:paraId="0CA25D2C">
            <w:pPr>
              <w:pStyle w:val="9"/>
              <w:spacing w:before="78" w:line="219" w:lineRule="auto"/>
              <w:ind w:left="134"/>
              <w:rPr>
                <w:sz w:val="24"/>
                <w:szCs w:val="24"/>
              </w:rPr>
            </w:pPr>
            <w:r>
              <w:rPr>
                <w:spacing w:val="-3"/>
                <w:sz w:val="24"/>
                <w:szCs w:val="24"/>
              </w:rPr>
              <w:t>1、企业净资产（总资产-总负债）不少于</w:t>
            </w:r>
            <w:r>
              <w:rPr>
                <w:rFonts w:hint="eastAsia"/>
                <w:spacing w:val="-3"/>
                <w:sz w:val="24"/>
                <w:szCs w:val="24"/>
                <w:lang w:val="en-US" w:eastAsia="zh-CN"/>
              </w:rPr>
              <w:t xml:space="preserve"> </w:t>
            </w:r>
            <w:r>
              <w:rPr>
                <w:rFonts w:hint="eastAsia"/>
                <w:spacing w:val="-3"/>
                <w:sz w:val="24"/>
                <w:szCs w:val="24"/>
                <w:u w:val="single" w:color="auto"/>
                <w:lang w:val="en-US" w:eastAsia="zh-CN"/>
              </w:rPr>
              <w:t xml:space="preserve">1000 </w:t>
            </w:r>
            <w:r>
              <w:rPr>
                <w:spacing w:val="-3"/>
                <w:sz w:val="24"/>
                <w:szCs w:val="24"/>
              </w:rPr>
              <w:t>万元人民币。</w:t>
            </w:r>
          </w:p>
          <w:p w14:paraId="236D60EE">
            <w:pPr>
              <w:pStyle w:val="9"/>
              <w:spacing w:before="134" w:line="316" w:lineRule="auto"/>
              <w:ind w:left="114" w:right="107" w:firstLine="5"/>
              <w:rPr>
                <w:sz w:val="24"/>
                <w:szCs w:val="24"/>
              </w:rPr>
            </w:pPr>
            <w:r>
              <w:rPr>
                <w:spacing w:val="-2"/>
                <w:sz w:val="24"/>
                <w:szCs w:val="24"/>
              </w:rPr>
              <w:t>2、营运资金（流动资产-流动负债）不少于</w:t>
            </w:r>
            <w:r>
              <w:rPr>
                <w:spacing w:val="-120"/>
                <w:sz w:val="24"/>
                <w:szCs w:val="24"/>
              </w:rPr>
              <w:t xml:space="preserve"> </w:t>
            </w:r>
            <w:r>
              <w:rPr>
                <w:sz w:val="24"/>
                <w:szCs w:val="24"/>
                <w:u w:val="single" w:color="auto"/>
              </w:rPr>
              <w:t xml:space="preserve"> </w:t>
            </w:r>
            <w:r>
              <w:rPr>
                <w:rFonts w:hint="eastAsia"/>
                <w:sz w:val="24"/>
                <w:szCs w:val="24"/>
                <w:u w:val="single" w:color="auto"/>
                <w:lang w:val="en-US" w:eastAsia="zh-CN"/>
              </w:rPr>
              <w:t>1000</w:t>
            </w:r>
            <w:r>
              <w:rPr>
                <w:spacing w:val="-105"/>
                <w:sz w:val="24"/>
                <w:szCs w:val="24"/>
              </w:rPr>
              <w:t xml:space="preserve"> </w:t>
            </w:r>
            <w:r>
              <w:rPr>
                <w:spacing w:val="-2"/>
                <w:sz w:val="24"/>
                <w:szCs w:val="24"/>
              </w:rPr>
              <w:t>万元人民币。</w:t>
            </w:r>
          </w:p>
          <w:p w14:paraId="06C20CD7">
            <w:pPr>
              <w:pStyle w:val="9"/>
              <w:spacing w:line="233" w:lineRule="auto"/>
              <w:ind w:left="121"/>
              <w:rPr>
                <w:spacing w:val="-1"/>
                <w:sz w:val="24"/>
                <w:szCs w:val="24"/>
              </w:rPr>
            </w:pPr>
            <w:r>
              <w:rPr>
                <w:spacing w:val="-1"/>
                <w:sz w:val="24"/>
                <w:szCs w:val="24"/>
              </w:rPr>
              <w:t>3、近三个年度的年平均营业总收入不少于</w:t>
            </w:r>
            <w:r>
              <w:rPr>
                <w:spacing w:val="-1"/>
                <w:sz w:val="24"/>
                <w:szCs w:val="24"/>
                <w:u w:val="single" w:color="auto"/>
              </w:rPr>
              <w:t xml:space="preserve"> </w:t>
            </w:r>
            <w:r>
              <w:rPr>
                <w:rFonts w:hint="eastAsia"/>
                <w:spacing w:val="-1"/>
                <w:sz w:val="24"/>
                <w:szCs w:val="24"/>
                <w:u w:val="single" w:color="auto"/>
                <w:lang w:val="en-US" w:eastAsia="zh-CN"/>
              </w:rPr>
              <w:t>1000</w:t>
            </w:r>
            <w:r>
              <w:rPr>
                <w:spacing w:val="-105"/>
                <w:sz w:val="24"/>
                <w:szCs w:val="24"/>
              </w:rPr>
              <w:t xml:space="preserve"> </w:t>
            </w:r>
            <w:r>
              <w:rPr>
                <w:spacing w:val="-1"/>
                <w:sz w:val="24"/>
                <w:szCs w:val="24"/>
              </w:rPr>
              <w:t>万元人民币。</w:t>
            </w:r>
          </w:p>
          <w:p w14:paraId="37F66865">
            <w:pPr>
              <w:pStyle w:val="9"/>
              <w:spacing w:before="78" w:line="219" w:lineRule="auto"/>
              <w:rPr>
                <w:rFonts w:hint="default" w:eastAsia="宋体"/>
                <w:spacing w:val="-1"/>
                <w:sz w:val="24"/>
                <w:szCs w:val="24"/>
                <w:lang w:val="en-US" w:eastAsia="zh-CN"/>
              </w:rPr>
            </w:pPr>
          </w:p>
        </w:tc>
      </w:tr>
    </w:tbl>
    <w:p w14:paraId="2F9FC458">
      <w:pPr>
        <w:spacing w:before="48" w:line="224" w:lineRule="auto"/>
        <w:ind w:left="120"/>
        <w:rPr>
          <w:rFonts w:ascii="宋体" w:hAnsi="宋体" w:eastAsia="宋体" w:cs="宋体"/>
          <w:sz w:val="21"/>
          <w:szCs w:val="21"/>
        </w:rPr>
      </w:pPr>
      <w:r>
        <w:rPr>
          <w:rFonts w:ascii="宋体" w:hAnsi="宋体" w:eastAsia="宋体" w:cs="宋体"/>
          <w:spacing w:val="-15"/>
          <w:sz w:val="21"/>
          <w:szCs w:val="21"/>
        </w:rPr>
        <w:t>注：</w:t>
      </w:r>
    </w:p>
    <w:p w14:paraId="346E2DF9">
      <w:pPr>
        <w:spacing w:before="58" w:line="274" w:lineRule="auto"/>
        <w:ind w:left="121" w:right="110" w:firstLine="14"/>
        <w:rPr>
          <w:rFonts w:ascii="宋体" w:hAnsi="宋体" w:eastAsia="宋体" w:cs="宋体"/>
          <w:sz w:val="21"/>
          <w:szCs w:val="21"/>
        </w:rPr>
      </w:pPr>
      <w:r>
        <w:rPr>
          <w:rFonts w:ascii="宋体" w:hAnsi="宋体" w:eastAsia="宋体" w:cs="宋体"/>
          <w:spacing w:val="-2"/>
          <w:sz w:val="21"/>
          <w:szCs w:val="21"/>
        </w:rPr>
        <w:t>1、企业净资产、营运资金是按最新年度（近三个年度的最后一年，下同）的数据计算得出。近三个</w:t>
      </w:r>
      <w:r>
        <w:rPr>
          <w:rFonts w:ascii="宋体" w:hAnsi="宋体" w:eastAsia="宋体" w:cs="宋体"/>
          <w:spacing w:val="-1"/>
          <w:sz w:val="21"/>
          <w:szCs w:val="21"/>
        </w:rPr>
        <w:t>年度是指</w:t>
      </w:r>
      <w:r>
        <w:rPr>
          <w:rFonts w:ascii="宋体" w:hAnsi="宋体" w:eastAsia="宋体" w:cs="宋体"/>
          <w:spacing w:val="-1"/>
          <w:sz w:val="21"/>
          <w:szCs w:val="21"/>
          <w:u w:val="single" w:color="auto"/>
        </w:rPr>
        <w:t xml:space="preserve"> </w:t>
      </w:r>
      <w:r>
        <w:rPr>
          <w:rFonts w:hint="eastAsia" w:ascii="宋体" w:hAnsi="宋体" w:cs="宋体"/>
          <w:spacing w:val="-1"/>
          <w:sz w:val="21"/>
          <w:szCs w:val="21"/>
          <w:u w:val="single" w:color="auto"/>
          <w:lang w:val="en-US" w:eastAsia="zh-CN"/>
        </w:rPr>
        <w:t>2022-2024</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w:t>
      </w:r>
    </w:p>
    <w:p w14:paraId="03AE8F6C">
      <w:pPr>
        <w:spacing w:line="274" w:lineRule="auto"/>
        <w:ind w:left="120" w:right="110" w:firstLine="2"/>
        <w:rPr>
          <w:rFonts w:ascii="宋体" w:hAnsi="宋体" w:eastAsia="宋体" w:cs="宋体"/>
          <w:sz w:val="21"/>
          <w:szCs w:val="21"/>
        </w:rPr>
      </w:pPr>
      <w:r>
        <w:rPr>
          <w:rFonts w:ascii="宋体" w:hAnsi="宋体" w:eastAsia="宋体" w:cs="宋体"/>
          <w:spacing w:val="-2"/>
          <w:sz w:val="21"/>
          <w:szCs w:val="21"/>
        </w:rPr>
        <w:t>2、以联合体形式投标的，财务最低要求中的第</w:t>
      </w:r>
      <w:r>
        <w:rPr>
          <w:rFonts w:ascii="宋体" w:hAnsi="宋体" w:eastAsia="宋体" w:cs="宋体"/>
          <w:spacing w:val="-30"/>
          <w:sz w:val="21"/>
          <w:szCs w:val="21"/>
        </w:rPr>
        <w:t xml:space="preserve"> </w:t>
      </w:r>
      <w:r>
        <w:rPr>
          <w:rFonts w:ascii="宋体" w:hAnsi="宋体" w:eastAsia="宋体" w:cs="宋体"/>
          <w:spacing w:val="-2"/>
          <w:sz w:val="21"/>
          <w:szCs w:val="21"/>
        </w:rPr>
        <w:t>1、2、3</w:t>
      </w:r>
      <w:r>
        <w:rPr>
          <w:rFonts w:ascii="宋体" w:hAnsi="宋体" w:eastAsia="宋体" w:cs="宋体"/>
          <w:spacing w:val="-40"/>
          <w:sz w:val="21"/>
          <w:szCs w:val="21"/>
        </w:rPr>
        <w:t xml:space="preserve"> </w:t>
      </w:r>
      <w:r>
        <w:rPr>
          <w:rFonts w:ascii="宋体" w:hAnsi="宋体" w:eastAsia="宋体" w:cs="宋体"/>
          <w:spacing w:val="-2"/>
          <w:sz w:val="21"/>
          <w:szCs w:val="21"/>
        </w:rPr>
        <w:t>项</w:t>
      </w:r>
      <w:r>
        <w:rPr>
          <w:rFonts w:ascii="宋体" w:hAnsi="宋体" w:eastAsia="宋体" w:cs="宋体"/>
          <w:spacing w:val="-3"/>
          <w:sz w:val="21"/>
          <w:szCs w:val="21"/>
        </w:rPr>
        <w:t>其财务能力以所有成员（含牵头人）合并</w:t>
      </w:r>
      <w:r>
        <w:rPr>
          <w:rFonts w:ascii="宋体" w:hAnsi="宋体" w:eastAsia="宋体" w:cs="宋体"/>
          <w:spacing w:val="-5"/>
          <w:sz w:val="21"/>
          <w:szCs w:val="21"/>
        </w:rPr>
        <w:t>加总计算为准。</w:t>
      </w:r>
    </w:p>
    <w:p w14:paraId="42A4D30B">
      <w:pPr>
        <w:spacing w:before="1" w:line="218" w:lineRule="auto"/>
        <w:ind w:left="125"/>
        <w:rPr>
          <w:rFonts w:ascii="宋体" w:hAnsi="宋体" w:eastAsia="宋体" w:cs="宋体"/>
          <w:sz w:val="21"/>
          <w:szCs w:val="21"/>
        </w:rPr>
      </w:pPr>
      <w:r>
        <w:rPr>
          <w:rFonts w:ascii="宋体" w:hAnsi="宋体" w:eastAsia="宋体" w:cs="宋体"/>
          <w:spacing w:val="-2"/>
          <w:sz w:val="21"/>
          <w:szCs w:val="21"/>
        </w:rPr>
        <w:t>3、投标人应根据招标文件第二章“投标人须知”第</w:t>
      </w:r>
      <w:r>
        <w:rPr>
          <w:rFonts w:ascii="宋体" w:hAnsi="宋体" w:eastAsia="宋体" w:cs="宋体"/>
          <w:spacing w:val="-25"/>
          <w:sz w:val="21"/>
          <w:szCs w:val="21"/>
        </w:rPr>
        <w:t xml:space="preserve"> </w:t>
      </w:r>
      <w:r>
        <w:rPr>
          <w:rFonts w:ascii="宋体" w:hAnsi="宋体" w:eastAsia="宋体" w:cs="宋体"/>
          <w:spacing w:val="-2"/>
          <w:sz w:val="21"/>
          <w:szCs w:val="21"/>
        </w:rPr>
        <w:t>3.5.2</w:t>
      </w:r>
      <w:r>
        <w:rPr>
          <w:rFonts w:ascii="宋体" w:hAnsi="宋体" w:eastAsia="宋体" w:cs="宋体"/>
          <w:spacing w:val="-42"/>
          <w:sz w:val="21"/>
          <w:szCs w:val="21"/>
        </w:rPr>
        <w:t xml:space="preserve"> </w:t>
      </w:r>
      <w:r>
        <w:rPr>
          <w:rFonts w:ascii="宋体" w:hAnsi="宋体" w:eastAsia="宋体" w:cs="宋体"/>
          <w:spacing w:val="-2"/>
          <w:sz w:val="21"/>
          <w:szCs w:val="21"/>
        </w:rPr>
        <w:t>项的要求附相关证明材料。</w:t>
      </w:r>
    </w:p>
    <w:p w14:paraId="49FC9680">
      <w:pPr>
        <w:pStyle w:val="2"/>
        <w:spacing w:line="250" w:lineRule="auto"/>
      </w:pPr>
    </w:p>
    <w:p w14:paraId="24DB780B">
      <w:pPr>
        <w:pStyle w:val="2"/>
        <w:spacing w:line="250" w:lineRule="auto"/>
      </w:pPr>
    </w:p>
    <w:p w14:paraId="42D57EF2">
      <w:pPr>
        <w:pStyle w:val="2"/>
        <w:spacing w:line="250" w:lineRule="auto"/>
      </w:pPr>
    </w:p>
    <w:p w14:paraId="40729B75">
      <w:pPr>
        <w:pStyle w:val="2"/>
        <w:spacing w:line="250" w:lineRule="auto"/>
      </w:pPr>
    </w:p>
    <w:p w14:paraId="4C673365">
      <w:pPr>
        <w:pStyle w:val="2"/>
        <w:spacing w:line="250" w:lineRule="auto"/>
      </w:pPr>
    </w:p>
    <w:p w14:paraId="3765B548">
      <w:pPr>
        <w:pStyle w:val="2"/>
        <w:spacing w:line="250" w:lineRule="auto"/>
      </w:pPr>
    </w:p>
    <w:p w14:paraId="39C56FB3">
      <w:pPr>
        <w:pStyle w:val="2"/>
        <w:spacing w:line="250" w:lineRule="auto"/>
      </w:pPr>
    </w:p>
    <w:p w14:paraId="4CCEA01A">
      <w:pPr>
        <w:pStyle w:val="2"/>
        <w:spacing w:line="251" w:lineRule="auto"/>
      </w:pPr>
    </w:p>
    <w:p w14:paraId="50A42B3D">
      <w:pPr>
        <w:pStyle w:val="2"/>
        <w:spacing w:line="251" w:lineRule="auto"/>
      </w:pPr>
    </w:p>
    <w:p w14:paraId="7D835505">
      <w:pPr>
        <w:pStyle w:val="2"/>
        <w:spacing w:line="251" w:lineRule="auto"/>
      </w:pPr>
    </w:p>
    <w:p w14:paraId="7BA84D11">
      <w:pPr>
        <w:pStyle w:val="2"/>
        <w:spacing w:line="251" w:lineRule="auto"/>
      </w:pPr>
    </w:p>
    <w:p w14:paraId="09819A07">
      <w:pPr>
        <w:pStyle w:val="2"/>
        <w:spacing w:line="251" w:lineRule="auto"/>
      </w:pPr>
    </w:p>
    <w:p w14:paraId="2EAF66F4">
      <w:pPr>
        <w:pStyle w:val="2"/>
        <w:spacing w:line="251" w:lineRule="auto"/>
      </w:pPr>
    </w:p>
    <w:p w14:paraId="78059B7E">
      <w:pPr>
        <w:pStyle w:val="2"/>
        <w:spacing w:line="251" w:lineRule="auto"/>
      </w:pPr>
    </w:p>
    <w:p w14:paraId="66FB7969">
      <w:pPr>
        <w:pStyle w:val="2"/>
        <w:spacing w:line="251" w:lineRule="auto"/>
      </w:pPr>
    </w:p>
    <w:p w14:paraId="481DBB4B">
      <w:pPr>
        <w:pStyle w:val="2"/>
        <w:spacing w:line="251" w:lineRule="auto"/>
      </w:pPr>
    </w:p>
    <w:p w14:paraId="5E7EF8F9">
      <w:pPr>
        <w:pStyle w:val="2"/>
        <w:spacing w:line="251" w:lineRule="auto"/>
      </w:pPr>
    </w:p>
    <w:p w14:paraId="32156F2F">
      <w:pPr>
        <w:pStyle w:val="2"/>
        <w:spacing w:line="251" w:lineRule="auto"/>
      </w:pPr>
    </w:p>
    <w:p w14:paraId="3D2CE537">
      <w:pPr>
        <w:pStyle w:val="2"/>
        <w:spacing w:line="251" w:lineRule="auto"/>
      </w:pPr>
    </w:p>
    <w:p w14:paraId="51ABC976">
      <w:pPr>
        <w:pStyle w:val="2"/>
        <w:spacing w:line="251" w:lineRule="auto"/>
      </w:pPr>
    </w:p>
    <w:p w14:paraId="042EBD11">
      <w:pPr>
        <w:pStyle w:val="2"/>
        <w:spacing w:line="293" w:lineRule="auto"/>
      </w:pPr>
    </w:p>
    <w:p w14:paraId="4B15F186">
      <w:pPr>
        <w:pStyle w:val="2"/>
        <w:spacing w:line="293" w:lineRule="auto"/>
      </w:pPr>
    </w:p>
    <w:p w14:paraId="1D46C02B">
      <w:pPr>
        <w:pStyle w:val="2"/>
        <w:spacing w:line="293" w:lineRule="auto"/>
      </w:pPr>
    </w:p>
    <w:p w14:paraId="45129E5F">
      <w:pPr>
        <w:pStyle w:val="2"/>
        <w:spacing w:line="293" w:lineRule="auto"/>
      </w:pPr>
    </w:p>
    <w:p w14:paraId="18BF9D32">
      <w:pPr>
        <w:pStyle w:val="2"/>
        <w:spacing w:line="293" w:lineRule="auto"/>
      </w:pPr>
    </w:p>
    <w:p w14:paraId="68F127DA">
      <w:pPr>
        <w:pStyle w:val="2"/>
        <w:spacing w:line="293" w:lineRule="auto"/>
      </w:pPr>
    </w:p>
    <w:p w14:paraId="0CFD3BCE">
      <w:pPr>
        <w:pStyle w:val="2"/>
        <w:spacing w:line="293" w:lineRule="auto"/>
      </w:pPr>
    </w:p>
    <w:p w14:paraId="0669E270">
      <w:pPr>
        <w:spacing w:before="88" w:line="241" w:lineRule="auto"/>
        <w:ind w:left="2187"/>
        <w:rPr>
          <w:rFonts w:ascii="宋体" w:hAnsi="宋体" w:eastAsia="宋体" w:cs="宋体"/>
          <w:sz w:val="13"/>
          <w:szCs w:val="13"/>
        </w:rPr>
      </w:pPr>
      <w:r>
        <w:rPr>
          <w:rFonts w:ascii="宋体" w:hAnsi="宋体" w:eastAsia="宋体" w:cs="宋体"/>
          <w:b/>
          <w:bCs/>
          <w:spacing w:val="-4"/>
          <w:sz w:val="27"/>
          <w:szCs w:val="27"/>
        </w:rPr>
        <w:t>附录</w:t>
      </w:r>
      <w:r>
        <w:rPr>
          <w:rFonts w:ascii="宋体" w:hAnsi="宋体" w:eastAsia="宋体" w:cs="宋体"/>
          <w:spacing w:val="-39"/>
          <w:sz w:val="27"/>
          <w:szCs w:val="27"/>
        </w:rPr>
        <w:t xml:space="preserve"> </w:t>
      </w:r>
      <w:r>
        <w:rPr>
          <w:rFonts w:ascii="宋体" w:hAnsi="宋体" w:eastAsia="宋体" w:cs="宋体"/>
          <w:b/>
          <w:bCs/>
          <w:spacing w:val="-4"/>
          <w:sz w:val="27"/>
          <w:szCs w:val="27"/>
        </w:rPr>
        <w:t>3</w:t>
      </w:r>
      <w:r>
        <w:rPr>
          <w:rFonts w:ascii="宋体" w:hAnsi="宋体" w:eastAsia="宋体" w:cs="宋体"/>
          <w:spacing w:val="-4"/>
          <w:sz w:val="27"/>
          <w:szCs w:val="27"/>
        </w:rPr>
        <w:t xml:space="preserve"> </w:t>
      </w:r>
      <w:r>
        <w:rPr>
          <w:rFonts w:ascii="宋体" w:hAnsi="宋体" w:eastAsia="宋体" w:cs="宋体"/>
          <w:b/>
          <w:bCs/>
          <w:spacing w:val="-4"/>
          <w:sz w:val="27"/>
          <w:szCs w:val="27"/>
        </w:rPr>
        <w:t>资格审查条件（业绩最低要求）</w:t>
      </w:r>
      <w:r>
        <w:rPr>
          <w:rFonts w:ascii="宋体" w:hAnsi="宋体" w:eastAsia="宋体" w:cs="宋体"/>
          <w:spacing w:val="29"/>
          <w:sz w:val="27"/>
          <w:szCs w:val="27"/>
        </w:rPr>
        <w:t xml:space="preserve"> </w:t>
      </w:r>
    </w:p>
    <w:p w14:paraId="4D1634CB">
      <w:pPr>
        <w:spacing w:line="122"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47A84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292" w:type="dxa"/>
            <w:vAlign w:val="top"/>
          </w:tcPr>
          <w:p w14:paraId="769EC2B8">
            <w:pPr>
              <w:pStyle w:val="9"/>
              <w:spacing w:before="149" w:line="220" w:lineRule="auto"/>
              <w:ind w:left="4172"/>
              <w:rPr>
                <w:sz w:val="24"/>
                <w:szCs w:val="24"/>
              </w:rPr>
            </w:pPr>
            <w:r>
              <w:rPr>
                <w:b/>
                <w:bCs/>
                <w:spacing w:val="-4"/>
                <w:sz w:val="24"/>
                <w:szCs w:val="24"/>
              </w:rPr>
              <w:t>业绩要求</w:t>
            </w:r>
          </w:p>
        </w:tc>
      </w:tr>
      <w:tr w14:paraId="65E83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9" w:hRule="atLeast"/>
        </w:trPr>
        <w:tc>
          <w:tcPr>
            <w:tcW w:w="9292" w:type="dxa"/>
            <w:vAlign w:val="top"/>
          </w:tcPr>
          <w:p w14:paraId="43722596">
            <w:pPr>
              <w:pStyle w:val="9"/>
              <w:spacing w:before="183" w:line="219" w:lineRule="auto"/>
              <w:ind w:left="584"/>
            </w:pPr>
            <w:r>
              <w:rPr>
                <w:spacing w:val="-1"/>
              </w:rPr>
              <w:t>近五年内，成功完成：</w:t>
            </w:r>
          </w:p>
          <w:p w14:paraId="7A0C59ED">
            <w:pPr>
              <w:pStyle w:val="9"/>
              <w:spacing w:before="136" w:line="234" w:lineRule="auto"/>
              <w:ind w:left="123"/>
              <w:rPr>
                <w:sz w:val="12"/>
                <w:szCs w:val="12"/>
              </w:rPr>
            </w:pPr>
            <w:r>
              <w:rPr>
                <w:spacing w:val="-3"/>
              </w:rPr>
              <w:t>（1）类似</w:t>
            </w:r>
            <w:r>
              <w:rPr>
                <w:rFonts w:hint="eastAsia"/>
                <w:spacing w:val="-3"/>
                <w:lang w:val="en-US" w:eastAsia="zh-CN"/>
              </w:rPr>
              <w:t>工程</w:t>
            </w:r>
            <w:r>
              <w:rPr>
                <w:rFonts w:hint="eastAsia"/>
                <w:spacing w:val="-3"/>
                <w:u w:val="single"/>
              </w:rPr>
              <w:t>路基桥涵或路面</w:t>
            </w:r>
            <w:r>
              <w:rPr>
                <w:rFonts w:hint="eastAsia"/>
                <w:spacing w:val="-3"/>
                <w:u w:val="none"/>
                <w:lang w:val="en-US" w:eastAsia="zh-CN"/>
              </w:rPr>
              <w:t>工程</w:t>
            </w:r>
            <w:r>
              <w:rPr>
                <w:spacing w:val="-3"/>
              </w:rPr>
              <w:t>至少</w:t>
            </w:r>
            <w:r>
              <w:rPr>
                <w:rFonts w:hint="eastAsia"/>
                <w:spacing w:val="-3"/>
                <w:u w:val="single" w:color="auto"/>
                <w:lang w:val="en-US" w:eastAsia="zh-CN"/>
              </w:rPr>
              <w:t>2</w:t>
            </w:r>
            <w:r>
              <w:rPr>
                <w:spacing w:val="-3"/>
              </w:rPr>
              <w:t>个标段（</w:t>
            </w:r>
            <w:r>
              <w:rPr>
                <w:spacing w:val="-3"/>
                <w:u w:val="single" w:color="auto"/>
              </w:rPr>
              <w:t>其中有</w:t>
            </w:r>
            <w:r>
              <w:rPr>
                <w:spacing w:val="-33"/>
                <w:u w:val="single" w:color="auto"/>
              </w:rPr>
              <w:t xml:space="preserve"> </w:t>
            </w:r>
            <w:r>
              <w:rPr>
                <w:spacing w:val="-3"/>
                <w:u w:val="single" w:color="auto"/>
              </w:rPr>
              <w:t>1</w:t>
            </w:r>
            <w:r>
              <w:rPr>
                <w:spacing w:val="-51"/>
                <w:u w:val="single" w:color="auto"/>
              </w:rPr>
              <w:t xml:space="preserve"> </w:t>
            </w:r>
            <w:r>
              <w:rPr>
                <w:spacing w:val="-3"/>
                <w:u w:val="single" w:color="auto"/>
              </w:rPr>
              <w:t>个标段里程</w:t>
            </w:r>
            <w:r>
              <w:rPr>
                <w:rFonts w:hint="eastAsia"/>
                <w:spacing w:val="-3"/>
                <w:u w:val="single" w:color="auto"/>
                <w:lang w:val="en-US" w:eastAsia="zh-CN"/>
              </w:rPr>
              <w:t>至少5</w:t>
            </w:r>
            <w:r>
              <w:rPr>
                <w:spacing w:val="-3"/>
                <w:u w:val="single" w:color="auto"/>
              </w:rPr>
              <w:t>km</w:t>
            </w:r>
            <w:r>
              <w:rPr>
                <w:spacing w:val="-5"/>
                <w:u w:val="single" w:color="auto"/>
              </w:rPr>
              <w:t>）</w:t>
            </w:r>
            <w:r>
              <w:rPr>
                <w:spacing w:val="-5"/>
              </w:rPr>
              <w:t>，</w:t>
            </w:r>
            <w:r>
              <w:rPr>
                <w:spacing w:val="-3"/>
              </w:rPr>
              <w:t>且累计里程</w:t>
            </w:r>
            <w:r>
              <w:rPr>
                <w:rFonts w:hint="eastAsia"/>
                <w:spacing w:val="-3"/>
                <w:u w:val="single" w:color="auto"/>
                <w:lang w:val="en-US" w:eastAsia="zh-CN"/>
              </w:rPr>
              <w:t>10</w:t>
            </w:r>
            <w:r>
              <w:rPr>
                <w:spacing w:val="-110"/>
              </w:rPr>
              <w:t xml:space="preserve"> </w:t>
            </w:r>
            <w:r>
              <w:rPr>
                <w:spacing w:val="-3"/>
              </w:rPr>
              <w:t>km</w:t>
            </w:r>
            <w:r>
              <w:rPr>
                <w:spacing w:val="-2"/>
              </w:rPr>
              <w:t>。</w:t>
            </w:r>
          </w:p>
        </w:tc>
      </w:tr>
    </w:tbl>
    <w:p w14:paraId="196A8809">
      <w:pPr>
        <w:spacing w:line="234" w:lineRule="exact"/>
      </w:pPr>
    </w:p>
    <w:p w14:paraId="09605021">
      <w:pPr>
        <w:spacing w:before="48" w:line="224" w:lineRule="auto"/>
        <w:ind w:left="120"/>
        <w:rPr>
          <w:rFonts w:ascii="宋体" w:hAnsi="宋体" w:eastAsia="宋体" w:cs="宋体"/>
          <w:sz w:val="21"/>
          <w:szCs w:val="21"/>
        </w:rPr>
      </w:pPr>
      <w:r>
        <w:rPr>
          <w:rFonts w:ascii="宋体" w:hAnsi="宋体" w:eastAsia="宋体" w:cs="宋体"/>
          <w:spacing w:val="-15"/>
          <w:sz w:val="21"/>
          <w:szCs w:val="21"/>
        </w:rPr>
        <w:t>注：</w:t>
      </w:r>
    </w:p>
    <w:p w14:paraId="15AF6EDB">
      <w:pPr>
        <w:spacing w:before="57" w:line="219" w:lineRule="auto"/>
        <w:ind w:left="136"/>
        <w:rPr>
          <w:rFonts w:ascii="宋体" w:hAnsi="宋体" w:eastAsia="宋体" w:cs="宋体"/>
          <w:sz w:val="21"/>
          <w:szCs w:val="21"/>
        </w:rPr>
      </w:pPr>
      <w:r>
        <w:rPr>
          <w:rFonts w:ascii="宋体" w:hAnsi="宋体" w:eastAsia="宋体" w:cs="宋体"/>
          <w:spacing w:val="-2"/>
          <w:sz w:val="21"/>
          <w:szCs w:val="21"/>
        </w:rPr>
        <w:t>1、本附录所要求的业绩仅限中华人民共和国境</w:t>
      </w:r>
      <w:r>
        <w:rPr>
          <w:rFonts w:ascii="宋体" w:hAnsi="宋体" w:eastAsia="宋体" w:cs="宋体"/>
          <w:spacing w:val="-3"/>
          <w:sz w:val="21"/>
          <w:szCs w:val="21"/>
        </w:rPr>
        <w:t>内业绩。</w:t>
      </w:r>
    </w:p>
    <w:p w14:paraId="42268196">
      <w:pPr>
        <w:spacing w:before="62" w:line="220" w:lineRule="auto"/>
        <w:ind w:left="123"/>
        <w:rPr>
          <w:rFonts w:ascii="宋体" w:hAnsi="宋体" w:eastAsia="宋体" w:cs="宋体"/>
          <w:sz w:val="21"/>
          <w:szCs w:val="21"/>
        </w:rPr>
      </w:pPr>
      <w:r>
        <w:rPr>
          <w:rFonts w:ascii="宋体" w:hAnsi="宋体" w:eastAsia="宋体" w:cs="宋体"/>
          <w:spacing w:val="-2"/>
          <w:sz w:val="21"/>
          <w:szCs w:val="21"/>
        </w:rPr>
        <w:t>2、同一工程项目同时满足</w:t>
      </w:r>
      <w:r>
        <w:rPr>
          <w:rFonts w:ascii="宋体" w:hAnsi="宋体" w:eastAsia="宋体" w:cs="宋体"/>
          <w:spacing w:val="-41"/>
          <w:sz w:val="21"/>
          <w:szCs w:val="21"/>
        </w:rPr>
        <w:t xml:space="preserve"> </w:t>
      </w:r>
      <w:r>
        <w:rPr>
          <w:rFonts w:ascii="宋体" w:hAnsi="宋体" w:eastAsia="宋体" w:cs="宋体"/>
          <w:spacing w:val="-2"/>
          <w:sz w:val="21"/>
          <w:szCs w:val="21"/>
        </w:rPr>
        <w:t>2</w:t>
      </w:r>
      <w:r>
        <w:rPr>
          <w:rFonts w:ascii="宋体" w:hAnsi="宋体" w:eastAsia="宋体" w:cs="宋体"/>
          <w:spacing w:val="-42"/>
          <w:sz w:val="21"/>
          <w:szCs w:val="21"/>
        </w:rPr>
        <w:t xml:space="preserve"> </w:t>
      </w:r>
      <w:r>
        <w:rPr>
          <w:rFonts w:ascii="宋体" w:hAnsi="宋体" w:eastAsia="宋体" w:cs="宋体"/>
          <w:spacing w:val="-2"/>
          <w:sz w:val="21"/>
          <w:szCs w:val="21"/>
        </w:rPr>
        <w:t>项或多项业绩要求条件的，可分</w:t>
      </w:r>
      <w:r>
        <w:rPr>
          <w:rFonts w:ascii="宋体" w:hAnsi="宋体" w:eastAsia="宋体" w:cs="宋体"/>
          <w:spacing w:val="-3"/>
          <w:sz w:val="21"/>
          <w:szCs w:val="21"/>
        </w:rPr>
        <w:t>别计。</w:t>
      </w:r>
    </w:p>
    <w:p w14:paraId="136249D1">
      <w:pPr>
        <w:spacing w:before="57" w:line="219" w:lineRule="auto"/>
        <w:ind w:left="136"/>
        <w:rPr>
          <w:rFonts w:ascii="宋体" w:hAnsi="宋体" w:eastAsia="宋体" w:cs="宋体"/>
          <w:spacing w:val="-2"/>
          <w:sz w:val="21"/>
          <w:szCs w:val="21"/>
        </w:rPr>
      </w:pPr>
      <w:r>
        <w:rPr>
          <w:rFonts w:ascii="宋体" w:hAnsi="宋体" w:eastAsia="宋体" w:cs="宋体"/>
          <w:spacing w:val="-2"/>
          <w:sz w:val="21"/>
          <w:szCs w:val="21"/>
        </w:rPr>
        <w:t>3、本表要求业绩指由投标人承接并完成的业绩</w:t>
      </w:r>
      <w:r>
        <w:rPr>
          <w:rFonts w:hint="eastAsia" w:ascii="宋体" w:hAnsi="宋体" w:cs="宋体"/>
          <w:spacing w:val="-2"/>
          <w:sz w:val="21"/>
          <w:szCs w:val="21"/>
          <w:lang w:eastAsia="zh-CN"/>
        </w:rPr>
        <w:t>，</w:t>
      </w:r>
      <w:r>
        <w:rPr>
          <w:rFonts w:ascii="宋体" w:hAnsi="宋体" w:eastAsia="宋体" w:cs="宋体"/>
          <w:spacing w:val="-2"/>
          <w:sz w:val="21"/>
          <w:szCs w:val="21"/>
        </w:rPr>
        <w:t>投标人上级单位（如总公司、集团公司等）的业绩和投标人具备独立法人资格的下属机构的业绩均不予认定。</w:t>
      </w:r>
      <w:r>
        <w:rPr>
          <w:rFonts w:hint="eastAsia" w:ascii="宋体" w:hAnsi="宋体" w:eastAsia="宋体" w:cs="宋体"/>
          <w:spacing w:val="-2"/>
          <w:sz w:val="21"/>
          <w:szCs w:val="21"/>
        </w:rPr>
        <w:t>业绩信息来源于“全国公路建设市场监督管理系统”中查询到的企业“业绩信息”相关项目网页截图复印件或网页打印件。</w:t>
      </w:r>
    </w:p>
    <w:p w14:paraId="52D7FE13">
      <w:pPr>
        <w:spacing w:before="57" w:line="219" w:lineRule="auto"/>
        <w:ind w:left="136"/>
        <w:rPr>
          <w:rFonts w:hint="eastAsia" w:ascii="宋体" w:hAnsi="宋体" w:eastAsia="宋体" w:cs="宋体"/>
          <w:spacing w:val="-2"/>
          <w:sz w:val="21"/>
          <w:szCs w:val="21"/>
        </w:rPr>
      </w:pPr>
      <w:r>
        <w:rPr>
          <w:rFonts w:hint="eastAsia" w:ascii="宋体" w:hAnsi="宋体" w:eastAsia="宋体" w:cs="宋体"/>
          <w:spacing w:val="-2"/>
          <w:sz w:val="21"/>
          <w:szCs w:val="21"/>
        </w:rPr>
        <w:t>4、投标人应根据招标文件第二章“投标人须知”第3.5.3项的要求附相关证明材料。</w:t>
      </w:r>
    </w:p>
    <w:p w14:paraId="4B849C0B">
      <w:pPr>
        <w:spacing w:before="57" w:line="219" w:lineRule="auto"/>
        <w:ind w:left="136"/>
        <w:rPr>
          <w:rFonts w:hint="eastAsia" w:ascii="宋体" w:hAnsi="宋体" w:eastAsia="宋体" w:cs="宋体"/>
          <w:spacing w:val="-2"/>
          <w:sz w:val="21"/>
          <w:szCs w:val="21"/>
        </w:rPr>
      </w:pPr>
      <w:r>
        <w:rPr>
          <w:rFonts w:hint="eastAsia" w:ascii="宋体" w:hAnsi="宋体" w:eastAsia="宋体" w:cs="宋体"/>
          <w:spacing w:val="-2"/>
          <w:sz w:val="21"/>
          <w:szCs w:val="21"/>
        </w:rPr>
        <w:t>5、近五年是指：202</w:t>
      </w:r>
      <w:r>
        <w:rPr>
          <w:rFonts w:hint="eastAsia" w:ascii="宋体" w:hAnsi="宋体" w:eastAsia="宋体" w:cs="宋体"/>
          <w:spacing w:val="-2"/>
          <w:sz w:val="21"/>
          <w:szCs w:val="21"/>
          <w:lang w:val="en-US" w:eastAsia="zh-CN"/>
        </w:rPr>
        <w:t>1</w:t>
      </w:r>
      <w:r>
        <w:rPr>
          <w:rFonts w:hint="eastAsia" w:ascii="宋体" w:hAnsi="宋体" w:eastAsia="宋体" w:cs="宋体"/>
          <w:spacing w:val="-2"/>
          <w:sz w:val="21"/>
          <w:szCs w:val="21"/>
        </w:rPr>
        <w:t>年</w:t>
      </w:r>
      <w:r>
        <w:rPr>
          <w:rFonts w:hint="eastAsia" w:ascii="宋体" w:hAnsi="宋体" w:eastAsia="宋体" w:cs="宋体"/>
          <w:spacing w:val="-2"/>
          <w:sz w:val="21"/>
          <w:szCs w:val="21"/>
          <w:lang w:val="en-US" w:eastAsia="zh-CN"/>
        </w:rPr>
        <w:t>4</w:t>
      </w:r>
      <w:r>
        <w:rPr>
          <w:rFonts w:hint="eastAsia" w:ascii="宋体" w:hAnsi="宋体" w:eastAsia="宋体" w:cs="宋体"/>
          <w:spacing w:val="-2"/>
          <w:sz w:val="21"/>
          <w:szCs w:val="21"/>
        </w:rPr>
        <w:t>月1日至投标文件递交截止之日止。</w:t>
      </w:r>
    </w:p>
    <w:p w14:paraId="7605D8D8">
      <w:pPr>
        <w:spacing w:before="57" w:line="219" w:lineRule="auto"/>
        <w:ind w:left="136"/>
        <w:rPr>
          <w:rFonts w:ascii="宋体" w:hAnsi="宋体" w:eastAsia="宋体" w:cs="宋体"/>
          <w:spacing w:val="-2"/>
          <w:sz w:val="21"/>
          <w:szCs w:val="21"/>
        </w:rPr>
      </w:pPr>
      <w:r>
        <w:rPr>
          <w:rFonts w:hint="eastAsia" w:ascii="宋体" w:hAnsi="宋体" w:eastAsia="宋体" w:cs="宋体"/>
          <w:spacing w:val="-2"/>
          <w:sz w:val="21"/>
          <w:szCs w:val="21"/>
        </w:rPr>
        <w:t>6、类似工程是指：指新建、改建、扩建、改造、等三级（含三级）或以上（公路技术等级）的公路工程施工项目。在采用新建公路项目完工业绩时，对于同公路等级改、扩建中的新建桥梁或隧道工程业绩也应认可。</w:t>
      </w:r>
    </w:p>
    <w:p w14:paraId="0E4BBCE9">
      <w:pPr>
        <w:pStyle w:val="2"/>
        <w:spacing w:line="241" w:lineRule="auto"/>
      </w:pPr>
    </w:p>
    <w:p w14:paraId="52BC3868">
      <w:pPr>
        <w:pStyle w:val="2"/>
        <w:spacing w:line="241" w:lineRule="auto"/>
      </w:pPr>
    </w:p>
    <w:p w14:paraId="3733432B">
      <w:pPr>
        <w:pStyle w:val="2"/>
        <w:spacing w:line="241" w:lineRule="auto"/>
      </w:pPr>
    </w:p>
    <w:p w14:paraId="46A96B2B">
      <w:pPr>
        <w:pStyle w:val="2"/>
        <w:spacing w:line="241" w:lineRule="auto"/>
      </w:pPr>
    </w:p>
    <w:p w14:paraId="26CDF736">
      <w:pPr>
        <w:pStyle w:val="2"/>
        <w:spacing w:line="241" w:lineRule="auto"/>
      </w:pPr>
    </w:p>
    <w:p w14:paraId="7CDEE189">
      <w:pPr>
        <w:pStyle w:val="2"/>
        <w:spacing w:line="241" w:lineRule="auto"/>
      </w:pPr>
    </w:p>
    <w:p w14:paraId="49E19AE3">
      <w:pPr>
        <w:pStyle w:val="2"/>
        <w:spacing w:line="241" w:lineRule="auto"/>
      </w:pPr>
    </w:p>
    <w:p w14:paraId="7059E07A">
      <w:pPr>
        <w:pStyle w:val="2"/>
        <w:spacing w:line="241" w:lineRule="auto"/>
      </w:pPr>
    </w:p>
    <w:p w14:paraId="3001BF65">
      <w:pPr>
        <w:pStyle w:val="2"/>
        <w:spacing w:line="241" w:lineRule="auto"/>
      </w:pPr>
    </w:p>
    <w:p w14:paraId="723E7614">
      <w:pPr>
        <w:pStyle w:val="2"/>
        <w:spacing w:line="241" w:lineRule="auto"/>
      </w:pPr>
    </w:p>
    <w:p w14:paraId="7BB6D3C3">
      <w:pPr>
        <w:pStyle w:val="2"/>
        <w:spacing w:line="241" w:lineRule="auto"/>
      </w:pPr>
    </w:p>
    <w:p w14:paraId="70984259">
      <w:pPr>
        <w:pStyle w:val="2"/>
        <w:spacing w:line="241" w:lineRule="auto"/>
      </w:pPr>
    </w:p>
    <w:p w14:paraId="5E753440">
      <w:pPr>
        <w:pStyle w:val="2"/>
        <w:spacing w:line="241" w:lineRule="auto"/>
      </w:pPr>
    </w:p>
    <w:p w14:paraId="741A8487">
      <w:pPr>
        <w:pStyle w:val="2"/>
        <w:spacing w:line="241" w:lineRule="auto"/>
      </w:pPr>
    </w:p>
    <w:p w14:paraId="5D0DD23A">
      <w:pPr>
        <w:pStyle w:val="2"/>
        <w:spacing w:line="241" w:lineRule="auto"/>
      </w:pPr>
    </w:p>
    <w:p w14:paraId="241CD684">
      <w:pPr>
        <w:pStyle w:val="2"/>
        <w:spacing w:line="241" w:lineRule="auto"/>
      </w:pPr>
    </w:p>
    <w:p w14:paraId="29CEA428">
      <w:pPr>
        <w:pStyle w:val="2"/>
        <w:spacing w:line="241" w:lineRule="auto"/>
      </w:pPr>
    </w:p>
    <w:p w14:paraId="67BE9AA3">
      <w:pPr>
        <w:pStyle w:val="2"/>
        <w:spacing w:line="241" w:lineRule="auto"/>
      </w:pPr>
    </w:p>
    <w:p w14:paraId="0018BFC5">
      <w:pPr>
        <w:pStyle w:val="2"/>
        <w:spacing w:line="241" w:lineRule="auto"/>
      </w:pPr>
    </w:p>
    <w:p w14:paraId="4D795235">
      <w:pPr>
        <w:pStyle w:val="2"/>
        <w:spacing w:line="293" w:lineRule="auto"/>
      </w:pPr>
    </w:p>
    <w:p w14:paraId="097FD5EB">
      <w:pPr>
        <w:spacing w:before="88" w:line="241" w:lineRule="auto"/>
        <w:ind w:left="2117"/>
        <w:rPr>
          <w:rFonts w:ascii="宋体" w:hAnsi="宋体" w:eastAsia="宋体" w:cs="宋体"/>
          <w:sz w:val="13"/>
          <w:szCs w:val="13"/>
        </w:rPr>
      </w:pPr>
      <w:r>
        <w:rPr>
          <w:rFonts w:ascii="宋体" w:hAnsi="宋体" w:eastAsia="宋体" w:cs="宋体"/>
          <w:b/>
          <w:bCs/>
          <w:spacing w:val="-3"/>
          <w:sz w:val="27"/>
          <w:szCs w:val="27"/>
        </w:rPr>
        <w:t>附录</w:t>
      </w:r>
      <w:r>
        <w:rPr>
          <w:rFonts w:ascii="宋体" w:hAnsi="宋体" w:eastAsia="宋体" w:cs="宋体"/>
          <w:spacing w:val="-47"/>
          <w:sz w:val="27"/>
          <w:szCs w:val="27"/>
        </w:rPr>
        <w:t xml:space="preserve"> </w:t>
      </w:r>
      <w:r>
        <w:rPr>
          <w:rFonts w:ascii="宋体" w:hAnsi="宋体" w:eastAsia="宋体" w:cs="宋体"/>
          <w:b/>
          <w:bCs/>
          <w:spacing w:val="-3"/>
          <w:sz w:val="27"/>
          <w:szCs w:val="27"/>
        </w:rPr>
        <w:t>4</w:t>
      </w:r>
      <w:r>
        <w:rPr>
          <w:rFonts w:ascii="宋体" w:hAnsi="宋体" w:eastAsia="宋体" w:cs="宋体"/>
          <w:spacing w:val="-3"/>
          <w:sz w:val="27"/>
          <w:szCs w:val="27"/>
        </w:rPr>
        <w:t xml:space="preserve">  </w:t>
      </w:r>
      <w:r>
        <w:rPr>
          <w:rFonts w:ascii="宋体" w:hAnsi="宋体" w:eastAsia="宋体" w:cs="宋体"/>
          <w:b/>
          <w:bCs/>
          <w:spacing w:val="-3"/>
          <w:sz w:val="27"/>
          <w:szCs w:val="27"/>
        </w:rPr>
        <w:t>资格审查条件（信誉最低要求）</w:t>
      </w:r>
    </w:p>
    <w:p w14:paraId="0ABAB57B">
      <w:pPr>
        <w:spacing w:before="37"/>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10BE5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292" w:type="dxa"/>
            <w:vAlign w:val="top"/>
          </w:tcPr>
          <w:p w14:paraId="2FE34705">
            <w:pPr>
              <w:pStyle w:val="9"/>
              <w:spacing w:before="207" w:line="219" w:lineRule="auto"/>
              <w:ind w:left="4173"/>
              <w:rPr>
                <w:sz w:val="24"/>
                <w:szCs w:val="24"/>
              </w:rPr>
            </w:pPr>
            <w:r>
              <w:rPr>
                <w:b/>
                <w:bCs/>
                <w:spacing w:val="-4"/>
                <w:sz w:val="24"/>
                <w:szCs w:val="24"/>
              </w:rPr>
              <w:t>信誉要求</w:t>
            </w:r>
          </w:p>
        </w:tc>
      </w:tr>
      <w:tr w14:paraId="5486F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0" w:hRule="atLeast"/>
        </w:trPr>
        <w:tc>
          <w:tcPr>
            <w:tcW w:w="9292" w:type="dxa"/>
            <w:vAlign w:val="top"/>
          </w:tcPr>
          <w:p w14:paraId="12984C6F">
            <w:pPr>
              <w:spacing w:line="262" w:lineRule="auto"/>
              <w:ind w:firstLine="420" w:firstLineChars="200"/>
              <w:rPr>
                <w:rFonts w:hint="eastAsia" w:ascii="Arial"/>
                <w:sz w:val="21"/>
              </w:rPr>
            </w:pPr>
          </w:p>
          <w:p w14:paraId="27D382EA">
            <w:pPr>
              <w:spacing w:line="262" w:lineRule="auto"/>
              <w:ind w:firstLine="420" w:firstLineChars="200"/>
              <w:rPr>
                <w:rFonts w:hint="eastAsia" w:ascii="Arial"/>
                <w:sz w:val="21"/>
              </w:rPr>
            </w:pPr>
            <w:r>
              <w:rPr>
                <w:rFonts w:hint="eastAsia" w:ascii="Arial"/>
                <w:sz w:val="21"/>
              </w:rPr>
              <w:t>（1）最新年度在广东省公路工程从业单位（施工单位）信用评价（含无最新年度而上一年度有信用评价）中信用等级未被评为D级；初次进入广东省的投标人，在最新年度的全国公路从业单位（施工单位）信用评价结果未被评为D级；</w:t>
            </w:r>
          </w:p>
          <w:p w14:paraId="61551399">
            <w:pPr>
              <w:spacing w:line="262" w:lineRule="auto"/>
              <w:ind w:firstLine="420" w:firstLineChars="200"/>
              <w:rPr>
                <w:rFonts w:hint="eastAsia" w:ascii="Arial"/>
                <w:sz w:val="21"/>
              </w:rPr>
            </w:pPr>
            <w:r>
              <w:rPr>
                <w:rFonts w:hint="eastAsia" w:ascii="Arial"/>
                <w:sz w:val="21"/>
              </w:rPr>
              <w:t>（2）没有被云浮市交通运输局、广东省交通运输厅、交通运输部通报且取消相应投标资格（处于有效期内）；</w:t>
            </w:r>
          </w:p>
          <w:p w14:paraId="084E8C46">
            <w:pPr>
              <w:spacing w:line="262" w:lineRule="auto"/>
              <w:ind w:firstLine="420" w:firstLineChars="200"/>
              <w:rPr>
                <w:rFonts w:hint="eastAsia" w:ascii="Arial"/>
                <w:sz w:val="21"/>
              </w:rPr>
            </w:pPr>
            <w:r>
              <w:rPr>
                <w:rFonts w:hint="eastAsia" w:ascii="Arial"/>
                <w:sz w:val="21"/>
              </w:rPr>
              <w:t>（3）投标人（或联合体各成员）在“中国执行信息公开网”网站（https://zxgk.court.gov.cn/shixin/）中未被列入失信被执行人名单；</w:t>
            </w:r>
          </w:p>
          <w:p w14:paraId="1968BCF3">
            <w:pPr>
              <w:spacing w:line="262" w:lineRule="auto"/>
              <w:ind w:firstLine="420" w:firstLineChars="200"/>
              <w:rPr>
                <w:rFonts w:ascii="Arial"/>
                <w:sz w:val="21"/>
              </w:rPr>
            </w:pPr>
            <w:r>
              <w:rPr>
                <w:rFonts w:hint="eastAsia" w:ascii="Arial"/>
                <w:sz w:val="21"/>
              </w:rPr>
              <w:t>（4）投标人（或联合体各成员）在“国家企业信用信息公示系统”（https://www.gsxt.gov.cn）中未被列入严重违法失信企业名单；</w:t>
            </w:r>
          </w:p>
          <w:p w14:paraId="59A01F4C">
            <w:pPr>
              <w:spacing w:line="262" w:lineRule="auto"/>
              <w:rPr>
                <w:rFonts w:ascii="Arial"/>
                <w:sz w:val="21"/>
              </w:rPr>
            </w:pPr>
          </w:p>
          <w:p w14:paraId="7F596937">
            <w:pPr>
              <w:spacing w:line="262" w:lineRule="auto"/>
              <w:rPr>
                <w:rFonts w:ascii="Arial"/>
                <w:sz w:val="21"/>
              </w:rPr>
            </w:pPr>
          </w:p>
          <w:p w14:paraId="3CB6CE84">
            <w:pPr>
              <w:spacing w:line="262" w:lineRule="auto"/>
              <w:rPr>
                <w:rFonts w:ascii="Arial"/>
                <w:sz w:val="21"/>
              </w:rPr>
            </w:pPr>
          </w:p>
          <w:p w14:paraId="298360AF">
            <w:pPr>
              <w:spacing w:line="263" w:lineRule="auto"/>
              <w:rPr>
                <w:rFonts w:ascii="Arial"/>
                <w:sz w:val="21"/>
              </w:rPr>
            </w:pPr>
          </w:p>
          <w:p w14:paraId="0D0CEAB5">
            <w:pPr>
              <w:pStyle w:val="9"/>
              <w:spacing w:line="325" w:lineRule="auto"/>
              <w:ind w:left="122" w:right="107" w:firstLine="473"/>
              <w:rPr>
                <w:sz w:val="24"/>
                <w:szCs w:val="24"/>
              </w:rPr>
            </w:pPr>
          </w:p>
        </w:tc>
      </w:tr>
    </w:tbl>
    <w:p w14:paraId="5112D645">
      <w:pPr>
        <w:spacing w:before="48" w:line="219" w:lineRule="auto"/>
        <w:ind w:left="120"/>
        <w:rPr>
          <w:rFonts w:hint="eastAsia" w:ascii="宋体" w:hAnsi="宋体" w:eastAsia="宋体" w:cs="宋体"/>
          <w:spacing w:val="-2"/>
          <w:sz w:val="21"/>
          <w:szCs w:val="21"/>
        </w:rPr>
      </w:pPr>
      <w:r>
        <w:rPr>
          <w:rFonts w:ascii="宋体" w:hAnsi="宋体" w:eastAsia="宋体" w:cs="宋体"/>
          <w:spacing w:val="-2"/>
          <w:sz w:val="21"/>
          <w:szCs w:val="21"/>
        </w:rPr>
        <w:t>注：</w:t>
      </w:r>
      <w:r>
        <w:rPr>
          <w:rFonts w:hint="eastAsia" w:ascii="宋体" w:hAnsi="宋体" w:eastAsia="宋体" w:cs="宋体"/>
          <w:spacing w:val="-2"/>
          <w:sz w:val="21"/>
          <w:szCs w:val="21"/>
        </w:rPr>
        <w:t>1、信用等级的确定原则</w:t>
      </w:r>
      <w:r>
        <w:rPr>
          <w:rFonts w:hint="eastAsia" w:ascii="宋体" w:hAnsi="宋体" w:cs="宋体"/>
          <w:spacing w:val="-2"/>
          <w:sz w:val="21"/>
          <w:szCs w:val="21"/>
          <w:lang w:eastAsia="zh-CN"/>
        </w:rPr>
        <w:t>遵循</w:t>
      </w:r>
      <w:r>
        <w:rPr>
          <w:rFonts w:hint="eastAsia" w:ascii="宋体" w:hAnsi="宋体" w:eastAsia="宋体" w:cs="宋体"/>
          <w:spacing w:val="-2"/>
          <w:sz w:val="21"/>
          <w:szCs w:val="21"/>
        </w:rPr>
        <w:t>投标人须知前附表 10.2 款的规定。</w:t>
      </w:r>
    </w:p>
    <w:p w14:paraId="3C5B7281">
      <w:pPr>
        <w:spacing w:before="48" w:line="219" w:lineRule="auto"/>
        <w:ind w:left="120" w:firstLine="412" w:firstLineChars="200"/>
        <w:rPr>
          <w:rFonts w:hint="eastAsia" w:ascii="宋体" w:hAnsi="宋体" w:eastAsia="宋体" w:cs="宋体"/>
          <w:spacing w:val="-2"/>
          <w:sz w:val="21"/>
          <w:szCs w:val="21"/>
        </w:rPr>
      </w:pPr>
      <w:r>
        <w:rPr>
          <w:rFonts w:hint="eastAsia" w:ascii="宋体" w:hAnsi="宋体" w:eastAsia="宋体" w:cs="宋体"/>
          <w:spacing w:val="-2"/>
          <w:sz w:val="21"/>
          <w:szCs w:val="21"/>
        </w:rPr>
        <w:t>2、投标人应根据第九章“投标文件格式 ”中“八、资格审查资料 （五）投标人的信誉情况表 ”填写情况说明。</w:t>
      </w:r>
    </w:p>
    <w:p w14:paraId="43877E06">
      <w:pPr>
        <w:spacing w:before="48" w:line="219" w:lineRule="auto"/>
        <w:ind w:left="120" w:firstLine="412" w:firstLineChars="200"/>
        <w:rPr>
          <w:rFonts w:ascii="宋体" w:hAnsi="宋体" w:eastAsia="宋体" w:cs="宋体"/>
          <w:sz w:val="21"/>
          <w:szCs w:val="21"/>
        </w:rPr>
      </w:pPr>
      <w:r>
        <w:rPr>
          <w:rFonts w:hint="eastAsia" w:ascii="宋体" w:hAnsi="宋体" w:eastAsia="宋体" w:cs="宋体"/>
          <w:spacing w:val="-2"/>
          <w:sz w:val="21"/>
          <w:szCs w:val="21"/>
        </w:rPr>
        <w:t>3、以上所有证明材料均需装订进投标文件，开标现场不做原件核查。</w:t>
      </w:r>
    </w:p>
    <w:p w14:paraId="4D9661CB">
      <w:pPr>
        <w:pStyle w:val="2"/>
        <w:spacing w:line="244" w:lineRule="auto"/>
      </w:pPr>
    </w:p>
    <w:p w14:paraId="7A60F293">
      <w:pPr>
        <w:pStyle w:val="2"/>
        <w:spacing w:line="244" w:lineRule="auto"/>
      </w:pPr>
    </w:p>
    <w:p w14:paraId="1459D7E7">
      <w:pPr>
        <w:pStyle w:val="2"/>
        <w:spacing w:line="244" w:lineRule="auto"/>
      </w:pPr>
    </w:p>
    <w:p w14:paraId="34352F05">
      <w:pPr>
        <w:pStyle w:val="2"/>
        <w:spacing w:line="244" w:lineRule="auto"/>
      </w:pPr>
    </w:p>
    <w:p w14:paraId="221C8CED">
      <w:pPr>
        <w:pStyle w:val="2"/>
        <w:spacing w:line="244" w:lineRule="auto"/>
      </w:pPr>
    </w:p>
    <w:p w14:paraId="178463A5">
      <w:pPr>
        <w:pStyle w:val="2"/>
        <w:spacing w:line="244" w:lineRule="auto"/>
      </w:pPr>
    </w:p>
    <w:p w14:paraId="69308E5C">
      <w:pPr>
        <w:pStyle w:val="2"/>
        <w:spacing w:line="244" w:lineRule="auto"/>
      </w:pPr>
    </w:p>
    <w:p w14:paraId="44C9CE64">
      <w:pPr>
        <w:pStyle w:val="2"/>
        <w:spacing w:line="244" w:lineRule="auto"/>
      </w:pPr>
    </w:p>
    <w:p w14:paraId="3DBAC333">
      <w:pPr>
        <w:pStyle w:val="2"/>
        <w:spacing w:line="244" w:lineRule="auto"/>
      </w:pPr>
    </w:p>
    <w:p w14:paraId="6B905E2F">
      <w:pPr>
        <w:pStyle w:val="2"/>
        <w:spacing w:line="244" w:lineRule="auto"/>
      </w:pPr>
    </w:p>
    <w:p w14:paraId="6BFFDCA8">
      <w:pPr>
        <w:pStyle w:val="2"/>
        <w:spacing w:line="244" w:lineRule="auto"/>
      </w:pPr>
    </w:p>
    <w:p w14:paraId="0094C4B0">
      <w:pPr>
        <w:pStyle w:val="2"/>
        <w:spacing w:line="244" w:lineRule="auto"/>
      </w:pPr>
    </w:p>
    <w:p w14:paraId="71440B34">
      <w:pPr>
        <w:pStyle w:val="2"/>
        <w:spacing w:line="244" w:lineRule="auto"/>
      </w:pPr>
    </w:p>
    <w:p w14:paraId="1096E276">
      <w:pPr>
        <w:pStyle w:val="2"/>
        <w:spacing w:line="244" w:lineRule="auto"/>
      </w:pPr>
    </w:p>
    <w:p w14:paraId="54C6D11C">
      <w:pPr>
        <w:pStyle w:val="2"/>
        <w:spacing w:line="244" w:lineRule="auto"/>
      </w:pPr>
    </w:p>
    <w:p w14:paraId="4F36D770">
      <w:pPr>
        <w:pStyle w:val="2"/>
        <w:spacing w:line="245" w:lineRule="auto"/>
      </w:pPr>
    </w:p>
    <w:p w14:paraId="5795F2F3">
      <w:pPr>
        <w:pStyle w:val="2"/>
        <w:spacing w:line="245" w:lineRule="auto"/>
      </w:pPr>
    </w:p>
    <w:p w14:paraId="5C82C853">
      <w:pPr>
        <w:pStyle w:val="2"/>
        <w:spacing w:line="245" w:lineRule="auto"/>
      </w:pPr>
    </w:p>
    <w:p w14:paraId="65F1F150">
      <w:pPr>
        <w:pStyle w:val="2"/>
        <w:spacing w:line="245" w:lineRule="auto"/>
      </w:pPr>
    </w:p>
    <w:p w14:paraId="58789D72">
      <w:pPr>
        <w:pStyle w:val="2"/>
        <w:spacing w:line="245" w:lineRule="auto"/>
      </w:pPr>
    </w:p>
    <w:p w14:paraId="16BC8700">
      <w:pPr>
        <w:pStyle w:val="2"/>
        <w:spacing w:line="245" w:lineRule="auto"/>
      </w:pPr>
    </w:p>
    <w:p w14:paraId="53359D0A">
      <w:pPr>
        <w:pStyle w:val="2"/>
        <w:spacing w:line="245" w:lineRule="auto"/>
      </w:pPr>
    </w:p>
    <w:p w14:paraId="0D23D48A">
      <w:pPr>
        <w:pStyle w:val="2"/>
        <w:spacing w:line="245" w:lineRule="auto"/>
      </w:pPr>
    </w:p>
    <w:p w14:paraId="108FDC64">
      <w:pPr>
        <w:pStyle w:val="2"/>
        <w:spacing w:line="245" w:lineRule="auto"/>
      </w:pPr>
    </w:p>
    <w:p w14:paraId="2CDB46EA">
      <w:pPr>
        <w:pStyle w:val="2"/>
        <w:spacing w:line="245" w:lineRule="auto"/>
      </w:pPr>
    </w:p>
    <w:p w14:paraId="179D03C3">
      <w:pPr>
        <w:pStyle w:val="2"/>
        <w:spacing w:line="293" w:lineRule="auto"/>
      </w:pPr>
    </w:p>
    <w:p w14:paraId="4CD0E806">
      <w:pPr>
        <w:spacing w:before="88" w:line="241" w:lineRule="auto"/>
        <w:ind w:left="150"/>
        <w:rPr>
          <w:rFonts w:ascii="宋体" w:hAnsi="宋体" w:eastAsia="宋体" w:cs="宋体"/>
          <w:sz w:val="13"/>
          <w:szCs w:val="13"/>
        </w:rPr>
      </w:pPr>
      <w:r>
        <w:rPr>
          <w:rFonts w:ascii="宋体" w:hAnsi="宋体" w:eastAsia="宋体" w:cs="宋体"/>
          <w:b/>
          <w:bCs/>
          <w:spacing w:val="2"/>
          <w:sz w:val="27"/>
          <w:szCs w:val="27"/>
        </w:rPr>
        <w:t>附录</w:t>
      </w:r>
      <w:r>
        <w:rPr>
          <w:rFonts w:ascii="宋体" w:hAnsi="宋体" w:eastAsia="宋体" w:cs="宋体"/>
          <w:spacing w:val="-33"/>
          <w:sz w:val="27"/>
          <w:szCs w:val="27"/>
        </w:rPr>
        <w:t xml:space="preserve"> </w:t>
      </w:r>
      <w:r>
        <w:rPr>
          <w:rFonts w:ascii="宋体" w:hAnsi="宋体" w:eastAsia="宋体" w:cs="宋体"/>
          <w:b/>
          <w:bCs/>
          <w:spacing w:val="2"/>
          <w:sz w:val="27"/>
          <w:szCs w:val="27"/>
        </w:rPr>
        <w:t>5</w:t>
      </w:r>
      <w:r>
        <w:rPr>
          <w:rFonts w:ascii="宋体" w:hAnsi="宋体" w:eastAsia="宋体" w:cs="宋体"/>
          <w:spacing w:val="2"/>
          <w:sz w:val="27"/>
          <w:szCs w:val="27"/>
        </w:rPr>
        <w:t xml:space="preserve">  </w:t>
      </w:r>
      <w:r>
        <w:rPr>
          <w:rFonts w:ascii="宋体" w:hAnsi="宋体" w:eastAsia="宋体" w:cs="宋体"/>
          <w:b/>
          <w:bCs/>
          <w:spacing w:val="2"/>
          <w:sz w:val="27"/>
          <w:szCs w:val="27"/>
        </w:rPr>
        <w:t>资格审查条件（项目经理和项目总工最低要求）</w:t>
      </w:r>
      <w:r>
        <w:rPr>
          <w:rFonts w:ascii="宋体" w:hAnsi="宋体" w:eastAsia="宋体" w:cs="宋体"/>
          <w:spacing w:val="2"/>
          <w:sz w:val="27"/>
          <w:szCs w:val="27"/>
        </w:rPr>
        <w:t xml:space="preserve"> </w:t>
      </w:r>
    </w:p>
    <w:p w14:paraId="583EFC06">
      <w:pPr>
        <w:pStyle w:val="2"/>
        <w:spacing w:line="311" w:lineRule="auto"/>
      </w:pPr>
    </w:p>
    <w:p w14:paraId="7CA27B5B">
      <w:pPr>
        <w:spacing w:before="78" w:line="220" w:lineRule="auto"/>
        <w:ind w:left="1868"/>
        <w:rPr>
          <w:rFonts w:ascii="宋体" w:hAnsi="宋体" w:eastAsia="宋体" w:cs="宋体"/>
          <w:sz w:val="24"/>
          <w:szCs w:val="24"/>
        </w:rPr>
      </w:pPr>
      <w:r>
        <w:rPr>
          <w:rFonts w:ascii="宋体" w:hAnsi="宋体" w:eastAsia="宋体" w:cs="宋体"/>
          <w:b/>
          <w:bCs/>
          <w:spacing w:val="-6"/>
          <w:sz w:val="24"/>
          <w:szCs w:val="24"/>
        </w:rPr>
        <w:t>适用</w:t>
      </w:r>
      <w:r>
        <w:rPr>
          <w:rFonts w:ascii="宋体" w:hAnsi="宋体" w:eastAsia="宋体" w:cs="宋体"/>
          <w:spacing w:val="-46"/>
          <w:sz w:val="24"/>
          <w:szCs w:val="24"/>
        </w:rPr>
        <w:t xml:space="preserve"> </w:t>
      </w:r>
      <w:r>
        <w:rPr>
          <w:rFonts w:ascii="宋体" w:hAnsi="宋体" w:eastAsia="宋体" w:cs="宋体"/>
          <w:b/>
          <w:bCs/>
          <w:spacing w:val="-6"/>
          <w:sz w:val="24"/>
          <w:szCs w:val="24"/>
        </w:rPr>
        <w:t>A</w:t>
      </w:r>
      <w:r>
        <w:rPr>
          <w:rFonts w:ascii="宋体" w:hAnsi="宋体" w:eastAsia="宋体" w:cs="宋体"/>
          <w:spacing w:val="-49"/>
          <w:sz w:val="24"/>
          <w:szCs w:val="24"/>
        </w:rPr>
        <w:t xml:space="preserve"> </w:t>
      </w:r>
      <w:r>
        <w:rPr>
          <w:rFonts w:ascii="宋体" w:hAnsi="宋体" w:eastAsia="宋体" w:cs="宋体"/>
          <w:b/>
          <w:bCs/>
          <w:spacing w:val="-6"/>
          <w:sz w:val="24"/>
          <w:szCs w:val="24"/>
        </w:rPr>
        <w:t>类、B</w:t>
      </w:r>
      <w:r>
        <w:rPr>
          <w:rFonts w:ascii="宋体" w:hAnsi="宋体" w:eastAsia="宋体" w:cs="宋体"/>
          <w:spacing w:val="-41"/>
          <w:sz w:val="24"/>
          <w:szCs w:val="24"/>
        </w:rPr>
        <w:t xml:space="preserve"> </w:t>
      </w:r>
      <w:r>
        <w:rPr>
          <w:rFonts w:ascii="宋体" w:hAnsi="宋体" w:eastAsia="宋体" w:cs="宋体"/>
          <w:b/>
          <w:bCs/>
          <w:spacing w:val="-6"/>
          <w:sz w:val="24"/>
          <w:szCs w:val="24"/>
        </w:rPr>
        <w:t>类、C</w:t>
      </w:r>
      <w:r>
        <w:rPr>
          <w:rFonts w:ascii="宋体" w:hAnsi="宋体" w:eastAsia="宋体" w:cs="宋体"/>
          <w:spacing w:val="-50"/>
          <w:sz w:val="24"/>
          <w:szCs w:val="24"/>
        </w:rPr>
        <w:t xml:space="preserve"> </w:t>
      </w:r>
      <w:r>
        <w:rPr>
          <w:rFonts w:ascii="宋体" w:hAnsi="宋体" w:eastAsia="宋体" w:cs="宋体"/>
          <w:b/>
          <w:bCs/>
          <w:spacing w:val="-6"/>
          <w:sz w:val="24"/>
          <w:szCs w:val="24"/>
        </w:rPr>
        <w:t>类、D</w:t>
      </w:r>
      <w:r>
        <w:rPr>
          <w:rFonts w:ascii="宋体" w:hAnsi="宋体" w:eastAsia="宋体" w:cs="宋体"/>
          <w:spacing w:val="-49"/>
          <w:sz w:val="24"/>
          <w:szCs w:val="24"/>
        </w:rPr>
        <w:t xml:space="preserve"> </w:t>
      </w:r>
      <w:r>
        <w:rPr>
          <w:rFonts w:ascii="宋体" w:hAnsi="宋体" w:eastAsia="宋体" w:cs="宋体"/>
          <w:b/>
          <w:bCs/>
          <w:spacing w:val="-6"/>
          <w:sz w:val="24"/>
          <w:szCs w:val="24"/>
        </w:rPr>
        <w:t>类、E</w:t>
      </w:r>
      <w:r>
        <w:rPr>
          <w:rFonts w:ascii="宋体" w:hAnsi="宋体" w:eastAsia="宋体" w:cs="宋体"/>
          <w:spacing w:val="-49"/>
          <w:sz w:val="24"/>
          <w:szCs w:val="24"/>
        </w:rPr>
        <w:t xml:space="preserve"> </w:t>
      </w:r>
      <w:r>
        <w:rPr>
          <w:rFonts w:ascii="宋体" w:hAnsi="宋体" w:eastAsia="宋体" w:cs="宋体"/>
          <w:b/>
          <w:bCs/>
          <w:spacing w:val="-6"/>
          <w:sz w:val="24"/>
          <w:szCs w:val="24"/>
        </w:rPr>
        <w:t>类、F</w:t>
      </w:r>
      <w:r>
        <w:rPr>
          <w:rFonts w:ascii="宋体" w:hAnsi="宋体" w:eastAsia="宋体" w:cs="宋体"/>
          <w:spacing w:val="-50"/>
          <w:sz w:val="24"/>
          <w:szCs w:val="24"/>
        </w:rPr>
        <w:t xml:space="preserve"> </w:t>
      </w:r>
      <w:r>
        <w:rPr>
          <w:rFonts w:ascii="宋体" w:hAnsi="宋体" w:eastAsia="宋体" w:cs="宋体"/>
          <w:b/>
          <w:bCs/>
          <w:spacing w:val="-6"/>
          <w:sz w:val="24"/>
          <w:szCs w:val="24"/>
        </w:rPr>
        <w:t>类、G</w:t>
      </w:r>
      <w:r>
        <w:rPr>
          <w:rFonts w:ascii="宋体" w:hAnsi="宋体" w:eastAsia="宋体" w:cs="宋体"/>
          <w:spacing w:val="-49"/>
          <w:sz w:val="24"/>
          <w:szCs w:val="24"/>
        </w:rPr>
        <w:t xml:space="preserve"> </w:t>
      </w:r>
      <w:r>
        <w:rPr>
          <w:rFonts w:ascii="宋体" w:hAnsi="宋体" w:eastAsia="宋体" w:cs="宋体"/>
          <w:b/>
          <w:bCs/>
          <w:spacing w:val="-6"/>
          <w:sz w:val="24"/>
          <w:szCs w:val="24"/>
        </w:rPr>
        <w:t>类、H</w:t>
      </w:r>
      <w:r>
        <w:rPr>
          <w:rFonts w:ascii="宋体" w:hAnsi="宋体" w:eastAsia="宋体" w:cs="宋体"/>
          <w:spacing w:val="-50"/>
          <w:sz w:val="24"/>
          <w:szCs w:val="24"/>
        </w:rPr>
        <w:t xml:space="preserve"> </w:t>
      </w:r>
      <w:r>
        <w:rPr>
          <w:rFonts w:ascii="宋体" w:hAnsi="宋体" w:eastAsia="宋体" w:cs="宋体"/>
          <w:b/>
          <w:bCs/>
          <w:spacing w:val="-6"/>
          <w:sz w:val="24"/>
          <w:szCs w:val="24"/>
        </w:rPr>
        <w:t>类</w:t>
      </w:r>
    </w:p>
    <w:p w14:paraId="12F3ED30">
      <w:pPr>
        <w:spacing w:line="69"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9"/>
        <w:gridCol w:w="1229"/>
        <w:gridCol w:w="4348"/>
        <w:gridCol w:w="2036"/>
      </w:tblGrid>
      <w:tr w14:paraId="235F4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79" w:type="dxa"/>
            <w:vAlign w:val="top"/>
          </w:tcPr>
          <w:p w14:paraId="00DCC586">
            <w:pPr>
              <w:pStyle w:val="9"/>
              <w:spacing w:before="207" w:line="221" w:lineRule="auto"/>
              <w:ind w:left="607"/>
              <w:rPr>
                <w:sz w:val="24"/>
                <w:szCs w:val="24"/>
              </w:rPr>
            </w:pPr>
            <w:r>
              <w:rPr>
                <w:b/>
                <w:bCs/>
                <w:spacing w:val="-6"/>
                <w:sz w:val="24"/>
                <w:szCs w:val="24"/>
              </w:rPr>
              <w:t>人员</w:t>
            </w:r>
          </w:p>
        </w:tc>
        <w:tc>
          <w:tcPr>
            <w:tcW w:w="1229" w:type="dxa"/>
            <w:vAlign w:val="top"/>
          </w:tcPr>
          <w:p w14:paraId="327A39AF">
            <w:pPr>
              <w:pStyle w:val="9"/>
              <w:spacing w:before="207" w:line="220" w:lineRule="auto"/>
              <w:ind w:left="381"/>
              <w:rPr>
                <w:sz w:val="24"/>
                <w:szCs w:val="24"/>
              </w:rPr>
            </w:pPr>
            <w:r>
              <w:rPr>
                <w:b/>
                <w:bCs/>
                <w:spacing w:val="-6"/>
                <w:sz w:val="24"/>
                <w:szCs w:val="24"/>
              </w:rPr>
              <w:t>数量</w:t>
            </w:r>
          </w:p>
        </w:tc>
        <w:tc>
          <w:tcPr>
            <w:tcW w:w="4348" w:type="dxa"/>
            <w:vAlign w:val="top"/>
          </w:tcPr>
          <w:p w14:paraId="7B1FDD7A">
            <w:pPr>
              <w:pStyle w:val="9"/>
              <w:spacing w:before="207" w:line="220" w:lineRule="auto"/>
              <w:ind w:left="1710"/>
              <w:rPr>
                <w:sz w:val="24"/>
                <w:szCs w:val="24"/>
              </w:rPr>
            </w:pPr>
            <w:r>
              <w:rPr>
                <w:b/>
                <w:bCs/>
                <w:spacing w:val="-6"/>
                <w:sz w:val="24"/>
                <w:szCs w:val="24"/>
              </w:rPr>
              <w:t>资格要求</w:t>
            </w:r>
          </w:p>
        </w:tc>
        <w:tc>
          <w:tcPr>
            <w:tcW w:w="2036" w:type="dxa"/>
            <w:vAlign w:val="top"/>
          </w:tcPr>
          <w:p w14:paraId="240B9812">
            <w:pPr>
              <w:pStyle w:val="9"/>
              <w:spacing w:before="207" w:line="220" w:lineRule="auto"/>
              <w:ind w:left="541"/>
              <w:rPr>
                <w:sz w:val="24"/>
                <w:szCs w:val="24"/>
              </w:rPr>
            </w:pPr>
            <w:r>
              <w:rPr>
                <w:b/>
                <w:bCs/>
                <w:spacing w:val="-4"/>
                <w:sz w:val="24"/>
                <w:szCs w:val="24"/>
              </w:rPr>
              <w:t>在岗要求</w:t>
            </w:r>
          </w:p>
        </w:tc>
      </w:tr>
      <w:tr w14:paraId="40B3E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3" w:hRule="atLeast"/>
        </w:trPr>
        <w:tc>
          <w:tcPr>
            <w:tcW w:w="1679" w:type="dxa"/>
            <w:vAlign w:val="top"/>
          </w:tcPr>
          <w:p w14:paraId="607BB261">
            <w:pPr>
              <w:spacing w:line="242" w:lineRule="auto"/>
              <w:rPr>
                <w:rFonts w:ascii="Arial"/>
                <w:sz w:val="21"/>
              </w:rPr>
            </w:pPr>
          </w:p>
          <w:p w14:paraId="6E7AAB4C">
            <w:pPr>
              <w:spacing w:line="242" w:lineRule="auto"/>
              <w:rPr>
                <w:rFonts w:ascii="Arial"/>
                <w:sz w:val="21"/>
              </w:rPr>
            </w:pPr>
          </w:p>
          <w:p w14:paraId="0AC237A0">
            <w:pPr>
              <w:pStyle w:val="9"/>
              <w:spacing w:before="78" w:line="220" w:lineRule="auto"/>
              <w:ind w:left="369"/>
              <w:rPr>
                <w:sz w:val="24"/>
                <w:szCs w:val="24"/>
              </w:rPr>
            </w:pPr>
            <w:r>
              <w:rPr>
                <w:spacing w:val="-3"/>
                <w:sz w:val="24"/>
                <w:szCs w:val="24"/>
              </w:rPr>
              <w:t>项目经理</w:t>
            </w:r>
          </w:p>
        </w:tc>
        <w:tc>
          <w:tcPr>
            <w:tcW w:w="1229" w:type="dxa"/>
            <w:vAlign w:val="top"/>
          </w:tcPr>
          <w:p w14:paraId="4141A3DB">
            <w:pPr>
              <w:spacing w:line="242" w:lineRule="auto"/>
              <w:rPr>
                <w:rFonts w:ascii="Arial"/>
                <w:sz w:val="21"/>
              </w:rPr>
            </w:pPr>
          </w:p>
          <w:p w14:paraId="627B84F9">
            <w:pPr>
              <w:spacing w:line="242" w:lineRule="auto"/>
              <w:rPr>
                <w:rFonts w:ascii="Arial"/>
                <w:sz w:val="21"/>
              </w:rPr>
            </w:pPr>
          </w:p>
          <w:p w14:paraId="77A105E7">
            <w:pPr>
              <w:pStyle w:val="9"/>
              <w:spacing w:before="78" w:line="241" w:lineRule="auto"/>
              <w:ind w:left="577"/>
              <w:rPr>
                <w:sz w:val="24"/>
                <w:szCs w:val="24"/>
              </w:rPr>
            </w:pPr>
            <w:r>
              <w:rPr>
                <w:sz w:val="24"/>
                <w:szCs w:val="24"/>
              </w:rPr>
              <w:t>1</w:t>
            </w:r>
          </w:p>
        </w:tc>
        <w:tc>
          <w:tcPr>
            <w:tcW w:w="4348" w:type="dxa"/>
            <w:tcBorders>
              <w:bottom w:val="single" w:color="auto" w:sz="4" w:space="0"/>
            </w:tcBorders>
            <w:vAlign w:val="top"/>
          </w:tcPr>
          <w:p w14:paraId="257CF45C">
            <w:pPr>
              <w:pStyle w:val="9"/>
              <w:spacing w:before="166" w:line="310" w:lineRule="auto"/>
              <w:ind w:left="113" w:right="18" w:firstLine="484" w:firstLineChars="200"/>
              <w:jc w:val="both"/>
              <w:rPr>
                <w:sz w:val="24"/>
                <w:szCs w:val="24"/>
              </w:rPr>
            </w:pPr>
            <w:r>
              <w:rPr>
                <w:rFonts w:hint="eastAsia"/>
                <w:spacing w:val="1"/>
                <w:sz w:val="24"/>
                <w:szCs w:val="24"/>
                <w:lang w:val="en-US" w:eastAsia="zh-CN"/>
              </w:rPr>
              <w:t>具有工程师或以上职称，</w:t>
            </w:r>
            <w:r>
              <w:rPr>
                <w:spacing w:val="1"/>
                <w:sz w:val="24"/>
                <w:szCs w:val="24"/>
              </w:rPr>
              <w:t>路桥相关专业工程师，担任类似工程项</w:t>
            </w:r>
            <w:r>
              <w:rPr>
                <w:spacing w:val="2"/>
                <w:sz w:val="24"/>
                <w:szCs w:val="24"/>
              </w:rPr>
              <w:t>目经理（或项目副经理或项目总工）岗</w:t>
            </w:r>
            <w:r>
              <w:rPr>
                <w:spacing w:val="-5"/>
                <w:sz w:val="24"/>
                <w:szCs w:val="24"/>
              </w:rPr>
              <w:t>位累计</w:t>
            </w:r>
            <w:r>
              <w:rPr>
                <w:rFonts w:hint="eastAsia"/>
                <w:spacing w:val="-5"/>
                <w:sz w:val="24"/>
                <w:szCs w:val="24"/>
                <w:u w:val="single" w:color="auto"/>
                <w:lang w:val="en-US" w:eastAsia="zh-CN"/>
              </w:rPr>
              <w:t>24</w:t>
            </w:r>
            <w:r>
              <w:rPr>
                <w:spacing w:val="-5"/>
                <w:sz w:val="24"/>
                <w:szCs w:val="24"/>
              </w:rPr>
              <w:t>个月，并持有住房和城乡建设</w:t>
            </w:r>
            <w:r>
              <w:rPr>
                <w:spacing w:val="7"/>
                <w:sz w:val="24"/>
                <w:szCs w:val="24"/>
              </w:rPr>
              <w:t>主管部门颁发的公路工程专业</w:t>
            </w:r>
            <w:r>
              <w:rPr>
                <w:spacing w:val="-105"/>
                <w:sz w:val="24"/>
                <w:szCs w:val="24"/>
              </w:rPr>
              <w:t xml:space="preserve"> </w:t>
            </w:r>
            <w:r>
              <w:rPr>
                <w:rFonts w:hint="eastAsia"/>
                <w:spacing w:val="7"/>
                <w:sz w:val="24"/>
                <w:szCs w:val="24"/>
                <w:u w:val="single" w:color="auto"/>
                <w:lang w:val="en-US" w:eastAsia="zh-CN"/>
              </w:rPr>
              <w:t>二</w:t>
            </w:r>
            <w:r>
              <w:rPr>
                <w:spacing w:val="7"/>
                <w:sz w:val="24"/>
                <w:szCs w:val="24"/>
                <w:u w:val="single" w:color="auto"/>
              </w:rPr>
              <w:t>级</w:t>
            </w:r>
            <w:r>
              <w:rPr>
                <w:spacing w:val="-109"/>
                <w:sz w:val="24"/>
                <w:szCs w:val="24"/>
                <w:u w:val="single" w:color="auto"/>
              </w:rPr>
              <w:t xml:space="preserve"> </w:t>
            </w:r>
            <w:r>
              <w:rPr>
                <w:spacing w:val="-108"/>
                <w:sz w:val="24"/>
                <w:szCs w:val="24"/>
              </w:rPr>
              <w:t xml:space="preserve"> </w:t>
            </w:r>
            <w:r>
              <w:rPr>
                <w:spacing w:val="7"/>
                <w:sz w:val="24"/>
                <w:szCs w:val="24"/>
              </w:rPr>
              <w:t>建</w:t>
            </w:r>
            <w:r>
              <w:rPr>
                <w:spacing w:val="2"/>
                <w:sz w:val="24"/>
                <w:szCs w:val="24"/>
              </w:rPr>
              <w:t>造师注册证书，具有交通主管部门颁发</w:t>
            </w:r>
            <w:r>
              <w:rPr>
                <w:spacing w:val="-4"/>
                <w:sz w:val="24"/>
                <w:szCs w:val="24"/>
              </w:rPr>
              <w:t>的有效安全生产“三类人员”B</w:t>
            </w:r>
            <w:r>
              <w:rPr>
                <w:spacing w:val="-39"/>
                <w:sz w:val="24"/>
                <w:szCs w:val="24"/>
              </w:rPr>
              <w:t xml:space="preserve"> </w:t>
            </w:r>
            <w:r>
              <w:rPr>
                <w:spacing w:val="-4"/>
                <w:sz w:val="24"/>
                <w:szCs w:val="24"/>
              </w:rPr>
              <w:t>类证书。</w:t>
            </w:r>
          </w:p>
        </w:tc>
        <w:tc>
          <w:tcPr>
            <w:tcW w:w="2036" w:type="dxa"/>
            <w:vMerge w:val="restart"/>
            <w:tcBorders>
              <w:bottom w:val="nil"/>
            </w:tcBorders>
            <w:vAlign w:val="top"/>
          </w:tcPr>
          <w:p w14:paraId="28A77523">
            <w:pPr>
              <w:spacing w:line="275" w:lineRule="auto"/>
              <w:rPr>
                <w:rFonts w:ascii="Arial"/>
                <w:sz w:val="21"/>
              </w:rPr>
            </w:pPr>
          </w:p>
          <w:p w14:paraId="0257D5D7">
            <w:pPr>
              <w:spacing w:line="275" w:lineRule="auto"/>
              <w:rPr>
                <w:rFonts w:ascii="Arial"/>
                <w:sz w:val="21"/>
              </w:rPr>
            </w:pPr>
          </w:p>
          <w:p w14:paraId="1DE3C59B">
            <w:pPr>
              <w:spacing w:line="275" w:lineRule="auto"/>
              <w:rPr>
                <w:rFonts w:ascii="Arial"/>
                <w:sz w:val="21"/>
              </w:rPr>
            </w:pPr>
          </w:p>
          <w:p w14:paraId="117E948C">
            <w:pPr>
              <w:spacing w:line="276" w:lineRule="auto"/>
              <w:rPr>
                <w:rFonts w:ascii="Arial"/>
                <w:sz w:val="21"/>
              </w:rPr>
            </w:pPr>
          </w:p>
          <w:p w14:paraId="50E7FB71">
            <w:pPr>
              <w:spacing w:line="276" w:lineRule="auto"/>
              <w:rPr>
                <w:rFonts w:ascii="Arial"/>
                <w:sz w:val="21"/>
              </w:rPr>
            </w:pPr>
          </w:p>
          <w:p w14:paraId="3D4AC97F">
            <w:pPr>
              <w:pStyle w:val="9"/>
              <w:spacing w:before="78" w:line="324" w:lineRule="auto"/>
              <w:ind w:left="115" w:right="19" w:firstLine="2"/>
              <w:jc w:val="both"/>
              <w:rPr>
                <w:sz w:val="24"/>
                <w:szCs w:val="24"/>
              </w:rPr>
            </w:pPr>
            <w:r>
              <w:rPr>
                <w:spacing w:val="-21"/>
                <w:sz w:val="24"/>
                <w:szCs w:val="24"/>
              </w:rPr>
              <w:t>无在岗项目（指目</w:t>
            </w:r>
            <w:r>
              <w:rPr>
                <w:spacing w:val="18"/>
                <w:sz w:val="24"/>
                <w:szCs w:val="24"/>
              </w:rPr>
              <w:t>前未在其他项目</w:t>
            </w:r>
            <w:r>
              <w:rPr>
                <w:spacing w:val="-14"/>
                <w:sz w:val="24"/>
                <w:szCs w:val="24"/>
              </w:rPr>
              <w:t>上任职，或虽在其</w:t>
            </w:r>
            <w:r>
              <w:rPr>
                <w:spacing w:val="18"/>
                <w:sz w:val="24"/>
                <w:szCs w:val="24"/>
              </w:rPr>
              <w:t>他项目上任职但本项目中标后能</w:t>
            </w:r>
            <w:r>
              <w:rPr>
                <w:spacing w:val="-4"/>
                <w:sz w:val="24"/>
                <w:szCs w:val="24"/>
              </w:rPr>
              <w:t>够从该项目撤离）</w:t>
            </w:r>
          </w:p>
        </w:tc>
      </w:tr>
      <w:tr w14:paraId="4DA5D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4" w:hRule="atLeast"/>
        </w:trPr>
        <w:tc>
          <w:tcPr>
            <w:tcW w:w="1679" w:type="dxa"/>
            <w:vAlign w:val="top"/>
          </w:tcPr>
          <w:p w14:paraId="7A6BD184">
            <w:pPr>
              <w:spacing w:line="242" w:lineRule="auto"/>
              <w:rPr>
                <w:rFonts w:ascii="Arial"/>
                <w:sz w:val="21"/>
              </w:rPr>
            </w:pPr>
          </w:p>
          <w:p w14:paraId="24F431A1">
            <w:pPr>
              <w:spacing w:line="243" w:lineRule="auto"/>
              <w:rPr>
                <w:rFonts w:ascii="Arial"/>
                <w:sz w:val="21"/>
              </w:rPr>
            </w:pPr>
          </w:p>
          <w:p w14:paraId="5731275B">
            <w:pPr>
              <w:pStyle w:val="9"/>
              <w:spacing w:before="78" w:line="220" w:lineRule="auto"/>
              <w:ind w:left="369"/>
              <w:rPr>
                <w:spacing w:val="-3"/>
                <w:sz w:val="24"/>
                <w:szCs w:val="24"/>
              </w:rPr>
            </w:pPr>
            <w:r>
              <w:rPr>
                <w:spacing w:val="-3"/>
                <w:sz w:val="24"/>
                <w:szCs w:val="24"/>
              </w:rPr>
              <w:t>项目总工</w:t>
            </w:r>
          </w:p>
          <w:p w14:paraId="0E58CC05">
            <w:pPr>
              <w:spacing w:line="276" w:lineRule="auto"/>
              <w:rPr>
                <w:rFonts w:ascii="Arial"/>
                <w:sz w:val="21"/>
              </w:rPr>
            </w:pPr>
          </w:p>
          <w:p w14:paraId="555EDC16">
            <w:pPr>
              <w:pStyle w:val="9"/>
              <w:spacing w:before="78" w:line="327" w:lineRule="auto"/>
              <w:ind w:left="727" w:right="117" w:hanging="598"/>
              <w:rPr>
                <w:sz w:val="24"/>
                <w:szCs w:val="24"/>
              </w:rPr>
            </w:pPr>
          </w:p>
        </w:tc>
        <w:tc>
          <w:tcPr>
            <w:tcW w:w="1229" w:type="dxa"/>
            <w:vAlign w:val="top"/>
          </w:tcPr>
          <w:p w14:paraId="3C1F12A3">
            <w:pPr>
              <w:spacing w:line="242" w:lineRule="auto"/>
              <w:rPr>
                <w:rFonts w:ascii="Arial"/>
                <w:sz w:val="21"/>
              </w:rPr>
            </w:pPr>
          </w:p>
          <w:p w14:paraId="5D0F5298">
            <w:pPr>
              <w:spacing w:line="243" w:lineRule="auto"/>
              <w:rPr>
                <w:rFonts w:ascii="Arial"/>
                <w:sz w:val="21"/>
              </w:rPr>
            </w:pPr>
          </w:p>
          <w:p w14:paraId="7DA2F772">
            <w:pPr>
              <w:pStyle w:val="9"/>
              <w:spacing w:before="78" w:line="241" w:lineRule="auto"/>
              <w:ind w:left="577"/>
              <w:rPr>
                <w:sz w:val="24"/>
                <w:szCs w:val="24"/>
              </w:rPr>
            </w:pPr>
            <w:r>
              <w:rPr>
                <w:sz w:val="24"/>
                <w:szCs w:val="24"/>
              </w:rPr>
              <w:t>1</w:t>
            </w:r>
          </w:p>
          <w:p w14:paraId="2E94A600">
            <w:pPr>
              <w:spacing w:line="243" w:lineRule="auto"/>
              <w:rPr>
                <w:rFonts w:ascii="Arial"/>
                <w:sz w:val="21"/>
              </w:rPr>
            </w:pPr>
          </w:p>
          <w:p w14:paraId="05D6CE0D">
            <w:pPr>
              <w:spacing w:line="243" w:lineRule="auto"/>
              <w:rPr>
                <w:rFonts w:ascii="Arial"/>
                <w:sz w:val="21"/>
              </w:rPr>
            </w:pPr>
          </w:p>
          <w:p w14:paraId="1C6C855F">
            <w:pPr>
              <w:pStyle w:val="9"/>
              <w:spacing w:before="78" w:line="241" w:lineRule="auto"/>
              <w:rPr>
                <w:sz w:val="24"/>
                <w:szCs w:val="24"/>
              </w:rPr>
            </w:pPr>
          </w:p>
        </w:tc>
        <w:tc>
          <w:tcPr>
            <w:tcW w:w="4348" w:type="dxa"/>
            <w:tcBorders>
              <w:top w:val="single" w:color="auto" w:sz="4" w:space="0"/>
              <w:bottom w:val="single" w:color="auto" w:sz="4" w:space="0"/>
            </w:tcBorders>
            <w:vAlign w:val="top"/>
          </w:tcPr>
          <w:p w14:paraId="2623E262">
            <w:pPr>
              <w:spacing w:line="307" w:lineRule="auto"/>
              <w:rPr>
                <w:rFonts w:ascii="Arial"/>
                <w:sz w:val="21"/>
              </w:rPr>
            </w:pPr>
          </w:p>
          <w:p w14:paraId="6CB6302A">
            <w:pPr>
              <w:spacing w:line="308" w:lineRule="auto"/>
              <w:rPr>
                <w:rFonts w:ascii="Arial"/>
                <w:sz w:val="21"/>
              </w:rPr>
            </w:pPr>
          </w:p>
          <w:p w14:paraId="4A238994">
            <w:pPr>
              <w:spacing w:line="308" w:lineRule="auto"/>
              <w:rPr>
                <w:rFonts w:ascii="Arial"/>
                <w:sz w:val="21"/>
              </w:rPr>
            </w:pPr>
          </w:p>
          <w:p w14:paraId="5F44FAE7">
            <w:pPr>
              <w:pStyle w:val="9"/>
              <w:spacing w:before="78" w:line="325" w:lineRule="auto"/>
              <w:ind w:left="113" w:right="100" w:firstLine="488" w:firstLineChars="200"/>
              <w:rPr>
                <w:sz w:val="24"/>
                <w:szCs w:val="24"/>
              </w:rPr>
            </w:pPr>
            <w:r>
              <w:rPr>
                <w:spacing w:val="2"/>
                <w:sz w:val="24"/>
                <w:szCs w:val="24"/>
              </w:rPr>
              <w:t>路桥相关专业高级工程师，主管类似工</w:t>
            </w:r>
            <w:r>
              <w:rPr>
                <w:spacing w:val="-3"/>
                <w:sz w:val="24"/>
                <w:szCs w:val="24"/>
              </w:rPr>
              <w:t>程技术工作岗位累计</w:t>
            </w:r>
            <w:r>
              <w:rPr>
                <w:rFonts w:hint="eastAsia"/>
                <w:spacing w:val="-3"/>
                <w:sz w:val="24"/>
                <w:szCs w:val="24"/>
                <w:u w:val="single" w:color="auto"/>
                <w:lang w:val="en-US" w:eastAsia="zh-CN"/>
              </w:rPr>
              <w:t>24</w:t>
            </w:r>
            <w:r>
              <w:rPr>
                <w:spacing w:val="-105"/>
                <w:sz w:val="24"/>
                <w:szCs w:val="24"/>
              </w:rPr>
              <w:t xml:space="preserve"> </w:t>
            </w:r>
            <w:r>
              <w:rPr>
                <w:spacing w:val="-3"/>
                <w:sz w:val="24"/>
                <w:szCs w:val="24"/>
              </w:rPr>
              <w:t>个月。</w:t>
            </w:r>
          </w:p>
        </w:tc>
        <w:tc>
          <w:tcPr>
            <w:tcW w:w="2036" w:type="dxa"/>
            <w:vMerge w:val="continue"/>
            <w:tcBorders>
              <w:top w:val="nil"/>
              <w:bottom w:val="nil"/>
            </w:tcBorders>
            <w:vAlign w:val="top"/>
          </w:tcPr>
          <w:p w14:paraId="0B95EB13">
            <w:pPr>
              <w:rPr>
                <w:rFonts w:ascii="Arial"/>
                <w:sz w:val="21"/>
              </w:rPr>
            </w:pPr>
          </w:p>
        </w:tc>
      </w:tr>
    </w:tbl>
    <w:p w14:paraId="66E3A6AD">
      <w:pPr>
        <w:spacing w:before="49" w:line="224" w:lineRule="auto"/>
        <w:ind w:left="120"/>
        <w:rPr>
          <w:rFonts w:ascii="宋体" w:hAnsi="宋体" w:eastAsia="宋体" w:cs="宋体"/>
          <w:sz w:val="21"/>
          <w:szCs w:val="21"/>
        </w:rPr>
      </w:pPr>
      <w:r>
        <w:rPr>
          <w:rFonts w:ascii="宋体" w:hAnsi="宋体" w:eastAsia="宋体" w:cs="宋体"/>
          <w:spacing w:val="-15"/>
          <w:sz w:val="21"/>
          <w:szCs w:val="21"/>
        </w:rPr>
        <w:t>注：</w:t>
      </w:r>
    </w:p>
    <w:p w14:paraId="40CCA08E">
      <w:pPr>
        <w:spacing w:before="57" w:line="218" w:lineRule="auto"/>
        <w:ind w:left="136"/>
        <w:rPr>
          <w:rFonts w:ascii="宋体" w:hAnsi="宋体" w:eastAsia="宋体" w:cs="宋体"/>
          <w:sz w:val="21"/>
          <w:szCs w:val="21"/>
        </w:rPr>
      </w:pPr>
      <w:r>
        <w:rPr>
          <w:rFonts w:ascii="宋体" w:hAnsi="宋体" w:eastAsia="宋体" w:cs="宋体"/>
          <w:spacing w:val="-2"/>
          <w:sz w:val="21"/>
          <w:szCs w:val="21"/>
        </w:rPr>
        <w:t>1、</w:t>
      </w:r>
      <w:r>
        <w:rPr>
          <w:rFonts w:hint="eastAsia" w:ascii="宋体" w:hAnsi="宋体" w:eastAsia="宋体" w:cs="宋体"/>
          <w:spacing w:val="-2"/>
          <w:sz w:val="21"/>
          <w:szCs w:val="21"/>
        </w:rPr>
        <w:t>资格要求的人员建造师注册证书、安全生产“三类人员 ”B 类证书均应在投标人所在单位，否则视为无效</w:t>
      </w:r>
      <w:r>
        <w:rPr>
          <w:rFonts w:ascii="宋体" w:hAnsi="宋体" w:eastAsia="宋体" w:cs="宋体"/>
          <w:spacing w:val="-2"/>
          <w:sz w:val="21"/>
          <w:szCs w:val="21"/>
        </w:rPr>
        <w:t>。</w:t>
      </w:r>
    </w:p>
    <w:p w14:paraId="3DB11C24">
      <w:pPr>
        <w:spacing w:before="64" w:line="277" w:lineRule="auto"/>
        <w:ind w:left="120" w:right="109" w:firstLine="3"/>
        <w:rPr>
          <w:rFonts w:ascii="宋体" w:hAnsi="宋体" w:eastAsia="宋体" w:cs="宋体"/>
          <w:spacing w:val="-7"/>
          <w:sz w:val="21"/>
          <w:szCs w:val="21"/>
        </w:rPr>
      </w:pPr>
      <w:r>
        <w:rPr>
          <w:rFonts w:ascii="宋体" w:hAnsi="宋体" w:eastAsia="宋体" w:cs="宋体"/>
          <w:spacing w:val="-1"/>
          <w:sz w:val="21"/>
          <w:szCs w:val="21"/>
        </w:rPr>
        <w:t>2、</w:t>
      </w:r>
      <w:r>
        <w:rPr>
          <w:rFonts w:hint="eastAsia" w:ascii="宋体" w:hAnsi="宋体" w:eastAsia="宋体" w:cs="宋体"/>
          <w:spacing w:val="-1"/>
          <w:sz w:val="21"/>
          <w:szCs w:val="21"/>
        </w:rPr>
        <w:t>主管技术工作指：担任过项目经理、项目副经理、总工程师、</w:t>
      </w:r>
      <w:r>
        <w:rPr>
          <w:rFonts w:hint="eastAsia" w:ascii="宋体" w:hAnsi="宋体" w:cs="宋体"/>
          <w:spacing w:val="-1"/>
          <w:sz w:val="21"/>
          <w:szCs w:val="21"/>
          <w:lang w:val="en-US" w:eastAsia="zh-CN"/>
        </w:rPr>
        <w:t>副总工程师、</w:t>
      </w:r>
      <w:r>
        <w:rPr>
          <w:rFonts w:hint="eastAsia" w:ascii="宋体" w:hAnsi="宋体" w:eastAsia="宋体" w:cs="宋体"/>
          <w:spacing w:val="-1"/>
          <w:sz w:val="21"/>
          <w:szCs w:val="21"/>
        </w:rPr>
        <w:t>质检部门负责人、工程部门负责人。担任类似工程项目经理（或项目副经理或项目总工） 岗位经验累计时间、主管类似工程技术工作岗位经验累计时间统计至月，计算时尾数如不少于 15 天的按 1 个月计，不足 15 天部分不计</w:t>
      </w:r>
      <w:r>
        <w:rPr>
          <w:rFonts w:ascii="宋体" w:hAnsi="宋体" w:eastAsia="宋体" w:cs="宋体"/>
          <w:spacing w:val="-7"/>
          <w:sz w:val="21"/>
          <w:szCs w:val="21"/>
        </w:rPr>
        <w:t>。</w:t>
      </w:r>
    </w:p>
    <w:p w14:paraId="04F34829">
      <w:pPr>
        <w:spacing w:before="64" w:line="277" w:lineRule="auto"/>
        <w:ind w:left="120" w:right="109" w:firstLine="3"/>
        <w:rPr>
          <w:rFonts w:ascii="宋体" w:hAnsi="宋体" w:eastAsia="宋体" w:cs="宋体"/>
          <w:spacing w:val="-4"/>
          <w:sz w:val="21"/>
          <w:szCs w:val="21"/>
        </w:rPr>
      </w:pPr>
      <w:r>
        <w:rPr>
          <w:rFonts w:ascii="宋体" w:hAnsi="宋体" w:eastAsia="宋体" w:cs="宋体"/>
          <w:spacing w:val="-7"/>
          <w:sz w:val="21"/>
          <w:szCs w:val="21"/>
        </w:rPr>
        <w:t>3、</w:t>
      </w:r>
      <w:r>
        <w:rPr>
          <w:rFonts w:hint="eastAsia" w:ascii="宋体" w:hAnsi="宋体" w:eastAsia="宋体" w:cs="宋体"/>
          <w:spacing w:val="-7"/>
          <w:sz w:val="21"/>
          <w:szCs w:val="21"/>
        </w:rPr>
        <w:t>路桥相关专业职称包括路桥工程、公路工程、桥梁工程、道路与桥梁工程、交通土建、隧道（地下结构）工程、交通工程等专业职称</w:t>
      </w:r>
      <w:r>
        <w:rPr>
          <w:rFonts w:ascii="宋体" w:hAnsi="宋体" w:eastAsia="宋体" w:cs="宋体"/>
          <w:spacing w:val="-4"/>
          <w:sz w:val="21"/>
          <w:szCs w:val="21"/>
        </w:rPr>
        <w:t>。</w:t>
      </w:r>
    </w:p>
    <w:p w14:paraId="6942027B">
      <w:pPr>
        <w:spacing w:before="64" w:line="277" w:lineRule="auto"/>
        <w:ind w:left="120" w:right="109" w:firstLine="3"/>
        <w:rPr>
          <w:rFonts w:ascii="宋体" w:hAnsi="宋体" w:eastAsia="宋体" w:cs="宋体"/>
          <w:spacing w:val="-2"/>
          <w:sz w:val="21"/>
          <w:szCs w:val="21"/>
        </w:rPr>
      </w:pPr>
      <w:r>
        <w:rPr>
          <w:rFonts w:ascii="宋体" w:hAnsi="宋体" w:eastAsia="宋体" w:cs="宋体"/>
          <w:spacing w:val="-1"/>
          <w:sz w:val="21"/>
          <w:szCs w:val="21"/>
        </w:rPr>
        <w:t>4、</w:t>
      </w:r>
      <w:r>
        <w:rPr>
          <w:rFonts w:hint="eastAsia" w:ascii="宋体" w:hAnsi="宋体" w:eastAsia="宋体" w:cs="宋体"/>
          <w:spacing w:val="-1"/>
          <w:sz w:val="21"/>
          <w:szCs w:val="21"/>
        </w:rPr>
        <w:t>投标人应根据招标文件第二章“投标人须知 ”第 3.5.5 项的要求附相关证明材料。以上所有证明材料均需装订进投标文件，开标现场不做原件核查</w:t>
      </w:r>
      <w:r>
        <w:rPr>
          <w:rFonts w:ascii="宋体" w:hAnsi="宋体" w:eastAsia="宋体" w:cs="宋体"/>
          <w:spacing w:val="-2"/>
          <w:sz w:val="21"/>
          <w:szCs w:val="21"/>
        </w:rPr>
        <w:t>。</w:t>
      </w:r>
    </w:p>
    <w:p w14:paraId="159DD9EF">
      <w:pPr>
        <w:spacing w:before="64" w:line="277" w:lineRule="auto"/>
        <w:ind w:left="120" w:right="109" w:firstLine="3"/>
        <w:rPr>
          <w:rFonts w:hint="eastAsia" w:ascii="宋体" w:hAnsi="宋体" w:eastAsia="宋体" w:cs="宋体"/>
          <w:spacing w:val="-2"/>
          <w:sz w:val="21"/>
          <w:szCs w:val="21"/>
          <w:lang w:val="en-US" w:eastAsia="zh-CN"/>
        </w:rPr>
      </w:pPr>
      <w:r>
        <w:rPr>
          <w:rFonts w:hint="eastAsia" w:ascii="宋体" w:hAnsi="宋体" w:cs="宋体"/>
          <w:spacing w:val="-2"/>
          <w:sz w:val="21"/>
          <w:szCs w:val="21"/>
          <w:lang w:val="en-US" w:eastAsia="zh-CN"/>
        </w:rPr>
        <w:t>5、</w:t>
      </w:r>
      <w:r>
        <w:rPr>
          <w:rFonts w:hint="eastAsia" w:ascii="宋体" w:hAnsi="宋体" w:eastAsia="宋体" w:cs="宋体"/>
          <w:spacing w:val="-1"/>
          <w:sz w:val="21"/>
          <w:szCs w:val="21"/>
        </w:rPr>
        <w:t>需提供相关证书复印件、投标人所属社保机构出具的社保缴费证明或其他能够证明参加社保的有效证明材料扫描件（社保时段为投标文件递交截止日前半年时间内连续不少于三个月）。</w:t>
      </w:r>
    </w:p>
    <w:p w14:paraId="2C105F43">
      <w:pPr>
        <w:pStyle w:val="2"/>
        <w:spacing w:line="315" w:lineRule="auto"/>
      </w:pPr>
    </w:p>
    <w:p w14:paraId="63912935">
      <w:pPr>
        <w:pStyle w:val="2"/>
        <w:spacing w:line="315" w:lineRule="auto"/>
      </w:pPr>
    </w:p>
    <w:p w14:paraId="739F1908">
      <w:pPr>
        <w:pStyle w:val="2"/>
        <w:spacing w:line="315" w:lineRule="auto"/>
      </w:pPr>
    </w:p>
    <w:p w14:paraId="1169875F">
      <w:pPr>
        <w:pStyle w:val="2"/>
        <w:spacing w:line="315" w:lineRule="auto"/>
      </w:pPr>
    </w:p>
    <w:p w14:paraId="6725F19F">
      <w:pPr>
        <w:pStyle w:val="2"/>
        <w:spacing w:line="315" w:lineRule="auto"/>
      </w:pPr>
    </w:p>
    <w:p w14:paraId="01234E0A">
      <w:pPr>
        <w:pStyle w:val="2"/>
        <w:spacing w:line="315" w:lineRule="auto"/>
      </w:pPr>
    </w:p>
    <w:p w14:paraId="2BF9D748">
      <w:pPr>
        <w:pStyle w:val="2"/>
        <w:spacing w:line="252" w:lineRule="auto"/>
      </w:pPr>
    </w:p>
    <w:p w14:paraId="66518459">
      <w:pPr>
        <w:pStyle w:val="2"/>
        <w:spacing w:line="253" w:lineRule="auto"/>
      </w:pPr>
    </w:p>
    <w:p w14:paraId="196848C8">
      <w:pPr>
        <w:pStyle w:val="2"/>
        <w:spacing w:line="253" w:lineRule="auto"/>
      </w:pPr>
    </w:p>
    <w:p w14:paraId="6AC5E3DF">
      <w:pPr>
        <w:spacing w:before="88" w:line="241" w:lineRule="auto"/>
        <w:ind w:left="853"/>
        <w:rPr>
          <w:rFonts w:hint="eastAsia" w:ascii="宋体" w:hAnsi="宋体" w:eastAsia="宋体" w:cs="宋体"/>
          <w:sz w:val="13"/>
          <w:szCs w:val="13"/>
          <w:lang w:eastAsia="zh-CN"/>
        </w:rPr>
      </w:pPr>
      <w:r>
        <w:rPr>
          <w:rFonts w:ascii="宋体" w:hAnsi="宋体" w:eastAsia="宋体" w:cs="宋体"/>
          <w:b/>
          <w:bCs/>
          <w:spacing w:val="1"/>
          <w:sz w:val="27"/>
          <w:szCs w:val="27"/>
        </w:rPr>
        <w:t>附录</w:t>
      </w:r>
      <w:r>
        <w:rPr>
          <w:rFonts w:ascii="宋体" w:hAnsi="宋体" w:eastAsia="宋体" w:cs="宋体"/>
          <w:spacing w:val="-35"/>
          <w:sz w:val="27"/>
          <w:szCs w:val="27"/>
        </w:rPr>
        <w:t xml:space="preserve"> </w:t>
      </w:r>
      <w:r>
        <w:rPr>
          <w:rFonts w:ascii="宋体" w:hAnsi="宋体" w:eastAsia="宋体" w:cs="宋体"/>
          <w:b/>
          <w:bCs/>
          <w:spacing w:val="1"/>
          <w:sz w:val="27"/>
          <w:szCs w:val="27"/>
        </w:rPr>
        <w:t>6</w:t>
      </w:r>
      <w:r>
        <w:rPr>
          <w:rFonts w:ascii="宋体" w:hAnsi="宋体" w:eastAsia="宋体" w:cs="宋体"/>
          <w:spacing w:val="1"/>
          <w:sz w:val="27"/>
          <w:szCs w:val="27"/>
        </w:rPr>
        <w:t xml:space="preserve">  </w:t>
      </w:r>
      <w:r>
        <w:rPr>
          <w:rFonts w:ascii="宋体" w:hAnsi="宋体" w:eastAsia="宋体" w:cs="宋体"/>
          <w:b/>
          <w:bCs/>
          <w:spacing w:val="1"/>
          <w:sz w:val="27"/>
          <w:szCs w:val="27"/>
        </w:rPr>
        <w:t>资格审查条件（其他管理人员和技术人员最低要求）</w:t>
      </w:r>
      <w:r>
        <w:rPr>
          <w:rFonts w:ascii="宋体" w:hAnsi="宋体" w:eastAsia="宋体" w:cs="宋体"/>
          <w:spacing w:val="1"/>
          <w:sz w:val="27"/>
          <w:szCs w:val="27"/>
        </w:rPr>
        <w:t xml:space="preserve"> </w:t>
      </w:r>
    </w:p>
    <w:p w14:paraId="4D1F52FC">
      <w:pPr>
        <w:spacing w:before="37"/>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88"/>
        <w:gridCol w:w="1065"/>
        <w:gridCol w:w="5439"/>
      </w:tblGrid>
      <w:tr w14:paraId="3B2D7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2788" w:type="dxa"/>
            <w:vAlign w:val="top"/>
          </w:tcPr>
          <w:p w14:paraId="3305174F">
            <w:pPr>
              <w:pStyle w:val="9"/>
              <w:spacing w:before="207" w:line="221" w:lineRule="auto"/>
              <w:ind w:left="1163"/>
              <w:rPr>
                <w:sz w:val="24"/>
                <w:szCs w:val="24"/>
              </w:rPr>
            </w:pPr>
            <w:r>
              <w:rPr>
                <w:b/>
                <w:bCs/>
                <w:spacing w:val="-6"/>
                <w:sz w:val="24"/>
                <w:szCs w:val="24"/>
              </w:rPr>
              <w:t>人员</w:t>
            </w:r>
          </w:p>
        </w:tc>
        <w:tc>
          <w:tcPr>
            <w:tcW w:w="1065" w:type="dxa"/>
            <w:vAlign w:val="top"/>
          </w:tcPr>
          <w:p w14:paraId="7E6344A5">
            <w:pPr>
              <w:pStyle w:val="9"/>
              <w:spacing w:before="207" w:line="220" w:lineRule="auto"/>
              <w:ind w:left="299"/>
              <w:rPr>
                <w:sz w:val="24"/>
                <w:szCs w:val="24"/>
              </w:rPr>
            </w:pPr>
            <w:r>
              <w:rPr>
                <w:b/>
                <w:bCs/>
                <w:spacing w:val="-6"/>
                <w:sz w:val="24"/>
                <w:szCs w:val="24"/>
              </w:rPr>
              <w:t>数量</w:t>
            </w:r>
          </w:p>
        </w:tc>
        <w:tc>
          <w:tcPr>
            <w:tcW w:w="5439" w:type="dxa"/>
            <w:vAlign w:val="top"/>
          </w:tcPr>
          <w:p w14:paraId="7307403A">
            <w:pPr>
              <w:pStyle w:val="9"/>
              <w:spacing w:before="207" w:line="220" w:lineRule="auto"/>
              <w:ind w:left="2254"/>
              <w:rPr>
                <w:sz w:val="24"/>
                <w:szCs w:val="24"/>
              </w:rPr>
            </w:pPr>
            <w:r>
              <w:rPr>
                <w:b/>
                <w:bCs/>
                <w:spacing w:val="-6"/>
                <w:sz w:val="24"/>
                <w:szCs w:val="24"/>
              </w:rPr>
              <w:t>资格要求</w:t>
            </w:r>
          </w:p>
        </w:tc>
      </w:tr>
      <w:tr w14:paraId="573B6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8" w:hRule="atLeast"/>
        </w:trPr>
        <w:tc>
          <w:tcPr>
            <w:tcW w:w="2788" w:type="dxa"/>
            <w:vAlign w:val="top"/>
          </w:tcPr>
          <w:p w14:paraId="62F4481C">
            <w:pPr>
              <w:pStyle w:val="9"/>
              <w:spacing w:before="287" w:line="220" w:lineRule="auto"/>
              <w:rPr>
                <w:spacing w:val="-2"/>
                <w:sz w:val="24"/>
                <w:szCs w:val="24"/>
              </w:rPr>
            </w:pPr>
            <w:r>
              <w:rPr>
                <w:rFonts w:hint="eastAsia"/>
                <w:spacing w:val="-2"/>
                <w:sz w:val="24"/>
                <w:szCs w:val="24"/>
                <w:lang w:val="en-US" w:eastAsia="zh-CN"/>
              </w:rPr>
              <w:t>专职安全生产管理人员</w:t>
            </w:r>
          </w:p>
        </w:tc>
        <w:tc>
          <w:tcPr>
            <w:tcW w:w="1065" w:type="dxa"/>
            <w:vAlign w:val="top"/>
          </w:tcPr>
          <w:p w14:paraId="18285D98">
            <w:pPr>
              <w:pStyle w:val="9"/>
              <w:spacing w:before="287" w:line="220" w:lineRule="auto"/>
              <w:ind w:left="802"/>
              <w:rPr>
                <w:spacing w:val="-2"/>
                <w:sz w:val="24"/>
                <w:szCs w:val="24"/>
              </w:rPr>
            </w:pPr>
            <w:r>
              <w:rPr>
                <w:rFonts w:hint="eastAsia"/>
                <w:spacing w:val="-2"/>
                <w:sz w:val="24"/>
                <w:szCs w:val="24"/>
                <w:lang w:val="en-US" w:eastAsia="zh-CN"/>
              </w:rPr>
              <w:t>1</w:t>
            </w:r>
          </w:p>
        </w:tc>
        <w:tc>
          <w:tcPr>
            <w:tcW w:w="5439" w:type="dxa"/>
            <w:vAlign w:val="top"/>
          </w:tcPr>
          <w:p w14:paraId="1D60A0F3">
            <w:pPr>
              <w:pStyle w:val="9"/>
              <w:spacing w:before="287" w:line="220" w:lineRule="auto"/>
              <w:ind w:left="802"/>
              <w:rPr>
                <w:spacing w:val="-2"/>
                <w:sz w:val="24"/>
                <w:szCs w:val="24"/>
              </w:rPr>
            </w:pPr>
            <w:r>
              <w:rPr>
                <w:spacing w:val="7"/>
                <w:sz w:val="24"/>
                <w:szCs w:val="24"/>
              </w:rPr>
              <w:t>具有交通主管部门颁发的有效安全生产“三类人</w:t>
            </w:r>
            <w:r>
              <w:rPr>
                <w:spacing w:val="-5"/>
                <w:sz w:val="24"/>
                <w:szCs w:val="24"/>
              </w:rPr>
              <w:t>员”C</w:t>
            </w:r>
            <w:r>
              <w:rPr>
                <w:spacing w:val="-35"/>
                <w:sz w:val="24"/>
                <w:szCs w:val="24"/>
              </w:rPr>
              <w:t xml:space="preserve"> </w:t>
            </w:r>
            <w:r>
              <w:rPr>
                <w:spacing w:val="-5"/>
                <w:sz w:val="24"/>
                <w:szCs w:val="24"/>
              </w:rPr>
              <w:t>类证书，累计</w:t>
            </w:r>
            <w:r>
              <w:rPr>
                <w:spacing w:val="-46"/>
                <w:sz w:val="24"/>
                <w:szCs w:val="24"/>
              </w:rPr>
              <w:t xml:space="preserve"> </w:t>
            </w:r>
            <w:r>
              <w:rPr>
                <w:spacing w:val="-5"/>
                <w:sz w:val="24"/>
                <w:szCs w:val="24"/>
                <w:u w:val="single" w:color="auto"/>
              </w:rPr>
              <w:t>3</w:t>
            </w:r>
            <w:r>
              <w:rPr>
                <w:spacing w:val="-50"/>
                <w:sz w:val="24"/>
                <w:szCs w:val="24"/>
                <w:u w:val="single" w:color="auto"/>
              </w:rPr>
              <w:t xml:space="preserve"> </w:t>
            </w:r>
            <w:r>
              <w:rPr>
                <w:spacing w:val="-5"/>
                <w:sz w:val="24"/>
                <w:szCs w:val="24"/>
              </w:rPr>
              <w:t>年从事类似工程经验。</w:t>
            </w:r>
          </w:p>
        </w:tc>
      </w:tr>
    </w:tbl>
    <w:p w14:paraId="506C0F69">
      <w:pPr>
        <w:pStyle w:val="2"/>
        <w:spacing w:line="314" w:lineRule="auto"/>
      </w:pPr>
    </w:p>
    <w:p w14:paraId="5B8D5124">
      <w:pPr>
        <w:pStyle w:val="2"/>
        <w:spacing w:line="315" w:lineRule="auto"/>
      </w:pPr>
    </w:p>
    <w:p w14:paraId="4FD5B627">
      <w:pPr>
        <w:spacing w:line="234" w:lineRule="exact"/>
      </w:pPr>
    </w:p>
    <w:p w14:paraId="7E15FEC7">
      <w:pPr>
        <w:spacing w:before="48" w:line="224" w:lineRule="auto"/>
        <w:rPr>
          <w:rFonts w:ascii="宋体" w:hAnsi="宋体" w:eastAsia="宋体" w:cs="宋体"/>
          <w:sz w:val="21"/>
          <w:szCs w:val="21"/>
        </w:rPr>
      </w:pPr>
      <w:r>
        <w:rPr>
          <w:rFonts w:ascii="宋体" w:hAnsi="宋体" w:eastAsia="宋体" w:cs="宋体"/>
          <w:spacing w:val="-15"/>
          <w:sz w:val="21"/>
          <w:szCs w:val="21"/>
        </w:rPr>
        <w:t>注：</w:t>
      </w:r>
    </w:p>
    <w:p w14:paraId="5176A8A8">
      <w:pPr>
        <w:spacing w:before="57" w:line="270" w:lineRule="auto"/>
        <w:ind w:left="129" w:right="110" w:firstLine="7"/>
        <w:rPr>
          <w:rFonts w:hint="eastAsia" w:ascii="宋体" w:hAnsi="宋体" w:eastAsia="宋体" w:cs="宋体"/>
          <w:sz w:val="10"/>
          <w:szCs w:val="10"/>
          <w:lang w:eastAsia="zh-CN"/>
        </w:rPr>
      </w:pPr>
      <w:r>
        <w:rPr>
          <w:rFonts w:ascii="宋体" w:hAnsi="宋体" w:eastAsia="宋体" w:cs="宋体"/>
          <w:spacing w:val="-2"/>
          <w:sz w:val="21"/>
          <w:szCs w:val="21"/>
        </w:rPr>
        <w:t>1、附录</w:t>
      </w:r>
      <w:r>
        <w:rPr>
          <w:rFonts w:ascii="宋体" w:hAnsi="宋体" w:eastAsia="宋体" w:cs="宋体"/>
          <w:spacing w:val="-42"/>
          <w:sz w:val="21"/>
          <w:szCs w:val="21"/>
        </w:rPr>
        <w:t xml:space="preserve"> </w:t>
      </w:r>
      <w:r>
        <w:rPr>
          <w:rFonts w:ascii="宋体" w:hAnsi="宋体" w:eastAsia="宋体" w:cs="宋体"/>
          <w:spacing w:val="-2"/>
          <w:sz w:val="21"/>
          <w:szCs w:val="21"/>
        </w:rPr>
        <w:t>6</w:t>
      </w:r>
      <w:r>
        <w:rPr>
          <w:rFonts w:ascii="宋体" w:hAnsi="宋体" w:eastAsia="宋体" w:cs="宋体"/>
          <w:spacing w:val="-45"/>
          <w:sz w:val="21"/>
          <w:szCs w:val="21"/>
        </w:rPr>
        <w:t xml:space="preserve"> </w:t>
      </w:r>
      <w:r>
        <w:rPr>
          <w:rFonts w:ascii="宋体" w:hAnsi="宋体" w:eastAsia="宋体" w:cs="宋体"/>
          <w:spacing w:val="-2"/>
          <w:sz w:val="21"/>
          <w:szCs w:val="21"/>
        </w:rPr>
        <w:t>所要求人员须按投标文件投标函的格式承诺，中标人</w:t>
      </w:r>
      <w:r>
        <w:rPr>
          <w:rFonts w:ascii="宋体" w:hAnsi="宋体" w:eastAsia="宋体" w:cs="宋体"/>
          <w:spacing w:val="-3"/>
          <w:sz w:val="21"/>
          <w:szCs w:val="21"/>
        </w:rPr>
        <w:t>在进场前向招标人提交实际投入的人</w:t>
      </w:r>
      <w:r>
        <w:rPr>
          <w:rFonts w:ascii="宋体" w:hAnsi="宋体" w:eastAsia="宋体" w:cs="宋体"/>
          <w:spacing w:val="-5"/>
          <w:position w:val="-1"/>
          <w:sz w:val="21"/>
          <w:szCs w:val="21"/>
        </w:rPr>
        <w:t>员。</w:t>
      </w:r>
    </w:p>
    <w:p w14:paraId="4B46EC7A">
      <w:pPr>
        <w:spacing w:before="10" w:line="274" w:lineRule="auto"/>
        <w:ind w:left="120" w:right="113" w:firstLine="2"/>
        <w:rPr>
          <w:rFonts w:ascii="宋体" w:hAnsi="宋体" w:eastAsia="宋体" w:cs="宋体"/>
          <w:sz w:val="21"/>
          <w:szCs w:val="21"/>
        </w:rPr>
      </w:pPr>
      <w:r>
        <w:rPr>
          <w:rFonts w:ascii="宋体" w:hAnsi="宋体" w:eastAsia="宋体" w:cs="宋体"/>
          <w:spacing w:val="-2"/>
          <w:sz w:val="21"/>
          <w:szCs w:val="21"/>
        </w:rPr>
        <w:t>2、投标人中标后专职安全生产管理人员的配备应按照交通运输部《公路水运工程安全生产监督管理</w:t>
      </w:r>
      <w:r>
        <w:rPr>
          <w:rFonts w:ascii="宋体" w:hAnsi="宋体" w:eastAsia="宋体" w:cs="宋体"/>
          <w:spacing w:val="1"/>
          <w:sz w:val="21"/>
          <w:szCs w:val="21"/>
        </w:rPr>
        <w:t>办法》的要求执行。招标人可根据项目的工期和进度，按</w:t>
      </w:r>
      <w:r>
        <w:rPr>
          <w:rFonts w:ascii="宋体" w:hAnsi="宋体" w:eastAsia="宋体" w:cs="宋体"/>
          <w:sz w:val="21"/>
          <w:szCs w:val="21"/>
        </w:rPr>
        <w:t>规定设置最低的专职安全生产管理人员数</w:t>
      </w:r>
      <w:r>
        <w:rPr>
          <w:rFonts w:ascii="宋体" w:hAnsi="宋体" w:eastAsia="宋体" w:cs="宋体"/>
          <w:spacing w:val="-8"/>
          <w:sz w:val="21"/>
          <w:szCs w:val="21"/>
        </w:rPr>
        <w:t>量要求。</w:t>
      </w:r>
    </w:p>
    <w:p w14:paraId="5F118B2F">
      <w:pPr>
        <w:spacing w:before="1" w:line="219" w:lineRule="auto"/>
        <w:ind w:left="125"/>
        <w:rPr>
          <w:rFonts w:ascii="宋体" w:hAnsi="宋体" w:eastAsia="宋体" w:cs="宋体"/>
          <w:spacing w:val="-2"/>
          <w:sz w:val="21"/>
          <w:szCs w:val="21"/>
        </w:rPr>
      </w:pPr>
      <w:r>
        <w:rPr>
          <w:rFonts w:ascii="宋体" w:hAnsi="宋体" w:eastAsia="宋体" w:cs="宋体"/>
          <w:spacing w:val="-1"/>
          <w:sz w:val="21"/>
          <w:szCs w:val="21"/>
        </w:rPr>
        <w:t>3、试验相关人员的配备应符合《广东省公路工程施工</w:t>
      </w:r>
      <w:r>
        <w:rPr>
          <w:rFonts w:ascii="宋体" w:hAnsi="宋体" w:eastAsia="宋体" w:cs="宋体"/>
          <w:spacing w:val="-2"/>
          <w:sz w:val="21"/>
          <w:szCs w:val="21"/>
        </w:rPr>
        <w:t>标准化指南》的要求。</w:t>
      </w:r>
    </w:p>
    <w:p w14:paraId="360DFB96">
      <w:pPr>
        <w:pStyle w:val="2"/>
        <w:spacing w:line="242" w:lineRule="auto"/>
      </w:pPr>
    </w:p>
    <w:p w14:paraId="3E79C1C9">
      <w:pPr>
        <w:pStyle w:val="2"/>
        <w:spacing w:line="242" w:lineRule="auto"/>
      </w:pPr>
    </w:p>
    <w:p w14:paraId="501F9F94">
      <w:pPr>
        <w:pStyle w:val="2"/>
        <w:spacing w:line="242" w:lineRule="auto"/>
      </w:pPr>
    </w:p>
    <w:p w14:paraId="30BC5D07">
      <w:pPr>
        <w:pStyle w:val="2"/>
        <w:spacing w:line="242" w:lineRule="auto"/>
      </w:pPr>
    </w:p>
    <w:p w14:paraId="11CAE148">
      <w:pPr>
        <w:pStyle w:val="2"/>
        <w:spacing w:line="242" w:lineRule="auto"/>
      </w:pPr>
    </w:p>
    <w:p w14:paraId="1934779C">
      <w:pPr>
        <w:pStyle w:val="2"/>
        <w:spacing w:line="242" w:lineRule="auto"/>
      </w:pPr>
    </w:p>
    <w:p w14:paraId="4F43F813">
      <w:pPr>
        <w:pStyle w:val="2"/>
        <w:spacing w:line="242" w:lineRule="auto"/>
      </w:pPr>
    </w:p>
    <w:p w14:paraId="1A3785CC">
      <w:pPr>
        <w:pStyle w:val="2"/>
        <w:spacing w:line="242" w:lineRule="auto"/>
      </w:pPr>
    </w:p>
    <w:p w14:paraId="72033256">
      <w:pPr>
        <w:pStyle w:val="2"/>
        <w:spacing w:line="242" w:lineRule="auto"/>
      </w:pPr>
    </w:p>
    <w:p w14:paraId="3671994C">
      <w:pPr>
        <w:pStyle w:val="2"/>
        <w:spacing w:line="242" w:lineRule="auto"/>
      </w:pPr>
    </w:p>
    <w:p w14:paraId="48E98580">
      <w:pPr>
        <w:pStyle w:val="2"/>
        <w:spacing w:line="242" w:lineRule="auto"/>
      </w:pPr>
    </w:p>
    <w:p w14:paraId="357BC75F">
      <w:pPr>
        <w:pStyle w:val="2"/>
        <w:spacing w:line="242" w:lineRule="auto"/>
      </w:pPr>
    </w:p>
    <w:p w14:paraId="4A77E676">
      <w:pPr>
        <w:pStyle w:val="2"/>
        <w:spacing w:line="242" w:lineRule="auto"/>
      </w:pPr>
    </w:p>
    <w:p w14:paraId="50FE5E75">
      <w:pPr>
        <w:pStyle w:val="2"/>
        <w:spacing w:line="242" w:lineRule="auto"/>
      </w:pPr>
    </w:p>
    <w:p w14:paraId="6F0ACF80">
      <w:pPr>
        <w:pStyle w:val="2"/>
        <w:spacing w:line="242" w:lineRule="auto"/>
      </w:pPr>
    </w:p>
    <w:p w14:paraId="520E8340">
      <w:pPr>
        <w:pStyle w:val="2"/>
        <w:spacing w:line="242" w:lineRule="auto"/>
      </w:pPr>
    </w:p>
    <w:p w14:paraId="7AD44885">
      <w:pPr>
        <w:pStyle w:val="2"/>
        <w:spacing w:line="242" w:lineRule="auto"/>
      </w:pPr>
    </w:p>
    <w:p w14:paraId="1B77145F">
      <w:pPr>
        <w:pStyle w:val="2"/>
        <w:spacing w:line="242" w:lineRule="auto"/>
      </w:pPr>
    </w:p>
    <w:p w14:paraId="1B32214E">
      <w:pPr>
        <w:pStyle w:val="2"/>
        <w:spacing w:line="242" w:lineRule="auto"/>
      </w:pPr>
    </w:p>
    <w:p w14:paraId="1271CF81">
      <w:pPr>
        <w:pStyle w:val="2"/>
        <w:spacing w:line="242" w:lineRule="auto"/>
      </w:pPr>
    </w:p>
    <w:p w14:paraId="2C0948D1">
      <w:pPr>
        <w:pStyle w:val="2"/>
        <w:spacing w:line="242" w:lineRule="auto"/>
      </w:pPr>
    </w:p>
    <w:p w14:paraId="1B9A7D7D">
      <w:pPr>
        <w:pStyle w:val="2"/>
        <w:spacing w:line="242" w:lineRule="auto"/>
      </w:pPr>
    </w:p>
    <w:p w14:paraId="315A14D3">
      <w:pPr>
        <w:pStyle w:val="2"/>
        <w:spacing w:line="242" w:lineRule="auto"/>
      </w:pPr>
    </w:p>
    <w:p w14:paraId="4641AA6D">
      <w:pPr>
        <w:pStyle w:val="2"/>
        <w:spacing w:line="242" w:lineRule="auto"/>
      </w:pPr>
    </w:p>
    <w:p w14:paraId="380E4F35">
      <w:pPr>
        <w:pStyle w:val="2"/>
        <w:spacing w:line="268" w:lineRule="auto"/>
      </w:pPr>
    </w:p>
    <w:p w14:paraId="2ABC5CEF">
      <w:pPr>
        <w:spacing w:before="78" w:line="220" w:lineRule="auto"/>
        <w:ind w:left="27"/>
        <w:rPr>
          <w:rFonts w:hint="eastAsia" w:ascii="宋体" w:hAnsi="宋体" w:cs="宋体"/>
          <w:b/>
          <w:bCs/>
          <w:spacing w:val="-11"/>
          <w:sz w:val="24"/>
          <w:szCs w:val="24"/>
          <w:lang w:eastAsia="zh-CN"/>
        </w:rPr>
      </w:pPr>
    </w:p>
    <w:p w14:paraId="357DD438">
      <w:pPr>
        <w:spacing w:before="78" w:line="220" w:lineRule="auto"/>
        <w:ind w:left="27"/>
        <w:rPr>
          <w:rFonts w:ascii="宋体" w:hAnsi="宋体" w:eastAsia="宋体" w:cs="宋体"/>
          <w:sz w:val="24"/>
          <w:szCs w:val="24"/>
        </w:rPr>
      </w:pPr>
      <w:r>
        <w:rPr>
          <w:rFonts w:ascii="宋体" w:hAnsi="宋体" w:eastAsia="宋体" w:cs="宋体"/>
          <w:b/>
          <w:bCs/>
          <w:spacing w:val="-11"/>
          <w:sz w:val="24"/>
          <w:szCs w:val="24"/>
        </w:rPr>
        <w:t>1.</w:t>
      </w:r>
      <w:r>
        <w:rPr>
          <w:rFonts w:ascii="宋体" w:hAnsi="宋体" w:eastAsia="宋体" w:cs="宋体"/>
          <w:spacing w:val="17"/>
          <w:sz w:val="24"/>
          <w:szCs w:val="24"/>
        </w:rPr>
        <w:t xml:space="preserve"> </w:t>
      </w:r>
      <w:r>
        <w:rPr>
          <w:rFonts w:ascii="宋体" w:hAnsi="宋体" w:eastAsia="宋体" w:cs="宋体"/>
          <w:b/>
          <w:bCs/>
          <w:spacing w:val="-11"/>
          <w:sz w:val="24"/>
          <w:szCs w:val="24"/>
        </w:rPr>
        <w:t>总则</w:t>
      </w:r>
    </w:p>
    <w:p w14:paraId="7A980ED1">
      <w:pPr>
        <w:spacing w:before="181" w:line="220" w:lineRule="auto"/>
        <w:ind w:left="27"/>
        <w:rPr>
          <w:rFonts w:ascii="宋体" w:hAnsi="宋体" w:eastAsia="宋体" w:cs="宋体"/>
          <w:sz w:val="24"/>
          <w:szCs w:val="24"/>
        </w:rPr>
      </w:pPr>
      <w:r>
        <w:rPr>
          <w:rFonts w:ascii="宋体" w:hAnsi="宋体" w:eastAsia="宋体" w:cs="宋体"/>
          <w:b/>
          <w:bCs/>
          <w:spacing w:val="-8"/>
          <w:sz w:val="24"/>
          <w:szCs w:val="24"/>
        </w:rPr>
        <w:t>1.1</w:t>
      </w:r>
      <w:r>
        <w:rPr>
          <w:rFonts w:ascii="宋体" w:hAnsi="宋体" w:eastAsia="宋体" w:cs="宋体"/>
          <w:spacing w:val="16"/>
          <w:sz w:val="24"/>
          <w:szCs w:val="24"/>
        </w:rPr>
        <w:t xml:space="preserve"> </w:t>
      </w:r>
      <w:r>
        <w:rPr>
          <w:rFonts w:ascii="宋体" w:hAnsi="宋体" w:eastAsia="宋体" w:cs="宋体"/>
          <w:b/>
          <w:bCs/>
          <w:spacing w:val="-8"/>
          <w:sz w:val="24"/>
          <w:szCs w:val="24"/>
        </w:rPr>
        <w:t>项目概况</w:t>
      </w:r>
    </w:p>
    <w:p w14:paraId="4B2E4CC6">
      <w:pPr>
        <w:spacing w:before="182" w:line="360" w:lineRule="auto"/>
        <w:ind w:left="10" w:firstLine="496"/>
        <w:jc w:val="both"/>
        <w:rPr>
          <w:rFonts w:ascii="宋体" w:hAnsi="宋体" w:eastAsia="宋体" w:cs="宋体"/>
          <w:sz w:val="24"/>
          <w:szCs w:val="24"/>
        </w:rPr>
      </w:pPr>
      <w:r>
        <w:rPr>
          <w:rFonts w:ascii="宋体" w:hAnsi="宋体" w:eastAsia="宋体" w:cs="宋体"/>
          <w:spacing w:val="-5"/>
          <w:sz w:val="24"/>
          <w:szCs w:val="24"/>
        </w:rPr>
        <w:t>1.1.1 根据《中华人民共和国招标投标法》《中华人民共和国招标投标</w:t>
      </w:r>
      <w:r>
        <w:rPr>
          <w:rFonts w:ascii="宋体" w:hAnsi="宋体" w:eastAsia="宋体" w:cs="宋体"/>
          <w:spacing w:val="-6"/>
          <w:sz w:val="24"/>
          <w:szCs w:val="24"/>
        </w:rPr>
        <w:t>法实施条例》</w:t>
      </w:r>
      <w:r>
        <w:rPr>
          <w:rFonts w:ascii="宋体" w:hAnsi="宋体" w:eastAsia="宋体" w:cs="宋体"/>
          <w:sz w:val="24"/>
          <w:szCs w:val="24"/>
        </w:rPr>
        <w:t xml:space="preserve"> </w:t>
      </w:r>
      <w:r>
        <w:rPr>
          <w:rFonts w:ascii="宋体" w:hAnsi="宋体" w:eastAsia="宋体" w:cs="宋体"/>
          <w:spacing w:val="-2"/>
          <w:sz w:val="24"/>
          <w:szCs w:val="24"/>
        </w:rPr>
        <w:t>《广东省实施&lt;中华人民共和国招标投标法&gt;办法》《公路工程建设项目招标投标管理办</w:t>
      </w:r>
      <w:r>
        <w:rPr>
          <w:rFonts w:ascii="宋体" w:hAnsi="宋体" w:eastAsia="宋体" w:cs="宋体"/>
          <w:spacing w:val="-6"/>
          <w:sz w:val="24"/>
          <w:szCs w:val="24"/>
        </w:rPr>
        <w:t>法》等有关法律、法规和规章的规定，</w:t>
      </w:r>
      <w:r>
        <w:rPr>
          <w:rFonts w:ascii="宋体" w:hAnsi="宋体" w:eastAsia="宋体" w:cs="宋体"/>
          <w:spacing w:val="52"/>
          <w:sz w:val="24"/>
          <w:szCs w:val="24"/>
        </w:rPr>
        <w:t xml:space="preserve"> </w:t>
      </w:r>
      <w:r>
        <w:rPr>
          <w:rFonts w:ascii="宋体" w:hAnsi="宋体" w:eastAsia="宋体" w:cs="宋体"/>
          <w:spacing w:val="-6"/>
          <w:sz w:val="24"/>
          <w:szCs w:val="24"/>
        </w:rPr>
        <w:t>本招标项目已具备招标条件，现对本标</w:t>
      </w:r>
      <w:r>
        <w:rPr>
          <w:rFonts w:ascii="宋体" w:hAnsi="宋体" w:eastAsia="宋体" w:cs="宋体"/>
          <w:spacing w:val="-7"/>
          <w:sz w:val="24"/>
          <w:szCs w:val="24"/>
        </w:rPr>
        <w:t>段施工进</w:t>
      </w:r>
      <w:r>
        <w:rPr>
          <w:rFonts w:ascii="宋体" w:hAnsi="宋体" w:eastAsia="宋体" w:cs="宋体"/>
          <w:spacing w:val="-9"/>
          <w:sz w:val="24"/>
          <w:szCs w:val="24"/>
        </w:rPr>
        <w:t>行招标。</w:t>
      </w:r>
    </w:p>
    <w:p w14:paraId="73F6F6E1">
      <w:pPr>
        <w:spacing w:before="1" w:line="218" w:lineRule="auto"/>
        <w:ind w:left="507"/>
        <w:rPr>
          <w:rFonts w:ascii="宋体" w:hAnsi="宋体" w:eastAsia="宋体" w:cs="宋体"/>
          <w:sz w:val="24"/>
          <w:szCs w:val="24"/>
        </w:rPr>
      </w:pPr>
      <w:r>
        <w:rPr>
          <w:rFonts w:ascii="宋体" w:hAnsi="宋体" w:eastAsia="宋体" w:cs="宋体"/>
          <w:spacing w:val="-3"/>
          <w:sz w:val="24"/>
          <w:szCs w:val="24"/>
        </w:rPr>
        <w:t>1.1.2 本招标项目招标人：见投标人须知前附表。</w:t>
      </w:r>
    </w:p>
    <w:p w14:paraId="096963D0">
      <w:pPr>
        <w:spacing w:before="183" w:line="219" w:lineRule="auto"/>
        <w:ind w:left="507"/>
        <w:rPr>
          <w:rFonts w:ascii="宋体" w:hAnsi="宋体" w:eastAsia="宋体" w:cs="宋体"/>
          <w:sz w:val="24"/>
          <w:szCs w:val="24"/>
        </w:rPr>
      </w:pPr>
      <w:r>
        <w:rPr>
          <w:rFonts w:ascii="宋体" w:hAnsi="宋体" w:eastAsia="宋体" w:cs="宋体"/>
          <w:spacing w:val="-3"/>
          <w:sz w:val="24"/>
          <w:szCs w:val="24"/>
        </w:rPr>
        <w:t>1.1.3 本标段招标代理机构：见投标人须知前附表。</w:t>
      </w:r>
    </w:p>
    <w:p w14:paraId="7714A595">
      <w:pPr>
        <w:spacing w:before="183" w:line="219" w:lineRule="auto"/>
        <w:ind w:left="507"/>
        <w:rPr>
          <w:rFonts w:ascii="宋体" w:hAnsi="宋体" w:eastAsia="宋体" w:cs="宋体"/>
          <w:sz w:val="24"/>
          <w:szCs w:val="24"/>
        </w:rPr>
      </w:pPr>
      <w:r>
        <w:rPr>
          <w:rFonts w:ascii="宋体" w:hAnsi="宋体" w:eastAsia="宋体" w:cs="宋体"/>
          <w:spacing w:val="-3"/>
          <w:sz w:val="24"/>
          <w:szCs w:val="24"/>
        </w:rPr>
        <w:t>1.1.4 本招标项目名称：见投标人须知前附表。</w:t>
      </w:r>
    </w:p>
    <w:p w14:paraId="6B3B655C">
      <w:pPr>
        <w:spacing w:before="183" w:line="219" w:lineRule="auto"/>
        <w:ind w:left="507"/>
        <w:rPr>
          <w:rFonts w:ascii="宋体" w:hAnsi="宋体" w:eastAsia="宋体" w:cs="宋体"/>
          <w:sz w:val="24"/>
          <w:szCs w:val="24"/>
        </w:rPr>
      </w:pPr>
      <w:r>
        <w:rPr>
          <w:rFonts w:ascii="宋体" w:hAnsi="宋体" w:eastAsia="宋体" w:cs="宋体"/>
          <w:spacing w:val="-3"/>
          <w:sz w:val="24"/>
          <w:szCs w:val="24"/>
        </w:rPr>
        <w:t>1.1.5 本标段建设地点：见投标人须知前附表。</w:t>
      </w:r>
    </w:p>
    <w:p w14:paraId="7B72319F">
      <w:pPr>
        <w:spacing w:before="182" w:line="220" w:lineRule="auto"/>
        <w:ind w:left="27"/>
        <w:rPr>
          <w:rFonts w:ascii="宋体" w:hAnsi="宋体" w:eastAsia="宋体" w:cs="宋体"/>
          <w:sz w:val="24"/>
          <w:szCs w:val="24"/>
        </w:rPr>
      </w:pPr>
      <w:r>
        <w:rPr>
          <w:rFonts w:ascii="宋体" w:hAnsi="宋体" w:eastAsia="宋体" w:cs="宋体"/>
          <w:b/>
          <w:bCs/>
          <w:spacing w:val="-4"/>
          <w:sz w:val="24"/>
          <w:szCs w:val="24"/>
        </w:rPr>
        <w:t>1.2</w:t>
      </w:r>
      <w:r>
        <w:rPr>
          <w:rFonts w:ascii="宋体" w:hAnsi="宋体" w:eastAsia="宋体" w:cs="宋体"/>
          <w:spacing w:val="-4"/>
          <w:sz w:val="24"/>
          <w:szCs w:val="24"/>
        </w:rPr>
        <w:t xml:space="preserve"> </w:t>
      </w:r>
      <w:r>
        <w:rPr>
          <w:rFonts w:ascii="宋体" w:hAnsi="宋体" w:eastAsia="宋体" w:cs="宋体"/>
          <w:b/>
          <w:bCs/>
          <w:spacing w:val="-4"/>
          <w:sz w:val="24"/>
          <w:szCs w:val="24"/>
        </w:rPr>
        <w:t>招标项目的资金来源和落实情况</w:t>
      </w:r>
    </w:p>
    <w:p w14:paraId="602239CD">
      <w:pPr>
        <w:spacing w:before="183" w:line="219" w:lineRule="auto"/>
        <w:ind w:left="507"/>
        <w:rPr>
          <w:rFonts w:ascii="宋体" w:hAnsi="宋体" w:eastAsia="宋体" w:cs="宋体"/>
          <w:sz w:val="24"/>
          <w:szCs w:val="24"/>
        </w:rPr>
      </w:pPr>
      <w:r>
        <w:rPr>
          <w:rFonts w:ascii="宋体" w:hAnsi="宋体" w:eastAsia="宋体" w:cs="宋体"/>
          <w:spacing w:val="-3"/>
          <w:sz w:val="24"/>
          <w:szCs w:val="24"/>
        </w:rPr>
        <w:t>1.2.1 资金来源及比例：见投标人须知前附表。</w:t>
      </w:r>
    </w:p>
    <w:p w14:paraId="3ECCA850">
      <w:pPr>
        <w:spacing w:before="183" w:line="219" w:lineRule="auto"/>
        <w:ind w:left="507"/>
        <w:rPr>
          <w:rFonts w:ascii="宋体" w:hAnsi="宋体" w:eastAsia="宋体" w:cs="宋体"/>
          <w:sz w:val="24"/>
          <w:szCs w:val="24"/>
        </w:rPr>
      </w:pPr>
      <w:r>
        <w:rPr>
          <w:rFonts w:ascii="宋体" w:hAnsi="宋体" w:eastAsia="宋体" w:cs="宋体"/>
          <w:spacing w:val="-3"/>
          <w:sz w:val="24"/>
          <w:szCs w:val="24"/>
        </w:rPr>
        <w:t>1.2.2 资金落实情况：见投标人须知前附表。</w:t>
      </w:r>
    </w:p>
    <w:p w14:paraId="1AF8E6C6">
      <w:pPr>
        <w:spacing w:before="184" w:line="220" w:lineRule="auto"/>
        <w:ind w:left="27"/>
        <w:rPr>
          <w:rFonts w:ascii="宋体" w:hAnsi="宋体" w:eastAsia="宋体" w:cs="宋体"/>
          <w:sz w:val="24"/>
          <w:szCs w:val="24"/>
        </w:rPr>
      </w:pPr>
      <w:r>
        <w:rPr>
          <w:rFonts w:ascii="宋体" w:hAnsi="宋体" w:eastAsia="宋体" w:cs="宋体"/>
          <w:b/>
          <w:bCs/>
          <w:spacing w:val="-3"/>
          <w:sz w:val="24"/>
          <w:szCs w:val="24"/>
        </w:rPr>
        <w:t>1.3</w:t>
      </w:r>
      <w:r>
        <w:rPr>
          <w:rFonts w:ascii="宋体" w:hAnsi="宋体" w:eastAsia="宋体" w:cs="宋体"/>
          <w:spacing w:val="-3"/>
          <w:sz w:val="24"/>
          <w:szCs w:val="24"/>
        </w:rPr>
        <w:t xml:space="preserve"> </w:t>
      </w:r>
      <w:r>
        <w:rPr>
          <w:rFonts w:ascii="宋体" w:hAnsi="宋体" w:eastAsia="宋体" w:cs="宋体"/>
          <w:b/>
          <w:bCs/>
          <w:spacing w:val="-3"/>
          <w:sz w:val="24"/>
          <w:szCs w:val="24"/>
        </w:rPr>
        <w:t>招标范围、计划工期、质量要求和安全目标</w:t>
      </w:r>
    </w:p>
    <w:p w14:paraId="30041044">
      <w:pPr>
        <w:spacing w:before="181" w:line="219" w:lineRule="auto"/>
        <w:ind w:left="507"/>
        <w:rPr>
          <w:rFonts w:ascii="宋体" w:hAnsi="宋体" w:eastAsia="宋体" w:cs="宋体"/>
          <w:sz w:val="24"/>
          <w:szCs w:val="24"/>
        </w:rPr>
      </w:pPr>
      <w:r>
        <w:rPr>
          <w:rFonts w:ascii="宋体" w:hAnsi="宋体" w:eastAsia="宋体" w:cs="宋体"/>
          <w:spacing w:val="-3"/>
          <w:sz w:val="24"/>
          <w:szCs w:val="24"/>
        </w:rPr>
        <w:t>1.3.1 招标范围：见投标人须知前附表。</w:t>
      </w:r>
    </w:p>
    <w:p w14:paraId="2DA11A3E">
      <w:pPr>
        <w:spacing w:before="184" w:line="219" w:lineRule="auto"/>
        <w:ind w:left="507"/>
        <w:rPr>
          <w:rFonts w:ascii="宋体" w:hAnsi="宋体" w:eastAsia="宋体" w:cs="宋体"/>
          <w:sz w:val="24"/>
          <w:szCs w:val="24"/>
        </w:rPr>
      </w:pPr>
      <w:r>
        <w:rPr>
          <w:rFonts w:ascii="宋体" w:hAnsi="宋体" w:eastAsia="宋体" w:cs="宋体"/>
          <w:spacing w:val="-3"/>
          <w:sz w:val="24"/>
          <w:szCs w:val="24"/>
        </w:rPr>
        <w:t>1.3.2 本标段的计划工期：见投标人须知前附表。</w:t>
      </w:r>
    </w:p>
    <w:p w14:paraId="4D4B1B90">
      <w:pPr>
        <w:spacing w:before="183" w:line="219" w:lineRule="auto"/>
        <w:ind w:left="507"/>
        <w:rPr>
          <w:rFonts w:ascii="宋体" w:hAnsi="宋体" w:eastAsia="宋体" w:cs="宋体"/>
          <w:sz w:val="24"/>
          <w:szCs w:val="24"/>
        </w:rPr>
      </w:pPr>
      <w:r>
        <w:rPr>
          <w:rFonts w:ascii="宋体" w:hAnsi="宋体" w:eastAsia="宋体" w:cs="宋体"/>
          <w:spacing w:val="-3"/>
          <w:sz w:val="24"/>
          <w:szCs w:val="24"/>
        </w:rPr>
        <w:t>1.3.3 本标段的质量要求：见投标人须知前附表。</w:t>
      </w:r>
    </w:p>
    <w:p w14:paraId="6F308854">
      <w:pPr>
        <w:spacing w:before="183" w:line="219" w:lineRule="auto"/>
        <w:ind w:left="507"/>
        <w:rPr>
          <w:rFonts w:ascii="宋体" w:hAnsi="宋体" w:eastAsia="宋体" w:cs="宋体"/>
          <w:sz w:val="24"/>
          <w:szCs w:val="24"/>
        </w:rPr>
      </w:pPr>
      <w:r>
        <w:rPr>
          <w:rFonts w:ascii="宋体" w:hAnsi="宋体" w:eastAsia="宋体" w:cs="宋体"/>
          <w:spacing w:val="-3"/>
          <w:sz w:val="24"/>
          <w:szCs w:val="24"/>
        </w:rPr>
        <w:t>1.3.4 本标段的安全目标：见投标人须知前附表。</w:t>
      </w:r>
    </w:p>
    <w:p w14:paraId="7A313C5B">
      <w:pPr>
        <w:spacing w:before="183" w:line="220" w:lineRule="auto"/>
        <w:ind w:left="27"/>
        <w:rPr>
          <w:rFonts w:ascii="宋体" w:hAnsi="宋体" w:eastAsia="宋体" w:cs="宋体"/>
          <w:sz w:val="24"/>
          <w:szCs w:val="24"/>
        </w:rPr>
      </w:pPr>
      <w:r>
        <w:rPr>
          <w:rFonts w:ascii="宋体" w:hAnsi="宋体" w:eastAsia="宋体" w:cs="宋体"/>
          <w:b/>
          <w:bCs/>
          <w:spacing w:val="-4"/>
          <w:sz w:val="24"/>
          <w:szCs w:val="24"/>
        </w:rPr>
        <w:t>1.4</w:t>
      </w:r>
      <w:r>
        <w:rPr>
          <w:rFonts w:ascii="宋体" w:hAnsi="宋体" w:eastAsia="宋体" w:cs="宋体"/>
          <w:spacing w:val="-4"/>
          <w:sz w:val="24"/>
          <w:szCs w:val="24"/>
        </w:rPr>
        <w:t xml:space="preserve"> </w:t>
      </w:r>
      <w:r>
        <w:rPr>
          <w:rFonts w:ascii="宋体" w:hAnsi="宋体" w:eastAsia="宋体" w:cs="宋体"/>
          <w:b/>
          <w:bCs/>
          <w:spacing w:val="-4"/>
          <w:sz w:val="24"/>
          <w:szCs w:val="24"/>
        </w:rPr>
        <w:t>投标人资格要求（适用于未进行资格预审的）</w:t>
      </w:r>
    </w:p>
    <w:p w14:paraId="52878530">
      <w:pPr>
        <w:spacing w:before="182" w:line="219" w:lineRule="auto"/>
        <w:ind w:left="507"/>
        <w:rPr>
          <w:rFonts w:ascii="宋体" w:hAnsi="宋体" w:eastAsia="宋体" w:cs="宋体"/>
          <w:sz w:val="24"/>
          <w:szCs w:val="24"/>
        </w:rPr>
      </w:pPr>
      <w:r>
        <w:rPr>
          <w:rFonts w:ascii="宋体" w:hAnsi="宋体" w:eastAsia="宋体" w:cs="宋体"/>
          <w:spacing w:val="-2"/>
          <w:sz w:val="24"/>
          <w:szCs w:val="24"/>
        </w:rPr>
        <w:t>1.4.1 投标人应具备承担本标段施工的资质条件、能力和信誉。</w:t>
      </w:r>
    </w:p>
    <w:p w14:paraId="4F7C7088">
      <w:pPr>
        <w:spacing w:before="183" w:line="219" w:lineRule="auto"/>
        <w:ind w:left="495"/>
        <w:rPr>
          <w:rFonts w:ascii="宋体" w:hAnsi="宋体" w:eastAsia="宋体" w:cs="宋体"/>
          <w:sz w:val="24"/>
          <w:szCs w:val="24"/>
        </w:rPr>
      </w:pPr>
      <w:r>
        <w:rPr>
          <w:rFonts w:ascii="宋体" w:hAnsi="宋体" w:eastAsia="宋体" w:cs="宋体"/>
          <w:spacing w:val="-4"/>
          <w:sz w:val="24"/>
          <w:szCs w:val="24"/>
        </w:rPr>
        <w:t>（1）资质要求：见投标人须知前附表；</w:t>
      </w:r>
    </w:p>
    <w:p w14:paraId="35E91DF9">
      <w:pPr>
        <w:spacing w:before="184" w:line="219" w:lineRule="auto"/>
        <w:ind w:left="495"/>
        <w:rPr>
          <w:rFonts w:ascii="宋体" w:hAnsi="宋体" w:eastAsia="宋体" w:cs="宋体"/>
          <w:sz w:val="24"/>
          <w:szCs w:val="24"/>
        </w:rPr>
      </w:pPr>
      <w:r>
        <w:rPr>
          <w:rFonts w:ascii="宋体" w:hAnsi="宋体" w:eastAsia="宋体" w:cs="宋体"/>
          <w:spacing w:val="-4"/>
          <w:sz w:val="24"/>
          <w:szCs w:val="24"/>
        </w:rPr>
        <w:t>（2）财务要求：见投标人须知前附表；</w:t>
      </w:r>
    </w:p>
    <w:p w14:paraId="6B21E82E">
      <w:pPr>
        <w:spacing w:before="183" w:line="219" w:lineRule="auto"/>
        <w:ind w:left="495"/>
        <w:rPr>
          <w:rFonts w:ascii="宋体" w:hAnsi="宋体" w:eastAsia="宋体" w:cs="宋体"/>
          <w:sz w:val="24"/>
          <w:szCs w:val="24"/>
        </w:rPr>
      </w:pPr>
      <w:r>
        <w:rPr>
          <w:rFonts w:ascii="宋体" w:hAnsi="宋体" w:eastAsia="宋体" w:cs="宋体"/>
          <w:spacing w:val="-4"/>
          <w:sz w:val="24"/>
          <w:szCs w:val="24"/>
        </w:rPr>
        <w:t>（3）业绩要求：见投标人须知前附表；</w:t>
      </w:r>
    </w:p>
    <w:p w14:paraId="04C378EA">
      <w:pPr>
        <w:spacing w:before="183" w:line="219" w:lineRule="auto"/>
        <w:ind w:left="495"/>
        <w:rPr>
          <w:rFonts w:ascii="宋体" w:hAnsi="宋体" w:eastAsia="宋体" w:cs="宋体"/>
          <w:sz w:val="24"/>
          <w:szCs w:val="24"/>
        </w:rPr>
      </w:pPr>
      <w:r>
        <w:rPr>
          <w:rFonts w:ascii="宋体" w:hAnsi="宋体" w:eastAsia="宋体" w:cs="宋体"/>
          <w:spacing w:val="-4"/>
          <w:sz w:val="24"/>
          <w:szCs w:val="24"/>
        </w:rPr>
        <w:t>（4）信誉要求：见投标人须知前附表；</w:t>
      </w:r>
    </w:p>
    <w:p w14:paraId="37CEDCD2">
      <w:pPr>
        <w:spacing w:before="183" w:line="219" w:lineRule="auto"/>
        <w:ind w:left="495"/>
        <w:rPr>
          <w:rFonts w:ascii="宋体" w:hAnsi="宋体" w:eastAsia="宋体" w:cs="宋体"/>
          <w:sz w:val="24"/>
          <w:szCs w:val="24"/>
        </w:rPr>
      </w:pPr>
      <w:r>
        <w:rPr>
          <w:rFonts w:ascii="宋体" w:hAnsi="宋体" w:eastAsia="宋体" w:cs="宋体"/>
          <w:spacing w:val="-2"/>
          <w:sz w:val="24"/>
          <w:szCs w:val="24"/>
        </w:rPr>
        <w:t>（5）项目经理和项目总工等主要管理人员资格：见投标</w:t>
      </w:r>
      <w:r>
        <w:rPr>
          <w:rFonts w:ascii="宋体" w:hAnsi="宋体" w:eastAsia="宋体" w:cs="宋体"/>
          <w:spacing w:val="-3"/>
          <w:sz w:val="24"/>
          <w:szCs w:val="24"/>
        </w:rPr>
        <w:t>人须知前附表；</w:t>
      </w:r>
    </w:p>
    <w:p w14:paraId="57A26593">
      <w:pPr>
        <w:spacing w:before="184" w:line="219" w:lineRule="auto"/>
        <w:ind w:left="495"/>
        <w:rPr>
          <w:rFonts w:ascii="宋体" w:hAnsi="宋体" w:eastAsia="宋体" w:cs="宋体"/>
          <w:sz w:val="24"/>
          <w:szCs w:val="24"/>
        </w:rPr>
      </w:pPr>
      <w:r>
        <w:rPr>
          <w:rFonts w:ascii="宋体" w:hAnsi="宋体" w:eastAsia="宋体" w:cs="宋体"/>
          <w:spacing w:val="-3"/>
          <w:sz w:val="24"/>
          <w:szCs w:val="24"/>
        </w:rPr>
        <w:t>（6）其他要求：见投标人须知前附表。</w:t>
      </w:r>
    </w:p>
    <w:p w14:paraId="220868E3">
      <w:pPr>
        <w:spacing w:before="183" w:line="219" w:lineRule="auto"/>
        <w:ind w:left="502"/>
        <w:rPr>
          <w:rFonts w:ascii="宋体" w:hAnsi="宋体" w:eastAsia="宋体" w:cs="宋体"/>
          <w:sz w:val="24"/>
          <w:szCs w:val="24"/>
        </w:rPr>
      </w:pPr>
      <w:r>
        <w:rPr>
          <w:rFonts w:ascii="宋体" w:hAnsi="宋体" w:eastAsia="宋体" w:cs="宋体"/>
          <w:spacing w:val="-4"/>
          <w:sz w:val="24"/>
          <w:szCs w:val="24"/>
        </w:rPr>
        <w:t>需要提交的相关证明材料见本章第</w:t>
      </w:r>
      <w:r>
        <w:rPr>
          <w:rFonts w:ascii="宋体" w:hAnsi="宋体" w:eastAsia="宋体" w:cs="宋体"/>
          <w:spacing w:val="-28"/>
          <w:sz w:val="24"/>
          <w:szCs w:val="24"/>
        </w:rPr>
        <w:t xml:space="preserve"> </w:t>
      </w:r>
      <w:r>
        <w:rPr>
          <w:rFonts w:ascii="宋体" w:hAnsi="宋体" w:eastAsia="宋体" w:cs="宋体"/>
          <w:spacing w:val="-4"/>
          <w:sz w:val="24"/>
          <w:szCs w:val="24"/>
        </w:rPr>
        <w:t>3.5</w:t>
      </w:r>
      <w:r>
        <w:rPr>
          <w:rFonts w:ascii="宋体" w:hAnsi="宋体" w:eastAsia="宋体" w:cs="宋体"/>
          <w:spacing w:val="-50"/>
          <w:sz w:val="24"/>
          <w:szCs w:val="24"/>
        </w:rPr>
        <w:t xml:space="preserve"> </w:t>
      </w:r>
      <w:r>
        <w:rPr>
          <w:rFonts w:ascii="宋体" w:hAnsi="宋体" w:eastAsia="宋体" w:cs="宋体"/>
          <w:spacing w:val="-4"/>
          <w:sz w:val="24"/>
          <w:szCs w:val="24"/>
        </w:rPr>
        <w:t>款的规定。</w:t>
      </w:r>
    </w:p>
    <w:p w14:paraId="78A0E6C8">
      <w:pPr>
        <w:spacing w:before="183" w:line="219" w:lineRule="auto"/>
        <w:ind w:left="507"/>
        <w:rPr>
          <w:rFonts w:ascii="宋体" w:hAnsi="宋体" w:eastAsia="宋体" w:cs="宋体"/>
          <w:sz w:val="24"/>
          <w:szCs w:val="24"/>
        </w:rPr>
      </w:pPr>
      <w:r>
        <w:rPr>
          <w:rFonts w:ascii="宋体" w:hAnsi="宋体" w:eastAsia="宋体" w:cs="宋体"/>
          <w:spacing w:val="-2"/>
          <w:sz w:val="24"/>
          <w:szCs w:val="24"/>
        </w:rPr>
        <w:t>1.4.2 投标人须知前附表规定接受联</w:t>
      </w:r>
      <w:r>
        <w:rPr>
          <w:rFonts w:ascii="宋体" w:hAnsi="宋体" w:eastAsia="宋体" w:cs="宋体"/>
          <w:spacing w:val="-3"/>
          <w:sz w:val="24"/>
          <w:szCs w:val="24"/>
        </w:rPr>
        <w:t>合体投标的，联合体除应符合本章第</w:t>
      </w:r>
      <w:r>
        <w:rPr>
          <w:rFonts w:ascii="宋体" w:hAnsi="宋体" w:eastAsia="宋体" w:cs="宋体"/>
          <w:spacing w:val="-33"/>
          <w:sz w:val="24"/>
          <w:szCs w:val="24"/>
        </w:rPr>
        <w:t xml:space="preserve"> </w:t>
      </w:r>
      <w:r>
        <w:rPr>
          <w:rFonts w:ascii="宋体" w:hAnsi="宋体" w:eastAsia="宋体" w:cs="宋体"/>
          <w:spacing w:val="-3"/>
          <w:sz w:val="24"/>
          <w:szCs w:val="24"/>
        </w:rPr>
        <w:t>1.4.1</w:t>
      </w:r>
      <w:r>
        <w:rPr>
          <w:rFonts w:ascii="宋体" w:hAnsi="宋体" w:eastAsia="宋体" w:cs="宋体"/>
          <w:spacing w:val="-46"/>
          <w:sz w:val="24"/>
          <w:szCs w:val="24"/>
        </w:rPr>
        <w:t xml:space="preserve"> </w:t>
      </w:r>
      <w:r>
        <w:rPr>
          <w:rFonts w:ascii="宋体" w:hAnsi="宋体" w:eastAsia="宋体" w:cs="宋体"/>
          <w:spacing w:val="-3"/>
          <w:sz w:val="24"/>
          <w:szCs w:val="24"/>
        </w:rPr>
        <w:t>项</w:t>
      </w:r>
    </w:p>
    <w:p w14:paraId="177F268D">
      <w:pPr>
        <w:spacing w:line="219" w:lineRule="auto"/>
        <w:rPr>
          <w:rFonts w:ascii="宋体" w:hAnsi="宋体" w:eastAsia="宋体" w:cs="宋体"/>
          <w:sz w:val="24"/>
          <w:szCs w:val="24"/>
        </w:rPr>
        <w:sectPr>
          <w:headerReference r:id="rId15" w:type="default"/>
          <w:footerReference r:id="rId16" w:type="default"/>
          <w:pgSz w:w="11905" w:h="16840"/>
          <w:pgMar w:top="1182" w:right="1305" w:bottom="1171" w:left="1416" w:header="849" w:footer="937" w:gutter="0"/>
          <w:pgNumType w:fmt="decimal"/>
          <w:cols w:space="720" w:num="1"/>
        </w:sectPr>
      </w:pPr>
    </w:p>
    <w:p w14:paraId="5DEB48F7">
      <w:pPr>
        <w:pStyle w:val="2"/>
        <w:spacing w:line="267" w:lineRule="auto"/>
      </w:pPr>
    </w:p>
    <w:p w14:paraId="20B92A92">
      <w:pPr>
        <w:spacing w:before="78" w:line="219" w:lineRule="auto"/>
        <w:ind w:left="10"/>
        <w:rPr>
          <w:rFonts w:ascii="宋体" w:hAnsi="宋体" w:eastAsia="宋体" w:cs="宋体"/>
          <w:sz w:val="24"/>
          <w:szCs w:val="24"/>
        </w:rPr>
      </w:pPr>
      <w:r>
        <w:rPr>
          <w:rFonts w:ascii="宋体" w:hAnsi="宋体" w:eastAsia="宋体" w:cs="宋体"/>
          <w:spacing w:val="-3"/>
          <w:sz w:val="24"/>
          <w:szCs w:val="24"/>
        </w:rPr>
        <w:t>和投标人须知前附表的要求外，还应遵守以下规定：</w:t>
      </w:r>
    </w:p>
    <w:p w14:paraId="2DE7DBA3">
      <w:pPr>
        <w:spacing w:before="183" w:line="360" w:lineRule="auto"/>
        <w:ind w:left="10" w:right="11" w:firstLine="485"/>
        <w:rPr>
          <w:rFonts w:ascii="宋体" w:hAnsi="宋体" w:eastAsia="宋体" w:cs="宋体"/>
          <w:sz w:val="24"/>
          <w:szCs w:val="24"/>
        </w:rPr>
      </w:pPr>
      <w:r>
        <w:rPr>
          <w:rFonts w:ascii="宋体" w:hAnsi="宋体" w:eastAsia="宋体" w:cs="宋体"/>
          <w:spacing w:val="1"/>
          <w:sz w:val="24"/>
          <w:szCs w:val="24"/>
        </w:rPr>
        <w:t>（1）联合体各方应按招标文件提供的格式签订联合体协议书，明确联合体牵头人</w:t>
      </w:r>
      <w:r>
        <w:rPr>
          <w:rFonts w:ascii="宋体" w:hAnsi="宋体" w:eastAsia="宋体" w:cs="宋体"/>
          <w:spacing w:val="-3"/>
          <w:sz w:val="24"/>
          <w:szCs w:val="24"/>
        </w:rPr>
        <w:t>和各方权利义务，并承诺就中标项目向招标人承担连带责任；</w:t>
      </w:r>
    </w:p>
    <w:p w14:paraId="7A8B1B6F">
      <w:pPr>
        <w:spacing w:line="219" w:lineRule="auto"/>
        <w:ind w:left="495"/>
        <w:rPr>
          <w:rFonts w:ascii="宋体" w:hAnsi="宋体" w:eastAsia="宋体" w:cs="宋体"/>
          <w:sz w:val="24"/>
          <w:szCs w:val="24"/>
        </w:rPr>
      </w:pPr>
      <w:r>
        <w:rPr>
          <w:rFonts w:ascii="宋体" w:hAnsi="宋体" w:eastAsia="宋体" w:cs="宋体"/>
          <w:spacing w:val="-2"/>
          <w:sz w:val="24"/>
          <w:szCs w:val="24"/>
        </w:rPr>
        <w:t>（2）由同一专业的单位组成的联合体，按照资质等级较低的单位确定资质等级；</w:t>
      </w:r>
    </w:p>
    <w:p w14:paraId="6F89C8BA">
      <w:pPr>
        <w:spacing w:before="182" w:line="220" w:lineRule="auto"/>
        <w:ind w:left="495"/>
        <w:rPr>
          <w:rFonts w:ascii="宋体" w:hAnsi="宋体" w:eastAsia="宋体" w:cs="宋体"/>
          <w:sz w:val="24"/>
          <w:szCs w:val="24"/>
        </w:rPr>
      </w:pPr>
      <w:r>
        <w:rPr>
          <w:rFonts w:ascii="宋体" w:hAnsi="宋体" w:eastAsia="宋体" w:cs="宋体"/>
          <w:spacing w:val="-2"/>
          <w:sz w:val="24"/>
          <w:szCs w:val="24"/>
        </w:rPr>
        <w:t>（3）联合体各方不得再以自己名义单独或参加其他联合体在同一标段中投标；</w:t>
      </w:r>
    </w:p>
    <w:p w14:paraId="61510FCE">
      <w:pPr>
        <w:spacing w:before="182" w:line="360" w:lineRule="auto"/>
        <w:ind w:left="11" w:firstLine="484"/>
        <w:rPr>
          <w:rFonts w:ascii="宋体" w:hAnsi="宋体" w:eastAsia="宋体" w:cs="宋体"/>
          <w:sz w:val="24"/>
          <w:szCs w:val="24"/>
        </w:rPr>
      </w:pPr>
      <w:r>
        <w:rPr>
          <w:rFonts w:ascii="宋体" w:hAnsi="宋体" w:eastAsia="宋体" w:cs="宋体"/>
          <w:spacing w:val="1"/>
          <w:sz w:val="24"/>
          <w:szCs w:val="24"/>
        </w:rPr>
        <w:t>（4）联合体各方应分别按照本招标文件的要求，填写投标文件中的相应表格，并</w:t>
      </w:r>
      <w:r>
        <w:rPr>
          <w:rFonts w:ascii="宋体" w:hAnsi="宋体" w:eastAsia="宋体" w:cs="宋体"/>
          <w:spacing w:val="-2"/>
          <w:sz w:val="24"/>
          <w:szCs w:val="24"/>
        </w:rPr>
        <w:t>由联合体牵头人负责对联合体各成员的资料进行统一汇总后一并提交给招标人；联合体牵头人所提交的投标文件应认为已代表了联合体各成</w:t>
      </w:r>
      <w:r>
        <w:rPr>
          <w:rFonts w:ascii="宋体" w:hAnsi="宋体" w:eastAsia="宋体" w:cs="宋体"/>
          <w:spacing w:val="-3"/>
          <w:sz w:val="24"/>
          <w:szCs w:val="24"/>
        </w:rPr>
        <w:t>员的真实情况；</w:t>
      </w:r>
    </w:p>
    <w:p w14:paraId="4B3E51A0">
      <w:pPr>
        <w:spacing w:before="3" w:line="359" w:lineRule="auto"/>
        <w:ind w:left="10" w:right="11" w:firstLine="485"/>
        <w:rPr>
          <w:rFonts w:ascii="宋体" w:hAnsi="宋体" w:eastAsia="宋体" w:cs="宋体"/>
          <w:sz w:val="24"/>
          <w:szCs w:val="24"/>
        </w:rPr>
      </w:pPr>
      <w:r>
        <w:rPr>
          <w:rFonts w:ascii="宋体" w:hAnsi="宋体" w:eastAsia="宋体" w:cs="宋体"/>
          <w:spacing w:val="1"/>
          <w:sz w:val="24"/>
          <w:szCs w:val="24"/>
        </w:rPr>
        <w:t>（5）联合体各成员在投标、签订合同与履行合同过程中，仍负有连带的和各自的</w:t>
      </w:r>
      <w:r>
        <w:rPr>
          <w:rFonts w:ascii="宋体" w:hAnsi="宋体" w:eastAsia="宋体" w:cs="宋体"/>
          <w:spacing w:val="-8"/>
          <w:sz w:val="24"/>
          <w:szCs w:val="24"/>
        </w:rPr>
        <w:t>法律责任。</w:t>
      </w:r>
    </w:p>
    <w:p w14:paraId="2A90C5B7">
      <w:pPr>
        <w:spacing w:before="1" w:line="218" w:lineRule="auto"/>
        <w:ind w:left="507"/>
        <w:rPr>
          <w:rFonts w:ascii="宋体" w:hAnsi="宋体" w:eastAsia="宋体" w:cs="宋体"/>
          <w:sz w:val="24"/>
          <w:szCs w:val="24"/>
        </w:rPr>
      </w:pPr>
      <w:r>
        <w:rPr>
          <w:rFonts w:ascii="宋体" w:hAnsi="宋体" w:eastAsia="宋体" w:cs="宋体"/>
          <w:spacing w:val="-2"/>
          <w:sz w:val="24"/>
          <w:szCs w:val="24"/>
        </w:rPr>
        <w:t>1.4.3 投标人（包括联合体各成员）不得与本标段相关单位存在下</w:t>
      </w:r>
      <w:r>
        <w:rPr>
          <w:rFonts w:ascii="宋体" w:hAnsi="宋体" w:eastAsia="宋体" w:cs="宋体"/>
          <w:spacing w:val="-3"/>
          <w:sz w:val="24"/>
          <w:szCs w:val="24"/>
        </w:rPr>
        <w:t>列关联关系：</w:t>
      </w:r>
    </w:p>
    <w:p w14:paraId="05FEDCEE">
      <w:pPr>
        <w:spacing w:before="183" w:line="219" w:lineRule="auto"/>
        <w:ind w:left="495"/>
        <w:rPr>
          <w:rFonts w:ascii="宋体" w:hAnsi="宋体" w:eastAsia="宋体" w:cs="宋体"/>
          <w:sz w:val="24"/>
          <w:szCs w:val="24"/>
        </w:rPr>
      </w:pPr>
      <w:r>
        <w:rPr>
          <w:rFonts w:ascii="宋体" w:hAnsi="宋体" w:eastAsia="宋体" w:cs="宋体"/>
          <w:spacing w:val="-3"/>
          <w:sz w:val="24"/>
          <w:szCs w:val="24"/>
        </w:rPr>
        <w:t>（1）为招标人不具有独立法人资格的附属机构（单位</w:t>
      </w:r>
      <w:r>
        <w:rPr>
          <w:rFonts w:ascii="宋体" w:hAnsi="宋体" w:eastAsia="宋体" w:cs="宋体"/>
          <w:sz w:val="24"/>
          <w:szCs w:val="24"/>
        </w:rPr>
        <w:t>）；</w:t>
      </w:r>
    </w:p>
    <w:p w14:paraId="4FC2410A">
      <w:pPr>
        <w:spacing w:before="183" w:line="220" w:lineRule="auto"/>
        <w:ind w:left="495"/>
        <w:rPr>
          <w:rFonts w:ascii="宋体" w:hAnsi="宋体" w:eastAsia="宋体" w:cs="宋体"/>
          <w:sz w:val="24"/>
          <w:szCs w:val="24"/>
        </w:rPr>
      </w:pPr>
      <w:r>
        <w:rPr>
          <w:rFonts w:ascii="宋体" w:hAnsi="宋体" w:eastAsia="宋体" w:cs="宋体"/>
          <w:spacing w:val="-3"/>
          <w:sz w:val="24"/>
          <w:szCs w:val="24"/>
        </w:rPr>
        <w:t>（2）与招标人存在利害关系且可能影响招标公正性；</w:t>
      </w:r>
    </w:p>
    <w:p w14:paraId="4F86821A">
      <w:pPr>
        <w:spacing w:before="182" w:line="219" w:lineRule="auto"/>
        <w:ind w:left="495"/>
        <w:rPr>
          <w:rFonts w:ascii="宋体" w:hAnsi="宋体" w:eastAsia="宋体" w:cs="宋体"/>
          <w:sz w:val="24"/>
          <w:szCs w:val="24"/>
        </w:rPr>
      </w:pPr>
      <w:r>
        <w:rPr>
          <w:rFonts w:ascii="宋体" w:hAnsi="宋体" w:eastAsia="宋体" w:cs="宋体"/>
          <w:spacing w:val="-3"/>
          <w:sz w:val="24"/>
          <w:szCs w:val="24"/>
        </w:rPr>
        <w:t>（3）与本标段的其他投标人同为一个单位负责人；</w:t>
      </w:r>
    </w:p>
    <w:p w14:paraId="54637E44">
      <w:pPr>
        <w:spacing w:before="184" w:line="219" w:lineRule="auto"/>
        <w:ind w:left="495"/>
        <w:rPr>
          <w:rFonts w:ascii="宋体" w:hAnsi="宋体" w:eastAsia="宋体" w:cs="宋体"/>
          <w:sz w:val="24"/>
          <w:szCs w:val="24"/>
        </w:rPr>
      </w:pPr>
      <w:r>
        <w:rPr>
          <w:rFonts w:ascii="宋体" w:hAnsi="宋体" w:eastAsia="宋体" w:cs="宋体"/>
          <w:spacing w:val="-3"/>
          <w:sz w:val="24"/>
          <w:szCs w:val="24"/>
        </w:rPr>
        <w:t>（4）与本标段的其他投标人存在控股、管理关系；</w:t>
      </w:r>
    </w:p>
    <w:p w14:paraId="4B180C94">
      <w:pPr>
        <w:spacing w:before="183" w:line="219" w:lineRule="auto"/>
        <w:ind w:left="495"/>
        <w:rPr>
          <w:rFonts w:ascii="宋体" w:hAnsi="宋体" w:eastAsia="宋体" w:cs="宋体"/>
          <w:sz w:val="24"/>
          <w:szCs w:val="24"/>
        </w:rPr>
      </w:pPr>
      <w:r>
        <w:rPr>
          <w:rFonts w:ascii="宋体" w:hAnsi="宋体" w:eastAsia="宋体" w:cs="宋体"/>
          <w:spacing w:val="-2"/>
          <w:sz w:val="24"/>
          <w:szCs w:val="24"/>
        </w:rPr>
        <w:t>（5）为本标段前期准备提供设计或咨询服务的法人或其任何附属机构（单位）；</w:t>
      </w:r>
    </w:p>
    <w:p w14:paraId="08C175CA">
      <w:pPr>
        <w:spacing w:before="183" w:line="219" w:lineRule="auto"/>
        <w:ind w:left="495"/>
        <w:rPr>
          <w:rFonts w:ascii="宋体" w:hAnsi="宋体" w:eastAsia="宋体" w:cs="宋体"/>
          <w:sz w:val="24"/>
          <w:szCs w:val="24"/>
        </w:rPr>
      </w:pPr>
      <w:r>
        <w:rPr>
          <w:rFonts w:ascii="宋体" w:hAnsi="宋体" w:eastAsia="宋体" w:cs="宋体"/>
          <w:spacing w:val="-6"/>
          <w:sz w:val="24"/>
          <w:szCs w:val="24"/>
        </w:rPr>
        <w:t>（6）为本标段的监理人；</w:t>
      </w:r>
    </w:p>
    <w:p w14:paraId="382FA0E8">
      <w:pPr>
        <w:spacing w:before="184" w:line="219" w:lineRule="auto"/>
        <w:ind w:left="495"/>
        <w:rPr>
          <w:rFonts w:ascii="宋体" w:hAnsi="宋体" w:eastAsia="宋体" w:cs="宋体"/>
          <w:sz w:val="24"/>
          <w:szCs w:val="24"/>
        </w:rPr>
      </w:pPr>
      <w:r>
        <w:rPr>
          <w:rFonts w:ascii="宋体" w:hAnsi="宋体" w:eastAsia="宋体" w:cs="宋体"/>
          <w:spacing w:val="-6"/>
          <w:sz w:val="24"/>
          <w:szCs w:val="24"/>
        </w:rPr>
        <w:t>（7）为本标段的代建人；</w:t>
      </w:r>
    </w:p>
    <w:p w14:paraId="01D25517">
      <w:pPr>
        <w:spacing w:before="183" w:line="219" w:lineRule="auto"/>
        <w:ind w:left="495"/>
        <w:rPr>
          <w:rFonts w:ascii="宋体" w:hAnsi="宋体" w:eastAsia="宋体" w:cs="宋体"/>
          <w:sz w:val="24"/>
          <w:szCs w:val="24"/>
        </w:rPr>
      </w:pPr>
      <w:r>
        <w:rPr>
          <w:rFonts w:ascii="宋体" w:hAnsi="宋体" w:eastAsia="宋体" w:cs="宋体"/>
          <w:spacing w:val="-5"/>
          <w:sz w:val="24"/>
          <w:szCs w:val="24"/>
        </w:rPr>
        <w:t>（8）为本标段的招标代理机构；</w:t>
      </w:r>
    </w:p>
    <w:p w14:paraId="431159C8">
      <w:pPr>
        <w:spacing w:before="183" w:line="219" w:lineRule="auto"/>
        <w:ind w:left="495"/>
        <w:rPr>
          <w:rFonts w:ascii="宋体" w:hAnsi="宋体" w:eastAsia="宋体" w:cs="宋体"/>
          <w:sz w:val="24"/>
          <w:szCs w:val="24"/>
        </w:rPr>
      </w:pPr>
      <w:r>
        <w:rPr>
          <w:rFonts w:ascii="宋体" w:hAnsi="宋体" w:eastAsia="宋体" w:cs="宋体"/>
          <w:spacing w:val="-2"/>
          <w:sz w:val="24"/>
          <w:szCs w:val="24"/>
        </w:rPr>
        <w:t>（9）与本标段的监理人或代建人或招标代理机构同为一个法定代表人；</w:t>
      </w:r>
    </w:p>
    <w:p w14:paraId="671C076F">
      <w:pPr>
        <w:spacing w:before="184" w:line="219" w:lineRule="auto"/>
        <w:ind w:left="495"/>
        <w:rPr>
          <w:rFonts w:ascii="宋体" w:hAnsi="宋体" w:eastAsia="宋体" w:cs="宋体"/>
          <w:sz w:val="24"/>
          <w:szCs w:val="24"/>
        </w:rPr>
      </w:pPr>
      <w:r>
        <w:rPr>
          <w:rFonts w:ascii="宋体" w:hAnsi="宋体" w:eastAsia="宋体" w:cs="宋体"/>
          <w:spacing w:val="-2"/>
          <w:sz w:val="24"/>
          <w:szCs w:val="24"/>
        </w:rPr>
        <w:t>（10）与本标段的监理人或代建人或招标代理机构存在控股或</w:t>
      </w:r>
      <w:r>
        <w:rPr>
          <w:rFonts w:ascii="宋体" w:hAnsi="宋体" w:eastAsia="宋体" w:cs="宋体"/>
          <w:spacing w:val="-3"/>
          <w:sz w:val="24"/>
          <w:szCs w:val="24"/>
        </w:rPr>
        <w:t>参股关系；</w:t>
      </w:r>
    </w:p>
    <w:p w14:paraId="09F439C0">
      <w:pPr>
        <w:spacing w:before="183" w:line="219" w:lineRule="auto"/>
        <w:ind w:left="495"/>
        <w:rPr>
          <w:rFonts w:ascii="宋体" w:hAnsi="宋体" w:eastAsia="宋体" w:cs="宋体"/>
          <w:sz w:val="24"/>
          <w:szCs w:val="24"/>
        </w:rPr>
      </w:pPr>
      <w:r>
        <w:rPr>
          <w:rFonts w:ascii="宋体" w:hAnsi="宋体" w:eastAsia="宋体" w:cs="宋体"/>
          <w:spacing w:val="-2"/>
          <w:sz w:val="24"/>
          <w:szCs w:val="24"/>
        </w:rPr>
        <w:t>（11）法律法规或投标人须知前附表规定的其他情形。</w:t>
      </w:r>
    </w:p>
    <w:p w14:paraId="2B8D5EF1">
      <w:pPr>
        <w:spacing w:before="183" w:line="220" w:lineRule="auto"/>
        <w:ind w:left="507"/>
        <w:rPr>
          <w:rFonts w:ascii="宋体" w:hAnsi="宋体" w:eastAsia="宋体" w:cs="宋体"/>
          <w:sz w:val="24"/>
          <w:szCs w:val="24"/>
        </w:rPr>
      </w:pPr>
      <w:r>
        <w:rPr>
          <w:rFonts w:ascii="宋体" w:hAnsi="宋体" w:eastAsia="宋体" w:cs="宋体"/>
          <w:spacing w:val="-2"/>
          <w:sz w:val="24"/>
          <w:szCs w:val="24"/>
        </w:rPr>
        <w:t>1.4.4 投标人（包括联合体各成员）不得存在下列不良状况</w:t>
      </w:r>
      <w:r>
        <w:rPr>
          <w:rFonts w:ascii="宋体" w:hAnsi="宋体" w:eastAsia="宋体" w:cs="宋体"/>
          <w:spacing w:val="-3"/>
          <w:sz w:val="24"/>
          <w:szCs w:val="24"/>
        </w:rPr>
        <w:t>或不良信用记录：</w:t>
      </w:r>
    </w:p>
    <w:p w14:paraId="1068918B">
      <w:pPr>
        <w:spacing w:before="182" w:line="360" w:lineRule="auto"/>
        <w:ind w:left="12" w:right="11" w:firstLine="483"/>
        <w:rPr>
          <w:rFonts w:ascii="宋体" w:hAnsi="宋体" w:eastAsia="宋体" w:cs="宋体"/>
          <w:sz w:val="24"/>
          <w:szCs w:val="24"/>
        </w:rPr>
      </w:pPr>
      <w:r>
        <w:rPr>
          <w:rFonts w:ascii="宋体" w:hAnsi="宋体" w:eastAsia="宋体" w:cs="宋体"/>
          <w:spacing w:val="1"/>
          <w:sz w:val="24"/>
          <w:szCs w:val="24"/>
        </w:rPr>
        <w:t>（1）被省级及以上交通运输主管部门取消招标项目所在地的投标资格且处于有效</w:t>
      </w:r>
      <w:r>
        <w:rPr>
          <w:rFonts w:ascii="宋体" w:hAnsi="宋体" w:eastAsia="宋体" w:cs="宋体"/>
          <w:spacing w:val="-16"/>
          <w:sz w:val="24"/>
          <w:szCs w:val="24"/>
        </w:rPr>
        <w:t>期内；</w:t>
      </w:r>
    </w:p>
    <w:p w14:paraId="52FF2FDB">
      <w:pPr>
        <w:spacing w:before="1" w:line="218" w:lineRule="auto"/>
        <w:ind w:left="495"/>
        <w:rPr>
          <w:rFonts w:ascii="宋体" w:hAnsi="宋体" w:eastAsia="宋体" w:cs="宋体"/>
          <w:sz w:val="24"/>
          <w:szCs w:val="24"/>
        </w:rPr>
      </w:pPr>
      <w:r>
        <w:rPr>
          <w:rFonts w:ascii="宋体" w:hAnsi="宋体" w:eastAsia="宋体" w:cs="宋体"/>
          <w:spacing w:val="-3"/>
          <w:sz w:val="24"/>
          <w:szCs w:val="24"/>
        </w:rPr>
        <w:t>（2）被责令停业，暂扣或吊销执照，或吊销资质证书；</w:t>
      </w:r>
    </w:p>
    <w:p w14:paraId="350763FE">
      <w:pPr>
        <w:spacing w:before="184" w:line="218" w:lineRule="auto"/>
        <w:ind w:left="495"/>
        <w:rPr>
          <w:rFonts w:ascii="宋体" w:hAnsi="宋体" w:eastAsia="宋体" w:cs="宋体"/>
          <w:sz w:val="24"/>
          <w:szCs w:val="24"/>
        </w:rPr>
      </w:pPr>
      <w:r>
        <w:rPr>
          <w:rFonts w:ascii="宋体" w:hAnsi="宋体" w:eastAsia="宋体" w:cs="宋体"/>
          <w:spacing w:val="-2"/>
          <w:sz w:val="24"/>
          <w:szCs w:val="24"/>
        </w:rPr>
        <w:t>（3）进入清算程序，或被宣告破产，或其</w:t>
      </w:r>
      <w:r>
        <w:rPr>
          <w:rFonts w:ascii="宋体" w:hAnsi="宋体" w:eastAsia="宋体" w:cs="宋体"/>
          <w:spacing w:val="-3"/>
          <w:sz w:val="24"/>
          <w:szCs w:val="24"/>
        </w:rPr>
        <w:t>他丧失履约能力的情形；</w:t>
      </w:r>
    </w:p>
    <w:p w14:paraId="73FDD553">
      <w:pPr>
        <w:spacing w:before="184" w:line="220" w:lineRule="auto"/>
        <w:ind w:left="495"/>
        <w:rPr>
          <w:rFonts w:ascii="宋体" w:hAnsi="宋体" w:eastAsia="宋体" w:cs="宋体"/>
          <w:sz w:val="24"/>
          <w:szCs w:val="24"/>
        </w:rPr>
      </w:pPr>
      <w:r>
        <w:rPr>
          <w:rFonts w:ascii="宋体" w:hAnsi="宋体" w:eastAsia="宋体" w:cs="宋体"/>
          <w:spacing w:val="-2"/>
          <w:sz w:val="24"/>
          <w:szCs w:val="24"/>
        </w:rPr>
        <w:t>（4）在国家企业信用信息公示系统中被列入严重</w:t>
      </w:r>
      <w:r>
        <w:rPr>
          <w:rFonts w:ascii="宋体" w:hAnsi="宋体" w:eastAsia="宋体" w:cs="宋体"/>
          <w:spacing w:val="-3"/>
          <w:sz w:val="24"/>
          <w:szCs w:val="24"/>
        </w:rPr>
        <w:t>违法失信企业名单；</w:t>
      </w:r>
    </w:p>
    <w:p w14:paraId="7F308F5F">
      <w:pPr>
        <w:spacing w:before="182" w:line="220" w:lineRule="auto"/>
        <w:ind w:left="495"/>
        <w:rPr>
          <w:rFonts w:ascii="宋体" w:hAnsi="宋体" w:eastAsia="宋体" w:cs="宋体"/>
          <w:sz w:val="24"/>
          <w:szCs w:val="24"/>
        </w:rPr>
      </w:pPr>
      <w:r>
        <w:rPr>
          <w:rFonts w:ascii="宋体" w:hAnsi="宋体" w:eastAsia="宋体" w:cs="宋体"/>
          <w:spacing w:val="-3"/>
          <w:sz w:val="24"/>
          <w:szCs w:val="24"/>
        </w:rPr>
        <w:t>（5）在“信用中国”网站中被列入失信被执行人名单；</w:t>
      </w:r>
    </w:p>
    <w:p w14:paraId="6DDA3909">
      <w:pPr>
        <w:spacing w:before="182" w:line="219" w:lineRule="auto"/>
        <w:ind w:right="11"/>
        <w:jc w:val="right"/>
        <w:rPr>
          <w:rFonts w:ascii="宋体" w:hAnsi="宋体" w:eastAsia="宋体" w:cs="宋体"/>
          <w:sz w:val="24"/>
          <w:szCs w:val="24"/>
        </w:rPr>
      </w:pPr>
      <w:r>
        <w:rPr>
          <w:rFonts w:ascii="宋体" w:hAnsi="宋体" w:eastAsia="宋体" w:cs="宋体"/>
          <w:spacing w:val="1"/>
          <w:sz w:val="24"/>
          <w:szCs w:val="24"/>
        </w:rPr>
        <w:t>（6）投标人及其法定代表人、拟委任的项目经理（含备选人，如有）、项目总工</w:t>
      </w:r>
    </w:p>
    <w:p w14:paraId="530C1D1F">
      <w:pPr>
        <w:spacing w:line="219" w:lineRule="auto"/>
        <w:rPr>
          <w:rFonts w:ascii="宋体" w:hAnsi="宋体" w:eastAsia="宋体" w:cs="宋体"/>
          <w:sz w:val="24"/>
          <w:szCs w:val="24"/>
        </w:rPr>
        <w:sectPr>
          <w:footerReference r:id="rId17" w:type="default"/>
          <w:pgSz w:w="11905" w:h="16840"/>
          <w:pgMar w:top="1182" w:right="1416" w:bottom="1171" w:left="1416" w:header="849" w:footer="937" w:gutter="0"/>
          <w:pgNumType w:fmt="decimal"/>
          <w:cols w:space="720" w:num="1"/>
        </w:sectPr>
      </w:pPr>
    </w:p>
    <w:p w14:paraId="638A8C06">
      <w:pPr>
        <w:pStyle w:val="2"/>
        <w:spacing w:line="267" w:lineRule="auto"/>
      </w:pPr>
    </w:p>
    <w:p w14:paraId="7C7177B3">
      <w:pPr>
        <w:spacing w:before="78" w:line="220" w:lineRule="auto"/>
        <w:ind w:left="15"/>
        <w:rPr>
          <w:rFonts w:ascii="宋体" w:hAnsi="宋体" w:eastAsia="宋体" w:cs="宋体"/>
          <w:sz w:val="24"/>
          <w:szCs w:val="24"/>
        </w:rPr>
      </w:pPr>
      <w:r>
        <w:rPr>
          <w:rFonts w:ascii="宋体" w:hAnsi="宋体" w:eastAsia="宋体" w:cs="宋体"/>
          <w:spacing w:val="-3"/>
          <w:sz w:val="24"/>
          <w:szCs w:val="24"/>
        </w:rPr>
        <w:t>（含备选人，如有）在近三年内有行贿犯罪行为的；</w:t>
      </w:r>
    </w:p>
    <w:p w14:paraId="0C9D63D7">
      <w:pPr>
        <w:spacing w:before="182" w:line="219" w:lineRule="auto"/>
        <w:ind w:left="495"/>
        <w:rPr>
          <w:rFonts w:ascii="宋体" w:hAnsi="宋体" w:eastAsia="宋体" w:cs="宋体"/>
          <w:sz w:val="24"/>
          <w:szCs w:val="24"/>
        </w:rPr>
      </w:pPr>
      <w:r>
        <w:rPr>
          <w:rFonts w:ascii="宋体" w:hAnsi="宋体" w:eastAsia="宋体" w:cs="宋体"/>
          <w:spacing w:val="-2"/>
          <w:sz w:val="24"/>
          <w:szCs w:val="24"/>
        </w:rPr>
        <w:t>（7）法律法规或投标人须知前附表规定的其他情</w:t>
      </w:r>
      <w:r>
        <w:rPr>
          <w:rFonts w:ascii="宋体" w:hAnsi="宋体" w:eastAsia="宋体" w:cs="宋体"/>
          <w:spacing w:val="-3"/>
          <w:sz w:val="24"/>
          <w:szCs w:val="24"/>
        </w:rPr>
        <w:t>形。</w:t>
      </w:r>
    </w:p>
    <w:p w14:paraId="45863484">
      <w:pPr>
        <w:spacing w:before="183" w:line="360" w:lineRule="auto"/>
        <w:ind w:left="12" w:right="13" w:firstLine="494"/>
        <w:jc w:val="both"/>
        <w:rPr>
          <w:rFonts w:hint="eastAsia" w:ascii="宋体" w:hAnsi="宋体" w:eastAsia="宋体" w:cs="宋体"/>
          <w:sz w:val="12"/>
          <w:szCs w:val="12"/>
          <w:lang w:eastAsia="zh-CN"/>
        </w:rPr>
      </w:pPr>
      <w:r>
        <w:rPr>
          <w:rFonts w:ascii="宋体" w:hAnsi="宋体" w:eastAsia="宋体" w:cs="宋体"/>
          <w:spacing w:val="-2"/>
          <w:sz w:val="24"/>
          <w:szCs w:val="24"/>
        </w:rPr>
        <w:t>1.4.5 投标人（包括联合体各成员）应进入交通运输部“全国公路建设市场监督管理查询系统”中的公路工程施工资质企业名录，且投标人名称和资质与该名录中的相应</w:t>
      </w:r>
      <w:r>
        <w:rPr>
          <w:rFonts w:ascii="宋体" w:hAnsi="宋体" w:eastAsia="宋体" w:cs="宋体"/>
          <w:sz w:val="24"/>
          <w:szCs w:val="24"/>
        </w:rPr>
        <w:t>企业名称和资质完全一致。投标人不满足本项规定条件</w:t>
      </w:r>
      <w:r>
        <w:rPr>
          <w:rFonts w:ascii="宋体" w:hAnsi="宋体" w:eastAsia="宋体" w:cs="宋体"/>
          <w:spacing w:val="-1"/>
          <w:sz w:val="24"/>
          <w:szCs w:val="24"/>
        </w:rPr>
        <w:t>的，将被否决投标。</w:t>
      </w:r>
    </w:p>
    <w:p w14:paraId="25BE3AA1">
      <w:pPr>
        <w:spacing w:line="219" w:lineRule="auto"/>
        <w:ind w:left="27"/>
        <w:rPr>
          <w:rFonts w:ascii="宋体" w:hAnsi="宋体" w:eastAsia="宋体" w:cs="宋体"/>
          <w:sz w:val="24"/>
          <w:szCs w:val="24"/>
        </w:rPr>
      </w:pPr>
      <w:r>
        <w:rPr>
          <w:rFonts w:ascii="宋体" w:hAnsi="宋体" w:eastAsia="宋体" w:cs="宋体"/>
          <w:b/>
          <w:bCs/>
          <w:spacing w:val="-9"/>
          <w:sz w:val="24"/>
          <w:szCs w:val="24"/>
        </w:rPr>
        <w:t>1.5</w:t>
      </w:r>
      <w:r>
        <w:rPr>
          <w:rFonts w:ascii="宋体" w:hAnsi="宋体" w:eastAsia="宋体" w:cs="宋体"/>
          <w:spacing w:val="25"/>
          <w:sz w:val="24"/>
          <w:szCs w:val="24"/>
        </w:rPr>
        <w:t xml:space="preserve"> </w:t>
      </w:r>
      <w:r>
        <w:rPr>
          <w:rFonts w:ascii="宋体" w:hAnsi="宋体" w:eastAsia="宋体" w:cs="宋体"/>
          <w:b/>
          <w:bCs/>
          <w:spacing w:val="-9"/>
          <w:sz w:val="24"/>
          <w:szCs w:val="24"/>
        </w:rPr>
        <w:t>费用承担</w:t>
      </w:r>
    </w:p>
    <w:p w14:paraId="31C0BCB1">
      <w:pPr>
        <w:spacing w:before="183" w:line="220" w:lineRule="auto"/>
        <w:ind w:left="492"/>
        <w:rPr>
          <w:rFonts w:ascii="宋体" w:hAnsi="宋体" w:eastAsia="宋体" w:cs="宋体"/>
          <w:sz w:val="24"/>
          <w:szCs w:val="24"/>
        </w:rPr>
      </w:pPr>
      <w:r>
        <w:rPr>
          <w:rFonts w:ascii="宋体" w:hAnsi="宋体" w:eastAsia="宋体" w:cs="宋体"/>
          <w:spacing w:val="-3"/>
          <w:sz w:val="24"/>
          <w:szCs w:val="24"/>
        </w:rPr>
        <w:t>投标人准备和参加投标活动发生的费用自理。</w:t>
      </w:r>
    </w:p>
    <w:p w14:paraId="0277D200">
      <w:pPr>
        <w:spacing w:before="182" w:line="220" w:lineRule="auto"/>
        <w:ind w:left="27"/>
        <w:rPr>
          <w:rFonts w:ascii="宋体" w:hAnsi="宋体" w:eastAsia="宋体" w:cs="宋体"/>
          <w:sz w:val="24"/>
          <w:szCs w:val="24"/>
        </w:rPr>
      </w:pPr>
      <w:r>
        <w:rPr>
          <w:rFonts w:ascii="宋体" w:hAnsi="宋体" w:eastAsia="宋体" w:cs="宋体"/>
          <w:b/>
          <w:bCs/>
          <w:spacing w:val="-9"/>
          <w:sz w:val="24"/>
          <w:szCs w:val="24"/>
        </w:rPr>
        <w:t>1.6</w:t>
      </w:r>
      <w:r>
        <w:rPr>
          <w:rFonts w:ascii="宋体" w:hAnsi="宋体" w:eastAsia="宋体" w:cs="宋体"/>
          <w:spacing w:val="12"/>
          <w:sz w:val="24"/>
          <w:szCs w:val="24"/>
        </w:rPr>
        <w:t xml:space="preserve"> </w:t>
      </w:r>
      <w:r>
        <w:rPr>
          <w:rFonts w:ascii="宋体" w:hAnsi="宋体" w:eastAsia="宋体" w:cs="宋体"/>
          <w:b/>
          <w:bCs/>
          <w:spacing w:val="-9"/>
          <w:sz w:val="24"/>
          <w:szCs w:val="24"/>
        </w:rPr>
        <w:t>保密</w:t>
      </w:r>
    </w:p>
    <w:p w14:paraId="709189EA">
      <w:pPr>
        <w:spacing w:before="181" w:line="360" w:lineRule="auto"/>
        <w:ind w:left="14" w:right="13" w:firstLine="477"/>
        <w:rPr>
          <w:rFonts w:ascii="宋体" w:hAnsi="宋体" w:eastAsia="宋体" w:cs="宋体"/>
          <w:sz w:val="24"/>
          <w:szCs w:val="24"/>
        </w:rPr>
      </w:pPr>
      <w:r>
        <w:rPr>
          <w:rFonts w:ascii="宋体" w:hAnsi="宋体" w:eastAsia="宋体" w:cs="宋体"/>
          <w:spacing w:val="-2"/>
          <w:sz w:val="24"/>
          <w:szCs w:val="24"/>
        </w:rPr>
        <w:t>参与招标投标活动的各方应对招标文件和投标文件中的商业和技术等秘密保密，否</w:t>
      </w:r>
      <w:r>
        <w:rPr>
          <w:rFonts w:ascii="宋体" w:hAnsi="宋体" w:eastAsia="宋体" w:cs="宋体"/>
          <w:spacing w:val="-4"/>
          <w:sz w:val="24"/>
          <w:szCs w:val="24"/>
        </w:rPr>
        <w:t>则应承担相应的法律责任。</w:t>
      </w:r>
    </w:p>
    <w:p w14:paraId="31F2A2A8">
      <w:pPr>
        <w:spacing w:before="1" w:line="219" w:lineRule="auto"/>
        <w:ind w:left="27"/>
        <w:rPr>
          <w:rFonts w:ascii="宋体" w:hAnsi="宋体" w:eastAsia="宋体" w:cs="宋体"/>
          <w:sz w:val="24"/>
          <w:szCs w:val="24"/>
        </w:rPr>
      </w:pPr>
      <w:r>
        <w:rPr>
          <w:rFonts w:ascii="宋体" w:hAnsi="宋体" w:eastAsia="宋体" w:cs="宋体"/>
          <w:b/>
          <w:bCs/>
          <w:spacing w:val="-5"/>
          <w:sz w:val="24"/>
          <w:szCs w:val="24"/>
        </w:rPr>
        <w:t>1.7</w:t>
      </w:r>
      <w:r>
        <w:rPr>
          <w:rFonts w:ascii="宋体" w:hAnsi="宋体" w:eastAsia="宋体" w:cs="宋体"/>
          <w:spacing w:val="-5"/>
          <w:sz w:val="24"/>
          <w:szCs w:val="24"/>
        </w:rPr>
        <w:t xml:space="preserve"> </w:t>
      </w:r>
      <w:r>
        <w:rPr>
          <w:rFonts w:ascii="宋体" w:hAnsi="宋体" w:eastAsia="宋体" w:cs="宋体"/>
          <w:b/>
          <w:bCs/>
          <w:spacing w:val="-5"/>
          <w:sz w:val="24"/>
          <w:szCs w:val="24"/>
        </w:rPr>
        <w:t>语言文字</w:t>
      </w:r>
    </w:p>
    <w:p w14:paraId="0E96A248">
      <w:pPr>
        <w:spacing w:before="182" w:line="219" w:lineRule="auto"/>
        <w:ind w:left="490"/>
        <w:rPr>
          <w:rFonts w:ascii="宋体" w:hAnsi="宋体" w:eastAsia="宋体" w:cs="宋体"/>
          <w:sz w:val="24"/>
          <w:szCs w:val="24"/>
        </w:rPr>
      </w:pPr>
      <w:r>
        <w:rPr>
          <w:rFonts w:ascii="宋体" w:hAnsi="宋体" w:eastAsia="宋体" w:cs="宋体"/>
          <w:spacing w:val="-1"/>
          <w:sz w:val="24"/>
          <w:szCs w:val="24"/>
        </w:rPr>
        <w:t>招标投标文件使用的语言文字为中文。专用术语使用外文</w:t>
      </w:r>
      <w:r>
        <w:rPr>
          <w:rFonts w:ascii="宋体" w:hAnsi="宋体" w:eastAsia="宋体" w:cs="宋体"/>
          <w:spacing w:val="-2"/>
          <w:sz w:val="24"/>
          <w:szCs w:val="24"/>
        </w:rPr>
        <w:t>的，应附有中文注释。</w:t>
      </w:r>
    </w:p>
    <w:p w14:paraId="2618556E">
      <w:pPr>
        <w:spacing w:before="184" w:line="220" w:lineRule="auto"/>
        <w:ind w:left="27"/>
        <w:rPr>
          <w:rFonts w:ascii="宋体" w:hAnsi="宋体" w:eastAsia="宋体" w:cs="宋体"/>
          <w:sz w:val="24"/>
          <w:szCs w:val="24"/>
        </w:rPr>
      </w:pPr>
      <w:r>
        <w:rPr>
          <w:rFonts w:ascii="宋体" w:hAnsi="宋体" w:eastAsia="宋体" w:cs="宋体"/>
          <w:b/>
          <w:bCs/>
          <w:spacing w:val="-5"/>
          <w:sz w:val="24"/>
          <w:szCs w:val="24"/>
        </w:rPr>
        <w:t>1.8</w:t>
      </w:r>
      <w:r>
        <w:rPr>
          <w:rFonts w:ascii="宋体" w:hAnsi="宋体" w:eastAsia="宋体" w:cs="宋体"/>
          <w:spacing w:val="-5"/>
          <w:sz w:val="24"/>
          <w:szCs w:val="24"/>
        </w:rPr>
        <w:t xml:space="preserve"> </w:t>
      </w:r>
      <w:r>
        <w:rPr>
          <w:rFonts w:ascii="宋体" w:hAnsi="宋体" w:eastAsia="宋体" w:cs="宋体"/>
          <w:b/>
          <w:bCs/>
          <w:spacing w:val="-5"/>
          <w:sz w:val="24"/>
          <w:szCs w:val="24"/>
        </w:rPr>
        <w:t>计量单位</w:t>
      </w:r>
    </w:p>
    <w:p w14:paraId="58A0CF22">
      <w:pPr>
        <w:spacing w:before="182" w:line="219" w:lineRule="auto"/>
        <w:ind w:left="489"/>
        <w:rPr>
          <w:rFonts w:ascii="宋体" w:hAnsi="宋体" w:eastAsia="宋体" w:cs="宋体"/>
          <w:sz w:val="24"/>
          <w:szCs w:val="24"/>
        </w:rPr>
      </w:pPr>
      <w:r>
        <w:rPr>
          <w:rFonts w:ascii="宋体" w:hAnsi="宋体" w:eastAsia="宋体" w:cs="宋体"/>
          <w:spacing w:val="-2"/>
          <w:sz w:val="24"/>
          <w:szCs w:val="24"/>
        </w:rPr>
        <w:t>所有计量均采用中华人民共和国法定计量单</w:t>
      </w:r>
      <w:r>
        <w:rPr>
          <w:rFonts w:ascii="宋体" w:hAnsi="宋体" w:eastAsia="宋体" w:cs="宋体"/>
          <w:spacing w:val="-3"/>
          <w:sz w:val="24"/>
          <w:szCs w:val="24"/>
        </w:rPr>
        <w:t>位。</w:t>
      </w:r>
    </w:p>
    <w:p w14:paraId="252310C5">
      <w:pPr>
        <w:spacing w:before="183" w:line="220" w:lineRule="auto"/>
        <w:ind w:left="27"/>
        <w:rPr>
          <w:rFonts w:ascii="宋体" w:hAnsi="宋体" w:eastAsia="宋体" w:cs="宋体"/>
          <w:sz w:val="24"/>
          <w:szCs w:val="24"/>
        </w:rPr>
      </w:pPr>
      <w:r>
        <w:rPr>
          <w:rFonts w:ascii="宋体" w:hAnsi="宋体" w:eastAsia="宋体" w:cs="宋体"/>
          <w:b/>
          <w:bCs/>
          <w:spacing w:val="-8"/>
          <w:sz w:val="24"/>
          <w:szCs w:val="24"/>
        </w:rPr>
        <w:t>1.9</w:t>
      </w:r>
      <w:r>
        <w:rPr>
          <w:rFonts w:ascii="宋体" w:hAnsi="宋体" w:eastAsia="宋体" w:cs="宋体"/>
          <w:spacing w:val="15"/>
          <w:sz w:val="24"/>
          <w:szCs w:val="24"/>
        </w:rPr>
        <w:t xml:space="preserve"> </w:t>
      </w:r>
      <w:r>
        <w:rPr>
          <w:rFonts w:ascii="宋体" w:hAnsi="宋体" w:eastAsia="宋体" w:cs="宋体"/>
          <w:b/>
          <w:bCs/>
          <w:spacing w:val="-8"/>
          <w:sz w:val="24"/>
          <w:szCs w:val="24"/>
        </w:rPr>
        <w:t>踏勘现场</w:t>
      </w:r>
    </w:p>
    <w:p w14:paraId="691E3491">
      <w:pPr>
        <w:spacing w:before="182" w:line="360" w:lineRule="auto"/>
        <w:ind w:left="8" w:right="12" w:firstLine="498"/>
        <w:rPr>
          <w:rFonts w:ascii="宋体" w:hAnsi="宋体" w:eastAsia="宋体" w:cs="宋体"/>
          <w:sz w:val="24"/>
          <w:szCs w:val="24"/>
        </w:rPr>
      </w:pPr>
      <w:r>
        <w:rPr>
          <w:rFonts w:ascii="宋体" w:hAnsi="宋体" w:eastAsia="宋体" w:cs="宋体"/>
          <w:spacing w:val="-2"/>
          <w:sz w:val="24"/>
          <w:szCs w:val="24"/>
        </w:rPr>
        <w:t>1.9.1 第一章“招标公告”或“投标邀请书”规定组织踏勘现场的，招标人按规定</w:t>
      </w:r>
      <w:r>
        <w:rPr>
          <w:rFonts w:ascii="宋体" w:hAnsi="宋体" w:eastAsia="宋体" w:cs="宋体"/>
          <w:spacing w:val="-6"/>
          <w:sz w:val="24"/>
          <w:szCs w:val="24"/>
        </w:rPr>
        <w:t>的时间、地点组织投标人踏勘项目现场。部分投标人未按时参加踏勘现场的，</w:t>
      </w:r>
      <w:r>
        <w:rPr>
          <w:rFonts w:ascii="宋体" w:hAnsi="宋体" w:eastAsia="宋体" w:cs="宋体"/>
          <w:spacing w:val="51"/>
          <w:sz w:val="24"/>
          <w:szCs w:val="24"/>
        </w:rPr>
        <w:t xml:space="preserve"> </w:t>
      </w:r>
      <w:r>
        <w:rPr>
          <w:rFonts w:ascii="宋体" w:hAnsi="宋体" w:eastAsia="宋体" w:cs="宋体"/>
          <w:spacing w:val="-6"/>
          <w:sz w:val="24"/>
          <w:szCs w:val="24"/>
        </w:rPr>
        <w:t>不影响踏</w:t>
      </w:r>
      <w:r>
        <w:rPr>
          <w:rFonts w:ascii="宋体" w:hAnsi="宋体" w:eastAsia="宋体" w:cs="宋体"/>
          <w:spacing w:val="-1"/>
          <w:sz w:val="24"/>
          <w:szCs w:val="24"/>
        </w:rPr>
        <w:t>勘现场的正常进行。招标人不得组织单个或</w:t>
      </w:r>
      <w:r>
        <w:rPr>
          <w:rFonts w:ascii="宋体" w:hAnsi="宋体" w:eastAsia="宋体" w:cs="宋体"/>
          <w:spacing w:val="-2"/>
          <w:sz w:val="24"/>
          <w:szCs w:val="24"/>
        </w:rPr>
        <w:t>部分投标人踏勘项目现场。</w:t>
      </w:r>
    </w:p>
    <w:p w14:paraId="258BFF54">
      <w:pPr>
        <w:spacing w:before="1" w:line="219" w:lineRule="auto"/>
        <w:ind w:left="507"/>
        <w:rPr>
          <w:rFonts w:ascii="宋体" w:hAnsi="宋体" w:eastAsia="宋体" w:cs="宋体"/>
          <w:sz w:val="24"/>
          <w:szCs w:val="24"/>
        </w:rPr>
      </w:pPr>
      <w:r>
        <w:rPr>
          <w:rFonts w:ascii="宋体" w:hAnsi="宋体" w:eastAsia="宋体" w:cs="宋体"/>
          <w:spacing w:val="-3"/>
          <w:sz w:val="24"/>
          <w:szCs w:val="24"/>
        </w:rPr>
        <w:t>1.9.2 投标人踏勘现场发生的费用自理。</w:t>
      </w:r>
    </w:p>
    <w:p w14:paraId="67782D6A">
      <w:pPr>
        <w:spacing w:before="182" w:line="360" w:lineRule="auto"/>
        <w:ind w:left="9" w:right="13" w:firstLine="497"/>
        <w:rPr>
          <w:rFonts w:ascii="宋体" w:hAnsi="宋体" w:eastAsia="宋体" w:cs="宋体"/>
          <w:sz w:val="24"/>
          <w:szCs w:val="24"/>
        </w:rPr>
      </w:pPr>
      <w:r>
        <w:rPr>
          <w:rFonts w:ascii="宋体" w:hAnsi="宋体" w:eastAsia="宋体" w:cs="宋体"/>
          <w:spacing w:val="-2"/>
          <w:sz w:val="24"/>
          <w:szCs w:val="24"/>
        </w:rPr>
        <w:t>1.9.3 除招标人的原因外，投标人自行负责在踏勘现场中所发生的人员伤亡和财产</w:t>
      </w:r>
      <w:r>
        <w:rPr>
          <w:rFonts w:ascii="宋体" w:hAnsi="宋体" w:eastAsia="宋体" w:cs="宋体"/>
          <w:spacing w:val="-10"/>
          <w:sz w:val="24"/>
          <w:szCs w:val="24"/>
        </w:rPr>
        <w:t>损失。</w:t>
      </w:r>
    </w:p>
    <w:p w14:paraId="4B7BE5F9">
      <w:pPr>
        <w:spacing w:line="360" w:lineRule="auto"/>
        <w:ind w:left="10" w:right="13" w:firstLine="496"/>
        <w:rPr>
          <w:rFonts w:ascii="宋体" w:hAnsi="宋体" w:eastAsia="宋体" w:cs="宋体"/>
          <w:sz w:val="24"/>
          <w:szCs w:val="24"/>
        </w:rPr>
      </w:pPr>
      <w:r>
        <w:rPr>
          <w:rFonts w:ascii="宋体" w:hAnsi="宋体" w:eastAsia="宋体" w:cs="宋体"/>
          <w:spacing w:val="-2"/>
          <w:sz w:val="24"/>
          <w:szCs w:val="24"/>
        </w:rPr>
        <w:t>1.9.4 招标人在踏勘现场中介绍的工程场地和相关的周边环境情况，供投标人在编制投标文件时参考，招标人不对投标人据此作出的判断和决策负责。</w:t>
      </w:r>
    </w:p>
    <w:p w14:paraId="619DD6C3">
      <w:pPr>
        <w:spacing w:line="360" w:lineRule="auto"/>
        <w:ind w:left="9" w:firstLine="497"/>
        <w:rPr>
          <w:rFonts w:ascii="宋体" w:hAnsi="宋体" w:eastAsia="宋体" w:cs="宋体"/>
          <w:sz w:val="24"/>
          <w:szCs w:val="24"/>
        </w:rPr>
      </w:pPr>
      <w:r>
        <w:rPr>
          <w:rFonts w:ascii="宋体" w:hAnsi="宋体" w:eastAsia="宋体" w:cs="宋体"/>
          <w:spacing w:val="-2"/>
          <w:sz w:val="24"/>
          <w:szCs w:val="24"/>
        </w:rPr>
        <w:t>1.9.5 招标人提供的本合同工程的水文、地质、气象和料场分布、取土场、弃土场</w:t>
      </w:r>
      <w:r>
        <w:rPr>
          <w:rFonts w:ascii="宋体" w:hAnsi="宋体" w:eastAsia="宋体" w:cs="宋体"/>
          <w:spacing w:val="-1"/>
          <w:sz w:val="24"/>
          <w:szCs w:val="24"/>
        </w:rPr>
        <w:t>位置等参考资料，并不构成合同文件的组成部分，投标人应对自己就</w:t>
      </w:r>
      <w:r>
        <w:rPr>
          <w:rFonts w:ascii="宋体" w:hAnsi="宋体" w:eastAsia="宋体" w:cs="宋体"/>
          <w:spacing w:val="-2"/>
          <w:sz w:val="24"/>
          <w:szCs w:val="24"/>
        </w:rPr>
        <w:t>上述资料的解释、</w:t>
      </w:r>
      <w:r>
        <w:rPr>
          <w:rFonts w:ascii="宋体" w:hAnsi="宋体" w:eastAsia="宋体" w:cs="宋体"/>
          <w:spacing w:val="-1"/>
          <w:sz w:val="24"/>
          <w:szCs w:val="24"/>
        </w:rPr>
        <w:t>推论和应用负责，招标人不对投标人据此作出的判</w:t>
      </w:r>
      <w:r>
        <w:rPr>
          <w:rFonts w:ascii="宋体" w:hAnsi="宋体" w:eastAsia="宋体" w:cs="宋体"/>
          <w:spacing w:val="-2"/>
          <w:sz w:val="24"/>
          <w:szCs w:val="24"/>
        </w:rPr>
        <w:t>断和决策承担任何责任。</w:t>
      </w:r>
    </w:p>
    <w:p w14:paraId="43F2B43C">
      <w:pPr>
        <w:spacing w:before="1" w:line="218" w:lineRule="auto"/>
        <w:ind w:left="27"/>
        <w:rPr>
          <w:rFonts w:ascii="宋体" w:hAnsi="宋体" w:eastAsia="宋体" w:cs="宋体"/>
          <w:sz w:val="24"/>
          <w:szCs w:val="24"/>
        </w:rPr>
      </w:pPr>
      <w:r>
        <w:rPr>
          <w:rFonts w:ascii="宋体" w:hAnsi="宋体" w:eastAsia="宋体" w:cs="宋体"/>
          <w:b/>
          <w:bCs/>
          <w:spacing w:val="-5"/>
          <w:sz w:val="24"/>
          <w:szCs w:val="24"/>
        </w:rPr>
        <w:t>1.10</w:t>
      </w:r>
      <w:r>
        <w:rPr>
          <w:rFonts w:ascii="宋体" w:hAnsi="宋体" w:eastAsia="宋体" w:cs="宋体"/>
          <w:spacing w:val="-5"/>
          <w:sz w:val="24"/>
          <w:szCs w:val="24"/>
        </w:rPr>
        <w:t xml:space="preserve"> </w:t>
      </w:r>
      <w:r>
        <w:rPr>
          <w:rFonts w:ascii="宋体" w:hAnsi="宋体" w:eastAsia="宋体" w:cs="宋体"/>
          <w:b/>
          <w:bCs/>
          <w:spacing w:val="-5"/>
          <w:sz w:val="24"/>
          <w:szCs w:val="24"/>
        </w:rPr>
        <w:t>投标预备会</w:t>
      </w:r>
    </w:p>
    <w:p w14:paraId="21E04FDB">
      <w:pPr>
        <w:pStyle w:val="2"/>
        <w:spacing w:line="468" w:lineRule="auto"/>
      </w:pPr>
    </w:p>
    <w:p w14:paraId="52875295">
      <w:pPr>
        <w:spacing w:line="241" w:lineRule="auto"/>
        <w:rPr>
          <w:rFonts w:ascii="宋体" w:hAnsi="宋体" w:eastAsia="宋体" w:cs="宋体"/>
          <w:sz w:val="18"/>
          <w:szCs w:val="18"/>
        </w:rPr>
        <w:sectPr>
          <w:footerReference r:id="rId18" w:type="default"/>
          <w:pgSz w:w="11905" w:h="16840"/>
          <w:pgMar w:top="1182" w:right="1403" w:bottom="1171" w:left="1416" w:header="849" w:footer="937" w:gutter="0"/>
          <w:pgNumType w:fmt="decimal"/>
          <w:cols w:space="720" w:num="1"/>
        </w:sectPr>
      </w:pPr>
    </w:p>
    <w:p w14:paraId="5A59AAEF">
      <w:pPr>
        <w:pStyle w:val="2"/>
        <w:spacing w:line="268" w:lineRule="auto"/>
      </w:pPr>
    </w:p>
    <w:p w14:paraId="0667FBFB">
      <w:pPr>
        <w:spacing w:before="78" w:line="360" w:lineRule="auto"/>
        <w:ind w:left="10" w:right="247" w:firstLine="496"/>
        <w:rPr>
          <w:rFonts w:ascii="宋体" w:hAnsi="宋体" w:eastAsia="宋体" w:cs="宋体"/>
          <w:sz w:val="24"/>
          <w:szCs w:val="24"/>
        </w:rPr>
      </w:pPr>
      <w:r>
        <w:rPr>
          <w:rFonts w:ascii="宋体" w:hAnsi="宋体" w:eastAsia="宋体" w:cs="宋体"/>
          <w:spacing w:val="1"/>
          <w:sz w:val="24"/>
          <w:szCs w:val="24"/>
        </w:rPr>
        <w:t>1.10.1 第一章“招标公告”或“投标邀请书”规定召开投标预备会的，招标人按</w:t>
      </w:r>
      <w:r>
        <w:rPr>
          <w:rFonts w:ascii="宋体" w:hAnsi="宋体" w:eastAsia="宋体" w:cs="宋体"/>
          <w:spacing w:val="-2"/>
          <w:sz w:val="24"/>
          <w:szCs w:val="24"/>
        </w:rPr>
        <w:t>规定的时间和地点召开投标预备会，澄清投标人提出的问题。</w:t>
      </w:r>
    </w:p>
    <w:p w14:paraId="3D5AA8E5">
      <w:pPr>
        <w:spacing w:before="2" w:line="359" w:lineRule="auto"/>
        <w:ind w:left="36" w:right="127" w:firstLine="470"/>
        <w:rPr>
          <w:rFonts w:ascii="宋体" w:hAnsi="宋体" w:eastAsia="宋体" w:cs="宋体"/>
          <w:sz w:val="24"/>
          <w:szCs w:val="24"/>
        </w:rPr>
      </w:pPr>
      <w:r>
        <w:rPr>
          <w:rFonts w:ascii="宋体" w:hAnsi="宋体" w:eastAsia="宋体" w:cs="宋体"/>
          <w:spacing w:val="-2"/>
          <w:sz w:val="24"/>
          <w:szCs w:val="24"/>
        </w:rPr>
        <w:t>1.10.2 投标人应按投标人须知前附表规定的时间和形式将提出的问题送达招标</w:t>
      </w:r>
      <w:r>
        <w:rPr>
          <w:rFonts w:ascii="宋体" w:hAnsi="宋体" w:eastAsia="宋体" w:cs="宋体"/>
          <w:spacing w:val="-3"/>
          <w:sz w:val="24"/>
          <w:szCs w:val="24"/>
        </w:rPr>
        <w:t>人，</w:t>
      </w:r>
      <w:r>
        <w:rPr>
          <w:rFonts w:ascii="宋体" w:hAnsi="宋体" w:eastAsia="宋体" w:cs="宋体"/>
          <w:spacing w:val="-6"/>
          <w:sz w:val="24"/>
          <w:szCs w:val="24"/>
        </w:rPr>
        <w:t>以便招标人在会议期间澄清。</w:t>
      </w:r>
    </w:p>
    <w:p w14:paraId="24DBC97E">
      <w:pPr>
        <w:spacing w:line="360" w:lineRule="auto"/>
        <w:ind w:left="29" w:right="242" w:firstLine="478"/>
        <w:rPr>
          <w:rFonts w:ascii="宋体" w:hAnsi="宋体" w:eastAsia="宋体" w:cs="宋体"/>
          <w:sz w:val="24"/>
          <w:szCs w:val="24"/>
        </w:rPr>
      </w:pPr>
      <w:r>
        <w:rPr>
          <w:rFonts w:ascii="宋体" w:hAnsi="宋体" w:eastAsia="宋体" w:cs="宋体"/>
          <w:sz w:val="24"/>
          <w:szCs w:val="24"/>
        </w:rPr>
        <w:t>1.10.3 投标预备会后，招标人将对投标人所提问题的澄清，以本章第</w:t>
      </w:r>
      <w:r>
        <w:rPr>
          <w:rFonts w:ascii="宋体" w:hAnsi="宋体" w:eastAsia="宋体" w:cs="宋体"/>
          <w:spacing w:val="-30"/>
          <w:sz w:val="24"/>
          <w:szCs w:val="24"/>
        </w:rPr>
        <w:t xml:space="preserve"> </w:t>
      </w:r>
      <w:r>
        <w:rPr>
          <w:rFonts w:ascii="宋体" w:hAnsi="宋体" w:eastAsia="宋体" w:cs="宋体"/>
          <w:sz w:val="24"/>
          <w:szCs w:val="24"/>
        </w:rPr>
        <w:t>2.2</w:t>
      </w:r>
      <w:r>
        <w:rPr>
          <w:rFonts w:ascii="宋体" w:hAnsi="宋体" w:eastAsia="宋体" w:cs="宋体"/>
          <w:spacing w:val="-48"/>
          <w:sz w:val="24"/>
          <w:szCs w:val="24"/>
        </w:rPr>
        <w:t xml:space="preserve"> </w:t>
      </w:r>
      <w:r>
        <w:rPr>
          <w:rFonts w:ascii="宋体" w:hAnsi="宋体" w:eastAsia="宋体" w:cs="宋体"/>
          <w:sz w:val="24"/>
          <w:szCs w:val="24"/>
        </w:rPr>
        <w:t>款规定</w:t>
      </w:r>
      <w:r>
        <w:rPr>
          <w:rFonts w:ascii="宋体" w:hAnsi="宋体" w:eastAsia="宋体" w:cs="宋体"/>
          <w:spacing w:val="-2"/>
          <w:sz w:val="24"/>
          <w:szCs w:val="24"/>
        </w:rPr>
        <w:t>的形式通知所有购买招标文件的投标人。该澄清内容为招标文件的组成部分。</w:t>
      </w:r>
    </w:p>
    <w:p w14:paraId="04A6C231">
      <w:pPr>
        <w:spacing w:line="220" w:lineRule="auto"/>
        <w:ind w:left="27"/>
        <w:rPr>
          <w:rFonts w:ascii="宋体" w:hAnsi="宋体" w:eastAsia="宋体" w:cs="宋体"/>
          <w:sz w:val="24"/>
          <w:szCs w:val="24"/>
        </w:rPr>
      </w:pPr>
      <w:r>
        <w:rPr>
          <w:rFonts w:ascii="宋体" w:hAnsi="宋体" w:eastAsia="宋体" w:cs="宋体"/>
          <w:b/>
          <w:bCs/>
          <w:spacing w:val="-8"/>
          <w:sz w:val="24"/>
          <w:szCs w:val="24"/>
        </w:rPr>
        <w:t>1.11</w:t>
      </w:r>
      <w:r>
        <w:rPr>
          <w:rFonts w:ascii="宋体" w:hAnsi="宋体" w:eastAsia="宋体" w:cs="宋体"/>
          <w:spacing w:val="15"/>
          <w:sz w:val="24"/>
          <w:szCs w:val="24"/>
        </w:rPr>
        <w:t xml:space="preserve"> </w:t>
      </w:r>
      <w:r>
        <w:rPr>
          <w:rFonts w:ascii="宋体" w:hAnsi="宋体" w:eastAsia="宋体" w:cs="宋体"/>
          <w:b/>
          <w:bCs/>
          <w:spacing w:val="-8"/>
          <w:sz w:val="24"/>
          <w:szCs w:val="24"/>
        </w:rPr>
        <w:t>分包</w:t>
      </w:r>
    </w:p>
    <w:p w14:paraId="3271E220">
      <w:pPr>
        <w:spacing w:before="181" w:line="360" w:lineRule="auto"/>
        <w:ind w:left="9" w:right="307" w:firstLine="497"/>
        <w:rPr>
          <w:rFonts w:ascii="宋体" w:hAnsi="宋体" w:eastAsia="宋体" w:cs="宋体"/>
          <w:sz w:val="24"/>
          <w:szCs w:val="24"/>
        </w:rPr>
      </w:pPr>
      <w:r>
        <w:rPr>
          <w:rFonts w:ascii="宋体" w:hAnsi="宋体" w:eastAsia="宋体" w:cs="宋体"/>
          <w:spacing w:val="-1"/>
          <w:sz w:val="24"/>
          <w:szCs w:val="24"/>
        </w:rPr>
        <w:t>1.11.1 投标人拟在中标后将中标项目的部分非主体、非关键性工作进行分包的，</w:t>
      </w:r>
      <w:r>
        <w:rPr>
          <w:rFonts w:ascii="宋体" w:hAnsi="宋体" w:eastAsia="宋体" w:cs="宋体"/>
          <w:spacing w:val="-8"/>
          <w:sz w:val="24"/>
          <w:szCs w:val="24"/>
        </w:rPr>
        <w:t>应符合以下规定：</w:t>
      </w:r>
    </w:p>
    <w:p w14:paraId="52BA635D">
      <w:pPr>
        <w:spacing w:line="360" w:lineRule="auto"/>
        <w:ind w:left="8" w:right="241" w:firstLine="487"/>
        <w:rPr>
          <w:rFonts w:ascii="宋体" w:hAnsi="宋体" w:eastAsia="宋体" w:cs="宋体"/>
          <w:sz w:val="24"/>
          <w:szCs w:val="24"/>
        </w:rPr>
      </w:pPr>
      <w:r>
        <w:rPr>
          <w:rFonts w:ascii="宋体" w:hAnsi="宋体" w:eastAsia="宋体" w:cs="宋体"/>
          <w:spacing w:val="1"/>
          <w:sz w:val="24"/>
          <w:szCs w:val="24"/>
        </w:rPr>
        <w:t>（1）分包内容要求：允许分包的工程范围仅限于非关键性工程或适合专业化队伍</w:t>
      </w:r>
      <w:r>
        <w:rPr>
          <w:rFonts w:ascii="宋体" w:hAnsi="宋体" w:eastAsia="宋体" w:cs="宋体"/>
          <w:spacing w:val="-2"/>
          <w:sz w:val="24"/>
          <w:szCs w:val="24"/>
        </w:rPr>
        <w:t>施工的专项工程。招标人允许分包或不允许分包的专项工程（如有）应在投标人须知前</w:t>
      </w:r>
      <w:r>
        <w:rPr>
          <w:rFonts w:ascii="宋体" w:hAnsi="宋体" w:eastAsia="宋体" w:cs="宋体"/>
          <w:spacing w:val="-6"/>
          <w:sz w:val="24"/>
          <w:szCs w:val="24"/>
        </w:rPr>
        <w:t>附表中载明。</w:t>
      </w:r>
    </w:p>
    <w:p w14:paraId="79277D15">
      <w:pPr>
        <w:spacing w:line="360" w:lineRule="auto"/>
        <w:ind w:left="8" w:right="253" w:firstLine="487"/>
        <w:rPr>
          <w:rFonts w:ascii="宋体" w:hAnsi="宋体" w:eastAsia="宋体" w:cs="宋体"/>
          <w:sz w:val="24"/>
          <w:szCs w:val="24"/>
        </w:rPr>
      </w:pPr>
      <w:r>
        <w:rPr>
          <w:rFonts w:ascii="宋体" w:hAnsi="宋体" w:eastAsia="宋体" w:cs="宋体"/>
          <w:spacing w:val="1"/>
          <w:sz w:val="24"/>
          <w:szCs w:val="24"/>
        </w:rPr>
        <w:t>（2）接受分包的第三人资格要求：分包人的资格能力应与其分包工程的标准和规</w:t>
      </w:r>
      <w:r>
        <w:rPr>
          <w:rFonts w:ascii="宋体" w:hAnsi="宋体" w:eastAsia="宋体" w:cs="宋体"/>
          <w:spacing w:val="-2"/>
          <w:sz w:val="24"/>
          <w:szCs w:val="24"/>
        </w:rPr>
        <w:t>模相适应，且具备投标人须知前附表中规定的资格条件。</w:t>
      </w:r>
    </w:p>
    <w:p w14:paraId="71159F55">
      <w:pPr>
        <w:spacing w:line="360" w:lineRule="auto"/>
        <w:ind w:left="11" w:right="264" w:firstLine="495"/>
        <w:rPr>
          <w:rFonts w:ascii="宋体" w:hAnsi="宋体" w:eastAsia="宋体" w:cs="宋体"/>
          <w:sz w:val="24"/>
          <w:szCs w:val="24"/>
        </w:rPr>
      </w:pPr>
      <w:r>
        <w:rPr>
          <w:rFonts w:ascii="宋体" w:hAnsi="宋体" w:eastAsia="宋体" w:cs="宋体"/>
          <w:sz w:val="24"/>
          <w:szCs w:val="24"/>
        </w:rPr>
        <w:t>1.11.2</w:t>
      </w:r>
      <w:r>
        <w:rPr>
          <w:rFonts w:ascii="宋体" w:hAnsi="宋体" w:eastAsia="宋体" w:cs="宋体"/>
          <w:spacing w:val="34"/>
          <w:sz w:val="24"/>
          <w:szCs w:val="24"/>
        </w:rPr>
        <w:t xml:space="preserve"> </w:t>
      </w:r>
      <w:r>
        <w:rPr>
          <w:rFonts w:ascii="宋体" w:hAnsi="宋体" w:eastAsia="宋体" w:cs="宋体"/>
          <w:sz w:val="24"/>
          <w:szCs w:val="24"/>
        </w:rPr>
        <w:t>中标人不得向他人转让中标项目，接受分包</w:t>
      </w:r>
      <w:r>
        <w:rPr>
          <w:rFonts w:ascii="宋体" w:hAnsi="宋体" w:eastAsia="宋体" w:cs="宋体"/>
          <w:spacing w:val="-1"/>
          <w:sz w:val="24"/>
          <w:szCs w:val="24"/>
        </w:rPr>
        <w:t>的人不得再次分包。中标人应</w:t>
      </w:r>
      <w:r>
        <w:rPr>
          <w:rFonts w:ascii="宋体" w:hAnsi="宋体" w:eastAsia="宋体" w:cs="宋体"/>
          <w:spacing w:val="-2"/>
          <w:sz w:val="24"/>
          <w:szCs w:val="24"/>
        </w:rPr>
        <w:t>就分包项目向招标人负责，接受分包的人就分包项目承担连带责任。</w:t>
      </w:r>
    </w:p>
    <w:p w14:paraId="5CAEAE6B">
      <w:pPr>
        <w:spacing w:line="219" w:lineRule="auto"/>
        <w:ind w:left="27"/>
        <w:rPr>
          <w:rFonts w:ascii="宋体" w:hAnsi="宋体" w:eastAsia="宋体" w:cs="宋体"/>
          <w:sz w:val="24"/>
          <w:szCs w:val="24"/>
        </w:rPr>
      </w:pPr>
      <w:r>
        <w:rPr>
          <w:rFonts w:ascii="宋体" w:hAnsi="宋体" w:eastAsia="宋体" w:cs="宋体"/>
          <w:b/>
          <w:bCs/>
          <w:spacing w:val="-7"/>
          <w:sz w:val="24"/>
          <w:szCs w:val="24"/>
        </w:rPr>
        <w:t>1.12</w:t>
      </w:r>
      <w:r>
        <w:rPr>
          <w:rFonts w:ascii="宋体" w:hAnsi="宋体" w:eastAsia="宋体" w:cs="宋体"/>
          <w:spacing w:val="23"/>
          <w:sz w:val="24"/>
          <w:szCs w:val="24"/>
        </w:rPr>
        <w:t xml:space="preserve"> </w:t>
      </w:r>
      <w:r>
        <w:rPr>
          <w:rFonts w:ascii="宋体" w:hAnsi="宋体" w:eastAsia="宋体" w:cs="宋体"/>
          <w:b/>
          <w:bCs/>
          <w:spacing w:val="-7"/>
          <w:sz w:val="24"/>
          <w:szCs w:val="24"/>
        </w:rPr>
        <w:t>响应和偏差</w:t>
      </w:r>
    </w:p>
    <w:p w14:paraId="4012A157">
      <w:pPr>
        <w:spacing w:before="183" w:line="360" w:lineRule="auto"/>
        <w:ind w:left="9" w:right="265" w:firstLine="497"/>
        <w:rPr>
          <w:rFonts w:ascii="宋体" w:hAnsi="宋体" w:eastAsia="宋体" w:cs="宋体"/>
          <w:sz w:val="24"/>
          <w:szCs w:val="24"/>
        </w:rPr>
      </w:pPr>
      <w:r>
        <w:rPr>
          <w:rFonts w:ascii="宋体" w:hAnsi="宋体" w:eastAsia="宋体" w:cs="宋体"/>
          <w:spacing w:val="1"/>
          <w:sz w:val="24"/>
          <w:szCs w:val="24"/>
        </w:rPr>
        <w:t>1.12.1 投标文件偏离招标文件某些要</w:t>
      </w:r>
      <w:r>
        <w:rPr>
          <w:rFonts w:ascii="宋体" w:hAnsi="宋体" w:eastAsia="宋体" w:cs="宋体"/>
          <w:sz w:val="24"/>
          <w:szCs w:val="24"/>
        </w:rPr>
        <w:t>求，视为投标文件存在偏差。偏差包括重大</w:t>
      </w:r>
      <w:r>
        <w:rPr>
          <w:rFonts w:ascii="宋体" w:hAnsi="宋体" w:eastAsia="宋体" w:cs="宋体"/>
          <w:spacing w:val="-5"/>
          <w:sz w:val="24"/>
          <w:szCs w:val="24"/>
        </w:rPr>
        <w:t>偏差和细微偏差。</w:t>
      </w:r>
    </w:p>
    <w:p w14:paraId="7DBB336A">
      <w:pPr>
        <w:spacing w:before="2" w:line="359" w:lineRule="auto"/>
        <w:ind w:left="29" w:right="253" w:firstLine="478"/>
        <w:rPr>
          <w:rFonts w:ascii="宋体" w:hAnsi="宋体" w:eastAsia="宋体" w:cs="宋体"/>
          <w:sz w:val="24"/>
          <w:szCs w:val="24"/>
        </w:rPr>
      </w:pPr>
      <w:r>
        <w:rPr>
          <w:rFonts w:ascii="宋体" w:hAnsi="宋体" w:eastAsia="宋体" w:cs="宋体"/>
          <w:spacing w:val="1"/>
          <w:sz w:val="24"/>
          <w:szCs w:val="24"/>
        </w:rPr>
        <w:t>1.12.2 投标文件应对招标文件的实质性要求和条件作出满足性</w:t>
      </w:r>
      <w:r>
        <w:rPr>
          <w:rFonts w:ascii="宋体" w:hAnsi="宋体" w:eastAsia="宋体" w:cs="宋体"/>
          <w:sz w:val="24"/>
          <w:szCs w:val="24"/>
        </w:rPr>
        <w:t>或更有利于招标人</w:t>
      </w:r>
      <w:r>
        <w:rPr>
          <w:rFonts w:ascii="宋体" w:hAnsi="宋体" w:eastAsia="宋体" w:cs="宋体"/>
          <w:spacing w:val="-2"/>
          <w:sz w:val="24"/>
          <w:szCs w:val="24"/>
        </w:rPr>
        <w:t>的响应，否则，视为投标文件存在重大偏差，投标人的投标将被否决。</w:t>
      </w:r>
    </w:p>
    <w:p w14:paraId="5B801344">
      <w:pPr>
        <w:spacing w:line="360" w:lineRule="auto"/>
        <w:ind w:left="12" w:right="241" w:firstLine="480"/>
        <w:rPr>
          <w:rFonts w:ascii="宋体" w:hAnsi="宋体" w:eastAsia="宋体" w:cs="宋体"/>
          <w:sz w:val="24"/>
          <w:szCs w:val="24"/>
        </w:rPr>
      </w:pPr>
      <w:r>
        <w:rPr>
          <w:rFonts w:ascii="宋体" w:hAnsi="宋体" w:eastAsia="宋体" w:cs="宋体"/>
          <w:spacing w:val="-2"/>
          <w:sz w:val="24"/>
          <w:szCs w:val="24"/>
        </w:rPr>
        <w:t>投标文件存在第三章“评标办法”中所列任一否决投标情形的，均属于存在重大偏</w:t>
      </w:r>
      <w:r>
        <w:rPr>
          <w:rFonts w:ascii="宋体" w:hAnsi="宋体" w:eastAsia="宋体" w:cs="宋体"/>
          <w:spacing w:val="-12"/>
          <w:sz w:val="24"/>
          <w:szCs w:val="24"/>
        </w:rPr>
        <w:t>差。</w:t>
      </w:r>
    </w:p>
    <w:p w14:paraId="6FD6F877">
      <w:pPr>
        <w:spacing w:before="1" w:line="219" w:lineRule="auto"/>
        <w:ind w:left="507"/>
        <w:rPr>
          <w:rFonts w:ascii="宋体" w:hAnsi="宋体" w:eastAsia="宋体" w:cs="宋体"/>
          <w:sz w:val="24"/>
          <w:szCs w:val="24"/>
        </w:rPr>
      </w:pPr>
      <w:r>
        <w:rPr>
          <w:rFonts w:ascii="宋体" w:hAnsi="宋体" w:eastAsia="宋体" w:cs="宋体"/>
          <w:spacing w:val="-4"/>
          <w:sz w:val="24"/>
          <w:szCs w:val="24"/>
        </w:rPr>
        <w:t>1.12.3 投标文件中的下列偏差为细微偏差：</w:t>
      </w:r>
    </w:p>
    <w:p w14:paraId="75C9CF49">
      <w:pPr>
        <w:spacing w:before="182" w:line="360" w:lineRule="auto"/>
        <w:ind w:left="9" w:firstLine="486"/>
        <w:rPr>
          <w:rFonts w:ascii="宋体" w:hAnsi="宋体" w:eastAsia="宋体" w:cs="宋体"/>
          <w:sz w:val="24"/>
          <w:szCs w:val="24"/>
        </w:rPr>
      </w:pPr>
      <w:r>
        <w:rPr>
          <w:rFonts w:ascii="宋体" w:hAnsi="宋体" w:eastAsia="宋体" w:cs="宋体"/>
          <w:spacing w:val="1"/>
          <w:sz w:val="24"/>
          <w:szCs w:val="24"/>
        </w:rPr>
        <w:t>（1）在按照第三章“评标办法”的规定对投标价进行算术性错误修正及其他错误</w:t>
      </w:r>
      <w:r>
        <w:rPr>
          <w:rFonts w:ascii="宋体" w:hAnsi="宋体" w:eastAsia="宋体" w:cs="宋体"/>
          <w:spacing w:val="3"/>
          <w:sz w:val="24"/>
          <w:szCs w:val="24"/>
        </w:rPr>
        <w:t xml:space="preserve"> </w:t>
      </w:r>
      <w:r>
        <w:rPr>
          <w:rFonts w:ascii="宋体" w:hAnsi="宋体" w:eastAsia="宋体" w:cs="宋体"/>
          <w:spacing w:val="-1"/>
          <w:sz w:val="24"/>
          <w:szCs w:val="24"/>
        </w:rPr>
        <w:t>修正后，最终投标报价未超过最高投标限价（如</w:t>
      </w:r>
      <w:r>
        <w:rPr>
          <w:rFonts w:ascii="宋体" w:hAnsi="宋体" w:eastAsia="宋体" w:cs="宋体"/>
          <w:spacing w:val="-2"/>
          <w:sz w:val="24"/>
          <w:szCs w:val="24"/>
        </w:rPr>
        <w:t>有）的情况下，出现第三章“评标办法”</w:t>
      </w:r>
      <w:r>
        <w:rPr>
          <w:rFonts w:ascii="宋体" w:hAnsi="宋体" w:eastAsia="宋体" w:cs="宋体"/>
          <w:spacing w:val="-4"/>
          <w:sz w:val="24"/>
          <w:szCs w:val="24"/>
        </w:rPr>
        <w:t>规定的算术性错误和投标报价的其他错误；</w:t>
      </w:r>
    </w:p>
    <w:p w14:paraId="5B664ED2">
      <w:pPr>
        <w:spacing w:line="360" w:lineRule="auto"/>
        <w:ind w:left="12" w:right="258" w:firstLine="483"/>
        <w:rPr>
          <w:rFonts w:ascii="宋体" w:hAnsi="宋体" w:eastAsia="宋体" w:cs="宋体"/>
          <w:sz w:val="24"/>
          <w:szCs w:val="24"/>
        </w:rPr>
      </w:pPr>
      <w:r>
        <w:rPr>
          <w:rFonts w:ascii="宋体" w:hAnsi="宋体" w:eastAsia="宋体" w:cs="宋体"/>
          <w:sz w:val="24"/>
          <w:szCs w:val="24"/>
        </w:rPr>
        <w:t>（2）施工组织设计</w:t>
      </w:r>
      <w:r>
        <w:rPr>
          <w:rFonts w:ascii="宋体" w:hAnsi="宋体" w:eastAsia="宋体" w:cs="宋体"/>
          <w:spacing w:val="-91"/>
          <w:sz w:val="24"/>
          <w:szCs w:val="24"/>
        </w:rPr>
        <w:t xml:space="preserve"> </w:t>
      </w:r>
      <w:r>
        <w:rPr>
          <w:rFonts w:ascii="宋体" w:hAnsi="宋体" w:eastAsia="宋体" w:cs="宋体"/>
          <w:spacing w:val="-111"/>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111"/>
          <w:sz w:val="24"/>
          <w:szCs w:val="24"/>
          <w:u w:val="single" w:color="auto"/>
        </w:rPr>
        <w:t xml:space="preserve"> </w:t>
      </w:r>
      <w:r>
        <w:rPr>
          <w:rFonts w:ascii="宋体" w:hAnsi="宋体" w:eastAsia="宋体" w:cs="宋体"/>
          <w:sz w:val="24"/>
          <w:szCs w:val="24"/>
          <w:u w:val="single" w:color="auto"/>
        </w:rPr>
        <w:t>及承包人项目管理方案</w:t>
      </w:r>
      <w:r>
        <w:rPr>
          <w:rFonts w:ascii="宋体" w:hAnsi="宋体" w:eastAsia="宋体" w:cs="宋体"/>
          <w:sz w:val="24"/>
          <w:szCs w:val="24"/>
        </w:rPr>
        <w:t>（含关键工程技术方案）和项目管理机</w:t>
      </w:r>
      <w:r>
        <w:rPr>
          <w:rFonts w:ascii="宋体" w:hAnsi="宋体" w:eastAsia="宋体" w:cs="宋体"/>
          <w:spacing w:val="-10"/>
          <w:sz w:val="24"/>
          <w:szCs w:val="24"/>
        </w:rPr>
        <w:t>构不够完善；</w:t>
      </w:r>
    </w:p>
    <w:p w14:paraId="001E1786">
      <w:pPr>
        <w:spacing w:before="1" w:line="219" w:lineRule="auto"/>
        <w:ind w:left="495"/>
        <w:rPr>
          <w:rFonts w:ascii="宋体" w:hAnsi="宋体" w:eastAsia="宋体" w:cs="宋体"/>
          <w:sz w:val="24"/>
          <w:szCs w:val="24"/>
        </w:rPr>
      </w:pPr>
      <w:r>
        <w:rPr>
          <w:rFonts w:ascii="宋体" w:hAnsi="宋体" w:eastAsia="宋体" w:cs="宋体"/>
          <w:spacing w:val="1"/>
          <w:sz w:val="24"/>
          <w:szCs w:val="24"/>
        </w:rPr>
        <w:t>（3）投标文件页码不连续、个别文字有遗漏错误等不影响投标文件实质性内容的</w:t>
      </w:r>
    </w:p>
    <w:p w14:paraId="3C5861A2">
      <w:pPr>
        <w:spacing w:line="219" w:lineRule="auto"/>
        <w:rPr>
          <w:rFonts w:ascii="宋体" w:hAnsi="宋体" w:eastAsia="宋体" w:cs="宋体"/>
          <w:sz w:val="24"/>
          <w:szCs w:val="24"/>
        </w:rPr>
        <w:sectPr>
          <w:headerReference r:id="rId19" w:type="default"/>
          <w:footerReference r:id="rId20" w:type="default"/>
          <w:pgSz w:w="11905" w:h="16840"/>
          <w:pgMar w:top="1182" w:right="1174" w:bottom="1171" w:left="1416" w:header="849" w:footer="937" w:gutter="0"/>
          <w:pgNumType w:fmt="decimal"/>
          <w:cols w:space="720" w:num="1"/>
        </w:sectPr>
      </w:pPr>
    </w:p>
    <w:p w14:paraId="58C92066">
      <w:pPr>
        <w:pStyle w:val="2"/>
        <w:spacing w:line="267" w:lineRule="auto"/>
      </w:pPr>
    </w:p>
    <w:p w14:paraId="11959256">
      <w:pPr>
        <w:spacing w:before="78" w:line="220" w:lineRule="auto"/>
        <w:ind w:left="9"/>
        <w:rPr>
          <w:rFonts w:ascii="宋体" w:hAnsi="宋体" w:eastAsia="宋体" w:cs="宋体"/>
          <w:sz w:val="24"/>
          <w:szCs w:val="24"/>
        </w:rPr>
      </w:pPr>
      <w:r>
        <w:rPr>
          <w:rFonts w:ascii="宋体" w:hAnsi="宋体" w:eastAsia="宋体" w:cs="宋体"/>
          <w:spacing w:val="-10"/>
          <w:sz w:val="24"/>
          <w:szCs w:val="24"/>
        </w:rPr>
        <w:t>偏差。</w:t>
      </w:r>
    </w:p>
    <w:p w14:paraId="33502E27">
      <w:pPr>
        <w:spacing w:before="182" w:line="219" w:lineRule="auto"/>
        <w:ind w:left="507"/>
        <w:rPr>
          <w:rFonts w:ascii="宋体" w:hAnsi="宋体" w:eastAsia="宋体" w:cs="宋体"/>
          <w:sz w:val="24"/>
          <w:szCs w:val="24"/>
        </w:rPr>
      </w:pPr>
      <w:r>
        <w:rPr>
          <w:rFonts w:ascii="宋体" w:hAnsi="宋体" w:eastAsia="宋体" w:cs="宋体"/>
          <w:spacing w:val="-3"/>
          <w:sz w:val="24"/>
          <w:szCs w:val="24"/>
        </w:rPr>
        <w:t>1.12.4 评标委员会对投标文件中的细微偏差按如下规定处理：</w:t>
      </w:r>
    </w:p>
    <w:p w14:paraId="20072C23">
      <w:pPr>
        <w:spacing w:before="183" w:line="360" w:lineRule="auto"/>
        <w:ind w:left="10" w:firstLine="485"/>
        <w:rPr>
          <w:rFonts w:ascii="宋体" w:hAnsi="宋体" w:eastAsia="宋体" w:cs="宋体"/>
          <w:sz w:val="24"/>
          <w:szCs w:val="24"/>
        </w:rPr>
      </w:pPr>
      <w:r>
        <w:rPr>
          <w:rFonts w:ascii="宋体" w:hAnsi="宋体" w:eastAsia="宋体" w:cs="宋体"/>
          <w:spacing w:val="-1"/>
          <w:sz w:val="24"/>
          <w:szCs w:val="24"/>
        </w:rPr>
        <w:t>（1）对于本章第 1.12.3</w:t>
      </w:r>
      <w:r>
        <w:rPr>
          <w:rFonts w:ascii="宋体" w:hAnsi="宋体" w:eastAsia="宋体" w:cs="宋体"/>
          <w:spacing w:val="-26"/>
          <w:sz w:val="24"/>
          <w:szCs w:val="24"/>
        </w:rPr>
        <w:t xml:space="preserve"> </w:t>
      </w:r>
      <w:r>
        <w:rPr>
          <w:rFonts w:ascii="宋体" w:hAnsi="宋体" w:eastAsia="宋体" w:cs="宋体"/>
          <w:spacing w:val="-1"/>
          <w:sz w:val="24"/>
          <w:szCs w:val="24"/>
        </w:rPr>
        <w:t>项（1）目所述的细微偏差，按照第三章“评标办法”的</w:t>
      </w:r>
      <w:r>
        <w:rPr>
          <w:rFonts w:ascii="宋体" w:hAnsi="宋体" w:eastAsia="宋体" w:cs="宋体"/>
          <w:spacing w:val="-4"/>
          <w:sz w:val="24"/>
          <w:szCs w:val="24"/>
        </w:rPr>
        <w:t>规定予以修正并要求投标人进行澄清；</w:t>
      </w:r>
    </w:p>
    <w:p w14:paraId="5F661995">
      <w:pPr>
        <w:spacing w:line="360" w:lineRule="auto"/>
        <w:ind w:left="8" w:firstLine="487"/>
        <w:rPr>
          <w:rFonts w:ascii="宋体" w:hAnsi="宋体" w:eastAsia="宋体" w:cs="宋体"/>
          <w:sz w:val="24"/>
          <w:szCs w:val="24"/>
        </w:rPr>
      </w:pPr>
      <w:r>
        <w:rPr>
          <w:rFonts w:ascii="宋体" w:hAnsi="宋体" w:eastAsia="宋体" w:cs="宋体"/>
          <w:spacing w:val="-2"/>
          <w:sz w:val="24"/>
          <w:szCs w:val="24"/>
        </w:rPr>
        <w:t>（2）对于本章第 1.12.3</w:t>
      </w:r>
      <w:r>
        <w:rPr>
          <w:rFonts w:ascii="宋体" w:hAnsi="宋体" w:eastAsia="宋体" w:cs="宋体"/>
          <w:spacing w:val="-45"/>
          <w:sz w:val="24"/>
          <w:szCs w:val="24"/>
        </w:rPr>
        <w:t xml:space="preserve"> </w:t>
      </w:r>
      <w:r>
        <w:rPr>
          <w:rFonts w:ascii="宋体" w:hAnsi="宋体" w:eastAsia="宋体" w:cs="宋体"/>
          <w:spacing w:val="-2"/>
          <w:sz w:val="24"/>
          <w:szCs w:val="24"/>
        </w:rPr>
        <w:t>项（2）目所述的细微偏差，如果采用合理低价法</w:t>
      </w:r>
      <w:r>
        <w:rPr>
          <w:rFonts w:ascii="宋体" w:hAnsi="宋体" w:eastAsia="宋体" w:cs="宋体"/>
          <w:spacing w:val="-3"/>
          <w:sz w:val="24"/>
          <w:szCs w:val="24"/>
        </w:rPr>
        <w:t>评标，</w:t>
      </w:r>
      <w:r>
        <w:rPr>
          <w:rFonts w:ascii="宋体" w:hAnsi="宋体" w:eastAsia="宋体" w:cs="宋体"/>
          <w:spacing w:val="-2"/>
          <w:sz w:val="24"/>
          <w:szCs w:val="24"/>
        </w:rPr>
        <w:t>应要求投标人对细微偏差进行澄清，只有投标人的澄清文件被评标委员会接受，投标人才能参加评标价的最终评比。如果采用技术评分合理低价法或技术评分最低标价法或综</w:t>
      </w:r>
      <w:r>
        <w:rPr>
          <w:rFonts w:ascii="宋体" w:hAnsi="宋体" w:eastAsia="宋体" w:cs="宋体"/>
          <w:spacing w:val="-3"/>
          <w:sz w:val="24"/>
          <w:szCs w:val="24"/>
        </w:rPr>
        <w:t>合评分法评标，可在相关评分因素的评分中酌情扣分；</w:t>
      </w:r>
    </w:p>
    <w:p w14:paraId="089DD054">
      <w:pPr>
        <w:spacing w:before="2" w:line="359" w:lineRule="auto"/>
        <w:ind w:left="13" w:right="9" w:firstLine="482"/>
        <w:rPr>
          <w:rFonts w:ascii="宋体" w:hAnsi="宋体" w:eastAsia="宋体" w:cs="宋体"/>
          <w:sz w:val="24"/>
          <w:szCs w:val="24"/>
        </w:rPr>
      </w:pPr>
      <w:r>
        <w:rPr>
          <w:rFonts w:ascii="宋体" w:hAnsi="宋体" w:eastAsia="宋体" w:cs="宋体"/>
          <w:spacing w:val="-1"/>
          <w:sz w:val="24"/>
          <w:szCs w:val="24"/>
        </w:rPr>
        <w:t>（3）对于本章第 1.12.3</w:t>
      </w:r>
      <w:r>
        <w:rPr>
          <w:rFonts w:ascii="宋体" w:hAnsi="宋体" w:eastAsia="宋体" w:cs="宋体"/>
          <w:spacing w:val="-34"/>
          <w:sz w:val="24"/>
          <w:szCs w:val="24"/>
        </w:rPr>
        <w:t xml:space="preserve"> </w:t>
      </w:r>
      <w:r>
        <w:rPr>
          <w:rFonts w:ascii="宋体" w:hAnsi="宋体" w:eastAsia="宋体" w:cs="宋体"/>
          <w:spacing w:val="-1"/>
          <w:sz w:val="24"/>
          <w:szCs w:val="24"/>
        </w:rPr>
        <w:t>项（3）目所述的细微偏差，可要求投标人对细微偏差进</w:t>
      </w:r>
      <w:r>
        <w:rPr>
          <w:rFonts w:ascii="宋体" w:hAnsi="宋体" w:eastAsia="宋体" w:cs="宋体"/>
          <w:spacing w:val="-10"/>
          <w:sz w:val="24"/>
          <w:szCs w:val="24"/>
        </w:rPr>
        <w:t>行澄清。</w:t>
      </w:r>
    </w:p>
    <w:p w14:paraId="3DDDA05E">
      <w:pPr>
        <w:spacing w:before="2" w:line="359" w:lineRule="auto"/>
        <w:ind w:left="38" w:firstLine="468"/>
        <w:rPr>
          <w:rFonts w:ascii="宋体" w:hAnsi="宋体" w:eastAsia="宋体" w:cs="宋体"/>
          <w:sz w:val="24"/>
          <w:szCs w:val="24"/>
        </w:rPr>
      </w:pPr>
      <w:r>
        <w:rPr>
          <w:rFonts w:ascii="宋体" w:hAnsi="宋体" w:eastAsia="宋体" w:cs="宋体"/>
          <w:sz w:val="24"/>
          <w:szCs w:val="24"/>
        </w:rPr>
        <w:t>1.12.5 投标人应根据招标文件的要求提供施工组织设计</w:t>
      </w:r>
      <w:r>
        <w:rPr>
          <w:rFonts w:ascii="宋体" w:hAnsi="宋体" w:eastAsia="宋体" w:cs="宋体"/>
          <w:spacing w:val="-104"/>
          <w:sz w:val="24"/>
          <w:szCs w:val="24"/>
        </w:rPr>
        <w:t xml:space="preserve"> </w:t>
      </w:r>
      <w:r>
        <w:rPr>
          <w:rFonts w:ascii="宋体" w:hAnsi="宋体" w:eastAsia="宋体" w:cs="宋体"/>
          <w:spacing w:val="-110"/>
          <w:sz w:val="24"/>
          <w:szCs w:val="24"/>
          <w:u w:val="single" w:color="auto"/>
        </w:rPr>
        <w:t xml:space="preserve"> </w:t>
      </w:r>
      <w:r>
        <w:rPr>
          <w:rFonts w:ascii="宋体" w:hAnsi="宋体" w:eastAsia="宋体" w:cs="宋体"/>
          <w:sz w:val="24"/>
          <w:szCs w:val="24"/>
          <w:u w:val="single" w:color="auto"/>
        </w:rPr>
        <w:t>及承包人项目管理方案</w:t>
      </w:r>
      <w:r>
        <w:rPr>
          <w:rFonts w:ascii="宋体" w:hAnsi="宋体" w:eastAsia="宋体" w:cs="宋体"/>
          <w:spacing w:val="-109"/>
          <w:sz w:val="24"/>
          <w:szCs w:val="24"/>
        </w:rPr>
        <w:t xml:space="preserve"> </w:t>
      </w:r>
      <w:r>
        <w:rPr>
          <w:rFonts w:ascii="宋体" w:hAnsi="宋体" w:eastAsia="宋体" w:cs="宋体"/>
          <w:sz w:val="24"/>
          <w:szCs w:val="24"/>
        </w:rPr>
        <w:t>等</w:t>
      </w:r>
      <w:r>
        <w:rPr>
          <w:rFonts w:ascii="宋体" w:hAnsi="宋体" w:eastAsia="宋体" w:cs="宋体"/>
          <w:spacing w:val="-6"/>
          <w:sz w:val="24"/>
          <w:szCs w:val="24"/>
        </w:rPr>
        <w:t>内容以对招标文件作出响应。</w:t>
      </w:r>
    </w:p>
    <w:p w14:paraId="42B73E1C">
      <w:pPr>
        <w:spacing w:before="1" w:line="219" w:lineRule="auto"/>
        <w:ind w:left="12"/>
        <w:rPr>
          <w:rFonts w:ascii="宋体" w:hAnsi="宋体" w:eastAsia="宋体" w:cs="宋体"/>
          <w:sz w:val="24"/>
          <w:szCs w:val="24"/>
        </w:rPr>
      </w:pPr>
      <w:r>
        <w:rPr>
          <w:rFonts w:ascii="宋体" w:hAnsi="宋体" w:eastAsia="宋体" w:cs="宋体"/>
          <w:b/>
          <w:bCs/>
          <w:spacing w:val="-6"/>
          <w:sz w:val="24"/>
          <w:szCs w:val="24"/>
        </w:rPr>
        <w:t>2.</w:t>
      </w:r>
      <w:r>
        <w:rPr>
          <w:rFonts w:ascii="宋体" w:hAnsi="宋体" w:eastAsia="宋体" w:cs="宋体"/>
          <w:spacing w:val="13"/>
          <w:sz w:val="24"/>
          <w:szCs w:val="24"/>
        </w:rPr>
        <w:t xml:space="preserve"> </w:t>
      </w:r>
      <w:r>
        <w:rPr>
          <w:rFonts w:ascii="宋体" w:hAnsi="宋体" w:eastAsia="宋体" w:cs="宋体"/>
          <w:b/>
          <w:bCs/>
          <w:spacing w:val="-6"/>
          <w:sz w:val="24"/>
          <w:szCs w:val="24"/>
        </w:rPr>
        <w:t>招标文件</w:t>
      </w:r>
    </w:p>
    <w:p w14:paraId="1C739636">
      <w:pPr>
        <w:spacing w:before="182" w:line="220" w:lineRule="auto"/>
        <w:ind w:left="12"/>
        <w:rPr>
          <w:rFonts w:ascii="宋体" w:hAnsi="宋体" w:eastAsia="宋体" w:cs="宋体"/>
          <w:sz w:val="24"/>
          <w:szCs w:val="24"/>
        </w:rPr>
      </w:pPr>
      <w:r>
        <w:rPr>
          <w:rFonts w:ascii="宋体" w:hAnsi="宋体" w:eastAsia="宋体" w:cs="宋体"/>
          <w:b/>
          <w:bCs/>
          <w:spacing w:val="-3"/>
          <w:sz w:val="24"/>
          <w:szCs w:val="24"/>
        </w:rPr>
        <w:t>2.1</w:t>
      </w:r>
      <w:r>
        <w:rPr>
          <w:rFonts w:ascii="宋体" w:hAnsi="宋体" w:eastAsia="宋体" w:cs="宋体"/>
          <w:spacing w:val="-3"/>
          <w:sz w:val="24"/>
          <w:szCs w:val="24"/>
        </w:rPr>
        <w:t xml:space="preserve"> </w:t>
      </w:r>
      <w:r>
        <w:rPr>
          <w:rFonts w:ascii="宋体" w:hAnsi="宋体" w:eastAsia="宋体" w:cs="宋体"/>
          <w:b/>
          <w:bCs/>
          <w:spacing w:val="-3"/>
          <w:sz w:val="24"/>
          <w:szCs w:val="24"/>
        </w:rPr>
        <w:t>招标文件的组成</w:t>
      </w:r>
    </w:p>
    <w:p w14:paraId="796C01FE">
      <w:pPr>
        <w:spacing w:before="182" w:line="219" w:lineRule="auto"/>
        <w:ind w:left="490"/>
        <w:rPr>
          <w:rFonts w:ascii="宋体" w:hAnsi="宋体" w:eastAsia="宋体" w:cs="宋体"/>
          <w:sz w:val="24"/>
          <w:szCs w:val="24"/>
        </w:rPr>
      </w:pPr>
      <w:r>
        <w:rPr>
          <w:rFonts w:ascii="宋体" w:hAnsi="宋体" w:eastAsia="宋体" w:cs="宋体"/>
          <w:spacing w:val="-8"/>
          <w:sz w:val="24"/>
          <w:szCs w:val="24"/>
        </w:rPr>
        <w:t>本招标文件包括：</w:t>
      </w:r>
    </w:p>
    <w:p w14:paraId="125D536B">
      <w:pPr>
        <w:spacing w:before="184" w:line="218" w:lineRule="auto"/>
        <w:ind w:left="495"/>
        <w:rPr>
          <w:rFonts w:ascii="宋体" w:hAnsi="宋体" w:eastAsia="宋体" w:cs="宋体"/>
          <w:sz w:val="24"/>
          <w:szCs w:val="24"/>
        </w:rPr>
      </w:pPr>
      <w:r>
        <w:rPr>
          <w:rFonts w:ascii="宋体" w:hAnsi="宋体" w:eastAsia="宋体" w:cs="宋体"/>
          <w:spacing w:val="-5"/>
          <w:sz w:val="24"/>
          <w:szCs w:val="24"/>
        </w:rPr>
        <w:t>（1）招标公告（或投标邀请书</w:t>
      </w:r>
      <w:r>
        <w:rPr>
          <w:rFonts w:ascii="宋体" w:hAnsi="宋体" w:eastAsia="宋体" w:cs="宋体"/>
          <w:sz w:val="24"/>
          <w:szCs w:val="24"/>
        </w:rPr>
        <w:t>）；</w:t>
      </w:r>
    </w:p>
    <w:p w14:paraId="674BC420">
      <w:pPr>
        <w:spacing w:before="185" w:line="220" w:lineRule="auto"/>
        <w:ind w:left="495"/>
        <w:rPr>
          <w:rFonts w:ascii="宋体" w:hAnsi="宋体" w:eastAsia="宋体" w:cs="宋体"/>
          <w:sz w:val="24"/>
          <w:szCs w:val="24"/>
        </w:rPr>
      </w:pPr>
      <w:r>
        <w:rPr>
          <w:rFonts w:ascii="宋体" w:hAnsi="宋体" w:eastAsia="宋体" w:cs="宋体"/>
          <w:spacing w:val="-8"/>
          <w:sz w:val="24"/>
          <w:szCs w:val="24"/>
        </w:rPr>
        <w:t>（2）投标人须知；</w:t>
      </w:r>
    </w:p>
    <w:p w14:paraId="214D1994">
      <w:pPr>
        <w:spacing w:before="181" w:line="220" w:lineRule="auto"/>
        <w:ind w:left="495"/>
        <w:rPr>
          <w:rFonts w:ascii="宋体" w:hAnsi="宋体" w:eastAsia="宋体" w:cs="宋体"/>
          <w:sz w:val="24"/>
          <w:szCs w:val="24"/>
        </w:rPr>
      </w:pPr>
      <w:r>
        <w:rPr>
          <w:rFonts w:ascii="宋体" w:hAnsi="宋体" w:eastAsia="宋体" w:cs="宋体"/>
          <w:spacing w:val="-8"/>
          <w:sz w:val="24"/>
          <w:szCs w:val="24"/>
        </w:rPr>
        <w:t>（3）评标办法；</w:t>
      </w:r>
    </w:p>
    <w:p w14:paraId="1468D83E">
      <w:pPr>
        <w:spacing w:before="182" w:line="220" w:lineRule="auto"/>
        <w:ind w:left="495"/>
        <w:rPr>
          <w:rFonts w:ascii="宋体" w:hAnsi="宋体" w:eastAsia="宋体" w:cs="宋体"/>
          <w:sz w:val="24"/>
          <w:szCs w:val="24"/>
        </w:rPr>
      </w:pPr>
      <w:r>
        <w:rPr>
          <w:rFonts w:ascii="宋体" w:hAnsi="宋体" w:eastAsia="宋体" w:cs="宋体"/>
          <w:spacing w:val="-6"/>
          <w:sz w:val="24"/>
          <w:szCs w:val="24"/>
        </w:rPr>
        <w:t>（4）合同条款及格式；</w:t>
      </w:r>
    </w:p>
    <w:p w14:paraId="4DF844F5">
      <w:pPr>
        <w:spacing w:before="183" w:line="220" w:lineRule="auto"/>
        <w:ind w:left="495"/>
        <w:rPr>
          <w:rFonts w:ascii="宋体" w:hAnsi="宋体" w:eastAsia="宋体" w:cs="宋体"/>
          <w:sz w:val="24"/>
          <w:szCs w:val="24"/>
        </w:rPr>
      </w:pPr>
      <w:r>
        <w:rPr>
          <w:rFonts w:ascii="宋体" w:hAnsi="宋体" w:eastAsia="宋体" w:cs="宋体"/>
          <w:spacing w:val="-8"/>
          <w:sz w:val="24"/>
          <w:szCs w:val="24"/>
        </w:rPr>
        <w:t>（5）工程量清单；</w:t>
      </w:r>
    </w:p>
    <w:p w14:paraId="214EF54E">
      <w:pPr>
        <w:spacing w:before="181" w:line="221" w:lineRule="auto"/>
        <w:ind w:left="495"/>
        <w:rPr>
          <w:rFonts w:ascii="宋体" w:hAnsi="宋体" w:eastAsia="宋体" w:cs="宋体"/>
          <w:sz w:val="24"/>
          <w:szCs w:val="24"/>
        </w:rPr>
      </w:pPr>
      <w:r>
        <w:rPr>
          <w:rFonts w:ascii="宋体" w:hAnsi="宋体" w:eastAsia="宋体" w:cs="宋体"/>
          <w:spacing w:val="-10"/>
          <w:sz w:val="24"/>
          <w:szCs w:val="24"/>
        </w:rPr>
        <w:t>（6）图纸；</w:t>
      </w:r>
    </w:p>
    <w:p w14:paraId="5F2A44CC">
      <w:pPr>
        <w:spacing w:before="180" w:line="220" w:lineRule="auto"/>
        <w:ind w:left="495"/>
        <w:rPr>
          <w:rFonts w:ascii="宋体" w:hAnsi="宋体" w:eastAsia="宋体" w:cs="宋体"/>
          <w:sz w:val="24"/>
          <w:szCs w:val="24"/>
        </w:rPr>
      </w:pPr>
      <w:r>
        <w:rPr>
          <w:rFonts w:ascii="宋体" w:hAnsi="宋体" w:eastAsia="宋体" w:cs="宋体"/>
          <w:spacing w:val="-8"/>
          <w:sz w:val="24"/>
          <w:szCs w:val="24"/>
        </w:rPr>
        <w:t>（7）技术规范；</w:t>
      </w:r>
    </w:p>
    <w:p w14:paraId="5EA495E6">
      <w:pPr>
        <w:spacing w:before="183" w:line="220" w:lineRule="auto"/>
        <w:ind w:left="495"/>
        <w:rPr>
          <w:rFonts w:ascii="宋体" w:hAnsi="宋体" w:eastAsia="宋体" w:cs="宋体"/>
          <w:sz w:val="24"/>
          <w:szCs w:val="24"/>
        </w:rPr>
      </w:pPr>
      <w:r>
        <w:rPr>
          <w:rFonts w:ascii="宋体" w:hAnsi="宋体" w:eastAsia="宋体" w:cs="宋体"/>
          <w:spacing w:val="-6"/>
          <w:sz w:val="24"/>
          <w:szCs w:val="24"/>
        </w:rPr>
        <w:t>（8）工程量清单计量规则；</w:t>
      </w:r>
    </w:p>
    <w:p w14:paraId="1BE8F32F">
      <w:pPr>
        <w:spacing w:before="181" w:line="220" w:lineRule="auto"/>
        <w:ind w:left="495"/>
        <w:rPr>
          <w:rFonts w:ascii="宋体" w:hAnsi="宋体" w:eastAsia="宋体" w:cs="宋体"/>
          <w:sz w:val="24"/>
          <w:szCs w:val="24"/>
        </w:rPr>
      </w:pPr>
      <w:r>
        <w:rPr>
          <w:rFonts w:ascii="宋体" w:hAnsi="宋体" w:eastAsia="宋体" w:cs="宋体"/>
          <w:spacing w:val="-7"/>
          <w:sz w:val="24"/>
          <w:szCs w:val="24"/>
        </w:rPr>
        <w:t>（9）投标文件格式；</w:t>
      </w:r>
    </w:p>
    <w:p w14:paraId="2BE77649">
      <w:pPr>
        <w:spacing w:before="183" w:line="219" w:lineRule="auto"/>
        <w:ind w:left="495"/>
        <w:rPr>
          <w:rFonts w:ascii="宋体" w:hAnsi="宋体" w:eastAsia="宋体" w:cs="宋体"/>
          <w:sz w:val="24"/>
          <w:szCs w:val="24"/>
        </w:rPr>
      </w:pPr>
      <w:r>
        <w:rPr>
          <w:rFonts w:ascii="宋体" w:hAnsi="宋体" w:eastAsia="宋体" w:cs="宋体"/>
          <w:spacing w:val="-3"/>
          <w:sz w:val="24"/>
          <w:szCs w:val="24"/>
        </w:rPr>
        <w:t>（10）投标人须知前附表规定的其他资料。</w:t>
      </w:r>
    </w:p>
    <w:p w14:paraId="2C96C451">
      <w:pPr>
        <w:spacing w:before="183" w:line="360" w:lineRule="auto"/>
        <w:ind w:left="10" w:right="7" w:firstLine="479"/>
        <w:rPr>
          <w:rFonts w:ascii="宋体" w:hAnsi="宋体" w:eastAsia="宋体" w:cs="宋体"/>
          <w:sz w:val="24"/>
          <w:szCs w:val="24"/>
        </w:rPr>
      </w:pPr>
      <w:r>
        <w:rPr>
          <w:rFonts w:ascii="宋体" w:hAnsi="宋体" w:eastAsia="宋体" w:cs="宋体"/>
          <w:spacing w:val="-1"/>
          <w:sz w:val="24"/>
          <w:szCs w:val="24"/>
        </w:rPr>
        <w:t>根据本章第</w:t>
      </w:r>
      <w:r>
        <w:rPr>
          <w:rFonts w:ascii="宋体" w:hAnsi="宋体" w:eastAsia="宋体" w:cs="宋体"/>
          <w:spacing w:val="-30"/>
          <w:sz w:val="24"/>
          <w:szCs w:val="24"/>
        </w:rPr>
        <w:t xml:space="preserve"> </w:t>
      </w:r>
      <w:r>
        <w:rPr>
          <w:rFonts w:ascii="宋体" w:hAnsi="宋体" w:eastAsia="宋体" w:cs="宋体"/>
          <w:spacing w:val="-1"/>
          <w:sz w:val="24"/>
          <w:szCs w:val="24"/>
        </w:rPr>
        <w:t>1.10</w:t>
      </w:r>
      <w:r>
        <w:rPr>
          <w:rFonts w:ascii="宋体" w:hAnsi="宋体" w:eastAsia="宋体" w:cs="宋体"/>
          <w:spacing w:val="-48"/>
          <w:sz w:val="24"/>
          <w:szCs w:val="24"/>
        </w:rPr>
        <w:t xml:space="preserve"> </w:t>
      </w:r>
      <w:r>
        <w:rPr>
          <w:rFonts w:ascii="宋体" w:hAnsi="宋体" w:eastAsia="宋体" w:cs="宋体"/>
          <w:spacing w:val="-1"/>
          <w:sz w:val="24"/>
          <w:szCs w:val="24"/>
        </w:rPr>
        <w:t>款、第</w:t>
      </w:r>
      <w:r>
        <w:rPr>
          <w:rFonts w:ascii="宋体" w:hAnsi="宋体" w:eastAsia="宋体" w:cs="宋体"/>
          <w:spacing w:val="-44"/>
          <w:sz w:val="24"/>
          <w:szCs w:val="24"/>
        </w:rPr>
        <w:t xml:space="preserve"> </w:t>
      </w:r>
      <w:r>
        <w:rPr>
          <w:rFonts w:ascii="宋体" w:hAnsi="宋体" w:eastAsia="宋体" w:cs="宋体"/>
          <w:spacing w:val="-1"/>
          <w:sz w:val="24"/>
          <w:szCs w:val="24"/>
        </w:rPr>
        <w:t>2.2</w:t>
      </w:r>
      <w:r>
        <w:rPr>
          <w:rFonts w:ascii="宋体" w:hAnsi="宋体" w:eastAsia="宋体" w:cs="宋体"/>
          <w:spacing w:val="-47"/>
          <w:sz w:val="24"/>
          <w:szCs w:val="24"/>
        </w:rPr>
        <w:t xml:space="preserve"> </w:t>
      </w:r>
      <w:r>
        <w:rPr>
          <w:rFonts w:ascii="宋体" w:hAnsi="宋体" w:eastAsia="宋体" w:cs="宋体"/>
          <w:spacing w:val="-1"/>
          <w:sz w:val="24"/>
          <w:szCs w:val="24"/>
        </w:rPr>
        <w:t>款和第</w:t>
      </w:r>
      <w:r>
        <w:rPr>
          <w:rFonts w:ascii="宋体" w:hAnsi="宋体" w:eastAsia="宋体" w:cs="宋体"/>
          <w:spacing w:val="-46"/>
          <w:sz w:val="24"/>
          <w:szCs w:val="24"/>
        </w:rPr>
        <w:t xml:space="preserve"> </w:t>
      </w:r>
      <w:r>
        <w:rPr>
          <w:rFonts w:ascii="宋体" w:hAnsi="宋体" w:eastAsia="宋体" w:cs="宋体"/>
          <w:spacing w:val="-1"/>
          <w:sz w:val="24"/>
          <w:szCs w:val="24"/>
        </w:rPr>
        <w:t>2.3</w:t>
      </w:r>
      <w:r>
        <w:rPr>
          <w:rFonts w:ascii="宋体" w:hAnsi="宋体" w:eastAsia="宋体" w:cs="宋体"/>
          <w:spacing w:val="-47"/>
          <w:sz w:val="24"/>
          <w:szCs w:val="24"/>
        </w:rPr>
        <w:t xml:space="preserve"> </w:t>
      </w:r>
      <w:r>
        <w:rPr>
          <w:rFonts w:ascii="宋体" w:hAnsi="宋体" w:eastAsia="宋体" w:cs="宋体"/>
          <w:spacing w:val="-1"/>
          <w:sz w:val="24"/>
          <w:szCs w:val="24"/>
        </w:rPr>
        <w:t>款对招标文件所作的澄清、</w:t>
      </w:r>
      <w:r>
        <w:rPr>
          <w:rFonts w:ascii="宋体" w:hAnsi="宋体" w:eastAsia="宋体" w:cs="宋体"/>
          <w:spacing w:val="-2"/>
          <w:sz w:val="24"/>
          <w:szCs w:val="24"/>
        </w:rPr>
        <w:t>修改，构成招</w:t>
      </w:r>
      <w:r>
        <w:rPr>
          <w:rFonts w:ascii="宋体" w:hAnsi="宋体" w:eastAsia="宋体" w:cs="宋体"/>
          <w:spacing w:val="-5"/>
          <w:sz w:val="24"/>
          <w:szCs w:val="24"/>
        </w:rPr>
        <w:t>标文件的组成部分。</w:t>
      </w:r>
    </w:p>
    <w:p w14:paraId="3D9D0579">
      <w:pPr>
        <w:spacing w:line="360" w:lineRule="auto"/>
        <w:ind w:left="29" w:firstLine="475"/>
        <w:rPr>
          <w:rFonts w:ascii="宋体" w:hAnsi="宋体" w:eastAsia="宋体" w:cs="宋体"/>
          <w:sz w:val="24"/>
          <w:szCs w:val="24"/>
        </w:rPr>
      </w:pPr>
      <w:r>
        <w:rPr>
          <w:rFonts w:ascii="宋体" w:hAnsi="宋体" w:eastAsia="宋体" w:cs="宋体"/>
          <w:spacing w:val="-2"/>
          <w:sz w:val="24"/>
          <w:szCs w:val="24"/>
        </w:rPr>
        <w:t>当招标文件、招标文件的澄清或修改等在同一内容的表述上不一致时，以最后</w:t>
      </w:r>
      <w:r>
        <w:rPr>
          <w:rFonts w:ascii="宋体" w:hAnsi="宋体" w:eastAsia="宋体" w:cs="宋体"/>
          <w:spacing w:val="-3"/>
          <w:sz w:val="24"/>
          <w:szCs w:val="24"/>
        </w:rPr>
        <w:t>发出</w:t>
      </w:r>
      <w:r>
        <w:rPr>
          <w:rFonts w:ascii="宋体" w:hAnsi="宋体" w:eastAsia="宋体" w:cs="宋体"/>
          <w:spacing w:val="-7"/>
          <w:sz w:val="24"/>
          <w:szCs w:val="24"/>
        </w:rPr>
        <w:t>的书面文件为准。</w:t>
      </w:r>
    </w:p>
    <w:p w14:paraId="4227228A">
      <w:pPr>
        <w:spacing w:before="1" w:line="219" w:lineRule="auto"/>
        <w:ind w:left="12"/>
        <w:rPr>
          <w:rFonts w:ascii="宋体" w:hAnsi="宋体" w:eastAsia="宋体" w:cs="宋体"/>
          <w:sz w:val="24"/>
          <w:szCs w:val="24"/>
        </w:rPr>
      </w:pPr>
      <w:r>
        <w:rPr>
          <w:rFonts w:ascii="宋体" w:hAnsi="宋体" w:eastAsia="宋体" w:cs="宋体"/>
          <w:b/>
          <w:bCs/>
          <w:spacing w:val="-3"/>
          <w:sz w:val="24"/>
          <w:szCs w:val="24"/>
        </w:rPr>
        <w:t>2.2</w:t>
      </w:r>
      <w:r>
        <w:rPr>
          <w:rFonts w:ascii="宋体" w:hAnsi="宋体" w:eastAsia="宋体" w:cs="宋体"/>
          <w:spacing w:val="-3"/>
          <w:sz w:val="24"/>
          <w:szCs w:val="24"/>
        </w:rPr>
        <w:t xml:space="preserve"> </w:t>
      </w:r>
      <w:r>
        <w:rPr>
          <w:rFonts w:ascii="宋体" w:hAnsi="宋体" w:eastAsia="宋体" w:cs="宋体"/>
          <w:b/>
          <w:bCs/>
          <w:spacing w:val="-3"/>
          <w:sz w:val="24"/>
          <w:szCs w:val="24"/>
        </w:rPr>
        <w:t>招标文件的澄清</w:t>
      </w:r>
    </w:p>
    <w:p w14:paraId="2DFE0DB0">
      <w:pPr>
        <w:spacing w:line="219" w:lineRule="auto"/>
        <w:rPr>
          <w:rFonts w:ascii="宋体" w:hAnsi="宋体" w:eastAsia="宋体" w:cs="宋体"/>
          <w:sz w:val="24"/>
          <w:szCs w:val="24"/>
        </w:rPr>
        <w:sectPr>
          <w:footerReference r:id="rId21" w:type="default"/>
          <w:pgSz w:w="11905" w:h="16840"/>
          <w:pgMar w:top="1182" w:right="1416" w:bottom="1171" w:left="1416" w:header="849" w:footer="937" w:gutter="0"/>
          <w:pgNumType w:fmt="decimal"/>
          <w:cols w:space="720" w:num="1"/>
        </w:sectPr>
      </w:pPr>
    </w:p>
    <w:p w14:paraId="2BF8D4B6">
      <w:pPr>
        <w:pStyle w:val="2"/>
        <w:spacing w:line="268" w:lineRule="auto"/>
      </w:pPr>
    </w:p>
    <w:p w14:paraId="6D5DCE30">
      <w:pPr>
        <w:spacing w:before="78" w:line="360" w:lineRule="auto"/>
        <w:ind w:left="8" w:firstLine="483"/>
        <w:rPr>
          <w:rFonts w:ascii="宋体" w:hAnsi="宋体" w:eastAsia="宋体" w:cs="宋体"/>
          <w:sz w:val="24"/>
          <w:szCs w:val="24"/>
        </w:rPr>
      </w:pPr>
      <w:r>
        <w:rPr>
          <w:rFonts w:ascii="宋体" w:hAnsi="宋体" w:eastAsia="宋体" w:cs="宋体"/>
          <w:spacing w:val="-5"/>
          <w:sz w:val="24"/>
          <w:szCs w:val="24"/>
        </w:rPr>
        <w:t>2.2.1 投标人应仔细阅读和检查招标文件的全部内容。如发现缺页或附件不全， 应</w:t>
      </w:r>
      <w:r>
        <w:rPr>
          <w:rFonts w:ascii="宋体" w:hAnsi="宋体" w:eastAsia="宋体" w:cs="宋体"/>
          <w:spacing w:val="-6"/>
          <w:sz w:val="24"/>
          <w:szCs w:val="24"/>
        </w:rPr>
        <w:t>及时向招标人提出，以便补齐。如有疑问，</w:t>
      </w:r>
      <w:r>
        <w:rPr>
          <w:rFonts w:ascii="宋体" w:hAnsi="宋体" w:eastAsia="宋体" w:cs="宋体"/>
          <w:spacing w:val="50"/>
          <w:sz w:val="24"/>
          <w:szCs w:val="24"/>
        </w:rPr>
        <w:t xml:space="preserve"> </w:t>
      </w:r>
      <w:r>
        <w:rPr>
          <w:rFonts w:ascii="宋体" w:hAnsi="宋体" w:eastAsia="宋体" w:cs="宋体"/>
          <w:spacing w:val="-6"/>
          <w:sz w:val="24"/>
          <w:szCs w:val="24"/>
        </w:rPr>
        <w:t>应按投标人须知前附表规定的时间和形式将</w:t>
      </w:r>
      <w:r>
        <w:rPr>
          <w:rFonts w:ascii="宋体" w:hAnsi="宋体" w:eastAsia="宋体" w:cs="宋体"/>
          <w:spacing w:val="-2"/>
          <w:sz w:val="24"/>
          <w:szCs w:val="24"/>
        </w:rPr>
        <w:t>提出的问题送达招标人，要求招标人对招标文件予以澄清。</w:t>
      </w:r>
    </w:p>
    <w:p w14:paraId="513622AF">
      <w:pPr>
        <w:spacing w:line="360" w:lineRule="auto"/>
        <w:ind w:left="12" w:firstLine="480"/>
        <w:rPr>
          <w:rFonts w:ascii="宋体" w:hAnsi="宋体" w:eastAsia="宋体" w:cs="宋体"/>
          <w:sz w:val="24"/>
          <w:szCs w:val="24"/>
        </w:rPr>
      </w:pPr>
      <w:r>
        <w:rPr>
          <w:rFonts w:ascii="宋体" w:hAnsi="宋体" w:eastAsia="宋体" w:cs="宋体"/>
          <w:spacing w:val="5"/>
          <w:sz w:val="24"/>
          <w:szCs w:val="24"/>
        </w:rPr>
        <w:t>2.2.2 招标文件的澄清以投标人须知前附表规定的形</w:t>
      </w:r>
      <w:r>
        <w:rPr>
          <w:rFonts w:ascii="宋体" w:hAnsi="宋体" w:eastAsia="宋体" w:cs="宋体"/>
          <w:spacing w:val="4"/>
          <w:sz w:val="24"/>
          <w:szCs w:val="24"/>
        </w:rPr>
        <w:t>式发给所有购买招标文件的</w:t>
      </w:r>
      <w:r>
        <w:rPr>
          <w:rFonts w:ascii="宋体" w:hAnsi="宋体" w:eastAsia="宋体" w:cs="宋体"/>
          <w:spacing w:val="-2"/>
          <w:sz w:val="24"/>
          <w:szCs w:val="24"/>
        </w:rPr>
        <w:t>投标人，但不指明澄清问题的来源。澄清发出的时间距本章第</w:t>
      </w:r>
      <w:r>
        <w:rPr>
          <w:rFonts w:ascii="宋体" w:hAnsi="宋体" w:eastAsia="宋体" w:cs="宋体"/>
          <w:spacing w:val="-52"/>
          <w:sz w:val="24"/>
          <w:szCs w:val="24"/>
        </w:rPr>
        <w:t xml:space="preserve"> </w:t>
      </w:r>
      <w:r>
        <w:rPr>
          <w:rFonts w:ascii="宋体" w:hAnsi="宋体" w:eastAsia="宋体" w:cs="宋体"/>
          <w:spacing w:val="-2"/>
          <w:sz w:val="24"/>
          <w:szCs w:val="24"/>
        </w:rPr>
        <w:t>4.2.1</w:t>
      </w:r>
      <w:r>
        <w:rPr>
          <w:rFonts w:ascii="宋体" w:hAnsi="宋体" w:eastAsia="宋体" w:cs="宋体"/>
          <w:spacing w:val="-47"/>
          <w:sz w:val="24"/>
          <w:szCs w:val="24"/>
        </w:rPr>
        <w:t xml:space="preserve"> </w:t>
      </w:r>
      <w:r>
        <w:rPr>
          <w:rFonts w:ascii="宋体" w:hAnsi="宋体" w:eastAsia="宋体" w:cs="宋体"/>
          <w:spacing w:val="-2"/>
          <w:sz w:val="24"/>
          <w:szCs w:val="24"/>
        </w:rPr>
        <w:t>项规定的投</w:t>
      </w:r>
      <w:r>
        <w:rPr>
          <w:rFonts w:ascii="宋体" w:hAnsi="宋体" w:eastAsia="宋体" w:cs="宋体"/>
          <w:spacing w:val="-3"/>
          <w:sz w:val="24"/>
          <w:szCs w:val="24"/>
        </w:rPr>
        <w:t>标截止时间不足</w:t>
      </w:r>
      <w:r>
        <w:rPr>
          <w:rFonts w:ascii="宋体" w:hAnsi="宋体" w:eastAsia="宋体" w:cs="宋体"/>
          <w:spacing w:val="-33"/>
          <w:sz w:val="24"/>
          <w:szCs w:val="24"/>
        </w:rPr>
        <w:t xml:space="preserve"> </w:t>
      </w:r>
      <w:r>
        <w:rPr>
          <w:rFonts w:ascii="宋体" w:hAnsi="宋体" w:eastAsia="宋体" w:cs="宋体"/>
          <w:spacing w:val="-3"/>
          <w:sz w:val="24"/>
          <w:szCs w:val="24"/>
        </w:rPr>
        <w:t>15 日，且澄清内容可能影响投</w:t>
      </w:r>
      <w:r>
        <w:rPr>
          <w:rFonts w:ascii="宋体" w:hAnsi="宋体" w:eastAsia="宋体" w:cs="宋体"/>
          <w:spacing w:val="-4"/>
          <w:sz w:val="24"/>
          <w:szCs w:val="24"/>
        </w:rPr>
        <w:t>标文件编制的，将相应延长投标截止时间。</w:t>
      </w:r>
    </w:p>
    <w:p w14:paraId="7CAB69BF">
      <w:pPr>
        <w:spacing w:before="2" w:line="359" w:lineRule="auto"/>
        <w:ind w:left="38" w:firstLine="453"/>
        <w:rPr>
          <w:rFonts w:ascii="宋体" w:hAnsi="宋体" w:eastAsia="宋体" w:cs="宋体"/>
          <w:sz w:val="24"/>
          <w:szCs w:val="24"/>
        </w:rPr>
      </w:pPr>
      <w:r>
        <w:rPr>
          <w:rFonts w:ascii="宋体" w:hAnsi="宋体" w:eastAsia="宋体" w:cs="宋体"/>
          <w:spacing w:val="-2"/>
          <w:sz w:val="24"/>
          <w:szCs w:val="24"/>
        </w:rPr>
        <w:t>2.2.3 投标人应注意及时浏览网上发出的澄清，因投标人自身原因未及时获知澄清</w:t>
      </w:r>
      <w:r>
        <w:rPr>
          <w:rFonts w:ascii="宋体" w:hAnsi="宋体" w:eastAsia="宋体" w:cs="宋体"/>
          <w:spacing w:val="-4"/>
          <w:sz w:val="24"/>
          <w:szCs w:val="24"/>
        </w:rPr>
        <w:t>内容而导致的任何后果将由投标人自行承担。</w:t>
      </w:r>
    </w:p>
    <w:p w14:paraId="3DAF755F">
      <w:pPr>
        <w:spacing w:before="2" w:line="359" w:lineRule="auto"/>
        <w:ind w:left="12" w:firstLine="480"/>
        <w:rPr>
          <w:rFonts w:ascii="宋体" w:hAnsi="宋体" w:eastAsia="宋体" w:cs="宋体"/>
          <w:sz w:val="24"/>
          <w:szCs w:val="24"/>
        </w:rPr>
      </w:pPr>
      <w:r>
        <w:rPr>
          <w:rFonts w:ascii="宋体" w:hAnsi="宋体" w:eastAsia="宋体" w:cs="宋体"/>
          <w:spacing w:val="-2"/>
          <w:sz w:val="24"/>
          <w:szCs w:val="24"/>
        </w:rPr>
        <w:t>2.2.4 除非招标人认为确有必要答复，否则，招标人有权拒绝回复投标人在本章第</w:t>
      </w:r>
      <w:r>
        <w:rPr>
          <w:rFonts w:ascii="宋体" w:hAnsi="宋体" w:eastAsia="宋体" w:cs="宋体"/>
          <w:spacing w:val="-3"/>
          <w:sz w:val="24"/>
          <w:szCs w:val="24"/>
        </w:rPr>
        <w:t>2.2.1</w:t>
      </w:r>
      <w:r>
        <w:rPr>
          <w:rFonts w:ascii="宋体" w:hAnsi="宋体" w:eastAsia="宋体" w:cs="宋体"/>
          <w:spacing w:val="-40"/>
          <w:sz w:val="24"/>
          <w:szCs w:val="24"/>
        </w:rPr>
        <w:t xml:space="preserve"> </w:t>
      </w:r>
      <w:r>
        <w:rPr>
          <w:rFonts w:ascii="宋体" w:hAnsi="宋体" w:eastAsia="宋体" w:cs="宋体"/>
          <w:spacing w:val="-3"/>
          <w:sz w:val="24"/>
          <w:szCs w:val="24"/>
        </w:rPr>
        <w:t>项规定的时间后提出的任何澄清要求。</w:t>
      </w:r>
    </w:p>
    <w:p w14:paraId="2D40283F">
      <w:pPr>
        <w:spacing w:line="219" w:lineRule="auto"/>
        <w:ind w:left="12"/>
        <w:rPr>
          <w:rFonts w:ascii="宋体" w:hAnsi="宋体" w:eastAsia="宋体" w:cs="宋体"/>
          <w:sz w:val="24"/>
          <w:szCs w:val="24"/>
        </w:rPr>
      </w:pPr>
      <w:r>
        <w:rPr>
          <w:rFonts w:ascii="宋体" w:hAnsi="宋体" w:eastAsia="宋体" w:cs="宋体"/>
          <w:b/>
          <w:bCs/>
          <w:spacing w:val="-3"/>
          <w:sz w:val="24"/>
          <w:szCs w:val="24"/>
        </w:rPr>
        <w:t>2.3</w:t>
      </w:r>
      <w:r>
        <w:rPr>
          <w:rFonts w:ascii="宋体" w:hAnsi="宋体" w:eastAsia="宋体" w:cs="宋体"/>
          <w:spacing w:val="-3"/>
          <w:sz w:val="24"/>
          <w:szCs w:val="24"/>
        </w:rPr>
        <w:t xml:space="preserve"> </w:t>
      </w:r>
      <w:r>
        <w:rPr>
          <w:rFonts w:ascii="宋体" w:hAnsi="宋体" w:eastAsia="宋体" w:cs="宋体"/>
          <w:b/>
          <w:bCs/>
          <w:spacing w:val="-3"/>
          <w:sz w:val="24"/>
          <w:szCs w:val="24"/>
        </w:rPr>
        <w:t>招标文件的修改</w:t>
      </w:r>
    </w:p>
    <w:p w14:paraId="282B6506">
      <w:pPr>
        <w:spacing w:before="182" w:line="360" w:lineRule="auto"/>
        <w:ind w:left="12" w:firstLine="480"/>
        <w:rPr>
          <w:rFonts w:ascii="宋体" w:hAnsi="宋体" w:eastAsia="宋体" w:cs="宋体"/>
          <w:sz w:val="24"/>
          <w:szCs w:val="24"/>
        </w:rPr>
      </w:pPr>
      <w:r>
        <w:rPr>
          <w:rFonts w:ascii="宋体" w:hAnsi="宋体" w:eastAsia="宋体" w:cs="宋体"/>
          <w:spacing w:val="-2"/>
          <w:sz w:val="24"/>
          <w:szCs w:val="24"/>
        </w:rPr>
        <w:t>2.3.1 招标人以投标人须知前附表规定的形式修改招标文件，并通知所有已登记的投标人。修改招标文件的时间距本章第</w:t>
      </w:r>
      <w:r>
        <w:rPr>
          <w:rFonts w:ascii="宋体" w:hAnsi="宋体" w:eastAsia="宋体" w:cs="宋体"/>
          <w:spacing w:val="-29"/>
          <w:sz w:val="24"/>
          <w:szCs w:val="24"/>
        </w:rPr>
        <w:t xml:space="preserve"> </w:t>
      </w:r>
      <w:r>
        <w:rPr>
          <w:rFonts w:ascii="宋体" w:hAnsi="宋体" w:eastAsia="宋体" w:cs="宋体"/>
          <w:spacing w:val="-2"/>
          <w:sz w:val="24"/>
          <w:szCs w:val="24"/>
        </w:rPr>
        <w:t>4.2.1</w:t>
      </w:r>
      <w:r>
        <w:rPr>
          <w:rFonts w:ascii="宋体" w:hAnsi="宋体" w:eastAsia="宋体" w:cs="宋体"/>
          <w:spacing w:val="-45"/>
          <w:sz w:val="24"/>
          <w:szCs w:val="24"/>
        </w:rPr>
        <w:t xml:space="preserve"> </w:t>
      </w:r>
      <w:r>
        <w:rPr>
          <w:rFonts w:ascii="宋体" w:hAnsi="宋体" w:eastAsia="宋体" w:cs="宋体"/>
          <w:spacing w:val="-2"/>
          <w:sz w:val="24"/>
          <w:szCs w:val="24"/>
        </w:rPr>
        <w:t>项规定的投标截止时间不足</w:t>
      </w:r>
      <w:r>
        <w:rPr>
          <w:rFonts w:ascii="宋体" w:hAnsi="宋体" w:eastAsia="宋体" w:cs="宋体"/>
          <w:spacing w:val="-28"/>
          <w:sz w:val="24"/>
          <w:szCs w:val="24"/>
        </w:rPr>
        <w:t xml:space="preserve"> </w:t>
      </w:r>
      <w:r>
        <w:rPr>
          <w:rFonts w:ascii="宋体" w:hAnsi="宋体" w:eastAsia="宋体" w:cs="宋体"/>
          <w:spacing w:val="-2"/>
          <w:sz w:val="24"/>
          <w:szCs w:val="24"/>
        </w:rPr>
        <w:t>15 日，且修改内容可能影响投标文件编制的，将相应延长投标截止时间。</w:t>
      </w:r>
    </w:p>
    <w:p w14:paraId="753B6EF5">
      <w:pPr>
        <w:spacing w:line="360" w:lineRule="auto"/>
        <w:ind w:left="38" w:firstLine="453"/>
        <w:rPr>
          <w:rFonts w:ascii="宋体" w:hAnsi="宋体" w:eastAsia="宋体" w:cs="宋体"/>
          <w:sz w:val="24"/>
          <w:szCs w:val="24"/>
        </w:rPr>
      </w:pPr>
      <w:r>
        <w:rPr>
          <w:rFonts w:ascii="宋体" w:hAnsi="宋体" w:eastAsia="宋体" w:cs="宋体"/>
          <w:spacing w:val="-2"/>
          <w:sz w:val="24"/>
          <w:szCs w:val="24"/>
        </w:rPr>
        <w:t>2.3.2 投标人应注意及时浏览网上发出的修改，因投标人自身原因未及时获知修改</w:t>
      </w:r>
      <w:r>
        <w:rPr>
          <w:rFonts w:ascii="宋体" w:hAnsi="宋体" w:eastAsia="宋体" w:cs="宋体"/>
          <w:spacing w:val="-4"/>
          <w:sz w:val="24"/>
          <w:szCs w:val="24"/>
        </w:rPr>
        <w:t>内容而导致的任何后果将由投标人自行承担。</w:t>
      </w:r>
    </w:p>
    <w:p w14:paraId="00DD2FAF">
      <w:pPr>
        <w:spacing w:before="1" w:line="219" w:lineRule="auto"/>
        <w:ind w:left="12"/>
        <w:rPr>
          <w:rFonts w:ascii="宋体" w:hAnsi="宋体" w:eastAsia="宋体" w:cs="宋体"/>
          <w:sz w:val="24"/>
          <w:szCs w:val="24"/>
        </w:rPr>
      </w:pPr>
      <w:r>
        <w:rPr>
          <w:rFonts w:ascii="宋体" w:hAnsi="宋体" w:eastAsia="宋体" w:cs="宋体"/>
          <w:b/>
          <w:bCs/>
          <w:spacing w:val="-3"/>
          <w:sz w:val="24"/>
          <w:szCs w:val="24"/>
        </w:rPr>
        <w:t>2.4</w:t>
      </w:r>
      <w:r>
        <w:rPr>
          <w:rFonts w:ascii="宋体" w:hAnsi="宋体" w:eastAsia="宋体" w:cs="宋体"/>
          <w:spacing w:val="-3"/>
          <w:sz w:val="24"/>
          <w:szCs w:val="24"/>
        </w:rPr>
        <w:t xml:space="preserve"> </w:t>
      </w:r>
      <w:r>
        <w:rPr>
          <w:rFonts w:ascii="宋体" w:hAnsi="宋体" w:eastAsia="宋体" w:cs="宋体"/>
          <w:b/>
          <w:bCs/>
          <w:spacing w:val="-3"/>
          <w:sz w:val="24"/>
          <w:szCs w:val="24"/>
        </w:rPr>
        <w:t>招标文件的异议</w:t>
      </w:r>
    </w:p>
    <w:p w14:paraId="56661104">
      <w:pPr>
        <w:spacing w:before="182" w:line="360" w:lineRule="auto"/>
        <w:ind w:left="12" w:firstLine="480"/>
        <w:jc w:val="both"/>
        <w:rPr>
          <w:rFonts w:ascii="宋体" w:hAnsi="宋体" w:eastAsia="宋体" w:cs="宋体"/>
          <w:sz w:val="24"/>
          <w:szCs w:val="24"/>
        </w:rPr>
      </w:pPr>
      <w:r>
        <w:rPr>
          <w:rFonts w:ascii="宋体" w:hAnsi="宋体" w:eastAsia="宋体" w:cs="宋体"/>
          <w:spacing w:val="-1"/>
          <w:sz w:val="24"/>
          <w:szCs w:val="24"/>
        </w:rPr>
        <w:t>投标人或其他利害关系人对招标文件有异议的，应在投标截止时间</w:t>
      </w:r>
      <w:r>
        <w:rPr>
          <w:rFonts w:ascii="宋体" w:hAnsi="宋体" w:eastAsia="宋体" w:cs="宋体"/>
          <w:spacing w:val="-21"/>
          <w:sz w:val="24"/>
          <w:szCs w:val="24"/>
        </w:rPr>
        <w:t xml:space="preserve"> </w:t>
      </w:r>
      <w:r>
        <w:rPr>
          <w:rFonts w:ascii="宋体" w:hAnsi="宋体" w:eastAsia="宋体" w:cs="宋体"/>
          <w:spacing w:val="-2"/>
          <w:sz w:val="24"/>
          <w:szCs w:val="24"/>
        </w:rPr>
        <w:t>10 日前以书面</w:t>
      </w:r>
      <w:r>
        <w:rPr>
          <w:rFonts w:ascii="宋体" w:hAnsi="宋体" w:eastAsia="宋体" w:cs="宋体"/>
          <w:spacing w:val="-3"/>
          <w:sz w:val="24"/>
          <w:szCs w:val="24"/>
        </w:rPr>
        <w:t>形式提出。招标人将在收到异议之日起</w:t>
      </w:r>
      <w:r>
        <w:rPr>
          <w:rFonts w:ascii="宋体" w:hAnsi="宋体" w:eastAsia="宋体" w:cs="宋体"/>
          <w:spacing w:val="-46"/>
          <w:sz w:val="24"/>
          <w:szCs w:val="24"/>
        </w:rPr>
        <w:t xml:space="preserve"> </w:t>
      </w:r>
      <w:r>
        <w:rPr>
          <w:rFonts w:ascii="宋体" w:hAnsi="宋体" w:eastAsia="宋体" w:cs="宋体"/>
          <w:spacing w:val="-3"/>
          <w:sz w:val="24"/>
          <w:szCs w:val="24"/>
        </w:rPr>
        <w:t>3 日</w:t>
      </w:r>
      <w:r>
        <w:rPr>
          <w:rFonts w:ascii="宋体" w:hAnsi="宋体" w:eastAsia="宋体" w:cs="宋体"/>
          <w:spacing w:val="-4"/>
          <w:sz w:val="24"/>
          <w:szCs w:val="24"/>
        </w:rPr>
        <w:t>内作出答复；作出答复前，将暂停招标投标</w:t>
      </w:r>
      <w:r>
        <w:rPr>
          <w:rFonts w:ascii="宋体" w:hAnsi="宋体" w:eastAsia="宋体" w:cs="宋体"/>
          <w:spacing w:val="-11"/>
          <w:sz w:val="24"/>
          <w:szCs w:val="24"/>
        </w:rPr>
        <w:t>活动。</w:t>
      </w:r>
    </w:p>
    <w:p w14:paraId="5F240927">
      <w:pPr>
        <w:spacing w:before="1" w:line="219" w:lineRule="auto"/>
        <w:ind w:left="14"/>
        <w:rPr>
          <w:rFonts w:ascii="宋体" w:hAnsi="宋体" w:eastAsia="宋体" w:cs="宋体"/>
          <w:sz w:val="24"/>
          <w:szCs w:val="24"/>
        </w:rPr>
      </w:pPr>
      <w:r>
        <w:rPr>
          <w:rFonts w:ascii="宋体" w:hAnsi="宋体" w:eastAsia="宋体" w:cs="宋体"/>
          <w:b/>
          <w:bCs/>
          <w:spacing w:val="-7"/>
          <w:sz w:val="24"/>
          <w:szCs w:val="24"/>
        </w:rPr>
        <w:t>3.</w:t>
      </w:r>
      <w:r>
        <w:rPr>
          <w:rFonts w:ascii="宋体" w:hAnsi="宋体" w:eastAsia="宋体" w:cs="宋体"/>
          <w:spacing w:val="17"/>
          <w:sz w:val="24"/>
          <w:szCs w:val="24"/>
        </w:rPr>
        <w:t xml:space="preserve"> </w:t>
      </w:r>
      <w:r>
        <w:rPr>
          <w:rFonts w:ascii="宋体" w:hAnsi="宋体" w:eastAsia="宋体" w:cs="宋体"/>
          <w:b/>
          <w:bCs/>
          <w:spacing w:val="-7"/>
          <w:sz w:val="24"/>
          <w:szCs w:val="24"/>
        </w:rPr>
        <w:t>投标文件</w:t>
      </w:r>
    </w:p>
    <w:p w14:paraId="7145BE1C">
      <w:pPr>
        <w:spacing w:before="182" w:line="220" w:lineRule="auto"/>
        <w:ind w:left="14"/>
        <w:rPr>
          <w:rFonts w:ascii="宋体" w:hAnsi="宋体" w:eastAsia="宋体" w:cs="宋体"/>
          <w:sz w:val="24"/>
          <w:szCs w:val="24"/>
        </w:rPr>
      </w:pPr>
      <w:r>
        <w:rPr>
          <w:rFonts w:ascii="宋体" w:hAnsi="宋体" w:eastAsia="宋体" w:cs="宋体"/>
          <w:b/>
          <w:bCs/>
          <w:spacing w:val="-3"/>
          <w:sz w:val="24"/>
          <w:szCs w:val="24"/>
        </w:rPr>
        <w:t>3.1</w:t>
      </w:r>
      <w:r>
        <w:rPr>
          <w:rFonts w:ascii="宋体" w:hAnsi="宋体" w:eastAsia="宋体" w:cs="宋体"/>
          <w:spacing w:val="-3"/>
          <w:sz w:val="24"/>
          <w:szCs w:val="24"/>
        </w:rPr>
        <w:t xml:space="preserve"> </w:t>
      </w:r>
      <w:r>
        <w:rPr>
          <w:rFonts w:ascii="宋体" w:hAnsi="宋体" w:eastAsia="宋体" w:cs="宋体"/>
          <w:b/>
          <w:bCs/>
          <w:spacing w:val="-3"/>
          <w:sz w:val="24"/>
          <w:szCs w:val="24"/>
        </w:rPr>
        <w:t>投标文件的组成</w:t>
      </w:r>
    </w:p>
    <w:p w14:paraId="29AAAAB3">
      <w:pPr>
        <w:spacing w:before="182" w:line="220" w:lineRule="auto"/>
        <w:ind w:left="492"/>
        <w:rPr>
          <w:rFonts w:ascii="宋体" w:hAnsi="宋体" w:eastAsia="宋体" w:cs="宋体"/>
          <w:sz w:val="24"/>
          <w:szCs w:val="24"/>
        </w:rPr>
      </w:pPr>
      <w:r>
        <w:rPr>
          <w:rFonts w:ascii="宋体" w:hAnsi="宋体" w:eastAsia="宋体" w:cs="宋体"/>
          <w:spacing w:val="-3"/>
          <w:sz w:val="24"/>
          <w:szCs w:val="24"/>
        </w:rPr>
        <w:t>投标文件的组成应满足相应条款要求。</w:t>
      </w:r>
    </w:p>
    <w:p w14:paraId="7F1923F9">
      <w:pPr>
        <w:spacing w:before="182" w:line="220" w:lineRule="auto"/>
        <w:ind w:left="494"/>
        <w:rPr>
          <w:rFonts w:ascii="宋体" w:hAnsi="宋体" w:eastAsia="宋体" w:cs="宋体"/>
          <w:sz w:val="24"/>
          <w:szCs w:val="24"/>
        </w:rPr>
      </w:pPr>
      <w:r>
        <w:rPr>
          <w:rFonts w:ascii="宋体" w:hAnsi="宋体" w:eastAsia="宋体" w:cs="宋体"/>
          <w:spacing w:val="-4"/>
          <w:sz w:val="24"/>
          <w:szCs w:val="24"/>
        </w:rPr>
        <w:t>3.1.1 投标文件应包括下列内容：</w:t>
      </w:r>
    </w:p>
    <w:p w14:paraId="74450B8A">
      <w:pPr>
        <w:spacing w:before="182" w:line="220" w:lineRule="auto"/>
        <w:ind w:left="489"/>
        <w:rPr>
          <w:rFonts w:ascii="宋体" w:hAnsi="宋体" w:eastAsia="宋体" w:cs="宋体"/>
          <w:sz w:val="24"/>
          <w:szCs w:val="24"/>
        </w:rPr>
      </w:pPr>
      <w:r>
        <w:rPr>
          <w:rFonts w:ascii="宋体" w:hAnsi="宋体" w:eastAsia="宋体" w:cs="宋体"/>
          <w:spacing w:val="-5"/>
          <w:sz w:val="24"/>
          <w:szCs w:val="24"/>
        </w:rPr>
        <w:t>第一个信封（商务及技术文件</w:t>
      </w:r>
      <w:r>
        <w:rPr>
          <w:rFonts w:ascii="宋体" w:hAnsi="宋体" w:eastAsia="宋体" w:cs="宋体"/>
          <w:spacing w:val="1"/>
          <w:sz w:val="24"/>
          <w:szCs w:val="24"/>
        </w:rPr>
        <w:t>）：</w:t>
      </w:r>
    </w:p>
    <w:p w14:paraId="405DA92D">
      <w:pPr>
        <w:spacing w:before="182" w:line="219" w:lineRule="auto"/>
        <w:ind w:left="495"/>
        <w:rPr>
          <w:rFonts w:ascii="宋体" w:hAnsi="宋体" w:eastAsia="宋体" w:cs="宋体"/>
          <w:sz w:val="24"/>
          <w:szCs w:val="24"/>
        </w:rPr>
      </w:pPr>
      <w:r>
        <w:rPr>
          <w:rFonts w:ascii="宋体" w:hAnsi="宋体" w:eastAsia="宋体" w:cs="宋体"/>
          <w:spacing w:val="-6"/>
          <w:sz w:val="24"/>
          <w:szCs w:val="24"/>
        </w:rPr>
        <w:t>（1）投标函及投标函附录；</w:t>
      </w:r>
    </w:p>
    <w:p w14:paraId="28EF4507">
      <w:pPr>
        <w:spacing w:before="184" w:line="219" w:lineRule="auto"/>
        <w:ind w:left="495"/>
        <w:rPr>
          <w:rFonts w:ascii="宋体" w:hAnsi="宋体" w:eastAsia="宋体" w:cs="宋体"/>
          <w:sz w:val="24"/>
          <w:szCs w:val="24"/>
        </w:rPr>
      </w:pPr>
      <w:r>
        <w:rPr>
          <w:rFonts w:ascii="宋体" w:hAnsi="宋体" w:eastAsia="宋体" w:cs="宋体"/>
          <w:spacing w:val="-4"/>
          <w:sz w:val="24"/>
          <w:szCs w:val="24"/>
        </w:rPr>
        <w:t>（2）授权委托书或法定代表人身份证明；</w:t>
      </w:r>
    </w:p>
    <w:p w14:paraId="62EB0949">
      <w:pPr>
        <w:spacing w:before="183" w:line="219" w:lineRule="auto"/>
        <w:ind w:left="495"/>
        <w:rPr>
          <w:rFonts w:ascii="宋体" w:hAnsi="宋体" w:eastAsia="宋体" w:cs="宋体"/>
          <w:sz w:val="24"/>
          <w:szCs w:val="24"/>
        </w:rPr>
      </w:pPr>
      <w:r>
        <w:rPr>
          <w:rFonts w:ascii="宋体" w:hAnsi="宋体" w:eastAsia="宋体" w:cs="宋体"/>
          <w:spacing w:val="-7"/>
          <w:sz w:val="24"/>
          <w:szCs w:val="24"/>
        </w:rPr>
        <w:t>（3）联合体协议书</w:t>
      </w:r>
      <w:r>
        <w:rPr>
          <w:rFonts w:hint="eastAsia" w:ascii="宋体" w:hAnsi="宋体" w:eastAsia="宋体" w:cs="宋体"/>
          <w:spacing w:val="-7"/>
          <w:sz w:val="24"/>
          <w:szCs w:val="24"/>
        </w:rPr>
        <w:t>（如有）</w:t>
      </w:r>
      <w:r>
        <w:rPr>
          <w:rFonts w:ascii="宋体" w:hAnsi="宋体" w:eastAsia="宋体" w:cs="宋体"/>
          <w:spacing w:val="-7"/>
          <w:sz w:val="24"/>
          <w:szCs w:val="24"/>
        </w:rPr>
        <w:t>；</w:t>
      </w:r>
    </w:p>
    <w:p w14:paraId="26E7A300">
      <w:pPr>
        <w:spacing w:before="184" w:line="220" w:lineRule="auto"/>
        <w:ind w:left="495"/>
        <w:rPr>
          <w:rFonts w:ascii="宋体" w:hAnsi="宋体" w:eastAsia="宋体" w:cs="宋体"/>
          <w:sz w:val="24"/>
          <w:szCs w:val="24"/>
        </w:rPr>
      </w:pPr>
      <w:r>
        <w:rPr>
          <w:rFonts w:ascii="宋体" w:hAnsi="宋体" w:eastAsia="宋体" w:cs="宋体"/>
          <w:spacing w:val="-8"/>
          <w:sz w:val="24"/>
          <w:szCs w:val="24"/>
        </w:rPr>
        <w:t>（4）投标保证金；</w:t>
      </w:r>
    </w:p>
    <w:p w14:paraId="17B7D8DB">
      <w:pPr>
        <w:spacing w:before="181" w:line="220" w:lineRule="auto"/>
        <w:ind w:left="495"/>
        <w:rPr>
          <w:rFonts w:ascii="宋体" w:hAnsi="宋体" w:eastAsia="宋体" w:cs="宋体"/>
          <w:sz w:val="24"/>
          <w:szCs w:val="24"/>
        </w:rPr>
      </w:pPr>
      <w:r>
        <w:rPr>
          <w:rFonts w:ascii="宋体" w:hAnsi="宋体" w:eastAsia="宋体" w:cs="宋体"/>
          <w:spacing w:val="-2"/>
          <w:sz w:val="24"/>
          <w:szCs w:val="24"/>
        </w:rPr>
        <w:t>（5）施工组织设计</w:t>
      </w:r>
      <w:r>
        <w:rPr>
          <w:rFonts w:ascii="宋体" w:hAnsi="宋体" w:eastAsia="宋体" w:cs="宋体"/>
          <w:spacing w:val="-106"/>
          <w:sz w:val="24"/>
          <w:szCs w:val="24"/>
        </w:rPr>
        <w:t xml:space="preserve"> </w:t>
      </w:r>
      <w:r>
        <w:rPr>
          <w:rFonts w:ascii="宋体" w:hAnsi="宋体" w:eastAsia="宋体" w:cs="宋体"/>
          <w:spacing w:val="-2"/>
          <w:sz w:val="24"/>
          <w:szCs w:val="24"/>
        </w:rPr>
        <w:t>及承包人项目管理方案；</w:t>
      </w:r>
    </w:p>
    <w:p w14:paraId="581D457E">
      <w:pPr>
        <w:spacing w:line="220" w:lineRule="auto"/>
        <w:rPr>
          <w:rFonts w:ascii="宋体" w:hAnsi="宋体" w:eastAsia="宋体" w:cs="宋体"/>
          <w:sz w:val="24"/>
          <w:szCs w:val="24"/>
        </w:rPr>
        <w:sectPr>
          <w:pgSz w:w="11905" w:h="16840"/>
          <w:pgMar w:top="1182" w:right="1416" w:bottom="1171" w:left="1416" w:header="849" w:footer="937" w:gutter="0"/>
          <w:pgNumType w:fmt="decimal"/>
          <w:cols w:space="720" w:num="1"/>
        </w:sectPr>
      </w:pPr>
    </w:p>
    <w:p w14:paraId="55638CFC">
      <w:pPr>
        <w:pStyle w:val="2"/>
        <w:spacing w:line="267" w:lineRule="auto"/>
      </w:pPr>
    </w:p>
    <w:p w14:paraId="7C5FC022">
      <w:pPr>
        <w:spacing w:before="78" w:line="219" w:lineRule="auto"/>
        <w:ind w:left="495"/>
        <w:rPr>
          <w:rFonts w:ascii="宋体" w:hAnsi="宋体" w:eastAsia="宋体" w:cs="宋体"/>
          <w:sz w:val="24"/>
          <w:szCs w:val="24"/>
        </w:rPr>
      </w:pPr>
      <w:r>
        <w:rPr>
          <w:rFonts w:ascii="宋体" w:hAnsi="宋体" w:eastAsia="宋体" w:cs="宋体"/>
          <w:spacing w:val="-7"/>
          <w:sz w:val="24"/>
          <w:szCs w:val="24"/>
        </w:rPr>
        <w:t>（6）项目管理机构；</w:t>
      </w:r>
    </w:p>
    <w:p w14:paraId="471F4B5D">
      <w:pPr>
        <w:spacing w:before="182" w:line="220" w:lineRule="auto"/>
        <w:ind w:left="495"/>
        <w:rPr>
          <w:rFonts w:ascii="宋体" w:hAnsi="宋体" w:eastAsia="宋体" w:cs="宋体"/>
          <w:sz w:val="24"/>
          <w:szCs w:val="24"/>
        </w:rPr>
      </w:pPr>
      <w:r>
        <w:rPr>
          <w:rFonts w:ascii="宋体" w:hAnsi="宋体" w:eastAsia="宋体" w:cs="宋体"/>
          <w:spacing w:val="-7"/>
          <w:sz w:val="24"/>
          <w:szCs w:val="24"/>
        </w:rPr>
        <w:t>（7）资格审查资料；</w:t>
      </w:r>
    </w:p>
    <w:p w14:paraId="7F6AA3F5">
      <w:pPr>
        <w:spacing w:before="182" w:line="219" w:lineRule="auto"/>
        <w:ind w:left="495"/>
        <w:rPr>
          <w:rFonts w:ascii="宋体" w:hAnsi="宋体" w:eastAsia="宋体" w:cs="宋体"/>
          <w:sz w:val="24"/>
          <w:szCs w:val="24"/>
        </w:rPr>
      </w:pPr>
      <w:r>
        <w:rPr>
          <w:rFonts w:ascii="宋体" w:hAnsi="宋体" w:eastAsia="宋体" w:cs="宋体"/>
          <w:spacing w:val="-3"/>
          <w:sz w:val="24"/>
          <w:szCs w:val="24"/>
        </w:rPr>
        <w:t>（8）投标人须知前附表规定的其他资料。</w:t>
      </w:r>
    </w:p>
    <w:p w14:paraId="64DF2260">
      <w:pPr>
        <w:spacing w:before="183" w:line="218" w:lineRule="auto"/>
        <w:ind w:left="489"/>
        <w:rPr>
          <w:rFonts w:ascii="宋体" w:hAnsi="宋体" w:eastAsia="宋体" w:cs="宋体"/>
          <w:sz w:val="24"/>
          <w:szCs w:val="24"/>
        </w:rPr>
      </w:pPr>
      <w:r>
        <w:rPr>
          <w:rFonts w:ascii="宋体" w:hAnsi="宋体" w:eastAsia="宋体" w:cs="宋体"/>
          <w:spacing w:val="-6"/>
          <w:sz w:val="24"/>
          <w:szCs w:val="24"/>
        </w:rPr>
        <w:t>第二个信封（报价文件</w:t>
      </w:r>
      <w:r>
        <w:rPr>
          <w:rFonts w:ascii="宋体" w:hAnsi="宋体" w:eastAsia="宋体" w:cs="宋体"/>
          <w:spacing w:val="-1"/>
          <w:sz w:val="24"/>
          <w:szCs w:val="24"/>
        </w:rPr>
        <w:t>）：</w:t>
      </w:r>
    </w:p>
    <w:p w14:paraId="410FCA6B">
      <w:pPr>
        <w:spacing w:before="185" w:line="218" w:lineRule="auto"/>
        <w:ind w:left="495"/>
        <w:rPr>
          <w:rFonts w:ascii="宋体" w:hAnsi="宋体" w:eastAsia="宋体" w:cs="宋体"/>
          <w:sz w:val="24"/>
          <w:szCs w:val="24"/>
        </w:rPr>
      </w:pPr>
      <w:r>
        <w:rPr>
          <w:rFonts w:ascii="宋体" w:hAnsi="宋体" w:eastAsia="宋体" w:cs="宋体"/>
          <w:spacing w:val="-4"/>
          <w:sz w:val="24"/>
          <w:szCs w:val="24"/>
        </w:rPr>
        <w:t>（1）调价函及调价后的工程量清单（如有</w:t>
      </w:r>
      <w:r>
        <w:rPr>
          <w:rFonts w:ascii="宋体" w:hAnsi="宋体" w:eastAsia="宋体" w:cs="宋体"/>
          <w:spacing w:val="3"/>
          <w:sz w:val="24"/>
          <w:szCs w:val="24"/>
        </w:rPr>
        <w:t>）；</w:t>
      </w:r>
    </w:p>
    <w:p w14:paraId="05F3B4A8">
      <w:pPr>
        <w:spacing w:before="185" w:line="220" w:lineRule="auto"/>
        <w:ind w:left="495"/>
        <w:rPr>
          <w:rFonts w:ascii="宋体" w:hAnsi="宋体" w:eastAsia="宋体" w:cs="宋体"/>
          <w:sz w:val="24"/>
          <w:szCs w:val="24"/>
        </w:rPr>
      </w:pPr>
      <w:r>
        <w:rPr>
          <w:rFonts w:ascii="宋体" w:hAnsi="宋体" w:eastAsia="宋体" w:cs="宋体"/>
          <w:spacing w:val="-9"/>
          <w:sz w:val="24"/>
          <w:szCs w:val="24"/>
        </w:rPr>
        <w:t>（2）投标函；</w:t>
      </w:r>
    </w:p>
    <w:p w14:paraId="7FFEE515">
      <w:pPr>
        <w:spacing w:before="182" w:line="218" w:lineRule="auto"/>
        <w:ind w:left="495"/>
        <w:rPr>
          <w:rFonts w:ascii="宋体" w:hAnsi="宋体" w:eastAsia="宋体" w:cs="宋体"/>
          <w:sz w:val="24"/>
          <w:szCs w:val="24"/>
        </w:rPr>
      </w:pPr>
      <w:r>
        <w:rPr>
          <w:rFonts w:ascii="宋体" w:hAnsi="宋体" w:eastAsia="宋体" w:cs="宋体"/>
          <w:spacing w:val="-4"/>
          <w:sz w:val="24"/>
          <w:szCs w:val="24"/>
        </w:rPr>
        <w:t>（3）已标价工程量清单。</w:t>
      </w:r>
    </w:p>
    <w:p w14:paraId="129EDBE0">
      <w:pPr>
        <w:spacing w:before="184" w:line="360" w:lineRule="auto"/>
        <w:ind w:left="8" w:firstLine="483"/>
        <w:rPr>
          <w:rFonts w:ascii="宋体" w:hAnsi="宋体" w:eastAsia="宋体" w:cs="宋体"/>
          <w:sz w:val="24"/>
          <w:szCs w:val="24"/>
        </w:rPr>
      </w:pPr>
      <w:r>
        <w:rPr>
          <w:rFonts w:ascii="宋体" w:hAnsi="宋体" w:eastAsia="宋体" w:cs="宋体"/>
          <w:spacing w:val="-2"/>
          <w:sz w:val="24"/>
          <w:szCs w:val="24"/>
        </w:rPr>
        <w:t>投标人在评标过程中作出的符合法律法规和招标文件规定的澄清确认，构成投标文</w:t>
      </w:r>
      <w:r>
        <w:rPr>
          <w:rFonts w:ascii="宋体" w:hAnsi="宋体" w:eastAsia="宋体" w:cs="宋体"/>
          <w:spacing w:val="-6"/>
          <w:sz w:val="24"/>
          <w:szCs w:val="24"/>
        </w:rPr>
        <w:t>件的组成部分。</w:t>
      </w:r>
    </w:p>
    <w:p w14:paraId="35DC67EE">
      <w:pPr>
        <w:spacing w:line="360" w:lineRule="auto"/>
        <w:ind w:left="12" w:right="5" w:firstLine="481"/>
        <w:rPr>
          <w:rFonts w:ascii="宋体" w:hAnsi="宋体" w:eastAsia="宋体" w:cs="宋体"/>
          <w:sz w:val="24"/>
          <w:szCs w:val="24"/>
        </w:rPr>
      </w:pPr>
      <w:r>
        <w:rPr>
          <w:rFonts w:ascii="宋体" w:hAnsi="宋体" w:eastAsia="宋体" w:cs="宋体"/>
          <w:spacing w:val="-2"/>
          <w:sz w:val="24"/>
          <w:szCs w:val="24"/>
        </w:rPr>
        <w:t>3.1.2 投标人须知前附表规定不接受联合体投标的，或投标人没有组成联合体的，投标文件不包括本章第</w:t>
      </w:r>
      <w:r>
        <w:rPr>
          <w:rFonts w:ascii="宋体" w:hAnsi="宋体" w:eastAsia="宋体" w:cs="宋体"/>
          <w:spacing w:val="-46"/>
          <w:sz w:val="24"/>
          <w:szCs w:val="24"/>
        </w:rPr>
        <w:t xml:space="preserve"> </w:t>
      </w:r>
      <w:r>
        <w:rPr>
          <w:rFonts w:ascii="宋体" w:hAnsi="宋体" w:eastAsia="宋体" w:cs="宋体"/>
          <w:spacing w:val="-2"/>
          <w:sz w:val="24"/>
          <w:szCs w:val="24"/>
        </w:rPr>
        <w:t>3.1.1（3）目所指的联合体协议书。</w:t>
      </w:r>
    </w:p>
    <w:p w14:paraId="7599F046">
      <w:pPr>
        <w:spacing w:before="3" w:line="359" w:lineRule="auto"/>
        <w:ind w:left="15" w:firstLine="478"/>
        <w:rPr>
          <w:rFonts w:ascii="宋体" w:hAnsi="宋体" w:eastAsia="宋体" w:cs="宋体"/>
          <w:sz w:val="24"/>
          <w:szCs w:val="24"/>
        </w:rPr>
      </w:pPr>
      <w:r>
        <w:rPr>
          <w:rFonts w:ascii="宋体" w:hAnsi="宋体" w:eastAsia="宋体" w:cs="宋体"/>
          <w:sz w:val="24"/>
          <w:szCs w:val="24"/>
        </w:rPr>
        <w:t>3.1.3 投标人须知前附表未要求提交投</w:t>
      </w:r>
      <w:r>
        <w:rPr>
          <w:rFonts w:ascii="宋体" w:hAnsi="宋体" w:eastAsia="宋体" w:cs="宋体"/>
          <w:spacing w:val="-1"/>
          <w:sz w:val="24"/>
          <w:szCs w:val="24"/>
        </w:rPr>
        <w:t>标保证金的，投标文件不包括本章第</w:t>
      </w:r>
      <w:r>
        <w:rPr>
          <w:rFonts w:ascii="宋体" w:hAnsi="宋体" w:eastAsia="宋体" w:cs="宋体"/>
          <w:spacing w:val="-43"/>
          <w:sz w:val="24"/>
          <w:szCs w:val="24"/>
        </w:rPr>
        <w:t xml:space="preserve"> </w:t>
      </w:r>
      <w:r>
        <w:rPr>
          <w:rFonts w:ascii="宋体" w:hAnsi="宋体" w:eastAsia="宋体" w:cs="宋体"/>
          <w:spacing w:val="-1"/>
          <w:sz w:val="24"/>
          <w:szCs w:val="24"/>
        </w:rPr>
        <w:t>3.1.1</w:t>
      </w:r>
      <w:r>
        <w:rPr>
          <w:rFonts w:ascii="宋体" w:hAnsi="宋体" w:eastAsia="宋体" w:cs="宋体"/>
          <w:sz w:val="24"/>
          <w:szCs w:val="24"/>
        </w:rPr>
        <w:t xml:space="preserve"> </w:t>
      </w:r>
      <w:r>
        <w:rPr>
          <w:rFonts w:ascii="宋体" w:hAnsi="宋体" w:eastAsia="宋体" w:cs="宋体"/>
          <w:spacing w:val="-4"/>
          <w:sz w:val="24"/>
          <w:szCs w:val="24"/>
        </w:rPr>
        <w:t>（4）目所指的投标保证金。</w:t>
      </w:r>
    </w:p>
    <w:p w14:paraId="340FAA54">
      <w:pPr>
        <w:spacing w:line="218" w:lineRule="auto"/>
        <w:ind w:left="14"/>
        <w:rPr>
          <w:rFonts w:ascii="宋体" w:hAnsi="宋体" w:eastAsia="宋体" w:cs="宋体"/>
          <w:sz w:val="24"/>
          <w:szCs w:val="24"/>
        </w:rPr>
      </w:pPr>
      <w:r>
        <w:rPr>
          <w:rFonts w:ascii="宋体" w:hAnsi="宋体" w:eastAsia="宋体" w:cs="宋体"/>
          <w:b/>
          <w:bCs/>
          <w:spacing w:val="-6"/>
          <w:sz w:val="24"/>
          <w:szCs w:val="24"/>
        </w:rPr>
        <w:t>3.2</w:t>
      </w:r>
      <w:r>
        <w:rPr>
          <w:rFonts w:ascii="宋体" w:hAnsi="宋体" w:eastAsia="宋体" w:cs="宋体"/>
          <w:spacing w:val="15"/>
          <w:sz w:val="24"/>
          <w:szCs w:val="24"/>
        </w:rPr>
        <w:t xml:space="preserve"> </w:t>
      </w:r>
      <w:r>
        <w:rPr>
          <w:rFonts w:ascii="宋体" w:hAnsi="宋体" w:eastAsia="宋体" w:cs="宋体"/>
          <w:b/>
          <w:bCs/>
          <w:spacing w:val="-6"/>
          <w:sz w:val="24"/>
          <w:szCs w:val="24"/>
        </w:rPr>
        <w:t>投标报价</w:t>
      </w:r>
    </w:p>
    <w:p w14:paraId="5EED7CFD">
      <w:pPr>
        <w:spacing w:before="184" w:line="360" w:lineRule="auto"/>
        <w:ind w:left="10" w:firstLine="483"/>
        <w:jc w:val="both"/>
        <w:rPr>
          <w:rFonts w:ascii="宋体" w:hAnsi="宋体" w:eastAsia="宋体" w:cs="宋体"/>
          <w:sz w:val="24"/>
          <w:szCs w:val="24"/>
        </w:rPr>
      </w:pPr>
      <w:r>
        <w:rPr>
          <w:rFonts w:ascii="宋体" w:hAnsi="宋体" w:eastAsia="宋体" w:cs="宋体"/>
          <w:spacing w:val="-2"/>
          <w:sz w:val="24"/>
          <w:szCs w:val="24"/>
        </w:rPr>
        <w:t>3.2.1 投标报价应包括国家规定的增值税税金，除投标人须知前附表另有规定外，增值税税金按一般计税方法计算。投标人应按第九章“投标文件格式”的要求在投标函</w:t>
      </w:r>
      <w:r>
        <w:rPr>
          <w:rFonts w:ascii="宋体" w:hAnsi="宋体" w:eastAsia="宋体" w:cs="宋体"/>
          <w:spacing w:val="-3"/>
          <w:sz w:val="24"/>
          <w:szCs w:val="24"/>
        </w:rPr>
        <w:t>中进行报价并填写工程量清单相应表格。</w:t>
      </w:r>
    </w:p>
    <w:p w14:paraId="69E88950">
      <w:pPr>
        <w:spacing w:line="360" w:lineRule="auto"/>
        <w:ind w:left="12" w:firstLine="480"/>
        <w:rPr>
          <w:rFonts w:ascii="宋体" w:hAnsi="宋体" w:eastAsia="宋体" w:cs="宋体"/>
          <w:sz w:val="24"/>
          <w:szCs w:val="24"/>
        </w:rPr>
      </w:pPr>
      <w:r>
        <w:rPr>
          <w:rFonts w:ascii="宋体" w:hAnsi="宋体" w:eastAsia="宋体" w:cs="宋体"/>
          <w:spacing w:val="-2"/>
          <w:sz w:val="24"/>
          <w:szCs w:val="24"/>
        </w:rPr>
        <w:t>工程量清单的填写分下列两种方式。投标人应按投标人须知前附表规定的方式填写</w:t>
      </w:r>
      <w:r>
        <w:rPr>
          <w:rFonts w:ascii="宋体" w:hAnsi="宋体" w:eastAsia="宋体" w:cs="宋体"/>
          <w:spacing w:val="-7"/>
          <w:sz w:val="24"/>
          <w:szCs w:val="24"/>
        </w:rPr>
        <w:t>工程量清单。</w:t>
      </w:r>
    </w:p>
    <w:p w14:paraId="67732DE7">
      <w:pPr>
        <w:spacing w:before="1" w:line="220" w:lineRule="auto"/>
        <w:ind w:left="490"/>
        <w:rPr>
          <w:rFonts w:ascii="宋体" w:hAnsi="宋体" w:eastAsia="宋体" w:cs="宋体"/>
          <w:sz w:val="24"/>
          <w:szCs w:val="24"/>
        </w:rPr>
      </w:pPr>
      <w:r>
        <w:rPr>
          <w:rFonts w:ascii="宋体" w:hAnsi="宋体" w:eastAsia="宋体" w:cs="宋体"/>
          <w:spacing w:val="-3"/>
          <w:sz w:val="24"/>
          <w:szCs w:val="24"/>
        </w:rPr>
        <w:t>方式一：</w:t>
      </w:r>
    </w:p>
    <w:p w14:paraId="64E7239A">
      <w:pPr>
        <w:spacing w:before="181" w:line="360" w:lineRule="auto"/>
        <w:ind w:left="10" w:firstLine="485"/>
        <w:jc w:val="both"/>
        <w:rPr>
          <w:rFonts w:ascii="宋体" w:hAnsi="宋体" w:eastAsia="宋体" w:cs="宋体"/>
          <w:sz w:val="24"/>
          <w:szCs w:val="24"/>
        </w:rPr>
      </w:pPr>
      <w:r>
        <w:rPr>
          <w:rFonts w:ascii="宋体" w:hAnsi="宋体" w:eastAsia="宋体" w:cs="宋体"/>
          <w:spacing w:val="1"/>
          <w:sz w:val="24"/>
          <w:szCs w:val="24"/>
        </w:rPr>
        <w:t>（1）本项目招标采用工程量固化清单，投标人自行下载或招标人发放补遗书的同</w:t>
      </w:r>
      <w:r>
        <w:rPr>
          <w:rFonts w:ascii="宋体" w:hAnsi="宋体" w:eastAsia="宋体" w:cs="宋体"/>
          <w:spacing w:val="-2"/>
          <w:sz w:val="24"/>
          <w:szCs w:val="24"/>
        </w:rPr>
        <w:t>时将工程量固化清单电子文件按投标人须知前附表载明的形式公布给投标人。投标人填写工程量清单中各子目的单价及总额价，即可完成投标工程量清单的编制，确定投标报</w:t>
      </w:r>
      <w:r>
        <w:rPr>
          <w:rFonts w:ascii="宋体" w:hAnsi="宋体" w:eastAsia="宋体" w:cs="宋体"/>
          <w:spacing w:val="-5"/>
          <w:sz w:val="24"/>
          <w:szCs w:val="24"/>
        </w:rPr>
        <w:t>价编入投标文件。投标人未在工程量清单中填入单价或总额价的工程子目， 将被认为其</w:t>
      </w:r>
      <w:r>
        <w:rPr>
          <w:rFonts w:ascii="宋体" w:hAnsi="宋体" w:eastAsia="宋体" w:cs="宋体"/>
          <w:spacing w:val="-2"/>
          <w:sz w:val="24"/>
          <w:szCs w:val="24"/>
        </w:rPr>
        <w:t>已包含在工程量清单其他子目的单价和总额价中，招标人将不予支付。</w:t>
      </w:r>
    </w:p>
    <w:p w14:paraId="2426FEA0">
      <w:pPr>
        <w:spacing w:line="360" w:lineRule="auto"/>
        <w:ind w:left="11" w:firstLine="480"/>
        <w:jc w:val="both"/>
        <w:rPr>
          <w:rFonts w:ascii="宋体" w:hAnsi="宋体" w:eastAsia="宋体" w:cs="宋体"/>
          <w:sz w:val="24"/>
          <w:szCs w:val="24"/>
        </w:rPr>
      </w:pPr>
      <w:r>
        <w:rPr>
          <w:rFonts w:ascii="宋体" w:hAnsi="宋体" w:eastAsia="宋体" w:cs="宋体"/>
          <w:spacing w:val="-5"/>
          <w:sz w:val="24"/>
          <w:szCs w:val="24"/>
        </w:rPr>
        <w:t>投标人必须严格遵循工程量固化清单电子文件中的数据、格式及运算定义， 并将已</w:t>
      </w:r>
      <w:r>
        <w:rPr>
          <w:rFonts w:ascii="宋体" w:hAnsi="宋体" w:eastAsia="宋体" w:cs="宋体"/>
          <w:spacing w:val="-2"/>
          <w:sz w:val="24"/>
          <w:szCs w:val="24"/>
        </w:rPr>
        <w:t>填写完毕的投标工程量清单电子文件上传到“电子交易平台”。严禁投标人修改工程量</w:t>
      </w:r>
      <w:r>
        <w:rPr>
          <w:rFonts w:ascii="宋体" w:hAnsi="宋体" w:eastAsia="宋体" w:cs="宋体"/>
          <w:spacing w:val="-3"/>
          <w:sz w:val="24"/>
          <w:szCs w:val="24"/>
        </w:rPr>
        <w:t>固化清单电子文件中的数据、格式及运算定义。</w:t>
      </w:r>
    </w:p>
    <w:p w14:paraId="5B992870">
      <w:pPr>
        <w:spacing w:before="1" w:line="361" w:lineRule="auto"/>
        <w:ind w:left="8" w:firstLine="487"/>
        <w:rPr>
          <w:rFonts w:ascii="宋体" w:hAnsi="宋体" w:eastAsia="宋体" w:cs="宋体"/>
          <w:sz w:val="24"/>
          <w:szCs w:val="24"/>
        </w:rPr>
      </w:pPr>
      <w:r>
        <w:rPr>
          <w:rFonts w:ascii="宋体" w:hAnsi="宋体" w:eastAsia="宋体" w:cs="宋体"/>
          <w:spacing w:val="1"/>
          <w:sz w:val="24"/>
          <w:szCs w:val="24"/>
        </w:rPr>
        <w:t>（2）投标人根据招标人提供的工程量固化清单电子文件填报完成并打印的投标工</w:t>
      </w:r>
      <w:r>
        <w:rPr>
          <w:rFonts w:ascii="宋体" w:hAnsi="宋体" w:eastAsia="宋体" w:cs="宋体"/>
          <w:spacing w:val="-2"/>
          <w:sz w:val="24"/>
          <w:szCs w:val="24"/>
        </w:rPr>
        <w:t>程量清单中的投标总报价和投标函大写金额报价应一致，如果报价金额出现差异时，其</w:t>
      </w:r>
    </w:p>
    <w:p w14:paraId="19C451F5">
      <w:pPr>
        <w:spacing w:line="361" w:lineRule="auto"/>
        <w:rPr>
          <w:rFonts w:ascii="宋体" w:hAnsi="宋体" w:eastAsia="宋体" w:cs="宋体"/>
          <w:sz w:val="24"/>
          <w:szCs w:val="24"/>
        </w:rPr>
        <w:sectPr>
          <w:footerReference r:id="rId22" w:type="default"/>
          <w:pgSz w:w="11905" w:h="16840"/>
          <w:pgMar w:top="1182" w:right="1416" w:bottom="1171" w:left="1416" w:header="849" w:footer="937" w:gutter="0"/>
          <w:pgNumType w:fmt="decimal"/>
          <w:cols w:space="720" w:num="1"/>
        </w:sectPr>
      </w:pPr>
    </w:p>
    <w:p w14:paraId="7F772AA3">
      <w:pPr>
        <w:pStyle w:val="2"/>
        <w:spacing w:line="267" w:lineRule="auto"/>
      </w:pPr>
    </w:p>
    <w:p w14:paraId="0FCAAD1B">
      <w:pPr>
        <w:spacing w:before="78" w:line="220" w:lineRule="auto"/>
        <w:ind w:left="12"/>
        <w:rPr>
          <w:rFonts w:ascii="宋体" w:hAnsi="宋体" w:eastAsia="宋体" w:cs="宋体"/>
          <w:sz w:val="24"/>
          <w:szCs w:val="24"/>
        </w:rPr>
      </w:pPr>
      <w:r>
        <w:rPr>
          <w:rFonts w:ascii="宋体" w:hAnsi="宋体" w:eastAsia="宋体" w:cs="宋体"/>
          <w:spacing w:val="-6"/>
          <w:sz w:val="24"/>
          <w:szCs w:val="24"/>
        </w:rPr>
        <w:t>投标将被否决。</w:t>
      </w:r>
    </w:p>
    <w:p w14:paraId="56EF4014">
      <w:pPr>
        <w:spacing w:before="163" w:line="365" w:lineRule="auto"/>
        <w:ind w:left="11" w:right="71" w:firstLine="484"/>
        <w:jc w:val="both"/>
        <w:rPr>
          <w:rFonts w:ascii="宋体" w:hAnsi="宋体" w:eastAsia="宋体" w:cs="宋体"/>
          <w:sz w:val="24"/>
          <w:szCs w:val="24"/>
        </w:rPr>
      </w:pPr>
      <w:r>
        <w:rPr>
          <w:rFonts w:ascii="宋体" w:hAnsi="宋体" w:eastAsia="宋体" w:cs="宋体"/>
          <w:spacing w:val="-1"/>
          <w:sz w:val="24"/>
          <w:szCs w:val="24"/>
        </w:rPr>
        <w:t>（3）投标报价的所有单价取小数点后两位，所有</w:t>
      </w:r>
      <w:r>
        <w:rPr>
          <w:rFonts w:ascii="宋体" w:hAnsi="宋体" w:eastAsia="宋体" w:cs="宋体"/>
          <w:spacing w:val="-2"/>
          <w:sz w:val="24"/>
          <w:szCs w:val="24"/>
        </w:rPr>
        <w:t>合价和总价应四舍五入取整数。</w:t>
      </w:r>
      <w:r>
        <w:rPr>
          <w:rFonts w:ascii="宋体" w:hAnsi="宋体" w:eastAsia="宋体" w:cs="宋体"/>
          <w:spacing w:val="-6"/>
          <w:sz w:val="24"/>
          <w:szCs w:val="24"/>
        </w:rPr>
        <w:t>工程量清单不需要附项目清单、分项清单及单价分析表，</w:t>
      </w:r>
      <w:r>
        <w:rPr>
          <w:rFonts w:ascii="宋体" w:hAnsi="宋体" w:eastAsia="宋体" w:cs="宋体"/>
          <w:spacing w:val="47"/>
          <w:sz w:val="24"/>
          <w:szCs w:val="24"/>
        </w:rPr>
        <w:t xml:space="preserve"> </w:t>
      </w:r>
      <w:r>
        <w:rPr>
          <w:rFonts w:ascii="宋体" w:hAnsi="宋体" w:eastAsia="宋体" w:cs="宋体"/>
          <w:spacing w:val="-6"/>
          <w:sz w:val="24"/>
          <w:szCs w:val="24"/>
        </w:rPr>
        <w:t>但投标人中标后，发包人可要</w:t>
      </w:r>
      <w:r>
        <w:rPr>
          <w:rFonts w:ascii="宋体" w:hAnsi="宋体" w:eastAsia="宋体" w:cs="宋体"/>
          <w:spacing w:val="-2"/>
          <w:sz w:val="24"/>
          <w:szCs w:val="24"/>
        </w:rPr>
        <w:t>求中标人提交项目清单、分项清单及单价分析表，中标人不得拒绝。</w:t>
      </w:r>
    </w:p>
    <w:p w14:paraId="4725B742">
      <w:pPr>
        <w:spacing w:line="221" w:lineRule="auto"/>
        <w:ind w:left="490"/>
        <w:rPr>
          <w:rFonts w:ascii="宋体" w:hAnsi="宋体" w:eastAsia="宋体" w:cs="宋体"/>
          <w:sz w:val="24"/>
          <w:szCs w:val="24"/>
        </w:rPr>
      </w:pPr>
      <w:r>
        <w:rPr>
          <w:rFonts w:ascii="宋体" w:hAnsi="宋体" w:eastAsia="宋体" w:cs="宋体"/>
          <w:spacing w:val="-13"/>
          <w:sz w:val="24"/>
          <w:szCs w:val="24"/>
        </w:rPr>
        <w:t>方式二：</w:t>
      </w:r>
    </w:p>
    <w:p w14:paraId="50F2E39D">
      <w:pPr>
        <w:spacing w:before="180" w:line="360" w:lineRule="auto"/>
        <w:ind w:left="9" w:right="85" w:firstLine="486"/>
        <w:jc w:val="both"/>
        <w:rPr>
          <w:rFonts w:ascii="宋体" w:hAnsi="宋体" w:eastAsia="宋体" w:cs="宋体"/>
          <w:sz w:val="24"/>
          <w:szCs w:val="24"/>
        </w:rPr>
      </w:pPr>
      <w:r>
        <w:rPr>
          <w:rFonts w:ascii="宋体" w:hAnsi="宋体" w:eastAsia="宋体" w:cs="宋体"/>
          <w:spacing w:val="1"/>
          <w:sz w:val="24"/>
          <w:szCs w:val="24"/>
        </w:rPr>
        <w:t>（1）本项目招标由招标人提供书面工程量清单，由投标人按照招标人提供的工程</w:t>
      </w:r>
      <w:r>
        <w:rPr>
          <w:rFonts w:ascii="宋体" w:hAnsi="宋体" w:eastAsia="宋体" w:cs="宋体"/>
          <w:spacing w:val="-2"/>
          <w:sz w:val="24"/>
          <w:szCs w:val="24"/>
        </w:rPr>
        <w:t>量清单填写本合同各工程子目的单价、合价和总额价。评标委员会将按照第三章“评标办法”的规定对投标价进行算术性错误修正及其他错误修正。</w:t>
      </w:r>
    </w:p>
    <w:p w14:paraId="51603BA3">
      <w:pPr>
        <w:spacing w:line="218" w:lineRule="auto"/>
        <w:ind w:left="494"/>
        <w:rPr>
          <w:rFonts w:ascii="宋体" w:hAnsi="宋体" w:eastAsia="宋体" w:cs="宋体"/>
          <w:sz w:val="24"/>
          <w:szCs w:val="24"/>
        </w:rPr>
      </w:pPr>
      <w:r>
        <w:rPr>
          <w:rFonts w:ascii="宋体" w:hAnsi="宋体" w:eastAsia="宋体" w:cs="宋体"/>
          <w:spacing w:val="-1"/>
          <w:sz w:val="24"/>
          <w:szCs w:val="24"/>
        </w:rPr>
        <w:t>3.2.2 投标人应充分了解本项目的总体情况以</w:t>
      </w:r>
      <w:r>
        <w:rPr>
          <w:rFonts w:ascii="宋体" w:hAnsi="宋体" w:eastAsia="宋体" w:cs="宋体"/>
          <w:spacing w:val="-2"/>
          <w:sz w:val="24"/>
          <w:szCs w:val="24"/>
        </w:rPr>
        <w:t>及影响投标报价的其他要素。</w:t>
      </w:r>
    </w:p>
    <w:p w14:paraId="2A5711ED">
      <w:pPr>
        <w:spacing w:before="184" w:line="360" w:lineRule="auto"/>
        <w:ind w:left="13" w:right="85" w:firstLine="480"/>
        <w:rPr>
          <w:rFonts w:ascii="宋体" w:hAnsi="宋体" w:eastAsia="宋体" w:cs="宋体"/>
          <w:sz w:val="24"/>
          <w:szCs w:val="24"/>
        </w:rPr>
      </w:pPr>
      <w:r>
        <w:rPr>
          <w:rFonts w:ascii="宋体" w:hAnsi="宋体" w:eastAsia="宋体" w:cs="宋体"/>
          <w:spacing w:val="-2"/>
          <w:sz w:val="24"/>
          <w:szCs w:val="24"/>
        </w:rPr>
        <w:t>3.2.3 本项目的报价方式见投标人须知前附表。投标人在投标截止时间前修改投标函中的投标总报价，应同时修改投标文件“已标价工程量清单”中的相应报价。此修改</w:t>
      </w:r>
      <w:r>
        <w:rPr>
          <w:rFonts w:ascii="宋体" w:hAnsi="宋体" w:eastAsia="宋体" w:cs="宋体"/>
          <w:spacing w:val="-4"/>
          <w:sz w:val="24"/>
          <w:szCs w:val="24"/>
        </w:rPr>
        <w:t>须符合本章第</w:t>
      </w:r>
      <w:r>
        <w:rPr>
          <w:rFonts w:ascii="宋体" w:hAnsi="宋体" w:eastAsia="宋体" w:cs="宋体"/>
          <w:spacing w:val="-49"/>
          <w:sz w:val="24"/>
          <w:szCs w:val="24"/>
        </w:rPr>
        <w:t xml:space="preserve"> </w:t>
      </w:r>
      <w:r>
        <w:rPr>
          <w:rFonts w:ascii="宋体" w:hAnsi="宋体" w:eastAsia="宋体" w:cs="宋体"/>
          <w:spacing w:val="-4"/>
          <w:sz w:val="24"/>
          <w:szCs w:val="24"/>
        </w:rPr>
        <w:t>4.3</w:t>
      </w:r>
      <w:r>
        <w:rPr>
          <w:rFonts w:ascii="宋体" w:hAnsi="宋体" w:eastAsia="宋体" w:cs="宋体"/>
          <w:spacing w:val="-50"/>
          <w:sz w:val="24"/>
          <w:szCs w:val="24"/>
        </w:rPr>
        <w:t xml:space="preserve"> </w:t>
      </w:r>
      <w:r>
        <w:rPr>
          <w:rFonts w:ascii="宋体" w:hAnsi="宋体" w:eastAsia="宋体" w:cs="宋体"/>
          <w:spacing w:val="-4"/>
          <w:sz w:val="24"/>
          <w:szCs w:val="24"/>
        </w:rPr>
        <w:t>款的有关要求。</w:t>
      </w:r>
    </w:p>
    <w:p w14:paraId="668FFA6A">
      <w:pPr>
        <w:spacing w:before="2" w:line="359" w:lineRule="auto"/>
        <w:ind w:left="10" w:firstLine="483"/>
        <w:rPr>
          <w:rFonts w:ascii="宋体" w:hAnsi="宋体" w:eastAsia="宋体" w:cs="宋体"/>
          <w:sz w:val="24"/>
          <w:szCs w:val="24"/>
        </w:rPr>
      </w:pPr>
      <w:r>
        <w:rPr>
          <w:rFonts w:ascii="宋体" w:hAnsi="宋体" w:eastAsia="宋体" w:cs="宋体"/>
          <w:spacing w:val="-2"/>
          <w:sz w:val="24"/>
          <w:szCs w:val="24"/>
        </w:rPr>
        <w:t>3.2.4 投标人如果发现工程量清单中的数量与图纸中数量不一致时，应立即通知招</w:t>
      </w:r>
      <w:r>
        <w:rPr>
          <w:rFonts w:ascii="宋体" w:hAnsi="宋体" w:eastAsia="宋体" w:cs="宋体"/>
          <w:spacing w:val="-5"/>
          <w:sz w:val="24"/>
          <w:szCs w:val="24"/>
        </w:rPr>
        <w:t>标人核查，除非招标人以书面方式予以更正</w:t>
      </w:r>
      <w:r>
        <w:rPr>
          <w:rFonts w:ascii="宋体" w:hAnsi="宋体" w:eastAsia="宋体" w:cs="宋体"/>
          <w:spacing w:val="-6"/>
          <w:sz w:val="24"/>
          <w:szCs w:val="24"/>
        </w:rPr>
        <w:t>，否则，应以工程量清单中列出的数量为准。</w:t>
      </w:r>
    </w:p>
    <w:p w14:paraId="31029FD1">
      <w:pPr>
        <w:spacing w:line="360" w:lineRule="auto"/>
        <w:ind w:left="14" w:right="85" w:firstLine="480"/>
        <w:rPr>
          <w:rFonts w:ascii="宋体" w:hAnsi="宋体" w:eastAsia="宋体" w:cs="宋体"/>
          <w:sz w:val="24"/>
          <w:szCs w:val="24"/>
        </w:rPr>
      </w:pPr>
      <w:r>
        <w:rPr>
          <w:rFonts w:ascii="宋体" w:hAnsi="宋体" w:eastAsia="宋体" w:cs="宋体"/>
          <w:spacing w:val="-5"/>
          <w:sz w:val="24"/>
          <w:szCs w:val="24"/>
        </w:rPr>
        <w:t>3.2.5 投标人应根据《公路水运工程安全生产监督管理办法》， 在投标总价中计入</w:t>
      </w:r>
      <w:r>
        <w:rPr>
          <w:rFonts w:ascii="宋体" w:hAnsi="宋体" w:eastAsia="宋体" w:cs="宋体"/>
          <w:spacing w:val="-3"/>
          <w:sz w:val="24"/>
          <w:szCs w:val="24"/>
        </w:rPr>
        <w:t>安全生产费用，安全生产费用应符合合同条款第</w:t>
      </w:r>
      <w:r>
        <w:rPr>
          <w:rFonts w:ascii="宋体" w:hAnsi="宋体" w:eastAsia="宋体" w:cs="宋体"/>
          <w:spacing w:val="-50"/>
          <w:sz w:val="24"/>
          <w:szCs w:val="24"/>
        </w:rPr>
        <w:t xml:space="preserve"> </w:t>
      </w:r>
      <w:r>
        <w:rPr>
          <w:rFonts w:ascii="宋体" w:hAnsi="宋体" w:eastAsia="宋体" w:cs="宋体"/>
          <w:spacing w:val="-3"/>
          <w:sz w:val="24"/>
          <w:szCs w:val="24"/>
        </w:rPr>
        <w:t>9.2.5</w:t>
      </w:r>
      <w:r>
        <w:rPr>
          <w:rFonts w:ascii="宋体" w:hAnsi="宋体" w:eastAsia="宋体" w:cs="宋体"/>
          <w:spacing w:val="-47"/>
          <w:sz w:val="24"/>
          <w:szCs w:val="24"/>
        </w:rPr>
        <w:t xml:space="preserve"> </w:t>
      </w:r>
      <w:r>
        <w:rPr>
          <w:rFonts w:ascii="宋体" w:hAnsi="宋体" w:eastAsia="宋体" w:cs="宋体"/>
          <w:spacing w:val="-3"/>
          <w:sz w:val="24"/>
          <w:szCs w:val="24"/>
        </w:rPr>
        <w:t>项的规定。工</w:t>
      </w:r>
      <w:r>
        <w:rPr>
          <w:rFonts w:ascii="宋体" w:hAnsi="宋体" w:eastAsia="宋体" w:cs="宋体"/>
          <w:spacing w:val="-4"/>
          <w:sz w:val="24"/>
          <w:szCs w:val="24"/>
        </w:rPr>
        <w:t>程量清单第</w:t>
      </w:r>
      <w:r>
        <w:rPr>
          <w:rFonts w:ascii="宋体" w:hAnsi="宋体" w:eastAsia="宋体" w:cs="宋体"/>
          <w:spacing w:val="-32"/>
          <w:sz w:val="24"/>
          <w:szCs w:val="24"/>
        </w:rPr>
        <w:t xml:space="preserve"> </w:t>
      </w:r>
      <w:r>
        <w:rPr>
          <w:rFonts w:ascii="宋体" w:hAnsi="宋体" w:eastAsia="宋体" w:cs="宋体"/>
          <w:spacing w:val="-4"/>
          <w:sz w:val="24"/>
          <w:szCs w:val="24"/>
        </w:rPr>
        <w:t>100</w:t>
      </w:r>
      <w:r>
        <w:rPr>
          <w:rFonts w:ascii="宋体" w:hAnsi="宋体" w:eastAsia="宋体" w:cs="宋体"/>
          <w:spacing w:val="-43"/>
          <w:sz w:val="24"/>
          <w:szCs w:val="24"/>
        </w:rPr>
        <w:t xml:space="preserve"> </w:t>
      </w:r>
      <w:r>
        <w:rPr>
          <w:rFonts w:ascii="宋体" w:hAnsi="宋体" w:eastAsia="宋体" w:cs="宋体"/>
          <w:spacing w:val="-4"/>
          <w:sz w:val="24"/>
          <w:szCs w:val="24"/>
        </w:rPr>
        <w:t>章</w:t>
      </w:r>
      <w:r>
        <w:rPr>
          <w:rFonts w:ascii="宋体" w:hAnsi="宋体" w:eastAsia="宋体" w:cs="宋体"/>
          <w:spacing w:val="-1"/>
          <w:sz w:val="24"/>
          <w:szCs w:val="24"/>
        </w:rPr>
        <w:t>内列有上述安全生产费的支付子目，由投标</w:t>
      </w:r>
      <w:r>
        <w:rPr>
          <w:rFonts w:ascii="宋体" w:hAnsi="宋体" w:eastAsia="宋体" w:cs="宋体"/>
          <w:spacing w:val="-2"/>
          <w:sz w:val="24"/>
          <w:szCs w:val="24"/>
        </w:rPr>
        <w:t>人按招标文件的规定填写总额价。</w:t>
      </w:r>
    </w:p>
    <w:p w14:paraId="260E38B6">
      <w:pPr>
        <w:spacing w:line="360" w:lineRule="auto"/>
        <w:ind w:left="25" w:right="85" w:firstLine="468"/>
        <w:rPr>
          <w:rFonts w:ascii="宋体" w:hAnsi="宋体" w:eastAsia="宋体" w:cs="宋体"/>
          <w:sz w:val="24"/>
          <w:szCs w:val="24"/>
        </w:rPr>
      </w:pPr>
      <w:r>
        <w:rPr>
          <w:rFonts w:ascii="宋体" w:hAnsi="宋体" w:eastAsia="宋体" w:cs="宋体"/>
          <w:spacing w:val="-2"/>
          <w:sz w:val="24"/>
          <w:szCs w:val="24"/>
        </w:rPr>
        <w:t>3.2.6 除投标人须知前附表另有规定外，招标人不接受调价函。若招标人接受调价函，则应在招标文件中给出调价函的格式。投标人若有调价函则</w:t>
      </w:r>
      <w:r>
        <w:rPr>
          <w:rFonts w:ascii="宋体" w:hAnsi="宋体" w:eastAsia="宋体" w:cs="宋体"/>
          <w:spacing w:val="-3"/>
          <w:sz w:val="24"/>
          <w:szCs w:val="24"/>
        </w:rPr>
        <w:t>应遵循如下规定：</w:t>
      </w:r>
    </w:p>
    <w:p w14:paraId="661D35B1">
      <w:pPr>
        <w:spacing w:line="360" w:lineRule="auto"/>
        <w:ind w:left="36" w:right="106" w:firstLine="459"/>
        <w:rPr>
          <w:rFonts w:ascii="宋体" w:hAnsi="宋体" w:eastAsia="宋体" w:cs="宋体"/>
          <w:sz w:val="24"/>
          <w:szCs w:val="24"/>
        </w:rPr>
      </w:pPr>
      <w:r>
        <w:rPr>
          <w:rFonts w:ascii="宋体" w:hAnsi="宋体" w:eastAsia="宋体" w:cs="宋体"/>
          <w:spacing w:val="1"/>
          <w:sz w:val="24"/>
          <w:szCs w:val="24"/>
        </w:rPr>
        <w:t>（1）调价函必须采用招标文件规定的格式；调价函应说明调价后的最终报</w:t>
      </w:r>
      <w:r>
        <w:rPr>
          <w:rFonts w:ascii="宋体" w:hAnsi="宋体" w:eastAsia="宋体" w:cs="宋体"/>
          <w:sz w:val="24"/>
          <w:szCs w:val="24"/>
        </w:rPr>
        <w:t>价，并</w:t>
      </w:r>
      <w:r>
        <w:rPr>
          <w:rFonts w:ascii="宋体" w:hAnsi="宋体" w:eastAsia="宋体" w:cs="宋体"/>
          <w:spacing w:val="-4"/>
          <w:sz w:val="24"/>
          <w:szCs w:val="24"/>
        </w:rPr>
        <w:t>以最终报价为准，而且投标人只能有一次调价的机会；</w:t>
      </w:r>
    </w:p>
    <w:p w14:paraId="6682DED7">
      <w:pPr>
        <w:spacing w:line="218" w:lineRule="auto"/>
        <w:ind w:left="495"/>
        <w:rPr>
          <w:rFonts w:ascii="宋体" w:hAnsi="宋体" w:eastAsia="宋体" w:cs="宋体"/>
          <w:sz w:val="24"/>
          <w:szCs w:val="24"/>
        </w:rPr>
      </w:pPr>
      <w:r>
        <w:rPr>
          <w:rFonts w:ascii="宋体" w:hAnsi="宋体" w:eastAsia="宋体" w:cs="宋体"/>
          <w:spacing w:val="-3"/>
          <w:sz w:val="24"/>
          <w:szCs w:val="24"/>
        </w:rPr>
        <w:t>（2）工程量清单中招标人指定的报价不允许调价；</w:t>
      </w:r>
    </w:p>
    <w:p w14:paraId="60ABCC7F">
      <w:pPr>
        <w:spacing w:before="185" w:line="360" w:lineRule="auto"/>
        <w:ind w:left="10" w:right="106" w:firstLine="485"/>
        <w:rPr>
          <w:rFonts w:ascii="宋体" w:hAnsi="宋体" w:eastAsia="宋体" w:cs="宋体"/>
          <w:sz w:val="24"/>
          <w:szCs w:val="24"/>
        </w:rPr>
      </w:pPr>
      <w:r>
        <w:rPr>
          <w:rFonts w:ascii="宋体" w:hAnsi="宋体" w:eastAsia="宋体" w:cs="宋体"/>
          <w:spacing w:val="1"/>
          <w:sz w:val="24"/>
          <w:szCs w:val="24"/>
        </w:rPr>
        <w:t>（3）调价函必须附有调价后的工程量清单；调价函必须附在投标文件首页</w:t>
      </w:r>
      <w:r>
        <w:rPr>
          <w:rFonts w:ascii="宋体" w:hAnsi="宋体" w:eastAsia="宋体" w:cs="宋体"/>
          <w:sz w:val="24"/>
          <w:szCs w:val="24"/>
        </w:rPr>
        <w:t>，与投</w:t>
      </w:r>
      <w:r>
        <w:rPr>
          <w:rFonts w:ascii="宋体" w:hAnsi="宋体" w:eastAsia="宋体" w:cs="宋体"/>
          <w:spacing w:val="-5"/>
          <w:sz w:val="24"/>
          <w:szCs w:val="24"/>
        </w:rPr>
        <w:t>标文件一起提交。</w:t>
      </w:r>
    </w:p>
    <w:p w14:paraId="49CC7A29">
      <w:pPr>
        <w:spacing w:line="360" w:lineRule="auto"/>
        <w:ind w:left="12" w:right="85" w:firstLine="478"/>
        <w:jc w:val="both"/>
        <w:rPr>
          <w:rFonts w:ascii="宋体" w:hAnsi="宋体" w:eastAsia="宋体" w:cs="宋体"/>
          <w:sz w:val="24"/>
          <w:szCs w:val="24"/>
        </w:rPr>
      </w:pPr>
      <w:r>
        <w:rPr>
          <w:rFonts w:ascii="宋体" w:hAnsi="宋体" w:eastAsia="宋体" w:cs="宋体"/>
          <w:spacing w:val="-2"/>
          <w:sz w:val="24"/>
          <w:szCs w:val="24"/>
        </w:rPr>
        <w:t>若投标人未提交调价后的工程量清单，或调价函未附在投标文件首页，调价函均视为无效，仍以原报价作为最终报价。若投标人提交的调价函多于一个，或对不允许调价的内容进行了调价，或调价函有附加条件，其投标将被否决。</w:t>
      </w:r>
    </w:p>
    <w:p w14:paraId="3A4871B7">
      <w:pPr>
        <w:spacing w:before="1" w:line="361" w:lineRule="auto"/>
        <w:ind w:left="7" w:right="96" w:firstLine="488"/>
        <w:rPr>
          <w:rFonts w:ascii="宋体" w:hAnsi="宋体" w:eastAsia="宋体" w:cs="宋体"/>
          <w:sz w:val="24"/>
          <w:szCs w:val="24"/>
        </w:rPr>
      </w:pPr>
      <w:r>
        <w:rPr>
          <w:rFonts w:ascii="宋体" w:hAnsi="宋体" w:eastAsia="宋体" w:cs="宋体"/>
          <w:spacing w:val="1"/>
          <w:sz w:val="24"/>
          <w:szCs w:val="24"/>
        </w:rPr>
        <w:t>（4）若招标人接受调价函，投标人调价后的工程量清单和有效调价函的大写金额</w:t>
      </w:r>
      <w:r>
        <w:rPr>
          <w:rFonts w:ascii="宋体" w:hAnsi="宋体" w:eastAsia="宋体" w:cs="宋体"/>
          <w:spacing w:val="-1"/>
          <w:sz w:val="24"/>
          <w:szCs w:val="24"/>
        </w:rPr>
        <w:t>报价应保持一致，如果报价金额出现差异，则以有效调价函的大写</w:t>
      </w:r>
      <w:r>
        <w:rPr>
          <w:rFonts w:ascii="宋体" w:hAnsi="宋体" w:eastAsia="宋体" w:cs="宋体"/>
          <w:spacing w:val="-2"/>
          <w:sz w:val="24"/>
          <w:szCs w:val="24"/>
        </w:rPr>
        <w:t>金额报价为准。</w:t>
      </w:r>
    </w:p>
    <w:p w14:paraId="788F8A89">
      <w:pPr>
        <w:spacing w:line="217" w:lineRule="auto"/>
        <w:rPr>
          <w:rFonts w:ascii="宋体" w:hAnsi="宋体" w:eastAsia="宋体" w:cs="宋体"/>
          <w:sz w:val="18"/>
          <w:szCs w:val="18"/>
        </w:rPr>
        <w:sectPr>
          <w:headerReference r:id="rId23" w:type="default"/>
          <w:footerReference r:id="rId24" w:type="default"/>
          <w:pgSz w:w="11905" w:h="16840"/>
          <w:pgMar w:top="1182" w:right="1331" w:bottom="1171" w:left="1416" w:header="849" w:footer="937" w:gutter="0"/>
          <w:pgNumType w:fmt="decimal"/>
          <w:cols w:space="720" w:num="1"/>
        </w:sectPr>
      </w:pPr>
    </w:p>
    <w:p w14:paraId="69831788">
      <w:pPr>
        <w:pStyle w:val="2"/>
        <w:spacing w:line="268" w:lineRule="auto"/>
      </w:pPr>
    </w:p>
    <w:p w14:paraId="1C305A3F">
      <w:pPr>
        <w:spacing w:before="78" w:line="360" w:lineRule="auto"/>
        <w:ind w:left="17" w:right="85" w:firstLine="483"/>
        <w:rPr>
          <w:rFonts w:ascii="宋体" w:hAnsi="宋体" w:eastAsia="宋体" w:cs="宋体"/>
          <w:sz w:val="24"/>
          <w:szCs w:val="24"/>
        </w:rPr>
      </w:pPr>
      <w:r>
        <w:rPr>
          <w:rFonts w:ascii="宋体" w:hAnsi="宋体" w:eastAsia="宋体" w:cs="宋体"/>
          <w:spacing w:val="-2"/>
          <w:sz w:val="24"/>
          <w:szCs w:val="24"/>
        </w:rPr>
        <w:t>3.2.7 在合同实施期间，投标人填写的单价、合价和总额价是否由于物价波动进行</w:t>
      </w:r>
      <w:r>
        <w:rPr>
          <w:rFonts w:ascii="宋体" w:hAnsi="宋体" w:eastAsia="宋体" w:cs="宋体"/>
          <w:spacing w:val="-4"/>
          <w:sz w:val="24"/>
          <w:szCs w:val="24"/>
        </w:rPr>
        <w:t>价格调整按照合同条款第</w:t>
      </w:r>
      <w:r>
        <w:rPr>
          <w:rFonts w:ascii="宋体" w:hAnsi="宋体" w:eastAsia="宋体" w:cs="宋体"/>
          <w:spacing w:val="-22"/>
          <w:sz w:val="24"/>
          <w:szCs w:val="24"/>
        </w:rPr>
        <w:t xml:space="preserve"> </w:t>
      </w:r>
      <w:r>
        <w:rPr>
          <w:rFonts w:ascii="宋体" w:hAnsi="宋体" w:eastAsia="宋体" w:cs="宋体"/>
          <w:spacing w:val="-4"/>
          <w:sz w:val="24"/>
          <w:szCs w:val="24"/>
        </w:rPr>
        <w:t>16.1</w:t>
      </w:r>
      <w:r>
        <w:rPr>
          <w:rFonts w:ascii="宋体" w:hAnsi="宋体" w:eastAsia="宋体" w:cs="宋体"/>
          <w:spacing w:val="-50"/>
          <w:sz w:val="24"/>
          <w:szCs w:val="24"/>
        </w:rPr>
        <w:t xml:space="preserve"> </w:t>
      </w:r>
      <w:r>
        <w:rPr>
          <w:rFonts w:ascii="宋体" w:hAnsi="宋体" w:eastAsia="宋体" w:cs="宋体"/>
          <w:spacing w:val="-4"/>
          <w:sz w:val="24"/>
          <w:szCs w:val="24"/>
        </w:rPr>
        <w:t>款的规定处理。</w:t>
      </w:r>
    </w:p>
    <w:p w14:paraId="6ADB31CB">
      <w:pPr>
        <w:spacing w:before="2" w:line="359" w:lineRule="auto"/>
        <w:ind w:left="23" w:right="85" w:firstLine="478"/>
        <w:rPr>
          <w:rFonts w:ascii="宋体" w:hAnsi="宋体" w:eastAsia="宋体" w:cs="宋体"/>
          <w:sz w:val="24"/>
          <w:szCs w:val="24"/>
        </w:rPr>
      </w:pPr>
      <w:r>
        <w:rPr>
          <w:rFonts w:ascii="宋体" w:hAnsi="宋体" w:eastAsia="宋体" w:cs="宋体"/>
          <w:spacing w:val="-2"/>
          <w:sz w:val="24"/>
          <w:szCs w:val="24"/>
        </w:rPr>
        <w:t>3.2.8 招标人设有最高投标限价的，投标人的投标报价不得超过最高投标限价，最</w:t>
      </w:r>
      <w:r>
        <w:rPr>
          <w:rFonts w:ascii="宋体" w:hAnsi="宋体" w:eastAsia="宋体" w:cs="宋体"/>
          <w:spacing w:val="-3"/>
          <w:sz w:val="24"/>
          <w:szCs w:val="24"/>
        </w:rPr>
        <w:t>高投标限价在投标人须知前附表中载明。</w:t>
      </w:r>
    </w:p>
    <w:p w14:paraId="2B2565A0">
      <w:pPr>
        <w:spacing w:line="218" w:lineRule="auto"/>
        <w:ind w:left="501"/>
        <w:rPr>
          <w:rFonts w:ascii="宋体" w:hAnsi="宋体" w:eastAsia="宋体" w:cs="宋体"/>
          <w:sz w:val="24"/>
          <w:szCs w:val="24"/>
        </w:rPr>
      </w:pPr>
      <w:r>
        <w:rPr>
          <w:rFonts w:ascii="宋体" w:hAnsi="宋体" w:eastAsia="宋体" w:cs="宋体"/>
          <w:spacing w:val="-2"/>
          <w:sz w:val="24"/>
          <w:szCs w:val="24"/>
        </w:rPr>
        <w:t>3.2.9 投标报价的其他要求见投标人须知前附表。</w:t>
      </w:r>
    </w:p>
    <w:p w14:paraId="4194AB0F">
      <w:pPr>
        <w:spacing w:before="184" w:line="220" w:lineRule="auto"/>
        <w:ind w:left="21"/>
        <w:rPr>
          <w:rFonts w:ascii="宋体" w:hAnsi="宋体" w:eastAsia="宋体" w:cs="宋体"/>
          <w:sz w:val="24"/>
          <w:szCs w:val="24"/>
        </w:rPr>
      </w:pPr>
      <w:r>
        <w:rPr>
          <w:rFonts w:ascii="宋体" w:hAnsi="宋体" w:eastAsia="宋体" w:cs="宋体"/>
          <w:b/>
          <w:bCs/>
          <w:spacing w:val="-4"/>
          <w:sz w:val="24"/>
          <w:szCs w:val="24"/>
        </w:rPr>
        <w:t>3.3</w:t>
      </w:r>
      <w:r>
        <w:rPr>
          <w:rFonts w:ascii="宋体" w:hAnsi="宋体" w:eastAsia="宋体" w:cs="宋体"/>
          <w:spacing w:val="-4"/>
          <w:sz w:val="24"/>
          <w:szCs w:val="24"/>
        </w:rPr>
        <w:t xml:space="preserve"> </w:t>
      </w:r>
      <w:r>
        <w:rPr>
          <w:rFonts w:ascii="宋体" w:hAnsi="宋体" w:eastAsia="宋体" w:cs="宋体"/>
          <w:b/>
          <w:bCs/>
          <w:spacing w:val="-4"/>
          <w:sz w:val="24"/>
          <w:szCs w:val="24"/>
        </w:rPr>
        <w:t>投标有效期</w:t>
      </w:r>
    </w:p>
    <w:p w14:paraId="28C15F71">
      <w:pPr>
        <w:spacing w:before="181" w:line="219" w:lineRule="auto"/>
        <w:ind w:left="501"/>
        <w:rPr>
          <w:rFonts w:ascii="宋体" w:hAnsi="宋体" w:eastAsia="宋体" w:cs="宋体"/>
          <w:sz w:val="24"/>
          <w:szCs w:val="24"/>
        </w:rPr>
      </w:pPr>
      <w:r>
        <w:rPr>
          <w:rFonts w:ascii="宋体" w:hAnsi="宋体" w:eastAsia="宋体" w:cs="宋体"/>
          <w:spacing w:val="-3"/>
          <w:sz w:val="24"/>
          <w:szCs w:val="24"/>
        </w:rPr>
        <w:t>3.3.1 除投标人须知前附表另有规定外，投标有效期为</w:t>
      </w:r>
      <w:r>
        <w:rPr>
          <w:rFonts w:ascii="宋体" w:hAnsi="宋体" w:eastAsia="宋体" w:cs="宋体"/>
          <w:spacing w:val="-32"/>
          <w:sz w:val="24"/>
          <w:szCs w:val="24"/>
        </w:rPr>
        <w:t xml:space="preserve"> </w:t>
      </w:r>
      <w:r>
        <w:rPr>
          <w:rFonts w:ascii="宋体" w:hAnsi="宋体" w:eastAsia="宋体" w:cs="宋体"/>
          <w:spacing w:val="-3"/>
          <w:sz w:val="24"/>
          <w:szCs w:val="24"/>
        </w:rPr>
        <w:t>90 日。</w:t>
      </w:r>
    </w:p>
    <w:p w14:paraId="5FC3DF10">
      <w:pPr>
        <w:spacing w:before="183" w:line="360" w:lineRule="auto"/>
        <w:ind w:left="15" w:right="85" w:firstLine="485"/>
        <w:rPr>
          <w:rFonts w:ascii="宋体" w:hAnsi="宋体" w:eastAsia="宋体" w:cs="宋体"/>
          <w:sz w:val="24"/>
          <w:szCs w:val="24"/>
        </w:rPr>
      </w:pPr>
      <w:r>
        <w:rPr>
          <w:rFonts w:ascii="宋体" w:hAnsi="宋体" w:eastAsia="宋体" w:cs="宋体"/>
          <w:spacing w:val="-2"/>
          <w:sz w:val="24"/>
          <w:szCs w:val="24"/>
        </w:rPr>
        <w:t>3.3.2 在投标有效期内，投标人撤销投标文件的，应承担招标文件和法律规定的责</w:t>
      </w:r>
      <w:r>
        <w:rPr>
          <w:rFonts w:ascii="宋体" w:hAnsi="宋体" w:eastAsia="宋体" w:cs="宋体"/>
          <w:spacing w:val="-11"/>
          <w:sz w:val="24"/>
          <w:szCs w:val="24"/>
        </w:rPr>
        <w:t>任。</w:t>
      </w:r>
    </w:p>
    <w:p w14:paraId="5A8A72AC">
      <w:pPr>
        <w:spacing w:line="360" w:lineRule="auto"/>
        <w:ind w:left="17" w:right="81" w:firstLine="483"/>
        <w:rPr>
          <w:rFonts w:ascii="宋体" w:hAnsi="宋体" w:eastAsia="宋体" w:cs="宋体"/>
          <w:sz w:val="24"/>
          <w:szCs w:val="24"/>
        </w:rPr>
      </w:pPr>
      <w:r>
        <w:rPr>
          <w:rFonts w:ascii="宋体" w:hAnsi="宋体" w:eastAsia="宋体" w:cs="宋体"/>
          <w:spacing w:val="-2"/>
          <w:sz w:val="24"/>
          <w:szCs w:val="24"/>
        </w:rPr>
        <w:t>3.3.3</w:t>
      </w:r>
      <w:r>
        <w:rPr>
          <w:rFonts w:ascii="宋体" w:hAnsi="宋体" w:eastAsia="宋体" w:cs="宋体"/>
          <w:spacing w:val="30"/>
          <w:sz w:val="24"/>
          <w:szCs w:val="24"/>
        </w:rPr>
        <w:t xml:space="preserve"> </w:t>
      </w:r>
      <w:r>
        <w:rPr>
          <w:rFonts w:ascii="宋体" w:hAnsi="宋体" w:eastAsia="宋体" w:cs="宋体"/>
          <w:spacing w:val="-2"/>
          <w:sz w:val="24"/>
          <w:szCs w:val="24"/>
        </w:rPr>
        <w:t>出现特殊情况需要延长投标有效期</w:t>
      </w:r>
      <w:r>
        <w:rPr>
          <w:rFonts w:ascii="宋体" w:hAnsi="宋体" w:eastAsia="宋体" w:cs="宋体"/>
          <w:spacing w:val="-3"/>
          <w:sz w:val="24"/>
          <w:szCs w:val="24"/>
        </w:rPr>
        <w:t>的，招标人以书面形式通知所有投标人延</w:t>
      </w:r>
      <w:r>
        <w:rPr>
          <w:rFonts w:ascii="宋体" w:hAnsi="宋体" w:eastAsia="宋体" w:cs="宋体"/>
          <w:spacing w:val="-7"/>
          <w:sz w:val="24"/>
          <w:szCs w:val="24"/>
        </w:rPr>
        <w:t>长投标有效期。投标人应予以书面答复，</w:t>
      </w:r>
      <w:r>
        <w:rPr>
          <w:rFonts w:ascii="宋体" w:hAnsi="宋体" w:eastAsia="宋体" w:cs="宋体"/>
          <w:spacing w:val="86"/>
          <w:sz w:val="24"/>
          <w:szCs w:val="24"/>
        </w:rPr>
        <w:t xml:space="preserve"> </w:t>
      </w:r>
      <w:r>
        <w:rPr>
          <w:rFonts w:ascii="宋体" w:hAnsi="宋体" w:eastAsia="宋体" w:cs="宋体"/>
          <w:spacing w:val="-7"/>
          <w:sz w:val="24"/>
          <w:szCs w:val="24"/>
        </w:rPr>
        <w:t>同意延长的，应相应延长其投标保证金的有效</w:t>
      </w:r>
      <w:r>
        <w:rPr>
          <w:rFonts w:ascii="宋体" w:hAnsi="宋体" w:eastAsia="宋体" w:cs="宋体"/>
          <w:spacing w:val="-2"/>
          <w:sz w:val="24"/>
          <w:szCs w:val="24"/>
        </w:rPr>
        <w:t>期，但不得要求或被允许修改其投标文件；投标人拒绝延长的，其投标失效，但投标人</w:t>
      </w:r>
      <w:r>
        <w:rPr>
          <w:rFonts w:ascii="宋体" w:hAnsi="宋体" w:eastAsia="宋体" w:cs="宋体"/>
          <w:spacing w:val="5"/>
          <w:sz w:val="24"/>
          <w:szCs w:val="24"/>
        </w:rPr>
        <w:t>有权收回其投标保证金及以现金或支票形式递交的投标保证金的银行同期活期存款利</w:t>
      </w:r>
      <w:r>
        <w:rPr>
          <w:rFonts w:ascii="宋体" w:hAnsi="宋体" w:eastAsia="宋体" w:cs="宋体"/>
          <w:spacing w:val="-12"/>
          <w:sz w:val="24"/>
          <w:szCs w:val="24"/>
        </w:rPr>
        <w:t>息。</w:t>
      </w:r>
    </w:p>
    <w:p w14:paraId="6D704874">
      <w:pPr>
        <w:spacing w:line="220" w:lineRule="auto"/>
        <w:ind w:left="21"/>
        <w:rPr>
          <w:rFonts w:ascii="宋体" w:hAnsi="宋体" w:eastAsia="宋体" w:cs="宋体"/>
          <w:sz w:val="24"/>
          <w:szCs w:val="24"/>
        </w:rPr>
      </w:pPr>
      <w:r>
        <w:rPr>
          <w:rFonts w:ascii="宋体" w:hAnsi="宋体" w:eastAsia="宋体" w:cs="宋体"/>
          <w:b/>
          <w:bCs/>
          <w:spacing w:val="-4"/>
          <w:sz w:val="24"/>
          <w:szCs w:val="24"/>
        </w:rPr>
        <w:t>3.4</w:t>
      </w:r>
      <w:r>
        <w:rPr>
          <w:rFonts w:ascii="宋体" w:hAnsi="宋体" w:eastAsia="宋体" w:cs="宋体"/>
          <w:spacing w:val="-4"/>
          <w:sz w:val="24"/>
          <w:szCs w:val="24"/>
        </w:rPr>
        <w:t xml:space="preserve"> </w:t>
      </w:r>
      <w:r>
        <w:rPr>
          <w:rFonts w:ascii="宋体" w:hAnsi="宋体" w:eastAsia="宋体" w:cs="宋体"/>
          <w:b/>
          <w:bCs/>
          <w:spacing w:val="-4"/>
          <w:sz w:val="24"/>
          <w:szCs w:val="24"/>
        </w:rPr>
        <w:t>投标保证金</w:t>
      </w:r>
    </w:p>
    <w:p w14:paraId="2B69438C">
      <w:pPr>
        <w:spacing w:before="182" w:line="360" w:lineRule="auto"/>
        <w:ind w:right="71" w:firstLine="501"/>
        <w:jc w:val="both"/>
        <w:rPr>
          <w:rFonts w:ascii="宋体" w:hAnsi="宋体" w:eastAsia="宋体" w:cs="宋体"/>
          <w:sz w:val="24"/>
          <w:szCs w:val="24"/>
        </w:rPr>
      </w:pPr>
      <w:r>
        <w:rPr>
          <w:rFonts w:ascii="宋体" w:hAnsi="宋体" w:eastAsia="宋体" w:cs="宋体"/>
          <w:spacing w:val="-2"/>
          <w:sz w:val="24"/>
          <w:szCs w:val="24"/>
        </w:rPr>
        <w:t>3.4.1 投标人在递交投标文件的同时，应按投标人须知前附表规定的金额和第九章</w:t>
      </w:r>
      <w:r>
        <w:rPr>
          <w:rFonts w:ascii="宋体" w:hAnsi="宋体" w:eastAsia="宋体" w:cs="宋体"/>
          <w:spacing w:val="-1"/>
          <w:sz w:val="24"/>
          <w:szCs w:val="24"/>
        </w:rPr>
        <w:t>“投标文件格式”规定的投标保证金格式递交投标保证金，并作为其投标文件</w:t>
      </w:r>
      <w:r>
        <w:rPr>
          <w:rFonts w:ascii="宋体" w:hAnsi="宋体" w:eastAsia="宋体" w:cs="宋体"/>
          <w:spacing w:val="-2"/>
          <w:sz w:val="24"/>
          <w:szCs w:val="24"/>
        </w:rPr>
        <w:t>的组成部</w:t>
      </w:r>
      <w:r>
        <w:rPr>
          <w:rFonts w:ascii="宋体" w:hAnsi="宋体" w:eastAsia="宋体" w:cs="宋体"/>
          <w:spacing w:val="-1"/>
          <w:sz w:val="24"/>
          <w:szCs w:val="24"/>
        </w:rPr>
        <w:t>分。联合体投标的，其投标保证金由牵头人递交，并应符合投标人须知前附表的规定。</w:t>
      </w:r>
    </w:p>
    <w:p w14:paraId="35E36383">
      <w:pPr>
        <w:spacing w:line="360" w:lineRule="auto"/>
        <w:ind w:left="19" w:right="85" w:firstLine="480"/>
        <w:rPr>
          <w:rFonts w:ascii="宋体" w:hAnsi="宋体" w:eastAsia="宋体" w:cs="宋体"/>
          <w:sz w:val="24"/>
          <w:szCs w:val="24"/>
        </w:rPr>
      </w:pPr>
      <w:r>
        <w:rPr>
          <w:rFonts w:ascii="宋体" w:hAnsi="宋体" w:eastAsia="宋体" w:cs="宋体"/>
          <w:spacing w:val="-2"/>
          <w:sz w:val="24"/>
          <w:szCs w:val="24"/>
        </w:rPr>
        <w:t>投标保证金应采用现金、支票、银行保函或招标人在投标人须知前附表规定的其他</w:t>
      </w:r>
      <w:r>
        <w:rPr>
          <w:rFonts w:ascii="宋体" w:hAnsi="宋体" w:eastAsia="宋体" w:cs="宋体"/>
          <w:spacing w:val="-11"/>
          <w:sz w:val="24"/>
          <w:szCs w:val="24"/>
        </w:rPr>
        <w:t>形式。</w:t>
      </w:r>
    </w:p>
    <w:p w14:paraId="2CCFE992">
      <w:pPr>
        <w:spacing w:line="360" w:lineRule="auto"/>
        <w:ind w:left="17" w:right="85" w:firstLine="485"/>
        <w:rPr>
          <w:rFonts w:ascii="宋体" w:hAnsi="宋体" w:eastAsia="宋体" w:cs="宋体"/>
          <w:sz w:val="24"/>
          <w:szCs w:val="24"/>
        </w:rPr>
      </w:pPr>
      <w:r>
        <w:rPr>
          <w:rFonts w:ascii="宋体" w:hAnsi="宋体" w:eastAsia="宋体" w:cs="宋体"/>
          <w:spacing w:val="1"/>
          <w:sz w:val="24"/>
          <w:szCs w:val="24"/>
        </w:rPr>
        <w:t>（1）若采用现金或支票，投标人应在递交投标文件截止时间之前，将投标保证金</w:t>
      </w:r>
      <w:r>
        <w:rPr>
          <w:rFonts w:ascii="宋体" w:hAnsi="宋体" w:eastAsia="宋体" w:cs="宋体"/>
          <w:spacing w:val="-2"/>
          <w:sz w:val="24"/>
          <w:szCs w:val="24"/>
        </w:rPr>
        <w:t>由投标人的基本账户转入招标人指定账户，否则视为投标保证金无效。招标人指定的开</w:t>
      </w:r>
      <w:r>
        <w:rPr>
          <w:rFonts w:ascii="宋体" w:hAnsi="宋体" w:eastAsia="宋体" w:cs="宋体"/>
          <w:spacing w:val="-3"/>
          <w:sz w:val="24"/>
          <w:szCs w:val="24"/>
        </w:rPr>
        <w:t>户银行及账号见投标人须知前附表。</w:t>
      </w:r>
    </w:p>
    <w:p w14:paraId="641A02CF">
      <w:pPr>
        <w:spacing w:line="360" w:lineRule="auto"/>
        <w:ind w:left="18" w:right="85" w:firstLine="484"/>
        <w:rPr>
          <w:rFonts w:ascii="宋体" w:hAnsi="宋体" w:eastAsia="宋体" w:cs="宋体"/>
          <w:sz w:val="24"/>
          <w:szCs w:val="24"/>
        </w:rPr>
      </w:pPr>
      <w:r>
        <w:rPr>
          <w:rFonts w:ascii="宋体" w:hAnsi="宋体" w:eastAsia="宋体" w:cs="宋体"/>
          <w:spacing w:val="1"/>
          <w:sz w:val="24"/>
          <w:szCs w:val="24"/>
        </w:rPr>
        <w:t>（2）若采用银行保函，则应由符合投标人须知前附表规定级别的银行开具，并采</w:t>
      </w:r>
      <w:r>
        <w:rPr>
          <w:rFonts w:ascii="宋体" w:hAnsi="宋体" w:eastAsia="宋体" w:cs="宋体"/>
          <w:spacing w:val="-5"/>
          <w:sz w:val="24"/>
          <w:szCs w:val="24"/>
        </w:rPr>
        <w:t>用招标文件提供的格式。银行保函扫描件附在投标文件内， 原件应在递交投标文件截止</w:t>
      </w:r>
      <w:r>
        <w:rPr>
          <w:rFonts w:ascii="宋体" w:hAnsi="宋体" w:eastAsia="宋体" w:cs="宋体"/>
          <w:spacing w:val="-3"/>
          <w:sz w:val="24"/>
          <w:szCs w:val="24"/>
        </w:rPr>
        <w:t>时间之前单独密封递交给招标人。</w:t>
      </w:r>
    </w:p>
    <w:p w14:paraId="33823D0E">
      <w:pPr>
        <w:spacing w:line="360" w:lineRule="auto"/>
        <w:ind w:left="18" w:firstLine="480"/>
        <w:rPr>
          <w:rFonts w:ascii="宋体" w:hAnsi="宋体" w:eastAsia="宋体" w:cs="宋体"/>
          <w:sz w:val="24"/>
          <w:szCs w:val="24"/>
        </w:rPr>
      </w:pPr>
      <w:r>
        <w:rPr>
          <w:rFonts w:ascii="宋体" w:hAnsi="宋体" w:eastAsia="宋体" w:cs="宋体"/>
          <w:spacing w:val="-2"/>
          <w:sz w:val="24"/>
          <w:szCs w:val="24"/>
        </w:rPr>
        <w:t>无论采取何种形式的投标保证金，投标保证金有效期均应与投标有效期一致。招标</w:t>
      </w:r>
      <w:r>
        <w:rPr>
          <w:rFonts w:ascii="宋体" w:hAnsi="宋体" w:eastAsia="宋体" w:cs="宋体"/>
          <w:spacing w:val="-5"/>
          <w:sz w:val="24"/>
          <w:szCs w:val="24"/>
        </w:rPr>
        <w:t>人如果按本章第</w:t>
      </w:r>
      <w:r>
        <w:rPr>
          <w:rFonts w:ascii="宋体" w:hAnsi="宋体" w:eastAsia="宋体" w:cs="宋体"/>
          <w:spacing w:val="-60"/>
          <w:sz w:val="24"/>
          <w:szCs w:val="24"/>
        </w:rPr>
        <w:t xml:space="preserve"> </w:t>
      </w:r>
      <w:r>
        <w:rPr>
          <w:rFonts w:ascii="宋体" w:hAnsi="宋体" w:eastAsia="宋体" w:cs="宋体"/>
          <w:spacing w:val="-5"/>
          <w:sz w:val="24"/>
          <w:szCs w:val="24"/>
        </w:rPr>
        <w:t>3.3.3</w:t>
      </w:r>
      <w:r>
        <w:rPr>
          <w:rFonts w:ascii="宋体" w:hAnsi="宋体" w:eastAsia="宋体" w:cs="宋体"/>
          <w:spacing w:val="-71"/>
          <w:sz w:val="24"/>
          <w:szCs w:val="24"/>
        </w:rPr>
        <w:t xml:space="preserve"> </w:t>
      </w:r>
      <w:r>
        <w:rPr>
          <w:rFonts w:ascii="宋体" w:hAnsi="宋体" w:eastAsia="宋体" w:cs="宋体"/>
          <w:spacing w:val="-5"/>
          <w:sz w:val="24"/>
          <w:szCs w:val="24"/>
        </w:rPr>
        <w:t>项的规定延长了投标有效期，则投标保证金的有效期也相应延长。</w:t>
      </w:r>
    </w:p>
    <w:p w14:paraId="61F95B2F">
      <w:pPr>
        <w:spacing w:before="1" w:line="362" w:lineRule="auto"/>
        <w:ind w:left="17" w:right="85" w:firstLine="483"/>
        <w:rPr>
          <w:rFonts w:ascii="宋体" w:hAnsi="宋体" w:eastAsia="宋体" w:cs="宋体"/>
          <w:sz w:val="24"/>
          <w:szCs w:val="24"/>
        </w:rPr>
      </w:pPr>
      <w:r>
        <w:rPr>
          <w:rFonts w:ascii="宋体" w:hAnsi="宋体" w:eastAsia="宋体" w:cs="宋体"/>
          <w:spacing w:val="-2"/>
          <w:sz w:val="24"/>
          <w:szCs w:val="24"/>
        </w:rPr>
        <w:t>3.4.2 投标人不按本章第</w:t>
      </w:r>
      <w:r>
        <w:rPr>
          <w:rFonts w:ascii="宋体" w:hAnsi="宋体" w:eastAsia="宋体" w:cs="宋体"/>
          <w:spacing w:val="-46"/>
          <w:sz w:val="24"/>
          <w:szCs w:val="24"/>
        </w:rPr>
        <w:t xml:space="preserve"> </w:t>
      </w:r>
      <w:r>
        <w:rPr>
          <w:rFonts w:ascii="宋体" w:hAnsi="宋体" w:eastAsia="宋体" w:cs="宋体"/>
          <w:spacing w:val="-2"/>
          <w:sz w:val="24"/>
          <w:szCs w:val="24"/>
        </w:rPr>
        <w:t>3.4.1</w:t>
      </w:r>
      <w:r>
        <w:rPr>
          <w:rFonts w:ascii="宋体" w:hAnsi="宋体" w:eastAsia="宋体" w:cs="宋体"/>
          <w:spacing w:val="-47"/>
          <w:sz w:val="24"/>
          <w:szCs w:val="24"/>
        </w:rPr>
        <w:t xml:space="preserve"> </w:t>
      </w:r>
      <w:r>
        <w:rPr>
          <w:rFonts w:ascii="宋体" w:hAnsi="宋体" w:eastAsia="宋体" w:cs="宋体"/>
          <w:spacing w:val="-2"/>
          <w:sz w:val="24"/>
          <w:szCs w:val="24"/>
        </w:rPr>
        <w:t>项要求提交投标保证金的，评</w:t>
      </w:r>
      <w:r>
        <w:rPr>
          <w:rFonts w:ascii="宋体" w:hAnsi="宋体" w:eastAsia="宋体" w:cs="宋体"/>
          <w:spacing w:val="-3"/>
          <w:sz w:val="24"/>
          <w:szCs w:val="24"/>
        </w:rPr>
        <w:t>标委员会将否决其投</w:t>
      </w:r>
      <w:r>
        <w:rPr>
          <w:rFonts w:ascii="宋体" w:hAnsi="宋体" w:eastAsia="宋体" w:cs="宋体"/>
          <w:spacing w:val="-12"/>
          <w:sz w:val="24"/>
          <w:szCs w:val="24"/>
        </w:rPr>
        <w:t>标。</w:t>
      </w:r>
    </w:p>
    <w:p w14:paraId="404B1770">
      <w:pPr>
        <w:spacing w:line="362" w:lineRule="auto"/>
        <w:rPr>
          <w:rFonts w:ascii="宋体" w:hAnsi="宋体" w:eastAsia="宋体" w:cs="宋体"/>
          <w:sz w:val="24"/>
          <w:szCs w:val="24"/>
        </w:rPr>
        <w:sectPr>
          <w:headerReference r:id="rId25" w:type="default"/>
          <w:footerReference r:id="rId26" w:type="default"/>
          <w:pgSz w:w="11905" w:h="16840"/>
          <w:pgMar w:top="1182" w:right="1331" w:bottom="1171" w:left="1408" w:header="849" w:footer="937" w:gutter="0"/>
          <w:pgNumType w:fmt="decimal"/>
          <w:cols w:space="720" w:num="1"/>
        </w:sectPr>
      </w:pPr>
    </w:p>
    <w:p w14:paraId="0350760B">
      <w:pPr>
        <w:pStyle w:val="2"/>
        <w:spacing w:line="268" w:lineRule="auto"/>
      </w:pPr>
    </w:p>
    <w:p w14:paraId="09DF6CD3">
      <w:pPr>
        <w:spacing w:before="78" w:line="360" w:lineRule="auto"/>
        <w:ind w:left="8" w:right="186" w:firstLine="485"/>
        <w:jc w:val="both"/>
        <w:rPr>
          <w:rFonts w:ascii="宋体" w:hAnsi="宋体" w:eastAsia="宋体" w:cs="宋体"/>
          <w:sz w:val="24"/>
          <w:szCs w:val="24"/>
        </w:rPr>
      </w:pPr>
      <w:r>
        <w:rPr>
          <w:rFonts w:ascii="宋体" w:hAnsi="宋体" w:eastAsia="宋体" w:cs="宋体"/>
          <w:spacing w:val="-4"/>
          <w:sz w:val="24"/>
          <w:szCs w:val="24"/>
        </w:rPr>
        <w:t>3.4.3 根据《广东省实施&lt;中华人民共和</w:t>
      </w:r>
      <w:r>
        <w:rPr>
          <w:rFonts w:ascii="宋体" w:hAnsi="宋体" w:eastAsia="宋体" w:cs="宋体"/>
          <w:spacing w:val="-5"/>
          <w:sz w:val="24"/>
          <w:szCs w:val="24"/>
        </w:rPr>
        <w:t>国招标投标法&gt;办法》第二十五条规定， 招</w:t>
      </w:r>
      <w:r>
        <w:rPr>
          <w:rFonts w:ascii="宋体" w:hAnsi="宋体" w:eastAsia="宋体" w:cs="宋体"/>
          <w:spacing w:val="-2"/>
          <w:sz w:val="24"/>
          <w:szCs w:val="24"/>
        </w:rPr>
        <w:t>标人应当在中标通知书发出之日起五日内将投标保证金退回中标候选人以外的投标人，在书面合同订立之日起五日内将投标保证金退回中标人和其他中标候选人。法律、行政法规规定不予退还或者可以不退还投标保证金的，从其规定。投标保证金以现金或支票形式递交的，招标人应同时退还投标保证金的银行同期活期存款利息，且退还至投标人</w:t>
      </w:r>
      <w:r>
        <w:rPr>
          <w:rFonts w:ascii="宋体" w:hAnsi="宋体" w:eastAsia="宋体" w:cs="宋体"/>
          <w:spacing w:val="-6"/>
          <w:sz w:val="24"/>
          <w:szCs w:val="24"/>
        </w:rPr>
        <w:t>的基本账户。</w:t>
      </w:r>
    </w:p>
    <w:p w14:paraId="6AB39FF2">
      <w:pPr>
        <w:spacing w:before="1" w:line="218" w:lineRule="auto"/>
        <w:ind w:left="490"/>
        <w:rPr>
          <w:rFonts w:ascii="宋体" w:hAnsi="宋体" w:eastAsia="宋体" w:cs="宋体"/>
          <w:sz w:val="24"/>
          <w:szCs w:val="24"/>
        </w:rPr>
      </w:pPr>
      <w:r>
        <w:rPr>
          <w:rFonts w:ascii="宋体" w:hAnsi="宋体" w:eastAsia="宋体" w:cs="宋体"/>
          <w:spacing w:val="-3"/>
          <w:sz w:val="24"/>
          <w:szCs w:val="24"/>
        </w:rPr>
        <w:t>利息计算原则见投标人须知前附表。</w:t>
      </w:r>
    </w:p>
    <w:p w14:paraId="3E142D02">
      <w:pPr>
        <w:spacing w:before="182" w:line="220" w:lineRule="auto"/>
        <w:ind w:left="494"/>
        <w:rPr>
          <w:rFonts w:ascii="宋体" w:hAnsi="宋体" w:eastAsia="宋体" w:cs="宋体"/>
          <w:sz w:val="24"/>
          <w:szCs w:val="24"/>
        </w:rPr>
      </w:pPr>
      <w:r>
        <w:rPr>
          <w:rFonts w:ascii="宋体" w:hAnsi="宋体" w:eastAsia="宋体" w:cs="宋体"/>
          <w:spacing w:val="-3"/>
          <w:sz w:val="24"/>
          <w:szCs w:val="24"/>
        </w:rPr>
        <w:t>3.4.4 有下列情形之一的，投标保证金将不予退还：</w:t>
      </w:r>
    </w:p>
    <w:p w14:paraId="777A9446">
      <w:pPr>
        <w:spacing w:before="182" w:line="220" w:lineRule="auto"/>
        <w:ind w:left="495"/>
        <w:rPr>
          <w:rFonts w:ascii="宋体" w:hAnsi="宋体" w:eastAsia="宋体" w:cs="宋体"/>
          <w:sz w:val="24"/>
          <w:szCs w:val="24"/>
        </w:rPr>
      </w:pPr>
      <w:r>
        <w:rPr>
          <w:rFonts w:ascii="宋体" w:hAnsi="宋体" w:eastAsia="宋体" w:cs="宋体"/>
          <w:spacing w:val="-4"/>
          <w:sz w:val="24"/>
          <w:szCs w:val="24"/>
        </w:rPr>
        <w:t>（1）投标人在投标有效期内撤销投标文件；</w:t>
      </w:r>
    </w:p>
    <w:p w14:paraId="0811C24B">
      <w:pPr>
        <w:spacing w:before="182" w:line="360" w:lineRule="auto"/>
        <w:ind w:left="20" w:right="197" w:firstLine="475"/>
        <w:rPr>
          <w:rFonts w:ascii="宋体" w:hAnsi="宋体" w:eastAsia="宋体" w:cs="宋体"/>
          <w:sz w:val="24"/>
          <w:szCs w:val="24"/>
        </w:rPr>
      </w:pPr>
      <w:r>
        <w:rPr>
          <w:rFonts w:ascii="宋体" w:hAnsi="宋体" w:eastAsia="宋体" w:cs="宋体"/>
          <w:spacing w:val="1"/>
          <w:sz w:val="24"/>
          <w:szCs w:val="24"/>
        </w:rPr>
        <w:t>（2）中标人在收到中标通知书后，无正当理由不与招标人订立合同，在签订合同</w:t>
      </w:r>
      <w:r>
        <w:rPr>
          <w:rFonts w:ascii="宋体" w:hAnsi="宋体" w:eastAsia="宋体" w:cs="宋体"/>
          <w:spacing w:val="-3"/>
          <w:sz w:val="24"/>
          <w:szCs w:val="24"/>
        </w:rPr>
        <w:t>时向招标人提出附加条件，或不按照招标文件要求提交履约保证金；</w:t>
      </w:r>
    </w:p>
    <w:p w14:paraId="6EB2CE0D">
      <w:pPr>
        <w:spacing w:before="1" w:line="218" w:lineRule="auto"/>
        <w:ind w:left="495"/>
        <w:rPr>
          <w:rFonts w:ascii="宋体" w:hAnsi="宋体" w:eastAsia="宋体" w:cs="宋体"/>
          <w:sz w:val="24"/>
          <w:szCs w:val="24"/>
        </w:rPr>
      </w:pPr>
      <w:r>
        <w:rPr>
          <w:rFonts w:ascii="宋体" w:hAnsi="宋体" w:eastAsia="宋体" w:cs="宋体"/>
          <w:spacing w:val="-2"/>
          <w:sz w:val="24"/>
          <w:szCs w:val="24"/>
        </w:rPr>
        <w:t>（3）发生投标人须知前附表规定的其他可以不予退还投标保证金的情形。</w:t>
      </w:r>
    </w:p>
    <w:p w14:paraId="4AD2D4B2">
      <w:pPr>
        <w:spacing w:before="78" w:line="360" w:lineRule="auto"/>
        <w:ind w:left="17" w:right="3"/>
        <w:jc w:val="both"/>
        <w:rPr>
          <w:rFonts w:ascii="宋体" w:hAnsi="宋体" w:eastAsia="宋体" w:cs="宋体"/>
          <w:sz w:val="24"/>
          <w:szCs w:val="24"/>
        </w:rPr>
      </w:pPr>
    </w:p>
    <w:p w14:paraId="1B6FF380">
      <w:pPr>
        <w:spacing w:line="219" w:lineRule="auto"/>
        <w:ind w:left="21"/>
        <w:rPr>
          <w:rFonts w:ascii="宋体" w:hAnsi="宋体" w:eastAsia="宋体" w:cs="宋体"/>
          <w:sz w:val="24"/>
          <w:szCs w:val="24"/>
        </w:rPr>
      </w:pPr>
      <w:r>
        <w:rPr>
          <w:rFonts w:ascii="宋体" w:hAnsi="宋体" w:eastAsia="宋体" w:cs="宋体"/>
          <w:b/>
          <w:bCs/>
          <w:spacing w:val="-3"/>
          <w:sz w:val="24"/>
          <w:szCs w:val="24"/>
        </w:rPr>
        <w:t>3.5</w:t>
      </w:r>
      <w:r>
        <w:rPr>
          <w:rFonts w:ascii="宋体" w:hAnsi="宋体" w:eastAsia="宋体" w:cs="宋体"/>
          <w:spacing w:val="-3"/>
          <w:sz w:val="24"/>
          <w:szCs w:val="24"/>
        </w:rPr>
        <w:t xml:space="preserve"> </w:t>
      </w:r>
      <w:r>
        <w:rPr>
          <w:rFonts w:ascii="宋体" w:hAnsi="宋体" w:eastAsia="宋体" w:cs="宋体"/>
          <w:b/>
          <w:bCs/>
          <w:spacing w:val="-3"/>
          <w:sz w:val="24"/>
          <w:szCs w:val="24"/>
        </w:rPr>
        <w:t>资格审查资料（适用于未进行资格预审的）</w:t>
      </w:r>
    </w:p>
    <w:p w14:paraId="38712231">
      <w:pPr>
        <w:spacing w:before="182" w:line="360" w:lineRule="auto"/>
        <w:ind w:left="17" w:right="3" w:firstLine="493"/>
        <w:rPr>
          <w:rFonts w:ascii="宋体" w:hAnsi="宋体" w:eastAsia="宋体" w:cs="宋体"/>
          <w:sz w:val="24"/>
          <w:szCs w:val="24"/>
        </w:rPr>
      </w:pPr>
      <w:r>
        <w:rPr>
          <w:rFonts w:ascii="宋体" w:hAnsi="宋体" w:eastAsia="宋体" w:cs="宋体"/>
          <w:spacing w:val="-2"/>
          <w:sz w:val="24"/>
          <w:szCs w:val="24"/>
        </w:rPr>
        <w:t>除投标人须知前附表另有规定外，投标人应按下列规定提供资格审查资料，以证明</w:t>
      </w:r>
      <w:r>
        <w:rPr>
          <w:rFonts w:ascii="宋体" w:hAnsi="宋体" w:eastAsia="宋体" w:cs="宋体"/>
          <w:spacing w:val="-3"/>
          <w:sz w:val="24"/>
          <w:szCs w:val="24"/>
        </w:rPr>
        <w:t>其满足本章第</w:t>
      </w:r>
      <w:r>
        <w:rPr>
          <w:rFonts w:ascii="宋体" w:hAnsi="宋体" w:eastAsia="宋体" w:cs="宋体"/>
          <w:spacing w:val="-31"/>
          <w:sz w:val="24"/>
          <w:szCs w:val="24"/>
        </w:rPr>
        <w:t xml:space="preserve"> </w:t>
      </w:r>
      <w:r>
        <w:rPr>
          <w:rFonts w:ascii="宋体" w:hAnsi="宋体" w:eastAsia="宋体" w:cs="宋体"/>
          <w:spacing w:val="-3"/>
          <w:sz w:val="24"/>
          <w:szCs w:val="24"/>
        </w:rPr>
        <w:t>1.4</w:t>
      </w:r>
      <w:r>
        <w:rPr>
          <w:rFonts w:ascii="宋体" w:hAnsi="宋体" w:eastAsia="宋体" w:cs="宋体"/>
          <w:spacing w:val="-49"/>
          <w:sz w:val="24"/>
          <w:szCs w:val="24"/>
        </w:rPr>
        <w:t xml:space="preserve"> </w:t>
      </w:r>
      <w:r>
        <w:rPr>
          <w:rFonts w:ascii="宋体" w:hAnsi="宋体" w:eastAsia="宋体" w:cs="宋体"/>
          <w:spacing w:val="-3"/>
          <w:sz w:val="24"/>
          <w:szCs w:val="24"/>
        </w:rPr>
        <w:t>款规定的资质、财务、业绩、信誉等要求。</w:t>
      </w:r>
    </w:p>
    <w:p w14:paraId="5317C72A">
      <w:pPr>
        <w:spacing w:before="6" w:line="359" w:lineRule="auto"/>
        <w:ind w:left="16" w:right="1" w:firstLine="484"/>
        <w:jc w:val="both"/>
        <w:rPr>
          <w:rFonts w:ascii="宋体" w:hAnsi="宋体" w:eastAsia="宋体" w:cs="宋体"/>
          <w:sz w:val="24"/>
          <w:szCs w:val="24"/>
        </w:rPr>
      </w:pPr>
      <w:r>
        <w:rPr>
          <w:rFonts w:ascii="宋体" w:hAnsi="宋体" w:eastAsia="宋体" w:cs="宋体"/>
          <w:spacing w:val="1"/>
          <w:sz w:val="24"/>
          <w:szCs w:val="24"/>
        </w:rPr>
        <w:t>3.5.1“投标人基本情况表”应附企业法人营业执照、施工资质证书、安全生产许</w:t>
      </w:r>
      <w:r>
        <w:rPr>
          <w:rFonts w:ascii="宋体" w:hAnsi="宋体" w:eastAsia="宋体" w:cs="宋体"/>
          <w:spacing w:val="-2"/>
          <w:sz w:val="24"/>
          <w:szCs w:val="24"/>
        </w:rPr>
        <w:t>可证、基本账户开户许可证（如企业所在地已取消企业银行账户许可而无法提供开户许可证的，则需附上开户银行出具的“基本存款账户信息”或“人民银行账户管理系统查</w:t>
      </w:r>
      <w:r>
        <w:rPr>
          <w:rFonts w:ascii="宋体" w:hAnsi="宋体" w:eastAsia="宋体" w:cs="宋体"/>
          <w:spacing w:val="-1"/>
          <w:sz w:val="24"/>
          <w:szCs w:val="24"/>
        </w:rPr>
        <w:t>询的基本账户信息截图”，下同）的扫描件</w:t>
      </w:r>
      <w:r>
        <w:rPr>
          <w:rFonts w:ascii="宋体" w:hAnsi="宋体" w:eastAsia="宋体" w:cs="宋体"/>
          <w:spacing w:val="-2"/>
          <w:sz w:val="24"/>
          <w:szCs w:val="24"/>
        </w:rPr>
        <w:t>，</w:t>
      </w:r>
      <w:r>
        <w:rPr>
          <w:rFonts w:ascii="宋体" w:hAnsi="宋体" w:eastAsia="宋体" w:cs="宋体"/>
          <w:spacing w:val="-2"/>
          <w:sz w:val="24"/>
          <w:szCs w:val="24"/>
          <w:u w:val="single" w:color="auto"/>
        </w:rPr>
        <w:t>投标人在交通运输部“全国公路建设市场监督管理系统”公路工程施工资质企业名录中的网页截图</w:t>
      </w:r>
      <w:r>
        <w:rPr>
          <w:rFonts w:ascii="宋体" w:hAnsi="宋体" w:eastAsia="宋体" w:cs="宋体"/>
          <w:spacing w:val="-16"/>
          <w:position w:val="12"/>
          <w:sz w:val="12"/>
          <w:szCs w:val="12"/>
          <w:u w:val="single" w:color="auto"/>
        </w:rPr>
        <w:t xml:space="preserve"> </w:t>
      </w:r>
      <w:r>
        <w:rPr>
          <w:rFonts w:ascii="宋体" w:hAnsi="宋体" w:eastAsia="宋体" w:cs="宋体"/>
          <w:spacing w:val="-2"/>
          <w:sz w:val="24"/>
          <w:szCs w:val="24"/>
          <w:u w:val="single" w:color="auto"/>
        </w:rPr>
        <w:t>,</w:t>
      </w:r>
      <w:r>
        <w:rPr>
          <w:rFonts w:ascii="宋体" w:hAnsi="宋体" w:eastAsia="宋体" w:cs="宋体"/>
          <w:spacing w:val="55"/>
          <w:sz w:val="24"/>
          <w:szCs w:val="24"/>
          <w:u w:val="single" w:color="auto"/>
        </w:rPr>
        <w:t xml:space="preserve"> </w:t>
      </w:r>
      <w:r>
        <w:rPr>
          <w:rFonts w:ascii="宋体" w:hAnsi="宋体" w:eastAsia="宋体" w:cs="宋体"/>
          <w:spacing w:val="-84"/>
          <w:sz w:val="24"/>
          <w:szCs w:val="24"/>
        </w:rPr>
        <w:t xml:space="preserve"> </w:t>
      </w:r>
      <w:r>
        <w:rPr>
          <w:rFonts w:ascii="宋体" w:hAnsi="宋体" w:eastAsia="宋体" w:cs="宋体"/>
          <w:spacing w:val="-2"/>
          <w:sz w:val="24"/>
          <w:szCs w:val="24"/>
        </w:rPr>
        <w:t>以及投标人在“国家企业信用信息公示系统”中基础信息（体现股东及出资信息）的网页截图。</w:t>
      </w:r>
    </w:p>
    <w:p w14:paraId="21644CF3">
      <w:pPr>
        <w:spacing w:before="2" w:line="357" w:lineRule="auto"/>
        <w:ind w:right="3" w:firstLine="500"/>
        <w:jc w:val="both"/>
        <w:rPr>
          <w:rFonts w:ascii="宋体" w:hAnsi="宋体" w:eastAsia="宋体" w:cs="宋体"/>
          <w:sz w:val="24"/>
          <w:szCs w:val="24"/>
        </w:rPr>
      </w:pPr>
      <w:r>
        <w:rPr>
          <w:rFonts w:ascii="宋体" w:hAnsi="宋体" w:eastAsia="宋体" w:cs="宋体"/>
          <w:spacing w:val="-2"/>
          <w:sz w:val="24"/>
          <w:szCs w:val="24"/>
        </w:rPr>
        <w:t>企业法人营业执照、施工资质证书、安全生产许可证、基本账户开户许可证（如企</w:t>
      </w:r>
      <w:r>
        <w:rPr>
          <w:rFonts w:ascii="宋体" w:hAnsi="宋体" w:eastAsia="宋体" w:cs="宋体"/>
          <w:spacing w:val="-1"/>
          <w:sz w:val="24"/>
          <w:szCs w:val="24"/>
        </w:rPr>
        <w:t>业所在地已取消企业银行账户许可而无法提供开户许可证的，则需附上开户银</w:t>
      </w:r>
      <w:r>
        <w:rPr>
          <w:rFonts w:ascii="宋体" w:hAnsi="宋体" w:eastAsia="宋体" w:cs="宋体"/>
          <w:spacing w:val="-2"/>
          <w:sz w:val="24"/>
          <w:szCs w:val="24"/>
        </w:rPr>
        <w:t>行出具的</w:t>
      </w:r>
      <w:r>
        <w:rPr>
          <w:rFonts w:ascii="宋体" w:hAnsi="宋体" w:eastAsia="宋体" w:cs="宋体"/>
          <w:spacing w:val="-1"/>
          <w:sz w:val="24"/>
          <w:szCs w:val="24"/>
        </w:rPr>
        <w:t>“基本存款账户信息”或“人民银行账户管理系统查询的基本账户信息截图”</w:t>
      </w:r>
      <w:r>
        <w:rPr>
          <w:rFonts w:ascii="宋体" w:hAnsi="宋体" w:eastAsia="宋体" w:cs="宋体"/>
          <w:spacing w:val="-2"/>
          <w:sz w:val="24"/>
          <w:szCs w:val="24"/>
        </w:rPr>
        <w:t>）的扫描</w:t>
      </w:r>
      <w:r>
        <w:rPr>
          <w:rFonts w:ascii="宋体" w:hAnsi="宋体" w:eastAsia="宋体" w:cs="宋体"/>
          <w:spacing w:val="-5"/>
          <w:sz w:val="24"/>
          <w:szCs w:val="24"/>
        </w:rPr>
        <w:t>件应提供全本（证书封面、封底、空白页除外</w:t>
      </w:r>
      <w:r>
        <w:rPr>
          <w:rFonts w:ascii="宋体" w:hAnsi="宋体" w:eastAsia="宋体" w:cs="宋体"/>
          <w:spacing w:val="-10"/>
          <w:sz w:val="24"/>
          <w:szCs w:val="24"/>
        </w:rPr>
        <w:t>）</w:t>
      </w:r>
      <w:r>
        <w:rPr>
          <w:rFonts w:ascii="宋体" w:hAnsi="宋体" w:eastAsia="宋体" w:cs="宋体"/>
          <w:spacing w:val="38"/>
          <w:sz w:val="24"/>
          <w:szCs w:val="24"/>
        </w:rPr>
        <w:t xml:space="preserve"> </w:t>
      </w:r>
      <w:r>
        <w:rPr>
          <w:rFonts w:ascii="宋体" w:hAnsi="宋体" w:eastAsia="宋体" w:cs="宋体"/>
          <w:spacing w:val="-10"/>
          <w:sz w:val="24"/>
          <w:szCs w:val="24"/>
        </w:rPr>
        <w:t>，</w:t>
      </w:r>
      <w:r>
        <w:rPr>
          <w:rFonts w:ascii="宋体" w:hAnsi="宋体" w:eastAsia="宋体" w:cs="宋体"/>
          <w:spacing w:val="-5"/>
          <w:sz w:val="24"/>
          <w:szCs w:val="24"/>
        </w:rPr>
        <w:t>包括投标人名称、投标人其他相关信</w:t>
      </w:r>
      <w:r>
        <w:rPr>
          <w:rFonts w:ascii="宋体" w:hAnsi="宋体" w:eastAsia="宋体" w:cs="宋体"/>
          <w:spacing w:val="-1"/>
          <w:sz w:val="24"/>
          <w:szCs w:val="24"/>
        </w:rPr>
        <w:t>息、颁发机构名称、投标人信息变更情况等关键页</w:t>
      </w:r>
      <w:r>
        <w:rPr>
          <w:rFonts w:ascii="宋体" w:hAnsi="宋体" w:eastAsia="宋体" w:cs="宋体"/>
          <w:spacing w:val="-2"/>
          <w:sz w:val="24"/>
          <w:szCs w:val="24"/>
        </w:rPr>
        <w:t>在内。</w:t>
      </w:r>
    </w:p>
    <w:p w14:paraId="5C64CA4A">
      <w:pPr>
        <w:spacing w:line="360" w:lineRule="auto"/>
        <w:ind w:left="15" w:firstLine="485"/>
        <w:rPr>
          <w:rFonts w:ascii="宋体" w:hAnsi="宋体" w:eastAsia="宋体" w:cs="宋体"/>
          <w:sz w:val="24"/>
          <w:szCs w:val="24"/>
        </w:rPr>
      </w:pPr>
      <w:r>
        <w:rPr>
          <w:rFonts w:ascii="宋体" w:hAnsi="宋体" w:eastAsia="宋体" w:cs="宋体"/>
          <w:spacing w:val="-1"/>
          <w:sz w:val="24"/>
          <w:szCs w:val="24"/>
        </w:rPr>
        <w:t>3.5.2（a）</w:t>
      </w:r>
      <w:r>
        <w:rPr>
          <w:rFonts w:ascii="宋体" w:hAnsi="宋体" w:eastAsia="宋体" w:cs="宋体"/>
          <w:spacing w:val="52"/>
          <w:position w:val="12"/>
          <w:sz w:val="12"/>
          <w:szCs w:val="12"/>
        </w:rPr>
        <w:t xml:space="preserve"> </w:t>
      </w:r>
      <w:r>
        <w:rPr>
          <w:rFonts w:ascii="宋体" w:hAnsi="宋体" w:eastAsia="宋体" w:cs="宋体"/>
          <w:spacing w:val="-1"/>
          <w:sz w:val="24"/>
          <w:szCs w:val="24"/>
        </w:rPr>
        <w:t>“近年财务状况表”具体年份要求</w:t>
      </w:r>
      <w:r>
        <w:rPr>
          <w:rFonts w:ascii="宋体" w:hAnsi="宋体" w:eastAsia="宋体" w:cs="宋体"/>
          <w:spacing w:val="-2"/>
          <w:sz w:val="24"/>
          <w:szCs w:val="24"/>
        </w:rPr>
        <w:t>见投标人须知前附表，近年财务信息以投标人提供的“全国公路建设市场监督管理系统”企业所填的信息截图为准。投标人的成立时间少于投标人须知前附表规定年份的，应提供成立以来的财务信息截图，且</w:t>
      </w:r>
      <w:r>
        <w:rPr>
          <w:rFonts w:ascii="宋体" w:hAnsi="宋体" w:eastAsia="宋体" w:cs="宋体"/>
          <w:spacing w:val="5"/>
          <w:sz w:val="24"/>
          <w:szCs w:val="24"/>
        </w:rPr>
        <w:t>规定年份的平均营业总收入按成立以来的财务数据结合招标文件规定的年份进行计算</w:t>
      </w:r>
      <w:r>
        <w:rPr>
          <w:rFonts w:ascii="宋体" w:hAnsi="宋体" w:eastAsia="宋体" w:cs="宋体"/>
          <w:spacing w:val="-1"/>
          <w:sz w:val="24"/>
          <w:szCs w:val="24"/>
        </w:rPr>
        <w:t>评审。“近年财务状况表”所填数据应与信息截图的数据一致。</w:t>
      </w:r>
    </w:p>
    <w:p w14:paraId="17A6CFBC">
      <w:pPr>
        <w:spacing w:before="2" w:line="364" w:lineRule="auto"/>
        <w:ind w:left="14" w:right="3" w:firstLine="486"/>
      </w:pPr>
      <w:r>
        <w:rPr>
          <w:rFonts w:ascii="宋体" w:hAnsi="宋体" w:eastAsia="宋体" w:cs="宋体"/>
          <w:spacing w:val="-1"/>
          <w:sz w:val="24"/>
          <w:szCs w:val="24"/>
        </w:rPr>
        <w:t>3.5.2（b）</w:t>
      </w:r>
      <w:r>
        <w:rPr>
          <w:rFonts w:ascii="宋体" w:hAnsi="宋体" w:eastAsia="宋体" w:cs="宋体"/>
          <w:spacing w:val="48"/>
          <w:w w:val="101"/>
          <w:position w:val="12"/>
          <w:sz w:val="12"/>
          <w:szCs w:val="12"/>
        </w:rPr>
        <w:t xml:space="preserve"> </w:t>
      </w:r>
      <w:r>
        <w:rPr>
          <w:rFonts w:ascii="宋体" w:hAnsi="宋体" w:eastAsia="宋体" w:cs="宋体"/>
          <w:spacing w:val="-1"/>
          <w:sz w:val="24"/>
          <w:szCs w:val="24"/>
        </w:rPr>
        <w:t>“近年财务状况表”应附经会计师事务</w:t>
      </w:r>
      <w:r>
        <w:rPr>
          <w:rFonts w:ascii="宋体" w:hAnsi="宋体" w:eastAsia="宋体" w:cs="宋体"/>
          <w:spacing w:val="-2"/>
          <w:sz w:val="24"/>
          <w:szCs w:val="24"/>
        </w:rPr>
        <w:t>所或审计机构审计的财务会计</w:t>
      </w:r>
      <w:r>
        <w:rPr>
          <w:rFonts w:ascii="宋体" w:hAnsi="宋体" w:eastAsia="宋体" w:cs="宋体"/>
          <w:spacing w:val="-6"/>
          <w:sz w:val="24"/>
          <w:szCs w:val="24"/>
        </w:rPr>
        <w:t>报表，包括资产负债表、现金流量表、利润表和财务情况说明书的扫描件，</w:t>
      </w:r>
      <w:r>
        <w:rPr>
          <w:rFonts w:ascii="宋体" w:hAnsi="宋体" w:eastAsia="宋体" w:cs="宋体"/>
          <w:spacing w:val="56"/>
          <w:sz w:val="24"/>
          <w:szCs w:val="24"/>
        </w:rPr>
        <w:t xml:space="preserve"> </w:t>
      </w:r>
      <w:r>
        <w:rPr>
          <w:rFonts w:ascii="宋体" w:hAnsi="宋体" w:eastAsia="宋体" w:cs="宋体"/>
          <w:spacing w:val="-7"/>
          <w:sz w:val="24"/>
          <w:szCs w:val="24"/>
        </w:rPr>
        <w:t>具体年份要</w:t>
      </w:r>
    </w:p>
    <w:p w14:paraId="67C3EABC">
      <w:pPr>
        <w:spacing w:before="78" w:line="357" w:lineRule="auto"/>
        <w:ind w:left="11" w:right="87"/>
        <w:jc w:val="both"/>
        <w:rPr>
          <w:rFonts w:ascii="宋体" w:hAnsi="宋体" w:eastAsia="宋体" w:cs="宋体"/>
          <w:sz w:val="24"/>
          <w:szCs w:val="24"/>
        </w:rPr>
      </w:pPr>
      <w:r>
        <w:rPr>
          <w:rFonts w:ascii="宋体" w:hAnsi="宋体" w:eastAsia="宋体" w:cs="宋体"/>
          <w:spacing w:val="-5"/>
          <w:sz w:val="24"/>
          <w:szCs w:val="24"/>
        </w:rPr>
        <w:t>求见投标人须知前附表。投标人的成立时间少于投标人须知前附表规定年份的， 应提供</w:t>
      </w:r>
      <w:r>
        <w:rPr>
          <w:rFonts w:ascii="宋体" w:hAnsi="宋体" w:eastAsia="宋体" w:cs="宋体"/>
          <w:spacing w:val="-2"/>
          <w:sz w:val="24"/>
          <w:szCs w:val="24"/>
        </w:rPr>
        <w:t>成立以来的财务状况表，且规定年份的平均营业总收入按成立以来的财务数据结合招标文件规定的年份进行计算评审。“近年财务状况表”所填数据应与财务会计报表的数据</w:t>
      </w:r>
      <w:r>
        <w:rPr>
          <w:rFonts w:ascii="宋体" w:hAnsi="宋体" w:eastAsia="宋体" w:cs="宋体"/>
          <w:spacing w:val="-10"/>
          <w:sz w:val="24"/>
          <w:szCs w:val="24"/>
        </w:rPr>
        <w:t>一致。</w:t>
      </w:r>
    </w:p>
    <w:p w14:paraId="28C34FAA">
      <w:pPr>
        <w:spacing w:before="2" w:line="364" w:lineRule="auto"/>
        <w:ind w:left="10" w:right="86" w:firstLine="483"/>
        <w:jc w:val="both"/>
        <w:rPr>
          <w:rFonts w:ascii="宋体" w:hAnsi="宋体" w:eastAsia="宋体" w:cs="宋体"/>
          <w:sz w:val="24"/>
          <w:szCs w:val="24"/>
        </w:rPr>
      </w:pPr>
      <w:r>
        <w:rPr>
          <w:rFonts w:ascii="宋体" w:hAnsi="宋体" w:eastAsia="宋体" w:cs="宋体"/>
          <w:spacing w:val="-1"/>
          <w:sz w:val="24"/>
          <w:szCs w:val="24"/>
        </w:rPr>
        <w:t>3.5.3（a）</w:t>
      </w:r>
      <w:r>
        <w:rPr>
          <w:rFonts w:ascii="宋体" w:hAnsi="宋体" w:eastAsia="宋体" w:cs="宋体"/>
          <w:spacing w:val="51"/>
          <w:w w:val="101"/>
          <w:position w:val="12"/>
          <w:sz w:val="12"/>
          <w:szCs w:val="12"/>
        </w:rPr>
        <w:t xml:space="preserve"> </w:t>
      </w:r>
      <w:r>
        <w:rPr>
          <w:rFonts w:ascii="宋体" w:hAnsi="宋体" w:eastAsia="宋体" w:cs="宋体"/>
          <w:spacing w:val="-1"/>
          <w:sz w:val="24"/>
          <w:szCs w:val="24"/>
        </w:rPr>
        <w:t>“近年完成的类似项目”应是已列</w:t>
      </w:r>
      <w:r>
        <w:rPr>
          <w:rFonts w:ascii="宋体" w:hAnsi="宋体" w:eastAsia="宋体" w:cs="宋体"/>
          <w:spacing w:val="-2"/>
          <w:sz w:val="24"/>
          <w:szCs w:val="24"/>
        </w:rPr>
        <w:t>入交通运输部“全国公路建设市场监督管理系统”并公开的总包已建业绩或分包（不包括劳务分包）已建业绩，具体时间</w:t>
      </w:r>
      <w:r>
        <w:rPr>
          <w:rFonts w:ascii="宋体" w:hAnsi="宋体" w:eastAsia="宋体" w:cs="宋体"/>
          <w:spacing w:val="-4"/>
          <w:sz w:val="24"/>
          <w:szCs w:val="24"/>
        </w:rPr>
        <w:t>要求见投标人须知前附表。</w:t>
      </w:r>
    </w:p>
    <w:p w14:paraId="31ABA15A">
      <w:pPr>
        <w:spacing w:before="5" w:line="359" w:lineRule="auto"/>
        <w:ind w:left="14" w:right="87" w:firstLine="458"/>
        <w:jc w:val="both"/>
        <w:rPr>
          <w:rFonts w:ascii="宋体" w:hAnsi="宋体" w:eastAsia="宋体" w:cs="宋体"/>
          <w:sz w:val="24"/>
          <w:szCs w:val="24"/>
        </w:rPr>
      </w:pPr>
      <w:r>
        <w:rPr>
          <w:rFonts w:ascii="宋体" w:hAnsi="宋体" w:eastAsia="宋体" w:cs="宋体"/>
          <w:spacing w:val="-1"/>
          <w:sz w:val="24"/>
          <w:szCs w:val="24"/>
        </w:rPr>
        <w:t>“近年完成的类似项目情况表”应附在交通运输部“全国公路建设市</w:t>
      </w:r>
      <w:r>
        <w:rPr>
          <w:rFonts w:ascii="宋体" w:hAnsi="宋体" w:eastAsia="宋体" w:cs="宋体"/>
          <w:spacing w:val="-2"/>
          <w:sz w:val="24"/>
          <w:szCs w:val="24"/>
        </w:rPr>
        <w:t>场监督管理系统”中查询到的企业“业绩信息”相关项目网页截图，即包括“项目名称”、“标段类型”、“合同价”、“主要工程量”等栏目在内的项目详细信息网页截图。除网页截图</w:t>
      </w:r>
      <w:r>
        <w:rPr>
          <w:rFonts w:ascii="宋体" w:hAnsi="宋体" w:eastAsia="宋体" w:cs="宋体"/>
          <w:spacing w:val="-3"/>
          <w:sz w:val="24"/>
          <w:szCs w:val="24"/>
        </w:rPr>
        <w:t>外，投标人无需再提供任何业绩证明材料。</w:t>
      </w:r>
    </w:p>
    <w:p w14:paraId="467C7563">
      <w:pPr>
        <w:spacing w:line="360" w:lineRule="auto"/>
        <w:ind w:left="9" w:right="84" w:firstLine="483"/>
        <w:jc w:val="both"/>
        <w:rPr>
          <w:rFonts w:ascii="宋体" w:hAnsi="宋体" w:eastAsia="宋体" w:cs="宋体"/>
          <w:sz w:val="24"/>
          <w:szCs w:val="24"/>
        </w:rPr>
      </w:pPr>
      <w:r>
        <w:rPr>
          <w:rFonts w:ascii="宋体" w:hAnsi="宋体" w:eastAsia="宋体" w:cs="宋体"/>
          <w:spacing w:val="5"/>
          <w:sz w:val="24"/>
          <w:szCs w:val="24"/>
        </w:rPr>
        <w:t>如投标人未提供相关项目网页截图或相关项目网页截图中的信息无法证实投标人</w:t>
      </w:r>
      <w:r>
        <w:rPr>
          <w:rFonts w:ascii="宋体" w:hAnsi="宋体" w:eastAsia="宋体" w:cs="宋体"/>
          <w:spacing w:val="-1"/>
          <w:sz w:val="24"/>
          <w:szCs w:val="24"/>
        </w:rPr>
        <w:t>满足招标文件规定的资格审查条件（业绩最低要求）或评标办法评分标准（如有</w:t>
      </w:r>
      <w:r>
        <w:rPr>
          <w:rFonts w:ascii="宋体" w:hAnsi="宋体" w:eastAsia="宋体" w:cs="宋体"/>
          <w:spacing w:val="-11"/>
          <w:sz w:val="24"/>
          <w:szCs w:val="24"/>
        </w:rPr>
        <w:t>），</w:t>
      </w:r>
      <w:r>
        <w:rPr>
          <w:rFonts w:ascii="宋体" w:hAnsi="宋体" w:eastAsia="宋体" w:cs="宋体"/>
          <w:spacing w:val="-1"/>
          <w:sz w:val="24"/>
          <w:szCs w:val="24"/>
        </w:rPr>
        <w:t>则</w:t>
      </w:r>
      <w:r>
        <w:rPr>
          <w:rFonts w:ascii="宋体" w:hAnsi="宋体" w:eastAsia="宋体" w:cs="宋体"/>
          <w:spacing w:val="-4"/>
          <w:sz w:val="24"/>
          <w:szCs w:val="24"/>
        </w:rPr>
        <w:t>该项目业绩不予认定。</w:t>
      </w:r>
    </w:p>
    <w:p w14:paraId="17278F6F">
      <w:pPr>
        <w:spacing w:line="360" w:lineRule="auto"/>
        <w:ind w:left="9" w:firstLine="483"/>
        <w:jc w:val="both"/>
        <w:rPr>
          <w:rFonts w:ascii="宋体" w:hAnsi="宋体" w:eastAsia="宋体" w:cs="宋体"/>
          <w:sz w:val="24"/>
          <w:szCs w:val="24"/>
        </w:rPr>
      </w:pPr>
      <w:r>
        <w:rPr>
          <w:rFonts w:ascii="宋体" w:hAnsi="宋体" w:eastAsia="宋体" w:cs="宋体"/>
          <w:spacing w:val="-2"/>
          <w:sz w:val="24"/>
          <w:szCs w:val="24"/>
          <w:u w:val="single" w:color="auto"/>
        </w:rPr>
        <w:t>如要求投标人具备声屏障工程施工业绩，投标人的业绩已列入交通运输部“全国公</w:t>
      </w:r>
      <w:r>
        <w:rPr>
          <w:rFonts w:ascii="宋体" w:hAnsi="宋体" w:eastAsia="宋体" w:cs="宋体"/>
          <w:spacing w:val="-3"/>
          <w:sz w:val="24"/>
          <w:szCs w:val="24"/>
          <w:u w:val="single" w:color="auto"/>
        </w:rPr>
        <w:t>路建设市场监督管理系统”，则按本条款</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3.5.3（a）上述规定的“全</w:t>
      </w:r>
      <w:r>
        <w:rPr>
          <w:rFonts w:ascii="宋体" w:hAnsi="宋体" w:eastAsia="宋体" w:cs="宋体"/>
          <w:spacing w:val="-4"/>
          <w:sz w:val="24"/>
          <w:szCs w:val="24"/>
          <w:u w:val="single" w:color="auto"/>
        </w:rPr>
        <w:t>国公路建设市场监</w:t>
      </w:r>
      <w:r>
        <w:rPr>
          <w:rFonts w:ascii="宋体" w:hAnsi="宋体" w:eastAsia="宋体" w:cs="宋体"/>
          <w:spacing w:val="-2"/>
          <w:sz w:val="24"/>
          <w:szCs w:val="24"/>
          <w:u w:val="single" w:color="auto"/>
        </w:rPr>
        <w:t>督管理系统”的业绩要求执行；如投标人的业绩未列入交通运输部“全国公路建设市场</w:t>
      </w:r>
      <w:r>
        <w:rPr>
          <w:rFonts w:ascii="宋体" w:hAnsi="宋体" w:eastAsia="宋体" w:cs="宋体"/>
          <w:spacing w:val="-5"/>
          <w:sz w:val="24"/>
          <w:szCs w:val="24"/>
          <w:u w:val="single" w:color="auto"/>
        </w:rPr>
        <w:t>监督管理系统”，则“近年完成的类似项目情况表”</w:t>
      </w:r>
      <w:r>
        <w:rPr>
          <w:rFonts w:ascii="宋体" w:hAnsi="宋体" w:eastAsia="宋体" w:cs="宋体"/>
          <w:spacing w:val="-6"/>
          <w:sz w:val="24"/>
          <w:szCs w:val="24"/>
          <w:u w:val="single" w:color="auto"/>
        </w:rPr>
        <w:t>应同时附中标通知书、合同协议书、</w:t>
      </w:r>
      <w:r>
        <w:rPr>
          <w:rFonts w:ascii="宋体" w:hAnsi="宋体" w:eastAsia="宋体" w:cs="宋体"/>
          <w:spacing w:val="-2"/>
          <w:sz w:val="24"/>
          <w:szCs w:val="24"/>
          <w:u w:val="single" w:color="auto"/>
        </w:rPr>
        <w:t>交工验收（或未交工验收一次性竣工验收）证书扫描件，如上述资料均无法证实投标人</w:t>
      </w:r>
      <w:r>
        <w:rPr>
          <w:rFonts w:ascii="宋体" w:hAnsi="宋体" w:eastAsia="宋体" w:cs="宋体"/>
          <w:spacing w:val="-1"/>
          <w:sz w:val="24"/>
          <w:szCs w:val="24"/>
          <w:u w:val="single" w:color="auto"/>
        </w:rPr>
        <w:t>满足招标文件规定的资格审查条件（业绩最低要求）或评标办法评分标准（如有</w:t>
      </w:r>
      <w:r>
        <w:rPr>
          <w:rFonts w:ascii="宋体" w:hAnsi="宋体" w:eastAsia="宋体" w:cs="宋体"/>
          <w:spacing w:val="-10"/>
          <w:sz w:val="24"/>
          <w:szCs w:val="24"/>
          <w:u w:val="single" w:color="auto"/>
        </w:rPr>
        <w:t>），</w:t>
      </w:r>
      <w:r>
        <w:rPr>
          <w:rFonts w:ascii="宋体" w:hAnsi="宋体" w:eastAsia="宋体" w:cs="宋体"/>
          <w:spacing w:val="-1"/>
          <w:sz w:val="24"/>
          <w:szCs w:val="24"/>
          <w:u w:val="single" w:color="auto"/>
        </w:rPr>
        <w:t>则该项目业绩不予认定。</w:t>
      </w:r>
    </w:p>
    <w:p w14:paraId="0DA674B5">
      <w:pPr>
        <w:spacing w:line="353" w:lineRule="auto"/>
        <w:ind w:left="36" w:right="87" w:firstLine="456"/>
        <w:rPr>
          <w:rFonts w:ascii="宋体" w:hAnsi="宋体" w:eastAsia="宋体" w:cs="宋体"/>
          <w:sz w:val="24"/>
          <w:szCs w:val="24"/>
        </w:rPr>
      </w:pPr>
      <w:r>
        <w:rPr>
          <w:rFonts w:ascii="宋体" w:hAnsi="宋体" w:eastAsia="宋体" w:cs="宋体"/>
          <w:spacing w:val="-2"/>
          <w:sz w:val="24"/>
          <w:szCs w:val="24"/>
        </w:rPr>
        <w:t>如近年来，投标人法人机构发生合法变更或重组或法人名称变更时，应提供相关部</w:t>
      </w:r>
      <w:r>
        <w:rPr>
          <w:rFonts w:ascii="宋体" w:hAnsi="宋体" w:eastAsia="宋体" w:cs="宋体"/>
          <w:spacing w:val="-3"/>
          <w:sz w:val="24"/>
          <w:szCs w:val="24"/>
        </w:rPr>
        <w:t>门的合法批件或其他相关证明材料来证明其所附业绩的继承性。</w:t>
      </w:r>
    </w:p>
    <w:p w14:paraId="012A8002">
      <w:pPr>
        <w:spacing w:before="3" w:line="364" w:lineRule="auto"/>
        <w:ind w:left="10" w:right="86" w:firstLine="483"/>
        <w:jc w:val="both"/>
      </w:pPr>
      <w:r>
        <w:rPr>
          <w:rFonts w:ascii="宋体" w:hAnsi="宋体" w:eastAsia="宋体" w:cs="宋体"/>
          <w:spacing w:val="-1"/>
          <w:sz w:val="24"/>
          <w:szCs w:val="24"/>
        </w:rPr>
        <w:t>3.5.3（b）</w:t>
      </w:r>
      <w:r>
        <w:rPr>
          <w:rFonts w:ascii="宋体" w:hAnsi="宋体" w:eastAsia="宋体" w:cs="宋体"/>
          <w:spacing w:val="51"/>
          <w:w w:val="101"/>
          <w:position w:val="12"/>
          <w:sz w:val="12"/>
          <w:szCs w:val="12"/>
        </w:rPr>
        <w:t xml:space="preserve"> </w:t>
      </w:r>
      <w:r>
        <w:rPr>
          <w:rFonts w:ascii="宋体" w:hAnsi="宋体" w:eastAsia="宋体" w:cs="宋体"/>
          <w:spacing w:val="-1"/>
          <w:sz w:val="24"/>
          <w:szCs w:val="24"/>
        </w:rPr>
        <w:t>“近年完成的类似项目”应是已列</w:t>
      </w:r>
      <w:r>
        <w:rPr>
          <w:rFonts w:ascii="宋体" w:hAnsi="宋体" w:eastAsia="宋体" w:cs="宋体"/>
          <w:spacing w:val="-2"/>
          <w:sz w:val="24"/>
          <w:szCs w:val="24"/>
        </w:rPr>
        <w:t>入交通运输部“全国公路建设市场监督管理系统”或省级交通运输主管部门“公路建设市场监督管理系统”并公开的总包</w:t>
      </w:r>
      <w:r>
        <w:rPr>
          <w:rFonts w:ascii="宋体" w:hAnsi="宋体" w:eastAsia="宋体" w:cs="宋体"/>
          <w:spacing w:val="-1"/>
          <w:sz w:val="24"/>
          <w:szCs w:val="24"/>
        </w:rPr>
        <w:t>已建业绩或分包（不包括劳务分包）已建业绩，具体时间要求见投</w:t>
      </w:r>
      <w:r>
        <w:rPr>
          <w:rFonts w:ascii="宋体" w:hAnsi="宋体" w:eastAsia="宋体" w:cs="宋体"/>
          <w:spacing w:val="-2"/>
          <w:sz w:val="24"/>
          <w:szCs w:val="24"/>
        </w:rPr>
        <w:t>标人须知前附表。</w:t>
      </w:r>
    </w:p>
    <w:p w14:paraId="4D1EDAC0">
      <w:pPr>
        <w:spacing w:before="78" w:line="360" w:lineRule="auto"/>
        <w:ind w:left="11" w:right="27" w:firstLine="461"/>
        <w:jc w:val="both"/>
        <w:rPr>
          <w:rFonts w:ascii="宋体" w:hAnsi="宋体" w:eastAsia="宋体" w:cs="宋体"/>
          <w:sz w:val="24"/>
          <w:szCs w:val="24"/>
        </w:rPr>
      </w:pPr>
      <w:r>
        <w:rPr>
          <w:rFonts w:ascii="宋体" w:hAnsi="宋体" w:eastAsia="宋体" w:cs="宋体"/>
          <w:spacing w:val="-1"/>
          <w:sz w:val="24"/>
          <w:szCs w:val="24"/>
        </w:rPr>
        <w:t>“近年完成的类似项目情况表”应附在交通运输部“全国公路建设市</w:t>
      </w:r>
      <w:r>
        <w:rPr>
          <w:rFonts w:ascii="宋体" w:hAnsi="宋体" w:eastAsia="宋体" w:cs="宋体"/>
          <w:spacing w:val="-2"/>
          <w:sz w:val="24"/>
          <w:szCs w:val="24"/>
        </w:rPr>
        <w:t>场监督管理系统”中查询到的企业“业绩信息”相关项目网页截图，即包括“项目名称”、“标段类型”、“合同价”、“主要工程量”等栏目在内的项目详细信息网页截图。在交通运输部“全国公路建设市场监督管理系统”中无法查询，但可在省级交通运输主管部门“公路建设市场监督管理系统”中查询的，应附省级交通运输主管部门“公路建设市场监督</w:t>
      </w:r>
      <w:r>
        <w:rPr>
          <w:rFonts w:ascii="宋体" w:hAnsi="宋体" w:eastAsia="宋体" w:cs="宋体"/>
          <w:spacing w:val="-7"/>
          <w:sz w:val="24"/>
          <w:szCs w:val="24"/>
        </w:rPr>
        <w:t>管理系统”中</w:t>
      </w:r>
      <w:r>
        <w:rPr>
          <w:rFonts w:hint="eastAsia" w:ascii="宋体" w:hAnsi="宋体" w:cs="宋体"/>
          <w:spacing w:val="-7"/>
          <w:sz w:val="24"/>
          <w:szCs w:val="24"/>
          <w:lang w:eastAsia="zh-CN"/>
        </w:rPr>
        <w:t>查询</w:t>
      </w:r>
      <w:r>
        <w:rPr>
          <w:rFonts w:ascii="宋体" w:hAnsi="宋体" w:eastAsia="宋体" w:cs="宋体"/>
          <w:spacing w:val="-7"/>
          <w:sz w:val="24"/>
          <w:szCs w:val="24"/>
        </w:rPr>
        <w:t>到的网页截图。除网页截图外，</w:t>
      </w:r>
      <w:r>
        <w:rPr>
          <w:rFonts w:ascii="宋体" w:hAnsi="宋体" w:eastAsia="宋体" w:cs="宋体"/>
          <w:spacing w:val="-63"/>
          <w:sz w:val="24"/>
          <w:szCs w:val="24"/>
        </w:rPr>
        <w:t xml:space="preserve"> </w:t>
      </w:r>
      <w:r>
        <w:rPr>
          <w:rFonts w:ascii="宋体" w:hAnsi="宋体" w:eastAsia="宋体" w:cs="宋体"/>
          <w:spacing w:val="-7"/>
          <w:sz w:val="24"/>
          <w:szCs w:val="24"/>
        </w:rPr>
        <w:t>投标人无需再提供任何业绩证明材料。</w:t>
      </w:r>
    </w:p>
    <w:p w14:paraId="63980B0A">
      <w:pPr>
        <w:spacing w:before="3" w:line="359" w:lineRule="auto"/>
        <w:ind w:left="9" w:right="109" w:firstLine="483"/>
        <w:jc w:val="both"/>
        <w:rPr>
          <w:rFonts w:ascii="宋体" w:hAnsi="宋体" w:eastAsia="宋体" w:cs="宋体"/>
          <w:sz w:val="24"/>
          <w:szCs w:val="24"/>
        </w:rPr>
      </w:pPr>
      <w:r>
        <w:rPr>
          <w:rFonts w:ascii="宋体" w:hAnsi="宋体" w:eastAsia="宋体" w:cs="宋体"/>
          <w:spacing w:val="5"/>
          <w:sz w:val="24"/>
          <w:szCs w:val="24"/>
        </w:rPr>
        <w:t>如投标人未提供相关项目网页截图或相关项目网页截图中的信息无法证实投标人</w:t>
      </w:r>
      <w:r>
        <w:rPr>
          <w:rFonts w:ascii="宋体" w:hAnsi="宋体" w:eastAsia="宋体" w:cs="宋体"/>
          <w:spacing w:val="-1"/>
          <w:sz w:val="24"/>
          <w:szCs w:val="24"/>
        </w:rPr>
        <w:t>满足招标文件规定的资格审查条件（业绩最低要求）或评标办法评分标准（如有</w:t>
      </w:r>
      <w:r>
        <w:rPr>
          <w:rFonts w:ascii="宋体" w:hAnsi="宋体" w:eastAsia="宋体" w:cs="宋体"/>
          <w:spacing w:val="-11"/>
          <w:sz w:val="24"/>
          <w:szCs w:val="24"/>
        </w:rPr>
        <w:t>），</w:t>
      </w:r>
      <w:r>
        <w:rPr>
          <w:rFonts w:ascii="宋体" w:hAnsi="宋体" w:eastAsia="宋体" w:cs="宋体"/>
          <w:spacing w:val="-1"/>
          <w:sz w:val="24"/>
          <w:szCs w:val="24"/>
        </w:rPr>
        <w:t>则</w:t>
      </w:r>
      <w:r>
        <w:rPr>
          <w:rFonts w:ascii="宋体" w:hAnsi="宋体" w:eastAsia="宋体" w:cs="宋体"/>
          <w:spacing w:val="-4"/>
          <w:sz w:val="24"/>
          <w:szCs w:val="24"/>
        </w:rPr>
        <w:t>该项目业绩不予认定。</w:t>
      </w:r>
    </w:p>
    <w:p w14:paraId="04A2827C">
      <w:pPr>
        <w:spacing w:line="353" w:lineRule="auto"/>
        <w:ind w:left="36" w:right="112" w:firstLine="456"/>
        <w:rPr>
          <w:rFonts w:ascii="宋体" w:hAnsi="宋体" w:eastAsia="宋体" w:cs="宋体"/>
          <w:sz w:val="24"/>
          <w:szCs w:val="24"/>
        </w:rPr>
      </w:pPr>
      <w:r>
        <w:rPr>
          <w:rFonts w:ascii="宋体" w:hAnsi="宋体" w:eastAsia="宋体" w:cs="宋体"/>
          <w:spacing w:val="-2"/>
          <w:sz w:val="24"/>
          <w:szCs w:val="24"/>
        </w:rPr>
        <w:t>如近年来，投标人法人机构发生合法变更或重组或法人名称变更时，应提供相关部</w:t>
      </w:r>
      <w:r>
        <w:rPr>
          <w:rFonts w:ascii="宋体" w:hAnsi="宋体" w:eastAsia="宋体" w:cs="宋体"/>
          <w:spacing w:val="-3"/>
          <w:sz w:val="24"/>
          <w:szCs w:val="24"/>
        </w:rPr>
        <w:t>门的合法批件或其他相关证明材料来证明其所附业绩的继承性。</w:t>
      </w:r>
    </w:p>
    <w:p w14:paraId="36DF7A62">
      <w:pPr>
        <w:spacing w:line="360" w:lineRule="auto"/>
        <w:ind w:left="11" w:right="8" w:firstLine="482"/>
        <w:rPr>
          <w:rFonts w:ascii="宋体" w:hAnsi="宋体" w:eastAsia="宋体" w:cs="宋体"/>
          <w:sz w:val="24"/>
          <w:szCs w:val="24"/>
        </w:rPr>
      </w:pPr>
      <w:r>
        <w:rPr>
          <w:rFonts w:ascii="宋体" w:hAnsi="宋体" w:eastAsia="宋体" w:cs="宋体"/>
          <w:spacing w:val="-9"/>
          <w:sz w:val="24"/>
          <w:szCs w:val="24"/>
        </w:rPr>
        <w:t>3.5.3（c）</w:t>
      </w:r>
      <w:r>
        <w:rPr>
          <w:rFonts w:ascii="宋体" w:hAnsi="宋体" w:eastAsia="宋体" w:cs="宋体"/>
          <w:spacing w:val="33"/>
          <w:w w:val="101"/>
          <w:position w:val="12"/>
          <w:sz w:val="12"/>
          <w:szCs w:val="12"/>
        </w:rPr>
        <w:t xml:space="preserve"> </w:t>
      </w:r>
      <w:r>
        <w:rPr>
          <w:rFonts w:ascii="宋体" w:hAnsi="宋体" w:eastAsia="宋体" w:cs="宋体"/>
          <w:spacing w:val="-3"/>
          <w:sz w:val="24"/>
          <w:szCs w:val="24"/>
        </w:rPr>
        <w:t>“近年完成的类似项目情况表”应同时附合同协议书、项目</w:t>
      </w:r>
      <w:r>
        <w:rPr>
          <w:rFonts w:ascii="宋体" w:hAnsi="宋体" w:eastAsia="宋体" w:cs="宋体"/>
          <w:spacing w:val="-4"/>
          <w:sz w:val="24"/>
          <w:szCs w:val="24"/>
        </w:rPr>
        <w:t>已交（竣）</w:t>
      </w:r>
      <w:r>
        <w:rPr>
          <w:rFonts w:ascii="宋体" w:hAnsi="宋体" w:eastAsia="宋体" w:cs="宋体"/>
          <w:spacing w:val="-2"/>
          <w:sz w:val="24"/>
          <w:szCs w:val="24"/>
        </w:rPr>
        <w:t>工证明文件（交工验收证书或竣工验收备案表或竣工验收证明材料或建设单位出具的完工证明或完工验收鉴定书等）扫描件，如上述资料均无法证实投标人满足招标文件规定</w:t>
      </w:r>
      <w:r>
        <w:rPr>
          <w:rFonts w:ascii="宋体" w:hAnsi="宋体" w:eastAsia="宋体" w:cs="宋体"/>
          <w:spacing w:val="-1"/>
          <w:sz w:val="24"/>
          <w:szCs w:val="24"/>
        </w:rPr>
        <w:t>的资格审查条件（业绩最低要求）或评标办法评分标准（如有</w:t>
      </w:r>
      <w:r>
        <w:rPr>
          <w:rFonts w:ascii="宋体" w:hAnsi="宋体" w:eastAsia="宋体" w:cs="宋体"/>
          <w:spacing w:val="-12"/>
          <w:sz w:val="24"/>
          <w:szCs w:val="24"/>
        </w:rPr>
        <w:t>），</w:t>
      </w:r>
      <w:r>
        <w:rPr>
          <w:rFonts w:ascii="宋体" w:hAnsi="宋体" w:eastAsia="宋体" w:cs="宋体"/>
          <w:spacing w:val="-1"/>
          <w:sz w:val="24"/>
          <w:szCs w:val="24"/>
        </w:rPr>
        <w:t>还应补充提供项目业</w:t>
      </w:r>
      <w:r>
        <w:rPr>
          <w:rFonts w:ascii="宋体" w:hAnsi="宋体" w:eastAsia="宋体" w:cs="宋体"/>
          <w:spacing w:val="-4"/>
          <w:sz w:val="24"/>
          <w:szCs w:val="24"/>
        </w:rPr>
        <w:t>主或主管部门开具的证明材料。</w:t>
      </w:r>
    </w:p>
    <w:p w14:paraId="0F2085F7">
      <w:pPr>
        <w:spacing w:before="2" w:line="363" w:lineRule="auto"/>
        <w:ind w:left="8" w:right="111" w:firstLine="485"/>
        <w:rPr>
          <w:rFonts w:ascii="宋体" w:hAnsi="宋体" w:eastAsia="宋体" w:cs="宋体"/>
          <w:sz w:val="24"/>
          <w:szCs w:val="24"/>
        </w:rPr>
      </w:pPr>
      <w:r>
        <w:rPr>
          <w:rFonts w:ascii="宋体" w:hAnsi="宋体" w:eastAsia="宋体" w:cs="宋体"/>
          <w:spacing w:val="-1"/>
          <w:sz w:val="24"/>
          <w:szCs w:val="24"/>
        </w:rPr>
        <w:t>3.5.3（d）</w:t>
      </w:r>
      <w:r>
        <w:rPr>
          <w:rFonts w:ascii="宋体" w:hAnsi="宋体" w:eastAsia="宋体" w:cs="宋体"/>
          <w:spacing w:val="53"/>
          <w:position w:val="12"/>
          <w:sz w:val="12"/>
          <w:szCs w:val="12"/>
        </w:rPr>
        <w:t xml:space="preserve"> </w:t>
      </w:r>
      <w:r>
        <w:rPr>
          <w:rFonts w:ascii="宋体" w:hAnsi="宋体" w:eastAsia="宋体" w:cs="宋体"/>
          <w:spacing w:val="-1"/>
          <w:sz w:val="24"/>
          <w:szCs w:val="24"/>
        </w:rPr>
        <w:t>“近年完成的类似项目情况表”</w:t>
      </w:r>
      <w:r>
        <w:rPr>
          <w:rFonts w:ascii="宋体" w:hAnsi="宋体" w:eastAsia="宋体" w:cs="宋体"/>
          <w:spacing w:val="-2"/>
          <w:sz w:val="24"/>
          <w:szCs w:val="24"/>
        </w:rPr>
        <w:t>应同时附合同协议书、竣工验收备案表或竣工验收证明材料或建设单位出具的完工证明或完工验收鉴定书扫描件，如上述资料均无法证实申请人满足资格预审文件规定的资格预审条件（业绩最低要求）或资格审</w:t>
      </w:r>
      <w:r>
        <w:rPr>
          <w:rFonts w:ascii="宋体" w:hAnsi="宋体" w:eastAsia="宋体" w:cs="宋体"/>
          <w:spacing w:val="-1"/>
          <w:sz w:val="24"/>
          <w:szCs w:val="24"/>
        </w:rPr>
        <w:t>查办法评分标准（如有），还应补充提供项目业主或主管部门</w:t>
      </w:r>
      <w:r>
        <w:rPr>
          <w:rFonts w:ascii="宋体" w:hAnsi="宋体" w:eastAsia="宋体" w:cs="宋体"/>
          <w:spacing w:val="-2"/>
          <w:sz w:val="24"/>
          <w:szCs w:val="24"/>
        </w:rPr>
        <w:t>开具的证明材料。</w:t>
      </w:r>
    </w:p>
    <w:p w14:paraId="3851FF5F">
      <w:pPr>
        <w:spacing w:line="353" w:lineRule="auto"/>
        <w:ind w:left="10" w:right="112" w:firstLine="483"/>
        <w:rPr>
          <w:rFonts w:ascii="宋体" w:hAnsi="宋体" w:eastAsia="宋体" w:cs="宋体"/>
          <w:sz w:val="24"/>
          <w:szCs w:val="24"/>
        </w:rPr>
      </w:pPr>
      <w:r>
        <w:rPr>
          <w:rFonts w:ascii="宋体" w:hAnsi="宋体" w:eastAsia="宋体" w:cs="宋体"/>
          <w:spacing w:val="-1"/>
          <w:sz w:val="24"/>
          <w:szCs w:val="24"/>
        </w:rPr>
        <w:t>3.5.4</w:t>
      </w:r>
      <w:r>
        <w:rPr>
          <w:rFonts w:ascii="宋体" w:hAnsi="宋体" w:eastAsia="宋体" w:cs="宋体"/>
          <w:spacing w:val="-24"/>
          <w:sz w:val="24"/>
          <w:szCs w:val="24"/>
        </w:rPr>
        <w:t xml:space="preserve"> </w:t>
      </w:r>
      <w:r>
        <w:rPr>
          <w:rFonts w:ascii="宋体" w:hAnsi="宋体" w:eastAsia="宋体" w:cs="宋体"/>
          <w:spacing w:val="-1"/>
          <w:sz w:val="24"/>
          <w:szCs w:val="24"/>
        </w:rPr>
        <w:t>“投标人的信誉情况”应附投标人在国家企业信用信息公示系统中未被</w:t>
      </w:r>
      <w:r>
        <w:rPr>
          <w:rFonts w:ascii="宋体" w:hAnsi="宋体" w:eastAsia="宋体" w:cs="宋体"/>
          <w:spacing w:val="-2"/>
          <w:sz w:val="24"/>
          <w:szCs w:val="24"/>
        </w:rPr>
        <w:t>列入严重违法失信名单、“信用中国”网站</w:t>
      </w:r>
      <w:r>
        <w:rPr>
          <w:rFonts w:ascii="宋体" w:hAnsi="宋体" w:eastAsia="宋体" w:cs="宋体"/>
          <w:spacing w:val="-28"/>
          <w:position w:val="12"/>
          <w:sz w:val="12"/>
          <w:szCs w:val="12"/>
        </w:rPr>
        <w:t xml:space="preserve"> </w:t>
      </w:r>
      <w:r>
        <w:rPr>
          <w:rFonts w:ascii="宋体" w:hAnsi="宋体" w:eastAsia="宋体" w:cs="宋体"/>
          <w:spacing w:val="-2"/>
          <w:sz w:val="24"/>
          <w:szCs w:val="24"/>
        </w:rPr>
        <w:t>中被列入失信被执行人名单的网页</w:t>
      </w:r>
      <w:r>
        <w:rPr>
          <w:rFonts w:ascii="宋体" w:hAnsi="宋体" w:eastAsia="宋体" w:cs="宋体"/>
          <w:spacing w:val="-3"/>
          <w:sz w:val="24"/>
          <w:szCs w:val="24"/>
        </w:rPr>
        <w:t>截图。</w:t>
      </w:r>
    </w:p>
    <w:p w14:paraId="339A7023">
      <w:pPr>
        <w:pStyle w:val="2"/>
        <w:spacing w:line="268" w:lineRule="auto"/>
        <w:ind w:firstLine="476" w:firstLineChars="200"/>
        <w:rPr>
          <w:rFonts w:ascii="宋体" w:hAnsi="宋体" w:eastAsia="宋体" w:cs="宋体"/>
          <w:sz w:val="24"/>
          <w:szCs w:val="24"/>
        </w:rPr>
      </w:pPr>
      <w:r>
        <w:rPr>
          <w:rFonts w:ascii="宋体" w:hAnsi="宋体" w:eastAsia="宋体" w:cs="宋体"/>
          <w:spacing w:val="-1"/>
          <w:sz w:val="24"/>
          <w:szCs w:val="24"/>
        </w:rPr>
        <w:t>3.5.5（a）</w:t>
      </w:r>
      <w:r>
        <w:rPr>
          <w:rFonts w:ascii="宋体" w:hAnsi="宋体" w:eastAsia="宋体" w:cs="宋体"/>
          <w:spacing w:val="48"/>
          <w:w w:val="101"/>
          <w:position w:val="12"/>
          <w:sz w:val="12"/>
          <w:szCs w:val="12"/>
        </w:rPr>
        <w:t xml:space="preserve"> </w:t>
      </w:r>
      <w:r>
        <w:rPr>
          <w:rFonts w:ascii="宋体" w:hAnsi="宋体" w:eastAsia="宋体" w:cs="宋体"/>
          <w:spacing w:val="-1"/>
          <w:sz w:val="24"/>
          <w:szCs w:val="24"/>
        </w:rPr>
        <w:t>“拟委任的项目经理和项目总工等主要</w:t>
      </w:r>
      <w:r>
        <w:rPr>
          <w:rFonts w:ascii="宋体" w:hAnsi="宋体" w:eastAsia="宋体" w:cs="宋体"/>
          <w:spacing w:val="-2"/>
          <w:sz w:val="24"/>
          <w:szCs w:val="24"/>
        </w:rPr>
        <w:t>管理人员资历表”应同时附①交通运输部“全国公路建设市场监督管理系统”中载明的、能够证明项目经理（以及备</w:t>
      </w:r>
      <w:r>
        <w:rPr>
          <w:rFonts w:ascii="宋体" w:hAnsi="宋体" w:eastAsia="宋体" w:cs="宋体"/>
          <w:spacing w:val="-5"/>
          <w:sz w:val="24"/>
          <w:szCs w:val="24"/>
        </w:rPr>
        <w:t>选人，如有）、项目总工（以及备选人，如有）</w:t>
      </w:r>
      <w:r>
        <w:rPr>
          <w:rFonts w:ascii="宋体" w:hAnsi="宋体" w:eastAsia="宋体" w:cs="宋体"/>
          <w:spacing w:val="-5"/>
          <w:sz w:val="24"/>
          <w:szCs w:val="24"/>
          <w:u w:val="single" w:color="auto"/>
        </w:rPr>
        <w:t>、安全总监（如有）、质量总监（如有）</w:t>
      </w:r>
      <w:r>
        <w:rPr>
          <w:rFonts w:ascii="宋体" w:hAnsi="宋体" w:eastAsia="宋体" w:cs="宋体"/>
          <w:spacing w:val="-2"/>
          <w:sz w:val="24"/>
          <w:szCs w:val="24"/>
        </w:rPr>
        <w:t>满足投标人须知前附表附录</w:t>
      </w:r>
      <w:r>
        <w:rPr>
          <w:rFonts w:ascii="宋体" w:hAnsi="宋体" w:eastAsia="宋体" w:cs="宋体"/>
          <w:spacing w:val="-45"/>
          <w:sz w:val="24"/>
          <w:szCs w:val="24"/>
        </w:rPr>
        <w:t xml:space="preserve"> </w:t>
      </w:r>
      <w:r>
        <w:rPr>
          <w:rFonts w:ascii="宋体" w:hAnsi="宋体" w:eastAsia="宋体" w:cs="宋体"/>
          <w:spacing w:val="-2"/>
          <w:sz w:val="24"/>
          <w:szCs w:val="24"/>
        </w:rPr>
        <w:t>5</w:t>
      </w:r>
      <w:r>
        <w:rPr>
          <w:rFonts w:ascii="宋体" w:hAnsi="宋体" w:eastAsia="宋体" w:cs="宋体"/>
          <w:spacing w:val="-48"/>
          <w:sz w:val="24"/>
          <w:szCs w:val="24"/>
        </w:rPr>
        <w:t xml:space="preserve"> </w:t>
      </w:r>
      <w:r>
        <w:rPr>
          <w:rFonts w:ascii="宋体" w:hAnsi="宋体" w:eastAsia="宋体" w:cs="宋体"/>
          <w:spacing w:val="-2"/>
          <w:sz w:val="24"/>
          <w:szCs w:val="24"/>
        </w:rPr>
        <w:t>或者评标办法评分标准（如有）</w:t>
      </w:r>
      <w:r>
        <w:rPr>
          <w:rFonts w:ascii="宋体" w:hAnsi="宋体" w:eastAsia="宋体" w:cs="宋体"/>
          <w:spacing w:val="-3"/>
          <w:sz w:val="24"/>
          <w:szCs w:val="24"/>
        </w:rPr>
        <w:t>所提出的各项指标（即包</w:t>
      </w:r>
      <w:r>
        <w:rPr>
          <w:rFonts w:ascii="宋体" w:hAnsi="宋体" w:eastAsia="宋体" w:cs="宋体"/>
          <w:spacing w:val="-2"/>
          <w:sz w:val="24"/>
          <w:szCs w:val="24"/>
        </w:rPr>
        <w:t>括人员的“基本信息”、“职称信息”、“执业资格”、“个人业绩”等栏目在内）的网页截图；②建造师注册证书在全国建筑市场监管公共服务平台上公开信息的网页截图</w:t>
      </w:r>
      <w:r>
        <w:rPr>
          <w:rFonts w:ascii="宋体" w:hAnsi="宋体" w:eastAsia="宋体" w:cs="宋体"/>
          <w:spacing w:val="-1"/>
          <w:sz w:val="24"/>
          <w:szCs w:val="24"/>
        </w:rPr>
        <w:t>（仅项目经理（以及备选人，如有）提供</w:t>
      </w:r>
      <w:r>
        <w:rPr>
          <w:rFonts w:ascii="宋体" w:hAnsi="宋体" w:eastAsia="宋体" w:cs="宋体"/>
          <w:spacing w:val="-11"/>
          <w:sz w:val="24"/>
          <w:szCs w:val="24"/>
        </w:rPr>
        <w:t>）；</w:t>
      </w:r>
      <w:r>
        <w:rPr>
          <w:rFonts w:ascii="宋体" w:hAnsi="宋体" w:eastAsia="宋体" w:cs="宋体"/>
          <w:spacing w:val="-1"/>
          <w:sz w:val="24"/>
          <w:szCs w:val="24"/>
        </w:rPr>
        <w:t>③安全生产考核合格证书在交通运输工程</w:t>
      </w:r>
      <w:r>
        <w:rPr>
          <w:rFonts w:ascii="宋体" w:hAnsi="宋体" w:eastAsia="宋体" w:cs="宋体"/>
          <w:spacing w:val="2"/>
          <w:sz w:val="24"/>
          <w:szCs w:val="24"/>
        </w:rPr>
        <w:t>施工单位安管人员安全生产考核管理系统信息</w:t>
      </w:r>
      <w:r>
        <w:rPr>
          <w:rFonts w:ascii="宋体" w:hAnsi="宋体" w:eastAsia="宋体" w:cs="宋体"/>
          <w:spacing w:val="1"/>
          <w:sz w:val="24"/>
          <w:szCs w:val="24"/>
        </w:rPr>
        <w:t>公共查询平台</w:t>
      </w:r>
      <w:r>
        <w:rPr>
          <w:rFonts w:hint="eastAsia" w:ascii="宋体" w:hAnsi="宋体" w:eastAsia="宋体" w:cs="宋体"/>
          <w:spacing w:val="1"/>
          <w:sz w:val="24"/>
          <w:szCs w:val="24"/>
          <w:lang w:eastAsia="zh-CN"/>
        </w:rPr>
        <w:t>（</w:t>
      </w:r>
      <w:r>
        <w:rPr>
          <w:rFonts w:ascii="宋体" w:hAnsi="宋体" w:eastAsia="宋体" w:cs="宋体"/>
          <w:spacing w:val="1"/>
          <w:sz w:val="24"/>
          <w:szCs w:val="24"/>
        </w:rPr>
        <w:t>或省级交通运输工程施工</w:t>
      </w:r>
      <w:r>
        <w:rPr>
          <w:rFonts w:ascii="宋体" w:hAnsi="宋体" w:eastAsia="宋体" w:cs="宋体"/>
          <w:spacing w:val="8"/>
          <w:sz w:val="24"/>
          <w:szCs w:val="24"/>
        </w:rPr>
        <w:t>单位安管人员安全生产考核管理系统信息公共查询平台</w:t>
      </w:r>
      <w:r>
        <w:rPr>
          <w:rFonts w:hint="eastAsia" w:ascii="宋体" w:hAnsi="宋体" w:eastAsia="宋体" w:cs="宋体"/>
          <w:spacing w:val="8"/>
          <w:sz w:val="24"/>
          <w:szCs w:val="24"/>
          <w:lang w:eastAsia="zh-CN"/>
        </w:rPr>
        <w:t>）</w:t>
      </w:r>
      <w:r>
        <w:rPr>
          <w:rFonts w:ascii="宋体" w:hAnsi="宋体" w:eastAsia="宋体" w:cs="宋体"/>
          <w:spacing w:val="8"/>
          <w:sz w:val="24"/>
          <w:szCs w:val="24"/>
        </w:rPr>
        <w:t>上查询公开信息的网页截图</w:t>
      </w:r>
      <w:r>
        <w:rPr>
          <w:rFonts w:ascii="宋体" w:hAnsi="宋体" w:eastAsia="宋体" w:cs="宋体"/>
          <w:spacing w:val="-1"/>
          <w:sz w:val="24"/>
          <w:szCs w:val="24"/>
        </w:rPr>
        <w:t>（仅项目经理（以及备选人，如有）</w:t>
      </w:r>
      <w:r>
        <w:rPr>
          <w:rFonts w:ascii="宋体" w:hAnsi="宋体" w:eastAsia="宋体" w:cs="宋体"/>
          <w:spacing w:val="-1"/>
          <w:sz w:val="24"/>
          <w:szCs w:val="24"/>
          <w:u w:val="single" w:color="auto"/>
        </w:rPr>
        <w:t>、安全总监（</w:t>
      </w:r>
      <w:r>
        <w:rPr>
          <w:rFonts w:ascii="宋体" w:hAnsi="宋体" w:eastAsia="宋体" w:cs="宋体"/>
          <w:spacing w:val="-2"/>
          <w:sz w:val="24"/>
          <w:szCs w:val="24"/>
          <w:u w:val="single" w:color="auto"/>
        </w:rPr>
        <w:t>如有）</w:t>
      </w:r>
      <w:r>
        <w:rPr>
          <w:rFonts w:ascii="宋体" w:hAnsi="宋体" w:eastAsia="宋体" w:cs="宋体"/>
          <w:spacing w:val="-2"/>
          <w:sz w:val="24"/>
          <w:szCs w:val="24"/>
        </w:rPr>
        <w:t>提供</w:t>
      </w:r>
      <w:r>
        <w:rPr>
          <w:rFonts w:ascii="宋体" w:hAnsi="宋体" w:eastAsia="宋体" w:cs="宋体"/>
          <w:spacing w:val="-4"/>
          <w:sz w:val="24"/>
          <w:szCs w:val="24"/>
        </w:rPr>
        <w:t>）；</w:t>
      </w:r>
      <w:r>
        <w:rPr>
          <w:rFonts w:ascii="宋体" w:hAnsi="宋体" w:eastAsia="宋体" w:cs="宋体"/>
          <w:spacing w:val="-2"/>
          <w:sz w:val="24"/>
          <w:szCs w:val="24"/>
        </w:rPr>
        <w:t>④投标人在社保系统打印的拟委任的项目经理（以及备选人，如有）、项目总工（以及备选人，如有）</w:t>
      </w:r>
      <w:r>
        <w:rPr>
          <w:rFonts w:ascii="宋体" w:hAnsi="宋体" w:eastAsia="宋体" w:cs="宋体"/>
          <w:spacing w:val="-2"/>
          <w:sz w:val="24"/>
          <w:szCs w:val="24"/>
          <w:u w:val="single" w:color="auto"/>
        </w:rPr>
        <w:t>、安全总监（如有）、质量总监（如有）</w:t>
      </w:r>
      <w:r>
        <w:rPr>
          <w:rFonts w:ascii="宋体" w:hAnsi="宋体" w:eastAsia="宋体" w:cs="宋体"/>
          <w:spacing w:val="-2"/>
          <w:sz w:val="24"/>
          <w:szCs w:val="24"/>
        </w:rPr>
        <w:t>参加社保的缴费明细扫描件（社保时段为投标文件</w:t>
      </w:r>
      <w:r>
        <w:rPr>
          <w:rFonts w:ascii="宋体" w:hAnsi="宋体" w:eastAsia="宋体" w:cs="宋体"/>
          <w:spacing w:val="-1"/>
          <w:sz w:val="24"/>
          <w:szCs w:val="24"/>
        </w:rPr>
        <w:t>递交截止日前半年时间内连续不少于三个月</w:t>
      </w:r>
      <w:r>
        <w:rPr>
          <w:rFonts w:ascii="宋体" w:hAnsi="宋体" w:eastAsia="宋体" w:cs="宋体"/>
          <w:spacing w:val="-11"/>
          <w:sz w:val="24"/>
          <w:szCs w:val="24"/>
        </w:rPr>
        <w:t>），</w:t>
      </w:r>
      <w:r>
        <w:rPr>
          <w:rFonts w:ascii="宋体" w:hAnsi="宋体" w:eastAsia="宋体" w:cs="宋体"/>
          <w:spacing w:val="-1"/>
          <w:sz w:val="24"/>
          <w:szCs w:val="24"/>
        </w:rPr>
        <w:t>总公司参与投标的，提供的分公司人员</w:t>
      </w:r>
      <w:r>
        <w:rPr>
          <w:rFonts w:ascii="宋体" w:hAnsi="宋体" w:eastAsia="宋体" w:cs="宋体"/>
          <w:spacing w:val="-5"/>
          <w:sz w:val="24"/>
          <w:szCs w:val="24"/>
        </w:rPr>
        <w:t>的社保也视为有效。</w:t>
      </w:r>
    </w:p>
    <w:p w14:paraId="354EA9A6">
      <w:pPr>
        <w:spacing w:line="217" w:lineRule="auto"/>
        <w:ind w:left="492"/>
        <w:rPr>
          <w:rFonts w:ascii="宋体" w:hAnsi="宋体" w:eastAsia="宋体" w:cs="宋体"/>
          <w:sz w:val="24"/>
          <w:szCs w:val="24"/>
        </w:rPr>
      </w:pPr>
      <w:r>
        <w:rPr>
          <w:rFonts w:ascii="宋体" w:hAnsi="宋体" w:eastAsia="宋体" w:cs="宋体"/>
          <w:spacing w:val="-1"/>
          <w:sz w:val="24"/>
          <w:szCs w:val="24"/>
        </w:rPr>
        <w:t>建造师注册信息以②的证明材料为准，安全生产考核</w:t>
      </w:r>
      <w:r>
        <w:rPr>
          <w:rFonts w:ascii="宋体" w:hAnsi="宋体" w:eastAsia="宋体" w:cs="宋体"/>
          <w:spacing w:val="-2"/>
          <w:sz w:val="24"/>
          <w:szCs w:val="24"/>
        </w:rPr>
        <w:t>信息以③的证明材料为准。</w:t>
      </w:r>
    </w:p>
    <w:p w14:paraId="5E97E9C3">
      <w:pPr>
        <w:spacing w:before="185" w:line="219" w:lineRule="auto"/>
        <w:ind w:left="503"/>
        <w:rPr>
          <w:rFonts w:ascii="宋体" w:hAnsi="宋体" w:eastAsia="宋体" w:cs="宋体"/>
          <w:sz w:val="24"/>
          <w:szCs w:val="24"/>
        </w:rPr>
      </w:pPr>
      <w:r>
        <w:rPr>
          <w:rFonts w:ascii="宋体" w:hAnsi="宋体" w:eastAsia="宋体" w:cs="宋体"/>
          <w:spacing w:val="-3"/>
          <w:sz w:val="24"/>
          <w:szCs w:val="24"/>
        </w:rPr>
        <w:t>除上述资料外，投标人无需再提供任何证明材料。</w:t>
      </w:r>
    </w:p>
    <w:p w14:paraId="0AFD2957">
      <w:pPr>
        <w:spacing w:before="183" w:line="353" w:lineRule="auto"/>
        <w:ind w:left="13" w:right="168" w:firstLine="480"/>
        <w:rPr>
          <w:rFonts w:ascii="宋体" w:hAnsi="宋体" w:eastAsia="宋体" w:cs="宋体"/>
          <w:sz w:val="24"/>
          <w:szCs w:val="24"/>
        </w:rPr>
      </w:pPr>
      <w:r>
        <w:rPr>
          <w:rFonts w:ascii="宋体" w:hAnsi="宋体" w:eastAsia="宋体" w:cs="宋体"/>
          <w:spacing w:val="-2"/>
          <w:sz w:val="24"/>
          <w:szCs w:val="24"/>
        </w:rPr>
        <w:t>如项目经理（以及备选人，如有）和项目总工（以及备选人，如有）目前仍在其他项目上任职，则投标人应按投标函的格式承诺上述人员能够从该项目撤离。</w:t>
      </w:r>
    </w:p>
    <w:p w14:paraId="3BA7861F">
      <w:pPr>
        <w:pStyle w:val="2"/>
        <w:spacing w:line="268" w:lineRule="auto"/>
        <w:ind w:firstLine="476" w:firstLineChars="200"/>
        <w:rPr>
          <w:rFonts w:ascii="宋体" w:hAnsi="宋体" w:eastAsia="宋体" w:cs="宋体"/>
          <w:sz w:val="24"/>
          <w:szCs w:val="24"/>
        </w:rPr>
      </w:pPr>
      <w:r>
        <w:rPr>
          <w:rFonts w:ascii="宋体" w:hAnsi="宋体" w:eastAsia="宋体" w:cs="宋体"/>
          <w:spacing w:val="-1"/>
          <w:sz w:val="24"/>
          <w:szCs w:val="24"/>
        </w:rPr>
        <w:t>3.5.5（b）</w:t>
      </w:r>
      <w:r>
        <w:rPr>
          <w:rFonts w:ascii="宋体" w:hAnsi="宋体" w:eastAsia="宋体" w:cs="宋体"/>
          <w:spacing w:val="48"/>
          <w:w w:val="101"/>
          <w:position w:val="12"/>
          <w:sz w:val="12"/>
          <w:szCs w:val="12"/>
        </w:rPr>
        <w:t xml:space="preserve"> </w:t>
      </w:r>
      <w:r>
        <w:rPr>
          <w:rFonts w:ascii="宋体" w:hAnsi="宋体" w:eastAsia="宋体" w:cs="宋体"/>
          <w:spacing w:val="-1"/>
          <w:sz w:val="24"/>
          <w:szCs w:val="24"/>
        </w:rPr>
        <w:t>“拟委任的项目经理和项目总工等主要</w:t>
      </w:r>
      <w:r>
        <w:rPr>
          <w:rFonts w:ascii="宋体" w:hAnsi="宋体" w:eastAsia="宋体" w:cs="宋体"/>
          <w:spacing w:val="-2"/>
          <w:sz w:val="24"/>
          <w:szCs w:val="24"/>
        </w:rPr>
        <w:t>管理人员资历表”应同时附①</w:t>
      </w:r>
      <w:r>
        <w:rPr>
          <w:rFonts w:ascii="宋体" w:hAnsi="宋体" w:eastAsia="宋体" w:cs="宋体"/>
          <w:spacing w:val="-3"/>
          <w:sz w:val="24"/>
          <w:szCs w:val="24"/>
        </w:rPr>
        <w:t>项目经理（以及备选人，如有）、项目总工（以及备选人，如</w:t>
      </w:r>
      <w:r>
        <w:rPr>
          <w:rFonts w:ascii="宋体" w:hAnsi="宋体" w:eastAsia="宋体" w:cs="宋体"/>
          <w:spacing w:val="-4"/>
          <w:sz w:val="24"/>
          <w:szCs w:val="24"/>
        </w:rPr>
        <w:t>有）</w:t>
      </w:r>
      <w:r>
        <w:rPr>
          <w:rFonts w:ascii="宋体" w:hAnsi="宋体" w:eastAsia="宋体" w:cs="宋体"/>
          <w:spacing w:val="-4"/>
          <w:sz w:val="24"/>
          <w:szCs w:val="24"/>
          <w:u w:val="single" w:color="auto"/>
        </w:rPr>
        <w:t>、安全总监（如有）</w:t>
      </w:r>
      <w:r>
        <w:rPr>
          <w:rFonts w:ascii="宋体" w:hAnsi="宋体" w:eastAsia="宋体" w:cs="宋体"/>
          <w:spacing w:val="-4"/>
          <w:sz w:val="24"/>
          <w:szCs w:val="24"/>
        </w:rPr>
        <w:t>、</w:t>
      </w:r>
      <w:r>
        <w:rPr>
          <w:rFonts w:ascii="宋体" w:hAnsi="宋体" w:eastAsia="宋体" w:cs="宋体"/>
          <w:spacing w:val="-6"/>
          <w:sz w:val="24"/>
          <w:szCs w:val="24"/>
          <w:u w:val="single" w:color="auto"/>
        </w:rPr>
        <w:t>质量总监（如有）</w:t>
      </w:r>
      <w:r>
        <w:rPr>
          <w:rFonts w:ascii="宋体" w:hAnsi="宋体" w:eastAsia="宋体" w:cs="宋体"/>
          <w:spacing w:val="-6"/>
          <w:sz w:val="24"/>
          <w:szCs w:val="24"/>
        </w:rPr>
        <w:t>的身份证、职称资格证书扫描件；</w:t>
      </w:r>
      <w:r>
        <w:rPr>
          <w:rFonts w:ascii="宋体" w:hAnsi="宋体" w:eastAsia="宋体" w:cs="宋体"/>
          <w:spacing w:val="51"/>
          <w:sz w:val="24"/>
          <w:szCs w:val="24"/>
        </w:rPr>
        <w:t xml:space="preserve"> </w:t>
      </w:r>
      <w:r>
        <w:rPr>
          <w:rFonts w:ascii="宋体" w:hAnsi="宋体" w:eastAsia="宋体" w:cs="宋体"/>
          <w:spacing w:val="-6"/>
          <w:sz w:val="24"/>
          <w:szCs w:val="24"/>
        </w:rPr>
        <w:t>②建造师注册证书在全国建筑市场</w:t>
      </w:r>
      <w:r>
        <w:rPr>
          <w:rFonts w:ascii="宋体" w:hAnsi="宋体" w:eastAsia="宋体" w:cs="宋体"/>
          <w:sz w:val="24"/>
          <w:szCs w:val="24"/>
        </w:rPr>
        <w:t xml:space="preserve">监管公共服务平台上公开信息的网页截图（仅项目经理（以及备选人，如有）提供）； </w:t>
      </w:r>
      <w:r>
        <w:rPr>
          <w:rFonts w:ascii="宋体" w:hAnsi="宋体" w:eastAsia="宋体" w:cs="宋体"/>
          <w:spacing w:val="5"/>
          <w:sz w:val="24"/>
          <w:szCs w:val="24"/>
        </w:rPr>
        <w:t>③安全生产考核合格证书在交通运输工程施工单位安管人员安全生产考核管理系统信</w:t>
      </w:r>
      <w:r>
        <w:rPr>
          <w:rFonts w:ascii="宋体" w:hAnsi="宋体" w:eastAsia="宋体" w:cs="宋体"/>
          <w:spacing w:val="1"/>
          <w:sz w:val="24"/>
          <w:szCs w:val="24"/>
        </w:rPr>
        <w:t>息公共查询平台</w:t>
      </w:r>
      <w:r>
        <w:rPr>
          <w:rFonts w:hint="eastAsia" w:ascii="宋体" w:hAnsi="宋体" w:eastAsia="宋体" w:cs="宋体"/>
          <w:spacing w:val="1"/>
          <w:sz w:val="24"/>
          <w:szCs w:val="24"/>
          <w:lang w:eastAsia="zh-CN"/>
        </w:rPr>
        <w:t>（</w:t>
      </w:r>
      <w:r>
        <w:rPr>
          <w:rFonts w:ascii="宋体" w:hAnsi="宋体" w:eastAsia="宋体" w:cs="宋体"/>
          <w:spacing w:val="1"/>
          <w:sz w:val="24"/>
          <w:szCs w:val="24"/>
        </w:rPr>
        <w:t>或省级交通运输工程施工单位安管人员安全生产考核管理系统信息公</w:t>
      </w:r>
      <w:r>
        <w:rPr>
          <w:rFonts w:ascii="宋体" w:hAnsi="宋体" w:eastAsia="宋体" w:cs="宋体"/>
          <w:spacing w:val="2"/>
          <w:sz w:val="24"/>
          <w:szCs w:val="24"/>
        </w:rPr>
        <w:t>共查询平台</w:t>
      </w:r>
      <w:r>
        <w:rPr>
          <w:rFonts w:hint="eastAsia" w:ascii="宋体" w:hAnsi="宋体" w:eastAsia="宋体" w:cs="宋体"/>
          <w:spacing w:val="2"/>
          <w:sz w:val="24"/>
          <w:szCs w:val="24"/>
          <w:lang w:eastAsia="zh-CN"/>
        </w:rPr>
        <w:t>）</w:t>
      </w:r>
      <w:r>
        <w:rPr>
          <w:rFonts w:ascii="宋体" w:hAnsi="宋体" w:eastAsia="宋体" w:cs="宋体"/>
          <w:spacing w:val="2"/>
          <w:sz w:val="24"/>
          <w:szCs w:val="24"/>
        </w:rPr>
        <w:t>上查询公开信息的网页截图（仅项目经理</w:t>
      </w:r>
      <w:r>
        <w:rPr>
          <w:rFonts w:ascii="宋体" w:hAnsi="宋体" w:eastAsia="宋体" w:cs="宋体"/>
          <w:spacing w:val="1"/>
          <w:sz w:val="24"/>
          <w:szCs w:val="24"/>
        </w:rPr>
        <w:t>（以及备选人，如有）</w:t>
      </w:r>
      <w:r>
        <w:rPr>
          <w:rFonts w:ascii="宋体" w:hAnsi="宋体" w:eastAsia="宋体" w:cs="宋体"/>
          <w:spacing w:val="1"/>
          <w:sz w:val="24"/>
          <w:szCs w:val="24"/>
          <w:u w:val="single" w:color="auto"/>
        </w:rPr>
        <w:t>、安全总</w:t>
      </w:r>
      <w:r>
        <w:rPr>
          <w:rFonts w:ascii="宋体" w:hAnsi="宋体" w:eastAsia="宋体" w:cs="宋体"/>
          <w:spacing w:val="-8"/>
          <w:sz w:val="24"/>
          <w:szCs w:val="24"/>
          <w:u w:val="single" w:color="auto"/>
        </w:rPr>
        <w:t>监（如有）</w:t>
      </w:r>
      <w:r>
        <w:rPr>
          <w:rFonts w:ascii="宋体" w:hAnsi="宋体" w:eastAsia="宋体" w:cs="宋体"/>
          <w:spacing w:val="-8"/>
          <w:sz w:val="24"/>
          <w:szCs w:val="24"/>
        </w:rPr>
        <w:t>提供</w:t>
      </w:r>
      <w:r>
        <w:rPr>
          <w:rFonts w:ascii="宋体" w:hAnsi="宋体" w:eastAsia="宋体" w:cs="宋体"/>
          <w:spacing w:val="-40"/>
          <w:sz w:val="24"/>
          <w:szCs w:val="24"/>
        </w:rPr>
        <w:t>）；</w:t>
      </w:r>
      <w:r>
        <w:rPr>
          <w:rFonts w:ascii="宋体" w:hAnsi="宋体" w:eastAsia="宋体" w:cs="宋体"/>
          <w:spacing w:val="-8"/>
          <w:sz w:val="24"/>
          <w:szCs w:val="24"/>
        </w:rPr>
        <w:t>④投标人在社保系统打印的拟委任的项目经理（以及备</w:t>
      </w:r>
      <w:r>
        <w:rPr>
          <w:rFonts w:ascii="宋体" w:hAnsi="宋体" w:eastAsia="宋体" w:cs="宋体"/>
          <w:spacing w:val="-9"/>
          <w:sz w:val="24"/>
          <w:szCs w:val="24"/>
        </w:rPr>
        <w:t>选人，如有）、</w:t>
      </w:r>
      <w:r>
        <w:rPr>
          <w:rFonts w:ascii="宋体" w:hAnsi="宋体" w:eastAsia="宋体" w:cs="宋体"/>
          <w:spacing w:val="-1"/>
          <w:sz w:val="24"/>
          <w:szCs w:val="24"/>
        </w:rPr>
        <w:t>项目总工（以及备选人，如有）</w:t>
      </w:r>
      <w:r>
        <w:rPr>
          <w:rFonts w:ascii="宋体" w:hAnsi="宋体" w:eastAsia="宋体" w:cs="宋体"/>
          <w:spacing w:val="-1"/>
          <w:sz w:val="24"/>
          <w:szCs w:val="24"/>
          <w:u w:val="single" w:color="auto"/>
        </w:rPr>
        <w:t>、安全总监（如有）、质</w:t>
      </w:r>
      <w:r>
        <w:rPr>
          <w:rFonts w:ascii="宋体" w:hAnsi="宋体" w:eastAsia="宋体" w:cs="宋体"/>
          <w:spacing w:val="-2"/>
          <w:sz w:val="24"/>
          <w:szCs w:val="24"/>
          <w:u w:val="single" w:color="auto"/>
        </w:rPr>
        <w:t>量总监（如有）</w:t>
      </w:r>
      <w:r>
        <w:rPr>
          <w:rFonts w:ascii="宋体" w:hAnsi="宋体" w:eastAsia="宋体" w:cs="宋体"/>
          <w:spacing w:val="-2"/>
          <w:sz w:val="24"/>
          <w:szCs w:val="24"/>
        </w:rPr>
        <w:t>参加社保的缴</w:t>
      </w:r>
      <w:r>
        <w:rPr>
          <w:rFonts w:ascii="宋体" w:hAnsi="宋体" w:eastAsia="宋体" w:cs="宋体"/>
          <w:spacing w:val="-1"/>
          <w:sz w:val="24"/>
          <w:szCs w:val="24"/>
        </w:rPr>
        <w:t>费明细扫描件（社保时段为投标文件递交截止日前半年时间内连续不少于三个月</w:t>
      </w:r>
      <w:r>
        <w:rPr>
          <w:rFonts w:ascii="宋体" w:hAnsi="宋体" w:eastAsia="宋体" w:cs="宋体"/>
          <w:spacing w:val="-11"/>
          <w:sz w:val="24"/>
          <w:szCs w:val="24"/>
        </w:rPr>
        <w:t>），</w:t>
      </w:r>
      <w:r>
        <w:rPr>
          <w:rFonts w:ascii="宋体" w:hAnsi="宋体" w:eastAsia="宋体" w:cs="宋体"/>
          <w:spacing w:val="-1"/>
          <w:sz w:val="24"/>
          <w:szCs w:val="24"/>
        </w:rPr>
        <w:t>总公司参与投标的，提供的分公司人员的社保</w:t>
      </w:r>
      <w:r>
        <w:rPr>
          <w:rFonts w:ascii="宋体" w:hAnsi="宋体" w:eastAsia="宋体" w:cs="宋体"/>
          <w:spacing w:val="-2"/>
          <w:sz w:val="24"/>
          <w:szCs w:val="24"/>
        </w:rPr>
        <w:t>也视为有效；⑤交通运输部“全国公路建设</w:t>
      </w:r>
      <w:r>
        <w:rPr>
          <w:rFonts w:ascii="宋体" w:hAnsi="宋体" w:eastAsia="宋体" w:cs="宋体"/>
          <w:spacing w:val="-8"/>
          <w:sz w:val="24"/>
          <w:szCs w:val="24"/>
        </w:rPr>
        <w:t>市场监督管理系统”中载明的、能够证明项目经理（以及备选人，如有）和项目</w:t>
      </w:r>
      <w:r>
        <w:rPr>
          <w:rFonts w:ascii="宋体" w:hAnsi="宋体" w:eastAsia="宋体" w:cs="宋体"/>
          <w:spacing w:val="-9"/>
          <w:sz w:val="24"/>
          <w:szCs w:val="24"/>
        </w:rPr>
        <w:t>总工（以</w:t>
      </w:r>
      <w:r>
        <w:rPr>
          <w:rFonts w:ascii="宋体" w:hAnsi="宋体" w:eastAsia="宋体" w:cs="宋体"/>
          <w:spacing w:val="-1"/>
          <w:sz w:val="24"/>
          <w:szCs w:val="24"/>
        </w:rPr>
        <w:t>及备选人，如有）具有相关业绩的网页截图</w:t>
      </w:r>
      <w:r>
        <w:rPr>
          <w:rFonts w:ascii="宋体" w:hAnsi="宋体" w:eastAsia="宋体" w:cs="宋体"/>
          <w:spacing w:val="-2"/>
          <w:sz w:val="24"/>
          <w:szCs w:val="24"/>
        </w:rPr>
        <w:t>。在交通运输部“全国公路建设市场监督管</w:t>
      </w:r>
      <w:r>
        <w:rPr>
          <w:rFonts w:ascii="宋体" w:hAnsi="宋体" w:eastAsia="宋体" w:cs="宋体"/>
          <w:spacing w:val="3"/>
          <w:sz w:val="24"/>
          <w:szCs w:val="24"/>
        </w:rPr>
        <w:t>理系统”中无法查询的，但可在省级交通运输主管部门“公路建设市场监督管理</w:t>
      </w:r>
      <w:r>
        <w:rPr>
          <w:rFonts w:ascii="宋体" w:hAnsi="宋体" w:eastAsia="宋体" w:cs="宋体"/>
          <w:spacing w:val="2"/>
          <w:sz w:val="24"/>
          <w:szCs w:val="24"/>
        </w:rPr>
        <w:t>系统”</w:t>
      </w:r>
      <w:r>
        <w:rPr>
          <w:rFonts w:ascii="宋体" w:hAnsi="宋体" w:eastAsia="宋体" w:cs="宋体"/>
          <w:spacing w:val="-2"/>
          <w:sz w:val="24"/>
          <w:szCs w:val="24"/>
        </w:rPr>
        <w:t>中查询的，应附省级交通运输主管部门“公路建设市场监督管理系统”中查</w:t>
      </w:r>
      <w:r>
        <w:rPr>
          <w:rFonts w:ascii="宋体" w:hAnsi="宋体" w:eastAsia="宋体" w:cs="宋体"/>
          <w:spacing w:val="-3"/>
          <w:sz w:val="24"/>
          <w:szCs w:val="24"/>
        </w:rPr>
        <w:t>询到的网页</w:t>
      </w:r>
      <w:r>
        <w:rPr>
          <w:rFonts w:ascii="宋体" w:hAnsi="宋体" w:eastAsia="宋体" w:cs="宋体"/>
          <w:spacing w:val="-6"/>
          <w:sz w:val="24"/>
          <w:szCs w:val="24"/>
        </w:rPr>
        <w:t>截图。除网页截图外，</w:t>
      </w:r>
      <w:r>
        <w:rPr>
          <w:rFonts w:ascii="宋体" w:hAnsi="宋体" w:eastAsia="宋体" w:cs="宋体"/>
          <w:spacing w:val="50"/>
          <w:sz w:val="24"/>
          <w:szCs w:val="24"/>
        </w:rPr>
        <w:t xml:space="preserve"> </w:t>
      </w:r>
      <w:r>
        <w:rPr>
          <w:rFonts w:ascii="宋体" w:hAnsi="宋体" w:eastAsia="宋体" w:cs="宋体"/>
          <w:spacing w:val="-6"/>
          <w:sz w:val="24"/>
          <w:szCs w:val="24"/>
        </w:rPr>
        <w:t>投标人无需再提供任何业绩证明材料。如投标人未提供相关业绩</w:t>
      </w:r>
      <w:r>
        <w:rPr>
          <w:rFonts w:ascii="宋体" w:hAnsi="宋体" w:eastAsia="宋体" w:cs="宋体"/>
          <w:spacing w:val="5"/>
          <w:sz w:val="24"/>
          <w:szCs w:val="24"/>
        </w:rPr>
        <w:t>网页截图或相关业绩网页截图中的信息无法证实投标人满足招标文件规定的资格审查</w:t>
      </w:r>
      <w:r>
        <w:rPr>
          <w:rFonts w:ascii="宋体" w:hAnsi="宋体" w:eastAsia="宋体" w:cs="宋体"/>
          <w:spacing w:val="-1"/>
          <w:sz w:val="24"/>
          <w:szCs w:val="24"/>
        </w:rPr>
        <w:t>条件</w:t>
      </w:r>
      <w:r>
        <w:rPr>
          <w:rFonts w:hint="eastAsia" w:ascii="宋体" w:hAnsi="宋体" w:eastAsia="宋体" w:cs="宋体"/>
          <w:spacing w:val="-1"/>
          <w:sz w:val="24"/>
          <w:szCs w:val="24"/>
          <w:lang w:eastAsia="zh-CN"/>
        </w:rPr>
        <w:t>（</w:t>
      </w:r>
      <w:r>
        <w:rPr>
          <w:rFonts w:ascii="宋体" w:hAnsi="宋体" w:eastAsia="宋体" w:cs="宋体"/>
          <w:spacing w:val="-1"/>
          <w:sz w:val="24"/>
          <w:szCs w:val="24"/>
        </w:rPr>
        <w:t>项目经理和项目总工等主要管理人员最低要求</w:t>
      </w:r>
      <w:r>
        <w:rPr>
          <w:rFonts w:hint="eastAsia" w:ascii="宋体" w:hAnsi="宋体" w:eastAsia="宋体" w:cs="宋体"/>
          <w:spacing w:val="-1"/>
          <w:sz w:val="24"/>
          <w:szCs w:val="24"/>
          <w:lang w:eastAsia="zh-CN"/>
        </w:rPr>
        <w:t>）</w:t>
      </w:r>
      <w:r>
        <w:rPr>
          <w:rFonts w:ascii="宋体" w:hAnsi="宋体" w:eastAsia="宋体" w:cs="宋体"/>
          <w:spacing w:val="-1"/>
          <w:sz w:val="24"/>
          <w:szCs w:val="24"/>
        </w:rPr>
        <w:t>，</w:t>
      </w:r>
      <w:r>
        <w:rPr>
          <w:rFonts w:ascii="宋体" w:hAnsi="宋体" w:eastAsia="宋体" w:cs="宋体"/>
          <w:spacing w:val="-2"/>
          <w:sz w:val="24"/>
          <w:szCs w:val="24"/>
        </w:rPr>
        <w:t>则该业绩不予认定。</w:t>
      </w:r>
    </w:p>
    <w:p w14:paraId="41A6CE2F">
      <w:pPr>
        <w:spacing w:line="360" w:lineRule="auto"/>
        <w:ind w:left="503" w:right="230" w:hanging="11"/>
        <w:rPr>
          <w:rFonts w:ascii="宋体" w:hAnsi="宋体" w:eastAsia="宋体" w:cs="宋体"/>
          <w:sz w:val="24"/>
          <w:szCs w:val="24"/>
        </w:rPr>
      </w:pPr>
      <w:r>
        <w:rPr>
          <w:rFonts w:ascii="宋体" w:hAnsi="宋体" w:eastAsia="宋体" w:cs="宋体"/>
          <w:spacing w:val="-1"/>
          <w:sz w:val="24"/>
          <w:szCs w:val="24"/>
        </w:rPr>
        <w:t>建造师注册信息以②的证明材料为准，安全生产</w:t>
      </w:r>
      <w:r>
        <w:rPr>
          <w:rFonts w:ascii="宋体" w:hAnsi="宋体" w:eastAsia="宋体" w:cs="宋体"/>
          <w:spacing w:val="-2"/>
          <w:sz w:val="24"/>
          <w:szCs w:val="24"/>
        </w:rPr>
        <w:t>考核信息以③的证明材料为准。</w:t>
      </w:r>
      <w:r>
        <w:rPr>
          <w:rFonts w:ascii="宋体" w:hAnsi="宋体" w:eastAsia="宋体" w:cs="宋体"/>
          <w:spacing w:val="-3"/>
          <w:sz w:val="24"/>
          <w:szCs w:val="24"/>
        </w:rPr>
        <w:t>除上述资料外，投标人无需再提供任何证明材料。</w:t>
      </w:r>
    </w:p>
    <w:p w14:paraId="1298D31B">
      <w:pPr>
        <w:spacing w:line="353" w:lineRule="auto"/>
        <w:ind w:left="13" w:right="3" w:firstLine="480"/>
        <w:rPr>
          <w:rFonts w:ascii="宋体" w:hAnsi="宋体" w:eastAsia="宋体" w:cs="宋体"/>
          <w:sz w:val="24"/>
          <w:szCs w:val="24"/>
        </w:rPr>
      </w:pPr>
      <w:r>
        <w:rPr>
          <w:rFonts w:ascii="宋体" w:hAnsi="宋体" w:eastAsia="宋体" w:cs="宋体"/>
          <w:spacing w:val="-2"/>
          <w:sz w:val="24"/>
          <w:szCs w:val="24"/>
        </w:rPr>
        <w:t>如项目经理（以及备选人，如有）和项目总工（以及备选人，如有）目前仍在其他项目上任职，则投标人应按投标函的格式承诺上述人员能够从该项目撤离。</w:t>
      </w:r>
    </w:p>
    <w:p w14:paraId="051364E1">
      <w:pPr>
        <w:spacing w:before="9" w:line="361" w:lineRule="auto"/>
        <w:ind w:left="8" w:right="2" w:firstLine="485"/>
        <w:rPr>
          <w:rFonts w:ascii="宋体" w:hAnsi="宋体" w:eastAsia="宋体" w:cs="宋体"/>
          <w:sz w:val="24"/>
          <w:szCs w:val="24"/>
        </w:rPr>
      </w:pPr>
      <w:r>
        <w:rPr>
          <w:rFonts w:ascii="宋体" w:hAnsi="宋体" w:eastAsia="宋体" w:cs="宋体"/>
          <w:spacing w:val="-1"/>
          <w:sz w:val="24"/>
          <w:szCs w:val="24"/>
        </w:rPr>
        <w:t>3.5.5（c）</w:t>
      </w:r>
      <w:r>
        <w:rPr>
          <w:rFonts w:ascii="宋体" w:hAnsi="宋体" w:eastAsia="宋体" w:cs="宋体"/>
          <w:spacing w:val="48"/>
          <w:w w:val="101"/>
          <w:position w:val="12"/>
          <w:sz w:val="12"/>
          <w:szCs w:val="12"/>
        </w:rPr>
        <w:t xml:space="preserve"> </w:t>
      </w:r>
      <w:r>
        <w:rPr>
          <w:rFonts w:ascii="宋体" w:hAnsi="宋体" w:eastAsia="宋体" w:cs="宋体"/>
          <w:spacing w:val="-1"/>
          <w:sz w:val="24"/>
          <w:szCs w:val="24"/>
        </w:rPr>
        <w:t>“拟委任的项目经理和项目总工等主要</w:t>
      </w:r>
      <w:r>
        <w:rPr>
          <w:rFonts w:ascii="宋体" w:hAnsi="宋体" w:eastAsia="宋体" w:cs="宋体"/>
          <w:spacing w:val="-2"/>
          <w:sz w:val="24"/>
          <w:szCs w:val="24"/>
        </w:rPr>
        <w:t>管理人员资历表”应同时附项目经理（以及备选人，如有）、项目总工（以及备选人，如有）</w:t>
      </w:r>
      <w:r>
        <w:rPr>
          <w:rFonts w:ascii="宋体" w:hAnsi="宋体" w:eastAsia="宋体" w:cs="宋体"/>
          <w:spacing w:val="-2"/>
          <w:sz w:val="24"/>
          <w:szCs w:val="24"/>
          <w:u w:val="single" w:color="auto"/>
        </w:rPr>
        <w:t>、安全总监（如有）、</w:t>
      </w:r>
      <w:r>
        <w:rPr>
          <w:rFonts w:ascii="宋体" w:hAnsi="宋体" w:eastAsia="宋体" w:cs="宋体"/>
          <w:spacing w:val="-1"/>
          <w:sz w:val="24"/>
          <w:szCs w:val="24"/>
          <w:u w:val="single" w:color="auto"/>
        </w:rPr>
        <w:t>质量总监（如有）的</w:t>
      </w:r>
      <w:r>
        <w:rPr>
          <w:rFonts w:ascii="宋体" w:hAnsi="宋体" w:eastAsia="宋体" w:cs="宋体"/>
          <w:spacing w:val="-1"/>
          <w:sz w:val="24"/>
          <w:szCs w:val="24"/>
        </w:rPr>
        <w:t>身份证、职称资格证书</w:t>
      </w:r>
      <w:r>
        <w:rPr>
          <w:rFonts w:ascii="宋体" w:hAnsi="宋体" w:eastAsia="宋体" w:cs="宋体"/>
          <w:spacing w:val="-2"/>
          <w:sz w:val="24"/>
          <w:szCs w:val="24"/>
        </w:rPr>
        <w:t>、资格审查条件所要求的其他相关证书、类似工程经验的相关证明材料的扫描件，以及投标人在社保系统打印的拟委任的项目经理</w:t>
      </w:r>
      <w:r>
        <w:rPr>
          <w:rFonts w:ascii="宋体" w:hAnsi="宋体" w:eastAsia="宋体" w:cs="宋体"/>
          <w:spacing w:val="-1"/>
          <w:sz w:val="24"/>
          <w:szCs w:val="24"/>
        </w:rPr>
        <w:t>（以及备选人，如有）、项目总工（以及备</w:t>
      </w:r>
      <w:r>
        <w:rPr>
          <w:rFonts w:ascii="宋体" w:hAnsi="宋体" w:eastAsia="宋体" w:cs="宋体"/>
          <w:spacing w:val="-2"/>
          <w:sz w:val="24"/>
          <w:szCs w:val="24"/>
        </w:rPr>
        <w:t>选人，如有）</w:t>
      </w:r>
      <w:r>
        <w:rPr>
          <w:rFonts w:ascii="宋体" w:hAnsi="宋体" w:eastAsia="宋体" w:cs="宋体"/>
          <w:spacing w:val="-2"/>
          <w:sz w:val="24"/>
          <w:szCs w:val="24"/>
          <w:u w:val="single" w:color="auto"/>
        </w:rPr>
        <w:t>、安全总监（如有）、质量总监（如有）</w:t>
      </w:r>
      <w:r>
        <w:rPr>
          <w:rFonts w:ascii="宋体" w:hAnsi="宋体" w:eastAsia="宋体" w:cs="宋体"/>
          <w:spacing w:val="-2"/>
          <w:sz w:val="24"/>
          <w:szCs w:val="24"/>
        </w:rPr>
        <w:t>参加社保的缴费明细扫描件（社保时段为</w:t>
      </w:r>
      <w:r>
        <w:rPr>
          <w:rFonts w:ascii="宋体" w:hAnsi="宋体" w:eastAsia="宋体" w:cs="宋体"/>
          <w:spacing w:val="-3"/>
          <w:sz w:val="24"/>
          <w:szCs w:val="24"/>
        </w:rPr>
        <w:t>投标文件递交截止日前半年时间内</w:t>
      </w:r>
      <w:r>
        <w:rPr>
          <w:rFonts w:ascii="宋体" w:hAnsi="宋体" w:eastAsia="宋体" w:cs="宋体"/>
          <w:spacing w:val="-1"/>
          <w:sz w:val="24"/>
          <w:szCs w:val="24"/>
        </w:rPr>
        <w:t>连续不少于三个月），总公司参与投标的，提供的分公司人员的社</w:t>
      </w:r>
      <w:r>
        <w:rPr>
          <w:rFonts w:ascii="宋体" w:hAnsi="宋体" w:eastAsia="宋体" w:cs="宋体"/>
          <w:spacing w:val="-2"/>
          <w:sz w:val="24"/>
          <w:szCs w:val="24"/>
        </w:rPr>
        <w:t>保也视为有效。</w:t>
      </w:r>
    </w:p>
    <w:p w14:paraId="00F5533C">
      <w:pPr>
        <w:spacing w:line="360" w:lineRule="auto"/>
        <w:ind w:left="10" w:right="3" w:firstLine="483"/>
        <w:rPr>
          <w:rFonts w:ascii="宋体" w:hAnsi="宋体" w:eastAsia="宋体" w:cs="宋体"/>
          <w:sz w:val="24"/>
          <w:szCs w:val="24"/>
        </w:rPr>
      </w:pPr>
      <w:r>
        <w:rPr>
          <w:rFonts w:ascii="宋体" w:hAnsi="宋体" w:eastAsia="宋体" w:cs="宋体"/>
          <w:spacing w:val="-2"/>
          <w:sz w:val="24"/>
          <w:szCs w:val="24"/>
        </w:rPr>
        <w:t>3.5.6 “拟委任的其他管理和技术人员汇总表”（如有）应填报满足投标人须知前</w:t>
      </w:r>
      <w:r>
        <w:rPr>
          <w:rFonts w:ascii="宋体" w:hAnsi="宋体" w:eastAsia="宋体" w:cs="宋体"/>
          <w:spacing w:val="-3"/>
          <w:sz w:val="24"/>
          <w:szCs w:val="24"/>
        </w:rPr>
        <w:t>附表附录</w:t>
      </w:r>
      <w:r>
        <w:rPr>
          <w:rFonts w:ascii="宋体" w:hAnsi="宋体" w:eastAsia="宋体" w:cs="宋体"/>
          <w:spacing w:val="-34"/>
          <w:sz w:val="24"/>
          <w:szCs w:val="24"/>
        </w:rPr>
        <w:t xml:space="preserve"> </w:t>
      </w:r>
      <w:r>
        <w:rPr>
          <w:rFonts w:ascii="宋体" w:hAnsi="宋体" w:eastAsia="宋体" w:cs="宋体"/>
          <w:spacing w:val="-3"/>
          <w:sz w:val="24"/>
          <w:szCs w:val="24"/>
        </w:rPr>
        <w:t>6</w:t>
      </w:r>
      <w:r>
        <w:rPr>
          <w:rFonts w:ascii="宋体" w:hAnsi="宋体" w:eastAsia="宋体" w:cs="宋体"/>
          <w:spacing w:val="-50"/>
          <w:sz w:val="24"/>
          <w:szCs w:val="24"/>
        </w:rPr>
        <w:t xml:space="preserve"> </w:t>
      </w:r>
      <w:r>
        <w:rPr>
          <w:rFonts w:ascii="宋体" w:hAnsi="宋体" w:eastAsia="宋体" w:cs="宋体"/>
          <w:spacing w:val="-3"/>
          <w:sz w:val="24"/>
          <w:szCs w:val="24"/>
        </w:rPr>
        <w:t>规定的其他人员的相关信息。“拟委任的其他管理和技术人员资历表”（如</w:t>
      </w:r>
      <w:r>
        <w:rPr>
          <w:rFonts w:ascii="宋体" w:hAnsi="宋体" w:eastAsia="宋体" w:cs="宋体"/>
          <w:spacing w:val="-2"/>
          <w:sz w:val="24"/>
          <w:szCs w:val="24"/>
        </w:rPr>
        <w:t>有）中相关人员应附身份证、职称资格证书以及资格审查条件所要求的其他相关证书的扫描件，相关业绩证明材料扫描件，以及投标人在社保系统打印的拟委任的其他管理和技术人员参加社保的缴费明细扫描件（社保时段为投标文件递交截止日前半年时间内连</w:t>
      </w:r>
      <w:r>
        <w:rPr>
          <w:rFonts w:ascii="宋体" w:hAnsi="宋体" w:eastAsia="宋体" w:cs="宋体"/>
          <w:spacing w:val="-1"/>
          <w:sz w:val="24"/>
          <w:szCs w:val="24"/>
        </w:rPr>
        <w:t>续不少于三个月），总公司参与投标的，提供的分公司人</w:t>
      </w:r>
      <w:r>
        <w:rPr>
          <w:rFonts w:ascii="宋体" w:hAnsi="宋体" w:eastAsia="宋体" w:cs="宋体"/>
          <w:spacing w:val="-2"/>
          <w:sz w:val="24"/>
          <w:szCs w:val="24"/>
        </w:rPr>
        <w:t>员的社保也视为有效。</w:t>
      </w:r>
    </w:p>
    <w:p w14:paraId="5B8489D0">
      <w:pPr>
        <w:spacing w:line="360" w:lineRule="auto"/>
        <w:ind w:left="29" w:right="3" w:firstLine="465"/>
        <w:rPr>
          <w:rFonts w:ascii="宋体" w:hAnsi="宋体" w:eastAsia="宋体" w:cs="宋体"/>
          <w:sz w:val="24"/>
          <w:szCs w:val="24"/>
        </w:rPr>
      </w:pPr>
      <w:r>
        <w:rPr>
          <w:rFonts w:ascii="宋体" w:hAnsi="宋体" w:eastAsia="宋体" w:cs="宋体"/>
          <w:spacing w:val="-2"/>
          <w:sz w:val="24"/>
          <w:szCs w:val="24"/>
        </w:rPr>
        <w:t>3.5.7 “拟投入本标段的主要设备表”（如有）应填报满</w:t>
      </w:r>
      <w:r>
        <w:rPr>
          <w:rFonts w:ascii="宋体" w:hAnsi="宋体" w:eastAsia="宋体" w:cs="宋体"/>
          <w:spacing w:val="-3"/>
          <w:sz w:val="24"/>
          <w:szCs w:val="24"/>
        </w:rPr>
        <w:t>足本章前附表附录</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50"/>
          <w:sz w:val="24"/>
          <w:szCs w:val="24"/>
        </w:rPr>
        <w:t xml:space="preserve"> </w:t>
      </w:r>
      <w:r>
        <w:rPr>
          <w:rFonts w:ascii="宋体" w:hAnsi="宋体" w:eastAsia="宋体" w:cs="宋体"/>
          <w:spacing w:val="-3"/>
          <w:sz w:val="24"/>
          <w:szCs w:val="24"/>
        </w:rPr>
        <w:t>规定</w:t>
      </w:r>
      <w:r>
        <w:rPr>
          <w:rFonts w:ascii="宋体" w:hAnsi="宋体" w:eastAsia="宋体" w:cs="宋体"/>
          <w:spacing w:val="-9"/>
          <w:sz w:val="24"/>
          <w:szCs w:val="24"/>
        </w:rPr>
        <w:t>的主要设备。</w:t>
      </w:r>
    </w:p>
    <w:p w14:paraId="3A0AB25C">
      <w:pPr>
        <w:spacing w:line="360" w:lineRule="auto"/>
        <w:ind w:left="15" w:right="3" w:firstLine="479"/>
        <w:rPr>
          <w:rFonts w:ascii="宋体" w:hAnsi="宋体" w:eastAsia="宋体" w:cs="宋体"/>
          <w:sz w:val="24"/>
          <w:szCs w:val="24"/>
        </w:rPr>
      </w:pPr>
      <w:r>
        <w:rPr>
          <w:rFonts w:ascii="宋体" w:hAnsi="宋体" w:eastAsia="宋体" w:cs="宋体"/>
          <w:spacing w:val="-3"/>
          <w:sz w:val="24"/>
          <w:szCs w:val="24"/>
        </w:rPr>
        <w:t>3.5.8 投标人须知前附表规定接受联合体投标的，本章第</w:t>
      </w:r>
      <w:r>
        <w:rPr>
          <w:rFonts w:ascii="宋体" w:hAnsi="宋体" w:eastAsia="宋体" w:cs="宋体"/>
          <w:spacing w:val="-35"/>
          <w:sz w:val="24"/>
          <w:szCs w:val="24"/>
        </w:rPr>
        <w:t xml:space="preserve"> </w:t>
      </w:r>
      <w:r>
        <w:rPr>
          <w:rFonts w:ascii="宋体" w:hAnsi="宋体" w:eastAsia="宋体" w:cs="宋体"/>
          <w:spacing w:val="-3"/>
          <w:sz w:val="24"/>
          <w:szCs w:val="24"/>
        </w:rPr>
        <w:t>3.5.1</w:t>
      </w:r>
      <w:r>
        <w:rPr>
          <w:rFonts w:ascii="宋体" w:hAnsi="宋体" w:eastAsia="宋体" w:cs="宋体"/>
          <w:spacing w:val="-47"/>
          <w:sz w:val="24"/>
          <w:szCs w:val="24"/>
        </w:rPr>
        <w:t xml:space="preserve"> </w:t>
      </w:r>
      <w:r>
        <w:rPr>
          <w:rFonts w:ascii="宋体" w:hAnsi="宋体" w:eastAsia="宋体" w:cs="宋体"/>
          <w:spacing w:val="-3"/>
          <w:sz w:val="24"/>
          <w:szCs w:val="24"/>
        </w:rPr>
        <w:t>项至第</w:t>
      </w:r>
      <w:r>
        <w:rPr>
          <w:rFonts w:ascii="宋体" w:hAnsi="宋体" w:eastAsia="宋体" w:cs="宋体"/>
          <w:spacing w:val="-46"/>
          <w:sz w:val="24"/>
          <w:szCs w:val="24"/>
        </w:rPr>
        <w:t xml:space="preserve"> </w:t>
      </w:r>
      <w:r>
        <w:rPr>
          <w:rFonts w:ascii="宋体" w:hAnsi="宋体" w:eastAsia="宋体" w:cs="宋体"/>
          <w:spacing w:val="-3"/>
          <w:sz w:val="24"/>
          <w:szCs w:val="24"/>
        </w:rPr>
        <w:t>3.5.7</w:t>
      </w:r>
      <w:r>
        <w:rPr>
          <w:rFonts w:ascii="宋体" w:hAnsi="宋体" w:eastAsia="宋体" w:cs="宋体"/>
          <w:spacing w:val="-47"/>
          <w:sz w:val="24"/>
          <w:szCs w:val="24"/>
        </w:rPr>
        <w:t xml:space="preserve"> </w:t>
      </w:r>
      <w:r>
        <w:rPr>
          <w:rFonts w:ascii="宋体" w:hAnsi="宋体" w:eastAsia="宋体" w:cs="宋体"/>
          <w:spacing w:val="-3"/>
          <w:sz w:val="24"/>
          <w:szCs w:val="24"/>
        </w:rPr>
        <w:t>项规定的表格和资料应包括联合体各方相关情况。</w:t>
      </w:r>
    </w:p>
    <w:p w14:paraId="64F525BA">
      <w:pPr>
        <w:spacing w:line="360" w:lineRule="auto"/>
        <w:ind w:left="15" w:right="3" w:firstLine="478"/>
        <w:rPr>
          <w:rFonts w:ascii="宋体" w:hAnsi="宋体" w:eastAsia="宋体" w:cs="宋体"/>
          <w:sz w:val="24"/>
          <w:szCs w:val="24"/>
        </w:rPr>
      </w:pPr>
      <w:r>
        <w:rPr>
          <w:rFonts w:ascii="宋体" w:hAnsi="宋体" w:eastAsia="宋体" w:cs="宋体"/>
          <w:spacing w:val="-2"/>
          <w:sz w:val="24"/>
          <w:szCs w:val="24"/>
        </w:rPr>
        <w:t>3.5.9 除合同条款约定的特殊情形外，投标人在投标文件中填报的项目经理和项目</w:t>
      </w:r>
      <w:r>
        <w:rPr>
          <w:rFonts w:ascii="宋体" w:hAnsi="宋体" w:eastAsia="宋体" w:cs="宋体"/>
          <w:spacing w:val="-6"/>
          <w:sz w:val="24"/>
          <w:szCs w:val="24"/>
        </w:rPr>
        <w:t>总工不允许更换。</w:t>
      </w:r>
    </w:p>
    <w:p w14:paraId="6998C8C7">
      <w:pPr>
        <w:spacing w:line="219" w:lineRule="auto"/>
        <w:ind w:right="17"/>
        <w:jc w:val="right"/>
        <w:rPr>
          <w:rFonts w:ascii="宋体" w:hAnsi="宋体" w:eastAsia="宋体" w:cs="宋体"/>
          <w:sz w:val="24"/>
          <w:szCs w:val="24"/>
        </w:rPr>
      </w:pPr>
      <w:r>
        <w:rPr>
          <w:rFonts w:ascii="宋体" w:hAnsi="宋体" w:eastAsia="宋体" w:cs="宋体"/>
          <w:spacing w:val="1"/>
          <w:sz w:val="24"/>
          <w:szCs w:val="24"/>
        </w:rPr>
        <w:t>3.5.10 投标人在投标文件中填报的资质、业绩、主要人员资历和目前在岗情况、</w:t>
      </w:r>
    </w:p>
    <w:p w14:paraId="60AADB03">
      <w:pPr>
        <w:spacing w:before="78" w:line="362" w:lineRule="auto"/>
        <w:ind w:left="12" w:right="66" w:hanging="3"/>
        <w:rPr>
          <w:rFonts w:ascii="宋体" w:hAnsi="宋体" w:eastAsia="宋体" w:cs="宋体"/>
          <w:sz w:val="24"/>
          <w:szCs w:val="24"/>
        </w:rPr>
      </w:pPr>
      <w:r>
        <w:rPr>
          <w:rFonts w:ascii="宋体" w:hAnsi="宋体" w:eastAsia="宋体" w:cs="宋体"/>
          <w:spacing w:val="-2"/>
          <w:sz w:val="24"/>
          <w:szCs w:val="24"/>
        </w:rPr>
        <w:t>信用等级等信息，应与其在交通运输主管部门“公路建设市场监督管理系统”上填报并发布的相关信息一致。投标人应根据本单位实际情况及时完成相关信息的申报、录入和</w:t>
      </w:r>
      <w:r>
        <w:pict>
          <v:shape id="_x0000_s1036" o:spid="_x0000_s1036" o:spt="202" type="#_x0000_t202" style="position:absolute;left:0pt;margin-left:311.25pt;margin-top:-0.05pt;height:9.5pt;width:9.25pt;z-index:251695104;mso-width-relative:page;mso-height-relative:page;" filled="f" stroked="f" coordsize="21600,21600">
            <v:path/>
            <v:fill on="f" focussize="0,0"/>
            <v:stroke on="f"/>
            <v:imagedata o:title=""/>
            <o:lock v:ext="edit" aspectratio="f"/>
            <v:textbox inset="0mm,0mm,0mm,0mm">
              <w:txbxContent>
                <w:p w14:paraId="4C125BD8">
                  <w:pPr>
                    <w:spacing w:before="19" w:line="185" w:lineRule="auto"/>
                    <w:rPr>
                      <w:rFonts w:ascii="宋体" w:hAnsi="宋体" w:eastAsia="宋体" w:cs="宋体"/>
                      <w:sz w:val="15"/>
                      <w:szCs w:val="15"/>
                    </w:rPr>
                  </w:pPr>
                </w:p>
              </w:txbxContent>
            </v:textbox>
          </v:shape>
        </w:pict>
      </w:r>
      <w:r>
        <w:rPr>
          <w:rFonts w:ascii="宋体" w:hAnsi="宋体" w:eastAsia="宋体" w:cs="宋体"/>
          <w:spacing w:val="-2"/>
          <w:sz w:val="24"/>
          <w:szCs w:val="24"/>
        </w:rPr>
        <w:t>动态更新，并对相关信息的真实性、完整性和准确性负责。</w:t>
      </w:r>
    </w:p>
    <w:p w14:paraId="682830BC">
      <w:pPr>
        <w:spacing w:before="239" w:line="360" w:lineRule="auto"/>
        <w:ind w:left="8" w:right="66" w:firstLine="485"/>
        <w:jc w:val="both"/>
        <w:rPr>
          <w:rFonts w:ascii="宋体" w:hAnsi="宋体" w:eastAsia="宋体" w:cs="宋体"/>
          <w:sz w:val="24"/>
          <w:szCs w:val="24"/>
        </w:rPr>
      </w:pPr>
      <w:r>
        <w:rPr>
          <w:rFonts w:ascii="宋体" w:hAnsi="宋体" w:eastAsia="宋体" w:cs="宋体"/>
          <w:spacing w:val="1"/>
          <w:sz w:val="24"/>
          <w:szCs w:val="24"/>
        </w:rPr>
        <w:t>3.5.11 招标人有权核查投标人在资格预审申请文件和投标文件中提供的资料，若</w:t>
      </w:r>
      <w:r>
        <w:rPr>
          <w:rFonts w:ascii="宋体" w:hAnsi="宋体" w:eastAsia="宋体" w:cs="宋体"/>
          <w:spacing w:val="-2"/>
          <w:sz w:val="24"/>
          <w:szCs w:val="24"/>
        </w:rPr>
        <w:t>在评标期间发现投标人提供了虚假资料，其投标将被否决；若在签订合同前发现作为中标候选人的投标人提供了虚假资料，招标人有权取消其中标资格；若在合同实施期间发</w:t>
      </w:r>
      <w:r>
        <w:rPr>
          <w:rFonts w:ascii="宋体" w:hAnsi="宋体" w:eastAsia="宋体" w:cs="宋体"/>
          <w:spacing w:val="-4"/>
          <w:sz w:val="24"/>
          <w:szCs w:val="24"/>
        </w:rPr>
        <w:t>现投标人提供了虚假资料，招标人有权从工程支付款或履约保证金中扣除不超过</w:t>
      </w:r>
      <w:r>
        <w:rPr>
          <w:rFonts w:ascii="宋体" w:hAnsi="宋体" w:eastAsia="宋体" w:cs="宋体"/>
          <w:spacing w:val="-22"/>
          <w:sz w:val="24"/>
          <w:szCs w:val="24"/>
        </w:rPr>
        <w:t xml:space="preserve"> </w:t>
      </w:r>
      <w:r>
        <w:rPr>
          <w:rFonts w:ascii="宋体" w:hAnsi="宋体" w:eastAsia="宋体" w:cs="宋体"/>
          <w:spacing w:val="-4"/>
          <w:sz w:val="24"/>
          <w:szCs w:val="24"/>
        </w:rPr>
        <w:t>10％签</w:t>
      </w:r>
      <w:r>
        <w:rPr>
          <w:rFonts w:ascii="宋体" w:hAnsi="宋体" w:eastAsia="宋体" w:cs="宋体"/>
          <w:spacing w:val="-2"/>
          <w:sz w:val="24"/>
          <w:szCs w:val="24"/>
        </w:rPr>
        <w:t>约合同价的金额作为违约金。同时招标人将投标人上述弄虚作假行为上报省级交通运输主管部门，作为不良记录纳入公路建设市场监督管理系统。</w:t>
      </w:r>
    </w:p>
    <w:p w14:paraId="267C045B">
      <w:pPr>
        <w:spacing w:line="220" w:lineRule="auto"/>
        <w:ind w:left="14"/>
        <w:rPr>
          <w:rFonts w:ascii="宋体" w:hAnsi="宋体" w:eastAsia="宋体" w:cs="宋体"/>
          <w:sz w:val="24"/>
          <w:szCs w:val="24"/>
        </w:rPr>
      </w:pPr>
      <w:r>
        <w:rPr>
          <w:rFonts w:ascii="宋体" w:hAnsi="宋体" w:eastAsia="宋体" w:cs="宋体"/>
          <w:b/>
          <w:bCs/>
          <w:spacing w:val="-3"/>
          <w:sz w:val="24"/>
          <w:szCs w:val="24"/>
        </w:rPr>
        <w:t>3.6</w:t>
      </w:r>
      <w:r>
        <w:rPr>
          <w:rFonts w:ascii="宋体" w:hAnsi="宋体" w:eastAsia="宋体" w:cs="宋体"/>
          <w:spacing w:val="-3"/>
          <w:sz w:val="24"/>
          <w:szCs w:val="24"/>
        </w:rPr>
        <w:t xml:space="preserve"> </w:t>
      </w:r>
      <w:r>
        <w:rPr>
          <w:rFonts w:ascii="宋体" w:hAnsi="宋体" w:eastAsia="宋体" w:cs="宋体"/>
          <w:b/>
          <w:bCs/>
          <w:spacing w:val="-3"/>
          <w:sz w:val="24"/>
          <w:szCs w:val="24"/>
        </w:rPr>
        <w:t>备选投标方案</w:t>
      </w:r>
    </w:p>
    <w:p w14:paraId="229F9293">
      <w:pPr>
        <w:spacing w:before="181" w:line="360" w:lineRule="auto"/>
        <w:ind w:left="10" w:right="66" w:firstLine="483"/>
        <w:rPr>
          <w:rFonts w:ascii="宋体" w:hAnsi="宋体" w:eastAsia="宋体" w:cs="宋体"/>
          <w:sz w:val="24"/>
          <w:szCs w:val="24"/>
        </w:rPr>
      </w:pPr>
      <w:r>
        <w:rPr>
          <w:rFonts w:ascii="宋体" w:hAnsi="宋体" w:eastAsia="宋体" w:cs="宋体"/>
          <w:spacing w:val="-2"/>
          <w:sz w:val="24"/>
          <w:szCs w:val="24"/>
        </w:rPr>
        <w:t>3.6.1 除投标人须知前附表规定允许外，投标人不得递交备选投标方案，否则其投</w:t>
      </w:r>
      <w:r>
        <w:rPr>
          <w:rFonts w:ascii="宋体" w:hAnsi="宋体" w:eastAsia="宋体" w:cs="宋体"/>
          <w:spacing w:val="-7"/>
          <w:sz w:val="24"/>
          <w:szCs w:val="24"/>
        </w:rPr>
        <w:t>标将被否决。</w:t>
      </w:r>
    </w:p>
    <w:p w14:paraId="03CE27AC">
      <w:pPr>
        <w:spacing w:line="360" w:lineRule="auto"/>
        <w:ind w:left="11" w:right="66" w:firstLine="482"/>
        <w:rPr>
          <w:rFonts w:ascii="宋体" w:hAnsi="宋体" w:eastAsia="宋体" w:cs="宋体"/>
          <w:sz w:val="24"/>
          <w:szCs w:val="24"/>
        </w:rPr>
      </w:pPr>
      <w:r>
        <w:rPr>
          <w:rFonts w:ascii="宋体" w:hAnsi="宋体" w:eastAsia="宋体" w:cs="宋体"/>
          <w:spacing w:val="-2"/>
          <w:sz w:val="24"/>
          <w:szCs w:val="24"/>
        </w:rPr>
        <w:t>3.6.2 允许投标人递交备选投标方案的，只有中标人所递交的备选投标方案方可予以考虑。评标委员会认为中标人的备选投标方案优于其按照招标文件要求编制的投标方</w:t>
      </w:r>
      <w:r>
        <w:rPr>
          <w:rFonts w:ascii="宋体" w:hAnsi="宋体" w:eastAsia="宋体" w:cs="宋体"/>
          <w:spacing w:val="-3"/>
          <w:sz w:val="24"/>
          <w:szCs w:val="24"/>
        </w:rPr>
        <w:t>案的，招标人可以接受该备选投标方案。</w:t>
      </w:r>
    </w:p>
    <w:p w14:paraId="2C5075AA">
      <w:pPr>
        <w:spacing w:before="2" w:line="359" w:lineRule="auto"/>
        <w:ind w:left="20" w:right="66" w:firstLine="473"/>
        <w:rPr>
          <w:rFonts w:ascii="宋体" w:hAnsi="宋体" w:eastAsia="宋体" w:cs="宋体"/>
          <w:sz w:val="24"/>
          <w:szCs w:val="24"/>
        </w:rPr>
      </w:pPr>
      <w:r>
        <w:rPr>
          <w:rFonts w:ascii="宋体" w:hAnsi="宋体" w:eastAsia="宋体" w:cs="宋体"/>
          <w:spacing w:val="-2"/>
          <w:sz w:val="24"/>
          <w:szCs w:val="24"/>
        </w:rPr>
        <w:t>3.6.3 投标人提供两个或两个以上投标报价，或在投标文件中提供一个报价，但同</w:t>
      </w:r>
      <w:r>
        <w:rPr>
          <w:rFonts w:ascii="宋体" w:hAnsi="宋体" w:eastAsia="宋体" w:cs="宋体"/>
          <w:spacing w:val="-1"/>
          <w:sz w:val="24"/>
          <w:szCs w:val="24"/>
        </w:rPr>
        <w:t>时提供两个或两个以上施工组织设计</w:t>
      </w:r>
      <w:r>
        <w:rPr>
          <w:rFonts w:ascii="宋体" w:hAnsi="宋体" w:eastAsia="宋体" w:cs="宋体"/>
          <w:spacing w:val="-1"/>
          <w:sz w:val="24"/>
          <w:szCs w:val="24"/>
          <w:u w:val="single" w:color="auto"/>
        </w:rPr>
        <w:t>及承包人项目管</w:t>
      </w:r>
      <w:r>
        <w:rPr>
          <w:rFonts w:ascii="宋体" w:hAnsi="宋体" w:eastAsia="宋体" w:cs="宋体"/>
          <w:spacing w:val="-2"/>
          <w:sz w:val="24"/>
          <w:szCs w:val="24"/>
          <w:u w:val="single" w:color="auto"/>
        </w:rPr>
        <w:t>理方案</w:t>
      </w:r>
      <w:r>
        <w:rPr>
          <w:rFonts w:ascii="宋体" w:hAnsi="宋体" w:eastAsia="宋体" w:cs="宋体"/>
          <w:spacing w:val="-2"/>
          <w:sz w:val="24"/>
          <w:szCs w:val="24"/>
        </w:rPr>
        <w:t>的，视为提供备选方案。</w:t>
      </w:r>
    </w:p>
    <w:p w14:paraId="1E9558EA">
      <w:pPr>
        <w:spacing w:before="1" w:line="219" w:lineRule="auto"/>
        <w:ind w:left="14"/>
        <w:rPr>
          <w:rFonts w:ascii="宋体" w:hAnsi="宋体" w:eastAsia="宋体" w:cs="宋体"/>
          <w:sz w:val="24"/>
          <w:szCs w:val="24"/>
        </w:rPr>
      </w:pPr>
      <w:r>
        <w:rPr>
          <w:rFonts w:ascii="宋体" w:hAnsi="宋体" w:eastAsia="宋体" w:cs="宋体"/>
          <w:b/>
          <w:bCs/>
          <w:spacing w:val="-3"/>
          <w:sz w:val="24"/>
          <w:szCs w:val="24"/>
        </w:rPr>
        <w:t>3.7</w:t>
      </w:r>
      <w:r>
        <w:rPr>
          <w:rFonts w:ascii="宋体" w:hAnsi="宋体" w:eastAsia="宋体" w:cs="宋体"/>
          <w:spacing w:val="-3"/>
          <w:sz w:val="24"/>
          <w:szCs w:val="24"/>
        </w:rPr>
        <w:t xml:space="preserve"> </w:t>
      </w:r>
      <w:r>
        <w:rPr>
          <w:rFonts w:ascii="宋体" w:hAnsi="宋体" w:eastAsia="宋体" w:cs="宋体"/>
          <w:b/>
          <w:bCs/>
          <w:spacing w:val="-3"/>
          <w:sz w:val="24"/>
          <w:szCs w:val="24"/>
        </w:rPr>
        <w:t>投标文件的编制</w:t>
      </w:r>
    </w:p>
    <w:p w14:paraId="2D94586A">
      <w:pPr>
        <w:spacing w:before="182" w:line="360" w:lineRule="auto"/>
        <w:ind w:left="10" w:firstLine="483"/>
        <w:rPr>
          <w:rFonts w:ascii="宋体" w:hAnsi="宋体" w:eastAsia="宋体" w:cs="宋体"/>
          <w:sz w:val="24"/>
          <w:szCs w:val="24"/>
        </w:rPr>
      </w:pPr>
      <w:r>
        <w:rPr>
          <w:rFonts w:ascii="宋体" w:hAnsi="宋体" w:eastAsia="宋体" w:cs="宋体"/>
          <w:spacing w:val="-6"/>
          <w:sz w:val="24"/>
          <w:szCs w:val="24"/>
        </w:rPr>
        <w:t>3.7.1 投标文件应按第九章“投标文件格式”进行编写，如有必要，可以增加附页，作为投标文件的组成部分。其中，</w:t>
      </w:r>
      <w:r>
        <w:rPr>
          <w:rFonts w:ascii="宋体" w:hAnsi="宋体" w:eastAsia="宋体" w:cs="宋体"/>
          <w:spacing w:val="48"/>
          <w:sz w:val="24"/>
          <w:szCs w:val="24"/>
        </w:rPr>
        <w:t xml:space="preserve"> </w:t>
      </w:r>
      <w:r>
        <w:rPr>
          <w:rFonts w:ascii="宋体" w:hAnsi="宋体" w:eastAsia="宋体" w:cs="宋体"/>
          <w:spacing w:val="-6"/>
          <w:sz w:val="24"/>
          <w:szCs w:val="24"/>
        </w:rPr>
        <w:t>投标函附录在满足招标文件实质性要求的基础上，可</w:t>
      </w:r>
      <w:r>
        <w:rPr>
          <w:rFonts w:ascii="宋体" w:hAnsi="宋体" w:eastAsia="宋体" w:cs="宋体"/>
          <w:spacing w:val="-2"/>
          <w:sz w:val="24"/>
          <w:szCs w:val="24"/>
        </w:rPr>
        <w:t>以提出比招标文件要求更有利于招标人的承</w:t>
      </w:r>
      <w:r>
        <w:rPr>
          <w:rFonts w:ascii="宋体" w:hAnsi="宋体" w:eastAsia="宋体" w:cs="宋体"/>
          <w:spacing w:val="-3"/>
          <w:sz w:val="24"/>
          <w:szCs w:val="24"/>
        </w:rPr>
        <w:t>诺。</w:t>
      </w:r>
    </w:p>
    <w:p w14:paraId="72D716CE">
      <w:pPr>
        <w:spacing w:line="360" w:lineRule="auto"/>
        <w:ind w:left="12" w:right="66" w:firstLine="481"/>
        <w:rPr>
          <w:rFonts w:ascii="宋体" w:hAnsi="宋体" w:eastAsia="宋体" w:cs="宋体"/>
          <w:sz w:val="24"/>
          <w:szCs w:val="24"/>
        </w:rPr>
      </w:pPr>
      <w:r>
        <w:rPr>
          <w:rFonts w:ascii="宋体" w:hAnsi="宋体" w:eastAsia="宋体" w:cs="宋体"/>
          <w:spacing w:val="-2"/>
          <w:sz w:val="24"/>
          <w:szCs w:val="24"/>
        </w:rPr>
        <w:t>3.7.2 投标文件应对招标文件有关工期、投标有效期、质量要求、安全目标等实质</w:t>
      </w:r>
      <w:r>
        <w:rPr>
          <w:rFonts w:ascii="宋体" w:hAnsi="宋体" w:eastAsia="宋体" w:cs="宋体"/>
          <w:spacing w:val="-6"/>
          <w:sz w:val="24"/>
          <w:szCs w:val="24"/>
        </w:rPr>
        <w:t>性内容作出响应。</w:t>
      </w:r>
    </w:p>
    <w:p w14:paraId="1A522AF6">
      <w:pPr>
        <w:spacing w:before="1" w:line="219" w:lineRule="auto"/>
        <w:ind w:left="494"/>
        <w:rPr>
          <w:rFonts w:ascii="宋体" w:hAnsi="宋体" w:eastAsia="宋体" w:cs="宋体"/>
          <w:sz w:val="24"/>
          <w:szCs w:val="24"/>
        </w:rPr>
      </w:pPr>
      <w:r>
        <w:rPr>
          <w:rFonts w:ascii="宋体" w:hAnsi="宋体" w:eastAsia="宋体" w:cs="宋体"/>
          <w:spacing w:val="-4"/>
          <w:sz w:val="24"/>
          <w:szCs w:val="24"/>
        </w:rPr>
        <w:t>3.7.3 投标文件的制作应满足以下规定：</w:t>
      </w:r>
    </w:p>
    <w:p w14:paraId="5A810111">
      <w:pPr>
        <w:spacing w:before="183" w:line="360" w:lineRule="auto"/>
        <w:ind w:left="11" w:right="68" w:firstLine="520"/>
        <w:rPr>
          <w:rFonts w:ascii="宋体" w:hAnsi="宋体" w:eastAsia="宋体" w:cs="宋体"/>
          <w:sz w:val="24"/>
          <w:szCs w:val="24"/>
        </w:rPr>
      </w:pPr>
      <w:r>
        <w:rPr>
          <w:rFonts w:ascii="宋体" w:hAnsi="宋体" w:eastAsia="宋体" w:cs="宋体"/>
          <w:sz w:val="24"/>
          <w:szCs w:val="24"/>
        </w:rPr>
        <w:t>(1)投标文件由投标人使用“电子交易平台”自带的“投标文件制作工具”制作生</w:t>
      </w:r>
      <w:r>
        <w:rPr>
          <w:rFonts w:ascii="宋体" w:hAnsi="宋体" w:eastAsia="宋体" w:cs="宋体"/>
          <w:spacing w:val="-12"/>
          <w:sz w:val="24"/>
          <w:szCs w:val="24"/>
        </w:rPr>
        <w:t>成。</w:t>
      </w:r>
    </w:p>
    <w:p w14:paraId="6971156D">
      <w:pPr>
        <w:spacing w:line="219" w:lineRule="auto"/>
        <w:ind w:left="531"/>
        <w:rPr>
          <w:rFonts w:ascii="宋体" w:hAnsi="宋体" w:eastAsia="宋体" w:cs="宋体"/>
          <w:sz w:val="24"/>
          <w:szCs w:val="24"/>
        </w:rPr>
      </w:pPr>
      <w:r>
        <w:rPr>
          <w:rFonts w:ascii="宋体" w:hAnsi="宋体" w:eastAsia="宋体" w:cs="宋体"/>
          <w:spacing w:val="-2"/>
          <w:sz w:val="24"/>
          <w:szCs w:val="24"/>
        </w:rPr>
        <w:t>(2)投标人在编制投标文件时应建立分级目录，并</w:t>
      </w:r>
      <w:r>
        <w:rPr>
          <w:rFonts w:ascii="宋体" w:hAnsi="宋体" w:eastAsia="宋体" w:cs="宋体"/>
          <w:spacing w:val="-3"/>
          <w:sz w:val="24"/>
          <w:szCs w:val="24"/>
        </w:rPr>
        <w:t>按照标签提示导入相关内容。</w:t>
      </w:r>
    </w:p>
    <w:p w14:paraId="78BBF2CD">
      <w:pPr>
        <w:spacing w:before="183" w:line="218" w:lineRule="auto"/>
        <w:ind w:left="531"/>
      </w:pPr>
      <w:r>
        <w:rPr>
          <w:rFonts w:ascii="宋体" w:hAnsi="宋体" w:eastAsia="宋体" w:cs="宋体"/>
          <w:sz w:val="24"/>
          <w:szCs w:val="24"/>
        </w:rPr>
        <w:t>(3)投标文件中的已标价工程量清单数据文件应与招标人提供的工程量清单数据文</w:t>
      </w:r>
    </w:p>
    <w:p w14:paraId="1E38A7BF">
      <w:pPr>
        <w:spacing w:before="78" w:line="220" w:lineRule="auto"/>
        <w:ind w:left="8"/>
        <w:rPr>
          <w:rFonts w:ascii="宋体" w:hAnsi="宋体" w:eastAsia="宋体" w:cs="宋体"/>
          <w:sz w:val="24"/>
          <w:szCs w:val="24"/>
        </w:rPr>
      </w:pPr>
      <w:r>
        <w:rPr>
          <w:rFonts w:ascii="宋体" w:hAnsi="宋体" w:eastAsia="宋体" w:cs="宋体"/>
          <w:spacing w:val="-5"/>
          <w:sz w:val="24"/>
          <w:szCs w:val="24"/>
        </w:rPr>
        <w:t>件格式一致。</w:t>
      </w:r>
    </w:p>
    <w:p w14:paraId="75F22EF8">
      <w:pPr>
        <w:spacing w:before="182" w:line="360" w:lineRule="auto"/>
        <w:ind w:left="8" w:right="82" w:firstLine="523"/>
        <w:rPr>
          <w:rFonts w:ascii="宋体" w:hAnsi="宋体" w:eastAsia="宋体" w:cs="宋体"/>
          <w:sz w:val="24"/>
          <w:szCs w:val="24"/>
        </w:rPr>
      </w:pPr>
      <w:r>
        <w:rPr>
          <w:rFonts w:ascii="宋体" w:hAnsi="宋体" w:eastAsia="宋体" w:cs="宋体"/>
          <w:spacing w:val="-4"/>
          <w:sz w:val="24"/>
          <w:szCs w:val="24"/>
        </w:rPr>
        <w:t>(4)投标文件中需签名（签字）的，投标人应按要求使用个人电子签名章进行签名。</w:t>
      </w:r>
      <w:r>
        <w:rPr>
          <w:rFonts w:ascii="宋体" w:hAnsi="宋体" w:eastAsia="宋体" w:cs="宋体"/>
          <w:spacing w:val="-2"/>
          <w:sz w:val="24"/>
          <w:szCs w:val="24"/>
        </w:rPr>
        <w:t>如投标人法定代表人或其委托代理人或项目经理（以及备选人，如有）、项目总工（以及备选人，如有）未办理个人电子签名章的，投标人应打印需要签名的相关页面，本人</w:t>
      </w:r>
      <w:r>
        <w:rPr>
          <w:rFonts w:ascii="宋体" w:hAnsi="宋体" w:eastAsia="宋体" w:cs="宋体"/>
          <w:spacing w:val="-3"/>
          <w:sz w:val="24"/>
          <w:szCs w:val="24"/>
        </w:rPr>
        <w:t>亲笔签名后扫描上传至投标文件相应位置中。</w:t>
      </w:r>
    </w:p>
    <w:p w14:paraId="4A2B65D9">
      <w:pPr>
        <w:spacing w:before="2" w:line="359" w:lineRule="auto"/>
        <w:ind w:left="11" w:right="167" w:firstLine="520"/>
        <w:rPr>
          <w:rFonts w:ascii="宋体" w:hAnsi="宋体" w:eastAsia="宋体" w:cs="宋体"/>
          <w:sz w:val="24"/>
          <w:szCs w:val="24"/>
        </w:rPr>
      </w:pPr>
      <w:r>
        <w:rPr>
          <w:rFonts w:ascii="宋体" w:hAnsi="宋体" w:eastAsia="宋体" w:cs="宋体"/>
          <w:spacing w:val="-3"/>
          <w:sz w:val="24"/>
          <w:szCs w:val="24"/>
        </w:rPr>
        <w:t>(5)投标文件制作完成后，投标人应使用</w:t>
      </w:r>
      <w:r>
        <w:rPr>
          <w:rFonts w:ascii="宋体" w:hAnsi="宋体" w:eastAsia="宋体" w:cs="宋体"/>
          <w:spacing w:val="-52"/>
          <w:sz w:val="24"/>
          <w:szCs w:val="24"/>
        </w:rPr>
        <w:t xml:space="preserve"> </w:t>
      </w:r>
      <w:r>
        <w:rPr>
          <w:rFonts w:ascii="宋体" w:hAnsi="宋体" w:eastAsia="宋体" w:cs="宋体"/>
          <w:spacing w:val="-3"/>
          <w:sz w:val="24"/>
          <w:szCs w:val="24"/>
        </w:rPr>
        <w:t>CA</w:t>
      </w:r>
      <w:r>
        <w:rPr>
          <w:rFonts w:ascii="宋体" w:hAnsi="宋体" w:eastAsia="宋体" w:cs="宋体"/>
          <w:spacing w:val="-49"/>
          <w:sz w:val="24"/>
          <w:szCs w:val="24"/>
        </w:rPr>
        <w:t xml:space="preserve"> </w:t>
      </w:r>
      <w:r>
        <w:rPr>
          <w:rFonts w:ascii="宋体" w:hAnsi="宋体" w:eastAsia="宋体" w:cs="宋体"/>
          <w:spacing w:val="-3"/>
          <w:sz w:val="24"/>
          <w:szCs w:val="24"/>
        </w:rPr>
        <w:t>数字证书对投标文件进行</w:t>
      </w:r>
      <w:r>
        <w:rPr>
          <w:rFonts w:ascii="宋体" w:hAnsi="宋体" w:eastAsia="宋体" w:cs="宋体"/>
          <w:spacing w:val="-4"/>
          <w:sz w:val="24"/>
          <w:szCs w:val="24"/>
        </w:rPr>
        <w:t>文件加密，形</w:t>
      </w:r>
      <w:r>
        <w:rPr>
          <w:rFonts w:ascii="宋体" w:hAnsi="宋体" w:eastAsia="宋体" w:cs="宋体"/>
          <w:spacing w:val="-5"/>
          <w:sz w:val="24"/>
          <w:szCs w:val="24"/>
        </w:rPr>
        <w:t>成加密的投标文件。</w:t>
      </w:r>
    </w:p>
    <w:p w14:paraId="189B9BFE">
      <w:pPr>
        <w:spacing w:line="360" w:lineRule="auto"/>
        <w:ind w:left="10" w:right="167" w:firstLine="483"/>
        <w:jc w:val="both"/>
        <w:rPr>
          <w:rFonts w:ascii="宋体" w:hAnsi="宋体" w:eastAsia="宋体" w:cs="宋体"/>
          <w:sz w:val="24"/>
          <w:szCs w:val="24"/>
        </w:rPr>
      </w:pPr>
      <w:r>
        <w:rPr>
          <w:rFonts w:ascii="宋体" w:hAnsi="宋体" w:eastAsia="宋体" w:cs="宋体"/>
          <w:spacing w:val="-2"/>
          <w:sz w:val="24"/>
          <w:szCs w:val="24"/>
        </w:rPr>
        <w:t>3.7.4 因投标人自身原因而导致投标文件无法导入“电子交易平台”电子开标、评标系统，该投标视为无效投标，投标人自行承担由此导致的全部责任。投标文件其他要</w:t>
      </w:r>
      <w:r>
        <w:rPr>
          <w:rFonts w:ascii="宋体" w:hAnsi="宋体" w:eastAsia="宋体" w:cs="宋体"/>
          <w:spacing w:val="-4"/>
          <w:sz w:val="24"/>
          <w:szCs w:val="24"/>
        </w:rPr>
        <w:t>求见投标人须知前附表。</w:t>
      </w:r>
    </w:p>
    <w:p w14:paraId="2DB60949">
      <w:pPr>
        <w:spacing w:line="220" w:lineRule="auto"/>
        <w:ind w:left="8"/>
        <w:rPr>
          <w:rFonts w:ascii="宋体" w:hAnsi="宋体" w:eastAsia="宋体" w:cs="宋体"/>
          <w:sz w:val="24"/>
          <w:szCs w:val="24"/>
        </w:rPr>
      </w:pPr>
      <w:r>
        <w:rPr>
          <w:rFonts w:ascii="宋体" w:hAnsi="宋体" w:eastAsia="宋体" w:cs="宋体"/>
          <w:b/>
          <w:bCs/>
          <w:spacing w:val="-6"/>
          <w:sz w:val="24"/>
          <w:szCs w:val="24"/>
        </w:rPr>
        <w:t>4.</w:t>
      </w:r>
      <w:r>
        <w:rPr>
          <w:rFonts w:ascii="宋体" w:hAnsi="宋体" w:eastAsia="宋体" w:cs="宋体"/>
          <w:spacing w:val="13"/>
          <w:sz w:val="24"/>
          <w:szCs w:val="24"/>
        </w:rPr>
        <w:t xml:space="preserve"> </w:t>
      </w:r>
      <w:r>
        <w:rPr>
          <w:rFonts w:ascii="宋体" w:hAnsi="宋体" w:eastAsia="宋体" w:cs="宋体"/>
          <w:b/>
          <w:bCs/>
          <w:spacing w:val="-6"/>
          <w:sz w:val="24"/>
          <w:szCs w:val="24"/>
        </w:rPr>
        <w:t>投标</w:t>
      </w:r>
    </w:p>
    <w:p w14:paraId="54B183D2">
      <w:pPr>
        <w:spacing w:before="181" w:line="220" w:lineRule="auto"/>
        <w:ind w:left="8"/>
        <w:rPr>
          <w:rFonts w:ascii="宋体" w:hAnsi="宋体" w:eastAsia="宋体" w:cs="宋体"/>
          <w:sz w:val="24"/>
          <w:szCs w:val="24"/>
        </w:rPr>
      </w:pPr>
      <w:r>
        <w:rPr>
          <w:rFonts w:ascii="宋体" w:hAnsi="宋体" w:eastAsia="宋体" w:cs="宋体"/>
          <w:b/>
          <w:bCs/>
          <w:spacing w:val="-3"/>
          <w:sz w:val="24"/>
          <w:szCs w:val="24"/>
        </w:rPr>
        <w:t>4.1</w:t>
      </w:r>
      <w:r>
        <w:rPr>
          <w:rFonts w:ascii="宋体" w:hAnsi="宋体" w:eastAsia="宋体" w:cs="宋体"/>
          <w:spacing w:val="-3"/>
          <w:sz w:val="24"/>
          <w:szCs w:val="24"/>
        </w:rPr>
        <w:t xml:space="preserve"> </w:t>
      </w:r>
      <w:r>
        <w:rPr>
          <w:rFonts w:ascii="宋体" w:hAnsi="宋体" w:eastAsia="宋体" w:cs="宋体"/>
          <w:b/>
          <w:bCs/>
          <w:spacing w:val="-3"/>
          <w:sz w:val="24"/>
          <w:szCs w:val="24"/>
        </w:rPr>
        <w:t>投标文件的加密</w:t>
      </w:r>
    </w:p>
    <w:p w14:paraId="52A39008">
      <w:pPr>
        <w:spacing w:before="182" w:line="360" w:lineRule="auto"/>
        <w:ind w:left="11" w:right="167" w:firstLine="480"/>
        <w:rPr>
          <w:rFonts w:ascii="宋体" w:hAnsi="宋体" w:eastAsia="宋体" w:cs="宋体"/>
          <w:sz w:val="24"/>
          <w:szCs w:val="24"/>
        </w:rPr>
      </w:pPr>
      <w:r>
        <w:rPr>
          <w:rFonts w:ascii="宋体" w:hAnsi="宋体" w:eastAsia="宋体" w:cs="宋体"/>
          <w:spacing w:val="-2"/>
          <w:sz w:val="24"/>
          <w:szCs w:val="24"/>
        </w:rPr>
        <w:t>投标文件应按照本章第</w:t>
      </w:r>
      <w:r>
        <w:rPr>
          <w:rFonts w:ascii="宋体" w:hAnsi="宋体" w:eastAsia="宋体" w:cs="宋体"/>
          <w:spacing w:val="-46"/>
          <w:sz w:val="24"/>
          <w:szCs w:val="24"/>
        </w:rPr>
        <w:t xml:space="preserve"> </w:t>
      </w:r>
      <w:r>
        <w:rPr>
          <w:rFonts w:ascii="宋体" w:hAnsi="宋体" w:eastAsia="宋体" w:cs="宋体"/>
          <w:spacing w:val="-2"/>
          <w:sz w:val="24"/>
          <w:szCs w:val="24"/>
        </w:rPr>
        <w:t>3.7.3</w:t>
      </w:r>
      <w:r>
        <w:rPr>
          <w:rFonts w:ascii="宋体" w:hAnsi="宋体" w:eastAsia="宋体" w:cs="宋体"/>
          <w:spacing w:val="-47"/>
          <w:sz w:val="24"/>
          <w:szCs w:val="24"/>
        </w:rPr>
        <w:t xml:space="preserve"> </w:t>
      </w:r>
      <w:r>
        <w:rPr>
          <w:rFonts w:ascii="宋体" w:hAnsi="宋体" w:eastAsia="宋体" w:cs="宋体"/>
          <w:spacing w:val="-2"/>
          <w:sz w:val="24"/>
          <w:szCs w:val="24"/>
        </w:rPr>
        <w:t>项要求制作并加密，未</w:t>
      </w:r>
      <w:r>
        <w:rPr>
          <w:rFonts w:ascii="宋体" w:hAnsi="宋体" w:eastAsia="宋体" w:cs="宋体"/>
          <w:spacing w:val="-3"/>
          <w:sz w:val="24"/>
          <w:szCs w:val="24"/>
        </w:rPr>
        <w:t>按要求加密的投标文件，招标人（“电子交易平台”）将拒绝接收并提示。</w:t>
      </w:r>
    </w:p>
    <w:p w14:paraId="3364E580">
      <w:pPr>
        <w:spacing w:before="1" w:line="219" w:lineRule="auto"/>
        <w:ind w:left="8"/>
        <w:rPr>
          <w:rFonts w:ascii="宋体" w:hAnsi="宋体" w:eastAsia="宋体" w:cs="宋体"/>
          <w:sz w:val="24"/>
          <w:szCs w:val="24"/>
        </w:rPr>
      </w:pPr>
      <w:r>
        <w:rPr>
          <w:rFonts w:ascii="宋体" w:hAnsi="宋体" w:eastAsia="宋体" w:cs="宋体"/>
          <w:b/>
          <w:bCs/>
          <w:spacing w:val="-3"/>
          <w:sz w:val="24"/>
          <w:szCs w:val="24"/>
        </w:rPr>
        <w:t>4.2</w:t>
      </w:r>
      <w:r>
        <w:rPr>
          <w:rFonts w:ascii="宋体" w:hAnsi="宋体" w:eastAsia="宋体" w:cs="宋体"/>
          <w:spacing w:val="-3"/>
          <w:sz w:val="24"/>
          <w:szCs w:val="24"/>
        </w:rPr>
        <w:t xml:space="preserve"> </w:t>
      </w:r>
      <w:r>
        <w:rPr>
          <w:rFonts w:ascii="宋体" w:hAnsi="宋体" w:eastAsia="宋体" w:cs="宋体"/>
          <w:b/>
          <w:bCs/>
          <w:spacing w:val="-3"/>
          <w:sz w:val="24"/>
          <w:szCs w:val="24"/>
        </w:rPr>
        <w:t>投标文件的递交</w:t>
      </w:r>
    </w:p>
    <w:p w14:paraId="71385EFD">
      <w:pPr>
        <w:spacing w:before="183" w:line="360" w:lineRule="auto"/>
        <w:ind w:left="11" w:right="167" w:firstLine="477"/>
        <w:rPr>
          <w:rFonts w:ascii="宋体" w:hAnsi="宋体" w:eastAsia="宋体" w:cs="宋体"/>
          <w:sz w:val="24"/>
          <w:szCs w:val="24"/>
        </w:rPr>
      </w:pPr>
      <w:r>
        <w:rPr>
          <w:rFonts w:ascii="宋体" w:hAnsi="宋体" w:eastAsia="宋体" w:cs="宋体"/>
          <w:spacing w:val="-3"/>
          <w:sz w:val="24"/>
          <w:szCs w:val="24"/>
        </w:rPr>
        <w:t>4.2.1 投标人应在第一章“招标公告”规定的投标截止时间前，通过互联</w:t>
      </w:r>
      <w:r>
        <w:rPr>
          <w:rFonts w:ascii="宋体" w:hAnsi="宋体" w:eastAsia="宋体" w:cs="宋体"/>
          <w:spacing w:val="-4"/>
          <w:sz w:val="24"/>
          <w:szCs w:val="24"/>
        </w:rPr>
        <w:t>网使用</w:t>
      </w:r>
      <w:r>
        <w:rPr>
          <w:rFonts w:ascii="宋体" w:hAnsi="宋体" w:eastAsia="宋体" w:cs="宋体"/>
          <w:spacing w:val="-53"/>
          <w:sz w:val="24"/>
          <w:szCs w:val="24"/>
        </w:rPr>
        <w:t xml:space="preserve"> </w:t>
      </w:r>
      <w:r>
        <w:rPr>
          <w:rFonts w:ascii="宋体" w:hAnsi="宋体" w:eastAsia="宋体" w:cs="宋体"/>
          <w:spacing w:val="-4"/>
          <w:sz w:val="24"/>
          <w:szCs w:val="24"/>
        </w:rPr>
        <w:t>CA</w:t>
      </w:r>
      <w:r>
        <w:rPr>
          <w:rFonts w:ascii="宋体" w:hAnsi="宋体" w:eastAsia="宋体" w:cs="宋体"/>
          <w:spacing w:val="-2"/>
          <w:sz w:val="24"/>
          <w:szCs w:val="24"/>
        </w:rPr>
        <w:t>数字证书登录“电子交易平台”，将加密的投标文件上传，并保存上传成功后系统自动生成的电子签收凭证，递交时间即为电子签收凭证时间。</w:t>
      </w:r>
    </w:p>
    <w:p w14:paraId="7B8B21CC">
      <w:pPr>
        <w:spacing w:line="360" w:lineRule="auto"/>
        <w:ind w:left="10" w:right="167" w:firstLine="478"/>
        <w:rPr>
          <w:rFonts w:ascii="宋体" w:hAnsi="宋体" w:eastAsia="宋体" w:cs="宋体"/>
          <w:sz w:val="24"/>
          <w:szCs w:val="24"/>
        </w:rPr>
      </w:pPr>
      <w:r>
        <w:rPr>
          <w:rFonts w:ascii="宋体" w:hAnsi="宋体" w:eastAsia="宋体" w:cs="宋体"/>
          <w:spacing w:val="-1"/>
          <w:sz w:val="24"/>
          <w:szCs w:val="24"/>
        </w:rPr>
        <w:t>4.2.2 投标人应充分考虑上传文件时的</w:t>
      </w:r>
      <w:r>
        <w:rPr>
          <w:rFonts w:ascii="宋体" w:hAnsi="宋体" w:eastAsia="宋体" w:cs="宋体"/>
          <w:spacing w:val="-2"/>
          <w:sz w:val="24"/>
          <w:szCs w:val="24"/>
        </w:rPr>
        <w:t>不可预见因素，未在投标截止时间前完成电</w:t>
      </w:r>
      <w:r>
        <w:rPr>
          <w:rFonts w:ascii="宋体" w:hAnsi="宋体" w:eastAsia="宋体" w:cs="宋体"/>
          <w:spacing w:val="-1"/>
          <w:sz w:val="24"/>
          <w:szCs w:val="24"/>
        </w:rPr>
        <w:t>子投标文件上传的，视为逾期送达，招标人（“电子交易</w:t>
      </w:r>
      <w:r>
        <w:rPr>
          <w:rFonts w:ascii="宋体" w:hAnsi="宋体" w:eastAsia="宋体" w:cs="宋体"/>
          <w:spacing w:val="-2"/>
          <w:sz w:val="24"/>
          <w:szCs w:val="24"/>
        </w:rPr>
        <w:t>平台”）将拒绝接收。</w:t>
      </w:r>
    </w:p>
    <w:p w14:paraId="3CB5C1BC">
      <w:pPr>
        <w:spacing w:line="219" w:lineRule="auto"/>
        <w:ind w:left="488"/>
        <w:rPr>
          <w:rFonts w:ascii="宋体" w:hAnsi="宋体" w:eastAsia="宋体" w:cs="宋体"/>
          <w:sz w:val="24"/>
          <w:szCs w:val="24"/>
        </w:rPr>
      </w:pPr>
      <w:r>
        <w:rPr>
          <w:rFonts w:ascii="宋体" w:hAnsi="宋体" w:eastAsia="宋体" w:cs="宋体"/>
          <w:spacing w:val="-2"/>
          <w:sz w:val="24"/>
          <w:szCs w:val="24"/>
        </w:rPr>
        <w:t>4.2.3 投标人所递交的电子投标文件不予退还。</w:t>
      </w:r>
    </w:p>
    <w:p w14:paraId="62489451">
      <w:pPr>
        <w:spacing w:before="183" w:line="219" w:lineRule="auto"/>
        <w:ind w:left="488"/>
        <w:rPr>
          <w:rFonts w:ascii="宋体" w:hAnsi="宋体" w:eastAsia="宋体" w:cs="宋体"/>
          <w:sz w:val="24"/>
          <w:szCs w:val="24"/>
        </w:rPr>
      </w:pPr>
      <w:r>
        <w:rPr>
          <w:rFonts w:ascii="宋体" w:hAnsi="宋体" w:eastAsia="宋体" w:cs="宋体"/>
          <w:spacing w:val="-2"/>
          <w:sz w:val="24"/>
          <w:szCs w:val="24"/>
        </w:rPr>
        <w:t>4.2.4</w:t>
      </w:r>
      <w:r>
        <w:rPr>
          <w:rFonts w:ascii="宋体" w:hAnsi="宋体" w:eastAsia="宋体" w:cs="宋体"/>
          <w:spacing w:val="-47"/>
          <w:sz w:val="24"/>
          <w:szCs w:val="24"/>
        </w:rPr>
        <w:t xml:space="preserve"> </w:t>
      </w:r>
      <w:r>
        <w:rPr>
          <w:rFonts w:ascii="宋体" w:hAnsi="宋体" w:eastAsia="宋体" w:cs="宋体"/>
          <w:spacing w:val="-2"/>
          <w:sz w:val="24"/>
          <w:szCs w:val="24"/>
        </w:rPr>
        <w:t>逾期到达或者未到达的投标文件视为放弃本次投标。</w:t>
      </w:r>
    </w:p>
    <w:p w14:paraId="06790DA1">
      <w:pPr>
        <w:spacing w:before="183" w:line="360" w:lineRule="auto"/>
        <w:ind w:left="10" w:firstLine="478"/>
        <w:rPr>
          <w:rFonts w:ascii="宋体" w:hAnsi="宋体" w:eastAsia="宋体" w:cs="宋体"/>
          <w:sz w:val="24"/>
          <w:szCs w:val="24"/>
        </w:rPr>
      </w:pPr>
      <w:r>
        <w:rPr>
          <w:rFonts w:ascii="宋体" w:hAnsi="宋体" w:eastAsia="宋体" w:cs="宋体"/>
          <w:spacing w:val="3"/>
          <w:sz w:val="24"/>
          <w:szCs w:val="24"/>
        </w:rPr>
        <w:t>4.2.5 在特殊情况下，招标人如果决定延后投标截止时间，应在“</w:t>
      </w:r>
      <w:r>
        <w:rPr>
          <w:rFonts w:ascii="宋体" w:hAnsi="宋体" w:eastAsia="宋体" w:cs="宋体"/>
          <w:spacing w:val="2"/>
          <w:sz w:val="24"/>
          <w:szCs w:val="24"/>
        </w:rPr>
        <w:t>电子交易平台”</w:t>
      </w:r>
      <w:r>
        <w:rPr>
          <w:rFonts w:ascii="宋体" w:hAnsi="宋体" w:eastAsia="宋体" w:cs="宋体"/>
          <w:spacing w:val="-5"/>
          <w:sz w:val="24"/>
          <w:szCs w:val="24"/>
        </w:rPr>
        <w:t>以补遗书的形式通知所有投标人延后投标截止时间。在此情况下， 招标人和投标人的权</w:t>
      </w:r>
      <w:r>
        <w:rPr>
          <w:rFonts w:ascii="宋体" w:hAnsi="宋体" w:eastAsia="宋体" w:cs="宋体"/>
          <w:spacing w:val="-3"/>
          <w:sz w:val="24"/>
          <w:szCs w:val="24"/>
        </w:rPr>
        <w:t>利和义务相应延后至新的投标截止时间。</w:t>
      </w:r>
    </w:p>
    <w:p w14:paraId="57C8E745">
      <w:pPr>
        <w:spacing w:before="1" w:line="219" w:lineRule="auto"/>
        <w:ind w:left="8"/>
        <w:rPr>
          <w:rFonts w:ascii="宋体" w:hAnsi="宋体" w:eastAsia="宋体" w:cs="宋体"/>
          <w:sz w:val="24"/>
          <w:szCs w:val="24"/>
        </w:rPr>
      </w:pPr>
      <w:r>
        <w:rPr>
          <w:rFonts w:ascii="宋体" w:hAnsi="宋体" w:eastAsia="宋体" w:cs="宋体"/>
          <w:b/>
          <w:bCs/>
          <w:spacing w:val="-3"/>
          <w:sz w:val="24"/>
          <w:szCs w:val="24"/>
        </w:rPr>
        <w:t>4.3</w:t>
      </w:r>
      <w:r>
        <w:rPr>
          <w:rFonts w:ascii="宋体" w:hAnsi="宋体" w:eastAsia="宋体" w:cs="宋体"/>
          <w:spacing w:val="-3"/>
          <w:sz w:val="24"/>
          <w:szCs w:val="24"/>
        </w:rPr>
        <w:t xml:space="preserve"> </w:t>
      </w:r>
      <w:r>
        <w:rPr>
          <w:rFonts w:ascii="宋体" w:hAnsi="宋体" w:eastAsia="宋体" w:cs="宋体"/>
          <w:b/>
          <w:bCs/>
          <w:spacing w:val="-3"/>
          <w:sz w:val="24"/>
          <w:szCs w:val="24"/>
        </w:rPr>
        <w:t>投标文件的修改与撤回</w:t>
      </w:r>
    </w:p>
    <w:p w14:paraId="3F30E2FD">
      <w:pPr>
        <w:spacing w:before="182" w:line="360" w:lineRule="auto"/>
        <w:ind w:left="8" w:right="167" w:firstLine="480"/>
        <w:rPr>
          <w:rFonts w:ascii="宋体" w:hAnsi="宋体" w:eastAsia="宋体" w:cs="宋体"/>
          <w:sz w:val="24"/>
          <w:szCs w:val="24"/>
        </w:rPr>
      </w:pPr>
      <w:r>
        <w:rPr>
          <w:rFonts w:ascii="宋体" w:hAnsi="宋体" w:eastAsia="宋体" w:cs="宋体"/>
          <w:spacing w:val="-2"/>
          <w:sz w:val="24"/>
          <w:szCs w:val="24"/>
        </w:rPr>
        <w:t>4.3.1 在本章第</w:t>
      </w:r>
      <w:r>
        <w:rPr>
          <w:rFonts w:ascii="宋体" w:hAnsi="宋体" w:eastAsia="宋体" w:cs="宋体"/>
          <w:spacing w:val="-49"/>
          <w:sz w:val="24"/>
          <w:szCs w:val="24"/>
        </w:rPr>
        <w:t xml:space="preserve"> </w:t>
      </w:r>
      <w:r>
        <w:rPr>
          <w:rFonts w:ascii="宋体" w:hAnsi="宋体" w:eastAsia="宋体" w:cs="宋体"/>
          <w:spacing w:val="-2"/>
          <w:sz w:val="24"/>
          <w:szCs w:val="24"/>
        </w:rPr>
        <w:t>4.2.1</w:t>
      </w:r>
      <w:r>
        <w:rPr>
          <w:rFonts w:ascii="宋体" w:hAnsi="宋体" w:eastAsia="宋体" w:cs="宋体"/>
          <w:spacing w:val="-47"/>
          <w:sz w:val="24"/>
          <w:szCs w:val="24"/>
        </w:rPr>
        <w:t xml:space="preserve"> </w:t>
      </w:r>
      <w:r>
        <w:rPr>
          <w:rFonts w:ascii="宋体" w:hAnsi="宋体" w:eastAsia="宋体" w:cs="宋体"/>
          <w:spacing w:val="-2"/>
          <w:sz w:val="24"/>
          <w:szCs w:val="24"/>
        </w:rPr>
        <w:t>项规定的投标截止时间前，投标人可以修改或撤回已递交的</w:t>
      </w:r>
      <w:r>
        <w:rPr>
          <w:rFonts w:ascii="宋体" w:hAnsi="宋体" w:eastAsia="宋体" w:cs="宋体"/>
          <w:spacing w:val="-6"/>
          <w:sz w:val="24"/>
          <w:szCs w:val="24"/>
        </w:rPr>
        <w:t>投标文件。投标人对加密的投标文件进行撤回的，</w:t>
      </w:r>
      <w:r>
        <w:rPr>
          <w:rFonts w:ascii="宋体" w:hAnsi="宋体" w:eastAsia="宋体" w:cs="宋体"/>
          <w:spacing w:val="50"/>
          <w:sz w:val="24"/>
          <w:szCs w:val="24"/>
        </w:rPr>
        <w:t xml:space="preserve"> </w:t>
      </w:r>
      <w:r>
        <w:rPr>
          <w:rFonts w:ascii="宋体" w:hAnsi="宋体" w:eastAsia="宋体" w:cs="宋体"/>
          <w:spacing w:val="-6"/>
          <w:sz w:val="24"/>
          <w:szCs w:val="24"/>
        </w:rPr>
        <w:t>应在“电子交易平台”直接进行撤回</w:t>
      </w:r>
      <w:r>
        <w:rPr>
          <w:rFonts w:ascii="宋体" w:hAnsi="宋体" w:eastAsia="宋体" w:cs="宋体"/>
          <w:spacing w:val="-1"/>
          <w:sz w:val="24"/>
          <w:szCs w:val="24"/>
        </w:rPr>
        <w:t>操作；投标人对加密的投标文件进行修改的，应在投标截</w:t>
      </w:r>
      <w:r>
        <w:rPr>
          <w:rFonts w:ascii="宋体" w:hAnsi="宋体" w:eastAsia="宋体" w:cs="宋体"/>
          <w:spacing w:val="-2"/>
          <w:sz w:val="24"/>
          <w:szCs w:val="24"/>
        </w:rPr>
        <w:t>止时间前完成上传。</w:t>
      </w:r>
    </w:p>
    <w:p w14:paraId="75B5E02C">
      <w:pPr>
        <w:pStyle w:val="2"/>
        <w:spacing w:line="268" w:lineRule="auto"/>
        <w:ind w:firstLine="480" w:firstLineChars="200"/>
        <w:rPr>
          <w:rFonts w:ascii="宋体" w:hAnsi="宋体" w:eastAsia="宋体" w:cs="宋体"/>
          <w:sz w:val="24"/>
          <w:szCs w:val="24"/>
        </w:rPr>
      </w:pPr>
      <w:r>
        <w:rPr>
          <w:rFonts w:ascii="宋体" w:hAnsi="宋体" w:eastAsia="宋体" w:cs="宋体"/>
          <w:sz w:val="24"/>
          <w:szCs w:val="24"/>
        </w:rPr>
        <w:t>4.3.2</w:t>
      </w:r>
      <w:r>
        <w:rPr>
          <w:rFonts w:ascii="宋体" w:hAnsi="宋体" w:eastAsia="宋体" w:cs="宋体"/>
          <w:spacing w:val="-47"/>
          <w:sz w:val="24"/>
          <w:szCs w:val="24"/>
        </w:rPr>
        <w:t xml:space="preserve"> </w:t>
      </w:r>
      <w:r>
        <w:rPr>
          <w:rFonts w:ascii="宋体" w:hAnsi="宋体" w:eastAsia="宋体" w:cs="宋体"/>
          <w:sz w:val="24"/>
          <w:szCs w:val="24"/>
        </w:rPr>
        <w:t>投标人修改投标文件的，应使用“投标文件制</w:t>
      </w:r>
      <w:r>
        <w:rPr>
          <w:rFonts w:ascii="宋体" w:hAnsi="宋体" w:eastAsia="宋体" w:cs="宋体"/>
          <w:spacing w:val="-1"/>
          <w:sz w:val="24"/>
          <w:szCs w:val="24"/>
        </w:rPr>
        <w:t>作工具”制作成完整的投标文</w:t>
      </w:r>
      <w:r>
        <w:rPr>
          <w:rFonts w:ascii="宋体" w:hAnsi="宋体" w:eastAsia="宋体" w:cs="宋体"/>
          <w:spacing w:val="-3"/>
          <w:sz w:val="24"/>
          <w:szCs w:val="24"/>
        </w:rPr>
        <w:t>件，并按照本章第</w:t>
      </w:r>
      <w:r>
        <w:rPr>
          <w:rFonts w:ascii="宋体" w:hAnsi="宋体" w:eastAsia="宋体" w:cs="宋体"/>
          <w:spacing w:val="-35"/>
          <w:sz w:val="24"/>
          <w:szCs w:val="24"/>
        </w:rPr>
        <w:t xml:space="preserve"> </w:t>
      </w:r>
      <w:r>
        <w:rPr>
          <w:rFonts w:ascii="宋体" w:hAnsi="宋体" w:eastAsia="宋体" w:cs="宋体"/>
          <w:spacing w:val="-3"/>
          <w:sz w:val="24"/>
          <w:szCs w:val="24"/>
        </w:rPr>
        <w:t>3</w:t>
      </w:r>
      <w:r>
        <w:rPr>
          <w:rFonts w:ascii="宋体" w:hAnsi="宋体" w:eastAsia="宋体" w:cs="宋体"/>
          <w:spacing w:val="-49"/>
          <w:sz w:val="24"/>
          <w:szCs w:val="24"/>
        </w:rPr>
        <w:t xml:space="preserve"> </w:t>
      </w:r>
      <w:r>
        <w:rPr>
          <w:rFonts w:ascii="宋体" w:hAnsi="宋体" w:eastAsia="宋体" w:cs="宋体"/>
          <w:spacing w:val="-3"/>
          <w:sz w:val="24"/>
          <w:szCs w:val="24"/>
        </w:rPr>
        <w:t>条、第</w:t>
      </w:r>
      <w:r>
        <w:rPr>
          <w:rFonts w:ascii="宋体" w:hAnsi="宋体" w:eastAsia="宋体" w:cs="宋体"/>
          <w:spacing w:val="-51"/>
          <w:sz w:val="24"/>
          <w:szCs w:val="24"/>
        </w:rPr>
        <w:t xml:space="preserve"> </w:t>
      </w:r>
      <w:r>
        <w:rPr>
          <w:rFonts w:ascii="宋体" w:hAnsi="宋体" w:eastAsia="宋体" w:cs="宋体"/>
          <w:spacing w:val="-3"/>
          <w:sz w:val="24"/>
          <w:szCs w:val="24"/>
        </w:rPr>
        <w:t>4</w:t>
      </w:r>
      <w:r>
        <w:rPr>
          <w:rFonts w:ascii="宋体" w:hAnsi="宋体" w:eastAsia="宋体" w:cs="宋体"/>
          <w:spacing w:val="-49"/>
          <w:sz w:val="24"/>
          <w:szCs w:val="24"/>
        </w:rPr>
        <w:t xml:space="preserve"> </w:t>
      </w:r>
      <w:r>
        <w:rPr>
          <w:rFonts w:ascii="宋体" w:hAnsi="宋体" w:eastAsia="宋体" w:cs="宋体"/>
          <w:spacing w:val="-3"/>
          <w:sz w:val="24"/>
          <w:szCs w:val="24"/>
        </w:rPr>
        <w:t>条规定进行编制、加密和递交。对采用网上递交的加密的</w:t>
      </w:r>
      <w:r>
        <w:rPr>
          <w:rFonts w:ascii="宋体" w:hAnsi="宋体" w:eastAsia="宋体" w:cs="宋体"/>
          <w:spacing w:val="-2"/>
          <w:sz w:val="24"/>
          <w:szCs w:val="24"/>
        </w:rPr>
        <w:t>投标文件，以投标截止时间前最后完成上传的文件为准。</w:t>
      </w:r>
    </w:p>
    <w:p w14:paraId="175FA1FF">
      <w:pPr>
        <w:spacing w:before="2" w:line="359" w:lineRule="auto"/>
        <w:ind w:left="17" w:right="32" w:firstLine="470"/>
        <w:rPr>
          <w:rFonts w:ascii="宋体" w:hAnsi="宋体" w:eastAsia="宋体" w:cs="宋体"/>
          <w:sz w:val="24"/>
          <w:szCs w:val="24"/>
        </w:rPr>
      </w:pPr>
      <w:r>
        <w:rPr>
          <w:rFonts w:ascii="宋体" w:hAnsi="宋体" w:eastAsia="宋体" w:cs="宋体"/>
          <w:spacing w:val="-3"/>
          <w:sz w:val="24"/>
          <w:szCs w:val="24"/>
        </w:rPr>
        <w:t>4.3.3 投标人撤回投标文件的，招标人自收到投标人撤回</w:t>
      </w:r>
      <w:r>
        <w:rPr>
          <w:rFonts w:ascii="宋体" w:hAnsi="宋体" w:eastAsia="宋体" w:cs="宋体"/>
          <w:spacing w:val="-4"/>
          <w:sz w:val="24"/>
          <w:szCs w:val="24"/>
        </w:rPr>
        <w:t>通知之日起</w:t>
      </w:r>
      <w:r>
        <w:rPr>
          <w:rFonts w:ascii="宋体" w:hAnsi="宋体" w:eastAsia="宋体" w:cs="宋体"/>
          <w:spacing w:val="-46"/>
          <w:sz w:val="24"/>
          <w:szCs w:val="24"/>
        </w:rPr>
        <w:t xml:space="preserve"> </w:t>
      </w:r>
      <w:r>
        <w:rPr>
          <w:rFonts w:ascii="宋体" w:hAnsi="宋体" w:eastAsia="宋体" w:cs="宋体"/>
          <w:spacing w:val="-4"/>
          <w:sz w:val="24"/>
          <w:szCs w:val="24"/>
        </w:rPr>
        <w:t>5 日内退还已</w:t>
      </w:r>
      <w:r>
        <w:rPr>
          <w:rFonts w:ascii="宋体" w:hAnsi="宋体" w:eastAsia="宋体" w:cs="宋体"/>
          <w:spacing w:val="-6"/>
          <w:sz w:val="24"/>
          <w:szCs w:val="24"/>
        </w:rPr>
        <w:t>收取的投标保证金。</w:t>
      </w:r>
    </w:p>
    <w:p w14:paraId="0D14AC6A">
      <w:pPr>
        <w:spacing w:line="220" w:lineRule="auto"/>
        <w:ind w:left="14"/>
        <w:rPr>
          <w:rFonts w:ascii="宋体" w:hAnsi="宋体" w:eastAsia="宋体" w:cs="宋体"/>
          <w:sz w:val="24"/>
          <w:szCs w:val="24"/>
        </w:rPr>
      </w:pPr>
      <w:r>
        <w:rPr>
          <w:rFonts w:ascii="宋体" w:hAnsi="宋体" w:eastAsia="宋体" w:cs="宋体"/>
          <w:b/>
          <w:bCs/>
          <w:spacing w:val="-7"/>
          <w:sz w:val="24"/>
          <w:szCs w:val="24"/>
        </w:rPr>
        <w:t>5.</w:t>
      </w:r>
      <w:r>
        <w:rPr>
          <w:rFonts w:ascii="宋体" w:hAnsi="宋体" w:eastAsia="宋体" w:cs="宋体"/>
          <w:spacing w:val="11"/>
          <w:sz w:val="24"/>
          <w:szCs w:val="24"/>
        </w:rPr>
        <w:t xml:space="preserve"> </w:t>
      </w:r>
      <w:r>
        <w:rPr>
          <w:rFonts w:ascii="宋体" w:hAnsi="宋体" w:eastAsia="宋体" w:cs="宋体"/>
          <w:b/>
          <w:bCs/>
          <w:spacing w:val="-7"/>
          <w:sz w:val="24"/>
          <w:szCs w:val="24"/>
        </w:rPr>
        <w:t>开标</w:t>
      </w:r>
    </w:p>
    <w:p w14:paraId="72700DED">
      <w:pPr>
        <w:spacing w:before="182" w:line="220" w:lineRule="auto"/>
        <w:ind w:left="14"/>
        <w:rPr>
          <w:rFonts w:ascii="宋体" w:hAnsi="宋体" w:eastAsia="宋体" w:cs="宋体"/>
          <w:sz w:val="24"/>
          <w:szCs w:val="24"/>
        </w:rPr>
      </w:pPr>
      <w:r>
        <w:rPr>
          <w:rFonts w:ascii="宋体" w:hAnsi="宋体" w:eastAsia="宋体" w:cs="宋体"/>
          <w:b/>
          <w:bCs/>
          <w:spacing w:val="-3"/>
          <w:sz w:val="24"/>
          <w:szCs w:val="24"/>
        </w:rPr>
        <w:t>5.1</w:t>
      </w:r>
      <w:r>
        <w:rPr>
          <w:rFonts w:ascii="宋体" w:hAnsi="宋体" w:eastAsia="宋体" w:cs="宋体"/>
          <w:spacing w:val="-3"/>
          <w:sz w:val="24"/>
          <w:szCs w:val="24"/>
        </w:rPr>
        <w:t xml:space="preserve"> </w:t>
      </w:r>
      <w:r>
        <w:rPr>
          <w:rFonts w:ascii="宋体" w:hAnsi="宋体" w:eastAsia="宋体" w:cs="宋体"/>
          <w:b/>
          <w:bCs/>
          <w:spacing w:val="-3"/>
          <w:sz w:val="24"/>
          <w:szCs w:val="24"/>
        </w:rPr>
        <w:t>开标时间和地点</w:t>
      </w:r>
    </w:p>
    <w:p w14:paraId="50332286">
      <w:pPr>
        <w:spacing w:before="181" w:line="360" w:lineRule="auto"/>
        <w:ind w:left="11" w:right="32" w:firstLine="479"/>
        <w:jc w:val="both"/>
        <w:rPr>
          <w:rFonts w:ascii="宋体" w:hAnsi="宋体" w:eastAsia="宋体" w:cs="宋体"/>
          <w:sz w:val="24"/>
          <w:szCs w:val="24"/>
        </w:rPr>
      </w:pPr>
      <w:r>
        <w:rPr>
          <w:rFonts w:ascii="宋体" w:hAnsi="宋体" w:eastAsia="宋体" w:cs="宋体"/>
          <w:spacing w:val="-2"/>
          <w:sz w:val="24"/>
          <w:szCs w:val="24"/>
        </w:rPr>
        <w:t>招标人在本章第</w:t>
      </w:r>
      <w:r>
        <w:rPr>
          <w:rFonts w:ascii="宋体" w:hAnsi="宋体" w:eastAsia="宋体" w:cs="宋体"/>
          <w:spacing w:val="-52"/>
          <w:sz w:val="24"/>
          <w:szCs w:val="24"/>
        </w:rPr>
        <w:t xml:space="preserve"> </w:t>
      </w:r>
      <w:r>
        <w:rPr>
          <w:rFonts w:ascii="宋体" w:hAnsi="宋体" w:eastAsia="宋体" w:cs="宋体"/>
          <w:spacing w:val="-2"/>
          <w:sz w:val="24"/>
          <w:szCs w:val="24"/>
        </w:rPr>
        <w:t>4.2.1</w:t>
      </w:r>
      <w:r>
        <w:rPr>
          <w:rFonts w:ascii="宋体" w:hAnsi="宋体" w:eastAsia="宋体" w:cs="宋体"/>
          <w:spacing w:val="-47"/>
          <w:sz w:val="24"/>
          <w:szCs w:val="24"/>
        </w:rPr>
        <w:t xml:space="preserve"> </w:t>
      </w:r>
      <w:r>
        <w:rPr>
          <w:rFonts w:ascii="宋体" w:hAnsi="宋体" w:eastAsia="宋体" w:cs="宋体"/>
          <w:spacing w:val="-2"/>
          <w:sz w:val="24"/>
          <w:szCs w:val="24"/>
        </w:rPr>
        <w:t>项规定的投标截止时间（开标时间）和投标人须</w:t>
      </w:r>
      <w:r>
        <w:rPr>
          <w:rFonts w:ascii="宋体" w:hAnsi="宋体" w:eastAsia="宋体" w:cs="宋体"/>
          <w:spacing w:val="-3"/>
          <w:sz w:val="24"/>
          <w:szCs w:val="24"/>
        </w:rPr>
        <w:t>知前附表规</w:t>
      </w:r>
      <w:r>
        <w:rPr>
          <w:rFonts w:ascii="宋体" w:hAnsi="宋体" w:eastAsia="宋体" w:cs="宋体"/>
          <w:spacing w:val="-2"/>
          <w:sz w:val="24"/>
          <w:szCs w:val="24"/>
        </w:rPr>
        <w:t>定的地点对收到的投标文件第一个信封（商务及技术文件）公开开标，并邀请所有投标</w:t>
      </w:r>
      <w:r>
        <w:rPr>
          <w:rFonts w:ascii="宋体" w:hAnsi="宋体" w:eastAsia="宋体" w:cs="宋体"/>
          <w:spacing w:val="-3"/>
          <w:sz w:val="24"/>
          <w:szCs w:val="24"/>
        </w:rPr>
        <w:t>人的法定代表人或其委托代理人准时参加。</w:t>
      </w:r>
    </w:p>
    <w:p w14:paraId="613B955F">
      <w:pPr>
        <w:spacing w:line="360" w:lineRule="auto"/>
        <w:ind w:left="16" w:firstLine="473"/>
        <w:rPr>
          <w:rFonts w:ascii="宋体" w:hAnsi="宋体" w:eastAsia="宋体" w:cs="宋体"/>
          <w:sz w:val="24"/>
          <w:szCs w:val="24"/>
        </w:rPr>
      </w:pPr>
      <w:r>
        <w:rPr>
          <w:rFonts w:ascii="宋体" w:hAnsi="宋体" w:eastAsia="宋体" w:cs="宋体"/>
          <w:spacing w:val="-1"/>
          <w:sz w:val="24"/>
          <w:szCs w:val="24"/>
        </w:rPr>
        <w:t>招标人在投标人须知前附表规定的时间和地点对投标文件第二个信封（报价文件）</w:t>
      </w:r>
      <w:r>
        <w:rPr>
          <w:rFonts w:ascii="宋体" w:hAnsi="宋体" w:eastAsia="宋体" w:cs="宋体"/>
          <w:spacing w:val="-2"/>
          <w:sz w:val="24"/>
          <w:szCs w:val="24"/>
        </w:rPr>
        <w:t>公开开标，并邀请所有投标人的法定代表人或其委托代理人准时参加。</w:t>
      </w:r>
    </w:p>
    <w:p w14:paraId="3A21170E">
      <w:pPr>
        <w:spacing w:before="2" w:line="359" w:lineRule="auto"/>
        <w:ind w:left="9" w:right="32" w:firstLine="482"/>
        <w:rPr>
          <w:rFonts w:ascii="宋体" w:hAnsi="宋体" w:eastAsia="宋体" w:cs="宋体"/>
          <w:sz w:val="24"/>
          <w:szCs w:val="24"/>
        </w:rPr>
      </w:pPr>
      <w:r>
        <w:rPr>
          <w:rFonts w:ascii="宋体" w:hAnsi="宋体" w:eastAsia="宋体" w:cs="宋体"/>
          <w:spacing w:val="-2"/>
          <w:sz w:val="24"/>
          <w:szCs w:val="24"/>
        </w:rPr>
        <w:t>投标人若未派法定代表人或委托代理人参加第一个信封（商务及技术文件）开标或第二个信封（报价文件）开标的，视为该投标人默认开标结果。</w:t>
      </w:r>
    </w:p>
    <w:p w14:paraId="5AA7A14B">
      <w:pPr>
        <w:spacing w:line="220" w:lineRule="auto"/>
        <w:ind w:left="14"/>
        <w:rPr>
          <w:rFonts w:ascii="宋体" w:hAnsi="宋体" w:eastAsia="宋体" w:cs="宋体"/>
          <w:sz w:val="24"/>
          <w:szCs w:val="24"/>
        </w:rPr>
      </w:pPr>
      <w:r>
        <w:rPr>
          <w:rFonts w:ascii="宋体" w:hAnsi="宋体" w:eastAsia="宋体" w:cs="宋体"/>
          <w:b/>
          <w:bCs/>
          <w:spacing w:val="-4"/>
          <w:sz w:val="24"/>
          <w:szCs w:val="24"/>
        </w:rPr>
        <w:t>5.2</w:t>
      </w:r>
      <w:r>
        <w:rPr>
          <w:rFonts w:ascii="宋体" w:hAnsi="宋体" w:eastAsia="宋体" w:cs="宋体"/>
          <w:spacing w:val="-4"/>
          <w:sz w:val="24"/>
          <w:szCs w:val="24"/>
        </w:rPr>
        <w:t xml:space="preserve"> </w:t>
      </w:r>
      <w:r>
        <w:rPr>
          <w:rFonts w:ascii="宋体" w:hAnsi="宋体" w:eastAsia="宋体" w:cs="宋体"/>
          <w:b/>
          <w:bCs/>
          <w:spacing w:val="-4"/>
          <w:sz w:val="24"/>
          <w:szCs w:val="24"/>
        </w:rPr>
        <w:t>开标程序</w:t>
      </w:r>
    </w:p>
    <w:p w14:paraId="6463A6B7">
      <w:pPr>
        <w:spacing w:before="182" w:line="360" w:lineRule="auto"/>
        <w:ind w:left="10" w:right="32" w:firstLine="481"/>
        <w:jc w:val="both"/>
        <w:rPr>
          <w:rFonts w:ascii="宋体" w:hAnsi="宋体" w:eastAsia="宋体" w:cs="宋体"/>
          <w:sz w:val="24"/>
          <w:szCs w:val="24"/>
        </w:rPr>
      </w:pPr>
      <w:r>
        <w:rPr>
          <w:rFonts w:ascii="宋体" w:hAnsi="宋体" w:eastAsia="宋体" w:cs="宋体"/>
          <w:spacing w:val="-2"/>
          <w:sz w:val="24"/>
          <w:szCs w:val="24"/>
        </w:rPr>
        <w:t>投标截止时间前未完成投标文件传输的，或因投标人之外的原因造成投标文件未解密的，均视为投标人撤回其电子投标文件。因投标人原因造成投标文件未解密的或未在</w:t>
      </w:r>
      <w:r>
        <w:rPr>
          <w:rFonts w:ascii="宋体" w:hAnsi="宋体" w:eastAsia="宋体" w:cs="宋体"/>
          <w:spacing w:val="-1"/>
          <w:sz w:val="24"/>
          <w:szCs w:val="24"/>
        </w:rPr>
        <w:t>投标截止时间后投标人须知前附表规定的解密时间内解密的，视为</w:t>
      </w:r>
      <w:r>
        <w:rPr>
          <w:rFonts w:ascii="宋体" w:hAnsi="宋体" w:eastAsia="宋体" w:cs="宋体"/>
          <w:spacing w:val="-2"/>
          <w:sz w:val="24"/>
          <w:szCs w:val="24"/>
        </w:rPr>
        <w:t>撤销其投标文件。</w:t>
      </w:r>
    </w:p>
    <w:p w14:paraId="1EC14A5A">
      <w:pPr>
        <w:spacing w:line="360" w:lineRule="auto"/>
        <w:ind w:left="11" w:right="42" w:firstLine="482"/>
        <w:rPr>
          <w:rFonts w:ascii="宋体" w:hAnsi="宋体" w:eastAsia="宋体" w:cs="宋体"/>
          <w:sz w:val="24"/>
          <w:szCs w:val="24"/>
        </w:rPr>
      </w:pPr>
      <w:r>
        <w:rPr>
          <w:rFonts w:ascii="宋体" w:hAnsi="宋体" w:eastAsia="宋体" w:cs="宋体"/>
          <w:spacing w:val="-2"/>
          <w:sz w:val="24"/>
          <w:szCs w:val="24"/>
        </w:rPr>
        <w:t>5.2.1 招标人将按照第</w:t>
      </w:r>
      <w:r>
        <w:rPr>
          <w:rFonts w:ascii="宋体" w:hAnsi="宋体" w:eastAsia="宋体" w:cs="宋体"/>
          <w:spacing w:val="-46"/>
          <w:sz w:val="24"/>
          <w:szCs w:val="24"/>
        </w:rPr>
        <w:t xml:space="preserve"> </w:t>
      </w:r>
      <w:r>
        <w:rPr>
          <w:rFonts w:ascii="宋体" w:hAnsi="宋体" w:eastAsia="宋体" w:cs="宋体"/>
          <w:spacing w:val="-2"/>
          <w:sz w:val="24"/>
          <w:szCs w:val="24"/>
        </w:rPr>
        <w:t>5.1</w:t>
      </w:r>
      <w:r>
        <w:rPr>
          <w:rFonts w:ascii="宋体" w:hAnsi="宋体" w:eastAsia="宋体" w:cs="宋体"/>
          <w:spacing w:val="-50"/>
          <w:sz w:val="24"/>
          <w:szCs w:val="24"/>
        </w:rPr>
        <w:t xml:space="preserve"> </w:t>
      </w:r>
      <w:r>
        <w:rPr>
          <w:rFonts w:ascii="宋体" w:hAnsi="宋体" w:eastAsia="宋体" w:cs="宋体"/>
          <w:spacing w:val="-2"/>
          <w:sz w:val="24"/>
          <w:szCs w:val="24"/>
        </w:rPr>
        <w:t>款规定的时间</w:t>
      </w:r>
      <w:r>
        <w:rPr>
          <w:rFonts w:ascii="宋体" w:hAnsi="宋体" w:eastAsia="宋体" w:cs="宋体"/>
          <w:spacing w:val="-3"/>
          <w:sz w:val="24"/>
          <w:szCs w:val="24"/>
        </w:rPr>
        <w:t>和地点对投标文件第一个信封（商务及技</w:t>
      </w:r>
      <w:r>
        <w:rPr>
          <w:rFonts w:ascii="宋体" w:hAnsi="宋体" w:eastAsia="宋体" w:cs="宋体"/>
          <w:spacing w:val="-7"/>
          <w:sz w:val="24"/>
          <w:szCs w:val="24"/>
        </w:rPr>
        <w:t>术文件）进行开标：</w:t>
      </w:r>
    </w:p>
    <w:p w14:paraId="165F34DB">
      <w:pPr>
        <w:spacing w:before="1" w:line="218" w:lineRule="auto"/>
        <w:ind w:left="495"/>
        <w:rPr>
          <w:rFonts w:ascii="宋体" w:hAnsi="宋体" w:eastAsia="宋体" w:cs="宋体"/>
          <w:sz w:val="24"/>
          <w:szCs w:val="24"/>
        </w:rPr>
      </w:pPr>
      <w:r>
        <w:rPr>
          <w:rFonts w:ascii="宋体" w:hAnsi="宋体" w:eastAsia="宋体" w:cs="宋体"/>
          <w:spacing w:val="-2"/>
          <w:sz w:val="24"/>
          <w:szCs w:val="24"/>
        </w:rPr>
        <w:t>（1）投标人代表持</w:t>
      </w:r>
      <w:r>
        <w:rPr>
          <w:rFonts w:ascii="宋体" w:hAnsi="宋体" w:eastAsia="宋体" w:cs="宋体"/>
          <w:spacing w:val="-43"/>
          <w:sz w:val="24"/>
          <w:szCs w:val="24"/>
        </w:rPr>
        <w:t xml:space="preserve"> </w:t>
      </w:r>
      <w:r>
        <w:rPr>
          <w:rFonts w:ascii="宋体" w:hAnsi="宋体" w:eastAsia="宋体" w:cs="宋体"/>
          <w:spacing w:val="-2"/>
          <w:sz w:val="24"/>
          <w:szCs w:val="24"/>
        </w:rPr>
        <w:t>CA</w:t>
      </w:r>
      <w:r>
        <w:rPr>
          <w:rFonts w:ascii="宋体" w:hAnsi="宋体" w:eastAsia="宋体" w:cs="宋体"/>
          <w:spacing w:val="-49"/>
          <w:sz w:val="24"/>
          <w:szCs w:val="24"/>
        </w:rPr>
        <w:t xml:space="preserve"> </w:t>
      </w:r>
      <w:r>
        <w:rPr>
          <w:rFonts w:ascii="宋体" w:hAnsi="宋体" w:eastAsia="宋体" w:cs="宋体"/>
          <w:spacing w:val="-2"/>
          <w:sz w:val="24"/>
          <w:szCs w:val="24"/>
        </w:rPr>
        <w:t>数字证书进入开标现场（投标人也可</w:t>
      </w:r>
      <w:r>
        <w:rPr>
          <w:rFonts w:ascii="宋体" w:hAnsi="宋体" w:eastAsia="宋体" w:cs="宋体"/>
          <w:spacing w:val="-3"/>
          <w:sz w:val="24"/>
          <w:szCs w:val="24"/>
        </w:rPr>
        <w:t>选择远程解密）。</w:t>
      </w:r>
    </w:p>
    <w:p w14:paraId="7ED40583">
      <w:pPr>
        <w:spacing w:before="183" w:line="219" w:lineRule="auto"/>
        <w:ind w:left="495"/>
        <w:rPr>
          <w:rFonts w:ascii="宋体" w:hAnsi="宋体" w:eastAsia="宋体" w:cs="宋体"/>
          <w:sz w:val="24"/>
          <w:szCs w:val="24"/>
        </w:rPr>
      </w:pPr>
      <w:r>
        <w:rPr>
          <w:rFonts w:ascii="宋体" w:hAnsi="宋体" w:eastAsia="宋体" w:cs="宋体"/>
          <w:spacing w:val="-2"/>
          <w:sz w:val="24"/>
          <w:szCs w:val="24"/>
        </w:rPr>
        <w:t>（2）开标由招标人或其委托的招标代理机构主持，宣布开标纪律。</w:t>
      </w:r>
    </w:p>
    <w:p w14:paraId="46F5816C">
      <w:pPr>
        <w:spacing w:before="183" w:line="219" w:lineRule="auto"/>
        <w:ind w:left="495"/>
        <w:rPr>
          <w:rFonts w:ascii="宋体" w:hAnsi="宋体" w:eastAsia="宋体" w:cs="宋体"/>
          <w:sz w:val="24"/>
          <w:szCs w:val="24"/>
        </w:rPr>
      </w:pPr>
      <w:r>
        <w:rPr>
          <w:rFonts w:ascii="宋体" w:hAnsi="宋体" w:eastAsia="宋体" w:cs="宋体"/>
          <w:spacing w:val="-2"/>
          <w:sz w:val="24"/>
          <w:szCs w:val="24"/>
        </w:rPr>
        <w:t>（3）宣布开标人、唱标人、记录人等有关人员姓</w:t>
      </w:r>
      <w:r>
        <w:rPr>
          <w:rFonts w:ascii="宋体" w:hAnsi="宋体" w:eastAsia="宋体" w:cs="宋体"/>
          <w:spacing w:val="-3"/>
          <w:sz w:val="24"/>
          <w:szCs w:val="24"/>
        </w:rPr>
        <w:t>名。</w:t>
      </w:r>
    </w:p>
    <w:p w14:paraId="12D7E1CC">
      <w:pPr>
        <w:spacing w:before="184" w:line="219" w:lineRule="auto"/>
        <w:ind w:left="495"/>
        <w:rPr>
          <w:rFonts w:ascii="宋体" w:hAnsi="宋体" w:eastAsia="宋体" w:cs="宋体"/>
          <w:sz w:val="24"/>
          <w:szCs w:val="24"/>
        </w:rPr>
      </w:pPr>
      <w:r>
        <w:rPr>
          <w:rFonts w:ascii="宋体" w:hAnsi="宋体" w:eastAsia="宋体" w:cs="宋体"/>
          <w:spacing w:val="-2"/>
          <w:sz w:val="24"/>
          <w:szCs w:val="24"/>
        </w:rPr>
        <w:t>（4）宣布开标顺序：按各标段投标文件到达系统的先后顺序。</w:t>
      </w:r>
    </w:p>
    <w:p w14:paraId="17E5B568">
      <w:pPr>
        <w:spacing w:before="183" w:line="360" w:lineRule="auto"/>
        <w:ind w:left="13" w:right="53" w:firstLine="482"/>
        <w:rPr>
          <w:rFonts w:ascii="宋体" w:hAnsi="宋体" w:eastAsia="宋体" w:cs="宋体"/>
          <w:sz w:val="24"/>
          <w:szCs w:val="24"/>
        </w:rPr>
      </w:pPr>
      <w:r>
        <w:rPr>
          <w:rFonts w:ascii="宋体" w:hAnsi="宋体" w:eastAsia="宋体" w:cs="宋体"/>
          <w:spacing w:val="1"/>
          <w:sz w:val="24"/>
          <w:szCs w:val="24"/>
        </w:rPr>
        <w:t>（5）检查各标段投标文件递交到达的情况。若某标段递交到达投标文件的</w:t>
      </w:r>
      <w:r>
        <w:rPr>
          <w:rFonts w:ascii="宋体" w:hAnsi="宋体" w:eastAsia="宋体" w:cs="宋体"/>
          <w:sz w:val="24"/>
          <w:szCs w:val="24"/>
        </w:rPr>
        <w:t>投标人</w:t>
      </w:r>
      <w:r>
        <w:rPr>
          <w:rFonts w:ascii="宋体" w:hAnsi="宋体" w:eastAsia="宋体" w:cs="宋体"/>
          <w:spacing w:val="-5"/>
          <w:sz w:val="24"/>
          <w:szCs w:val="24"/>
        </w:rPr>
        <w:t>不足</w:t>
      </w:r>
      <w:r>
        <w:rPr>
          <w:rFonts w:ascii="宋体" w:hAnsi="宋体" w:eastAsia="宋体" w:cs="宋体"/>
          <w:spacing w:val="-45"/>
          <w:sz w:val="24"/>
          <w:szCs w:val="24"/>
        </w:rPr>
        <w:t xml:space="preserve"> </w:t>
      </w:r>
      <w:r>
        <w:rPr>
          <w:rFonts w:ascii="宋体" w:hAnsi="宋体" w:eastAsia="宋体" w:cs="宋体"/>
          <w:spacing w:val="-5"/>
          <w:sz w:val="24"/>
          <w:szCs w:val="24"/>
        </w:rPr>
        <w:t>3</w:t>
      </w:r>
      <w:r>
        <w:rPr>
          <w:rFonts w:ascii="宋体" w:hAnsi="宋体" w:eastAsia="宋体" w:cs="宋体"/>
          <w:spacing w:val="-50"/>
          <w:sz w:val="24"/>
          <w:szCs w:val="24"/>
        </w:rPr>
        <w:t xml:space="preserve"> </w:t>
      </w:r>
      <w:r>
        <w:rPr>
          <w:rFonts w:ascii="宋体" w:hAnsi="宋体" w:eastAsia="宋体" w:cs="宋体"/>
          <w:spacing w:val="-5"/>
          <w:sz w:val="24"/>
          <w:szCs w:val="24"/>
        </w:rPr>
        <w:t>个，则该标段不予开标。</w:t>
      </w:r>
    </w:p>
    <w:p w14:paraId="3ADA6EBF">
      <w:pPr>
        <w:spacing w:line="360" w:lineRule="auto"/>
        <w:ind w:left="10" w:right="18" w:firstLine="485"/>
        <w:rPr>
          <w:rFonts w:ascii="宋体" w:hAnsi="宋体" w:eastAsia="宋体" w:cs="宋体"/>
          <w:sz w:val="24"/>
          <w:szCs w:val="24"/>
        </w:rPr>
      </w:pPr>
      <w:r>
        <w:rPr>
          <w:rFonts w:ascii="宋体" w:hAnsi="宋体" w:eastAsia="宋体" w:cs="宋体"/>
          <w:spacing w:val="1"/>
          <w:sz w:val="24"/>
          <w:szCs w:val="24"/>
        </w:rPr>
        <w:t>（6）投标人解密。招标人应在第一个信封（商务及技术文件）开</w:t>
      </w:r>
      <w:r>
        <w:rPr>
          <w:rFonts w:ascii="宋体" w:hAnsi="宋体" w:eastAsia="宋体" w:cs="宋体"/>
          <w:sz w:val="24"/>
          <w:szCs w:val="24"/>
        </w:rPr>
        <w:t>标现场宣布解密</w:t>
      </w:r>
      <w:r>
        <w:rPr>
          <w:rFonts w:ascii="宋体" w:hAnsi="宋体" w:eastAsia="宋体" w:cs="宋体"/>
          <w:spacing w:val="-2"/>
          <w:sz w:val="24"/>
          <w:szCs w:val="24"/>
        </w:rPr>
        <w:t>的开始时间，投标人应在系统通知解密开始后投标人须知前附表规定的解密时间内（解</w:t>
      </w:r>
      <w:r>
        <w:rPr>
          <w:rFonts w:ascii="宋体" w:hAnsi="宋体" w:eastAsia="宋体" w:cs="宋体"/>
          <w:spacing w:val="-1"/>
          <w:sz w:val="24"/>
          <w:szCs w:val="24"/>
        </w:rPr>
        <w:t>密时长详见投标人须知前附表）对所递交的第一个信封（商务及技</w:t>
      </w:r>
      <w:r>
        <w:rPr>
          <w:rFonts w:ascii="宋体" w:hAnsi="宋体" w:eastAsia="宋体" w:cs="宋体"/>
          <w:spacing w:val="-2"/>
          <w:sz w:val="24"/>
          <w:szCs w:val="24"/>
        </w:rPr>
        <w:t>术文件）进行解密。</w:t>
      </w:r>
    </w:p>
    <w:p w14:paraId="7F31A3D4">
      <w:pPr>
        <w:pStyle w:val="2"/>
        <w:spacing w:line="267" w:lineRule="auto"/>
        <w:ind w:firstLine="484" w:firstLineChars="200"/>
      </w:pPr>
      <w:r>
        <w:rPr>
          <w:rFonts w:ascii="宋体" w:hAnsi="宋体" w:eastAsia="宋体" w:cs="宋体"/>
          <w:spacing w:val="1"/>
          <w:sz w:val="24"/>
          <w:szCs w:val="24"/>
        </w:rPr>
        <w:t>（7）招标人解密。招标人在投标人解密截止时间后，对投标人解密成功的第一个</w:t>
      </w:r>
      <w:r>
        <w:rPr>
          <w:rFonts w:ascii="宋体" w:hAnsi="宋体" w:eastAsia="宋体" w:cs="宋体"/>
          <w:spacing w:val="-6"/>
          <w:sz w:val="24"/>
          <w:szCs w:val="24"/>
        </w:rPr>
        <w:t>信封进行解密。</w:t>
      </w:r>
    </w:p>
    <w:p w14:paraId="3A3FD7B8">
      <w:pPr>
        <w:spacing w:before="78" w:line="219" w:lineRule="auto"/>
        <w:ind w:right="10"/>
        <w:jc w:val="right"/>
        <w:rPr>
          <w:rFonts w:ascii="宋体" w:hAnsi="宋体" w:eastAsia="宋体" w:cs="宋体"/>
          <w:sz w:val="24"/>
          <w:szCs w:val="24"/>
        </w:rPr>
      </w:pPr>
      <w:r>
        <w:rPr>
          <w:rFonts w:ascii="宋体" w:hAnsi="宋体" w:eastAsia="宋体" w:cs="宋体"/>
          <w:spacing w:val="-7"/>
          <w:sz w:val="24"/>
          <w:szCs w:val="24"/>
        </w:rPr>
        <w:t>（8）公布投标人名称、投标保证金递交情况、解密情况及其他</w:t>
      </w:r>
      <w:r>
        <w:rPr>
          <w:rFonts w:ascii="宋体" w:hAnsi="宋体" w:eastAsia="宋体" w:cs="宋体"/>
          <w:spacing w:val="-8"/>
          <w:sz w:val="24"/>
          <w:szCs w:val="24"/>
        </w:rPr>
        <w:t>内容，</w:t>
      </w:r>
      <w:r>
        <w:rPr>
          <w:rFonts w:ascii="宋体" w:hAnsi="宋体" w:eastAsia="宋体" w:cs="宋体"/>
          <w:spacing w:val="56"/>
          <w:sz w:val="24"/>
          <w:szCs w:val="24"/>
        </w:rPr>
        <w:t xml:space="preserve"> </w:t>
      </w:r>
      <w:r>
        <w:rPr>
          <w:rFonts w:ascii="宋体" w:hAnsi="宋体" w:eastAsia="宋体" w:cs="宋体"/>
          <w:spacing w:val="-8"/>
          <w:sz w:val="24"/>
          <w:szCs w:val="24"/>
        </w:rPr>
        <w:t>并记录在案。</w:t>
      </w:r>
    </w:p>
    <w:p w14:paraId="75D588D1">
      <w:pPr>
        <w:spacing w:before="183" w:line="360" w:lineRule="auto"/>
        <w:ind w:left="8" w:right="124" w:firstLine="487"/>
        <w:rPr>
          <w:rFonts w:ascii="宋体" w:hAnsi="宋体" w:eastAsia="宋体" w:cs="宋体"/>
          <w:sz w:val="24"/>
          <w:szCs w:val="24"/>
        </w:rPr>
      </w:pPr>
      <w:r>
        <w:rPr>
          <w:rFonts w:ascii="宋体" w:hAnsi="宋体" w:eastAsia="宋体" w:cs="宋体"/>
          <w:spacing w:val="1"/>
          <w:sz w:val="24"/>
          <w:szCs w:val="24"/>
        </w:rPr>
        <w:t>（9）投标人代表、招标人、监标人（如有）、见证人（如有）等有关人员在</w:t>
      </w:r>
      <w:r>
        <w:rPr>
          <w:rFonts w:ascii="宋体" w:hAnsi="宋体" w:eastAsia="宋体" w:cs="宋体"/>
          <w:sz w:val="24"/>
          <w:szCs w:val="24"/>
        </w:rPr>
        <w:t>开标</w:t>
      </w:r>
      <w:r>
        <w:rPr>
          <w:rFonts w:ascii="宋体" w:hAnsi="宋体" w:eastAsia="宋体" w:cs="宋体"/>
          <w:spacing w:val="-2"/>
          <w:sz w:val="24"/>
          <w:szCs w:val="24"/>
        </w:rPr>
        <w:t>记录上签字确认，投标人代表未签字确认的视为默认开标结果。</w:t>
      </w:r>
    </w:p>
    <w:p w14:paraId="67D09204">
      <w:pPr>
        <w:spacing w:before="1" w:line="218" w:lineRule="auto"/>
        <w:ind w:left="495"/>
        <w:rPr>
          <w:rFonts w:ascii="宋体" w:hAnsi="宋体" w:eastAsia="宋体" w:cs="宋体"/>
          <w:sz w:val="24"/>
          <w:szCs w:val="24"/>
        </w:rPr>
      </w:pPr>
      <w:r>
        <w:rPr>
          <w:rFonts w:ascii="宋体" w:hAnsi="宋体" w:eastAsia="宋体" w:cs="宋体"/>
          <w:spacing w:val="-5"/>
          <w:sz w:val="24"/>
          <w:szCs w:val="24"/>
        </w:rPr>
        <w:t>（10）开标会议结束。</w:t>
      </w:r>
    </w:p>
    <w:p w14:paraId="564267B2">
      <w:pPr>
        <w:spacing w:before="183" w:line="360" w:lineRule="auto"/>
        <w:ind w:left="11" w:firstLine="482"/>
        <w:rPr>
          <w:rFonts w:ascii="宋体" w:hAnsi="宋体" w:eastAsia="宋体" w:cs="宋体"/>
          <w:sz w:val="24"/>
          <w:szCs w:val="24"/>
        </w:rPr>
      </w:pPr>
      <w:r>
        <w:rPr>
          <w:rFonts w:ascii="宋体" w:hAnsi="宋体" w:eastAsia="宋体" w:cs="宋体"/>
          <w:spacing w:val="-5"/>
          <w:sz w:val="24"/>
          <w:szCs w:val="24"/>
        </w:rPr>
        <w:t>5.2.2 投标文件第二个信封（报价文件）在投标文件第一个信封（商务及技术文件）</w:t>
      </w:r>
      <w:r>
        <w:rPr>
          <w:rFonts w:ascii="宋体" w:hAnsi="宋体" w:eastAsia="宋体" w:cs="宋体"/>
          <w:spacing w:val="-2"/>
          <w:sz w:val="24"/>
          <w:szCs w:val="24"/>
        </w:rPr>
        <w:t>完成评审前，“电子交易平台”的开标评标系统将不进行读取。</w:t>
      </w:r>
    </w:p>
    <w:p w14:paraId="3D34658C">
      <w:pPr>
        <w:spacing w:line="218" w:lineRule="auto"/>
        <w:ind w:left="494"/>
        <w:rPr>
          <w:rFonts w:ascii="宋体" w:hAnsi="宋体" w:eastAsia="宋体" w:cs="宋体"/>
          <w:sz w:val="24"/>
          <w:szCs w:val="24"/>
        </w:rPr>
      </w:pPr>
      <w:r>
        <w:rPr>
          <w:rFonts w:ascii="宋体" w:hAnsi="宋体" w:eastAsia="宋体" w:cs="宋体"/>
          <w:spacing w:val="-1"/>
          <w:sz w:val="24"/>
          <w:szCs w:val="24"/>
        </w:rPr>
        <w:t>5.2.3 投标文件第二个信封（报价文件）进行开标</w:t>
      </w:r>
    </w:p>
    <w:p w14:paraId="362D8927">
      <w:pPr>
        <w:spacing w:before="184" w:line="360" w:lineRule="auto"/>
        <w:ind w:left="7" w:right="71" w:firstLine="482"/>
        <w:rPr>
          <w:rFonts w:ascii="宋体" w:hAnsi="宋体" w:eastAsia="宋体" w:cs="宋体"/>
          <w:sz w:val="24"/>
          <w:szCs w:val="24"/>
        </w:rPr>
      </w:pPr>
      <w:r>
        <w:rPr>
          <w:rFonts w:ascii="宋体" w:hAnsi="宋体" w:eastAsia="宋体" w:cs="宋体"/>
          <w:spacing w:val="-1"/>
          <w:sz w:val="24"/>
          <w:szCs w:val="24"/>
        </w:rPr>
        <w:t>招标人将按照本章第</w:t>
      </w:r>
      <w:r>
        <w:rPr>
          <w:rFonts w:ascii="宋体" w:hAnsi="宋体" w:eastAsia="宋体" w:cs="宋体"/>
          <w:spacing w:val="-46"/>
          <w:sz w:val="24"/>
          <w:szCs w:val="24"/>
        </w:rPr>
        <w:t xml:space="preserve"> </w:t>
      </w:r>
      <w:r>
        <w:rPr>
          <w:rFonts w:ascii="宋体" w:hAnsi="宋体" w:eastAsia="宋体" w:cs="宋体"/>
          <w:spacing w:val="-1"/>
          <w:sz w:val="24"/>
          <w:szCs w:val="24"/>
        </w:rPr>
        <w:t>5.1</w:t>
      </w:r>
      <w:r>
        <w:rPr>
          <w:rFonts w:ascii="宋体" w:hAnsi="宋体" w:eastAsia="宋体" w:cs="宋体"/>
          <w:spacing w:val="-50"/>
          <w:sz w:val="24"/>
          <w:szCs w:val="24"/>
        </w:rPr>
        <w:t xml:space="preserve"> </w:t>
      </w:r>
      <w:r>
        <w:rPr>
          <w:rFonts w:ascii="宋体" w:hAnsi="宋体" w:eastAsia="宋体" w:cs="宋体"/>
          <w:spacing w:val="-1"/>
          <w:sz w:val="24"/>
          <w:szCs w:val="24"/>
        </w:rPr>
        <w:t>款规定的时间和地点对</w:t>
      </w:r>
      <w:r>
        <w:rPr>
          <w:rFonts w:ascii="宋体" w:hAnsi="宋体" w:eastAsia="宋体" w:cs="宋体"/>
          <w:spacing w:val="-2"/>
          <w:sz w:val="24"/>
          <w:szCs w:val="24"/>
        </w:rPr>
        <w:t>投标文件第二个信封（报价文件）</w:t>
      </w:r>
      <w:r>
        <w:rPr>
          <w:rFonts w:ascii="宋体" w:hAnsi="宋体" w:eastAsia="宋体" w:cs="宋体"/>
          <w:spacing w:val="-11"/>
          <w:sz w:val="24"/>
          <w:szCs w:val="24"/>
        </w:rPr>
        <w:t>进行开标：</w:t>
      </w:r>
    </w:p>
    <w:p w14:paraId="5A9B3519">
      <w:pPr>
        <w:spacing w:before="1" w:line="218" w:lineRule="auto"/>
        <w:ind w:left="495"/>
        <w:rPr>
          <w:rFonts w:ascii="宋体" w:hAnsi="宋体" w:eastAsia="宋体" w:cs="宋体"/>
          <w:sz w:val="24"/>
          <w:szCs w:val="24"/>
        </w:rPr>
      </w:pPr>
      <w:r>
        <w:rPr>
          <w:rFonts w:ascii="宋体" w:hAnsi="宋体" w:eastAsia="宋体" w:cs="宋体"/>
          <w:spacing w:val="-2"/>
          <w:sz w:val="24"/>
          <w:szCs w:val="24"/>
        </w:rPr>
        <w:t>（1）投标人代表持</w:t>
      </w:r>
      <w:r>
        <w:rPr>
          <w:rFonts w:ascii="宋体" w:hAnsi="宋体" w:eastAsia="宋体" w:cs="宋体"/>
          <w:spacing w:val="-43"/>
          <w:sz w:val="24"/>
          <w:szCs w:val="24"/>
        </w:rPr>
        <w:t xml:space="preserve"> </w:t>
      </w:r>
      <w:r>
        <w:rPr>
          <w:rFonts w:ascii="宋体" w:hAnsi="宋体" w:eastAsia="宋体" w:cs="宋体"/>
          <w:spacing w:val="-2"/>
          <w:sz w:val="24"/>
          <w:szCs w:val="24"/>
        </w:rPr>
        <w:t>CA</w:t>
      </w:r>
      <w:r>
        <w:rPr>
          <w:rFonts w:ascii="宋体" w:hAnsi="宋体" w:eastAsia="宋体" w:cs="宋体"/>
          <w:spacing w:val="-49"/>
          <w:sz w:val="24"/>
          <w:szCs w:val="24"/>
        </w:rPr>
        <w:t xml:space="preserve"> </w:t>
      </w:r>
      <w:r>
        <w:rPr>
          <w:rFonts w:ascii="宋体" w:hAnsi="宋体" w:eastAsia="宋体" w:cs="宋体"/>
          <w:spacing w:val="-2"/>
          <w:sz w:val="24"/>
          <w:szCs w:val="24"/>
        </w:rPr>
        <w:t>数字证书进入开标现场（投标人也可</w:t>
      </w:r>
      <w:r>
        <w:rPr>
          <w:rFonts w:ascii="宋体" w:hAnsi="宋体" w:eastAsia="宋体" w:cs="宋体"/>
          <w:spacing w:val="-3"/>
          <w:sz w:val="24"/>
          <w:szCs w:val="24"/>
        </w:rPr>
        <w:t>选择远程解密）。</w:t>
      </w:r>
    </w:p>
    <w:p w14:paraId="24F35E79">
      <w:pPr>
        <w:spacing w:before="183" w:line="219" w:lineRule="auto"/>
        <w:ind w:left="495"/>
        <w:rPr>
          <w:rFonts w:ascii="宋体" w:hAnsi="宋体" w:eastAsia="宋体" w:cs="宋体"/>
          <w:sz w:val="24"/>
          <w:szCs w:val="24"/>
        </w:rPr>
      </w:pPr>
      <w:r>
        <w:rPr>
          <w:rFonts w:ascii="宋体" w:hAnsi="宋体" w:eastAsia="宋体" w:cs="宋体"/>
          <w:spacing w:val="-5"/>
          <w:sz w:val="24"/>
          <w:szCs w:val="24"/>
        </w:rPr>
        <w:t>（2）宣布开标纪律。</w:t>
      </w:r>
    </w:p>
    <w:p w14:paraId="582B8B56">
      <w:pPr>
        <w:spacing w:before="184" w:line="360" w:lineRule="auto"/>
        <w:ind w:left="9" w:right="19" w:firstLine="486"/>
        <w:rPr>
          <w:rFonts w:ascii="宋体" w:hAnsi="宋体" w:eastAsia="宋体" w:cs="宋体"/>
          <w:sz w:val="24"/>
          <w:szCs w:val="24"/>
        </w:rPr>
      </w:pPr>
      <w:r>
        <w:rPr>
          <w:rFonts w:ascii="宋体" w:hAnsi="宋体" w:eastAsia="宋体" w:cs="宋体"/>
          <w:spacing w:val="-3"/>
          <w:sz w:val="24"/>
          <w:szCs w:val="24"/>
        </w:rPr>
        <w:t>（3）摇取下浮率（如需）、评标价</w:t>
      </w:r>
      <w:r>
        <w:rPr>
          <w:rFonts w:ascii="宋体" w:hAnsi="宋体" w:eastAsia="宋体" w:cs="宋体"/>
          <w:spacing w:val="-54"/>
          <w:sz w:val="24"/>
          <w:szCs w:val="24"/>
        </w:rPr>
        <w:t xml:space="preserve"> </w:t>
      </w:r>
      <w:r>
        <w:rPr>
          <w:rFonts w:ascii="宋体" w:hAnsi="宋体" w:eastAsia="宋体" w:cs="宋体"/>
          <w:spacing w:val="-3"/>
          <w:sz w:val="24"/>
          <w:szCs w:val="24"/>
        </w:rPr>
        <w:t>E</w:t>
      </w:r>
      <w:r>
        <w:rPr>
          <w:rFonts w:ascii="宋体" w:hAnsi="宋体" w:eastAsia="宋体" w:cs="宋体"/>
          <w:spacing w:val="-50"/>
          <w:sz w:val="24"/>
          <w:szCs w:val="24"/>
        </w:rPr>
        <w:t xml:space="preserve"> </w:t>
      </w:r>
      <w:r>
        <w:rPr>
          <w:rFonts w:ascii="宋体" w:hAnsi="宋体" w:eastAsia="宋体" w:cs="宋体"/>
          <w:spacing w:val="-3"/>
          <w:sz w:val="24"/>
          <w:szCs w:val="24"/>
        </w:rPr>
        <w:t>值（如需</w:t>
      </w:r>
      <w:r>
        <w:rPr>
          <w:rFonts w:ascii="宋体" w:hAnsi="宋体" w:eastAsia="宋体" w:cs="宋体"/>
          <w:spacing w:val="-4"/>
          <w:sz w:val="24"/>
          <w:szCs w:val="24"/>
        </w:rPr>
        <w:t>），</w:t>
      </w:r>
      <w:r>
        <w:rPr>
          <w:rFonts w:ascii="宋体" w:hAnsi="宋体" w:eastAsia="宋体" w:cs="宋体"/>
          <w:spacing w:val="-3"/>
          <w:sz w:val="24"/>
          <w:szCs w:val="24"/>
        </w:rPr>
        <w:t>在开标现场采取摇珠方式</w:t>
      </w:r>
      <w:r>
        <w:rPr>
          <w:rFonts w:ascii="宋体" w:hAnsi="宋体" w:eastAsia="宋体" w:cs="宋体"/>
          <w:spacing w:val="-4"/>
          <w:sz w:val="24"/>
          <w:szCs w:val="24"/>
        </w:rPr>
        <w:t>确定。摇珠操作办法详见评标办法。</w:t>
      </w:r>
    </w:p>
    <w:p w14:paraId="4BCED5D7">
      <w:pPr>
        <w:spacing w:line="360" w:lineRule="auto"/>
        <w:ind w:left="11" w:right="71" w:firstLine="484"/>
        <w:rPr>
          <w:rFonts w:ascii="宋体" w:hAnsi="宋体" w:eastAsia="宋体" w:cs="宋体"/>
          <w:sz w:val="24"/>
          <w:szCs w:val="24"/>
        </w:rPr>
      </w:pPr>
      <w:r>
        <w:rPr>
          <w:rFonts w:ascii="宋体" w:hAnsi="宋体" w:eastAsia="宋体" w:cs="宋体"/>
          <w:spacing w:val="1"/>
          <w:sz w:val="24"/>
          <w:szCs w:val="24"/>
        </w:rPr>
        <w:t>（4）招标人或招标代理机构宣布第一个信封（商务及技术文件）评审结果。投标</w:t>
      </w:r>
      <w:r>
        <w:rPr>
          <w:rFonts w:ascii="宋体" w:hAnsi="宋体" w:eastAsia="宋体" w:cs="宋体"/>
          <w:spacing w:val="-1"/>
          <w:sz w:val="24"/>
          <w:szCs w:val="24"/>
        </w:rPr>
        <w:t>人未通过第一个信封（商务及技术文件）评审的，对应标段的第二个信封（报价文件）</w:t>
      </w:r>
      <w:r>
        <w:rPr>
          <w:rFonts w:ascii="宋体" w:hAnsi="宋体" w:eastAsia="宋体" w:cs="宋体"/>
          <w:spacing w:val="-8"/>
          <w:sz w:val="24"/>
          <w:szCs w:val="24"/>
        </w:rPr>
        <w:t>不予开标。</w:t>
      </w:r>
    </w:p>
    <w:p w14:paraId="055CBA09">
      <w:pPr>
        <w:spacing w:before="1" w:line="218" w:lineRule="auto"/>
        <w:ind w:left="495"/>
        <w:rPr>
          <w:rFonts w:ascii="宋体" w:hAnsi="宋体" w:eastAsia="宋体" w:cs="宋体"/>
          <w:sz w:val="24"/>
          <w:szCs w:val="24"/>
        </w:rPr>
      </w:pPr>
      <w:r>
        <w:rPr>
          <w:rFonts w:ascii="宋体" w:hAnsi="宋体" w:eastAsia="宋体" w:cs="宋体"/>
          <w:spacing w:val="-2"/>
          <w:sz w:val="24"/>
          <w:szCs w:val="24"/>
        </w:rPr>
        <w:t>（5）宣布开标人、唱标人、记录人等有关人员姓</w:t>
      </w:r>
      <w:r>
        <w:rPr>
          <w:rFonts w:ascii="宋体" w:hAnsi="宋体" w:eastAsia="宋体" w:cs="宋体"/>
          <w:spacing w:val="-3"/>
          <w:sz w:val="24"/>
          <w:szCs w:val="24"/>
        </w:rPr>
        <w:t>名。</w:t>
      </w:r>
    </w:p>
    <w:p w14:paraId="55719CA4">
      <w:pPr>
        <w:spacing w:before="183" w:line="219" w:lineRule="auto"/>
        <w:ind w:left="495"/>
        <w:rPr>
          <w:rFonts w:ascii="宋体" w:hAnsi="宋体" w:eastAsia="宋体" w:cs="宋体"/>
          <w:sz w:val="24"/>
          <w:szCs w:val="24"/>
        </w:rPr>
      </w:pPr>
      <w:r>
        <w:rPr>
          <w:rFonts w:ascii="宋体" w:hAnsi="宋体" w:eastAsia="宋体" w:cs="宋体"/>
          <w:spacing w:val="-2"/>
          <w:sz w:val="24"/>
          <w:szCs w:val="24"/>
        </w:rPr>
        <w:t>（6）宣布开标顺序：方法同第一个信封的开标顺序。</w:t>
      </w:r>
    </w:p>
    <w:p w14:paraId="4CB4AE6B">
      <w:pPr>
        <w:spacing w:before="184" w:line="360" w:lineRule="auto"/>
        <w:ind w:left="8" w:firstLine="487"/>
        <w:rPr>
          <w:rFonts w:ascii="宋体" w:hAnsi="宋体" w:eastAsia="宋体" w:cs="宋体"/>
          <w:sz w:val="24"/>
          <w:szCs w:val="24"/>
        </w:rPr>
      </w:pPr>
      <w:r>
        <w:rPr>
          <w:rFonts w:ascii="宋体" w:hAnsi="宋体" w:eastAsia="宋体" w:cs="宋体"/>
          <w:spacing w:val="1"/>
          <w:sz w:val="24"/>
          <w:szCs w:val="24"/>
        </w:rPr>
        <w:t>（7）投标人解密。招标人宣布第二个信封（报价文件）解密开始时间，投</w:t>
      </w:r>
      <w:r>
        <w:rPr>
          <w:rFonts w:ascii="宋体" w:hAnsi="宋体" w:eastAsia="宋体" w:cs="宋体"/>
          <w:sz w:val="24"/>
          <w:szCs w:val="24"/>
        </w:rPr>
        <w:t>标人应</w:t>
      </w:r>
      <w:r>
        <w:rPr>
          <w:rFonts w:ascii="宋体" w:hAnsi="宋体" w:eastAsia="宋体" w:cs="宋体"/>
          <w:spacing w:val="-5"/>
          <w:sz w:val="24"/>
          <w:szCs w:val="24"/>
        </w:rPr>
        <w:t>在解密时长投标人须知前附表规定的解密时间内，对通过第一个信封（商务及技术文件）</w:t>
      </w:r>
      <w:r>
        <w:rPr>
          <w:rFonts w:ascii="宋体" w:hAnsi="宋体" w:eastAsia="宋体" w:cs="宋体"/>
          <w:spacing w:val="-2"/>
          <w:sz w:val="24"/>
          <w:szCs w:val="24"/>
        </w:rPr>
        <w:t>评审的对应标段的第二个信封（报价文件）进行解密。</w:t>
      </w:r>
    </w:p>
    <w:p w14:paraId="31C41123">
      <w:pPr>
        <w:spacing w:line="360" w:lineRule="auto"/>
        <w:ind w:left="9" w:right="115" w:firstLine="486"/>
        <w:rPr>
          <w:rFonts w:ascii="宋体" w:hAnsi="宋体" w:eastAsia="宋体" w:cs="宋体"/>
          <w:sz w:val="24"/>
          <w:szCs w:val="24"/>
        </w:rPr>
      </w:pPr>
      <w:r>
        <w:rPr>
          <w:rFonts w:ascii="宋体" w:hAnsi="宋体" w:eastAsia="宋体" w:cs="宋体"/>
          <w:spacing w:val="1"/>
          <w:sz w:val="24"/>
          <w:szCs w:val="24"/>
        </w:rPr>
        <w:t>（8）招标人解密。招标人在投标人解密截止时间后，对投标人解密成功的第二个</w:t>
      </w:r>
      <w:r>
        <w:rPr>
          <w:rFonts w:ascii="宋体" w:hAnsi="宋体" w:eastAsia="宋体" w:cs="宋体"/>
          <w:spacing w:val="-6"/>
          <w:sz w:val="24"/>
          <w:szCs w:val="24"/>
        </w:rPr>
        <w:t>信封进行解密。</w:t>
      </w:r>
    </w:p>
    <w:p w14:paraId="1897A2B5">
      <w:pPr>
        <w:spacing w:line="360" w:lineRule="auto"/>
        <w:ind w:left="3" w:right="16" w:firstLine="491"/>
        <w:rPr>
          <w:rFonts w:ascii="宋体" w:hAnsi="宋体" w:eastAsia="宋体" w:cs="宋体"/>
          <w:sz w:val="24"/>
          <w:szCs w:val="24"/>
        </w:rPr>
      </w:pPr>
      <w:r>
        <w:rPr>
          <w:rFonts w:ascii="宋体" w:hAnsi="宋体" w:eastAsia="宋体" w:cs="宋体"/>
          <w:spacing w:val="-3"/>
          <w:sz w:val="24"/>
          <w:szCs w:val="24"/>
        </w:rPr>
        <w:t>（9）根据解密后的投标文件中的投标函公布投标人名称、投标报价（开标过程中，</w:t>
      </w:r>
      <w:r>
        <w:rPr>
          <w:rFonts w:ascii="宋体" w:hAnsi="宋体" w:eastAsia="宋体" w:cs="宋体"/>
          <w:spacing w:val="-1"/>
          <w:sz w:val="24"/>
          <w:szCs w:val="24"/>
        </w:rPr>
        <w:t>若开标记录表与投标文件投标函大写文字报价不一致</w:t>
      </w:r>
      <w:r>
        <w:rPr>
          <w:rFonts w:ascii="宋体" w:hAnsi="宋体" w:eastAsia="宋体" w:cs="宋体"/>
          <w:spacing w:val="-2"/>
          <w:sz w:val="24"/>
          <w:szCs w:val="24"/>
        </w:rPr>
        <w:t>时，以投标文件投标函大写文字报</w:t>
      </w:r>
      <w:r>
        <w:rPr>
          <w:rFonts w:ascii="宋体" w:hAnsi="宋体" w:eastAsia="宋体" w:cs="宋体"/>
          <w:spacing w:val="-6"/>
          <w:sz w:val="24"/>
          <w:szCs w:val="24"/>
        </w:rPr>
        <w:t>价为准）、解密情况及其他内容，</w:t>
      </w:r>
      <w:r>
        <w:rPr>
          <w:rFonts w:ascii="宋体" w:hAnsi="宋体" w:eastAsia="宋体" w:cs="宋体"/>
          <w:spacing w:val="60"/>
          <w:sz w:val="24"/>
          <w:szCs w:val="24"/>
        </w:rPr>
        <w:t xml:space="preserve"> </w:t>
      </w:r>
      <w:r>
        <w:rPr>
          <w:rFonts w:ascii="宋体" w:hAnsi="宋体" w:eastAsia="宋体" w:cs="宋体"/>
          <w:spacing w:val="-6"/>
          <w:sz w:val="24"/>
          <w:szCs w:val="24"/>
        </w:rPr>
        <w:t>并记录在案。将未通过投标文件第一个信</w:t>
      </w:r>
      <w:r>
        <w:rPr>
          <w:rFonts w:ascii="宋体" w:hAnsi="宋体" w:eastAsia="宋体" w:cs="宋体"/>
          <w:spacing w:val="-7"/>
          <w:sz w:val="24"/>
          <w:szCs w:val="24"/>
        </w:rPr>
        <w:t>封（商务及</w:t>
      </w:r>
      <w:r>
        <w:rPr>
          <w:rFonts w:ascii="宋体" w:hAnsi="宋体" w:eastAsia="宋体" w:cs="宋体"/>
          <w:spacing w:val="-6"/>
          <w:sz w:val="24"/>
          <w:szCs w:val="24"/>
        </w:rPr>
        <w:t>技术文件）评审的投标文件第二个信封（报价文件）光盘或</w:t>
      </w:r>
      <w:r>
        <w:rPr>
          <w:rFonts w:ascii="宋体" w:hAnsi="宋体" w:eastAsia="宋体" w:cs="宋体"/>
          <w:spacing w:val="-41"/>
          <w:sz w:val="24"/>
          <w:szCs w:val="24"/>
        </w:rPr>
        <w:t xml:space="preserve"> </w:t>
      </w:r>
      <w:r>
        <w:rPr>
          <w:rFonts w:ascii="宋体" w:hAnsi="宋体" w:eastAsia="宋体" w:cs="宋体"/>
          <w:spacing w:val="-6"/>
          <w:sz w:val="24"/>
          <w:szCs w:val="24"/>
        </w:rPr>
        <w:t>U</w:t>
      </w:r>
      <w:r>
        <w:rPr>
          <w:rFonts w:ascii="宋体" w:hAnsi="宋体" w:eastAsia="宋体" w:cs="宋体"/>
          <w:spacing w:val="-51"/>
          <w:sz w:val="24"/>
          <w:szCs w:val="24"/>
        </w:rPr>
        <w:t xml:space="preserve"> </w:t>
      </w:r>
      <w:r>
        <w:rPr>
          <w:rFonts w:ascii="宋体" w:hAnsi="宋体" w:eastAsia="宋体" w:cs="宋体"/>
          <w:spacing w:val="-6"/>
          <w:sz w:val="24"/>
          <w:szCs w:val="24"/>
        </w:rPr>
        <w:t>盘（如有）退还给投标人。</w:t>
      </w:r>
      <w:r>
        <w:rPr>
          <w:rFonts w:ascii="宋体" w:hAnsi="宋体" w:eastAsia="宋体" w:cs="宋体"/>
          <w:spacing w:val="-1"/>
          <w:sz w:val="24"/>
          <w:szCs w:val="24"/>
        </w:rPr>
        <w:t>如投标人未参加第二个信封开标的，招标人应当在评</w:t>
      </w:r>
      <w:r>
        <w:rPr>
          <w:rFonts w:ascii="宋体" w:hAnsi="宋体" w:eastAsia="宋体" w:cs="宋体"/>
          <w:spacing w:val="-2"/>
          <w:sz w:val="24"/>
          <w:szCs w:val="24"/>
        </w:rPr>
        <w:t>标结束后及时将第二个信封光盘或</w:t>
      </w:r>
      <w:r>
        <w:rPr>
          <w:rFonts w:ascii="宋体" w:hAnsi="宋体" w:eastAsia="宋体" w:cs="宋体"/>
          <w:spacing w:val="-4"/>
          <w:sz w:val="24"/>
          <w:szCs w:val="24"/>
        </w:rPr>
        <w:t>U</w:t>
      </w:r>
      <w:r>
        <w:rPr>
          <w:rFonts w:ascii="宋体" w:hAnsi="宋体" w:eastAsia="宋体" w:cs="宋体"/>
          <w:spacing w:val="-48"/>
          <w:sz w:val="24"/>
          <w:szCs w:val="24"/>
        </w:rPr>
        <w:t xml:space="preserve"> </w:t>
      </w:r>
      <w:r>
        <w:rPr>
          <w:rFonts w:ascii="宋体" w:hAnsi="宋体" w:eastAsia="宋体" w:cs="宋体"/>
          <w:spacing w:val="-4"/>
          <w:sz w:val="24"/>
          <w:szCs w:val="24"/>
        </w:rPr>
        <w:t>盘（如有）退还投标人。</w:t>
      </w:r>
    </w:p>
    <w:p w14:paraId="67EF39AA">
      <w:pPr>
        <w:pStyle w:val="2"/>
        <w:spacing w:line="268" w:lineRule="auto"/>
        <w:ind w:firstLine="472" w:firstLineChars="200"/>
        <w:rPr>
          <w:rFonts w:ascii="宋体" w:hAnsi="宋体" w:eastAsia="宋体" w:cs="宋体"/>
          <w:sz w:val="24"/>
          <w:szCs w:val="24"/>
        </w:rPr>
      </w:pPr>
      <w:r>
        <w:rPr>
          <w:rFonts w:ascii="宋体" w:hAnsi="宋体" w:eastAsia="宋体" w:cs="宋体"/>
          <w:spacing w:val="-2"/>
          <w:sz w:val="24"/>
          <w:szCs w:val="24"/>
        </w:rPr>
        <w:t>（10）投标人代表、招标人、监标人（如有）、见证人（如有）等有关人员在开标记录上进行签字确认，投标人代表未签字确认的视为默认开标结果。如开标过程中出现</w:t>
      </w:r>
      <w:r>
        <w:rPr>
          <w:rFonts w:ascii="宋体" w:hAnsi="宋体" w:eastAsia="宋体" w:cs="宋体"/>
          <w:spacing w:val="-1"/>
          <w:sz w:val="24"/>
          <w:szCs w:val="24"/>
        </w:rPr>
        <w:t>需更正开标记录表的情况，招标人应通知所有投标人代表知晓，投</w:t>
      </w:r>
      <w:r>
        <w:rPr>
          <w:rFonts w:ascii="宋体" w:hAnsi="宋体" w:eastAsia="宋体" w:cs="宋体"/>
          <w:spacing w:val="-2"/>
          <w:sz w:val="24"/>
          <w:szCs w:val="24"/>
        </w:rPr>
        <w:t>标人代表、招标人、</w:t>
      </w:r>
      <w:r>
        <w:rPr>
          <w:rFonts w:ascii="宋体" w:hAnsi="宋体" w:eastAsia="宋体" w:cs="宋体"/>
          <w:spacing w:val="-1"/>
          <w:sz w:val="24"/>
          <w:szCs w:val="24"/>
        </w:rPr>
        <w:t>监标人（如有）、见证人（如有）等有关人员均应在更正后开标记</w:t>
      </w:r>
      <w:r>
        <w:rPr>
          <w:rFonts w:ascii="宋体" w:hAnsi="宋体" w:eastAsia="宋体" w:cs="宋体"/>
          <w:spacing w:val="-2"/>
          <w:sz w:val="24"/>
          <w:szCs w:val="24"/>
        </w:rPr>
        <w:t>录上进行签字确认，</w:t>
      </w:r>
      <w:r>
        <w:rPr>
          <w:rFonts w:ascii="宋体" w:hAnsi="宋体" w:eastAsia="宋体" w:cs="宋体"/>
          <w:spacing w:val="-3"/>
          <w:sz w:val="24"/>
          <w:szCs w:val="24"/>
        </w:rPr>
        <w:t>投标人代表未签字确认的视为默认更正结果。</w:t>
      </w:r>
    </w:p>
    <w:p w14:paraId="64A0BF37">
      <w:pPr>
        <w:spacing w:line="360" w:lineRule="auto"/>
        <w:ind w:left="15" w:right="191" w:firstLine="480"/>
        <w:rPr>
          <w:rFonts w:ascii="宋体" w:hAnsi="宋体" w:eastAsia="宋体" w:cs="宋体"/>
          <w:sz w:val="24"/>
          <w:szCs w:val="24"/>
        </w:rPr>
      </w:pPr>
      <w:r>
        <w:rPr>
          <w:rFonts w:ascii="宋体" w:hAnsi="宋体" w:eastAsia="宋体" w:cs="宋体"/>
          <w:spacing w:val="-2"/>
          <w:sz w:val="24"/>
          <w:szCs w:val="24"/>
        </w:rPr>
        <w:t>（11）投标人对开标有异议的，应当在开标现场提出，招标人应当当场作出答复，并制作记录。未参加开标的投标人，视为对开标过程无异议。</w:t>
      </w:r>
    </w:p>
    <w:p w14:paraId="3206B345">
      <w:pPr>
        <w:spacing w:before="1" w:line="218" w:lineRule="auto"/>
        <w:ind w:left="495"/>
        <w:rPr>
          <w:rFonts w:ascii="宋体" w:hAnsi="宋体" w:eastAsia="宋体" w:cs="宋体"/>
          <w:sz w:val="24"/>
          <w:szCs w:val="24"/>
        </w:rPr>
      </w:pPr>
      <w:r>
        <w:rPr>
          <w:rFonts w:ascii="宋体" w:hAnsi="宋体" w:eastAsia="宋体" w:cs="宋体"/>
          <w:spacing w:val="-5"/>
          <w:sz w:val="24"/>
          <w:szCs w:val="24"/>
        </w:rPr>
        <w:t>（12）开标会议结束。</w:t>
      </w:r>
    </w:p>
    <w:p w14:paraId="552B07A9">
      <w:pPr>
        <w:spacing w:before="183" w:line="360" w:lineRule="auto"/>
        <w:ind w:left="11" w:right="186" w:firstLine="482"/>
        <w:jc w:val="both"/>
        <w:rPr>
          <w:rFonts w:ascii="宋体" w:hAnsi="宋体" w:eastAsia="宋体" w:cs="宋体"/>
          <w:sz w:val="24"/>
          <w:szCs w:val="24"/>
        </w:rPr>
      </w:pPr>
      <w:r>
        <w:rPr>
          <w:rFonts w:ascii="宋体" w:hAnsi="宋体" w:eastAsia="宋体" w:cs="宋体"/>
          <w:spacing w:val="-2"/>
          <w:sz w:val="24"/>
          <w:szCs w:val="24"/>
        </w:rPr>
        <w:t>5.2.4 若采用合理低价法或综合评分法，在投标文件第二个信封（报价文件）开标现场，招标人将按第三章“评标办法”规定的原则计算并宣布评标基准价。若招标人发现投标文件出现以下任一情况，其投标报价将不再参加评标基准价的计算：</w:t>
      </w:r>
    </w:p>
    <w:p w14:paraId="02797A18">
      <w:pPr>
        <w:spacing w:line="218" w:lineRule="auto"/>
        <w:ind w:left="531"/>
        <w:rPr>
          <w:rFonts w:ascii="宋体" w:hAnsi="宋体" w:eastAsia="宋体" w:cs="宋体"/>
          <w:sz w:val="24"/>
          <w:szCs w:val="24"/>
        </w:rPr>
      </w:pPr>
      <w:r>
        <w:rPr>
          <w:rFonts w:ascii="宋体" w:hAnsi="宋体" w:eastAsia="宋体" w:cs="宋体"/>
          <w:spacing w:val="-6"/>
          <w:sz w:val="24"/>
          <w:szCs w:val="24"/>
        </w:rPr>
        <w:t>(1)未在报价函上填写投标总报价；</w:t>
      </w:r>
    </w:p>
    <w:p w14:paraId="08C7F34B">
      <w:pPr>
        <w:spacing w:before="184" w:line="218" w:lineRule="auto"/>
        <w:ind w:left="531"/>
        <w:rPr>
          <w:rFonts w:ascii="宋体" w:hAnsi="宋体" w:eastAsia="宋体" w:cs="宋体"/>
          <w:sz w:val="24"/>
          <w:szCs w:val="24"/>
        </w:rPr>
      </w:pPr>
      <w:r>
        <w:rPr>
          <w:rFonts w:ascii="宋体" w:hAnsi="宋体" w:eastAsia="宋体" w:cs="宋体"/>
          <w:spacing w:val="-3"/>
          <w:sz w:val="24"/>
          <w:szCs w:val="24"/>
        </w:rPr>
        <w:t>(2)投标总报价或调价函（如有）中投标总报价超出招标人公布的最高投标限价；</w:t>
      </w:r>
    </w:p>
    <w:p w14:paraId="7E316247">
      <w:pPr>
        <w:spacing w:before="184" w:line="218" w:lineRule="auto"/>
        <w:ind w:left="531"/>
        <w:rPr>
          <w:rFonts w:ascii="宋体" w:hAnsi="宋体" w:eastAsia="宋体" w:cs="宋体"/>
          <w:sz w:val="24"/>
          <w:szCs w:val="24"/>
        </w:rPr>
      </w:pPr>
      <w:r>
        <w:rPr>
          <w:rFonts w:ascii="宋体" w:hAnsi="宋体" w:eastAsia="宋体" w:cs="宋体"/>
          <w:spacing w:val="-3"/>
          <w:sz w:val="24"/>
          <w:szCs w:val="24"/>
        </w:rPr>
        <w:t>(3)投标总报价或调价函（如有）中投标总报价的大写金额无法确定具体数值；</w:t>
      </w:r>
    </w:p>
    <w:p w14:paraId="2A8285A4">
      <w:pPr>
        <w:spacing w:before="184" w:line="220" w:lineRule="auto"/>
        <w:ind w:left="531"/>
        <w:rPr>
          <w:rFonts w:ascii="宋体" w:hAnsi="宋体" w:eastAsia="宋体" w:cs="宋体"/>
          <w:sz w:val="24"/>
          <w:szCs w:val="24"/>
        </w:rPr>
      </w:pPr>
      <w:r>
        <w:rPr>
          <w:rFonts w:ascii="宋体" w:hAnsi="宋体" w:eastAsia="宋体" w:cs="宋体"/>
          <w:spacing w:val="-5"/>
          <w:sz w:val="24"/>
          <w:szCs w:val="24"/>
        </w:rPr>
        <w:t>(4)投标函上填写的标段号标记错误。</w:t>
      </w:r>
    </w:p>
    <w:p w14:paraId="2A31AD3E">
      <w:pPr>
        <w:spacing w:before="182" w:line="360" w:lineRule="auto"/>
        <w:ind w:left="8" w:right="186" w:firstLine="484"/>
        <w:jc w:val="both"/>
        <w:rPr>
          <w:rFonts w:ascii="宋体" w:hAnsi="宋体" w:eastAsia="宋体" w:cs="宋体"/>
          <w:sz w:val="24"/>
          <w:szCs w:val="24"/>
        </w:rPr>
      </w:pPr>
      <w:r>
        <w:rPr>
          <w:rFonts w:ascii="宋体" w:hAnsi="宋体" w:eastAsia="宋体" w:cs="宋体"/>
          <w:spacing w:val="-2"/>
          <w:sz w:val="24"/>
          <w:szCs w:val="24"/>
        </w:rPr>
        <w:t>如果投标人认为某一标段的评标基准价计算有误，有权在开标现场提出，经招标人当场核实确认之后，可重新宣布评标基准价。开标现场宣布的评标基准价除计算有误经</w:t>
      </w:r>
      <w:r>
        <w:rPr>
          <w:rFonts w:ascii="宋体" w:hAnsi="宋体" w:eastAsia="宋体" w:cs="宋体"/>
          <w:spacing w:val="-1"/>
          <w:sz w:val="24"/>
          <w:szCs w:val="24"/>
        </w:rPr>
        <w:t>评标委员会修正外，在整个评标期间保持不变，</w:t>
      </w:r>
      <w:r>
        <w:rPr>
          <w:rFonts w:ascii="宋体" w:hAnsi="宋体" w:eastAsia="宋体" w:cs="宋体"/>
          <w:spacing w:val="-2"/>
          <w:sz w:val="24"/>
          <w:szCs w:val="24"/>
        </w:rPr>
        <w:t>不随任何因素发生变化。</w:t>
      </w:r>
    </w:p>
    <w:p w14:paraId="3B711ADA">
      <w:pPr>
        <w:spacing w:line="360" w:lineRule="auto"/>
        <w:ind w:left="10" w:right="186" w:firstLine="483"/>
        <w:jc w:val="both"/>
        <w:rPr>
          <w:rFonts w:ascii="宋体" w:hAnsi="宋体" w:eastAsia="宋体" w:cs="宋体"/>
          <w:sz w:val="24"/>
          <w:szCs w:val="24"/>
        </w:rPr>
      </w:pPr>
      <w:r>
        <w:rPr>
          <w:rFonts w:ascii="宋体" w:hAnsi="宋体" w:eastAsia="宋体" w:cs="宋体"/>
          <w:spacing w:val="-2"/>
          <w:sz w:val="24"/>
          <w:szCs w:val="24"/>
        </w:rPr>
        <w:t>5.2.5 在投标文件第一个信封（商务及技术文件）或第二个信封（报价文件）开标过程中，若招标人宣读的内容与投标文件不符时，投标人有权在开标现场提出异议，经</w:t>
      </w:r>
      <w:r>
        <w:rPr>
          <w:rFonts w:ascii="宋体" w:hAnsi="宋体" w:eastAsia="宋体" w:cs="宋体"/>
          <w:spacing w:val="-6"/>
          <w:sz w:val="24"/>
          <w:szCs w:val="24"/>
        </w:rPr>
        <w:t>招标人当场核查确认之后，可重新宣读其投标文件。若投标人现场未提出异议</w:t>
      </w:r>
      <w:r>
        <w:rPr>
          <w:rFonts w:ascii="宋体" w:hAnsi="宋体" w:eastAsia="宋体" w:cs="宋体"/>
          <w:spacing w:val="-7"/>
          <w:sz w:val="24"/>
          <w:szCs w:val="24"/>
        </w:rPr>
        <w:t>，</w:t>
      </w:r>
      <w:r>
        <w:rPr>
          <w:rFonts w:ascii="宋体" w:hAnsi="宋体" w:eastAsia="宋体" w:cs="宋体"/>
          <w:spacing w:val="52"/>
          <w:sz w:val="24"/>
          <w:szCs w:val="24"/>
        </w:rPr>
        <w:t xml:space="preserve"> </w:t>
      </w:r>
      <w:r>
        <w:rPr>
          <w:rFonts w:ascii="宋体" w:hAnsi="宋体" w:eastAsia="宋体" w:cs="宋体"/>
          <w:spacing w:val="-7"/>
          <w:sz w:val="24"/>
          <w:szCs w:val="24"/>
        </w:rPr>
        <w:t>则认为</w:t>
      </w:r>
      <w:r>
        <w:rPr>
          <w:rFonts w:ascii="宋体" w:hAnsi="宋体" w:eastAsia="宋体" w:cs="宋体"/>
          <w:spacing w:val="-3"/>
          <w:sz w:val="24"/>
          <w:szCs w:val="24"/>
        </w:rPr>
        <w:t>投标人已确认招标人宣读的内容。</w:t>
      </w:r>
    </w:p>
    <w:p w14:paraId="0822FA0B">
      <w:pPr>
        <w:spacing w:before="1" w:line="219" w:lineRule="auto"/>
        <w:ind w:left="14"/>
        <w:rPr>
          <w:rFonts w:ascii="宋体" w:hAnsi="宋体" w:eastAsia="宋体" w:cs="宋体"/>
          <w:sz w:val="24"/>
          <w:szCs w:val="24"/>
        </w:rPr>
      </w:pPr>
      <w:r>
        <w:rPr>
          <w:rFonts w:ascii="宋体" w:hAnsi="宋体" w:eastAsia="宋体" w:cs="宋体"/>
          <w:b/>
          <w:bCs/>
          <w:spacing w:val="-4"/>
          <w:sz w:val="24"/>
          <w:szCs w:val="24"/>
        </w:rPr>
        <w:t>5.3</w:t>
      </w:r>
      <w:r>
        <w:rPr>
          <w:rFonts w:ascii="宋体" w:hAnsi="宋体" w:eastAsia="宋体" w:cs="宋体"/>
          <w:spacing w:val="-4"/>
          <w:sz w:val="24"/>
          <w:szCs w:val="24"/>
        </w:rPr>
        <w:t xml:space="preserve"> </w:t>
      </w:r>
      <w:r>
        <w:rPr>
          <w:rFonts w:ascii="宋体" w:hAnsi="宋体" w:eastAsia="宋体" w:cs="宋体"/>
          <w:b/>
          <w:bCs/>
          <w:spacing w:val="-4"/>
          <w:sz w:val="24"/>
          <w:szCs w:val="24"/>
        </w:rPr>
        <w:t>开标异议</w:t>
      </w:r>
    </w:p>
    <w:p w14:paraId="07DF4708">
      <w:pPr>
        <w:spacing w:before="182" w:line="361" w:lineRule="auto"/>
        <w:ind w:left="10" w:firstLine="481"/>
        <w:jc w:val="both"/>
        <w:rPr>
          <w:rFonts w:ascii="宋体" w:hAnsi="宋体" w:eastAsia="宋体" w:cs="宋体"/>
          <w:sz w:val="24"/>
          <w:szCs w:val="24"/>
        </w:rPr>
      </w:pPr>
      <w:r>
        <w:rPr>
          <w:rFonts w:ascii="宋体" w:hAnsi="宋体" w:eastAsia="宋体" w:cs="宋体"/>
          <w:spacing w:val="-7"/>
          <w:sz w:val="24"/>
          <w:szCs w:val="24"/>
        </w:rPr>
        <w:t>投标人对开标有异议的，应在开标现场提出（采用电子化</w:t>
      </w:r>
      <w:r>
        <w:rPr>
          <w:rFonts w:ascii="宋体" w:hAnsi="宋体" w:eastAsia="宋体" w:cs="宋体"/>
          <w:spacing w:val="-8"/>
          <w:sz w:val="24"/>
          <w:szCs w:val="24"/>
        </w:rPr>
        <w:t>开标的可在系统平台提出</w:t>
      </w:r>
      <w:r>
        <w:rPr>
          <w:rFonts w:ascii="宋体" w:hAnsi="宋体" w:eastAsia="宋体" w:cs="宋体"/>
          <w:spacing w:val="-46"/>
          <w:sz w:val="24"/>
          <w:szCs w:val="24"/>
        </w:rPr>
        <w:t>），</w:t>
      </w:r>
      <w:r>
        <w:rPr>
          <w:rFonts w:ascii="宋体" w:hAnsi="宋体" w:eastAsia="宋体" w:cs="宋体"/>
          <w:spacing w:val="-1"/>
          <w:sz w:val="24"/>
          <w:szCs w:val="24"/>
        </w:rPr>
        <w:t>招标人当场作出答复（采用电子化开标的可在系统平台答复</w:t>
      </w:r>
      <w:r>
        <w:rPr>
          <w:rFonts w:ascii="宋体" w:hAnsi="宋体" w:eastAsia="宋体" w:cs="宋体"/>
          <w:spacing w:val="-12"/>
          <w:sz w:val="24"/>
          <w:szCs w:val="24"/>
        </w:rPr>
        <w:t>），</w:t>
      </w:r>
      <w:r>
        <w:rPr>
          <w:rFonts w:ascii="宋体" w:hAnsi="宋体" w:eastAsia="宋体" w:cs="宋体"/>
          <w:spacing w:val="-1"/>
          <w:sz w:val="24"/>
          <w:szCs w:val="24"/>
        </w:rPr>
        <w:t>并制作记录，有异议的</w:t>
      </w:r>
      <w:r>
        <w:rPr>
          <w:rFonts w:ascii="宋体" w:hAnsi="宋体" w:eastAsia="宋体" w:cs="宋体"/>
          <w:spacing w:val="-2"/>
          <w:sz w:val="24"/>
          <w:szCs w:val="24"/>
        </w:rPr>
        <w:t>投标人（现场如有）、招标人代表、记录人等有关人员在记录上签字确认。未参加开标</w:t>
      </w:r>
      <w:r>
        <w:rPr>
          <w:rFonts w:ascii="宋体" w:hAnsi="宋体" w:eastAsia="宋体" w:cs="宋体"/>
          <w:spacing w:val="-3"/>
          <w:sz w:val="24"/>
          <w:szCs w:val="24"/>
        </w:rPr>
        <w:t>的投标人，视为对开标过程无异议。</w:t>
      </w:r>
    </w:p>
    <w:p w14:paraId="00E14AB3">
      <w:pPr>
        <w:pStyle w:val="2"/>
        <w:spacing w:line="381" w:lineRule="auto"/>
      </w:pPr>
    </w:p>
    <w:p w14:paraId="0822C4EF">
      <w:pPr>
        <w:spacing w:before="79" w:line="220" w:lineRule="auto"/>
        <w:ind w:left="14"/>
        <w:rPr>
          <w:rFonts w:ascii="宋体" w:hAnsi="宋体" w:eastAsia="宋体" w:cs="宋体"/>
          <w:sz w:val="24"/>
          <w:szCs w:val="24"/>
        </w:rPr>
      </w:pPr>
      <w:r>
        <w:rPr>
          <w:rFonts w:ascii="宋体" w:hAnsi="宋体" w:eastAsia="宋体" w:cs="宋体"/>
          <w:b/>
          <w:bCs/>
          <w:spacing w:val="-3"/>
          <w:sz w:val="24"/>
          <w:szCs w:val="24"/>
        </w:rPr>
        <w:t>5.4</w:t>
      </w:r>
      <w:r>
        <w:rPr>
          <w:rFonts w:ascii="宋体" w:hAnsi="宋体" w:eastAsia="宋体" w:cs="宋体"/>
          <w:spacing w:val="-3"/>
          <w:sz w:val="24"/>
          <w:szCs w:val="24"/>
        </w:rPr>
        <w:t xml:space="preserve"> </w:t>
      </w:r>
      <w:r>
        <w:rPr>
          <w:rFonts w:ascii="宋体" w:hAnsi="宋体" w:eastAsia="宋体" w:cs="宋体"/>
          <w:b/>
          <w:bCs/>
          <w:spacing w:val="-3"/>
          <w:sz w:val="24"/>
          <w:szCs w:val="24"/>
        </w:rPr>
        <w:t>开标补救措施</w:t>
      </w:r>
    </w:p>
    <w:p w14:paraId="0F76D726">
      <w:pPr>
        <w:spacing w:before="182" w:line="219" w:lineRule="auto"/>
        <w:ind w:left="494"/>
        <w:rPr>
          <w:rFonts w:ascii="宋体" w:hAnsi="宋体" w:eastAsia="宋体" w:cs="宋体"/>
          <w:spacing w:val="-2"/>
          <w:sz w:val="24"/>
          <w:szCs w:val="24"/>
        </w:rPr>
      </w:pPr>
      <w:r>
        <w:rPr>
          <w:rFonts w:ascii="宋体" w:hAnsi="宋体" w:eastAsia="宋体" w:cs="宋体"/>
          <w:spacing w:val="-2"/>
          <w:sz w:val="24"/>
          <w:szCs w:val="24"/>
        </w:rPr>
        <w:t>5.4.1 开标过程中因出现以下情况，导致系统无法正常运行，应中止电子开标，并在恢复正常后及时安排时间开标。同时，做好后续开标的前期工作。</w:t>
      </w:r>
    </w:p>
    <w:p w14:paraId="58532A0E">
      <w:pPr>
        <w:spacing w:before="78" w:line="220" w:lineRule="auto"/>
        <w:ind w:left="531"/>
        <w:rPr>
          <w:rFonts w:ascii="宋体" w:hAnsi="宋体" w:eastAsia="宋体" w:cs="宋体"/>
          <w:sz w:val="24"/>
          <w:szCs w:val="24"/>
        </w:rPr>
      </w:pPr>
      <w:r>
        <w:rPr>
          <w:rFonts w:ascii="宋体" w:hAnsi="宋体" w:eastAsia="宋体" w:cs="宋体"/>
          <w:spacing w:val="-4"/>
          <w:sz w:val="24"/>
          <w:szCs w:val="24"/>
        </w:rPr>
        <w:t>(1)系统服务器发生故障，无法访问或无法</w:t>
      </w:r>
      <w:r>
        <w:rPr>
          <w:rFonts w:ascii="宋体" w:hAnsi="宋体" w:eastAsia="宋体" w:cs="宋体"/>
          <w:spacing w:val="-5"/>
          <w:sz w:val="24"/>
          <w:szCs w:val="24"/>
        </w:rPr>
        <w:t>使用系统；</w:t>
      </w:r>
    </w:p>
    <w:p w14:paraId="678B3A83">
      <w:pPr>
        <w:spacing w:before="182" w:line="220" w:lineRule="auto"/>
        <w:ind w:left="531"/>
        <w:rPr>
          <w:rFonts w:ascii="宋体" w:hAnsi="宋体" w:eastAsia="宋体" w:cs="宋体"/>
          <w:sz w:val="24"/>
          <w:szCs w:val="24"/>
        </w:rPr>
      </w:pPr>
      <w:r>
        <w:rPr>
          <w:rFonts w:ascii="宋体" w:hAnsi="宋体" w:eastAsia="宋体" w:cs="宋体"/>
          <w:spacing w:val="-4"/>
          <w:sz w:val="24"/>
          <w:szCs w:val="24"/>
        </w:rPr>
        <w:t>(2)系统的软件或数据库出现错误，不能进行正常操作；</w:t>
      </w:r>
    </w:p>
    <w:p w14:paraId="48C4D694">
      <w:pPr>
        <w:spacing w:before="182" w:line="220" w:lineRule="auto"/>
        <w:ind w:left="531"/>
        <w:rPr>
          <w:rFonts w:ascii="宋体" w:hAnsi="宋体" w:eastAsia="宋体" w:cs="宋体"/>
          <w:sz w:val="24"/>
          <w:szCs w:val="24"/>
        </w:rPr>
      </w:pPr>
      <w:r>
        <w:rPr>
          <w:rFonts w:ascii="宋体" w:hAnsi="宋体" w:eastAsia="宋体" w:cs="宋体"/>
          <w:spacing w:val="-5"/>
          <w:sz w:val="24"/>
          <w:szCs w:val="24"/>
        </w:rPr>
        <w:t>(3)系统发现有安全漏洞，有潜在的泄密危险；</w:t>
      </w:r>
    </w:p>
    <w:p w14:paraId="2C74DF6B">
      <w:pPr>
        <w:spacing w:before="181" w:line="219" w:lineRule="auto"/>
        <w:ind w:left="531"/>
        <w:rPr>
          <w:rFonts w:ascii="宋体" w:hAnsi="宋体" w:eastAsia="宋体" w:cs="宋体"/>
          <w:sz w:val="24"/>
          <w:szCs w:val="24"/>
        </w:rPr>
      </w:pPr>
      <w:r>
        <w:rPr>
          <w:rFonts w:ascii="宋体" w:hAnsi="宋体" w:eastAsia="宋体" w:cs="宋体"/>
          <w:spacing w:val="-5"/>
          <w:sz w:val="24"/>
          <w:szCs w:val="24"/>
        </w:rPr>
        <w:t>(4)出现断电事故且短时间内无法恢复供电的；</w:t>
      </w:r>
    </w:p>
    <w:p w14:paraId="1BAB04AD">
      <w:pPr>
        <w:spacing w:before="183" w:line="220" w:lineRule="auto"/>
        <w:ind w:left="531"/>
        <w:rPr>
          <w:rFonts w:ascii="宋体" w:hAnsi="宋体" w:eastAsia="宋体" w:cs="宋体"/>
          <w:sz w:val="24"/>
          <w:szCs w:val="24"/>
        </w:rPr>
      </w:pPr>
      <w:r>
        <w:rPr>
          <w:rFonts w:ascii="宋体" w:hAnsi="宋体" w:eastAsia="宋体" w:cs="宋体"/>
          <w:spacing w:val="-4"/>
          <w:sz w:val="24"/>
          <w:szCs w:val="24"/>
        </w:rPr>
        <w:t>(5)其他无法保证招投标过程正常进行的情形。</w:t>
      </w:r>
    </w:p>
    <w:p w14:paraId="2EB6E9EB">
      <w:pPr>
        <w:spacing w:before="182" w:line="219" w:lineRule="auto"/>
        <w:ind w:left="494"/>
        <w:rPr>
          <w:rFonts w:ascii="宋体" w:hAnsi="宋体" w:eastAsia="宋体" w:cs="宋体"/>
          <w:sz w:val="24"/>
          <w:szCs w:val="24"/>
        </w:rPr>
      </w:pPr>
      <w:r>
        <w:rPr>
          <w:rFonts w:ascii="宋体" w:hAnsi="宋体" w:eastAsia="宋体" w:cs="宋体"/>
          <w:spacing w:val="-2"/>
          <w:sz w:val="24"/>
          <w:szCs w:val="24"/>
        </w:rPr>
        <w:t>5.4.2 采取补救措施时，必须对原有资料及信息作出妥善保密处理。</w:t>
      </w:r>
    </w:p>
    <w:p w14:paraId="7A65A1F0">
      <w:pPr>
        <w:spacing w:before="184" w:line="220" w:lineRule="auto"/>
        <w:ind w:left="11"/>
        <w:rPr>
          <w:rFonts w:ascii="宋体" w:hAnsi="宋体" w:eastAsia="宋体" w:cs="宋体"/>
          <w:sz w:val="24"/>
          <w:szCs w:val="24"/>
        </w:rPr>
      </w:pPr>
      <w:r>
        <w:rPr>
          <w:rFonts w:ascii="宋体" w:hAnsi="宋体" w:eastAsia="宋体" w:cs="宋体"/>
          <w:b/>
          <w:bCs/>
          <w:spacing w:val="-6"/>
          <w:sz w:val="24"/>
          <w:szCs w:val="24"/>
        </w:rPr>
        <w:t>6.</w:t>
      </w:r>
      <w:r>
        <w:rPr>
          <w:rFonts w:ascii="宋体" w:hAnsi="宋体" w:eastAsia="宋体" w:cs="宋体"/>
          <w:spacing w:val="9"/>
          <w:sz w:val="24"/>
          <w:szCs w:val="24"/>
        </w:rPr>
        <w:t xml:space="preserve"> </w:t>
      </w:r>
      <w:r>
        <w:rPr>
          <w:rFonts w:ascii="宋体" w:hAnsi="宋体" w:eastAsia="宋体" w:cs="宋体"/>
          <w:b/>
          <w:bCs/>
          <w:spacing w:val="-6"/>
          <w:sz w:val="24"/>
          <w:szCs w:val="24"/>
        </w:rPr>
        <w:t>评标</w:t>
      </w:r>
    </w:p>
    <w:p w14:paraId="2543F8A9">
      <w:pPr>
        <w:spacing w:before="181" w:line="219" w:lineRule="auto"/>
        <w:ind w:left="11"/>
        <w:rPr>
          <w:rFonts w:ascii="宋体" w:hAnsi="宋体" w:eastAsia="宋体" w:cs="宋体"/>
          <w:sz w:val="24"/>
          <w:szCs w:val="24"/>
        </w:rPr>
      </w:pPr>
      <w:r>
        <w:rPr>
          <w:rFonts w:ascii="宋体" w:hAnsi="宋体" w:eastAsia="宋体" w:cs="宋体"/>
          <w:b/>
          <w:bCs/>
          <w:spacing w:val="-3"/>
          <w:sz w:val="24"/>
          <w:szCs w:val="24"/>
        </w:rPr>
        <w:t>6.1</w:t>
      </w:r>
      <w:r>
        <w:rPr>
          <w:rFonts w:ascii="宋体" w:hAnsi="宋体" w:eastAsia="宋体" w:cs="宋体"/>
          <w:spacing w:val="-3"/>
          <w:sz w:val="24"/>
          <w:szCs w:val="24"/>
        </w:rPr>
        <w:t xml:space="preserve"> </w:t>
      </w:r>
      <w:r>
        <w:rPr>
          <w:rFonts w:ascii="宋体" w:hAnsi="宋体" w:eastAsia="宋体" w:cs="宋体"/>
          <w:b/>
          <w:bCs/>
          <w:spacing w:val="-3"/>
          <w:sz w:val="24"/>
          <w:szCs w:val="24"/>
        </w:rPr>
        <w:t>评标委员会</w:t>
      </w:r>
    </w:p>
    <w:p w14:paraId="7A178436">
      <w:pPr>
        <w:spacing w:before="184" w:line="360" w:lineRule="auto"/>
        <w:ind w:left="8" w:firstLine="482"/>
        <w:rPr>
          <w:rFonts w:ascii="宋体" w:hAnsi="宋体" w:eastAsia="宋体" w:cs="宋体"/>
          <w:sz w:val="24"/>
          <w:szCs w:val="24"/>
        </w:rPr>
      </w:pPr>
      <w:r>
        <w:rPr>
          <w:rFonts w:ascii="宋体" w:hAnsi="宋体" w:eastAsia="宋体" w:cs="宋体"/>
          <w:spacing w:val="-5"/>
          <w:sz w:val="24"/>
          <w:szCs w:val="24"/>
        </w:rPr>
        <w:t>6.1.1 评标由招标人依法组建的评标委员会负责。评标委员会由招标人（或其委派）</w:t>
      </w:r>
      <w:r>
        <w:rPr>
          <w:rFonts w:ascii="宋体" w:hAnsi="宋体" w:eastAsia="宋体" w:cs="宋体"/>
          <w:spacing w:val="-2"/>
          <w:sz w:val="24"/>
          <w:szCs w:val="24"/>
        </w:rPr>
        <w:t>代表（简称“招标人代表”</w:t>
      </w:r>
      <w:r>
        <w:rPr>
          <w:rFonts w:ascii="宋体" w:hAnsi="宋体" w:eastAsia="宋体" w:cs="宋体"/>
          <w:spacing w:val="9"/>
          <w:sz w:val="24"/>
          <w:szCs w:val="24"/>
        </w:rPr>
        <w:t>），</w:t>
      </w:r>
      <w:r>
        <w:rPr>
          <w:rFonts w:ascii="宋体" w:hAnsi="宋体" w:eastAsia="宋体" w:cs="宋体"/>
          <w:spacing w:val="-2"/>
          <w:sz w:val="24"/>
          <w:szCs w:val="24"/>
        </w:rPr>
        <w:t>以及有关技术、经济等方面的专家组成。评标委</w:t>
      </w:r>
      <w:r>
        <w:rPr>
          <w:rFonts w:ascii="宋体" w:hAnsi="宋体" w:eastAsia="宋体" w:cs="宋体"/>
          <w:spacing w:val="-3"/>
          <w:sz w:val="24"/>
          <w:szCs w:val="24"/>
        </w:rPr>
        <w:t>员会成</w:t>
      </w:r>
      <w:r>
        <w:rPr>
          <w:rFonts w:ascii="宋体" w:hAnsi="宋体" w:eastAsia="宋体" w:cs="宋体"/>
          <w:spacing w:val="-2"/>
          <w:sz w:val="24"/>
          <w:szCs w:val="24"/>
        </w:rPr>
        <w:t>员人数以及技术、经济等方面专家的确定方式见投标人须知前附表。</w:t>
      </w:r>
    </w:p>
    <w:p w14:paraId="62BBEF7D">
      <w:pPr>
        <w:spacing w:before="1" w:line="218" w:lineRule="auto"/>
        <w:ind w:left="491"/>
        <w:rPr>
          <w:rFonts w:ascii="宋体" w:hAnsi="宋体" w:eastAsia="宋体" w:cs="宋体"/>
          <w:sz w:val="24"/>
          <w:szCs w:val="24"/>
        </w:rPr>
      </w:pPr>
      <w:r>
        <w:rPr>
          <w:rFonts w:ascii="宋体" w:hAnsi="宋体" w:eastAsia="宋体" w:cs="宋体"/>
          <w:spacing w:val="-2"/>
          <w:sz w:val="24"/>
          <w:szCs w:val="24"/>
        </w:rPr>
        <w:t>6.1.2 评标委员会成员有下列情形之一的，应主动提出回</w:t>
      </w:r>
      <w:r>
        <w:rPr>
          <w:rFonts w:ascii="宋体" w:hAnsi="宋体" w:eastAsia="宋体" w:cs="宋体"/>
          <w:spacing w:val="-3"/>
          <w:sz w:val="24"/>
          <w:szCs w:val="24"/>
        </w:rPr>
        <w:t>避：</w:t>
      </w:r>
    </w:p>
    <w:p w14:paraId="705B8313">
      <w:pPr>
        <w:spacing w:before="183" w:line="220" w:lineRule="auto"/>
        <w:ind w:left="495"/>
        <w:rPr>
          <w:rFonts w:ascii="宋体" w:hAnsi="宋体" w:eastAsia="宋体" w:cs="宋体"/>
          <w:sz w:val="24"/>
          <w:szCs w:val="24"/>
        </w:rPr>
      </w:pPr>
      <w:r>
        <w:rPr>
          <w:rFonts w:ascii="宋体" w:hAnsi="宋体" w:eastAsia="宋体" w:cs="宋体"/>
          <w:spacing w:val="-3"/>
          <w:sz w:val="24"/>
          <w:szCs w:val="24"/>
        </w:rPr>
        <w:t>（1）为负责招标项目监督管理的交通运输主管部门的工作人员；</w:t>
      </w:r>
    </w:p>
    <w:p w14:paraId="7CEE9E9C">
      <w:pPr>
        <w:spacing w:before="182" w:line="220" w:lineRule="auto"/>
        <w:ind w:left="495"/>
        <w:rPr>
          <w:rFonts w:ascii="宋体" w:hAnsi="宋体" w:eastAsia="宋体" w:cs="宋体"/>
          <w:sz w:val="24"/>
          <w:szCs w:val="24"/>
        </w:rPr>
      </w:pPr>
      <w:r>
        <w:rPr>
          <w:rFonts w:ascii="宋体" w:hAnsi="宋体" w:eastAsia="宋体" w:cs="宋体"/>
          <w:spacing w:val="-2"/>
          <w:sz w:val="24"/>
          <w:szCs w:val="24"/>
        </w:rPr>
        <w:t>（2）与投标人法定代表人或者授权参与投标的代理人有近亲属关系的</w:t>
      </w:r>
      <w:r>
        <w:rPr>
          <w:rFonts w:ascii="宋体" w:hAnsi="宋体" w:eastAsia="宋体" w:cs="宋体"/>
          <w:spacing w:val="-3"/>
          <w:sz w:val="24"/>
          <w:szCs w:val="24"/>
        </w:rPr>
        <w:t>人员；</w:t>
      </w:r>
    </w:p>
    <w:p w14:paraId="3D8F0BF8">
      <w:pPr>
        <w:spacing w:before="182" w:line="220" w:lineRule="auto"/>
        <w:ind w:left="495"/>
        <w:rPr>
          <w:rFonts w:ascii="宋体" w:hAnsi="宋体" w:eastAsia="宋体" w:cs="宋体"/>
          <w:sz w:val="24"/>
          <w:szCs w:val="24"/>
        </w:rPr>
      </w:pPr>
      <w:r>
        <w:rPr>
          <w:rFonts w:ascii="宋体" w:hAnsi="宋体" w:eastAsia="宋体" w:cs="宋体"/>
          <w:spacing w:val="-4"/>
          <w:sz w:val="24"/>
          <w:szCs w:val="24"/>
        </w:rPr>
        <w:t>（3）为投标人的工作人员或退休或离职未满</w:t>
      </w:r>
      <w:r>
        <w:rPr>
          <w:rFonts w:ascii="宋体" w:hAnsi="宋体" w:eastAsia="宋体" w:cs="宋体"/>
          <w:spacing w:val="-27"/>
          <w:sz w:val="24"/>
          <w:szCs w:val="24"/>
        </w:rPr>
        <w:t xml:space="preserve"> </w:t>
      </w:r>
      <w:r>
        <w:rPr>
          <w:rFonts w:ascii="宋体" w:hAnsi="宋体" w:eastAsia="宋体" w:cs="宋体"/>
          <w:spacing w:val="-4"/>
          <w:sz w:val="24"/>
          <w:szCs w:val="24"/>
        </w:rPr>
        <w:t>3</w:t>
      </w:r>
      <w:r>
        <w:rPr>
          <w:rFonts w:ascii="宋体" w:hAnsi="宋体" w:eastAsia="宋体" w:cs="宋体"/>
          <w:spacing w:val="-49"/>
          <w:sz w:val="24"/>
          <w:szCs w:val="24"/>
        </w:rPr>
        <w:t xml:space="preserve"> </w:t>
      </w:r>
      <w:r>
        <w:rPr>
          <w:rFonts w:ascii="宋体" w:hAnsi="宋体" w:eastAsia="宋体" w:cs="宋体"/>
          <w:spacing w:val="-4"/>
          <w:sz w:val="24"/>
          <w:szCs w:val="24"/>
        </w:rPr>
        <w:t>年的人员；</w:t>
      </w:r>
    </w:p>
    <w:p w14:paraId="2F6DC658">
      <w:pPr>
        <w:spacing w:before="182" w:line="220" w:lineRule="auto"/>
        <w:ind w:left="495"/>
        <w:rPr>
          <w:rFonts w:ascii="宋体" w:hAnsi="宋体" w:eastAsia="宋体" w:cs="宋体"/>
          <w:sz w:val="24"/>
          <w:szCs w:val="24"/>
        </w:rPr>
      </w:pPr>
      <w:r>
        <w:rPr>
          <w:rFonts w:ascii="宋体" w:hAnsi="宋体" w:eastAsia="宋体" w:cs="宋体"/>
          <w:spacing w:val="-3"/>
          <w:sz w:val="24"/>
          <w:szCs w:val="24"/>
        </w:rPr>
        <w:t>（4）与投标人有其他利害关系，可能影响评标活动公正性；</w:t>
      </w:r>
    </w:p>
    <w:p w14:paraId="57851DC5">
      <w:pPr>
        <w:spacing w:before="182" w:line="360" w:lineRule="auto"/>
        <w:ind w:left="490" w:right="18" w:firstLine="5"/>
        <w:rPr>
          <w:rFonts w:ascii="宋体" w:hAnsi="宋体" w:eastAsia="宋体" w:cs="宋体"/>
          <w:sz w:val="24"/>
          <w:szCs w:val="24"/>
        </w:rPr>
      </w:pPr>
      <w:r>
        <w:rPr>
          <w:rFonts w:ascii="宋体" w:hAnsi="宋体" w:eastAsia="宋体" w:cs="宋体"/>
          <w:spacing w:val="-3"/>
          <w:sz w:val="24"/>
          <w:szCs w:val="24"/>
        </w:rPr>
        <w:t>（5）在与招标投标有关的活动中有过违法违规行为、曾受过行政处罚或刑事处罚。</w:t>
      </w:r>
      <w:r>
        <w:rPr>
          <w:rFonts w:ascii="宋体" w:hAnsi="宋体" w:eastAsia="宋体" w:cs="宋体"/>
          <w:spacing w:val="-2"/>
          <w:sz w:val="24"/>
          <w:szCs w:val="24"/>
        </w:rPr>
        <w:t>招标人及其子公司、招标人下属单位、招标人的上级主管部门或者控股公司、招标</w:t>
      </w:r>
    </w:p>
    <w:p w14:paraId="6E038DB9">
      <w:pPr>
        <w:spacing w:line="360" w:lineRule="auto"/>
        <w:ind w:left="12" w:right="100" w:hanging="4"/>
        <w:rPr>
          <w:rFonts w:ascii="宋体" w:hAnsi="宋体" w:eastAsia="宋体" w:cs="宋体"/>
          <w:sz w:val="24"/>
          <w:szCs w:val="24"/>
        </w:rPr>
      </w:pPr>
      <w:r>
        <w:rPr>
          <w:rFonts w:ascii="宋体" w:hAnsi="宋体" w:eastAsia="宋体" w:cs="宋体"/>
          <w:spacing w:val="5"/>
          <w:sz w:val="24"/>
          <w:szCs w:val="24"/>
        </w:rPr>
        <w:t>代理机构的工作人员或者退休人员不得以评标专家身份参与本单位招标或者招标代理</w:t>
      </w:r>
      <w:r>
        <w:rPr>
          <w:rFonts w:ascii="宋体" w:hAnsi="宋体" w:eastAsia="宋体" w:cs="宋体"/>
          <w:spacing w:val="-7"/>
          <w:sz w:val="24"/>
          <w:szCs w:val="24"/>
        </w:rPr>
        <w:t>项目的评标。</w:t>
      </w:r>
    </w:p>
    <w:p w14:paraId="4F168E22">
      <w:pPr>
        <w:spacing w:line="360" w:lineRule="auto"/>
        <w:ind w:left="12" w:right="104" w:firstLine="479"/>
        <w:jc w:val="both"/>
        <w:rPr>
          <w:rFonts w:ascii="宋体" w:hAnsi="宋体" w:eastAsia="宋体" w:cs="宋体"/>
          <w:sz w:val="24"/>
          <w:szCs w:val="24"/>
        </w:rPr>
      </w:pPr>
      <w:r>
        <w:rPr>
          <w:rFonts w:ascii="宋体" w:hAnsi="宋体" w:eastAsia="宋体" w:cs="宋体"/>
          <w:spacing w:val="-2"/>
          <w:sz w:val="24"/>
          <w:szCs w:val="24"/>
        </w:rPr>
        <w:t>6.1.3 评标过程中，评标委员会成员有回避事由、擅离职守或因健康等原因不能继</w:t>
      </w:r>
      <w:r>
        <w:rPr>
          <w:rFonts w:ascii="宋体" w:hAnsi="宋体" w:eastAsia="宋体" w:cs="宋体"/>
          <w:spacing w:val="-7"/>
          <w:sz w:val="24"/>
          <w:szCs w:val="24"/>
        </w:rPr>
        <w:t>续评标的，招标人有权更换。被更换的评标委员会成员作出的评审结论无效，</w:t>
      </w:r>
      <w:r>
        <w:rPr>
          <w:rFonts w:ascii="宋体" w:hAnsi="宋体" w:eastAsia="宋体" w:cs="宋体"/>
          <w:spacing w:val="84"/>
          <w:sz w:val="24"/>
          <w:szCs w:val="24"/>
        </w:rPr>
        <w:t xml:space="preserve"> </w:t>
      </w:r>
      <w:r>
        <w:rPr>
          <w:rFonts w:ascii="宋体" w:hAnsi="宋体" w:eastAsia="宋体" w:cs="宋体"/>
          <w:spacing w:val="-7"/>
          <w:sz w:val="24"/>
          <w:szCs w:val="24"/>
        </w:rPr>
        <w:t>由更换后</w:t>
      </w:r>
      <w:r>
        <w:rPr>
          <w:rFonts w:ascii="宋体" w:hAnsi="宋体" w:eastAsia="宋体" w:cs="宋体"/>
          <w:spacing w:val="-3"/>
          <w:sz w:val="24"/>
          <w:szCs w:val="24"/>
        </w:rPr>
        <w:t>的评标委员会成员重新进行评审。</w:t>
      </w:r>
    </w:p>
    <w:p w14:paraId="6928ADCB">
      <w:pPr>
        <w:spacing w:line="220" w:lineRule="auto"/>
        <w:ind w:left="11"/>
        <w:rPr>
          <w:rFonts w:ascii="宋体" w:hAnsi="宋体" w:eastAsia="宋体" w:cs="宋体"/>
          <w:sz w:val="24"/>
          <w:szCs w:val="24"/>
        </w:rPr>
      </w:pPr>
      <w:r>
        <w:rPr>
          <w:rFonts w:ascii="宋体" w:hAnsi="宋体" w:eastAsia="宋体" w:cs="宋体"/>
          <w:b/>
          <w:bCs/>
          <w:spacing w:val="-3"/>
          <w:sz w:val="24"/>
          <w:szCs w:val="24"/>
        </w:rPr>
        <w:t>6.2</w:t>
      </w:r>
      <w:r>
        <w:rPr>
          <w:rFonts w:ascii="宋体" w:hAnsi="宋体" w:eastAsia="宋体" w:cs="宋体"/>
          <w:spacing w:val="-3"/>
          <w:sz w:val="24"/>
          <w:szCs w:val="24"/>
        </w:rPr>
        <w:t xml:space="preserve"> </w:t>
      </w:r>
      <w:r>
        <w:rPr>
          <w:rFonts w:ascii="宋体" w:hAnsi="宋体" w:eastAsia="宋体" w:cs="宋体"/>
          <w:b/>
          <w:bCs/>
          <w:spacing w:val="-3"/>
          <w:sz w:val="24"/>
          <w:szCs w:val="24"/>
        </w:rPr>
        <w:t>评标原则</w:t>
      </w:r>
    </w:p>
    <w:p w14:paraId="0723CEA9">
      <w:pPr>
        <w:spacing w:before="182" w:line="219" w:lineRule="auto"/>
        <w:ind w:left="488"/>
        <w:rPr>
          <w:rFonts w:ascii="宋体" w:hAnsi="宋体" w:eastAsia="宋体" w:cs="宋体"/>
          <w:sz w:val="24"/>
          <w:szCs w:val="24"/>
        </w:rPr>
      </w:pPr>
      <w:r>
        <w:rPr>
          <w:rFonts w:ascii="宋体" w:hAnsi="宋体" w:eastAsia="宋体" w:cs="宋体"/>
          <w:spacing w:val="-2"/>
          <w:sz w:val="24"/>
          <w:szCs w:val="24"/>
        </w:rPr>
        <w:t>评标活动遵循公平、公正、科学和择优的原则。</w:t>
      </w:r>
    </w:p>
    <w:p w14:paraId="4E5F34AB">
      <w:pPr>
        <w:spacing w:before="184" w:line="220" w:lineRule="auto"/>
        <w:ind w:left="11"/>
        <w:rPr>
          <w:rFonts w:ascii="宋体" w:hAnsi="宋体" w:eastAsia="宋体" w:cs="宋体"/>
          <w:sz w:val="24"/>
          <w:szCs w:val="24"/>
        </w:rPr>
      </w:pPr>
      <w:r>
        <w:rPr>
          <w:rFonts w:ascii="宋体" w:hAnsi="宋体" w:eastAsia="宋体" w:cs="宋体"/>
          <w:b/>
          <w:bCs/>
          <w:spacing w:val="-6"/>
          <w:sz w:val="24"/>
          <w:szCs w:val="24"/>
        </w:rPr>
        <w:t>6.3</w:t>
      </w:r>
      <w:r>
        <w:rPr>
          <w:rFonts w:ascii="宋体" w:hAnsi="宋体" w:eastAsia="宋体" w:cs="宋体"/>
          <w:spacing w:val="12"/>
          <w:sz w:val="24"/>
          <w:szCs w:val="24"/>
        </w:rPr>
        <w:t xml:space="preserve"> </w:t>
      </w:r>
      <w:r>
        <w:rPr>
          <w:rFonts w:ascii="宋体" w:hAnsi="宋体" w:eastAsia="宋体" w:cs="宋体"/>
          <w:b/>
          <w:bCs/>
          <w:spacing w:val="-6"/>
          <w:sz w:val="24"/>
          <w:szCs w:val="24"/>
        </w:rPr>
        <w:t>评标</w:t>
      </w:r>
    </w:p>
    <w:p w14:paraId="3BCDD2C9">
      <w:pPr>
        <w:spacing w:before="181" w:line="360" w:lineRule="auto"/>
        <w:ind w:left="10" w:right="102" w:firstLine="480"/>
        <w:rPr>
          <w:rFonts w:ascii="宋体" w:hAnsi="宋体" w:eastAsia="宋体" w:cs="宋体"/>
          <w:sz w:val="24"/>
          <w:szCs w:val="24"/>
        </w:rPr>
      </w:pPr>
      <w:r>
        <w:rPr>
          <w:rFonts w:ascii="宋体" w:hAnsi="宋体" w:eastAsia="宋体" w:cs="宋体"/>
          <w:spacing w:val="-2"/>
          <w:sz w:val="24"/>
          <w:szCs w:val="24"/>
        </w:rPr>
        <w:t>6.3.1 评标委员会按照第三章“评标办法”规定的方法、评审因素、标准和程序对</w:t>
      </w:r>
      <w:r>
        <w:rPr>
          <w:rFonts w:ascii="宋体" w:hAnsi="宋体" w:eastAsia="宋体" w:cs="宋体"/>
          <w:spacing w:val="-6"/>
          <w:sz w:val="24"/>
          <w:szCs w:val="24"/>
        </w:rPr>
        <w:t>投标文件进行评审。第三章“评标办法”没有规定的方法、评审因素和</w:t>
      </w:r>
      <w:r>
        <w:rPr>
          <w:rFonts w:ascii="宋体" w:hAnsi="宋体" w:eastAsia="宋体" w:cs="宋体"/>
          <w:spacing w:val="-7"/>
          <w:sz w:val="24"/>
          <w:szCs w:val="24"/>
        </w:rPr>
        <w:t>标准，</w:t>
      </w:r>
      <w:r>
        <w:rPr>
          <w:rFonts w:ascii="宋体" w:hAnsi="宋体" w:eastAsia="宋体" w:cs="宋体"/>
          <w:spacing w:val="57"/>
          <w:sz w:val="24"/>
          <w:szCs w:val="24"/>
        </w:rPr>
        <w:t xml:space="preserve"> </w:t>
      </w:r>
      <w:r>
        <w:rPr>
          <w:rFonts w:ascii="宋体" w:hAnsi="宋体" w:eastAsia="宋体" w:cs="宋体"/>
          <w:spacing w:val="-7"/>
          <w:sz w:val="24"/>
          <w:szCs w:val="24"/>
        </w:rPr>
        <w:t>不作为评</w:t>
      </w:r>
      <w:r>
        <w:rPr>
          <w:rFonts w:ascii="宋体" w:hAnsi="宋体" w:eastAsia="宋体" w:cs="宋体"/>
          <w:spacing w:val="-9"/>
          <w:sz w:val="24"/>
          <w:szCs w:val="24"/>
        </w:rPr>
        <w:t>标依据。</w:t>
      </w:r>
    </w:p>
    <w:p w14:paraId="632D98C6">
      <w:pPr>
        <w:spacing w:before="182" w:line="220" w:lineRule="auto"/>
        <w:ind w:left="491"/>
        <w:rPr>
          <w:rFonts w:ascii="宋体" w:hAnsi="宋体" w:eastAsia="宋体" w:cs="宋体"/>
          <w:spacing w:val="-1"/>
          <w:sz w:val="24"/>
          <w:szCs w:val="24"/>
        </w:rPr>
      </w:pPr>
      <w:r>
        <w:rPr>
          <w:rFonts w:ascii="宋体" w:hAnsi="宋体" w:eastAsia="宋体" w:cs="宋体"/>
          <w:spacing w:val="-1"/>
          <w:sz w:val="24"/>
          <w:szCs w:val="24"/>
        </w:rPr>
        <w:t>6.3.2 评标完成后，评标委员会应向招标人提交书面评标报告和中标候选人名单。</w:t>
      </w:r>
      <w:bookmarkStart w:id="3" w:name="bookmark16"/>
      <w:bookmarkEnd w:id="3"/>
      <w:r>
        <w:rPr>
          <w:rFonts w:ascii="宋体" w:hAnsi="宋体" w:eastAsia="宋体" w:cs="宋体"/>
          <w:spacing w:val="-1"/>
          <w:sz w:val="24"/>
          <w:szCs w:val="24"/>
        </w:rPr>
        <w:t>评标委员会推荐中标候选人的人数见投标人须知前附表。</w:t>
      </w:r>
    </w:p>
    <w:p w14:paraId="7B31AE41">
      <w:pPr>
        <w:spacing w:before="182" w:line="220" w:lineRule="auto"/>
        <w:ind w:left="491"/>
        <w:rPr>
          <w:rFonts w:ascii="宋体" w:hAnsi="宋体" w:eastAsia="宋体" w:cs="宋体"/>
          <w:sz w:val="24"/>
          <w:szCs w:val="24"/>
        </w:rPr>
      </w:pPr>
      <w:r>
        <w:rPr>
          <w:rFonts w:ascii="宋体" w:hAnsi="宋体" w:eastAsia="宋体" w:cs="宋体"/>
          <w:spacing w:val="-1"/>
          <w:sz w:val="24"/>
          <w:szCs w:val="24"/>
        </w:rPr>
        <w:t>6.3.3 评标及补救措施</w:t>
      </w:r>
    </w:p>
    <w:p w14:paraId="208EE505">
      <w:pPr>
        <w:spacing w:before="182" w:line="360" w:lineRule="auto"/>
        <w:ind w:left="9" w:right="203" w:firstLine="479"/>
        <w:rPr>
          <w:rFonts w:ascii="宋体" w:hAnsi="宋体" w:eastAsia="宋体" w:cs="宋体"/>
          <w:sz w:val="24"/>
          <w:szCs w:val="24"/>
        </w:rPr>
      </w:pPr>
      <w:r>
        <w:rPr>
          <w:rFonts w:ascii="宋体" w:hAnsi="宋体" w:eastAsia="宋体" w:cs="宋体"/>
          <w:spacing w:val="-2"/>
          <w:sz w:val="24"/>
          <w:szCs w:val="24"/>
        </w:rPr>
        <w:t>评标委员会按照本章第</w:t>
      </w:r>
      <w:r>
        <w:rPr>
          <w:rFonts w:ascii="宋体" w:hAnsi="宋体" w:eastAsia="宋体" w:cs="宋体"/>
          <w:spacing w:val="-49"/>
          <w:sz w:val="24"/>
          <w:szCs w:val="24"/>
        </w:rPr>
        <w:t xml:space="preserve"> </w:t>
      </w:r>
      <w:r>
        <w:rPr>
          <w:rFonts w:ascii="宋体" w:hAnsi="宋体" w:eastAsia="宋体" w:cs="宋体"/>
          <w:spacing w:val="-2"/>
          <w:sz w:val="24"/>
          <w:szCs w:val="24"/>
        </w:rPr>
        <w:t>6.3.1</w:t>
      </w:r>
      <w:r>
        <w:rPr>
          <w:rFonts w:ascii="宋体" w:hAnsi="宋体" w:eastAsia="宋体" w:cs="宋体"/>
          <w:spacing w:val="-47"/>
          <w:sz w:val="24"/>
          <w:szCs w:val="24"/>
        </w:rPr>
        <w:t xml:space="preserve"> </w:t>
      </w:r>
      <w:r>
        <w:rPr>
          <w:rFonts w:ascii="宋体" w:hAnsi="宋体" w:eastAsia="宋体" w:cs="宋体"/>
          <w:spacing w:val="-2"/>
          <w:sz w:val="24"/>
          <w:szCs w:val="24"/>
        </w:rPr>
        <w:t>项的规定在电子评标系统上开展评审工</w:t>
      </w:r>
      <w:r>
        <w:rPr>
          <w:rFonts w:ascii="宋体" w:hAnsi="宋体" w:eastAsia="宋体" w:cs="宋体"/>
          <w:spacing w:val="-3"/>
          <w:sz w:val="24"/>
          <w:szCs w:val="24"/>
        </w:rPr>
        <w:t>作。若遇不可</w:t>
      </w:r>
      <w:r>
        <w:rPr>
          <w:rFonts w:ascii="宋体" w:hAnsi="宋体" w:eastAsia="宋体" w:cs="宋体"/>
          <w:spacing w:val="-5"/>
          <w:sz w:val="24"/>
          <w:szCs w:val="24"/>
        </w:rPr>
        <w:t>抗力发生（包括网络瘫痪、服务器损坏、交易系统故障短</w:t>
      </w:r>
      <w:r>
        <w:rPr>
          <w:rFonts w:ascii="宋体" w:hAnsi="宋体" w:eastAsia="宋体" w:cs="宋体"/>
          <w:spacing w:val="-6"/>
          <w:sz w:val="24"/>
          <w:szCs w:val="24"/>
        </w:rPr>
        <w:t>期无法恢复等因素</w:t>
      </w:r>
      <w:r>
        <w:rPr>
          <w:rFonts w:ascii="宋体" w:hAnsi="宋体" w:eastAsia="宋体" w:cs="宋体"/>
          <w:spacing w:val="-11"/>
          <w:sz w:val="24"/>
          <w:szCs w:val="24"/>
        </w:rPr>
        <w:t>）</w:t>
      </w:r>
      <w:r>
        <w:rPr>
          <w:rFonts w:ascii="宋体" w:hAnsi="宋体" w:eastAsia="宋体" w:cs="宋体"/>
          <w:spacing w:val="35"/>
          <w:sz w:val="24"/>
          <w:szCs w:val="24"/>
        </w:rPr>
        <w:t xml:space="preserve"> </w:t>
      </w:r>
      <w:r>
        <w:rPr>
          <w:rFonts w:ascii="宋体" w:hAnsi="宋体" w:eastAsia="宋体" w:cs="宋体"/>
          <w:spacing w:val="-11"/>
          <w:sz w:val="24"/>
          <w:szCs w:val="24"/>
        </w:rPr>
        <w:t>，</w:t>
      </w:r>
      <w:r>
        <w:rPr>
          <w:rFonts w:ascii="宋体" w:hAnsi="宋体" w:eastAsia="宋体" w:cs="宋体"/>
          <w:spacing w:val="-6"/>
          <w:sz w:val="24"/>
          <w:szCs w:val="24"/>
        </w:rPr>
        <w:t>导致系</w:t>
      </w:r>
      <w:r>
        <w:rPr>
          <w:rFonts w:ascii="宋体" w:hAnsi="宋体" w:eastAsia="宋体" w:cs="宋体"/>
          <w:spacing w:val="-2"/>
          <w:sz w:val="24"/>
          <w:szCs w:val="24"/>
        </w:rPr>
        <w:t>统无法正常运行，应中止评标，并在恢复正常后及时安排时间评标。</w:t>
      </w:r>
    </w:p>
    <w:p w14:paraId="61C39360">
      <w:pPr>
        <w:spacing w:before="1" w:line="220" w:lineRule="auto"/>
        <w:ind w:left="15"/>
        <w:rPr>
          <w:rFonts w:ascii="宋体" w:hAnsi="宋体" w:eastAsia="宋体" w:cs="宋体"/>
          <w:sz w:val="24"/>
          <w:szCs w:val="24"/>
        </w:rPr>
      </w:pPr>
      <w:r>
        <w:rPr>
          <w:rFonts w:ascii="宋体" w:hAnsi="宋体" w:eastAsia="宋体" w:cs="宋体"/>
          <w:b/>
          <w:bCs/>
          <w:spacing w:val="-7"/>
          <w:sz w:val="24"/>
          <w:szCs w:val="24"/>
        </w:rPr>
        <w:t>7.</w:t>
      </w:r>
      <w:r>
        <w:rPr>
          <w:rFonts w:ascii="宋体" w:hAnsi="宋体" w:eastAsia="宋体" w:cs="宋体"/>
          <w:spacing w:val="16"/>
          <w:sz w:val="24"/>
          <w:szCs w:val="24"/>
        </w:rPr>
        <w:t xml:space="preserve"> </w:t>
      </w:r>
      <w:r>
        <w:rPr>
          <w:rFonts w:ascii="宋体" w:hAnsi="宋体" w:eastAsia="宋体" w:cs="宋体"/>
          <w:b/>
          <w:bCs/>
          <w:spacing w:val="-7"/>
          <w:sz w:val="24"/>
          <w:szCs w:val="24"/>
        </w:rPr>
        <w:t>合同授予</w:t>
      </w:r>
    </w:p>
    <w:p w14:paraId="2D2DE295">
      <w:pPr>
        <w:spacing w:before="180" w:line="220" w:lineRule="auto"/>
        <w:ind w:left="15"/>
        <w:rPr>
          <w:rFonts w:ascii="宋体" w:hAnsi="宋体" w:eastAsia="宋体" w:cs="宋体"/>
          <w:sz w:val="24"/>
          <w:szCs w:val="24"/>
        </w:rPr>
      </w:pPr>
      <w:r>
        <w:rPr>
          <w:rFonts w:ascii="宋体" w:hAnsi="宋体" w:eastAsia="宋体" w:cs="宋体"/>
          <w:b/>
          <w:bCs/>
          <w:spacing w:val="-7"/>
          <w:sz w:val="24"/>
          <w:szCs w:val="24"/>
        </w:rPr>
        <w:t>7.1</w:t>
      </w:r>
      <w:r>
        <w:rPr>
          <w:rFonts w:ascii="宋体" w:hAnsi="宋体" w:eastAsia="宋体" w:cs="宋体"/>
          <w:spacing w:val="40"/>
          <w:sz w:val="24"/>
          <w:szCs w:val="24"/>
        </w:rPr>
        <w:t xml:space="preserve"> </w:t>
      </w:r>
      <w:r>
        <w:rPr>
          <w:rFonts w:ascii="宋体" w:hAnsi="宋体" w:eastAsia="宋体" w:cs="宋体"/>
          <w:b/>
          <w:bCs/>
          <w:spacing w:val="-7"/>
          <w:sz w:val="24"/>
          <w:szCs w:val="24"/>
        </w:rPr>
        <w:t>中标候选人公示</w:t>
      </w:r>
    </w:p>
    <w:p w14:paraId="46081098">
      <w:pPr>
        <w:spacing w:before="183" w:line="360" w:lineRule="auto"/>
        <w:ind w:left="9" w:right="205" w:firstLine="485"/>
        <w:rPr>
          <w:rFonts w:ascii="宋体" w:hAnsi="宋体" w:eastAsia="宋体" w:cs="宋体"/>
          <w:sz w:val="24"/>
          <w:szCs w:val="24"/>
        </w:rPr>
      </w:pPr>
      <w:r>
        <w:rPr>
          <w:rFonts w:ascii="宋体" w:hAnsi="宋体" w:eastAsia="宋体" w:cs="宋体"/>
          <w:spacing w:val="-5"/>
          <w:sz w:val="24"/>
          <w:szCs w:val="24"/>
        </w:rPr>
        <w:t>7.1.1</w:t>
      </w:r>
      <w:r>
        <w:rPr>
          <w:rFonts w:ascii="宋体" w:hAnsi="宋体" w:eastAsia="宋体" w:cs="宋体"/>
          <w:spacing w:val="-40"/>
          <w:sz w:val="24"/>
          <w:szCs w:val="24"/>
        </w:rPr>
        <w:t xml:space="preserve"> </w:t>
      </w:r>
      <w:r>
        <w:rPr>
          <w:rFonts w:ascii="宋体" w:hAnsi="宋体" w:eastAsia="宋体" w:cs="宋体"/>
          <w:spacing w:val="-5"/>
          <w:sz w:val="24"/>
          <w:szCs w:val="24"/>
        </w:rPr>
        <w:t>招标人在收到评标报告之日起 3</w:t>
      </w:r>
      <w:r>
        <w:rPr>
          <w:rFonts w:ascii="宋体" w:hAnsi="宋体" w:eastAsia="宋体" w:cs="宋体"/>
          <w:spacing w:val="50"/>
          <w:sz w:val="24"/>
          <w:szCs w:val="24"/>
        </w:rPr>
        <w:t xml:space="preserve"> </w:t>
      </w:r>
      <w:r>
        <w:rPr>
          <w:rFonts w:ascii="宋体" w:hAnsi="宋体" w:eastAsia="宋体" w:cs="宋体"/>
          <w:spacing w:val="-5"/>
          <w:sz w:val="24"/>
          <w:szCs w:val="24"/>
        </w:rPr>
        <w:t>日内，按照投标人须知前附表规定的公示媒</w:t>
      </w:r>
      <w:r>
        <w:rPr>
          <w:rFonts w:ascii="宋体" w:hAnsi="宋体" w:eastAsia="宋体" w:cs="宋体"/>
          <w:spacing w:val="-4"/>
          <w:sz w:val="24"/>
          <w:szCs w:val="24"/>
        </w:rPr>
        <w:t>介和期限公示中标候选人，公示期不得少于 3</w:t>
      </w:r>
      <w:r>
        <w:rPr>
          <w:rFonts w:ascii="宋体" w:hAnsi="宋体" w:eastAsia="宋体" w:cs="宋体"/>
          <w:spacing w:val="66"/>
          <w:sz w:val="24"/>
          <w:szCs w:val="24"/>
        </w:rPr>
        <w:t xml:space="preserve"> </w:t>
      </w:r>
      <w:r>
        <w:rPr>
          <w:rFonts w:ascii="宋体" w:hAnsi="宋体" w:eastAsia="宋体" w:cs="宋体"/>
          <w:spacing w:val="-4"/>
          <w:sz w:val="24"/>
          <w:szCs w:val="24"/>
        </w:rPr>
        <w:t>日，公示内容包括：</w:t>
      </w:r>
    </w:p>
    <w:p w14:paraId="61AD6CBA">
      <w:pPr>
        <w:spacing w:line="360" w:lineRule="auto"/>
        <w:ind w:left="9" w:right="216" w:firstLine="486"/>
        <w:rPr>
          <w:rFonts w:ascii="宋体" w:hAnsi="宋体" w:eastAsia="宋体" w:cs="宋体"/>
          <w:sz w:val="24"/>
          <w:szCs w:val="24"/>
        </w:rPr>
      </w:pPr>
      <w:r>
        <w:rPr>
          <w:rFonts w:ascii="宋体" w:hAnsi="宋体" w:eastAsia="宋体" w:cs="宋体"/>
          <w:spacing w:val="1"/>
          <w:sz w:val="24"/>
          <w:szCs w:val="24"/>
        </w:rPr>
        <w:t>（1）中标候选人排序、名称、投标报价，对工程质量要求、安全目标和工期的响</w:t>
      </w:r>
      <w:r>
        <w:rPr>
          <w:rFonts w:ascii="宋体" w:hAnsi="宋体" w:eastAsia="宋体" w:cs="宋体"/>
          <w:spacing w:val="-13"/>
          <w:sz w:val="24"/>
          <w:szCs w:val="24"/>
        </w:rPr>
        <w:t>应情况；</w:t>
      </w:r>
    </w:p>
    <w:p w14:paraId="072AACC0">
      <w:pPr>
        <w:spacing w:before="3" w:line="359" w:lineRule="auto"/>
        <w:ind w:left="12" w:right="214" w:firstLine="483"/>
        <w:rPr>
          <w:rFonts w:ascii="宋体" w:hAnsi="宋体" w:eastAsia="宋体" w:cs="宋体"/>
          <w:sz w:val="24"/>
          <w:szCs w:val="24"/>
        </w:rPr>
      </w:pPr>
      <w:r>
        <w:rPr>
          <w:rFonts w:ascii="宋体" w:hAnsi="宋体" w:eastAsia="宋体" w:cs="宋体"/>
          <w:spacing w:val="-5"/>
          <w:sz w:val="24"/>
          <w:szCs w:val="24"/>
        </w:rPr>
        <w:t>（2）中标候选人在投标文件中承诺的项目经理（含备选人，</w:t>
      </w:r>
      <w:r>
        <w:rPr>
          <w:rFonts w:ascii="宋体" w:hAnsi="宋体" w:eastAsia="宋体" w:cs="宋体"/>
          <w:spacing w:val="-6"/>
          <w:sz w:val="24"/>
          <w:szCs w:val="24"/>
        </w:rPr>
        <w:t>如有）和项目总工（含</w:t>
      </w:r>
      <w:r>
        <w:rPr>
          <w:rFonts w:ascii="宋体" w:hAnsi="宋体" w:eastAsia="宋体" w:cs="宋体"/>
          <w:spacing w:val="-3"/>
          <w:sz w:val="24"/>
          <w:szCs w:val="24"/>
        </w:rPr>
        <w:t>备选人，如有）姓名、个人业绩、相关证书名称和编号；</w:t>
      </w:r>
    </w:p>
    <w:p w14:paraId="6364460A">
      <w:pPr>
        <w:spacing w:line="219" w:lineRule="auto"/>
        <w:ind w:left="495"/>
        <w:rPr>
          <w:rFonts w:ascii="宋体" w:hAnsi="宋体" w:eastAsia="宋体" w:cs="宋体"/>
          <w:sz w:val="24"/>
          <w:szCs w:val="24"/>
        </w:rPr>
      </w:pPr>
      <w:r>
        <w:rPr>
          <w:rFonts w:ascii="宋体" w:hAnsi="宋体" w:eastAsia="宋体" w:cs="宋体"/>
          <w:spacing w:val="-4"/>
          <w:sz w:val="24"/>
          <w:szCs w:val="24"/>
        </w:rPr>
        <w:t>（3）中标候选人在投标文件中填报的项目业绩；</w:t>
      </w:r>
    </w:p>
    <w:p w14:paraId="7AB80063">
      <w:pPr>
        <w:spacing w:before="183" w:line="219" w:lineRule="auto"/>
        <w:ind w:left="495"/>
        <w:rPr>
          <w:rFonts w:ascii="宋体" w:hAnsi="宋体" w:eastAsia="宋体" w:cs="宋体"/>
          <w:sz w:val="24"/>
          <w:szCs w:val="24"/>
        </w:rPr>
      </w:pPr>
      <w:r>
        <w:rPr>
          <w:rFonts w:ascii="宋体" w:hAnsi="宋体" w:eastAsia="宋体" w:cs="宋体"/>
          <w:spacing w:val="-3"/>
          <w:sz w:val="24"/>
          <w:szCs w:val="24"/>
        </w:rPr>
        <w:t>（4）被否决投标的投标人名称、否决依据和原因；</w:t>
      </w:r>
    </w:p>
    <w:p w14:paraId="5E50710D">
      <w:pPr>
        <w:spacing w:before="183" w:line="220" w:lineRule="auto"/>
        <w:ind w:left="495"/>
        <w:rPr>
          <w:rFonts w:ascii="宋体" w:hAnsi="宋体" w:eastAsia="宋体" w:cs="宋体"/>
          <w:sz w:val="24"/>
          <w:szCs w:val="24"/>
        </w:rPr>
      </w:pPr>
      <w:r>
        <w:rPr>
          <w:rFonts w:ascii="宋体" w:hAnsi="宋体" w:eastAsia="宋体" w:cs="宋体"/>
          <w:spacing w:val="-5"/>
          <w:sz w:val="24"/>
          <w:szCs w:val="24"/>
        </w:rPr>
        <w:t>（5）提出异议的渠道和方式；</w:t>
      </w:r>
    </w:p>
    <w:p w14:paraId="3F70739A">
      <w:pPr>
        <w:spacing w:before="182" w:line="219" w:lineRule="auto"/>
        <w:ind w:left="495"/>
        <w:rPr>
          <w:rFonts w:ascii="宋体" w:hAnsi="宋体" w:eastAsia="宋体" w:cs="宋体"/>
          <w:sz w:val="24"/>
          <w:szCs w:val="24"/>
        </w:rPr>
      </w:pPr>
      <w:r>
        <w:rPr>
          <w:rFonts w:ascii="宋体" w:hAnsi="宋体" w:eastAsia="宋体" w:cs="宋体"/>
          <w:spacing w:val="-3"/>
          <w:sz w:val="24"/>
          <w:szCs w:val="24"/>
        </w:rPr>
        <w:t>（6）投标人须知前附表规定公示的其他内容。</w:t>
      </w:r>
    </w:p>
    <w:p w14:paraId="05A929AE">
      <w:pPr>
        <w:spacing w:before="183" w:line="220" w:lineRule="auto"/>
        <w:ind w:left="15"/>
        <w:rPr>
          <w:rFonts w:ascii="宋体" w:hAnsi="宋体" w:eastAsia="宋体" w:cs="宋体"/>
          <w:sz w:val="24"/>
          <w:szCs w:val="24"/>
        </w:rPr>
      </w:pPr>
      <w:r>
        <w:rPr>
          <w:rFonts w:ascii="宋体" w:hAnsi="宋体" w:eastAsia="宋体" w:cs="宋体"/>
          <w:b/>
          <w:bCs/>
          <w:spacing w:val="-4"/>
          <w:sz w:val="24"/>
          <w:szCs w:val="24"/>
        </w:rPr>
        <w:t>7.2</w:t>
      </w:r>
      <w:r>
        <w:rPr>
          <w:rFonts w:ascii="宋体" w:hAnsi="宋体" w:eastAsia="宋体" w:cs="宋体"/>
          <w:spacing w:val="-4"/>
          <w:sz w:val="24"/>
          <w:szCs w:val="24"/>
        </w:rPr>
        <w:t xml:space="preserve"> </w:t>
      </w:r>
      <w:r>
        <w:rPr>
          <w:rFonts w:ascii="宋体" w:hAnsi="宋体" w:eastAsia="宋体" w:cs="宋体"/>
          <w:b/>
          <w:bCs/>
          <w:spacing w:val="-4"/>
          <w:sz w:val="24"/>
          <w:szCs w:val="24"/>
        </w:rPr>
        <w:t>评标结果异议</w:t>
      </w:r>
    </w:p>
    <w:p w14:paraId="569A03D8">
      <w:pPr>
        <w:spacing w:before="182" w:line="360" w:lineRule="auto"/>
        <w:ind w:left="9" w:right="37" w:firstLine="482"/>
        <w:jc w:val="both"/>
        <w:rPr>
          <w:rFonts w:ascii="宋体" w:hAnsi="宋体" w:eastAsia="宋体" w:cs="宋体"/>
          <w:sz w:val="24"/>
          <w:szCs w:val="24"/>
        </w:rPr>
      </w:pPr>
      <w:r>
        <w:rPr>
          <w:rFonts w:ascii="宋体" w:hAnsi="宋体" w:eastAsia="宋体" w:cs="宋体"/>
          <w:spacing w:val="-2"/>
          <w:sz w:val="24"/>
          <w:szCs w:val="24"/>
        </w:rPr>
        <w:t>投标人或其他利害关系人对依法必须进行招标的项目的评标结果有异议的，应在中</w:t>
      </w:r>
      <w:r>
        <w:rPr>
          <w:rFonts w:ascii="宋体" w:hAnsi="宋体" w:eastAsia="宋体" w:cs="宋体"/>
          <w:spacing w:val="-3"/>
          <w:sz w:val="24"/>
          <w:szCs w:val="24"/>
        </w:rPr>
        <w:t>标候选人公示期间提出。招标人将在收到异议之日起</w:t>
      </w:r>
      <w:r>
        <w:rPr>
          <w:rFonts w:ascii="宋体" w:hAnsi="宋体" w:eastAsia="宋体" w:cs="宋体"/>
          <w:spacing w:val="-46"/>
          <w:sz w:val="24"/>
          <w:szCs w:val="24"/>
        </w:rPr>
        <w:t xml:space="preserve"> </w:t>
      </w:r>
      <w:r>
        <w:rPr>
          <w:rFonts w:ascii="宋体" w:hAnsi="宋体" w:eastAsia="宋体" w:cs="宋体"/>
          <w:spacing w:val="-4"/>
          <w:sz w:val="24"/>
          <w:szCs w:val="24"/>
        </w:rPr>
        <w:t>3 日内作出答复；作出答复前，将</w:t>
      </w:r>
      <w:r>
        <w:rPr>
          <w:rFonts w:ascii="宋体" w:hAnsi="宋体" w:eastAsia="宋体" w:cs="宋体"/>
          <w:spacing w:val="3"/>
          <w:sz w:val="24"/>
          <w:szCs w:val="24"/>
        </w:rPr>
        <w:t>暂停招标投标活动。提出异议与作出答复均应通过“电子交易平台”在“异</w:t>
      </w:r>
      <w:r>
        <w:rPr>
          <w:rFonts w:ascii="宋体" w:hAnsi="宋体" w:eastAsia="宋体" w:cs="宋体"/>
          <w:spacing w:val="2"/>
          <w:sz w:val="24"/>
          <w:szCs w:val="24"/>
        </w:rPr>
        <w:t>议与答复”</w:t>
      </w:r>
      <w:r>
        <w:rPr>
          <w:rFonts w:ascii="宋体" w:hAnsi="宋体" w:eastAsia="宋体" w:cs="宋体"/>
          <w:spacing w:val="-4"/>
          <w:sz w:val="24"/>
          <w:szCs w:val="24"/>
        </w:rPr>
        <w:t>菜单以书面形式进行。</w:t>
      </w:r>
    </w:p>
    <w:p w14:paraId="32AF1570">
      <w:pPr>
        <w:spacing w:before="1" w:line="219" w:lineRule="auto"/>
        <w:ind w:left="15"/>
        <w:rPr>
          <w:rFonts w:ascii="宋体" w:hAnsi="宋体" w:eastAsia="宋体" w:cs="宋体"/>
          <w:sz w:val="24"/>
          <w:szCs w:val="24"/>
        </w:rPr>
      </w:pPr>
      <w:r>
        <w:rPr>
          <w:rFonts w:ascii="宋体" w:hAnsi="宋体" w:eastAsia="宋体" w:cs="宋体"/>
          <w:b/>
          <w:bCs/>
          <w:spacing w:val="-6"/>
          <w:sz w:val="24"/>
          <w:szCs w:val="24"/>
        </w:rPr>
        <w:t>7.3</w:t>
      </w:r>
      <w:r>
        <w:rPr>
          <w:rFonts w:ascii="宋体" w:hAnsi="宋体" w:eastAsia="宋体" w:cs="宋体"/>
          <w:spacing w:val="44"/>
          <w:sz w:val="24"/>
          <w:szCs w:val="24"/>
        </w:rPr>
        <w:t xml:space="preserve"> </w:t>
      </w:r>
      <w:r>
        <w:rPr>
          <w:rFonts w:ascii="宋体" w:hAnsi="宋体" w:eastAsia="宋体" w:cs="宋体"/>
          <w:b/>
          <w:bCs/>
          <w:spacing w:val="-6"/>
          <w:sz w:val="24"/>
          <w:szCs w:val="24"/>
        </w:rPr>
        <w:t>中标候选人履约能力审查</w:t>
      </w:r>
    </w:p>
    <w:p w14:paraId="32A1B4C9">
      <w:pPr>
        <w:spacing w:before="183" w:line="360" w:lineRule="auto"/>
        <w:ind w:left="10" w:right="205" w:firstLine="501"/>
        <w:jc w:val="both"/>
        <w:rPr>
          <w:rFonts w:ascii="宋体" w:hAnsi="宋体" w:eastAsia="宋体" w:cs="宋体"/>
          <w:sz w:val="24"/>
          <w:szCs w:val="24"/>
        </w:rPr>
      </w:pPr>
      <w:r>
        <w:rPr>
          <w:rFonts w:ascii="宋体" w:hAnsi="宋体" w:eastAsia="宋体" w:cs="宋体"/>
          <w:spacing w:val="-5"/>
          <w:sz w:val="24"/>
          <w:szCs w:val="24"/>
        </w:rPr>
        <w:t>中标候选人的经营、财务状况发生较大变化或存</w:t>
      </w:r>
      <w:r>
        <w:rPr>
          <w:rFonts w:ascii="宋体" w:hAnsi="宋体" w:eastAsia="宋体" w:cs="宋体"/>
          <w:spacing w:val="-6"/>
          <w:sz w:val="24"/>
          <w:szCs w:val="24"/>
        </w:rPr>
        <w:t>在违法行为， 招标人认为可能影响</w:t>
      </w:r>
      <w:r>
        <w:rPr>
          <w:rFonts w:ascii="宋体" w:hAnsi="宋体" w:eastAsia="宋体" w:cs="宋体"/>
          <w:spacing w:val="-2"/>
          <w:sz w:val="24"/>
          <w:szCs w:val="24"/>
        </w:rPr>
        <w:t>其履约能力的，将在发出中标通知书前提请原评标委员会按照招标文件规定的标准和方</w:t>
      </w:r>
      <w:r>
        <w:rPr>
          <w:rFonts w:ascii="宋体" w:hAnsi="宋体" w:eastAsia="宋体" w:cs="宋体"/>
          <w:spacing w:val="-5"/>
          <w:sz w:val="24"/>
          <w:szCs w:val="24"/>
        </w:rPr>
        <w:t>法进行审查确认。</w:t>
      </w:r>
    </w:p>
    <w:p w14:paraId="23667A68">
      <w:pPr>
        <w:spacing w:line="220" w:lineRule="auto"/>
        <w:ind w:left="15"/>
        <w:rPr>
          <w:rFonts w:ascii="宋体" w:hAnsi="宋体" w:eastAsia="宋体" w:cs="宋体"/>
          <w:sz w:val="24"/>
          <w:szCs w:val="24"/>
        </w:rPr>
      </w:pPr>
      <w:r>
        <w:rPr>
          <w:rFonts w:ascii="宋体" w:hAnsi="宋体" w:eastAsia="宋体" w:cs="宋体"/>
          <w:b/>
          <w:bCs/>
          <w:spacing w:val="-7"/>
          <w:sz w:val="24"/>
          <w:szCs w:val="24"/>
        </w:rPr>
        <w:t>7.4</w:t>
      </w:r>
      <w:r>
        <w:rPr>
          <w:rFonts w:ascii="宋体" w:hAnsi="宋体" w:eastAsia="宋体" w:cs="宋体"/>
          <w:spacing w:val="16"/>
          <w:sz w:val="24"/>
          <w:szCs w:val="24"/>
        </w:rPr>
        <w:t xml:space="preserve"> </w:t>
      </w:r>
      <w:r>
        <w:rPr>
          <w:rFonts w:ascii="宋体" w:hAnsi="宋体" w:eastAsia="宋体" w:cs="宋体"/>
          <w:b/>
          <w:bCs/>
          <w:spacing w:val="-7"/>
          <w:sz w:val="24"/>
          <w:szCs w:val="24"/>
        </w:rPr>
        <w:t>定标</w:t>
      </w:r>
    </w:p>
    <w:p w14:paraId="377416C7">
      <w:pPr>
        <w:spacing w:before="181" w:line="219" w:lineRule="auto"/>
        <w:jc w:val="right"/>
        <w:rPr>
          <w:rFonts w:ascii="宋体" w:hAnsi="宋体" w:eastAsia="宋体" w:cs="宋体"/>
          <w:sz w:val="24"/>
          <w:szCs w:val="24"/>
        </w:rPr>
      </w:pPr>
      <w:r>
        <w:rPr>
          <w:rFonts w:ascii="宋体" w:hAnsi="宋体" w:eastAsia="宋体" w:cs="宋体"/>
          <w:spacing w:val="-3"/>
          <w:sz w:val="24"/>
          <w:szCs w:val="24"/>
        </w:rPr>
        <w:t>按照投标人须知前附表的规定，招标人或招标人授权的评标委员会依法确定中标人。</w:t>
      </w:r>
    </w:p>
    <w:p w14:paraId="57D1B529">
      <w:pPr>
        <w:spacing w:before="184" w:line="220" w:lineRule="auto"/>
        <w:ind w:left="15"/>
        <w:rPr>
          <w:rFonts w:ascii="宋体" w:hAnsi="宋体" w:eastAsia="宋体" w:cs="宋体"/>
          <w:sz w:val="24"/>
          <w:szCs w:val="24"/>
        </w:rPr>
      </w:pPr>
      <w:r>
        <w:rPr>
          <w:rFonts w:ascii="宋体" w:hAnsi="宋体" w:eastAsia="宋体" w:cs="宋体"/>
          <w:b/>
          <w:bCs/>
          <w:spacing w:val="-8"/>
          <w:sz w:val="24"/>
          <w:szCs w:val="24"/>
        </w:rPr>
        <w:t>7.5</w:t>
      </w:r>
      <w:r>
        <w:rPr>
          <w:rFonts w:ascii="宋体" w:hAnsi="宋体" w:eastAsia="宋体" w:cs="宋体"/>
          <w:spacing w:val="33"/>
          <w:sz w:val="24"/>
          <w:szCs w:val="24"/>
        </w:rPr>
        <w:t xml:space="preserve"> </w:t>
      </w:r>
      <w:r>
        <w:rPr>
          <w:rFonts w:ascii="宋体" w:hAnsi="宋体" w:eastAsia="宋体" w:cs="宋体"/>
          <w:b/>
          <w:bCs/>
          <w:spacing w:val="-8"/>
          <w:sz w:val="24"/>
          <w:szCs w:val="24"/>
        </w:rPr>
        <w:t>中标通知</w:t>
      </w:r>
    </w:p>
    <w:p w14:paraId="23D05BAE">
      <w:pPr>
        <w:spacing w:before="184" w:line="360" w:lineRule="auto"/>
        <w:ind w:left="16" w:right="85" w:firstLine="473"/>
        <w:rPr>
          <w:rFonts w:ascii="宋体" w:hAnsi="宋体" w:eastAsia="宋体" w:cs="宋体"/>
          <w:spacing w:val="-4"/>
          <w:sz w:val="24"/>
          <w:szCs w:val="24"/>
        </w:rPr>
      </w:pPr>
      <w:r>
        <w:rPr>
          <w:rFonts w:ascii="宋体" w:hAnsi="宋体" w:eastAsia="宋体" w:cs="宋体"/>
          <w:spacing w:val="-4"/>
          <w:sz w:val="24"/>
          <w:szCs w:val="24"/>
        </w:rPr>
        <w:t>在本章第 3.3 款规定的投标有效期内，招标人以投标人须知前附表规定的形式向中标人发出中标通知书，同时将中标结果通知未中标的投标人。</w:t>
      </w:r>
    </w:p>
    <w:p w14:paraId="227214DB">
      <w:pPr>
        <w:spacing w:before="183" w:line="218" w:lineRule="auto"/>
        <w:ind w:left="15"/>
        <w:rPr>
          <w:rFonts w:ascii="宋体" w:hAnsi="宋体" w:eastAsia="宋体" w:cs="宋体"/>
          <w:sz w:val="24"/>
          <w:szCs w:val="24"/>
        </w:rPr>
      </w:pPr>
      <w:r>
        <w:rPr>
          <w:rFonts w:ascii="宋体" w:hAnsi="宋体" w:eastAsia="宋体" w:cs="宋体"/>
          <w:b/>
          <w:bCs/>
          <w:spacing w:val="-7"/>
          <w:sz w:val="24"/>
          <w:szCs w:val="24"/>
        </w:rPr>
        <w:t>7.6</w:t>
      </w:r>
      <w:r>
        <w:rPr>
          <w:rFonts w:ascii="宋体" w:hAnsi="宋体" w:eastAsia="宋体" w:cs="宋体"/>
          <w:spacing w:val="35"/>
          <w:sz w:val="24"/>
          <w:szCs w:val="24"/>
        </w:rPr>
        <w:t xml:space="preserve"> </w:t>
      </w:r>
      <w:r>
        <w:rPr>
          <w:rFonts w:ascii="宋体" w:hAnsi="宋体" w:eastAsia="宋体" w:cs="宋体"/>
          <w:b/>
          <w:bCs/>
          <w:spacing w:val="-7"/>
          <w:sz w:val="24"/>
          <w:szCs w:val="24"/>
        </w:rPr>
        <w:t>中标结果公告</w:t>
      </w:r>
    </w:p>
    <w:p w14:paraId="30254B69">
      <w:pPr>
        <w:spacing w:before="184" w:line="360" w:lineRule="auto"/>
        <w:ind w:left="16" w:right="85" w:firstLine="473"/>
        <w:rPr>
          <w:rFonts w:ascii="宋体" w:hAnsi="宋体" w:eastAsia="宋体" w:cs="宋体"/>
          <w:sz w:val="24"/>
          <w:szCs w:val="24"/>
        </w:rPr>
      </w:pPr>
      <w:r>
        <w:rPr>
          <w:rFonts w:ascii="宋体" w:hAnsi="宋体" w:eastAsia="宋体" w:cs="宋体"/>
          <w:spacing w:val="-4"/>
          <w:sz w:val="24"/>
          <w:szCs w:val="24"/>
        </w:rPr>
        <w:t>招标人在确定中标人之日起</w:t>
      </w:r>
      <w:r>
        <w:rPr>
          <w:rFonts w:ascii="宋体" w:hAnsi="宋体" w:eastAsia="宋体" w:cs="宋体"/>
          <w:spacing w:val="-32"/>
          <w:sz w:val="24"/>
          <w:szCs w:val="24"/>
        </w:rPr>
        <w:t xml:space="preserve"> </w:t>
      </w:r>
      <w:r>
        <w:rPr>
          <w:rFonts w:ascii="宋体" w:hAnsi="宋体" w:eastAsia="宋体" w:cs="宋体"/>
          <w:spacing w:val="-4"/>
          <w:sz w:val="24"/>
          <w:szCs w:val="24"/>
        </w:rPr>
        <w:t>3 日内，按照投标人须知前附表规定的公告媒介和期限公告中标结果，公告期不得少于</w:t>
      </w:r>
      <w:r>
        <w:rPr>
          <w:rFonts w:ascii="宋体" w:hAnsi="宋体" w:eastAsia="宋体" w:cs="宋体"/>
          <w:spacing w:val="-32"/>
          <w:sz w:val="24"/>
          <w:szCs w:val="24"/>
        </w:rPr>
        <w:t xml:space="preserve"> </w:t>
      </w:r>
      <w:r>
        <w:rPr>
          <w:rFonts w:ascii="宋体" w:hAnsi="宋体" w:eastAsia="宋体" w:cs="宋体"/>
          <w:spacing w:val="-4"/>
          <w:sz w:val="24"/>
          <w:szCs w:val="24"/>
        </w:rPr>
        <w:t>3 日。公告内容包括中标人名称、中标价。</w:t>
      </w:r>
    </w:p>
    <w:p w14:paraId="53BA493C">
      <w:pPr>
        <w:spacing w:line="220" w:lineRule="auto"/>
        <w:ind w:left="15"/>
        <w:rPr>
          <w:rFonts w:ascii="宋体" w:hAnsi="宋体" w:eastAsia="宋体" w:cs="宋体"/>
          <w:sz w:val="24"/>
          <w:szCs w:val="24"/>
        </w:rPr>
      </w:pPr>
      <w:r>
        <w:rPr>
          <w:rFonts w:ascii="宋体" w:hAnsi="宋体" w:eastAsia="宋体" w:cs="宋体"/>
          <w:b/>
          <w:bCs/>
          <w:spacing w:val="-4"/>
          <w:sz w:val="24"/>
          <w:szCs w:val="24"/>
        </w:rPr>
        <w:t>7.7</w:t>
      </w:r>
      <w:r>
        <w:rPr>
          <w:rFonts w:ascii="宋体" w:hAnsi="宋体" w:eastAsia="宋体" w:cs="宋体"/>
          <w:spacing w:val="-4"/>
          <w:sz w:val="24"/>
          <w:szCs w:val="24"/>
        </w:rPr>
        <w:t xml:space="preserve"> </w:t>
      </w:r>
      <w:r>
        <w:rPr>
          <w:rFonts w:ascii="宋体" w:hAnsi="宋体" w:eastAsia="宋体" w:cs="宋体"/>
          <w:b/>
          <w:bCs/>
          <w:spacing w:val="-4"/>
          <w:sz w:val="24"/>
          <w:szCs w:val="24"/>
        </w:rPr>
        <w:t>履约保证金</w:t>
      </w:r>
    </w:p>
    <w:p w14:paraId="17103C09">
      <w:pPr>
        <w:spacing w:before="182" w:line="360" w:lineRule="auto"/>
        <w:ind w:left="9" w:firstLine="485"/>
        <w:jc w:val="both"/>
        <w:rPr>
          <w:rFonts w:ascii="宋体" w:hAnsi="宋体" w:eastAsia="宋体" w:cs="宋体"/>
          <w:sz w:val="24"/>
          <w:szCs w:val="24"/>
        </w:rPr>
      </w:pPr>
      <w:r>
        <w:rPr>
          <w:rFonts w:ascii="宋体" w:hAnsi="宋体" w:eastAsia="宋体" w:cs="宋体"/>
          <w:spacing w:val="-2"/>
          <w:sz w:val="24"/>
          <w:szCs w:val="24"/>
        </w:rPr>
        <w:t>7.7.1 在签订合同前，中标人应按投标人须知前附表规定的形式、金额和招标文件第四章“合同条款及格式”规定的或事先经过招标人书面认可的履约保证金格式向招标</w:t>
      </w:r>
      <w:r>
        <w:rPr>
          <w:rFonts w:ascii="宋体" w:hAnsi="宋体" w:eastAsia="宋体" w:cs="宋体"/>
          <w:spacing w:val="-6"/>
          <w:sz w:val="24"/>
          <w:szCs w:val="24"/>
        </w:rPr>
        <w:t>人提交履约保证金。除投标人须知前附表另有规定外，</w:t>
      </w:r>
      <w:r>
        <w:rPr>
          <w:rFonts w:ascii="宋体" w:hAnsi="宋体" w:eastAsia="宋体" w:cs="宋体"/>
          <w:spacing w:val="-61"/>
          <w:sz w:val="24"/>
          <w:szCs w:val="24"/>
        </w:rPr>
        <w:t xml:space="preserve"> </w:t>
      </w:r>
      <w:r>
        <w:rPr>
          <w:rFonts w:ascii="宋体" w:hAnsi="宋体" w:eastAsia="宋体" w:cs="宋体"/>
          <w:spacing w:val="-6"/>
          <w:sz w:val="24"/>
          <w:szCs w:val="24"/>
        </w:rPr>
        <w:t>履约保证金为签约合同价的</w:t>
      </w:r>
      <w:r>
        <w:rPr>
          <w:rFonts w:ascii="宋体" w:hAnsi="宋体" w:eastAsia="宋体" w:cs="宋体"/>
          <w:spacing w:val="-33"/>
          <w:sz w:val="24"/>
          <w:szCs w:val="24"/>
        </w:rPr>
        <w:t xml:space="preserve"> </w:t>
      </w:r>
      <w:r>
        <w:rPr>
          <w:rFonts w:ascii="宋体" w:hAnsi="宋体" w:eastAsia="宋体" w:cs="宋体"/>
          <w:spacing w:val="-6"/>
          <w:sz w:val="24"/>
          <w:szCs w:val="24"/>
        </w:rPr>
        <w:t>10%。</w:t>
      </w:r>
      <w:r>
        <w:rPr>
          <w:rFonts w:ascii="宋体" w:hAnsi="宋体" w:eastAsia="宋体" w:cs="宋体"/>
          <w:spacing w:val="-1"/>
          <w:sz w:val="24"/>
          <w:szCs w:val="24"/>
        </w:rPr>
        <w:t>联合体中标的，其履约保证金以联合体各方或联合</w:t>
      </w:r>
      <w:r>
        <w:rPr>
          <w:rFonts w:ascii="宋体" w:hAnsi="宋体" w:eastAsia="宋体" w:cs="宋体"/>
          <w:spacing w:val="-2"/>
          <w:sz w:val="24"/>
          <w:szCs w:val="24"/>
        </w:rPr>
        <w:t>体中牵头人的名义提交。</w:t>
      </w:r>
    </w:p>
    <w:p w14:paraId="11EB4D1E">
      <w:pPr>
        <w:spacing w:line="360" w:lineRule="auto"/>
        <w:ind w:left="31" w:right="85" w:firstLine="456"/>
        <w:rPr>
          <w:rFonts w:ascii="宋体" w:hAnsi="宋体" w:eastAsia="宋体" w:cs="宋体"/>
          <w:sz w:val="24"/>
          <w:szCs w:val="24"/>
        </w:rPr>
      </w:pPr>
      <w:r>
        <w:rPr>
          <w:rFonts w:ascii="宋体" w:hAnsi="宋体" w:eastAsia="宋体" w:cs="宋体"/>
          <w:spacing w:val="-2"/>
          <w:sz w:val="24"/>
          <w:szCs w:val="24"/>
        </w:rPr>
        <w:t>采用银行保函时，应由符合投标人须知前附表规定级别的银行开具，所需的费用由</w:t>
      </w:r>
      <w:r>
        <w:rPr>
          <w:rFonts w:ascii="宋体" w:hAnsi="宋体" w:eastAsia="宋体" w:cs="宋体"/>
          <w:spacing w:val="-4"/>
          <w:sz w:val="24"/>
          <w:szCs w:val="24"/>
        </w:rPr>
        <w:t>中标人承担，中标人应保证银行保函有效。</w:t>
      </w:r>
    </w:p>
    <w:p w14:paraId="72DE5FF7">
      <w:pPr>
        <w:spacing w:line="360" w:lineRule="auto"/>
        <w:ind w:left="10" w:right="85" w:firstLine="484"/>
        <w:jc w:val="both"/>
        <w:rPr>
          <w:rFonts w:ascii="宋体" w:hAnsi="宋体" w:eastAsia="宋体" w:cs="宋体"/>
          <w:sz w:val="24"/>
          <w:szCs w:val="24"/>
        </w:rPr>
      </w:pPr>
      <w:r>
        <w:rPr>
          <w:rFonts w:ascii="宋体" w:hAnsi="宋体" w:eastAsia="宋体" w:cs="宋体"/>
          <w:spacing w:val="-3"/>
          <w:sz w:val="24"/>
          <w:szCs w:val="24"/>
        </w:rPr>
        <w:t>7.7.2</w:t>
      </w:r>
      <w:r>
        <w:rPr>
          <w:rFonts w:ascii="宋体" w:hAnsi="宋体" w:eastAsia="宋体" w:cs="宋体"/>
          <w:spacing w:val="32"/>
          <w:sz w:val="24"/>
          <w:szCs w:val="24"/>
        </w:rPr>
        <w:t xml:space="preserve"> </w:t>
      </w:r>
      <w:r>
        <w:rPr>
          <w:rFonts w:ascii="宋体" w:hAnsi="宋体" w:eastAsia="宋体" w:cs="宋体"/>
          <w:spacing w:val="-3"/>
          <w:sz w:val="24"/>
          <w:szCs w:val="24"/>
        </w:rPr>
        <w:t>中标人不能按本章第</w:t>
      </w:r>
      <w:r>
        <w:rPr>
          <w:rFonts w:ascii="宋体" w:hAnsi="宋体" w:eastAsia="宋体" w:cs="宋体"/>
          <w:spacing w:val="-45"/>
          <w:sz w:val="24"/>
          <w:szCs w:val="24"/>
        </w:rPr>
        <w:t xml:space="preserve"> </w:t>
      </w:r>
      <w:r>
        <w:rPr>
          <w:rFonts w:ascii="宋体" w:hAnsi="宋体" w:eastAsia="宋体" w:cs="宋体"/>
          <w:spacing w:val="-3"/>
          <w:sz w:val="24"/>
          <w:szCs w:val="24"/>
        </w:rPr>
        <w:t>7.7.1</w:t>
      </w:r>
      <w:r>
        <w:rPr>
          <w:rFonts w:ascii="宋体" w:hAnsi="宋体" w:eastAsia="宋体" w:cs="宋体"/>
          <w:spacing w:val="-47"/>
          <w:sz w:val="24"/>
          <w:szCs w:val="24"/>
        </w:rPr>
        <w:t xml:space="preserve"> </w:t>
      </w:r>
      <w:r>
        <w:rPr>
          <w:rFonts w:ascii="宋体" w:hAnsi="宋体" w:eastAsia="宋体" w:cs="宋体"/>
          <w:spacing w:val="-3"/>
          <w:sz w:val="24"/>
          <w:szCs w:val="24"/>
        </w:rPr>
        <w:t>项要求提交履约保证金的，视为放弃</w:t>
      </w:r>
      <w:r>
        <w:rPr>
          <w:rFonts w:ascii="宋体" w:hAnsi="宋体" w:eastAsia="宋体" w:cs="宋体"/>
          <w:spacing w:val="-4"/>
          <w:sz w:val="24"/>
          <w:szCs w:val="24"/>
        </w:rPr>
        <w:t>中标，其投</w:t>
      </w:r>
      <w:r>
        <w:rPr>
          <w:rFonts w:ascii="宋体" w:hAnsi="宋体" w:eastAsia="宋体" w:cs="宋体"/>
          <w:spacing w:val="-2"/>
          <w:sz w:val="24"/>
          <w:szCs w:val="24"/>
        </w:rPr>
        <w:t>标保证金不予退还，给招标人造成的损失超过投标保证金数额的，中标人还应对超过部</w:t>
      </w:r>
      <w:r>
        <w:rPr>
          <w:rFonts w:ascii="宋体" w:hAnsi="宋体" w:eastAsia="宋体" w:cs="宋体"/>
          <w:spacing w:val="-7"/>
          <w:sz w:val="24"/>
          <w:szCs w:val="24"/>
        </w:rPr>
        <w:t>分予以赔偿。</w:t>
      </w:r>
    </w:p>
    <w:p w14:paraId="330E0875">
      <w:pPr>
        <w:spacing w:line="221" w:lineRule="auto"/>
        <w:ind w:left="15"/>
        <w:rPr>
          <w:rFonts w:ascii="宋体" w:hAnsi="宋体" w:eastAsia="宋体" w:cs="宋体"/>
          <w:sz w:val="24"/>
          <w:szCs w:val="24"/>
        </w:rPr>
      </w:pPr>
      <w:r>
        <w:rPr>
          <w:rFonts w:ascii="宋体" w:hAnsi="宋体" w:eastAsia="宋体" w:cs="宋体"/>
          <w:b/>
          <w:bCs/>
          <w:spacing w:val="-4"/>
          <w:sz w:val="24"/>
          <w:szCs w:val="24"/>
        </w:rPr>
        <w:t>7.8</w:t>
      </w:r>
      <w:r>
        <w:rPr>
          <w:rFonts w:ascii="宋体" w:hAnsi="宋体" w:eastAsia="宋体" w:cs="宋体"/>
          <w:spacing w:val="-4"/>
          <w:sz w:val="24"/>
          <w:szCs w:val="24"/>
        </w:rPr>
        <w:t xml:space="preserve"> </w:t>
      </w:r>
      <w:r>
        <w:rPr>
          <w:rFonts w:ascii="宋体" w:hAnsi="宋体" w:eastAsia="宋体" w:cs="宋体"/>
          <w:b/>
          <w:bCs/>
          <w:spacing w:val="-4"/>
          <w:sz w:val="24"/>
          <w:szCs w:val="24"/>
        </w:rPr>
        <w:t>签订合同</w:t>
      </w:r>
    </w:p>
    <w:p w14:paraId="79A4AA58">
      <w:pPr>
        <w:spacing w:before="180" w:line="360" w:lineRule="auto"/>
        <w:ind w:left="10" w:right="85" w:firstLine="484"/>
        <w:rPr>
          <w:rFonts w:ascii="宋体" w:hAnsi="宋体" w:eastAsia="宋体" w:cs="宋体"/>
          <w:sz w:val="24"/>
          <w:szCs w:val="24"/>
        </w:rPr>
      </w:pPr>
      <w:r>
        <w:rPr>
          <w:rFonts w:ascii="宋体" w:hAnsi="宋体" w:eastAsia="宋体" w:cs="宋体"/>
          <w:sz w:val="24"/>
          <w:szCs w:val="24"/>
        </w:rPr>
        <w:t>7.8.1 根据《公路工程建设项目招标投标管理办法》第</w:t>
      </w:r>
      <w:r>
        <w:rPr>
          <w:rFonts w:ascii="宋体" w:hAnsi="宋体" w:eastAsia="宋体" w:cs="宋体"/>
          <w:spacing w:val="-22"/>
          <w:sz w:val="24"/>
          <w:szCs w:val="24"/>
        </w:rPr>
        <w:t xml:space="preserve"> </w:t>
      </w:r>
      <w:r>
        <w:rPr>
          <w:rFonts w:ascii="宋体" w:hAnsi="宋体" w:eastAsia="宋体" w:cs="宋体"/>
          <w:sz w:val="24"/>
          <w:szCs w:val="24"/>
        </w:rPr>
        <w:t>57</w:t>
      </w:r>
      <w:r>
        <w:rPr>
          <w:rFonts w:ascii="宋体" w:hAnsi="宋体" w:eastAsia="宋体" w:cs="宋体"/>
          <w:spacing w:val="-48"/>
          <w:sz w:val="24"/>
          <w:szCs w:val="24"/>
        </w:rPr>
        <w:t xml:space="preserve"> </w:t>
      </w:r>
      <w:r>
        <w:rPr>
          <w:rFonts w:ascii="宋体" w:hAnsi="宋体" w:eastAsia="宋体" w:cs="宋体"/>
          <w:sz w:val="24"/>
          <w:szCs w:val="24"/>
        </w:rPr>
        <w:t>条规定，招标人和中标</w:t>
      </w:r>
      <w:r>
        <w:rPr>
          <w:rFonts w:ascii="宋体" w:hAnsi="宋体" w:eastAsia="宋体" w:cs="宋体"/>
          <w:spacing w:val="-2"/>
          <w:sz w:val="24"/>
          <w:szCs w:val="24"/>
        </w:rPr>
        <w:t>人应在中标通知书发出之日起</w:t>
      </w:r>
      <w:r>
        <w:rPr>
          <w:rFonts w:ascii="宋体" w:hAnsi="宋体" w:eastAsia="宋体" w:cs="宋体"/>
          <w:spacing w:val="-24"/>
          <w:sz w:val="24"/>
          <w:szCs w:val="24"/>
        </w:rPr>
        <w:t xml:space="preserve"> </w:t>
      </w:r>
      <w:r>
        <w:rPr>
          <w:rFonts w:ascii="宋体" w:hAnsi="宋体" w:eastAsia="宋体" w:cs="宋体"/>
          <w:spacing w:val="-2"/>
          <w:sz w:val="24"/>
          <w:szCs w:val="24"/>
        </w:rPr>
        <w:t>30 日内，根据招标文件和中标人的投标文件订立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2F02E213">
      <w:pPr>
        <w:spacing w:before="2" w:line="355" w:lineRule="auto"/>
        <w:ind w:left="10" w:right="85" w:firstLine="484"/>
        <w:rPr>
          <w:rFonts w:ascii="宋体" w:hAnsi="宋体" w:eastAsia="宋体" w:cs="宋体"/>
          <w:sz w:val="24"/>
          <w:szCs w:val="24"/>
        </w:rPr>
      </w:pPr>
      <w:r>
        <w:rPr>
          <w:rFonts w:ascii="宋体" w:hAnsi="宋体" w:eastAsia="宋体" w:cs="宋体"/>
          <w:spacing w:val="-2"/>
          <w:sz w:val="24"/>
          <w:szCs w:val="24"/>
        </w:rPr>
        <w:t>7.8.2 发出中标通知书后，招标人无正当理由拒签合同，或在签订合同时向中标人提出附加条件的，招标人向中标人退还投标保证金；给中标人造成损失的，还应赔偿损</w:t>
      </w:r>
      <w:r>
        <w:rPr>
          <w:rFonts w:ascii="宋体" w:hAnsi="宋体" w:eastAsia="宋体" w:cs="宋体"/>
          <w:spacing w:val="-12"/>
          <w:sz w:val="24"/>
          <w:szCs w:val="24"/>
        </w:rPr>
        <w:t>失。</w:t>
      </w:r>
    </w:p>
    <w:p w14:paraId="7311A5FC">
      <w:pPr>
        <w:spacing w:line="232" w:lineRule="auto"/>
        <w:ind w:left="495"/>
        <w:rPr>
          <w:rFonts w:hint="eastAsia" w:ascii="宋体" w:hAnsi="宋体" w:eastAsia="宋体" w:cs="宋体"/>
          <w:sz w:val="12"/>
          <w:szCs w:val="12"/>
          <w:lang w:eastAsia="zh-CN"/>
        </w:rPr>
      </w:pPr>
      <w:r>
        <w:rPr>
          <w:rFonts w:ascii="宋体" w:hAnsi="宋体" w:eastAsia="宋体" w:cs="宋体"/>
          <w:spacing w:val="-1"/>
          <w:sz w:val="24"/>
          <w:szCs w:val="24"/>
        </w:rPr>
        <w:t>7.8.3 签约合同价的确定原则如下：</w:t>
      </w:r>
    </w:p>
    <w:p w14:paraId="651134C4">
      <w:pPr>
        <w:spacing w:before="184" w:line="360" w:lineRule="auto"/>
        <w:ind w:left="10" w:right="96" w:firstLine="485"/>
        <w:rPr>
          <w:rFonts w:ascii="宋体" w:hAnsi="宋体" w:eastAsia="宋体" w:cs="宋体"/>
          <w:sz w:val="24"/>
          <w:szCs w:val="24"/>
        </w:rPr>
      </w:pPr>
      <w:r>
        <w:rPr>
          <w:rFonts w:ascii="宋体" w:hAnsi="宋体" w:eastAsia="宋体" w:cs="宋体"/>
          <w:spacing w:val="1"/>
          <w:sz w:val="24"/>
          <w:szCs w:val="24"/>
        </w:rPr>
        <w:t>（1）按照评标办法规定对投标报价进行修正后，若修正后的最终投标报价小于开</w:t>
      </w:r>
      <w:r>
        <w:rPr>
          <w:rFonts w:ascii="宋体" w:hAnsi="宋体" w:eastAsia="宋体" w:cs="宋体"/>
          <w:spacing w:val="-2"/>
          <w:sz w:val="24"/>
          <w:szCs w:val="24"/>
        </w:rPr>
        <w:t>标时的投标函大写金额报价，则签订合同时以修正后的最终投标报价为准；</w:t>
      </w:r>
    </w:p>
    <w:p w14:paraId="3DBFC98A">
      <w:pPr>
        <w:spacing w:before="1" w:line="361" w:lineRule="auto"/>
        <w:ind w:left="10" w:right="85" w:firstLine="485"/>
      </w:pPr>
      <w:r>
        <w:rPr>
          <w:rFonts w:ascii="宋体" w:hAnsi="宋体" w:eastAsia="宋体" w:cs="宋体"/>
          <w:spacing w:val="1"/>
          <w:sz w:val="24"/>
          <w:szCs w:val="24"/>
        </w:rPr>
        <w:t>（2）按照评标办法规定对投标报价进行修正后，若修正后的最终投标报价大于开</w:t>
      </w:r>
      <w:r>
        <w:rPr>
          <w:rFonts w:ascii="宋体" w:hAnsi="宋体" w:eastAsia="宋体" w:cs="宋体"/>
          <w:spacing w:val="-2"/>
          <w:sz w:val="24"/>
          <w:szCs w:val="24"/>
        </w:rPr>
        <w:t>标时的投标函大写金额报价，则签订合同时以开标时的投标函大写金额报价为准，同时</w:t>
      </w:r>
    </w:p>
    <w:p w14:paraId="1FE57C4F">
      <w:pPr>
        <w:spacing w:before="78" w:line="218" w:lineRule="auto"/>
        <w:ind w:left="11"/>
        <w:rPr>
          <w:rFonts w:ascii="宋体" w:hAnsi="宋体" w:eastAsia="宋体" w:cs="宋体"/>
          <w:sz w:val="24"/>
          <w:szCs w:val="24"/>
        </w:rPr>
      </w:pPr>
      <w:r>
        <w:rPr>
          <w:rFonts w:ascii="宋体" w:hAnsi="宋体" w:eastAsia="宋体" w:cs="宋体"/>
          <w:spacing w:val="-3"/>
          <w:sz w:val="24"/>
          <w:szCs w:val="24"/>
        </w:rPr>
        <w:t>按比例修正相应子目的单价或合价。</w:t>
      </w:r>
    </w:p>
    <w:p w14:paraId="6EC5B564">
      <w:pPr>
        <w:spacing w:before="184" w:line="360" w:lineRule="auto"/>
        <w:ind w:left="9" w:right="66" w:firstLine="485"/>
        <w:rPr>
          <w:rFonts w:ascii="宋体" w:hAnsi="宋体" w:eastAsia="宋体" w:cs="宋体"/>
          <w:sz w:val="24"/>
          <w:szCs w:val="24"/>
        </w:rPr>
      </w:pPr>
      <w:r>
        <w:rPr>
          <w:rFonts w:ascii="宋体" w:hAnsi="宋体" w:eastAsia="宋体" w:cs="宋体"/>
          <w:spacing w:val="-2"/>
          <w:sz w:val="24"/>
          <w:szCs w:val="24"/>
        </w:rPr>
        <w:t>7.8.4 联合体中标的，联合体各方应共同与招标人签订合同，就中标项目向招标人</w:t>
      </w:r>
      <w:r>
        <w:rPr>
          <w:rFonts w:ascii="宋体" w:hAnsi="宋体" w:eastAsia="宋体" w:cs="宋体"/>
          <w:spacing w:val="-6"/>
          <w:sz w:val="24"/>
          <w:szCs w:val="24"/>
        </w:rPr>
        <w:t>承担连带责任。</w:t>
      </w:r>
    </w:p>
    <w:p w14:paraId="7BD73846">
      <w:pPr>
        <w:spacing w:line="360" w:lineRule="auto"/>
        <w:ind w:left="10" w:right="66" w:firstLine="484"/>
        <w:rPr>
          <w:rFonts w:ascii="宋体" w:hAnsi="宋体" w:eastAsia="宋体" w:cs="宋体"/>
          <w:sz w:val="24"/>
          <w:szCs w:val="24"/>
        </w:rPr>
      </w:pPr>
      <w:r>
        <w:rPr>
          <w:rFonts w:ascii="宋体" w:hAnsi="宋体" w:eastAsia="宋体" w:cs="宋体"/>
          <w:spacing w:val="-2"/>
          <w:sz w:val="24"/>
          <w:szCs w:val="24"/>
        </w:rPr>
        <w:t>7.8.5 招标人和中标人在签订合同协议书的同时，须按照本招标文件规定的格式和要求签订廉政合同及安全生产合同，明确双方在廉政建设和安全生产方面的权利和义务</w:t>
      </w:r>
      <w:r>
        <w:rPr>
          <w:rFonts w:ascii="宋体" w:hAnsi="宋体" w:eastAsia="宋体" w:cs="宋体"/>
          <w:spacing w:val="-4"/>
          <w:sz w:val="24"/>
          <w:szCs w:val="24"/>
        </w:rPr>
        <w:t>以及应承担的违约责任。</w:t>
      </w:r>
    </w:p>
    <w:p w14:paraId="1167E8FF">
      <w:pPr>
        <w:spacing w:line="219" w:lineRule="auto"/>
        <w:ind w:left="10"/>
        <w:rPr>
          <w:rFonts w:ascii="宋体" w:hAnsi="宋体" w:eastAsia="宋体" w:cs="宋体"/>
          <w:sz w:val="24"/>
          <w:szCs w:val="24"/>
        </w:rPr>
      </w:pPr>
      <w:r>
        <w:rPr>
          <w:rFonts w:ascii="宋体" w:hAnsi="宋体" w:eastAsia="宋体" w:cs="宋体"/>
          <w:b/>
          <w:bCs/>
          <w:spacing w:val="-6"/>
          <w:sz w:val="24"/>
          <w:szCs w:val="24"/>
        </w:rPr>
        <w:t>8.</w:t>
      </w:r>
      <w:r>
        <w:rPr>
          <w:rFonts w:ascii="宋体" w:hAnsi="宋体" w:eastAsia="宋体" w:cs="宋体"/>
          <w:spacing w:val="20"/>
          <w:sz w:val="24"/>
          <w:szCs w:val="24"/>
        </w:rPr>
        <w:t xml:space="preserve"> </w:t>
      </w:r>
      <w:r>
        <w:rPr>
          <w:rFonts w:ascii="宋体" w:hAnsi="宋体" w:eastAsia="宋体" w:cs="宋体"/>
          <w:b/>
          <w:bCs/>
          <w:spacing w:val="-6"/>
          <w:sz w:val="24"/>
          <w:szCs w:val="24"/>
        </w:rPr>
        <w:t>纪律和监督</w:t>
      </w:r>
    </w:p>
    <w:p w14:paraId="0E7D7FB5">
      <w:pPr>
        <w:spacing w:before="181" w:line="220" w:lineRule="auto"/>
        <w:ind w:left="10"/>
        <w:rPr>
          <w:rFonts w:ascii="宋体" w:hAnsi="宋体" w:eastAsia="宋体" w:cs="宋体"/>
          <w:sz w:val="24"/>
          <w:szCs w:val="24"/>
        </w:rPr>
      </w:pPr>
      <w:r>
        <w:rPr>
          <w:rFonts w:ascii="宋体" w:hAnsi="宋体" w:eastAsia="宋体" w:cs="宋体"/>
          <w:b/>
          <w:bCs/>
          <w:spacing w:val="-3"/>
          <w:sz w:val="24"/>
          <w:szCs w:val="24"/>
        </w:rPr>
        <w:t>8.1</w:t>
      </w:r>
      <w:r>
        <w:rPr>
          <w:rFonts w:ascii="宋体" w:hAnsi="宋体" w:eastAsia="宋体" w:cs="宋体"/>
          <w:spacing w:val="-3"/>
          <w:sz w:val="24"/>
          <w:szCs w:val="24"/>
        </w:rPr>
        <w:t xml:space="preserve"> </w:t>
      </w:r>
      <w:r>
        <w:rPr>
          <w:rFonts w:ascii="宋体" w:hAnsi="宋体" w:eastAsia="宋体" w:cs="宋体"/>
          <w:b/>
          <w:bCs/>
          <w:spacing w:val="-3"/>
          <w:sz w:val="24"/>
          <w:szCs w:val="24"/>
        </w:rPr>
        <w:t>对招标人的纪律要求</w:t>
      </w:r>
    </w:p>
    <w:p w14:paraId="4471ED96">
      <w:pPr>
        <w:spacing w:before="183" w:line="360" w:lineRule="auto"/>
        <w:ind w:left="10" w:right="66" w:firstLine="480"/>
        <w:rPr>
          <w:rFonts w:ascii="宋体" w:hAnsi="宋体" w:eastAsia="宋体" w:cs="宋体"/>
          <w:sz w:val="24"/>
          <w:szCs w:val="24"/>
        </w:rPr>
      </w:pPr>
      <w:r>
        <w:rPr>
          <w:rFonts w:ascii="宋体" w:hAnsi="宋体" w:eastAsia="宋体" w:cs="宋体"/>
          <w:spacing w:val="-2"/>
          <w:sz w:val="24"/>
          <w:szCs w:val="24"/>
        </w:rPr>
        <w:t>招标人不得泄露招标投标活动中应保密的情况和资料，不得与投标人串通损害国家</w:t>
      </w:r>
      <w:r>
        <w:rPr>
          <w:rFonts w:ascii="宋体" w:hAnsi="宋体" w:eastAsia="宋体" w:cs="宋体"/>
          <w:spacing w:val="-3"/>
          <w:sz w:val="24"/>
          <w:szCs w:val="24"/>
        </w:rPr>
        <w:t>利益、社会公共利益或他人合法权益。</w:t>
      </w:r>
    </w:p>
    <w:p w14:paraId="3A840F28">
      <w:pPr>
        <w:spacing w:line="219" w:lineRule="auto"/>
        <w:ind w:left="10"/>
        <w:rPr>
          <w:rFonts w:ascii="宋体" w:hAnsi="宋体" w:eastAsia="宋体" w:cs="宋体"/>
          <w:sz w:val="24"/>
          <w:szCs w:val="24"/>
        </w:rPr>
      </w:pPr>
      <w:r>
        <w:rPr>
          <w:rFonts w:ascii="宋体" w:hAnsi="宋体" w:eastAsia="宋体" w:cs="宋体"/>
          <w:b/>
          <w:bCs/>
          <w:spacing w:val="-3"/>
          <w:sz w:val="24"/>
          <w:szCs w:val="24"/>
        </w:rPr>
        <w:t>8.2</w:t>
      </w:r>
      <w:r>
        <w:rPr>
          <w:rFonts w:ascii="宋体" w:hAnsi="宋体" w:eastAsia="宋体" w:cs="宋体"/>
          <w:spacing w:val="-3"/>
          <w:sz w:val="24"/>
          <w:szCs w:val="24"/>
        </w:rPr>
        <w:t xml:space="preserve"> </w:t>
      </w:r>
      <w:r>
        <w:rPr>
          <w:rFonts w:ascii="宋体" w:hAnsi="宋体" w:eastAsia="宋体" w:cs="宋体"/>
          <w:b/>
          <w:bCs/>
          <w:spacing w:val="-3"/>
          <w:sz w:val="24"/>
          <w:szCs w:val="24"/>
        </w:rPr>
        <w:t>对投标人的纪律要求</w:t>
      </w:r>
    </w:p>
    <w:p w14:paraId="29FF3C4A">
      <w:pPr>
        <w:spacing w:before="183" w:line="360" w:lineRule="auto"/>
        <w:ind w:left="8" w:right="66" w:firstLine="483"/>
        <w:jc w:val="both"/>
        <w:rPr>
          <w:rFonts w:ascii="宋体" w:hAnsi="宋体" w:eastAsia="宋体" w:cs="宋体"/>
          <w:sz w:val="24"/>
          <w:szCs w:val="24"/>
        </w:rPr>
      </w:pPr>
      <w:r>
        <w:rPr>
          <w:rFonts w:ascii="宋体" w:hAnsi="宋体" w:eastAsia="宋体" w:cs="宋体"/>
          <w:spacing w:val="-2"/>
          <w:sz w:val="24"/>
          <w:szCs w:val="24"/>
        </w:rPr>
        <w:t>投标人不得相互串通投标或与招标人串通投标，不得向招标人或评标委员会成员行贿谋取中标，不得以他人名义投标或以其他方式弄虚作假骗取中标；投标人不得以任何</w:t>
      </w:r>
      <w:r>
        <w:rPr>
          <w:rFonts w:ascii="宋体" w:hAnsi="宋体" w:eastAsia="宋体" w:cs="宋体"/>
          <w:spacing w:val="-4"/>
          <w:sz w:val="24"/>
          <w:szCs w:val="24"/>
        </w:rPr>
        <w:t>方式干扰、影响评标工作。</w:t>
      </w:r>
    </w:p>
    <w:p w14:paraId="18A36A91">
      <w:pPr>
        <w:spacing w:before="1" w:line="218" w:lineRule="auto"/>
        <w:ind w:left="10"/>
        <w:rPr>
          <w:rFonts w:ascii="宋体" w:hAnsi="宋体" w:eastAsia="宋体" w:cs="宋体"/>
          <w:sz w:val="24"/>
          <w:szCs w:val="24"/>
        </w:rPr>
      </w:pPr>
      <w:r>
        <w:rPr>
          <w:rFonts w:ascii="宋体" w:hAnsi="宋体" w:eastAsia="宋体" w:cs="宋体"/>
          <w:b/>
          <w:bCs/>
          <w:spacing w:val="-3"/>
          <w:sz w:val="24"/>
          <w:szCs w:val="24"/>
        </w:rPr>
        <w:t>8.3</w:t>
      </w:r>
      <w:r>
        <w:rPr>
          <w:rFonts w:ascii="宋体" w:hAnsi="宋体" w:eastAsia="宋体" w:cs="宋体"/>
          <w:spacing w:val="-3"/>
          <w:sz w:val="24"/>
          <w:szCs w:val="24"/>
        </w:rPr>
        <w:t xml:space="preserve"> </w:t>
      </w:r>
      <w:r>
        <w:rPr>
          <w:rFonts w:ascii="宋体" w:hAnsi="宋体" w:eastAsia="宋体" w:cs="宋体"/>
          <w:b/>
          <w:bCs/>
          <w:spacing w:val="-3"/>
          <w:sz w:val="24"/>
          <w:szCs w:val="24"/>
        </w:rPr>
        <w:t>对评标委员会成员的纪律要求</w:t>
      </w:r>
    </w:p>
    <w:p w14:paraId="7C9256A1">
      <w:pPr>
        <w:spacing w:before="183" w:line="360" w:lineRule="auto"/>
        <w:ind w:left="8" w:right="66" w:firstLine="480"/>
        <w:jc w:val="both"/>
        <w:rPr>
          <w:rFonts w:ascii="宋体" w:hAnsi="宋体" w:eastAsia="宋体" w:cs="宋体"/>
          <w:sz w:val="24"/>
          <w:szCs w:val="24"/>
        </w:rPr>
      </w:pPr>
      <w:r>
        <w:rPr>
          <w:rFonts w:ascii="宋体" w:hAnsi="宋体" w:eastAsia="宋体" w:cs="宋体"/>
          <w:spacing w:val="-2"/>
          <w:sz w:val="24"/>
          <w:szCs w:val="24"/>
        </w:rPr>
        <w:t>评标委员会成员不得收受他人的财物或其他好处，不得向他人透露对投标文件的评</w:t>
      </w:r>
      <w:r>
        <w:rPr>
          <w:rFonts w:ascii="宋体" w:hAnsi="宋体" w:eastAsia="宋体" w:cs="宋体"/>
          <w:spacing w:val="-6"/>
          <w:sz w:val="24"/>
          <w:szCs w:val="24"/>
        </w:rPr>
        <w:t>审和比较、中标候选人的推荐情况以及评标有关的其他情况。在评标活动中，</w:t>
      </w:r>
      <w:r>
        <w:rPr>
          <w:rFonts w:ascii="宋体" w:hAnsi="宋体" w:eastAsia="宋体" w:cs="宋体"/>
          <w:spacing w:val="50"/>
          <w:sz w:val="24"/>
          <w:szCs w:val="24"/>
        </w:rPr>
        <w:t xml:space="preserve"> </w:t>
      </w:r>
      <w:r>
        <w:rPr>
          <w:rFonts w:ascii="宋体" w:hAnsi="宋体" w:eastAsia="宋体" w:cs="宋体"/>
          <w:spacing w:val="-6"/>
          <w:sz w:val="24"/>
          <w:szCs w:val="24"/>
        </w:rPr>
        <w:t>评标委员会成员应客观、公正地履行职责，</w:t>
      </w:r>
      <w:r>
        <w:rPr>
          <w:rFonts w:ascii="宋体" w:hAnsi="宋体" w:eastAsia="宋体" w:cs="宋体"/>
          <w:spacing w:val="50"/>
          <w:sz w:val="24"/>
          <w:szCs w:val="24"/>
        </w:rPr>
        <w:t xml:space="preserve"> </w:t>
      </w:r>
      <w:r>
        <w:rPr>
          <w:rFonts w:ascii="宋体" w:hAnsi="宋体" w:eastAsia="宋体" w:cs="宋体"/>
          <w:spacing w:val="-6"/>
          <w:sz w:val="24"/>
          <w:szCs w:val="24"/>
        </w:rPr>
        <w:t>遵守职业道德，不得擅离职守，影响评标程序正常进</w:t>
      </w:r>
      <w:r>
        <w:rPr>
          <w:rFonts w:ascii="宋体" w:hAnsi="宋体" w:eastAsia="宋体" w:cs="宋体"/>
          <w:spacing w:val="-1"/>
          <w:sz w:val="24"/>
          <w:szCs w:val="24"/>
        </w:rPr>
        <w:t>行，不得使用第三章“评标办法”没有规定的评</w:t>
      </w:r>
      <w:r>
        <w:rPr>
          <w:rFonts w:ascii="宋体" w:hAnsi="宋体" w:eastAsia="宋体" w:cs="宋体"/>
          <w:spacing w:val="-2"/>
          <w:sz w:val="24"/>
          <w:szCs w:val="24"/>
        </w:rPr>
        <w:t>审因素和标准进行评标。</w:t>
      </w:r>
    </w:p>
    <w:p w14:paraId="24D1C4BB">
      <w:pPr>
        <w:spacing w:before="1" w:line="219" w:lineRule="auto"/>
        <w:ind w:left="10"/>
        <w:rPr>
          <w:rFonts w:ascii="宋体" w:hAnsi="宋体" w:eastAsia="宋体" w:cs="宋体"/>
          <w:sz w:val="24"/>
          <w:szCs w:val="24"/>
        </w:rPr>
      </w:pPr>
      <w:r>
        <w:rPr>
          <w:rFonts w:ascii="宋体" w:hAnsi="宋体" w:eastAsia="宋体" w:cs="宋体"/>
          <w:b/>
          <w:bCs/>
          <w:spacing w:val="-3"/>
          <w:sz w:val="24"/>
          <w:szCs w:val="24"/>
        </w:rPr>
        <w:t>8.4</w:t>
      </w:r>
      <w:r>
        <w:rPr>
          <w:rFonts w:ascii="宋体" w:hAnsi="宋体" w:eastAsia="宋体" w:cs="宋体"/>
          <w:spacing w:val="-3"/>
          <w:sz w:val="24"/>
          <w:szCs w:val="24"/>
        </w:rPr>
        <w:t xml:space="preserve"> </w:t>
      </w:r>
      <w:r>
        <w:rPr>
          <w:rFonts w:ascii="宋体" w:hAnsi="宋体" w:eastAsia="宋体" w:cs="宋体"/>
          <w:b/>
          <w:bCs/>
          <w:spacing w:val="-3"/>
          <w:sz w:val="24"/>
          <w:szCs w:val="24"/>
        </w:rPr>
        <w:t>对与评标活动有关的工作人员的纪律要求</w:t>
      </w:r>
    </w:p>
    <w:p w14:paraId="7490183A">
      <w:pPr>
        <w:spacing w:before="183" w:line="360" w:lineRule="auto"/>
        <w:ind w:left="10" w:firstLine="483"/>
        <w:jc w:val="both"/>
        <w:rPr>
          <w:rFonts w:ascii="宋体" w:hAnsi="宋体" w:eastAsia="宋体" w:cs="宋体"/>
          <w:sz w:val="24"/>
          <w:szCs w:val="24"/>
        </w:rPr>
      </w:pPr>
      <w:r>
        <w:rPr>
          <w:rFonts w:ascii="宋体" w:hAnsi="宋体" w:eastAsia="宋体" w:cs="宋体"/>
          <w:spacing w:val="-2"/>
          <w:sz w:val="24"/>
          <w:szCs w:val="24"/>
        </w:rPr>
        <w:t>与评标活动有关的工作人员不得收受他人的财物或其他好处，不得向他人透露对投</w:t>
      </w:r>
      <w:r>
        <w:rPr>
          <w:rFonts w:ascii="宋体" w:hAnsi="宋体" w:eastAsia="宋体" w:cs="宋体"/>
          <w:spacing w:val="-6"/>
          <w:sz w:val="24"/>
          <w:szCs w:val="24"/>
        </w:rPr>
        <w:t>标文件的评审和比较、中标候选人的推荐情况以及评标有关的其他情况。在评标活动中，</w:t>
      </w:r>
      <w:r>
        <w:rPr>
          <w:rFonts w:ascii="宋体" w:hAnsi="宋体" w:eastAsia="宋体" w:cs="宋体"/>
          <w:spacing w:val="-2"/>
          <w:sz w:val="24"/>
          <w:szCs w:val="24"/>
        </w:rPr>
        <w:t>与评标活动有关的工作人员不得擅离职守，影响评标程序正常进行。</w:t>
      </w:r>
    </w:p>
    <w:p w14:paraId="040585B6">
      <w:pPr>
        <w:spacing w:line="220" w:lineRule="auto"/>
        <w:ind w:left="10"/>
        <w:rPr>
          <w:rFonts w:ascii="宋体" w:hAnsi="宋体" w:eastAsia="宋体" w:cs="宋体"/>
          <w:sz w:val="24"/>
          <w:szCs w:val="24"/>
        </w:rPr>
      </w:pPr>
      <w:r>
        <w:rPr>
          <w:rFonts w:ascii="宋体" w:hAnsi="宋体" w:eastAsia="宋体" w:cs="宋体"/>
          <w:b/>
          <w:bCs/>
          <w:spacing w:val="-6"/>
          <w:sz w:val="24"/>
          <w:szCs w:val="24"/>
        </w:rPr>
        <w:t>8.5</w:t>
      </w:r>
      <w:r>
        <w:rPr>
          <w:rFonts w:ascii="宋体" w:hAnsi="宋体" w:eastAsia="宋体" w:cs="宋体"/>
          <w:spacing w:val="15"/>
          <w:sz w:val="24"/>
          <w:szCs w:val="24"/>
        </w:rPr>
        <w:t xml:space="preserve"> </w:t>
      </w:r>
      <w:r>
        <w:rPr>
          <w:rFonts w:ascii="宋体" w:hAnsi="宋体" w:eastAsia="宋体" w:cs="宋体"/>
          <w:b/>
          <w:bCs/>
          <w:spacing w:val="-6"/>
          <w:sz w:val="24"/>
          <w:szCs w:val="24"/>
        </w:rPr>
        <w:t>投诉</w:t>
      </w:r>
    </w:p>
    <w:p w14:paraId="64B02D03">
      <w:pPr>
        <w:spacing w:before="183" w:line="360" w:lineRule="auto"/>
        <w:ind w:left="8" w:right="85" w:firstLine="481"/>
        <w:jc w:val="both"/>
        <w:rPr>
          <w:rFonts w:ascii="宋体" w:hAnsi="宋体" w:eastAsia="宋体" w:cs="宋体"/>
          <w:spacing w:val="-4"/>
          <w:sz w:val="24"/>
          <w:szCs w:val="24"/>
        </w:rPr>
      </w:pPr>
      <w:r>
        <w:rPr>
          <w:rFonts w:ascii="宋体" w:hAnsi="宋体" w:eastAsia="宋体" w:cs="宋体"/>
          <w:spacing w:val="-4"/>
          <w:sz w:val="24"/>
          <w:szCs w:val="24"/>
        </w:rPr>
        <w:t>8.5.1 投标人或其他利害关系人认为招标投标活动不符合法律、行政法规规定的，可以自知道或应当知道之日起 10 日内向有关行政监督部门投诉。对于按法规规定应先提出异议的事项进行投诉的，应当提交已提出异议的证明文件。未按规定提出异议或者未提交已提出异议的证明文件的投诉，行政监督部门可以不予受理。投诉人缺乏事实根据或者法律依据进行投诉的，或者有证据表明投诉人捏造事实、伪造材料的， 或者投诉人以非法手段取得证明材料进行投诉的，行政监督部门应当予以驳回，并对恶意投诉按照有关规定追究投诉人责任。行政监督部门处理投诉， 有权查阅、复制有关文件、资料，调查有关情况，相关单位和人员应当予以配合。必要时， 行政监督部门可以责令暂停招标投标活动。</w:t>
      </w:r>
    </w:p>
    <w:p w14:paraId="4DA77DA0">
      <w:pPr>
        <w:spacing w:before="1" w:line="218" w:lineRule="auto"/>
        <w:ind w:left="490"/>
        <w:rPr>
          <w:rFonts w:ascii="宋体" w:hAnsi="宋体" w:eastAsia="宋体" w:cs="宋体"/>
          <w:sz w:val="24"/>
          <w:szCs w:val="24"/>
        </w:rPr>
      </w:pPr>
      <w:r>
        <w:rPr>
          <w:rFonts w:ascii="宋体" w:hAnsi="宋体" w:eastAsia="宋体" w:cs="宋体"/>
          <w:spacing w:val="-3"/>
          <w:sz w:val="24"/>
          <w:szCs w:val="24"/>
        </w:rPr>
        <w:t>监督部门的联系方式见投标人须知前附表。</w:t>
      </w:r>
    </w:p>
    <w:p w14:paraId="3CA25D2B">
      <w:pPr>
        <w:spacing w:before="183" w:line="360" w:lineRule="auto"/>
        <w:ind w:left="8" w:right="85" w:firstLine="481"/>
        <w:jc w:val="both"/>
        <w:rPr>
          <w:rFonts w:ascii="宋体" w:hAnsi="宋体" w:eastAsia="宋体" w:cs="宋体"/>
          <w:sz w:val="24"/>
          <w:szCs w:val="24"/>
        </w:rPr>
      </w:pPr>
      <w:r>
        <w:rPr>
          <w:rFonts w:ascii="宋体" w:hAnsi="宋体" w:eastAsia="宋体" w:cs="宋体"/>
          <w:spacing w:val="-4"/>
          <w:sz w:val="24"/>
          <w:szCs w:val="24"/>
        </w:rPr>
        <w:t>8.5.2 投标人或其他利害关系人对招标</w:t>
      </w:r>
      <w:r>
        <w:rPr>
          <w:rFonts w:ascii="宋体" w:hAnsi="宋体" w:eastAsia="宋体" w:cs="宋体"/>
          <w:spacing w:val="-5"/>
          <w:sz w:val="24"/>
          <w:szCs w:val="24"/>
        </w:rPr>
        <w:t>文件、开标和评标结果提出投诉的， 应按照</w:t>
      </w:r>
      <w:r>
        <w:rPr>
          <w:rFonts w:ascii="宋体" w:hAnsi="宋体" w:eastAsia="宋体" w:cs="宋体"/>
          <w:spacing w:val="-3"/>
          <w:sz w:val="24"/>
          <w:szCs w:val="24"/>
        </w:rPr>
        <w:t>本章第</w:t>
      </w:r>
      <w:r>
        <w:rPr>
          <w:rFonts w:ascii="宋体" w:hAnsi="宋体" w:eastAsia="宋体" w:cs="宋体"/>
          <w:spacing w:val="-48"/>
          <w:sz w:val="24"/>
          <w:szCs w:val="24"/>
        </w:rPr>
        <w:t xml:space="preserve"> </w:t>
      </w:r>
      <w:r>
        <w:rPr>
          <w:rFonts w:ascii="宋体" w:hAnsi="宋体" w:eastAsia="宋体" w:cs="宋体"/>
          <w:spacing w:val="-3"/>
          <w:sz w:val="24"/>
          <w:szCs w:val="24"/>
        </w:rPr>
        <w:t>2.4</w:t>
      </w:r>
      <w:r>
        <w:rPr>
          <w:rFonts w:ascii="宋体" w:hAnsi="宋体" w:eastAsia="宋体" w:cs="宋体"/>
          <w:spacing w:val="-50"/>
          <w:sz w:val="24"/>
          <w:szCs w:val="24"/>
        </w:rPr>
        <w:t xml:space="preserve"> </w:t>
      </w:r>
      <w:r>
        <w:rPr>
          <w:rFonts w:ascii="宋体" w:hAnsi="宋体" w:eastAsia="宋体" w:cs="宋体"/>
          <w:spacing w:val="-3"/>
          <w:sz w:val="24"/>
          <w:szCs w:val="24"/>
        </w:rPr>
        <w:t>款、第</w:t>
      </w:r>
      <w:r>
        <w:rPr>
          <w:rFonts w:ascii="宋体" w:hAnsi="宋体" w:eastAsia="宋体" w:cs="宋体"/>
          <w:spacing w:val="-46"/>
          <w:sz w:val="24"/>
          <w:szCs w:val="24"/>
        </w:rPr>
        <w:t xml:space="preserve"> </w:t>
      </w:r>
      <w:r>
        <w:rPr>
          <w:rFonts w:ascii="宋体" w:hAnsi="宋体" w:eastAsia="宋体" w:cs="宋体"/>
          <w:spacing w:val="-3"/>
          <w:sz w:val="24"/>
          <w:szCs w:val="24"/>
        </w:rPr>
        <w:t>5.3</w:t>
      </w:r>
      <w:r>
        <w:rPr>
          <w:rFonts w:ascii="宋体" w:hAnsi="宋体" w:eastAsia="宋体" w:cs="宋体"/>
          <w:spacing w:val="-49"/>
          <w:sz w:val="24"/>
          <w:szCs w:val="24"/>
        </w:rPr>
        <w:t xml:space="preserve"> </w:t>
      </w:r>
      <w:r>
        <w:rPr>
          <w:rFonts w:ascii="宋体" w:hAnsi="宋体" w:eastAsia="宋体" w:cs="宋体"/>
          <w:spacing w:val="-3"/>
          <w:sz w:val="24"/>
          <w:szCs w:val="24"/>
        </w:rPr>
        <w:t>款和第</w:t>
      </w:r>
      <w:r>
        <w:rPr>
          <w:rFonts w:ascii="宋体" w:hAnsi="宋体" w:eastAsia="宋体" w:cs="宋体"/>
          <w:spacing w:val="-45"/>
          <w:sz w:val="24"/>
          <w:szCs w:val="24"/>
        </w:rPr>
        <w:t xml:space="preserve"> </w:t>
      </w:r>
      <w:r>
        <w:rPr>
          <w:rFonts w:ascii="宋体" w:hAnsi="宋体" w:eastAsia="宋体" w:cs="宋体"/>
          <w:spacing w:val="-3"/>
          <w:sz w:val="24"/>
          <w:szCs w:val="24"/>
        </w:rPr>
        <w:t>7.2</w:t>
      </w:r>
      <w:r>
        <w:rPr>
          <w:rFonts w:ascii="宋体" w:hAnsi="宋体" w:eastAsia="宋体" w:cs="宋体"/>
          <w:spacing w:val="-50"/>
          <w:sz w:val="24"/>
          <w:szCs w:val="24"/>
        </w:rPr>
        <w:t xml:space="preserve"> </w:t>
      </w:r>
      <w:r>
        <w:rPr>
          <w:rFonts w:ascii="宋体" w:hAnsi="宋体" w:eastAsia="宋体" w:cs="宋体"/>
          <w:spacing w:val="-3"/>
          <w:sz w:val="24"/>
          <w:szCs w:val="24"/>
        </w:rPr>
        <w:t>款的规定先向招标人提出异议。异议</w:t>
      </w:r>
      <w:r>
        <w:rPr>
          <w:rFonts w:ascii="宋体" w:hAnsi="宋体" w:eastAsia="宋体" w:cs="宋体"/>
          <w:spacing w:val="-4"/>
          <w:sz w:val="24"/>
          <w:szCs w:val="24"/>
        </w:rPr>
        <w:t>答复期间不计算</w:t>
      </w:r>
      <w:r>
        <w:rPr>
          <w:rFonts w:ascii="宋体" w:hAnsi="宋体" w:eastAsia="宋体" w:cs="宋体"/>
          <w:spacing w:val="-5"/>
          <w:sz w:val="24"/>
          <w:szCs w:val="24"/>
        </w:rPr>
        <w:t>在第</w:t>
      </w:r>
      <w:r>
        <w:rPr>
          <w:rFonts w:ascii="宋体" w:hAnsi="宋体" w:eastAsia="宋体" w:cs="宋体"/>
          <w:spacing w:val="-37"/>
          <w:sz w:val="24"/>
          <w:szCs w:val="24"/>
        </w:rPr>
        <w:t xml:space="preserve"> </w:t>
      </w:r>
      <w:r>
        <w:rPr>
          <w:rFonts w:ascii="宋体" w:hAnsi="宋体" w:eastAsia="宋体" w:cs="宋体"/>
          <w:spacing w:val="-5"/>
          <w:sz w:val="24"/>
          <w:szCs w:val="24"/>
        </w:rPr>
        <w:t>8.5.1</w:t>
      </w:r>
      <w:r>
        <w:rPr>
          <w:rFonts w:ascii="宋体" w:hAnsi="宋体" w:eastAsia="宋体" w:cs="宋体"/>
          <w:spacing w:val="-47"/>
          <w:sz w:val="24"/>
          <w:szCs w:val="24"/>
        </w:rPr>
        <w:t xml:space="preserve"> </w:t>
      </w:r>
      <w:r>
        <w:rPr>
          <w:rFonts w:ascii="宋体" w:hAnsi="宋体" w:eastAsia="宋体" w:cs="宋体"/>
          <w:spacing w:val="-5"/>
          <w:sz w:val="24"/>
          <w:szCs w:val="24"/>
        </w:rPr>
        <w:t>项规定的期限内。</w:t>
      </w:r>
    </w:p>
    <w:p w14:paraId="5CDD96E6">
      <w:pPr>
        <w:spacing w:before="1" w:line="218" w:lineRule="auto"/>
        <w:ind w:left="10"/>
        <w:rPr>
          <w:rFonts w:ascii="宋体" w:hAnsi="宋体" w:eastAsia="宋体" w:cs="宋体"/>
          <w:sz w:val="24"/>
          <w:szCs w:val="24"/>
        </w:rPr>
      </w:pPr>
      <w:r>
        <w:rPr>
          <w:rFonts w:ascii="宋体" w:hAnsi="宋体" w:eastAsia="宋体" w:cs="宋体"/>
          <w:b/>
          <w:bCs/>
          <w:spacing w:val="-3"/>
          <w:sz w:val="24"/>
          <w:szCs w:val="24"/>
        </w:rPr>
        <w:t>9.</w:t>
      </w:r>
      <w:r>
        <w:rPr>
          <w:rFonts w:ascii="宋体" w:hAnsi="宋体" w:eastAsia="宋体" w:cs="宋体"/>
          <w:spacing w:val="-3"/>
          <w:sz w:val="24"/>
          <w:szCs w:val="24"/>
        </w:rPr>
        <w:t xml:space="preserve"> </w:t>
      </w:r>
      <w:r>
        <w:rPr>
          <w:rFonts w:ascii="宋体" w:hAnsi="宋体" w:eastAsia="宋体" w:cs="宋体"/>
          <w:b/>
          <w:bCs/>
          <w:spacing w:val="-3"/>
          <w:sz w:val="24"/>
          <w:szCs w:val="24"/>
        </w:rPr>
        <w:t>是否采用电子招标投标</w:t>
      </w:r>
    </w:p>
    <w:p w14:paraId="51743CE9">
      <w:pPr>
        <w:spacing w:before="183" w:line="219" w:lineRule="auto"/>
        <w:ind w:left="490"/>
        <w:rPr>
          <w:rFonts w:ascii="宋体" w:hAnsi="宋体" w:eastAsia="宋体" w:cs="宋体"/>
          <w:sz w:val="24"/>
          <w:szCs w:val="24"/>
        </w:rPr>
      </w:pPr>
      <w:r>
        <w:rPr>
          <w:rFonts w:ascii="宋体" w:hAnsi="宋体" w:eastAsia="宋体" w:cs="宋体"/>
          <w:spacing w:val="-2"/>
          <w:sz w:val="24"/>
          <w:szCs w:val="24"/>
        </w:rPr>
        <w:t>本招标项目是否采用电子招标投标方式，见投标人须知前附表。</w:t>
      </w:r>
    </w:p>
    <w:p w14:paraId="6F6A47AC">
      <w:pPr>
        <w:spacing w:before="182" w:line="220" w:lineRule="auto"/>
        <w:ind w:left="27"/>
        <w:rPr>
          <w:rFonts w:ascii="宋体" w:hAnsi="宋体" w:eastAsia="宋体" w:cs="宋体"/>
          <w:sz w:val="24"/>
          <w:szCs w:val="24"/>
        </w:rPr>
      </w:pPr>
      <w:r>
        <w:rPr>
          <w:rFonts w:ascii="宋体" w:hAnsi="宋体" w:eastAsia="宋体" w:cs="宋体"/>
          <w:b/>
          <w:bCs/>
          <w:spacing w:val="-6"/>
          <w:sz w:val="24"/>
          <w:szCs w:val="24"/>
        </w:rPr>
        <w:t>10.</w:t>
      </w:r>
      <w:r>
        <w:rPr>
          <w:rFonts w:ascii="宋体" w:hAnsi="宋体" w:eastAsia="宋体" w:cs="宋体"/>
          <w:spacing w:val="24"/>
          <w:sz w:val="24"/>
          <w:szCs w:val="24"/>
        </w:rPr>
        <w:t xml:space="preserve"> </w:t>
      </w:r>
      <w:r>
        <w:rPr>
          <w:rFonts w:ascii="宋体" w:hAnsi="宋体" w:eastAsia="宋体" w:cs="宋体"/>
          <w:b/>
          <w:bCs/>
          <w:spacing w:val="-6"/>
          <w:sz w:val="24"/>
          <w:szCs w:val="24"/>
        </w:rPr>
        <w:t>需要补充的其他内容</w:t>
      </w:r>
    </w:p>
    <w:p w14:paraId="0CFB3950">
      <w:pPr>
        <w:spacing w:before="182" w:line="219" w:lineRule="auto"/>
        <w:jc w:val="right"/>
        <w:rPr>
          <w:rFonts w:ascii="宋体" w:hAnsi="宋体" w:eastAsia="宋体" w:cs="宋体"/>
          <w:sz w:val="24"/>
          <w:szCs w:val="24"/>
        </w:rPr>
      </w:pPr>
      <w:r>
        <w:rPr>
          <w:rFonts w:ascii="宋体" w:hAnsi="宋体" w:eastAsia="宋体" w:cs="宋体"/>
          <w:spacing w:val="-4"/>
          <w:sz w:val="24"/>
          <w:szCs w:val="24"/>
        </w:rPr>
        <w:t>10.1</w:t>
      </w:r>
      <w:r>
        <w:rPr>
          <w:rFonts w:ascii="宋体" w:hAnsi="宋体" w:eastAsia="宋体" w:cs="宋体"/>
          <w:spacing w:val="49"/>
          <w:sz w:val="24"/>
          <w:szCs w:val="24"/>
        </w:rPr>
        <w:t xml:space="preserve"> </w:t>
      </w:r>
      <w:r>
        <w:rPr>
          <w:rFonts w:ascii="宋体" w:hAnsi="宋体" w:eastAsia="宋体" w:cs="宋体"/>
          <w:spacing w:val="-4"/>
          <w:sz w:val="24"/>
          <w:szCs w:val="24"/>
        </w:rPr>
        <w:t>自投标登记并获取招标文件之日起，投标人应保证其提供的</w:t>
      </w:r>
      <w:r>
        <w:rPr>
          <w:rFonts w:ascii="宋体" w:hAnsi="宋体" w:eastAsia="宋体" w:cs="宋体"/>
          <w:spacing w:val="-5"/>
          <w:sz w:val="24"/>
          <w:szCs w:val="24"/>
        </w:rPr>
        <w:t>联系方式（电话、</w:t>
      </w:r>
    </w:p>
    <w:p w14:paraId="1434879F">
      <w:pPr>
        <w:spacing w:before="183" w:line="219" w:lineRule="auto"/>
        <w:ind w:left="7"/>
        <w:rPr>
          <w:rFonts w:ascii="宋体" w:hAnsi="宋体" w:eastAsia="宋体" w:cs="宋体"/>
          <w:sz w:val="24"/>
          <w:szCs w:val="24"/>
        </w:rPr>
      </w:pPr>
      <w:r>
        <w:rPr>
          <w:rFonts w:ascii="宋体" w:hAnsi="宋体" w:eastAsia="宋体" w:cs="宋体"/>
          <w:spacing w:val="2"/>
          <w:sz w:val="24"/>
          <w:szCs w:val="24"/>
        </w:rPr>
        <w:t>传真、电子邮件）一直有效，以便及时收到招标人发</w:t>
      </w:r>
      <w:r>
        <w:rPr>
          <w:rFonts w:ascii="宋体" w:hAnsi="宋体" w:eastAsia="宋体" w:cs="宋体"/>
          <w:spacing w:val="1"/>
          <w:sz w:val="24"/>
          <w:szCs w:val="24"/>
        </w:rPr>
        <w:t>出的函件</w:t>
      </w:r>
      <w:r>
        <w:rPr>
          <w:rFonts w:hint="eastAsia" w:ascii="宋体" w:hAnsi="宋体" w:cs="宋体"/>
          <w:spacing w:val="1"/>
          <w:sz w:val="24"/>
          <w:szCs w:val="24"/>
          <w:lang w:eastAsia="zh-CN"/>
        </w:rPr>
        <w:t>（</w:t>
      </w:r>
      <w:r>
        <w:rPr>
          <w:rFonts w:ascii="宋体" w:hAnsi="宋体" w:eastAsia="宋体" w:cs="宋体"/>
          <w:spacing w:val="1"/>
          <w:sz w:val="24"/>
          <w:szCs w:val="24"/>
        </w:rPr>
        <w:t>招标文件的澄清、修改</w:t>
      </w:r>
    </w:p>
    <w:p w14:paraId="4821EC1A">
      <w:pPr>
        <w:spacing w:before="183" w:line="220" w:lineRule="auto"/>
        <w:ind w:left="11"/>
        <w:rPr>
          <w:rFonts w:ascii="宋体" w:hAnsi="宋体" w:eastAsia="宋体" w:cs="宋体"/>
          <w:sz w:val="24"/>
          <w:szCs w:val="24"/>
        </w:rPr>
      </w:pPr>
      <w:r>
        <w:rPr>
          <w:rFonts w:ascii="宋体" w:hAnsi="宋体" w:eastAsia="宋体" w:cs="宋体"/>
          <w:spacing w:val="-1"/>
          <w:sz w:val="24"/>
          <w:szCs w:val="24"/>
        </w:rPr>
        <w:t>等</w:t>
      </w:r>
      <w:r>
        <w:rPr>
          <w:rFonts w:hint="eastAsia" w:ascii="宋体" w:hAnsi="宋体" w:cs="宋体"/>
          <w:spacing w:val="-1"/>
          <w:sz w:val="24"/>
          <w:szCs w:val="24"/>
          <w:lang w:eastAsia="zh-CN"/>
        </w:rPr>
        <w:t>）</w:t>
      </w:r>
      <w:r>
        <w:rPr>
          <w:rFonts w:ascii="宋体" w:hAnsi="宋体" w:eastAsia="宋体" w:cs="宋体"/>
          <w:spacing w:val="-1"/>
          <w:sz w:val="24"/>
          <w:szCs w:val="24"/>
        </w:rPr>
        <w:t>，并应及时向招标人反馈信息，否则招标人不承担由此引起的</w:t>
      </w:r>
      <w:r>
        <w:rPr>
          <w:rFonts w:ascii="宋体" w:hAnsi="宋体" w:eastAsia="宋体" w:cs="宋体"/>
          <w:spacing w:val="-2"/>
          <w:sz w:val="24"/>
          <w:szCs w:val="24"/>
        </w:rPr>
        <w:t>一切后果。</w:t>
      </w:r>
    </w:p>
    <w:p w14:paraId="37E73AE2">
      <w:pPr>
        <w:spacing w:before="182" w:line="219" w:lineRule="auto"/>
        <w:ind w:left="502"/>
        <w:rPr>
          <w:rFonts w:ascii="宋体" w:hAnsi="宋体" w:eastAsia="宋体" w:cs="宋体"/>
          <w:sz w:val="24"/>
          <w:szCs w:val="24"/>
        </w:rPr>
      </w:pPr>
      <w:r>
        <w:rPr>
          <w:rFonts w:ascii="宋体" w:hAnsi="宋体" w:eastAsia="宋体" w:cs="宋体"/>
          <w:spacing w:val="-3"/>
          <w:sz w:val="24"/>
          <w:szCs w:val="24"/>
        </w:rPr>
        <w:t>需要补充的其他内容：见投标人须知前附表。</w:t>
      </w:r>
    </w:p>
    <w:p w14:paraId="4E5C2F9E">
      <w:pPr>
        <w:spacing w:line="219" w:lineRule="auto"/>
        <w:rPr>
          <w:rFonts w:ascii="宋体" w:hAnsi="宋体" w:eastAsia="宋体" w:cs="宋体"/>
          <w:sz w:val="24"/>
          <w:szCs w:val="24"/>
        </w:rPr>
        <w:sectPr>
          <w:headerReference r:id="rId27" w:type="default"/>
          <w:footerReference r:id="rId28" w:type="default"/>
          <w:pgSz w:w="11905" w:h="16840"/>
          <w:pgMar w:top="1182" w:right="1331" w:bottom="1171" w:left="1416" w:header="849" w:footer="937" w:gutter="0"/>
          <w:pgNumType w:fmt="decimal"/>
          <w:cols w:space="720" w:num="1"/>
        </w:sectPr>
      </w:pPr>
    </w:p>
    <w:p w14:paraId="5881A741">
      <w:pPr>
        <w:pStyle w:val="2"/>
        <w:spacing w:line="242" w:lineRule="auto"/>
      </w:pPr>
    </w:p>
    <w:p w14:paraId="20B66D54">
      <w:pPr>
        <w:pStyle w:val="2"/>
        <w:spacing w:line="242" w:lineRule="auto"/>
      </w:pPr>
    </w:p>
    <w:p w14:paraId="61961065">
      <w:pPr>
        <w:pStyle w:val="2"/>
        <w:spacing w:line="242" w:lineRule="auto"/>
      </w:pPr>
    </w:p>
    <w:p w14:paraId="612BB8A2">
      <w:pPr>
        <w:pStyle w:val="2"/>
        <w:spacing w:line="242" w:lineRule="auto"/>
      </w:pPr>
    </w:p>
    <w:p w14:paraId="6777759F">
      <w:pPr>
        <w:pStyle w:val="2"/>
        <w:spacing w:line="242" w:lineRule="auto"/>
      </w:pPr>
    </w:p>
    <w:p w14:paraId="2B5409FF">
      <w:pPr>
        <w:pStyle w:val="2"/>
        <w:spacing w:line="242" w:lineRule="auto"/>
      </w:pPr>
    </w:p>
    <w:p w14:paraId="7D409176">
      <w:pPr>
        <w:pStyle w:val="2"/>
        <w:spacing w:line="242" w:lineRule="auto"/>
      </w:pPr>
    </w:p>
    <w:p w14:paraId="40D64AA6">
      <w:pPr>
        <w:pStyle w:val="2"/>
        <w:spacing w:line="242" w:lineRule="auto"/>
      </w:pPr>
    </w:p>
    <w:p w14:paraId="4316BA5D">
      <w:pPr>
        <w:pStyle w:val="2"/>
        <w:spacing w:line="242" w:lineRule="auto"/>
      </w:pPr>
    </w:p>
    <w:p w14:paraId="67AB3737">
      <w:pPr>
        <w:pStyle w:val="2"/>
        <w:spacing w:line="243" w:lineRule="auto"/>
      </w:pPr>
    </w:p>
    <w:p w14:paraId="2D450F4E">
      <w:pPr>
        <w:pStyle w:val="2"/>
        <w:spacing w:line="243" w:lineRule="auto"/>
      </w:pPr>
    </w:p>
    <w:p w14:paraId="60A9DF47">
      <w:pPr>
        <w:pStyle w:val="2"/>
        <w:spacing w:line="243" w:lineRule="auto"/>
      </w:pPr>
    </w:p>
    <w:p w14:paraId="794A2C2D">
      <w:pPr>
        <w:pStyle w:val="2"/>
        <w:spacing w:line="243" w:lineRule="auto"/>
      </w:pPr>
    </w:p>
    <w:p w14:paraId="245462EF">
      <w:pPr>
        <w:pStyle w:val="2"/>
        <w:spacing w:line="243" w:lineRule="auto"/>
      </w:pPr>
    </w:p>
    <w:p w14:paraId="303B3269">
      <w:pPr>
        <w:pStyle w:val="2"/>
        <w:spacing w:line="243" w:lineRule="auto"/>
      </w:pPr>
    </w:p>
    <w:p w14:paraId="1B2BBF40">
      <w:pPr>
        <w:pStyle w:val="2"/>
        <w:spacing w:line="243" w:lineRule="auto"/>
      </w:pPr>
    </w:p>
    <w:p w14:paraId="29CA13BD">
      <w:pPr>
        <w:pStyle w:val="2"/>
        <w:spacing w:line="243" w:lineRule="auto"/>
      </w:pPr>
    </w:p>
    <w:p w14:paraId="3DF9F7C1">
      <w:pPr>
        <w:pStyle w:val="2"/>
        <w:spacing w:line="243" w:lineRule="auto"/>
      </w:pPr>
    </w:p>
    <w:p w14:paraId="2EF63BDF">
      <w:pPr>
        <w:pStyle w:val="2"/>
        <w:spacing w:line="243" w:lineRule="auto"/>
      </w:pPr>
    </w:p>
    <w:p w14:paraId="60BE6255">
      <w:pPr>
        <w:pStyle w:val="2"/>
        <w:spacing w:line="243" w:lineRule="auto"/>
      </w:pPr>
    </w:p>
    <w:p w14:paraId="09C46B08">
      <w:pPr>
        <w:pStyle w:val="2"/>
        <w:spacing w:line="243" w:lineRule="auto"/>
      </w:pPr>
    </w:p>
    <w:p w14:paraId="6F41552E">
      <w:pPr>
        <w:pStyle w:val="2"/>
        <w:spacing w:line="243" w:lineRule="auto"/>
      </w:pPr>
    </w:p>
    <w:p w14:paraId="79BCA3A8">
      <w:pPr>
        <w:pStyle w:val="2"/>
        <w:spacing w:line="243" w:lineRule="auto"/>
      </w:pPr>
    </w:p>
    <w:p w14:paraId="7E630B5B">
      <w:pPr>
        <w:pStyle w:val="2"/>
        <w:spacing w:line="243" w:lineRule="auto"/>
      </w:pPr>
    </w:p>
    <w:p w14:paraId="6001ED32">
      <w:pPr>
        <w:pStyle w:val="2"/>
        <w:spacing w:line="243" w:lineRule="auto"/>
      </w:pPr>
    </w:p>
    <w:p w14:paraId="6A5DA921">
      <w:pPr>
        <w:pStyle w:val="2"/>
        <w:spacing w:line="243" w:lineRule="auto"/>
      </w:pPr>
    </w:p>
    <w:p w14:paraId="408AA2CB">
      <w:pPr>
        <w:pStyle w:val="2"/>
        <w:spacing w:line="243" w:lineRule="auto"/>
      </w:pPr>
    </w:p>
    <w:p w14:paraId="6DCED7DB">
      <w:pPr>
        <w:pStyle w:val="2"/>
        <w:spacing w:line="243" w:lineRule="auto"/>
      </w:pPr>
    </w:p>
    <w:p w14:paraId="47D5D174">
      <w:pPr>
        <w:pStyle w:val="2"/>
        <w:spacing w:line="243" w:lineRule="auto"/>
      </w:pPr>
    </w:p>
    <w:p w14:paraId="2A2AEA87">
      <w:pPr>
        <w:pStyle w:val="2"/>
        <w:spacing w:line="243" w:lineRule="auto"/>
      </w:pPr>
    </w:p>
    <w:p w14:paraId="1A47984D">
      <w:pPr>
        <w:spacing w:before="140" w:line="223" w:lineRule="auto"/>
        <w:ind w:left="2899"/>
        <w:rPr>
          <w:rFonts w:ascii="宋体" w:hAnsi="宋体" w:eastAsia="宋体" w:cs="宋体"/>
          <w:sz w:val="43"/>
          <w:szCs w:val="43"/>
        </w:rPr>
      </w:pPr>
      <w:r>
        <w:rPr>
          <w:rFonts w:ascii="宋体" w:hAnsi="宋体" w:eastAsia="宋体" w:cs="宋体"/>
          <w:b/>
          <w:bCs/>
          <w:spacing w:val="4"/>
          <w:sz w:val="43"/>
          <w:szCs w:val="43"/>
        </w:rPr>
        <w:t>第三章</w:t>
      </w:r>
      <w:r>
        <w:rPr>
          <w:rFonts w:ascii="宋体" w:hAnsi="宋体" w:eastAsia="宋体" w:cs="宋体"/>
          <w:spacing w:val="4"/>
          <w:sz w:val="43"/>
          <w:szCs w:val="43"/>
        </w:rPr>
        <w:t xml:space="preserve"> </w:t>
      </w:r>
      <w:r>
        <w:rPr>
          <w:rFonts w:ascii="宋体" w:hAnsi="宋体" w:eastAsia="宋体" w:cs="宋体"/>
          <w:b/>
          <w:bCs/>
          <w:spacing w:val="4"/>
          <w:sz w:val="43"/>
          <w:szCs w:val="43"/>
        </w:rPr>
        <w:t>评标办法</w:t>
      </w:r>
    </w:p>
    <w:p w14:paraId="4395216E">
      <w:pPr>
        <w:spacing w:line="223" w:lineRule="auto"/>
        <w:rPr>
          <w:rFonts w:ascii="宋体" w:hAnsi="宋体" w:eastAsia="宋体" w:cs="宋体"/>
          <w:sz w:val="43"/>
          <w:szCs w:val="43"/>
        </w:rPr>
        <w:sectPr>
          <w:footerReference r:id="rId29" w:type="default"/>
          <w:pgSz w:w="11905" w:h="16840"/>
          <w:pgMar w:top="1182" w:right="1416" w:bottom="1171" w:left="1416" w:header="849" w:footer="937" w:gutter="0"/>
          <w:pgNumType w:fmt="decimal"/>
          <w:cols w:space="720" w:num="1"/>
        </w:sectPr>
      </w:pPr>
    </w:p>
    <w:p w14:paraId="1A7EB366">
      <w:pPr>
        <w:spacing w:before="101" w:line="224" w:lineRule="auto"/>
        <w:ind w:left="1129"/>
        <w:outlineLvl w:val="0"/>
        <w:rPr>
          <w:rFonts w:ascii="宋体" w:hAnsi="宋体" w:eastAsia="宋体" w:cs="宋体"/>
          <w:sz w:val="31"/>
          <w:szCs w:val="31"/>
        </w:rPr>
      </w:pPr>
      <w:bookmarkStart w:id="4" w:name="bookmark7"/>
      <w:bookmarkEnd w:id="4"/>
      <w:r>
        <w:rPr>
          <w:rFonts w:ascii="宋体" w:hAnsi="宋体" w:eastAsia="宋体" w:cs="宋体"/>
          <w:b/>
          <w:bCs/>
          <w:spacing w:val="7"/>
          <w:sz w:val="31"/>
          <w:szCs w:val="31"/>
        </w:rPr>
        <w:t>第三章</w:t>
      </w:r>
      <w:r>
        <w:rPr>
          <w:rFonts w:ascii="宋体" w:hAnsi="宋体" w:eastAsia="宋体" w:cs="宋体"/>
          <w:spacing w:val="7"/>
          <w:sz w:val="31"/>
          <w:szCs w:val="31"/>
        </w:rPr>
        <w:t xml:space="preserve"> </w:t>
      </w:r>
      <w:r>
        <w:rPr>
          <w:rFonts w:ascii="宋体" w:hAnsi="宋体" w:eastAsia="宋体" w:cs="宋体"/>
          <w:b/>
          <w:bCs/>
          <w:spacing w:val="7"/>
          <w:sz w:val="31"/>
          <w:szCs w:val="31"/>
        </w:rPr>
        <w:t>评标办法（双信封的技术评分最低标价法</w:t>
      </w:r>
      <w:r>
        <w:rPr>
          <w:rFonts w:hint="eastAsia" w:ascii="宋体" w:hAnsi="宋体" w:cs="宋体"/>
          <w:b/>
          <w:bCs/>
          <w:spacing w:val="7"/>
          <w:sz w:val="31"/>
          <w:szCs w:val="31"/>
          <w:lang w:eastAsia="zh-CN"/>
        </w:rPr>
        <w:t>）</w:t>
      </w:r>
    </w:p>
    <w:p w14:paraId="24DBA07F">
      <w:pPr>
        <w:pStyle w:val="2"/>
        <w:spacing w:line="284" w:lineRule="auto"/>
      </w:pPr>
    </w:p>
    <w:p w14:paraId="40ADC7B3">
      <w:pPr>
        <w:spacing w:before="78" w:line="219" w:lineRule="auto"/>
        <w:ind w:left="121"/>
        <w:rPr>
          <w:rFonts w:ascii="宋体" w:hAnsi="宋体" w:eastAsia="宋体" w:cs="宋体"/>
          <w:sz w:val="24"/>
          <w:szCs w:val="24"/>
        </w:rPr>
      </w:pPr>
      <w:r>
        <w:rPr>
          <w:rFonts w:ascii="宋体" w:hAnsi="宋体" w:eastAsia="宋体" w:cs="宋体"/>
          <w:b/>
          <w:bCs/>
          <w:spacing w:val="-3"/>
          <w:sz w:val="24"/>
          <w:szCs w:val="24"/>
        </w:rPr>
        <w:t>评标办法前附表</w:t>
      </w:r>
    </w:p>
    <w:p w14:paraId="12990570">
      <w:pPr>
        <w:spacing w:line="70"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2"/>
        <w:gridCol w:w="1184"/>
        <w:gridCol w:w="7006"/>
      </w:tblGrid>
      <w:tr w14:paraId="004B3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286" w:type="dxa"/>
            <w:gridSpan w:val="2"/>
            <w:vAlign w:val="top"/>
          </w:tcPr>
          <w:p w14:paraId="4251E804">
            <w:pPr>
              <w:pStyle w:val="9"/>
              <w:spacing w:before="225" w:line="220" w:lineRule="auto"/>
              <w:ind w:left="835"/>
            </w:pPr>
            <w:r>
              <w:rPr>
                <w:b/>
                <w:bCs/>
                <w:spacing w:val="-6"/>
              </w:rPr>
              <w:t>条款号</w:t>
            </w:r>
          </w:p>
        </w:tc>
        <w:tc>
          <w:tcPr>
            <w:tcW w:w="7006" w:type="dxa"/>
            <w:vAlign w:val="top"/>
          </w:tcPr>
          <w:p w14:paraId="556C6FE2">
            <w:pPr>
              <w:pStyle w:val="9"/>
              <w:spacing w:before="225" w:line="220" w:lineRule="auto"/>
              <w:ind w:left="2560"/>
            </w:pPr>
            <w:r>
              <w:rPr>
                <w:b/>
                <w:bCs/>
                <w:spacing w:val="-3"/>
              </w:rPr>
              <w:t>评审因素与评审标准</w:t>
            </w:r>
          </w:p>
        </w:tc>
      </w:tr>
      <w:tr w14:paraId="35A82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8" w:hRule="atLeast"/>
        </w:trPr>
        <w:tc>
          <w:tcPr>
            <w:tcW w:w="1102" w:type="dxa"/>
            <w:vAlign w:val="top"/>
          </w:tcPr>
          <w:p w14:paraId="69F5BC7E">
            <w:pPr>
              <w:spacing w:line="265" w:lineRule="auto"/>
              <w:rPr>
                <w:rFonts w:ascii="Arial"/>
                <w:sz w:val="21"/>
              </w:rPr>
            </w:pPr>
          </w:p>
          <w:p w14:paraId="3C25E15E">
            <w:pPr>
              <w:spacing w:line="265" w:lineRule="auto"/>
              <w:rPr>
                <w:rFonts w:ascii="Arial"/>
                <w:sz w:val="21"/>
              </w:rPr>
            </w:pPr>
          </w:p>
          <w:p w14:paraId="4AA023FE">
            <w:pPr>
              <w:spacing w:line="265" w:lineRule="auto"/>
              <w:rPr>
                <w:rFonts w:ascii="Arial"/>
                <w:sz w:val="21"/>
              </w:rPr>
            </w:pPr>
          </w:p>
          <w:p w14:paraId="2E71D600">
            <w:pPr>
              <w:spacing w:line="265" w:lineRule="auto"/>
              <w:rPr>
                <w:rFonts w:ascii="Arial"/>
                <w:sz w:val="21"/>
              </w:rPr>
            </w:pPr>
          </w:p>
          <w:p w14:paraId="1F8952AF">
            <w:pPr>
              <w:spacing w:line="265" w:lineRule="auto"/>
              <w:rPr>
                <w:rFonts w:ascii="Arial"/>
                <w:sz w:val="21"/>
              </w:rPr>
            </w:pPr>
          </w:p>
          <w:p w14:paraId="2D4D1A0F">
            <w:pPr>
              <w:spacing w:line="265" w:lineRule="auto"/>
              <w:rPr>
                <w:rFonts w:ascii="Arial"/>
                <w:sz w:val="21"/>
              </w:rPr>
            </w:pPr>
          </w:p>
          <w:p w14:paraId="5A124FE1">
            <w:pPr>
              <w:spacing w:line="265" w:lineRule="auto"/>
              <w:rPr>
                <w:rFonts w:ascii="Arial"/>
                <w:sz w:val="21"/>
              </w:rPr>
            </w:pPr>
          </w:p>
          <w:p w14:paraId="0ACAD81A">
            <w:pPr>
              <w:spacing w:line="265" w:lineRule="auto"/>
              <w:rPr>
                <w:rFonts w:ascii="Arial"/>
                <w:sz w:val="21"/>
              </w:rPr>
            </w:pPr>
          </w:p>
          <w:p w14:paraId="461CF716">
            <w:pPr>
              <w:pStyle w:val="9"/>
              <w:spacing w:before="68" w:line="241" w:lineRule="auto"/>
              <w:ind w:left="519"/>
            </w:pPr>
            <w:r>
              <w:t>1</w:t>
            </w:r>
          </w:p>
        </w:tc>
        <w:tc>
          <w:tcPr>
            <w:tcW w:w="1184" w:type="dxa"/>
            <w:vAlign w:val="top"/>
          </w:tcPr>
          <w:p w14:paraId="2C075AF7">
            <w:pPr>
              <w:spacing w:line="265" w:lineRule="auto"/>
              <w:rPr>
                <w:rFonts w:ascii="Arial"/>
                <w:sz w:val="21"/>
              </w:rPr>
            </w:pPr>
          </w:p>
          <w:p w14:paraId="132418BA">
            <w:pPr>
              <w:spacing w:line="265" w:lineRule="auto"/>
              <w:rPr>
                <w:rFonts w:ascii="Arial"/>
                <w:sz w:val="21"/>
              </w:rPr>
            </w:pPr>
          </w:p>
          <w:p w14:paraId="0FF291B9">
            <w:pPr>
              <w:spacing w:line="265" w:lineRule="auto"/>
              <w:rPr>
                <w:rFonts w:ascii="Arial"/>
                <w:sz w:val="21"/>
              </w:rPr>
            </w:pPr>
          </w:p>
          <w:p w14:paraId="653046DF">
            <w:pPr>
              <w:spacing w:line="265" w:lineRule="auto"/>
              <w:rPr>
                <w:rFonts w:ascii="Arial"/>
                <w:sz w:val="21"/>
              </w:rPr>
            </w:pPr>
          </w:p>
          <w:p w14:paraId="10B1B57A">
            <w:pPr>
              <w:spacing w:line="265" w:lineRule="auto"/>
              <w:rPr>
                <w:rFonts w:ascii="Arial"/>
                <w:sz w:val="21"/>
              </w:rPr>
            </w:pPr>
          </w:p>
          <w:p w14:paraId="0847309E">
            <w:pPr>
              <w:spacing w:line="265" w:lineRule="auto"/>
              <w:rPr>
                <w:rFonts w:ascii="Arial"/>
                <w:sz w:val="21"/>
              </w:rPr>
            </w:pPr>
          </w:p>
          <w:p w14:paraId="427EFF8F">
            <w:pPr>
              <w:spacing w:line="265" w:lineRule="auto"/>
              <w:rPr>
                <w:rFonts w:ascii="Arial"/>
                <w:sz w:val="21"/>
              </w:rPr>
            </w:pPr>
          </w:p>
          <w:p w14:paraId="48F8C4C6">
            <w:pPr>
              <w:spacing w:line="265" w:lineRule="auto"/>
              <w:rPr>
                <w:rFonts w:ascii="Arial"/>
                <w:sz w:val="21"/>
              </w:rPr>
            </w:pPr>
          </w:p>
          <w:p w14:paraId="23A5DCCE">
            <w:pPr>
              <w:pStyle w:val="9"/>
              <w:spacing w:before="68" w:line="220" w:lineRule="auto"/>
              <w:ind w:left="173"/>
            </w:pPr>
            <w:r>
              <w:rPr>
                <w:spacing w:val="-2"/>
              </w:rPr>
              <w:t>评标方法</w:t>
            </w:r>
          </w:p>
        </w:tc>
        <w:tc>
          <w:tcPr>
            <w:tcW w:w="7006" w:type="dxa"/>
            <w:vAlign w:val="top"/>
          </w:tcPr>
          <w:p w14:paraId="62C2766C">
            <w:pPr>
              <w:spacing w:line="456" w:lineRule="auto"/>
              <w:rPr>
                <w:rFonts w:ascii="Arial"/>
                <w:sz w:val="21"/>
              </w:rPr>
            </w:pPr>
          </w:p>
          <w:p w14:paraId="52C9A575">
            <w:pPr>
              <w:pStyle w:val="9"/>
              <w:spacing w:before="68" w:line="369" w:lineRule="auto"/>
              <w:ind w:left="131" w:right="119" w:hanging="20"/>
            </w:pPr>
            <w:r>
              <w:rPr>
                <w:spacing w:val="1"/>
              </w:rPr>
              <w:t>评标价相等时，评标委员会依次按照以下优先顺序推荐中标候选人或确定</w:t>
            </w:r>
            <w:r>
              <w:rPr>
                <w:spacing w:val="-15"/>
              </w:rPr>
              <w:t>中标人：</w:t>
            </w:r>
          </w:p>
          <w:p w14:paraId="5B2C55CA">
            <w:pPr>
              <w:pStyle w:val="9"/>
              <w:numPr>
                <w:ilvl w:val="0"/>
                <w:numId w:val="0"/>
              </w:numPr>
              <w:spacing w:before="5" w:line="368" w:lineRule="auto"/>
              <w:ind w:left="117" w:leftChars="0" w:right="102" w:rightChars="0"/>
              <w:rPr>
                <w:spacing w:val="4"/>
                <w:position w:val="10"/>
                <w:sz w:val="10"/>
                <w:szCs w:val="10"/>
              </w:rPr>
            </w:pPr>
            <w:r>
              <w:rPr>
                <w:rFonts w:hint="eastAsia"/>
                <w:spacing w:val="-2"/>
                <w:lang w:eastAsia="zh-CN"/>
              </w:rPr>
              <w:t>（</w:t>
            </w:r>
            <w:r>
              <w:rPr>
                <w:rFonts w:hint="eastAsia"/>
                <w:spacing w:val="-2"/>
                <w:lang w:val="en-US" w:eastAsia="zh-CN"/>
              </w:rPr>
              <w:t>1</w:t>
            </w:r>
            <w:r>
              <w:rPr>
                <w:rFonts w:hint="eastAsia"/>
                <w:spacing w:val="-2"/>
                <w:lang w:eastAsia="zh-CN"/>
              </w:rPr>
              <w:t>）</w:t>
            </w:r>
            <w:r>
              <w:rPr>
                <w:spacing w:val="-2"/>
              </w:rPr>
              <w:t>招标文件规定被认定为广东省交通运输厅最新年度发布的公路工程</w:t>
            </w:r>
            <w:r>
              <w:rPr>
                <w:spacing w:val="4"/>
              </w:rPr>
              <w:t>从业单位信用评价等级（</w:t>
            </w:r>
            <w:r>
              <w:rPr>
                <w:spacing w:val="4"/>
                <w:u w:val="single" w:color="auto"/>
              </w:rPr>
              <w:t>施工单位</w:t>
            </w:r>
            <w:r>
              <w:rPr>
                <w:spacing w:val="-5"/>
                <w:position w:val="10"/>
                <w:sz w:val="10"/>
                <w:szCs w:val="10"/>
              </w:rPr>
              <w:t xml:space="preserve"> </w:t>
            </w:r>
            <w:r>
              <w:rPr>
                <w:rFonts w:hint="eastAsia"/>
                <w:spacing w:val="-5"/>
                <w:position w:val="10"/>
                <w:sz w:val="10"/>
                <w:szCs w:val="10"/>
                <w:lang w:eastAsia="zh-CN"/>
              </w:rPr>
              <w:t>）</w:t>
            </w:r>
            <w:r>
              <w:rPr>
                <w:spacing w:val="4"/>
              </w:rPr>
              <w:t>较高的投标人优先</w:t>
            </w:r>
          </w:p>
          <w:p w14:paraId="04F2816F">
            <w:pPr>
              <w:pStyle w:val="9"/>
              <w:numPr>
                <w:ilvl w:val="0"/>
                <w:numId w:val="0"/>
              </w:numPr>
              <w:spacing w:before="5" w:line="368" w:lineRule="auto"/>
              <w:ind w:left="117" w:leftChars="0" w:right="102" w:rightChars="0" w:firstLine="436" w:firstLineChars="200"/>
            </w:pPr>
            <w:r>
              <w:rPr>
                <w:rFonts w:hint="eastAsia"/>
                <w:spacing w:val="4"/>
              </w:rPr>
              <w:t>【</w:t>
            </w:r>
            <w:r>
              <w:rPr>
                <w:spacing w:val="4"/>
              </w:rPr>
              <w:t>采用如下的优</w:t>
            </w:r>
            <w:r>
              <w:rPr>
                <w:spacing w:val="1"/>
              </w:rPr>
              <w:t>先顺序：承诺使用的</w:t>
            </w:r>
            <w:r>
              <w:rPr>
                <w:spacing w:val="-45"/>
              </w:rPr>
              <w:t xml:space="preserve"> </w:t>
            </w:r>
            <w:r>
              <w:t>AA</w:t>
            </w:r>
            <w:r>
              <w:rPr>
                <w:spacing w:val="-42"/>
              </w:rPr>
              <w:t xml:space="preserve"> </w:t>
            </w:r>
            <w:r>
              <w:rPr>
                <w:spacing w:val="1"/>
              </w:rPr>
              <w:t>级投标人、不承诺使用的</w:t>
            </w:r>
            <w:r>
              <w:rPr>
                <w:spacing w:val="-44"/>
              </w:rPr>
              <w:t xml:space="preserve"> </w:t>
            </w:r>
            <w:r>
              <w:t>AA</w:t>
            </w:r>
            <w:r>
              <w:rPr>
                <w:spacing w:val="-40"/>
              </w:rPr>
              <w:t xml:space="preserve"> </w:t>
            </w:r>
            <w:r>
              <w:rPr>
                <w:spacing w:val="1"/>
              </w:rPr>
              <w:t>级投标</w:t>
            </w:r>
            <w:r>
              <w:t>人、承诺使用</w:t>
            </w:r>
            <w:r>
              <w:rPr>
                <w:spacing w:val="-4"/>
              </w:rPr>
              <w:t>的</w:t>
            </w:r>
            <w:r>
              <w:rPr>
                <w:spacing w:val="-48"/>
              </w:rPr>
              <w:t xml:space="preserve"> </w:t>
            </w:r>
            <w:r>
              <w:rPr>
                <w:spacing w:val="-4"/>
              </w:rPr>
              <w:t>A</w:t>
            </w:r>
            <w:r>
              <w:rPr>
                <w:spacing w:val="-40"/>
              </w:rPr>
              <w:t xml:space="preserve"> </w:t>
            </w:r>
            <w:r>
              <w:rPr>
                <w:spacing w:val="-4"/>
              </w:rPr>
              <w:t>级投标人、不承诺使用的</w:t>
            </w:r>
            <w:r>
              <w:rPr>
                <w:spacing w:val="-50"/>
              </w:rPr>
              <w:t xml:space="preserve"> </w:t>
            </w:r>
            <w:r>
              <w:rPr>
                <w:spacing w:val="-4"/>
              </w:rPr>
              <w:t>A</w:t>
            </w:r>
            <w:r>
              <w:rPr>
                <w:spacing w:val="-40"/>
              </w:rPr>
              <w:t xml:space="preserve"> </w:t>
            </w:r>
            <w:r>
              <w:rPr>
                <w:spacing w:val="-4"/>
              </w:rPr>
              <w:t>级投标人、B</w:t>
            </w:r>
            <w:r>
              <w:rPr>
                <w:spacing w:val="-40"/>
              </w:rPr>
              <w:t xml:space="preserve"> </w:t>
            </w:r>
            <w:r>
              <w:rPr>
                <w:spacing w:val="-4"/>
              </w:rPr>
              <w:t>级投标人、未参评且被确定为</w:t>
            </w:r>
            <w:r>
              <w:rPr>
                <w:spacing w:val="-9"/>
              </w:rPr>
              <w:t>B</w:t>
            </w:r>
            <w:r>
              <w:rPr>
                <w:spacing w:val="-43"/>
              </w:rPr>
              <w:t xml:space="preserve"> </w:t>
            </w:r>
            <w:r>
              <w:rPr>
                <w:spacing w:val="-9"/>
              </w:rPr>
              <w:t>级投标人</w:t>
            </w:r>
            <w:r>
              <w:rPr>
                <w:rFonts w:hint="eastAsia"/>
                <w:spacing w:val="-5"/>
              </w:rPr>
              <w:t>】</w:t>
            </w:r>
            <w:r>
              <w:rPr>
                <w:spacing w:val="-5"/>
              </w:rPr>
              <w:t>；</w:t>
            </w:r>
          </w:p>
          <w:p w14:paraId="66A53FA8">
            <w:pPr>
              <w:pStyle w:val="9"/>
              <w:spacing w:before="1" w:line="220" w:lineRule="auto"/>
              <w:ind w:left="118"/>
            </w:pPr>
            <w:r>
              <w:rPr>
                <w:spacing w:val="-3"/>
              </w:rPr>
              <w:t>（2）以投标人企业最新年度净资产较高的优先；</w:t>
            </w:r>
          </w:p>
          <w:p w14:paraId="743A40BD">
            <w:pPr>
              <w:pStyle w:val="9"/>
              <w:spacing w:before="170" w:line="219" w:lineRule="auto"/>
              <w:ind w:left="118"/>
            </w:pPr>
            <w:r>
              <w:rPr>
                <w:spacing w:val="-2"/>
              </w:rPr>
              <w:t>（3）评标委员会视投标人情况综合比较，投票确定其名次。</w:t>
            </w:r>
          </w:p>
        </w:tc>
      </w:tr>
      <w:tr w14:paraId="2E34D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6" w:hRule="atLeast"/>
        </w:trPr>
        <w:tc>
          <w:tcPr>
            <w:tcW w:w="1102" w:type="dxa"/>
            <w:vAlign w:val="top"/>
          </w:tcPr>
          <w:p w14:paraId="269E4D29">
            <w:pPr>
              <w:spacing w:line="248" w:lineRule="auto"/>
              <w:rPr>
                <w:rFonts w:ascii="Arial"/>
                <w:sz w:val="21"/>
              </w:rPr>
            </w:pPr>
          </w:p>
          <w:p w14:paraId="17EEE31E">
            <w:pPr>
              <w:spacing w:line="248" w:lineRule="auto"/>
              <w:rPr>
                <w:rFonts w:ascii="Arial"/>
                <w:sz w:val="21"/>
              </w:rPr>
            </w:pPr>
          </w:p>
          <w:p w14:paraId="6362829C">
            <w:pPr>
              <w:spacing w:line="248" w:lineRule="auto"/>
              <w:rPr>
                <w:rFonts w:ascii="Arial"/>
                <w:sz w:val="21"/>
              </w:rPr>
            </w:pPr>
          </w:p>
          <w:p w14:paraId="6A10516E">
            <w:pPr>
              <w:spacing w:line="248" w:lineRule="auto"/>
              <w:rPr>
                <w:rFonts w:ascii="Arial"/>
                <w:sz w:val="21"/>
              </w:rPr>
            </w:pPr>
          </w:p>
          <w:p w14:paraId="6E800241">
            <w:pPr>
              <w:spacing w:line="249" w:lineRule="auto"/>
              <w:rPr>
                <w:rFonts w:ascii="Arial"/>
                <w:sz w:val="21"/>
              </w:rPr>
            </w:pPr>
          </w:p>
          <w:p w14:paraId="78F2ABDE">
            <w:pPr>
              <w:spacing w:line="249" w:lineRule="auto"/>
              <w:rPr>
                <w:rFonts w:ascii="Arial"/>
                <w:sz w:val="21"/>
              </w:rPr>
            </w:pPr>
          </w:p>
          <w:p w14:paraId="69D788F9">
            <w:pPr>
              <w:spacing w:line="249" w:lineRule="auto"/>
              <w:rPr>
                <w:rFonts w:ascii="Arial"/>
                <w:sz w:val="21"/>
              </w:rPr>
            </w:pPr>
          </w:p>
          <w:p w14:paraId="68C51E97">
            <w:pPr>
              <w:spacing w:line="249" w:lineRule="auto"/>
              <w:rPr>
                <w:rFonts w:ascii="Arial"/>
                <w:sz w:val="21"/>
              </w:rPr>
            </w:pPr>
          </w:p>
          <w:p w14:paraId="498120B0">
            <w:pPr>
              <w:spacing w:line="249" w:lineRule="auto"/>
              <w:rPr>
                <w:rFonts w:ascii="Arial"/>
                <w:sz w:val="21"/>
              </w:rPr>
            </w:pPr>
          </w:p>
          <w:p w14:paraId="60A1F106">
            <w:pPr>
              <w:spacing w:line="249" w:lineRule="auto"/>
              <w:rPr>
                <w:rFonts w:ascii="Arial"/>
                <w:sz w:val="21"/>
              </w:rPr>
            </w:pPr>
          </w:p>
          <w:p w14:paraId="79FFFC81">
            <w:pPr>
              <w:spacing w:line="249" w:lineRule="auto"/>
              <w:rPr>
                <w:rFonts w:ascii="Arial"/>
                <w:sz w:val="21"/>
              </w:rPr>
            </w:pPr>
          </w:p>
          <w:p w14:paraId="6D3CE5EA">
            <w:pPr>
              <w:pStyle w:val="9"/>
              <w:spacing w:before="69" w:line="239" w:lineRule="auto"/>
              <w:ind w:left="296"/>
            </w:pPr>
            <w:r>
              <w:rPr>
                <w:spacing w:val="-2"/>
              </w:rPr>
              <w:t>2.1.1</w:t>
            </w:r>
          </w:p>
          <w:p w14:paraId="4C63DC27">
            <w:pPr>
              <w:pStyle w:val="9"/>
              <w:spacing w:before="128" w:line="239" w:lineRule="auto"/>
              <w:ind w:left="296"/>
            </w:pPr>
            <w:r>
              <w:rPr>
                <w:spacing w:val="-2"/>
              </w:rPr>
              <w:t>2.1.3</w:t>
            </w:r>
          </w:p>
        </w:tc>
        <w:tc>
          <w:tcPr>
            <w:tcW w:w="1184" w:type="dxa"/>
            <w:vAlign w:val="top"/>
          </w:tcPr>
          <w:p w14:paraId="33CB2BB2">
            <w:pPr>
              <w:spacing w:line="253" w:lineRule="auto"/>
              <w:rPr>
                <w:rFonts w:ascii="Arial"/>
                <w:sz w:val="21"/>
              </w:rPr>
            </w:pPr>
          </w:p>
          <w:p w14:paraId="7E684E53">
            <w:pPr>
              <w:spacing w:line="253" w:lineRule="auto"/>
              <w:rPr>
                <w:rFonts w:ascii="Arial"/>
                <w:sz w:val="21"/>
              </w:rPr>
            </w:pPr>
          </w:p>
          <w:p w14:paraId="12C7118E">
            <w:pPr>
              <w:spacing w:line="253" w:lineRule="auto"/>
              <w:rPr>
                <w:rFonts w:ascii="Arial"/>
                <w:sz w:val="21"/>
              </w:rPr>
            </w:pPr>
          </w:p>
          <w:p w14:paraId="069C1E37">
            <w:pPr>
              <w:spacing w:line="254" w:lineRule="auto"/>
              <w:rPr>
                <w:rFonts w:ascii="Arial"/>
                <w:sz w:val="21"/>
              </w:rPr>
            </w:pPr>
          </w:p>
          <w:p w14:paraId="34B3BA2B">
            <w:pPr>
              <w:spacing w:line="254" w:lineRule="auto"/>
              <w:rPr>
                <w:rFonts w:ascii="Arial"/>
                <w:sz w:val="21"/>
              </w:rPr>
            </w:pPr>
          </w:p>
          <w:p w14:paraId="1E064F6B">
            <w:pPr>
              <w:spacing w:line="254" w:lineRule="auto"/>
              <w:rPr>
                <w:rFonts w:ascii="Arial"/>
                <w:sz w:val="21"/>
              </w:rPr>
            </w:pPr>
          </w:p>
          <w:p w14:paraId="77C2555E">
            <w:pPr>
              <w:spacing w:line="254" w:lineRule="auto"/>
              <w:rPr>
                <w:rFonts w:ascii="Arial"/>
                <w:sz w:val="21"/>
              </w:rPr>
            </w:pPr>
          </w:p>
          <w:p w14:paraId="573B8434">
            <w:pPr>
              <w:spacing w:line="254" w:lineRule="auto"/>
              <w:rPr>
                <w:rFonts w:ascii="Arial"/>
                <w:sz w:val="21"/>
              </w:rPr>
            </w:pPr>
          </w:p>
          <w:p w14:paraId="2F617036">
            <w:pPr>
              <w:spacing w:line="254" w:lineRule="auto"/>
              <w:rPr>
                <w:rFonts w:ascii="Arial"/>
                <w:sz w:val="21"/>
              </w:rPr>
            </w:pPr>
          </w:p>
          <w:p w14:paraId="03B3BC31">
            <w:pPr>
              <w:spacing w:line="254" w:lineRule="auto"/>
              <w:rPr>
                <w:rFonts w:ascii="Arial"/>
                <w:sz w:val="21"/>
              </w:rPr>
            </w:pPr>
          </w:p>
          <w:p w14:paraId="7A4C3509">
            <w:pPr>
              <w:pStyle w:val="9"/>
              <w:spacing w:before="68" w:line="353" w:lineRule="auto"/>
              <w:ind w:left="173" w:right="172" w:firstLine="3"/>
              <w:jc w:val="both"/>
            </w:pPr>
            <w:r>
              <w:rPr>
                <w:spacing w:val="-3"/>
              </w:rPr>
              <w:t>形式评审</w:t>
            </w:r>
            <w:r>
              <w:rPr>
                <w:spacing w:val="-2"/>
              </w:rPr>
              <w:t>与响应性评审标准</w:t>
            </w:r>
          </w:p>
        </w:tc>
        <w:tc>
          <w:tcPr>
            <w:tcW w:w="7006" w:type="dxa"/>
            <w:vAlign w:val="top"/>
          </w:tcPr>
          <w:p w14:paraId="31999E28">
            <w:pPr>
              <w:pStyle w:val="9"/>
              <w:spacing w:before="173" w:line="220" w:lineRule="auto"/>
              <w:ind w:left="112"/>
            </w:pPr>
            <w:r>
              <w:rPr>
                <w:b/>
                <w:bCs/>
                <w:spacing w:val="-3"/>
              </w:rPr>
              <w:t>第一个信封（商务及技术文件）评审标准：</w:t>
            </w:r>
          </w:p>
          <w:p w14:paraId="3EBD632D">
            <w:pPr>
              <w:pStyle w:val="9"/>
              <w:spacing w:before="188" w:line="220" w:lineRule="auto"/>
              <w:ind w:firstLine="206" w:firstLineChars="100"/>
            </w:pPr>
            <w:r>
              <w:rPr>
                <w:spacing w:val="-2"/>
              </w:rPr>
              <w:t>（1）投标文件按照招标文件规定的格式、内容填写，字迹清晰可辨：</w:t>
            </w:r>
          </w:p>
          <w:p w14:paraId="08C36954">
            <w:pPr>
              <w:pStyle w:val="9"/>
              <w:spacing w:before="189" w:line="387" w:lineRule="auto"/>
              <w:ind w:left="112" w:right="107" w:firstLine="416" w:firstLineChars="200"/>
            </w:pPr>
            <w:r>
              <w:rPr>
                <w:spacing w:val="-1"/>
              </w:rPr>
              <w:t>a.投标函按招标文件规定填报了项目名称、标段</w:t>
            </w:r>
            <w:r>
              <w:rPr>
                <w:spacing w:val="-2"/>
              </w:rPr>
              <w:t>号（如有</w:t>
            </w:r>
            <w:r>
              <w:rPr>
                <w:rFonts w:hint="eastAsia"/>
                <w:spacing w:val="-2"/>
                <w:lang w:eastAsia="zh-CN"/>
              </w:rPr>
              <w:t>）</w:t>
            </w:r>
            <w:r>
              <w:rPr>
                <w:spacing w:val="-2"/>
              </w:rPr>
              <w:t>、工期、工程质</w:t>
            </w:r>
            <w:r>
              <w:rPr>
                <w:spacing w:val="-6"/>
              </w:rPr>
              <w:t>量要求及安全目标；</w:t>
            </w:r>
          </w:p>
          <w:p w14:paraId="262E09C8">
            <w:pPr>
              <w:pStyle w:val="9"/>
              <w:spacing w:line="218" w:lineRule="auto"/>
              <w:ind w:left="109" w:firstLine="408" w:firstLineChars="200"/>
            </w:pPr>
            <w:r>
              <w:rPr>
                <w:spacing w:val="-3"/>
              </w:rPr>
              <w:t>b.投标函附录的所有数据均符合招标文件规定；</w:t>
            </w:r>
          </w:p>
          <w:p w14:paraId="2ED7BCA2">
            <w:pPr>
              <w:pStyle w:val="9"/>
              <w:spacing w:before="191" w:line="220" w:lineRule="auto"/>
              <w:ind w:left="116" w:firstLine="412" w:firstLineChars="200"/>
            </w:pPr>
            <w:r>
              <w:rPr>
                <w:spacing w:val="-2"/>
              </w:rPr>
              <w:t>c.投标文件组成齐全完整，内容均按规定填写。</w:t>
            </w:r>
          </w:p>
          <w:p w14:paraId="040A54DD">
            <w:pPr>
              <w:pStyle w:val="9"/>
              <w:spacing w:before="192" w:line="380" w:lineRule="auto"/>
              <w:ind w:left="112" w:right="122" w:firstLine="210" w:firstLineChars="102"/>
            </w:pPr>
            <w:r>
              <w:rPr>
                <w:spacing w:val="-2"/>
              </w:rPr>
              <w:t>（2）投标文件上法定代表人或其委托代理人的签字、投标人的单位章盖章</w:t>
            </w:r>
            <w:r>
              <w:rPr>
                <w:spacing w:val="-3"/>
              </w:rPr>
              <w:t>齐全，符合招标文件规定。</w:t>
            </w:r>
            <w:r>
              <w:rPr>
                <w:rFonts w:hint="eastAsia"/>
                <w:spacing w:val="-3"/>
              </w:rPr>
              <w:t>【注：签字，可以以加盖个人电子印章，或亲笔签名后扫描上传的任一方式操作</w:t>
            </w:r>
            <w:r>
              <w:rPr>
                <w:rFonts w:hint="eastAsia"/>
                <w:spacing w:val="-3"/>
                <w:lang w:eastAsia="zh-CN"/>
              </w:rPr>
              <w:t>】</w:t>
            </w:r>
          </w:p>
          <w:p w14:paraId="04FC8ABD">
            <w:pPr>
              <w:pStyle w:val="9"/>
              <w:spacing w:before="2" w:line="308" w:lineRule="auto"/>
              <w:ind w:left="115" w:right="107" w:hanging="6"/>
            </w:pPr>
          </w:p>
        </w:tc>
      </w:tr>
    </w:tbl>
    <w:p w14:paraId="279257FE">
      <w:pPr>
        <w:pStyle w:val="2"/>
        <w:spacing w:line="247" w:lineRule="auto"/>
      </w:pPr>
    </w:p>
    <w:p w14:paraId="2CBDF684">
      <w:pPr>
        <w:pStyle w:val="2"/>
        <w:spacing w:line="248" w:lineRule="auto"/>
      </w:pPr>
    </w:p>
    <w:p w14:paraId="671215A4">
      <w:pPr>
        <w:spacing w:line="217" w:lineRule="auto"/>
        <w:rPr>
          <w:rFonts w:ascii="宋体" w:hAnsi="宋体" w:eastAsia="宋体" w:cs="宋体"/>
          <w:sz w:val="18"/>
          <w:szCs w:val="18"/>
        </w:rPr>
        <w:sectPr>
          <w:footerReference r:id="rId30" w:type="default"/>
          <w:pgSz w:w="11905" w:h="16840"/>
          <w:pgMar w:top="1182" w:right="1303" w:bottom="1171" w:left="1303" w:header="849" w:footer="937" w:gutter="0"/>
          <w:pgNumType w:fmt="decimal"/>
          <w:cols w:space="720" w:num="1"/>
        </w:sectPr>
      </w:pPr>
    </w:p>
    <w:p w14:paraId="2C036DC0">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2"/>
        <w:gridCol w:w="1184"/>
        <w:gridCol w:w="7006"/>
      </w:tblGrid>
      <w:tr w14:paraId="7DFD7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286" w:type="dxa"/>
            <w:gridSpan w:val="2"/>
            <w:vAlign w:val="top"/>
          </w:tcPr>
          <w:p w14:paraId="7467BF5F">
            <w:pPr>
              <w:pStyle w:val="9"/>
              <w:spacing w:before="225" w:line="220" w:lineRule="auto"/>
              <w:ind w:left="835"/>
            </w:pPr>
            <w:r>
              <w:rPr>
                <w:b/>
                <w:bCs/>
                <w:spacing w:val="-6"/>
              </w:rPr>
              <w:t>条款号</w:t>
            </w:r>
          </w:p>
        </w:tc>
        <w:tc>
          <w:tcPr>
            <w:tcW w:w="7006" w:type="dxa"/>
            <w:vAlign w:val="top"/>
          </w:tcPr>
          <w:p w14:paraId="6E3A16A8">
            <w:pPr>
              <w:pStyle w:val="9"/>
              <w:spacing w:before="225" w:line="220" w:lineRule="auto"/>
              <w:ind w:left="2560"/>
            </w:pPr>
            <w:r>
              <w:rPr>
                <w:b/>
                <w:bCs/>
                <w:spacing w:val="-3"/>
              </w:rPr>
              <w:t>评审因素与评审标准</w:t>
            </w:r>
          </w:p>
        </w:tc>
      </w:tr>
      <w:tr w14:paraId="7B6A8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24" w:hRule="atLeast"/>
        </w:trPr>
        <w:tc>
          <w:tcPr>
            <w:tcW w:w="1102" w:type="dxa"/>
            <w:vAlign w:val="top"/>
          </w:tcPr>
          <w:p w14:paraId="718F5DA6">
            <w:pPr>
              <w:rPr>
                <w:rFonts w:ascii="Arial"/>
                <w:sz w:val="21"/>
              </w:rPr>
            </w:pPr>
          </w:p>
        </w:tc>
        <w:tc>
          <w:tcPr>
            <w:tcW w:w="1184" w:type="dxa"/>
            <w:vAlign w:val="top"/>
          </w:tcPr>
          <w:p w14:paraId="45A7559C">
            <w:pPr>
              <w:rPr>
                <w:rFonts w:ascii="Arial"/>
                <w:sz w:val="21"/>
              </w:rPr>
            </w:pPr>
          </w:p>
        </w:tc>
        <w:tc>
          <w:tcPr>
            <w:tcW w:w="7006" w:type="dxa"/>
            <w:vAlign w:val="top"/>
          </w:tcPr>
          <w:p w14:paraId="45176FAD">
            <w:pPr>
              <w:pStyle w:val="9"/>
              <w:spacing w:before="4" w:line="219" w:lineRule="auto"/>
              <w:ind w:left="118"/>
            </w:pPr>
            <w:r>
              <w:rPr>
                <w:spacing w:val="-3"/>
              </w:rPr>
              <w:t>（</w:t>
            </w:r>
            <w:r>
              <w:rPr>
                <w:rFonts w:hint="eastAsia"/>
                <w:spacing w:val="-3"/>
                <w:lang w:val="en-US" w:eastAsia="zh-CN"/>
              </w:rPr>
              <w:t>3</w:t>
            </w:r>
            <w:r>
              <w:rPr>
                <w:spacing w:val="-3"/>
              </w:rPr>
              <w:t>）投标人按照招标文件的规定提供了投标保证金：</w:t>
            </w:r>
          </w:p>
          <w:p w14:paraId="1C87B8C9">
            <w:pPr>
              <w:pStyle w:val="9"/>
              <w:spacing w:before="190" w:line="387" w:lineRule="auto"/>
              <w:ind w:left="114" w:right="119" w:hanging="1"/>
            </w:pPr>
            <w:r>
              <w:rPr>
                <w:spacing w:val="1"/>
              </w:rPr>
              <w:t>a.投标保证金金额符合招标文件规定的金额，且投标保证金有效期不少于</w:t>
            </w:r>
            <w:r>
              <w:rPr>
                <w:spacing w:val="-9"/>
              </w:rPr>
              <w:t>投标有效期；</w:t>
            </w:r>
          </w:p>
          <w:p w14:paraId="629EBF15">
            <w:pPr>
              <w:pStyle w:val="9"/>
              <w:spacing w:before="2" w:line="386" w:lineRule="auto"/>
              <w:ind w:left="113" w:right="119" w:hanging="4"/>
            </w:pPr>
            <w:r>
              <w:rPr>
                <w:spacing w:val="1"/>
              </w:rPr>
              <w:t>b.若投标保证金采用现金或支票形式提交，投标人应在招标文件规定的投标保证金递交截止时间之前，将投标保证金由投标人的基本账户转入招标</w:t>
            </w:r>
            <w:r>
              <w:rPr>
                <w:spacing w:val="-9"/>
              </w:rPr>
              <w:t>人指定账户；</w:t>
            </w:r>
            <w:r>
              <w:rPr>
                <w:rFonts w:hint="eastAsia"/>
                <w:spacing w:val="-9"/>
                <w:lang w:val="en-US" w:eastAsia="zh-CN"/>
              </w:rPr>
              <w:t>若</w:t>
            </w:r>
            <w:r>
              <w:rPr>
                <w:rFonts w:hint="eastAsia"/>
                <w:spacing w:val="-9"/>
              </w:rPr>
              <w:t>选择“信用承诺制”替代投标保证金，应在投标文件中附具“信用承诺书”</w:t>
            </w:r>
          </w:p>
          <w:p w14:paraId="592B16F7">
            <w:pPr>
              <w:pStyle w:val="9"/>
              <w:spacing w:before="1" w:line="386" w:lineRule="auto"/>
              <w:ind w:left="116" w:right="109"/>
            </w:pPr>
            <w:r>
              <w:t>c.若投标保证金采用银行保函或投标人须知前附表</w:t>
            </w:r>
            <w:r>
              <w:rPr>
                <w:spacing w:val="-13"/>
              </w:rPr>
              <w:t xml:space="preserve"> </w:t>
            </w:r>
            <w:r>
              <w:t>3.4.1</w:t>
            </w:r>
            <w:r>
              <w:rPr>
                <w:spacing w:val="-39"/>
              </w:rPr>
              <w:t xml:space="preserve"> </w:t>
            </w:r>
            <w:r>
              <w:t>项规定的其他形</w:t>
            </w:r>
            <w:r>
              <w:rPr>
                <w:spacing w:val="-3"/>
              </w:rPr>
              <w:t>式提交，应满足招标文件要求。</w:t>
            </w:r>
          </w:p>
          <w:p w14:paraId="10711880">
            <w:pPr>
              <w:pStyle w:val="9"/>
              <w:spacing w:before="3" w:line="386" w:lineRule="auto"/>
              <w:ind w:left="114" w:right="115" w:firstLine="3"/>
            </w:pPr>
            <w:r>
              <w:rPr>
                <w:spacing w:val="-2"/>
              </w:rPr>
              <w:t>（</w:t>
            </w:r>
            <w:r>
              <w:rPr>
                <w:rFonts w:hint="eastAsia"/>
                <w:spacing w:val="-2"/>
                <w:lang w:val="en-US" w:eastAsia="zh-CN"/>
              </w:rPr>
              <w:t>4</w:t>
            </w:r>
            <w:r>
              <w:rPr>
                <w:spacing w:val="-2"/>
              </w:rPr>
              <w:t>）投标人法定代表人授权委托代理人签署投标文件的，需提交授权委托</w:t>
            </w:r>
            <w:r>
              <w:rPr>
                <w:spacing w:val="1"/>
              </w:rPr>
              <w:t>书，且授权人和被授权人均在授权委托书上使用个人电子签名章进行签名</w:t>
            </w:r>
            <w:r>
              <w:rPr>
                <w:spacing w:val="-6"/>
              </w:rPr>
              <w:t>或亲笔签名。</w:t>
            </w:r>
          </w:p>
          <w:p w14:paraId="3945847F">
            <w:pPr>
              <w:pStyle w:val="9"/>
              <w:spacing w:before="2" w:line="382" w:lineRule="auto"/>
              <w:ind w:left="112" w:right="49" w:firstLine="5"/>
            </w:pPr>
            <w:r>
              <w:rPr>
                <w:spacing w:val="-6"/>
              </w:rPr>
              <w:t>（</w:t>
            </w:r>
            <w:r>
              <w:rPr>
                <w:rFonts w:hint="eastAsia"/>
                <w:spacing w:val="-6"/>
                <w:lang w:val="en-US" w:eastAsia="zh-CN"/>
              </w:rPr>
              <w:t>5</w:t>
            </w:r>
            <w:r>
              <w:rPr>
                <w:spacing w:val="-6"/>
              </w:rPr>
              <w:t>）投标人法定代表人亲自签署投标文件的，提供了法定代表人身份证明，</w:t>
            </w:r>
            <w:r>
              <w:rPr>
                <w:spacing w:val="1"/>
              </w:rPr>
              <w:t>且法定代表人在法定代表人身份证明上使用个人电子签名章进行签名或亲</w:t>
            </w:r>
            <w:r>
              <w:rPr>
                <w:spacing w:val="-8"/>
              </w:rPr>
              <w:t>笔签名。</w:t>
            </w:r>
          </w:p>
          <w:p w14:paraId="19D785EC">
            <w:pPr>
              <w:pStyle w:val="9"/>
              <w:spacing w:line="232" w:lineRule="auto"/>
              <w:ind w:left="118"/>
            </w:pPr>
            <w:r>
              <w:rPr>
                <w:spacing w:val="-2"/>
              </w:rPr>
              <w:t>（</w:t>
            </w:r>
            <w:r>
              <w:rPr>
                <w:rFonts w:hint="eastAsia"/>
                <w:spacing w:val="-2"/>
                <w:lang w:val="en-US" w:eastAsia="zh-CN"/>
              </w:rPr>
              <w:t>6</w:t>
            </w:r>
            <w:r>
              <w:rPr>
                <w:spacing w:val="-2"/>
              </w:rPr>
              <w:t>）投标人以联合体形式投标时，联合体满足招标文件的要求：</w:t>
            </w:r>
          </w:p>
          <w:p w14:paraId="0BFDE754">
            <w:pPr>
              <w:pStyle w:val="9"/>
              <w:spacing w:before="190" w:line="387" w:lineRule="auto"/>
              <w:ind w:left="116" w:right="119" w:hanging="3"/>
            </w:pPr>
            <w:r>
              <w:rPr>
                <w:spacing w:val="1"/>
              </w:rPr>
              <w:t>a.未进行资格预审的，投标人按照招标文件提供的格式签订了联合体协议</w:t>
            </w:r>
            <w:r>
              <w:rPr>
                <w:spacing w:val="-3"/>
              </w:rPr>
              <w:t>书，明确各方承担连带责任，并明确了联合体牵头人；</w:t>
            </w:r>
          </w:p>
          <w:p w14:paraId="1BF9B4FF">
            <w:pPr>
              <w:pStyle w:val="9"/>
              <w:spacing w:before="1" w:line="387" w:lineRule="auto"/>
              <w:ind w:left="114" w:right="119" w:hanging="5"/>
              <w:rPr>
                <w:spacing w:val="-2"/>
              </w:rPr>
            </w:pPr>
            <w:r>
              <w:rPr>
                <w:spacing w:val="1"/>
              </w:rPr>
              <w:t>b.已进行资格预审的，投标人提供了资格预审申请文件中所附的联合体协</w:t>
            </w:r>
            <w:r>
              <w:rPr>
                <w:spacing w:val="-1"/>
              </w:rPr>
              <w:t>议书扫描件，且通过资格预审后的联合体无成</w:t>
            </w:r>
            <w:r>
              <w:rPr>
                <w:spacing w:val="-2"/>
              </w:rPr>
              <w:t>员增减或更换的情况。</w:t>
            </w:r>
          </w:p>
          <w:p w14:paraId="51FE4116">
            <w:pPr>
              <w:pStyle w:val="9"/>
              <w:spacing w:before="1" w:line="387" w:lineRule="auto"/>
              <w:ind w:left="114" w:right="119" w:hanging="5"/>
              <w:rPr>
                <w:spacing w:val="-2"/>
              </w:rPr>
            </w:pPr>
            <w:r>
              <w:rPr>
                <w:rFonts w:hint="eastAsia"/>
                <w:spacing w:val="-2"/>
              </w:rPr>
              <w:t>（7）如投标人不具备拟分包工程所需的某专项工程相应资质或投标人如有分包计划，符合招标文件第二章“投标人须知 ” 第 1.11 款规定，且按招标文件第九章“投标文件格式 ”的要求填写了“拟分包项目情况表 ”。</w:t>
            </w:r>
          </w:p>
          <w:p w14:paraId="0601A5D0">
            <w:pPr>
              <w:pStyle w:val="9"/>
              <w:spacing w:before="1" w:line="386" w:lineRule="auto"/>
              <w:ind w:left="111" w:right="107" w:firstLine="6"/>
            </w:pPr>
            <w:r>
              <w:rPr>
                <w:spacing w:val="-2"/>
              </w:rPr>
              <w:t>（</w:t>
            </w:r>
            <w:r>
              <w:rPr>
                <w:rFonts w:hint="eastAsia"/>
                <w:spacing w:val="-2"/>
                <w:lang w:val="en-US" w:eastAsia="zh-CN"/>
              </w:rPr>
              <w:t>8</w:t>
            </w:r>
            <w:r>
              <w:rPr>
                <w:spacing w:val="-2"/>
              </w:rPr>
              <w:t>）同一投标人未提交两个以上不同的投标文件，但招标文件要求提交备</w:t>
            </w:r>
            <w:r>
              <w:rPr>
                <w:spacing w:val="-5"/>
              </w:rPr>
              <w:t>选投标的除外。</w:t>
            </w:r>
          </w:p>
          <w:p w14:paraId="37E0A4CD">
            <w:pPr>
              <w:pStyle w:val="9"/>
              <w:spacing w:line="218" w:lineRule="auto"/>
              <w:ind w:left="118"/>
            </w:pPr>
            <w:r>
              <w:rPr>
                <w:spacing w:val="-2"/>
              </w:rPr>
              <w:t>（</w:t>
            </w:r>
            <w:r>
              <w:rPr>
                <w:rFonts w:hint="eastAsia"/>
                <w:spacing w:val="-2"/>
                <w:lang w:val="en-US" w:eastAsia="zh-CN"/>
              </w:rPr>
              <w:t>9</w:t>
            </w:r>
            <w:r>
              <w:rPr>
                <w:spacing w:val="-2"/>
              </w:rPr>
              <w:t>）投标文件中未出现有关投标报价的内</w:t>
            </w:r>
            <w:r>
              <w:rPr>
                <w:spacing w:val="-3"/>
              </w:rPr>
              <w:t>容。</w:t>
            </w:r>
          </w:p>
          <w:p w14:paraId="67A951F9">
            <w:pPr>
              <w:pStyle w:val="9"/>
              <w:spacing w:before="192" w:line="220" w:lineRule="auto"/>
              <w:ind w:left="118"/>
            </w:pPr>
            <w:r>
              <w:rPr>
                <w:spacing w:val="-1"/>
              </w:rPr>
              <w:t>（</w:t>
            </w:r>
            <w:r>
              <w:rPr>
                <w:rFonts w:hint="eastAsia"/>
                <w:spacing w:val="-1"/>
                <w:lang w:val="en-US" w:eastAsia="zh-CN"/>
              </w:rPr>
              <w:t>10</w:t>
            </w:r>
            <w:r>
              <w:rPr>
                <w:spacing w:val="-1"/>
              </w:rPr>
              <w:t>）投标文件载明的招标项目完成期限未</w:t>
            </w:r>
            <w:r>
              <w:rPr>
                <w:spacing w:val="-2"/>
              </w:rPr>
              <w:t>超过招标文件规定的时限。</w:t>
            </w:r>
          </w:p>
          <w:p w14:paraId="30F71A82">
            <w:pPr>
              <w:pStyle w:val="9"/>
              <w:spacing w:before="189" w:line="220" w:lineRule="auto"/>
              <w:ind w:left="118"/>
            </w:pPr>
            <w:r>
              <w:rPr>
                <w:spacing w:val="-2"/>
              </w:rPr>
              <w:t>（</w:t>
            </w:r>
            <w:r>
              <w:rPr>
                <w:rFonts w:hint="eastAsia"/>
                <w:spacing w:val="-2"/>
                <w:lang w:val="en-US" w:eastAsia="zh-CN"/>
              </w:rPr>
              <w:t>11</w:t>
            </w:r>
            <w:r>
              <w:rPr>
                <w:spacing w:val="-2"/>
              </w:rPr>
              <w:t>）投标文件对招标文件的实质性要求和条件作出响应。</w:t>
            </w:r>
          </w:p>
        </w:tc>
      </w:tr>
    </w:tbl>
    <w:p w14:paraId="355D8648">
      <w:pPr>
        <w:pStyle w:val="2"/>
        <w:spacing w:line="352" w:lineRule="auto"/>
      </w:pPr>
    </w:p>
    <w:p w14:paraId="4F37B36F">
      <w:pPr>
        <w:spacing w:line="217" w:lineRule="auto"/>
        <w:rPr>
          <w:rFonts w:ascii="宋体" w:hAnsi="宋体" w:eastAsia="宋体" w:cs="宋体"/>
          <w:sz w:val="18"/>
          <w:szCs w:val="18"/>
        </w:rPr>
        <w:sectPr>
          <w:headerReference r:id="rId31" w:type="default"/>
          <w:pgSz w:w="11905" w:h="16840"/>
          <w:pgMar w:top="1182" w:right="1276" w:bottom="1171" w:left="1303" w:header="849" w:footer="937" w:gutter="0"/>
          <w:pgNumType w:fmt="decimal"/>
          <w:cols w:space="720" w:num="1"/>
        </w:sectPr>
      </w:pPr>
    </w:p>
    <w:p w14:paraId="33635839">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2"/>
        <w:gridCol w:w="1184"/>
        <w:gridCol w:w="7006"/>
      </w:tblGrid>
      <w:tr w14:paraId="1B38B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286" w:type="dxa"/>
            <w:gridSpan w:val="2"/>
            <w:vAlign w:val="top"/>
          </w:tcPr>
          <w:p w14:paraId="28190340">
            <w:pPr>
              <w:pStyle w:val="9"/>
              <w:spacing w:before="225" w:line="220" w:lineRule="auto"/>
              <w:ind w:left="835"/>
            </w:pPr>
            <w:r>
              <w:rPr>
                <w:b/>
                <w:bCs/>
                <w:spacing w:val="-6"/>
              </w:rPr>
              <w:t>条款号</w:t>
            </w:r>
          </w:p>
        </w:tc>
        <w:tc>
          <w:tcPr>
            <w:tcW w:w="7006" w:type="dxa"/>
            <w:vAlign w:val="top"/>
          </w:tcPr>
          <w:p w14:paraId="42F3B0E8">
            <w:pPr>
              <w:pStyle w:val="9"/>
              <w:spacing w:before="225" w:line="220" w:lineRule="auto"/>
              <w:ind w:left="2560"/>
            </w:pPr>
            <w:r>
              <w:rPr>
                <w:b/>
                <w:bCs/>
                <w:spacing w:val="-3"/>
              </w:rPr>
              <w:t>评审因素与评审标准</w:t>
            </w:r>
          </w:p>
        </w:tc>
      </w:tr>
      <w:tr w14:paraId="5B7A1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4" w:hRule="atLeast"/>
        </w:trPr>
        <w:tc>
          <w:tcPr>
            <w:tcW w:w="1102" w:type="dxa"/>
            <w:vAlign w:val="top"/>
          </w:tcPr>
          <w:p w14:paraId="6237A7E5">
            <w:pPr>
              <w:rPr>
                <w:rFonts w:ascii="Arial"/>
                <w:sz w:val="21"/>
              </w:rPr>
            </w:pPr>
          </w:p>
        </w:tc>
        <w:tc>
          <w:tcPr>
            <w:tcW w:w="1184" w:type="dxa"/>
            <w:vAlign w:val="top"/>
          </w:tcPr>
          <w:p w14:paraId="3B3C4B58">
            <w:pPr>
              <w:rPr>
                <w:rFonts w:ascii="Arial"/>
                <w:sz w:val="21"/>
              </w:rPr>
            </w:pPr>
          </w:p>
        </w:tc>
        <w:tc>
          <w:tcPr>
            <w:tcW w:w="7006" w:type="dxa"/>
            <w:vAlign w:val="top"/>
          </w:tcPr>
          <w:p w14:paraId="05D7ED5F">
            <w:pPr>
              <w:pStyle w:val="9"/>
              <w:spacing w:before="170" w:line="220" w:lineRule="auto"/>
              <w:ind w:left="118"/>
            </w:pPr>
            <w:r>
              <w:rPr>
                <w:spacing w:val="-4"/>
              </w:rPr>
              <w:t>（1</w:t>
            </w:r>
            <w:r>
              <w:rPr>
                <w:rFonts w:hint="eastAsia"/>
                <w:spacing w:val="-4"/>
                <w:lang w:val="en-US" w:eastAsia="zh-CN"/>
              </w:rPr>
              <w:t>2</w:t>
            </w:r>
            <w:r>
              <w:rPr>
                <w:spacing w:val="-4"/>
              </w:rPr>
              <w:t>）权利义务符合招标文件规定：</w:t>
            </w:r>
          </w:p>
          <w:p w14:paraId="7CA714F2">
            <w:pPr>
              <w:pStyle w:val="9"/>
              <w:spacing w:before="190" w:line="220" w:lineRule="auto"/>
              <w:ind w:left="113"/>
            </w:pPr>
            <w:r>
              <w:rPr>
                <w:spacing w:val="-3"/>
              </w:rPr>
              <w:t>a.投标人应接受招标文件规定的风险划分原则，未提出新的风险划分办法；</w:t>
            </w:r>
          </w:p>
          <w:p w14:paraId="72C4AED5">
            <w:pPr>
              <w:pStyle w:val="9"/>
              <w:spacing w:before="190" w:line="220" w:lineRule="auto"/>
              <w:ind w:left="109"/>
            </w:pPr>
            <w:r>
              <w:rPr>
                <w:spacing w:val="-2"/>
              </w:rPr>
              <w:t>b.投标人未增加发包人的责任范围，或减少投标人义务；</w:t>
            </w:r>
          </w:p>
          <w:p w14:paraId="691233F4">
            <w:pPr>
              <w:pStyle w:val="9"/>
              <w:spacing w:before="188" w:line="220" w:lineRule="auto"/>
              <w:ind w:left="116"/>
            </w:pPr>
            <w:r>
              <w:rPr>
                <w:spacing w:val="-3"/>
              </w:rPr>
              <w:t>c.投标人未提出不同的工程验收、计量、支付办法；</w:t>
            </w:r>
          </w:p>
          <w:p w14:paraId="4ED6BD09">
            <w:pPr>
              <w:pStyle w:val="9"/>
              <w:spacing w:before="190" w:line="220" w:lineRule="auto"/>
              <w:ind w:left="116"/>
            </w:pPr>
            <w:r>
              <w:rPr>
                <w:spacing w:val="-3"/>
              </w:rPr>
              <w:t>d.投标人对合同纠纷、事故处理办法未提出异议；</w:t>
            </w:r>
          </w:p>
          <w:p w14:paraId="47F7F34E">
            <w:pPr>
              <w:pStyle w:val="9"/>
              <w:spacing w:before="190" w:line="220" w:lineRule="auto"/>
              <w:ind w:left="117"/>
            </w:pPr>
            <w:r>
              <w:rPr>
                <w:spacing w:val="-4"/>
              </w:rPr>
              <w:t>e.投标人在投标活动中无欺诈行为；</w:t>
            </w:r>
          </w:p>
          <w:p w14:paraId="12C80159">
            <w:pPr>
              <w:pStyle w:val="9"/>
              <w:spacing w:before="188" w:line="220" w:lineRule="auto"/>
              <w:ind w:left="115"/>
              <w:rPr>
                <w:spacing w:val="-3"/>
              </w:rPr>
            </w:pPr>
            <w:r>
              <w:rPr>
                <w:spacing w:val="-3"/>
              </w:rPr>
              <w:t>f.投标人未对合同条款有重要保留。</w:t>
            </w:r>
          </w:p>
          <w:p w14:paraId="1F9B432E">
            <w:pPr>
              <w:pStyle w:val="9"/>
              <w:spacing w:before="188" w:line="220" w:lineRule="auto"/>
              <w:ind w:left="115"/>
              <w:rPr>
                <w:rFonts w:hint="eastAsia" w:eastAsia="宋体"/>
                <w:spacing w:val="-3"/>
                <w:lang w:eastAsia="zh-CN"/>
              </w:rPr>
            </w:pPr>
            <w:r>
              <w:rPr>
                <w:rFonts w:hint="eastAsia"/>
                <w:spacing w:val="-3"/>
                <w:lang w:eastAsia="zh-CN"/>
              </w:rPr>
              <w:t>（</w:t>
            </w:r>
            <w:r>
              <w:rPr>
                <w:rFonts w:hint="eastAsia"/>
                <w:spacing w:val="-3"/>
                <w:lang w:val="en-US" w:eastAsia="zh-CN"/>
              </w:rPr>
              <w:t>13</w:t>
            </w:r>
            <w:r>
              <w:rPr>
                <w:rFonts w:hint="eastAsia"/>
                <w:spacing w:val="-3"/>
                <w:lang w:eastAsia="zh-CN"/>
              </w:rPr>
              <w:t>）</w:t>
            </w:r>
            <w:r>
              <w:rPr>
                <w:spacing w:val="3"/>
                <w:sz w:val="20"/>
                <w:szCs w:val="20"/>
              </w:rPr>
              <w:t>投标文件符合招标文件第二章“投标人须知</w:t>
            </w:r>
            <w:r>
              <w:rPr>
                <w:rFonts w:hint="eastAsia"/>
                <w:spacing w:val="3"/>
                <w:sz w:val="20"/>
                <w:szCs w:val="20"/>
                <w:lang w:eastAsia="zh-CN"/>
              </w:rPr>
              <w:t>”</w:t>
            </w:r>
            <w:r>
              <w:rPr>
                <w:spacing w:val="3"/>
                <w:sz w:val="20"/>
                <w:szCs w:val="20"/>
              </w:rPr>
              <w:t xml:space="preserve"> 第</w:t>
            </w:r>
            <w:r>
              <w:rPr>
                <w:spacing w:val="-17"/>
                <w:sz w:val="20"/>
                <w:szCs w:val="20"/>
              </w:rPr>
              <w:t xml:space="preserve"> </w:t>
            </w:r>
            <w:r>
              <w:rPr>
                <w:spacing w:val="3"/>
                <w:sz w:val="20"/>
                <w:szCs w:val="20"/>
              </w:rPr>
              <w:t>3.7.4</w:t>
            </w:r>
            <w:r>
              <w:rPr>
                <w:spacing w:val="4"/>
                <w:sz w:val="20"/>
                <w:szCs w:val="20"/>
              </w:rPr>
              <w:t>项规定</w:t>
            </w:r>
          </w:p>
          <w:p w14:paraId="204918D2">
            <w:pPr>
              <w:pStyle w:val="9"/>
              <w:spacing w:before="177" w:line="391" w:lineRule="auto"/>
              <w:ind w:left="112" w:right="107" w:firstLine="5"/>
              <w:rPr>
                <w:spacing w:val="-3"/>
              </w:rPr>
            </w:pPr>
            <w:r>
              <w:rPr>
                <w:spacing w:val="-1"/>
              </w:rPr>
              <w:t>（1</w:t>
            </w:r>
            <w:r>
              <w:rPr>
                <w:rFonts w:hint="eastAsia"/>
                <w:spacing w:val="-1"/>
                <w:lang w:val="en-US" w:eastAsia="zh-CN"/>
              </w:rPr>
              <w:t>4</w:t>
            </w:r>
            <w:r>
              <w:rPr>
                <w:spacing w:val="-1"/>
              </w:rPr>
              <w:t>）投标人在通过资格预审后至投标文件递</w:t>
            </w:r>
            <w:r>
              <w:rPr>
                <w:spacing w:val="-2"/>
              </w:rPr>
              <w:t>交截止日，没有被交通运输</w:t>
            </w:r>
            <w:r>
              <w:rPr>
                <w:spacing w:val="1"/>
              </w:rPr>
              <w:t>部或广东省交通运输厅行政处罚且取消投标资格或信用等级被广东省交通</w:t>
            </w:r>
            <w:r>
              <w:rPr>
                <w:spacing w:val="-3"/>
              </w:rPr>
              <w:t>运输厅降低为</w:t>
            </w:r>
            <w:r>
              <w:rPr>
                <w:spacing w:val="-45"/>
              </w:rPr>
              <w:t xml:space="preserve"> </w:t>
            </w:r>
            <w:r>
              <w:rPr>
                <w:spacing w:val="-3"/>
              </w:rPr>
              <w:t>D</w:t>
            </w:r>
            <w:r>
              <w:rPr>
                <w:spacing w:val="-40"/>
              </w:rPr>
              <w:t xml:space="preserve"> </w:t>
            </w:r>
            <w:r>
              <w:rPr>
                <w:spacing w:val="-3"/>
              </w:rPr>
              <w:t>级等情况之一的。</w:t>
            </w:r>
          </w:p>
          <w:p w14:paraId="0456A439">
            <w:pPr>
              <w:pStyle w:val="9"/>
              <w:spacing w:before="177" w:line="391" w:lineRule="auto"/>
              <w:ind w:left="112" w:right="107" w:firstLine="5"/>
              <w:rPr>
                <w:rFonts w:hint="eastAsia"/>
                <w:spacing w:val="-3"/>
              </w:rPr>
            </w:pPr>
            <w:r>
              <w:rPr>
                <w:rFonts w:hint="eastAsia"/>
                <w:spacing w:val="-3"/>
              </w:rPr>
              <w:t>（15）投标文件未附有招标人不能接受的条件。</w:t>
            </w:r>
          </w:p>
          <w:p w14:paraId="73EA9E9B">
            <w:pPr>
              <w:pStyle w:val="9"/>
              <w:spacing w:before="177" w:line="391" w:lineRule="auto"/>
              <w:ind w:left="112" w:right="107" w:firstLine="5"/>
              <w:rPr>
                <w:rFonts w:hint="eastAsia"/>
                <w:spacing w:val="-3"/>
              </w:rPr>
            </w:pPr>
            <w:r>
              <w:rPr>
                <w:rFonts w:hint="eastAsia"/>
                <w:spacing w:val="-3"/>
              </w:rPr>
              <w:t>（1</w:t>
            </w:r>
            <w:r>
              <w:rPr>
                <w:rFonts w:hint="eastAsia"/>
                <w:spacing w:val="-3"/>
                <w:lang w:val="en-US" w:eastAsia="zh-CN"/>
              </w:rPr>
              <w:t>6</w:t>
            </w:r>
            <w:r>
              <w:rPr>
                <w:rFonts w:hint="eastAsia"/>
                <w:spacing w:val="-3"/>
              </w:rPr>
              <w:t>）经云浮市公共资源交易服务平台检测存在以下之一及以上的:</w:t>
            </w:r>
          </w:p>
          <w:p w14:paraId="03577CA7">
            <w:pPr>
              <w:pStyle w:val="9"/>
              <w:spacing w:before="177" w:line="391" w:lineRule="auto"/>
              <w:ind w:left="112" w:right="107" w:firstLine="5"/>
              <w:rPr>
                <w:rFonts w:hint="eastAsia"/>
                <w:spacing w:val="-3"/>
              </w:rPr>
            </w:pPr>
            <w:r>
              <w:rPr>
                <w:rFonts w:hint="eastAsia" w:ascii="微软雅黑" w:hAnsi="微软雅黑" w:eastAsia="微软雅黑" w:cs="微软雅黑"/>
                <w:spacing w:val="-3"/>
              </w:rPr>
              <w:t>①</w:t>
            </w:r>
            <w:r>
              <w:rPr>
                <w:rFonts w:hint="eastAsia"/>
                <w:spacing w:val="-3"/>
              </w:rPr>
              <w:t>两家及以上投标人的投标文件上传IP地址、投标报名登记IP和投标文件CA解密IP地址出现一项及以上地址相同的;</w:t>
            </w:r>
          </w:p>
          <w:p w14:paraId="0B0BBBF4">
            <w:pPr>
              <w:pStyle w:val="9"/>
              <w:spacing w:before="177" w:line="391" w:lineRule="auto"/>
              <w:ind w:left="112" w:right="107" w:firstLine="5"/>
              <w:rPr>
                <w:rFonts w:hint="eastAsia"/>
                <w:spacing w:val="-3"/>
              </w:rPr>
            </w:pPr>
            <w:r>
              <w:rPr>
                <w:rFonts w:hint="eastAsia" w:ascii="微软雅黑" w:hAnsi="微软雅黑" w:eastAsia="微软雅黑" w:cs="微软雅黑"/>
                <w:spacing w:val="-3"/>
              </w:rPr>
              <w:t>②</w:t>
            </w:r>
            <w:r>
              <w:rPr>
                <w:rFonts w:hint="eastAsia"/>
                <w:spacing w:val="-3"/>
              </w:rPr>
              <w:t>两家及以上投标人的投标文件制作机器码(MAC地址、CPU序列号、硬盘序列号、主板序列号、软件制作码)完全致的。</w:t>
            </w:r>
          </w:p>
          <w:p w14:paraId="3BF5B7BB">
            <w:pPr>
              <w:pStyle w:val="9"/>
              <w:spacing w:before="177" w:line="391" w:lineRule="auto"/>
              <w:ind w:left="112" w:right="107" w:firstLine="5"/>
              <w:rPr>
                <w:rFonts w:hint="eastAsia"/>
                <w:spacing w:val="-3"/>
              </w:rPr>
            </w:pPr>
          </w:p>
          <w:p w14:paraId="23D3075B">
            <w:pPr>
              <w:spacing w:line="369" w:lineRule="auto"/>
              <w:rPr>
                <w:rFonts w:ascii="Arial"/>
                <w:sz w:val="21"/>
              </w:rPr>
            </w:pPr>
          </w:p>
          <w:p w14:paraId="4FBE4D76">
            <w:pPr>
              <w:pStyle w:val="9"/>
              <w:spacing w:before="69" w:line="218" w:lineRule="auto"/>
              <w:ind w:left="112"/>
            </w:pPr>
            <w:r>
              <w:rPr>
                <w:b/>
                <w:bCs/>
                <w:spacing w:val="-2"/>
              </w:rPr>
              <w:t>第二个信封（报价文件）评审标准</w:t>
            </w:r>
            <w:r>
              <w:rPr>
                <w:spacing w:val="-2"/>
              </w:rPr>
              <w:t>：</w:t>
            </w:r>
          </w:p>
          <w:p w14:paraId="78FC639B">
            <w:pPr>
              <w:pStyle w:val="9"/>
              <w:spacing w:before="190" w:line="220" w:lineRule="auto"/>
              <w:ind w:left="118"/>
            </w:pPr>
            <w:r>
              <w:rPr>
                <w:spacing w:val="-2"/>
              </w:rPr>
              <w:t>（1）投标文件按照招标文件规定的格式、内容填写，字迹清晰可辨：</w:t>
            </w:r>
          </w:p>
          <w:p w14:paraId="6A5612A7">
            <w:pPr>
              <w:pStyle w:val="9"/>
              <w:spacing w:before="190" w:line="387" w:lineRule="auto"/>
              <w:ind w:left="112" w:right="115"/>
            </w:pPr>
            <w:r>
              <w:rPr>
                <w:spacing w:val="-8"/>
              </w:rPr>
              <w:t>a.投标函按招标文件规定填报了项目名称、标段号（如有</w:t>
            </w:r>
            <w:r>
              <w:rPr>
                <w:rFonts w:hint="eastAsia"/>
                <w:spacing w:val="-8"/>
                <w:lang w:eastAsia="zh-CN"/>
              </w:rPr>
              <w:t>）</w:t>
            </w:r>
            <w:r>
              <w:rPr>
                <w:spacing w:val="-8"/>
              </w:rPr>
              <w:t>、投标总报价（包</w:t>
            </w:r>
            <w:r>
              <w:rPr>
                <w:spacing w:val="-5"/>
              </w:rPr>
              <w:t>括大写金额和小写金额</w:t>
            </w:r>
            <w:r>
              <w:rPr>
                <w:rFonts w:hint="eastAsia"/>
                <w:spacing w:val="-5"/>
                <w:lang w:eastAsia="zh-CN"/>
              </w:rPr>
              <w:t>）</w:t>
            </w:r>
            <w:r>
              <w:rPr>
                <w:spacing w:val="-5"/>
              </w:rPr>
              <w:t>；</w:t>
            </w:r>
          </w:p>
          <w:p w14:paraId="54984488">
            <w:pPr>
              <w:pStyle w:val="9"/>
              <w:spacing w:before="1" w:line="387" w:lineRule="auto"/>
              <w:ind w:left="111" w:right="119" w:hanging="2"/>
            </w:pPr>
            <w:r>
              <w:rPr>
                <w:spacing w:val="1"/>
              </w:rPr>
              <w:t>b.已标价工程量清单说明文字与招标文件规定一致，未进行实质性修改和</w:t>
            </w:r>
            <w:r>
              <w:rPr>
                <w:spacing w:val="-13"/>
              </w:rPr>
              <w:t>删减；</w:t>
            </w:r>
          </w:p>
          <w:p w14:paraId="0569BB6B">
            <w:pPr>
              <w:pStyle w:val="9"/>
              <w:spacing w:line="219" w:lineRule="auto"/>
              <w:ind w:left="116"/>
            </w:pPr>
            <w:r>
              <w:rPr>
                <w:spacing w:val="-2"/>
              </w:rPr>
              <w:t>c.投标文件组成齐全完整，内容均按规定填写。</w:t>
            </w:r>
          </w:p>
          <w:p w14:paraId="1F277292">
            <w:pPr>
              <w:pStyle w:val="9"/>
              <w:spacing w:before="190" w:line="387" w:lineRule="auto"/>
              <w:ind w:left="112" w:right="122" w:firstLine="5"/>
            </w:pPr>
            <w:r>
              <w:rPr>
                <w:spacing w:val="-2"/>
              </w:rPr>
              <w:t>（2）投标文件上法定代表人或其委托代理人的签字、投标人的单位章盖章</w:t>
            </w:r>
            <w:r>
              <w:rPr>
                <w:spacing w:val="-3"/>
              </w:rPr>
              <w:t>齐全，符合招标文件规定。</w:t>
            </w:r>
            <w:r>
              <w:rPr>
                <w:rFonts w:hint="eastAsia"/>
                <w:spacing w:val="-3"/>
              </w:rPr>
              <w:t>【注：签字，可以以加盖个人电子印章，或亲笔签名后扫描上传的任一方式操作</w:t>
            </w:r>
            <w:r>
              <w:rPr>
                <w:rFonts w:hint="eastAsia"/>
                <w:spacing w:val="-3"/>
                <w:lang w:eastAsia="zh-CN"/>
              </w:rPr>
              <w:t>】</w:t>
            </w:r>
          </w:p>
          <w:p w14:paraId="5FBD6090">
            <w:pPr>
              <w:pStyle w:val="9"/>
              <w:spacing w:before="2" w:line="386" w:lineRule="auto"/>
              <w:ind w:left="118" w:right="114"/>
            </w:pPr>
            <w:r>
              <w:rPr>
                <w:spacing w:val="5"/>
              </w:rPr>
              <w:t>（3）投标总报价或调价函中的报价未超过招标文件设</w:t>
            </w:r>
            <w:r>
              <w:rPr>
                <w:spacing w:val="4"/>
              </w:rPr>
              <w:t>定的最高投标限价</w:t>
            </w:r>
            <w:r>
              <w:rPr>
                <w:spacing w:val="-3"/>
              </w:rPr>
              <w:t>（如有）及最高评标限价（如有）。</w:t>
            </w:r>
          </w:p>
          <w:p w14:paraId="498C6EA2">
            <w:pPr>
              <w:pStyle w:val="9"/>
              <w:spacing w:line="218" w:lineRule="auto"/>
              <w:ind w:left="118"/>
            </w:pPr>
            <w:r>
              <w:rPr>
                <w:spacing w:val="-2"/>
              </w:rPr>
              <w:t>（4）投标总报价或调价函中报价的大写金额能够确定具体数值。</w:t>
            </w:r>
          </w:p>
          <w:p w14:paraId="6BC9BD68">
            <w:pPr>
              <w:pStyle w:val="9"/>
              <w:spacing w:before="191" w:line="387" w:lineRule="auto"/>
              <w:ind w:left="111" w:right="107" w:firstLine="6"/>
            </w:pPr>
            <w:r>
              <w:rPr>
                <w:spacing w:val="-2"/>
              </w:rPr>
              <w:t>（5）同一投标人未提交两个以上不同的投标报价，但招标文件要求提交备</w:t>
            </w:r>
            <w:r>
              <w:rPr>
                <w:spacing w:val="-5"/>
              </w:rPr>
              <w:t>选投标的除外。</w:t>
            </w:r>
          </w:p>
          <w:p w14:paraId="38D29701">
            <w:pPr>
              <w:pStyle w:val="9"/>
              <w:spacing w:before="2" w:line="386" w:lineRule="auto"/>
              <w:ind w:left="116" w:right="119" w:firstLine="1"/>
            </w:pPr>
            <w:r>
              <w:rPr>
                <w:spacing w:val="-2"/>
              </w:rPr>
              <w:t>（6）投标人若提交调价函，调价函符合招标文件第二章“投标人须知”第</w:t>
            </w:r>
            <w:r>
              <w:rPr>
                <w:spacing w:val="-5"/>
              </w:rPr>
              <w:t>3.2.6</w:t>
            </w:r>
            <w:r>
              <w:rPr>
                <w:spacing w:val="-43"/>
              </w:rPr>
              <w:t xml:space="preserve"> </w:t>
            </w:r>
            <w:r>
              <w:rPr>
                <w:spacing w:val="-5"/>
              </w:rPr>
              <w:t>项要求。</w:t>
            </w:r>
          </w:p>
          <w:p w14:paraId="5A31685F">
            <w:pPr>
              <w:pStyle w:val="9"/>
              <w:spacing w:line="309" w:lineRule="auto"/>
              <w:ind w:left="112" w:right="114" w:firstLine="5"/>
              <w:rPr>
                <w:spacing w:val="-2"/>
              </w:rPr>
            </w:pPr>
            <w:r>
              <w:rPr>
                <w:spacing w:val="-2"/>
              </w:rPr>
              <w:t>（7）投标人若填写工程量固化清单，填写完毕的工程量固化清单未对工程</w:t>
            </w:r>
            <w:r>
              <w:rPr>
                <w:spacing w:val="1"/>
              </w:rPr>
              <w:t>量固化清单电子文件中的数据、格式和运算定义进行修改；工程量固化清</w:t>
            </w:r>
            <w:r>
              <w:rPr>
                <w:spacing w:val="-2"/>
              </w:rPr>
              <w:t>单中的投标总报价和投标函大写金额报价一致。</w:t>
            </w:r>
          </w:p>
          <w:p w14:paraId="1F31AC1D">
            <w:pPr>
              <w:pStyle w:val="9"/>
              <w:spacing w:line="309" w:lineRule="auto"/>
              <w:ind w:left="112" w:right="114" w:firstLine="5"/>
              <w:rPr>
                <w:rFonts w:hint="eastAsia"/>
                <w:spacing w:val="-2"/>
              </w:rPr>
            </w:pPr>
            <w:r>
              <w:rPr>
                <w:rFonts w:hint="eastAsia"/>
                <w:spacing w:val="-2"/>
              </w:rPr>
              <w:t>（8）投标文件正、副本份数符合招标文件第二章“投标人须知 ”第 3.7.4项规定。</w:t>
            </w:r>
          </w:p>
          <w:p w14:paraId="5DAC502E">
            <w:pPr>
              <w:pStyle w:val="9"/>
              <w:spacing w:before="177" w:line="391" w:lineRule="auto"/>
              <w:ind w:left="112" w:right="107" w:firstLine="5"/>
              <w:rPr>
                <w:rFonts w:hint="eastAsia"/>
                <w:spacing w:val="-3"/>
              </w:rPr>
            </w:pPr>
            <w:r>
              <w:rPr>
                <w:rFonts w:hint="eastAsia"/>
                <w:spacing w:val="-2"/>
              </w:rPr>
              <w:t>（9）</w:t>
            </w:r>
            <w:r>
              <w:rPr>
                <w:rFonts w:hint="eastAsia"/>
                <w:spacing w:val="-3"/>
              </w:rPr>
              <w:t>经云浮市公共资源交易服务平台检测存在以下之一及以上的:</w:t>
            </w:r>
          </w:p>
          <w:p w14:paraId="14E4F860">
            <w:pPr>
              <w:pStyle w:val="9"/>
              <w:spacing w:before="177" w:line="391" w:lineRule="auto"/>
              <w:ind w:left="112" w:right="107" w:firstLine="5"/>
              <w:rPr>
                <w:rFonts w:hint="eastAsia"/>
                <w:spacing w:val="-3"/>
              </w:rPr>
            </w:pPr>
            <w:r>
              <w:rPr>
                <w:rFonts w:hint="eastAsia" w:ascii="微软雅黑" w:hAnsi="微软雅黑" w:eastAsia="微软雅黑" w:cs="微软雅黑"/>
                <w:spacing w:val="-3"/>
              </w:rPr>
              <w:t>①</w:t>
            </w:r>
            <w:r>
              <w:rPr>
                <w:rFonts w:hint="eastAsia"/>
                <w:spacing w:val="-3"/>
              </w:rPr>
              <w:t>两家及以上投标人的投标文件上传IP地址、投标报名登记IP和投标文件CA解密IP地址出现一项及以上地址相同的;</w:t>
            </w:r>
          </w:p>
          <w:p w14:paraId="1417FE45">
            <w:pPr>
              <w:pStyle w:val="9"/>
              <w:spacing w:before="177" w:line="391" w:lineRule="auto"/>
              <w:ind w:left="112" w:right="107" w:firstLine="5"/>
              <w:rPr>
                <w:rFonts w:hint="eastAsia"/>
                <w:spacing w:val="-3"/>
              </w:rPr>
            </w:pPr>
            <w:r>
              <w:rPr>
                <w:rFonts w:hint="eastAsia" w:ascii="微软雅黑" w:hAnsi="微软雅黑" w:eastAsia="微软雅黑" w:cs="微软雅黑"/>
                <w:spacing w:val="-3"/>
              </w:rPr>
              <w:t>②</w:t>
            </w:r>
            <w:r>
              <w:rPr>
                <w:rFonts w:hint="eastAsia"/>
                <w:spacing w:val="-3"/>
              </w:rPr>
              <w:t>两家及以上投标人的投标文件制作机器码(MAC地址、CPU序列号、硬盘序列号、主板序列号、软件制作码)完全致的。</w:t>
            </w:r>
          </w:p>
          <w:p w14:paraId="0504DAA2">
            <w:pPr>
              <w:pStyle w:val="9"/>
              <w:spacing w:line="309" w:lineRule="auto"/>
              <w:ind w:left="112" w:right="114" w:firstLine="5"/>
              <w:rPr>
                <w:rFonts w:hint="eastAsia"/>
                <w:spacing w:val="-2"/>
              </w:rPr>
            </w:pPr>
          </w:p>
        </w:tc>
      </w:tr>
    </w:tbl>
    <w:p w14:paraId="18D1FF28">
      <w:pPr>
        <w:pStyle w:val="2"/>
        <w:spacing w:line="380" w:lineRule="auto"/>
      </w:pPr>
    </w:p>
    <w:p w14:paraId="363EDB2F">
      <w:pPr>
        <w:spacing w:line="217" w:lineRule="auto"/>
        <w:rPr>
          <w:rFonts w:ascii="宋体" w:hAnsi="宋体" w:eastAsia="宋体" w:cs="宋体"/>
          <w:sz w:val="18"/>
          <w:szCs w:val="18"/>
        </w:rPr>
        <w:sectPr>
          <w:pgSz w:w="11905" w:h="16840"/>
          <w:pgMar w:top="1182" w:right="1303" w:bottom="1171" w:left="1303" w:header="849" w:footer="937" w:gutter="0"/>
          <w:pgNumType w:fmt="decimal"/>
          <w:cols w:space="720" w:num="1"/>
        </w:sectPr>
      </w:pPr>
    </w:p>
    <w:p w14:paraId="3EF94DAA">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2"/>
        <w:gridCol w:w="1184"/>
        <w:gridCol w:w="7006"/>
      </w:tblGrid>
      <w:tr w14:paraId="6BFB4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286" w:type="dxa"/>
            <w:gridSpan w:val="2"/>
            <w:vAlign w:val="top"/>
          </w:tcPr>
          <w:p w14:paraId="55BAD41C">
            <w:pPr>
              <w:pStyle w:val="9"/>
              <w:spacing w:before="225" w:line="220" w:lineRule="auto"/>
              <w:ind w:left="835"/>
            </w:pPr>
            <w:r>
              <w:rPr>
                <w:b/>
                <w:bCs/>
                <w:spacing w:val="-6"/>
              </w:rPr>
              <w:t>条款号</w:t>
            </w:r>
          </w:p>
        </w:tc>
        <w:tc>
          <w:tcPr>
            <w:tcW w:w="7006" w:type="dxa"/>
            <w:vAlign w:val="top"/>
          </w:tcPr>
          <w:p w14:paraId="27022DBF">
            <w:pPr>
              <w:pStyle w:val="9"/>
              <w:spacing w:before="225" w:line="220" w:lineRule="auto"/>
              <w:ind w:left="2560"/>
            </w:pPr>
            <w:r>
              <w:rPr>
                <w:b/>
                <w:bCs/>
                <w:spacing w:val="-3"/>
              </w:rPr>
              <w:t>评审因素与评审标准</w:t>
            </w:r>
          </w:p>
        </w:tc>
      </w:tr>
      <w:tr w14:paraId="2DF0C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5" w:hRule="atLeast"/>
        </w:trPr>
        <w:tc>
          <w:tcPr>
            <w:tcW w:w="1102" w:type="dxa"/>
            <w:vAlign w:val="top"/>
          </w:tcPr>
          <w:p w14:paraId="10B79684">
            <w:pPr>
              <w:spacing w:line="246" w:lineRule="auto"/>
              <w:rPr>
                <w:rFonts w:ascii="Arial"/>
                <w:sz w:val="21"/>
              </w:rPr>
            </w:pPr>
          </w:p>
          <w:p w14:paraId="3E3C67D7">
            <w:pPr>
              <w:spacing w:line="246" w:lineRule="auto"/>
              <w:rPr>
                <w:rFonts w:ascii="Arial"/>
                <w:sz w:val="21"/>
              </w:rPr>
            </w:pPr>
          </w:p>
          <w:p w14:paraId="4CFA8048">
            <w:pPr>
              <w:spacing w:line="246" w:lineRule="auto"/>
              <w:rPr>
                <w:rFonts w:ascii="Arial"/>
                <w:sz w:val="21"/>
              </w:rPr>
            </w:pPr>
          </w:p>
          <w:p w14:paraId="3F838FA0">
            <w:pPr>
              <w:spacing w:line="246" w:lineRule="auto"/>
              <w:rPr>
                <w:rFonts w:ascii="Arial"/>
                <w:sz w:val="21"/>
              </w:rPr>
            </w:pPr>
          </w:p>
          <w:p w14:paraId="6C05FCAA">
            <w:pPr>
              <w:spacing w:line="246" w:lineRule="auto"/>
              <w:rPr>
                <w:rFonts w:ascii="Arial"/>
                <w:sz w:val="21"/>
              </w:rPr>
            </w:pPr>
          </w:p>
          <w:p w14:paraId="53CD825D">
            <w:pPr>
              <w:spacing w:line="246" w:lineRule="auto"/>
              <w:rPr>
                <w:rFonts w:ascii="Arial"/>
                <w:sz w:val="21"/>
              </w:rPr>
            </w:pPr>
          </w:p>
          <w:p w14:paraId="5CF2C24F">
            <w:pPr>
              <w:spacing w:line="246" w:lineRule="auto"/>
              <w:rPr>
                <w:rFonts w:ascii="Arial"/>
                <w:sz w:val="21"/>
              </w:rPr>
            </w:pPr>
          </w:p>
          <w:p w14:paraId="72CD1D6E">
            <w:pPr>
              <w:spacing w:line="246" w:lineRule="auto"/>
              <w:rPr>
                <w:rFonts w:ascii="Arial"/>
                <w:sz w:val="21"/>
              </w:rPr>
            </w:pPr>
          </w:p>
          <w:p w14:paraId="185FE3FD">
            <w:pPr>
              <w:spacing w:line="246" w:lineRule="auto"/>
              <w:rPr>
                <w:rFonts w:ascii="Arial"/>
                <w:sz w:val="21"/>
              </w:rPr>
            </w:pPr>
          </w:p>
          <w:p w14:paraId="6D6BE1B7">
            <w:pPr>
              <w:spacing w:line="247" w:lineRule="auto"/>
              <w:rPr>
                <w:rFonts w:ascii="Arial"/>
                <w:sz w:val="21"/>
              </w:rPr>
            </w:pPr>
          </w:p>
          <w:p w14:paraId="20CB74DC">
            <w:pPr>
              <w:spacing w:line="247" w:lineRule="auto"/>
              <w:rPr>
                <w:rFonts w:ascii="Arial"/>
                <w:sz w:val="21"/>
              </w:rPr>
            </w:pPr>
          </w:p>
          <w:p w14:paraId="6C7356C8">
            <w:pPr>
              <w:spacing w:line="247" w:lineRule="auto"/>
              <w:rPr>
                <w:rFonts w:ascii="Arial"/>
                <w:sz w:val="21"/>
              </w:rPr>
            </w:pPr>
          </w:p>
          <w:p w14:paraId="7BCB8B5C">
            <w:pPr>
              <w:spacing w:line="247" w:lineRule="auto"/>
              <w:rPr>
                <w:rFonts w:ascii="Arial"/>
                <w:sz w:val="21"/>
              </w:rPr>
            </w:pPr>
          </w:p>
          <w:p w14:paraId="2AE04A97">
            <w:pPr>
              <w:spacing w:line="247" w:lineRule="auto"/>
              <w:rPr>
                <w:rFonts w:ascii="Arial"/>
                <w:sz w:val="21"/>
              </w:rPr>
            </w:pPr>
          </w:p>
          <w:p w14:paraId="5916178B">
            <w:pPr>
              <w:pStyle w:val="9"/>
              <w:spacing w:before="69" w:line="239" w:lineRule="auto"/>
              <w:ind w:left="296"/>
            </w:pPr>
            <w:r>
              <w:rPr>
                <w:spacing w:val="-2"/>
              </w:rPr>
              <w:t>2.1.2</w:t>
            </w:r>
          </w:p>
        </w:tc>
        <w:tc>
          <w:tcPr>
            <w:tcW w:w="1184" w:type="dxa"/>
            <w:vAlign w:val="top"/>
          </w:tcPr>
          <w:p w14:paraId="73B523B9">
            <w:pPr>
              <w:spacing w:line="250" w:lineRule="auto"/>
              <w:rPr>
                <w:rFonts w:ascii="Arial"/>
                <w:sz w:val="21"/>
              </w:rPr>
            </w:pPr>
          </w:p>
          <w:p w14:paraId="6334596A">
            <w:pPr>
              <w:spacing w:line="250" w:lineRule="auto"/>
              <w:rPr>
                <w:rFonts w:ascii="Arial"/>
                <w:sz w:val="21"/>
              </w:rPr>
            </w:pPr>
          </w:p>
          <w:p w14:paraId="58F90AD3">
            <w:pPr>
              <w:spacing w:line="250" w:lineRule="auto"/>
              <w:rPr>
                <w:rFonts w:ascii="Arial"/>
                <w:sz w:val="21"/>
              </w:rPr>
            </w:pPr>
          </w:p>
          <w:p w14:paraId="57B04C7D">
            <w:pPr>
              <w:spacing w:line="250" w:lineRule="auto"/>
              <w:rPr>
                <w:rFonts w:ascii="Arial"/>
                <w:sz w:val="21"/>
              </w:rPr>
            </w:pPr>
          </w:p>
          <w:p w14:paraId="68D012A9">
            <w:pPr>
              <w:spacing w:line="250" w:lineRule="auto"/>
              <w:rPr>
                <w:rFonts w:ascii="Arial"/>
                <w:sz w:val="21"/>
              </w:rPr>
            </w:pPr>
          </w:p>
          <w:p w14:paraId="323A6818">
            <w:pPr>
              <w:spacing w:line="250" w:lineRule="auto"/>
              <w:rPr>
                <w:rFonts w:ascii="Arial"/>
                <w:sz w:val="21"/>
              </w:rPr>
            </w:pPr>
          </w:p>
          <w:p w14:paraId="010042A4">
            <w:pPr>
              <w:spacing w:line="250" w:lineRule="auto"/>
              <w:rPr>
                <w:rFonts w:ascii="Arial"/>
                <w:sz w:val="21"/>
              </w:rPr>
            </w:pPr>
          </w:p>
          <w:p w14:paraId="4FEC35AA">
            <w:pPr>
              <w:spacing w:line="250" w:lineRule="auto"/>
              <w:rPr>
                <w:rFonts w:ascii="Arial"/>
                <w:sz w:val="21"/>
              </w:rPr>
            </w:pPr>
          </w:p>
          <w:p w14:paraId="7ACE65B3">
            <w:pPr>
              <w:spacing w:line="250" w:lineRule="auto"/>
              <w:rPr>
                <w:rFonts w:ascii="Arial"/>
                <w:sz w:val="21"/>
              </w:rPr>
            </w:pPr>
          </w:p>
          <w:p w14:paraId="5818E233">
            <w:pPr>
              <w:spacing w:line="250" w:lineRule="auto"/>
              <w:rPr>
                <w:rFonts w:ascii="Arial"/>
                <w:sz w:val="21"/>
              </w:rPr>
            </w:pPr>
          </w:p>
          <w:p w14:paraId="56A68C8C">
            <w:pPr>
              <w:spacing w:line="250" w:lineRule="auto"/>
              <w:rPr>
                <w:rFonts w:ascii="Arial"/>
                <w:sz w:val="21"/>
              </w:rPr>
            </w:pPr>
          </w:p>
          <w:p w14:paraId="3E1AACE0">
            <w:pPr>
              <w:spacing w:line="250" w:lineRule="auto"/>
              <w:rPr>
                <w:rFonts w:ascii="Arial"/>
                <w:sz w:val="21"/>
              </w:rPr>
            </w:pPr>
          </w:p>
          <w:p w14:paraId="77A8BD88">
            <w:pPr>
              <w:spacing w:line="250" w:lineRule="auto"/>
              <w:rPr>
                <w:rFonts w:ascii="Arial"/>
                <w:sz w:val="21"/>
              </w:rPr>
            </w:pPr>
          </w:p>
          <w:p w14:paraId="51DC9857">
            <w:pPr>
              <w:pStyle w:val="9"/>
              <w:spacing w:before="69" w:line="350" w:lineRule="auto"/>
              <w:ind w:left="333" w:right="172" w:hanging="150"/>
              <w:rPr>
                <w:rFonts w:hint="eastAsia" w:eastAsia="宋体"/>
                <w:sz w:val="10"/>
                <w:szCs w:val="10"/>
                <w:lang w:eastAsia="zh-CN"/>
              </w:rPr>
            </w:pPr>
            <w:r>
              <w:rPr>
                <w:spacing w:val="-5"/>
              </w:rPr>
              <w:t>资格评审</w:t>
            </w:r>
            <w:r>
              <w:rPr>
                <w:spacing w:val="-2"/>
                <w:position w:val="-1"/>
              </w:rPr>
              <w:t>标准</w:t>
            </w:r>
          </w:p>
        </w:tc>
        <w:tc>
          <w:tcPr>
            <w:tcW w:w="7006" w:type="dxa"/>
            <w:vAlign w:val="top"/>
          </w:tcPr>
          <w:p w14:paraId="4B4975D8">
            <w:pPr>
              <w:pStyle w:val="9"/>
              <w:spacing w:before="137" w:line="352" w:lineRule="auto"/>
              <w:ind w:left="112" w:right="109" w:firstLine="5"/>
            </w:pPr>
            <w:r>
              <w:rPr>
                <w:spacing w:val="-2"/>
              </w:rPr>
              <w:t>（1）投标人具备有效的营业执照、资质证书、安全生产许可证和基本账户</w:t>
            </w:r>
            <w:r>
              <w:rPr>
                <w:spacing w:val="1"/>
              </w:rPr>
              <w:t>开户许可证（如企业所在地已取消企业银行账户许可而无法提供开户许可</w:t>
            </w:r>
            <w:r>
              <w:rPr>
                <w:spacing w:val="2"/>
              </w:rPr>
              <w:t>证的，则需附上开户银行出具的“基本存款账户信息”或</w:t>
            </w:r>
            <w:r>
              <w:rPr>
                <w:spacing w:val="1"/>
              </w:rPr>
              <w:t>“人民银行账户</w:t>
            </w:r>
            <w:r>
              <w:rPr>
                <w:spacing w:val="-4"/>
              </w:rPr>
              <w:t>管理系统查询的基本账户信息截图”</w:t>
            </w:r>
            <w:r>
              <w:rPr>
                <w:spacing w:val="4"/>
              </w:rPr>
              <w:t>）；</w:t>
            </w:r>
          </w:p>
          <w:p w14:paraId="3E0FD32E">
            <w:pPr>
              <w:pStyle w:val="9"/>
              <w:spacing w:line="219" w:lineRule="auto"/>
              <w:ind w:left="118"/>
            </w:pPr>
            <w:r>
              <w:rPr>
                <w:spacing w:val="-4"/>
              </w:rPr>
              <w:t>（2）投标人的资质等级符合招标文件规定；</w:t>
            </w:r>
          </w:p>
          <w:p w14:paraId="55716D6D">
            <w:pPr>
              <w:pStyle w:val="9"/>
              <w:spacing w:before="149" w:line="220" w:lineRule="auto"/>
              <w:ind w:left="118"/>
            </w:pPr>
            <w:r>
              <w:rPr>
                <w:spacing w:val="-4"/>
              </w:rPr>
              <w:t>（3）投标人的财务状况符合招标文件规定；</w:t>
            </w:r>
          </w:p>
          <w:p w14:paraId="27E25656">
            <w:pPr>
              <w:pStyle w:val="9"/>
              <w:spacing w:before="150" w:line="220" w:lineRule="auto"/>
              <w:ind w:left="118"/>
            </w:pPr>
            <w:r>
              <w:rPr>
                <w:spacing w:val="-3"/>
              </w:rPr>
              <w:t>（4）投标人的类似项目业绩符合招标文件规定；</w:t>
            </w:r>
          </w:p>
          <w:p w14:paraId="082BAE8A">
            <w:pPr>
              <w:pStyle w:val="9"/>
              <w:spacing w:before="150" w:line="219" w:lineRule="auto"/>
              <w:ind w:left="118"/>
            </w:pPr>
            <w:r>
              <w:rPr>
                <w:spacing w:val="-4"/>
              </w:rPr>
              <w:t>（5）投标人的信誉符合招标文件规定；</w:t>
            </w:r>
          </w:p>
          <w:p w14:paraId="676E04DC">
            <w:pPr>
              <w:pStyle w:val="9"/>
              <w:spacing w:before="152" w:line="347" w:lineRule="auto"/>
              <w:ind w:left="112" w:right="13" w:firstLine="5"/>
              <w:rPr>
                <w:sz w:val="10"/>
                <w:szCs w:val="10"/>
              </w:rPr>
            </w:pPr>
            <w:r>
              <w:rPr>
                <w:spacing w:val="-5"/>
              </w:rPr>
              <w:t>（6）投标人的项目经理</w:t>
            </w:r>
            <w:r>
              <w:rPr>
                <w:spacing w:val="-5"/>
                <w:u w:val="single" w:color="auto"/>
              </w:rPr>
              <w:t>（含备选人，如有）</w:t>
            </w:r>
            <w:r>
              <w:rPr>
                <w:spacing w:val="-5"/>
              </w:rPr>
              <w:t>和项目总工</w:t>
            </w:r>
            <w:r>
              <w:rPr>
                <w:spacing w:val="-5"/>
                <w:u w:val="single" w:color="auto"/>
              </w:rPr>
              <w:t>（含备选人，如有）</w:t>
            </w:r>
            <w:r>
              <w:rPr>
                <w:spacing w:val="1"/>
              </w:rPr>
              <w:t>资格、在岗情况符合招标文件规定，并按规定在</w:t>
            </w:r>
            <w:r>
              <w:t>投标文件中签字确认</w:t>
            </w:r>
            <w:r>
              <w:rPr>
                <w:spacing w:val="-94"/>
              </w:rPr>
              <w:t xml:space="preserve"> </w:t>
            </w:r>
            <w:r>
              <w:rPr>
                <w:spacing w:val="-80"/>
                <w:u w:val="single" w:color="auto"/>
              </w:rPr>
              <w:t xml:space="preserve"> </w:t>
            </w:r>
            <w:r>
              <w:rPr>
                <w:spacing w:val="-1"/>
              </w:rPr>
              <w:t>；</w:t>
            </w:r>
            <w:r>
              <w:rPr>
                <w:rFonts w:hint="eastAsia"/>
                <w:spacing w:val="-3"/>
              </w:rPr>
              <w:t>【注：签字，可以以加盖个人电子印章，或亲笔签名后扫描上传的任一方式操作</w:t>
            </w:r>
            <w:r>
              <w:rPr>
                <w:rFonts w:hint="eastAsia"/>
                <w:spacing w:val="-3"/>
                <w:lang w:eastAsia="zh-CN"/>
              </w:rPr>
              <w:t>】</w:t>
            </w:r>
          </w:p>
          <w:p w14:paraId="3070BBAF">
            <w:pPr>
              <w:pStyle w:val="9"/>
              <w:spacing w:line="232" w:lineRule="auto"/>
              <w:ind w:left="118"/>
              <w:rPr>
                <w:rFonts w:hint="eastAsia" w:eastAsia="宋体"/>
                <w:sz w:val="10"/>
                <w:szCs w:val="10"/>
                <w:lang w:eastAsia="zh-CN"/>
              </w:rPr>
            </w:pPr>
            <w:r>
              <w:rPr>
                <w:spacing w:val="-1"/>
              </w:rPr>
              <w:t>（7）投标人的其他要求符合招标文件规定；</w:t>
            </w:r>
          </w:p>
          <w:p w14:paraId="5005E1F6">
            <w:pPr>
              <w:pStyle w:val="9"/>
              <w:spacing w:before="151" w:line="345" w:lineRule="auto"/>
              <w:ind w:left="111" w:right="105" w:firstLine="6"/>
            </w:pPr>
            <w:r>
              <w:rPr>
                <w:spacing w:val="-3"/>
              </w:rPr>
              <w:t>（8）投标人不存在第二章“投标人须知”第</w:t>
            </w:r>
            <w:r>
              <w:rPr>
                <w:spacing w:val="-30"/>
              </w:rPr>
              <w:t xml:space="preserve"> </w:t>
            </w:r>
            <w:r>
              <w:rPr>
                <w:spacing w:val="-3"/>
              </w:rPr>
              <w:t>1.4.3</w:t>
            </w:r>
            <w:r>
              <w:rPr>
                <w:spacing w:val="-40"/>
              </w:rPr>
              <w:t xml:space="preserve"> </w:t>
            </w:r>
            <w:r>
              <w:rPr>
                <w:spacing w:val="-3"/>
              </w:rPr>
              <w:t>项或第</w:t>
            </w:r>
            <w:r>
              <w:rPr>
                <w:spacing w:val="-29"/>
              </w:rPr>
              <w:t xml:space="preserve"> </w:t>
            </w:r>
            <w:r>
              <w:rPr>
                <w:spacing w:val="-3"/>
              </w:rPr>
              <w:t>1</w:t>
            </w:r>
            <w:r>
              <w:rPr>
                <w:spacing w:val="-4"/>
              </w:rPr>
              <w:t>.4.4</w:t>
            </w:r>
            <w:r>
              <w:rPr>
                <w:spacing w:val="-41"/>
              </w:rPr>
              <w:t xml:space="preserve"> </w:t>
            </w:r>
            <w:r>
              <w:rPr>
                <w:spacing w:val="-4"/>
              </w:rPr>
              <w:t>项规定的</w:t>
            </w:r>
            <w:r>
              <w:rPr>
                <w:spacing w:val="-7"/>
              </w:rPr>
              <w:t>任何一种情形；</w:t>
            </w:r>
          </w:p>
          <w:p w14:paraId="6CB6C20E">
            <w:pPr>
              <w:pStyle w:val="9"/>
              <w:spacing w:line="231" w:lineRule="auto"/>
              <w:ind w:left="118"/>
              <w:rPr>
                <w:sz w:val="10"/>
                <w:szCs w:val="10"/>
              </w:rPr>
            </w:pPr>
            <w:r>
              <w:rPr>
                <w:spacing w:val="-3"/>
              </w:rPr>
              <w:t>（9）投标人符合第二章“投标人须知”第 1.4.5</w:t>
            </w:r>
            <w:r>
              <w:rPr>
                <w:spacing w:val="-27"/>
              </w:rPr>
              <w:t xml:space="preserve"> </w:t>
            </w:r>
            <w:r>
              <w:rPr>
                <w:spacing w:val="-3"/>
              </w:rPr>
              <w:t>项规定；</w:t>
            </w:r>
          </w:p>
          <w:p w14:paraId="32B9A5D9">
            <w:pPr>
              <w:pStyle w:val="9"/>
              <w:spacing w:before="153" w:line="309" w:lineRule="auto"/>
              <w:ind w:left="112" w:right="119" w:firstLine="5"/>
              <w:rPr>
                <w:sz w:val="10"/>
                <w:szCs w:val="10"/>
              </w:rPr>
            </w:pPr>
            <w:r>
              <w:rPr>
                <w:spacing w:val="1"/>
              </w:rPr>
              <w:t>（10）以联合体形式参与投标的，联合体各方均未再以自己名义单独或参加其他联合体在同一标段中投标；独立参与投标的，投标人未同时参加联</w:t>
            </w:r>
            <w:r>
              <w:rPr>
                <w:spacing w:val="-1"/>
              </w:rPr>
              <w:t>合体在同一标段中投标。</w:t>
            </w:r>
          </w:p>
        </w:tc>
      </w:tr>
    </w:tbl>
    <w:p w14:paraId="11866881">
      <w:pPr>
        <w:pStyle w:val="2"/>
        <w:spacing w:line="249" w:lineRule="auto"/>
      </w:pPr>
    </w:p>
    <w:p w14:paraId="0B7EF2D3">
      <w:pPr>
        <w:pStyle w:val="2"/>
        <w:spacing w:line="249" w:lineRule="auto"/>
      </w:pPr>
    </w:p>
    <w:p w14:paraId="2B76F491">
      <w:pPr>
        <w:pStyle w:val="2"/>
        <w:spacing w:line="249" w:lineRule="auto"/>
      </w:pPr>
    </w:p>
    <w:p w14:paraId="0E7EA52E">
      <w:pPr>
        <w:pStyle w:val="2"/>
        <w:spacing w:line="249" w:lineRule="auto"/>
      </w:pPr>
    </w:p>
    <w:p w14:paraId="585A2262">
      <w:pPr>
        <w:pStyle w:val="2"/>
        <w:spacing w:line="249" w:lineRule="auto"/>
      </w:pPr>
    </w:p>
    <w:p w14:paraId="199D6EDA">
      <w:pPr>
        <w:pStyle w:val="2"/>
        <w:spacing w:line="249" w:lineRule="auto"/>
      </w:pPr>
    </w:p>
    <w:p w14:paraId="37CF625C">
      <w:pPr>
        <w:pStyle w:val="2"/>
        <w:spacing w:line="249" w:lineRule="auto"/>
      </w:pPr>
    </w:p>
    <w:p w14:paraId="762EDB7C">
      <w:pPr>
        <w:pStyle w:val="2"/>
        <w:spacing w:line="249" w:lineRule="auto"/>
      </w:pPr>
    </w:p>
    <w:p w14:paraId="493526E9">
      <w:pPr>
        <w:pStyle w:val="2"/>
        <w:spacing w:line="250" w:lineRule="auto"/>
      </w:pPr>
    </w:p>
    <w:p w14:paraId="1A7659FC">
      <w:pPr>
        <w:pStyle w:val="2"/>
        <w:spacing w:line="250" w:lineRule="auto"/>
      </w:pPr>
    </w:p>
    <w:p w14:paraId="2045C849">
      <w:pPr>
        <w:pStyle w:val="2"/>
        <w:spacing w:line="250" w:lineRule="auto"/>
      </w:pPr>
    </w:p>
    <w:p w14:paraId="7EFD410A">
      <w:pPr>
        <w:pStyle w:val="2"/>
        <w:spacing w:line="250" w:lineRule="auto"/>
      </w:pPr>
    </w:p>
    <w:p w14:paraId="10613A15">
      <w:pPr>
        <w:pStyle w:val="2"/>
        <w:spacing w:line="250" w:lineRule="auto"/>
      </w:pPr>
    </w:p>
    <w:p w14:paraId="1122514D">
      <w:pPr>
        <w:spacing w:line="217" w:lineRule="auto"/>
        <w:rPr>
          <w:rFonts w:ascii="宋体" w:hAnsi="宋体" w:eastAsia="宋体" w:cs="宋体"/>
          <w:sz w:val="18"/>
          <w:szCs w:val="18"/>
        </w:rPr>
        <w:sectPr>
          <w:headerReference r:id="rId32" w:type="default"/>
          <w:footerReference r:id="rId33" w:type="default"/>
          <w:pgSz w:w="11905" w:h="16840"/>
          <w:pgMar w:top="1182" w:right="1276" w:bottom="1171" w:left="1303" w:header="849" w:footer="937" w:gutter="0"/>
          <w:pgNumType w:fmt="decimal"/>
          <w:cols w:space="720" w:num="1"/>
        </w:sectPr>
      </w:pPr>
    </w:p>
    <w:p w14:paraId="08834DF8">
      <w:pPr>
        <w:spacing w:before="110"/>
      </w:pPr>
    </w:p>
    <w:p w14:paraId="57596B2D">
      <w:pPr>
        <w:spacing w:before="109"/>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1528"/>
        <w:gridCol w:w="6657"/>
      </w:tblGrid>
      <w:tr w14:paraId="2101A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107" w:type="dxa"/>
            <w:vAlign w:val="top"/>
          </w:tcPr>
          <w:p w14:paraId="10EF6F14">
            <w:pPr>
              <w:pStyle w:val="9"/>
              <w:spacing w:before="225" w:line="220" w:lineRule="auto"/>
              <w:ind w:left="246"/>
            </w:pPr>
            <w:r>
              <w:rPr>
                <w:b/>
                <w:bCs/>
                <w:spacing w:val="-6"/>
              </w:rPr>
              <w:t>条款号</w:t>
            </w:r>
          </w:p>
        </w:tc>
        <w:tc>
          <w:tcPr>
            <w:tcW w:w="1528" w:type="dxa"/>
            <w:vAlign w:val="top"/>
          </w:tcPr>
          <w:p w14:paraId="02778C2F">
            <w:pPr>
              <w:pStyle w:val="9"/>
              <w:spacing w:before="225" w:line="220" w:lineRule="auto"/>
              <w:ind w:left="348"/>
            </w:pPr>
            <w:r>
              <w:rPr>
                <w:b/>
                <w:bCs/>
                <w:spacing w:val="-5"/>
              </w:rPr>
              <w:t>条款内容</w:t>
            </w:r>
          </w:p>
        </w:tc>
        <w:tc>
          <w:tcPr>
            <w:tcW w:w="6657" w:type="dxa"/>
            <w:vAlign w:val="top"/>
          </w:tcPr>
          <w:p w14:paraId="563628D1">
            <w:pPr>
              <w:pStyle w:val="9"/>
              <w:spacing w:before="225" w:line="220" w:lineRule="auto"/>
              <w:ind w:left="2913"/>
            </w:pPr>
            <w:r>
              <w:rPr>
                <w:b/>
                <w:bCs/>
                <w:spacing w:val="-5"/>
              </w:rPr>
              <w:t>编列内容</w:t>
            </w:r>
          </w:p>
        </w:tc>
      </w:tr>
      <w:tr w14:paraId="3809A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3" w:hRule="atLeast"/>
        </w:trPr>
        <w:tc>
          <w:tcPr>
            <w:tcW w:w="1107" w:type="dxa"/>
            <w:vAlign w:val="top"/>
          </w:tcPr>
          <w:p w14:paraId="6CC42A6A">
            <w:pPr>
              <w:spacing w:line="304" w:lineRule="auto"/>
              <w:rPr>
                <w:rFonts w:ascii="Arial"/>
                <w:sz w:val="21"/>
              </w:rPr>
            </w:pPr>
          </w:p>
          <w:p w14:paraId="7EAF96CE">
            <w:pPr>
              <w:spacing w:line="305" w:lineRule="auto"/>
              <w:rPr>
                <w:rFonts w:ascii="Arial"/>
                <w:sz w:val="21"/>
              </w:rPr>
            </w:pPr>
          </w:p>
          <w:p w14:paraId="7E71E9F4">
            <w:pPr>
              <w:spacing w:line="305" w:lineRule="auto"/>
              <w:rPr>
                <w:rFonts w:ascii="Arial"/>
                <w:sz w:val="21"/>
              </w:rPr>
            </w:pPr>
          </w:p>
          <w:p w14:paraId="39784DA2">
            <w:pPr>
              <w:pStyle w:val="9"/>
              <w:spacing w:before="68" w:line="239" w:lineRule="auto"/>
              <w:ind w:left="298"/>
            </w:pPr>
            <w:r>
              <w:rPr>
                <w:spacing w:val="-3"/>
              </w:rPr>
              <w:t>2.2.1</w:t>
            </w:r>
          </w:p>
        </w:tc>
        <w:tc>
          <w:tcPr>
            <w:tcW w:w="1528" w:type="dxa"/>
            <w:vAlign w:val="top"/>
          </w:tcPr>
          <w:p w14:paraId="6500E11D">
            <w:pPr>
              <w:spacing w:line="258" w:lineRule="auto"/>
              <w:rPr>
                <w:rFonts w:ascii="Arial"/>
                <w:sz w:val="21"/>
              </w:rPr>
            </w:pPr>
          </w:p>
          <w:p w14:paraId="226ECBCF">
            <w:pPr>
              <w:spacing w:line="258" w:lineRule="auto"/>
              <w:rPr>
                <w:rFonts w:ascii="Arial"/>
                <w:sz w:val="21"/>
              </w:rPr>
            </w:pPr>
          </w:p>
          <w:p w14:paraId="6A57C1F7">
            <w:pPr>
              <w:pStyle w:val="9"/>
              <w:spacing w:before="69" w:line="353" w:lineRule="auto"/>
              <w:ind w:left="146" w:right="69" w:hanging="10"/>
              <w:jc w:val="both"/>
            </w:pPr>
            <w:r>
              <w:rPr>
                <w:spacing w:val="-2"/>
              </w:rPr>
              <w:t>第一个信封评</w:t>
            </w:r>
            <w:r>
              <w:rPr>
                <w:spacing w:val="17"/>
              </w:rPr>
              <w:t>分分值构成</w:t>
            </w:r>
            <w:r>
              <w:t xml:space="preserve"> </w:t>
            </w:r>
            <w:r>
              <w:rPr>
                <w:rFonts w:hint="eastAsia"/>
                <w:lang w:eastAsia="zh-CN"/>
              </w:rPr>
              <w:t>（</w:t>
            </w:r>
            <w:r>
              <w:rPr>
                <w:spacing w:val="-12"/>
              </w:rPr>
              <w:t>总分</w:t>
            </w:r>
            <w:r>
              <w:rPr>
                <w:spacing w:val="-28"/>
              </w:rPr>
              <w:t xml:space="preserve"> </w:t>
            </w:r>
            <w:r>
              <w:rPr>
                <w:spacing w:val="-12"/>
              </w:rPr>
              <w:t>100</w:t>
            </w:r>
            <w:r>
              <w:rPr>
                <w:spacing w:val="-41"/>
              </w:rPr>
              <w:t xml:space="preserve"> </w:t>
            </w:r>
            <w:r>
              <w:rPr>
                <w:spacing w:val="-12"/>
              </w:rPr>
              <w:t>分）</w:t>
            </w:r>
          </w:p>
        </w:tc>
        <w:tc>
          <w:tcPr>
            <w:tcW w:w="6657" w:type="dxa"/>
            <w:vAlign w:val="top"/>
          </w:tcPr>
          <w:p w14:paraId="33C95F08">
            <w:pPr>
              <w:pStyle w:val="9"/>
              <w:spacing w:before="153" w:line="220" w:lineRule="auto"/>
              <w:ind w:left="110"/>
            </w:pPr>
            <w:r>
              <w:t>施工组织设计</w:t>
            </w:r>
            <w:r>
              <w:rPr>
                <w:u w:val="single" w:color="auto"/>
              </w:rPr>
              <w:t>及承包人项目管理方案</w:t>
            </w:r>
            <w:r>
              <w:t>（A</w:t>
            </w:r>
            <w:r>
              <w:rPr>
                <w:spacing w:val="-3"/>
              </w:rPr>
              <w:t>）：</w:t>
            </w:r>
            <w:r>
              <w:rPr>
                <w:spacing w:val="4"/>
              </w:rPr>
              <w:t xml:space="preserve">  </w:t>
            </w:r>
            <w:r>
              <w:rPr>
                <w:rFonts w:hint="eastAsia"/>
                <w:lang w:val="en-US" w:eastAsia="zh-CN"/>
              </w:rPr>
              <w:t>40</w:t>
            </w:r>
            <w:r>
              <w:t xml:space="preserve">  分</w:t>
            </w:r>
          </w:p>
          <w:p w14:paraId="43A92C29">
            <w:pPr>
              <w:pStyle w:val="9"/>
              <w:spacing w:before="170" w:line="220" w:lineRule="auto"/>
              <w:ind w:left="113"/>
            </w:pPr>
            <w:r>
              <w:rPr>
                <w:spacing w:val="-1"/>
              </w:rPr>
              <w:t>主要人员</w:t>
            </w:r>
            <w:r>
              <w:rPr>
                <w:rFonts w:hint="eastAsia"/>
                <w:spacing w:val="-1"/>
                <w:lang w:eastAsia="zh-CN"/>
              </w:rPr>
              <w:t>（</w:t>
            </w:r>
            <w:r>
              <w:rPr>
                <w:spacing w:val="-1"/>
              </w:rPr>
              <w:t>B</w:t>
            </w:r>
            <w:r>
              <w:rPr>
                <w:rFonts w:hint="eastAsia"/>
                <w:spacing w:val="-1"/>
                <w:lang w:eastAsia="zh-CN"/>
              </w:rPr>
              <w:t>）</w:t>
            </w:r>
            <w:r>
              <w:rPr>
                <w:spacing w:val="-1"/>
              </w:rPr>
              <w:t xml:space="preserve">：  </w:t>
            </w:r>
            <w:r>
              <w:rPr>
                <w:rFonts w:hint="eastAsia"/>
                <w:spacing w:val="-1"/>
                <w:lang w:val="en-US" w:eastAsia="zh-CN"/>
              </w:rPr>
              <w:t>25</w:t>
            </w:r>
            <w:r>
              <w:rPr>
                <w:spacing w:val="6"/>
              </w:rPr>
              <w:t xml:space="preserve">  </w:t>
            </w:r>
            <w:r>
              <w:rPr>
                <w:spacing w:val="-1"/>
              </w:rPr>
              <w:t>分</w:t>
            </w:r>
          </w:p>
          <w:p w14:paraId="590EA7AE">
            <w:pPr>
              <w:pStyle w:val="9"/>
              <w:spacing w:before="168" w:line="220" w:lineRule="auto"/>
              <w:ind w:left="112"/>
            </w:pPr>
            <w:r>
              <w:rPr>
                <w:spacing w:val="-6"/>
              </w:rPr>
              <w:t>其他因素</w:t>
            </w:r>
            <w:r>
              <w:rPr>
                <w:spacing w:val="47"/>
              </w:rPr>
              <w:t xml:space="preserve"> </w:t>
            </w:r>
            <w:r>
              <w:rPr>
                <w:spacing w:val="-6"/>
              </w:rPr>
              <w:t>(C)</w:t>
            </w:r>
          </w:p>
          <w:p w14:paraId="106C60AC">
            <w:pPr>
              <w:pStyle w:val="9"/>
              <w:spacing w:before="156" w:line="232" w:lineRule="auto"/>
              <w:ind w:left="112"/>
            </w:pPr>
            <w:r>
              <w:rPr>
                <w:spacing w:val="-7"/>
              </w:rPr>
              <w:t>技术能力：</w:t>
            </w:r>
            <w:r>
              <w:rPr>
                <w:spacing w:val="11"/>
              </w:rPr>
              <w:t xml:space="preserve">  </w:t>
            </w:r>
            <w:r>
              <w:rPr>
                <w:rFonts w:hint="eastAsia"/>
                <w:spacing w:val="-7"/>
                <w:lang w:val="en-US" w:eastAsia="zh-CN"/>
              </w:rPr>
              <w:t>10</w:t>
            </w:r>
            <w:r>
              <w:rPr>
                <w:spacing w:val="6"/>
              </w:rPr>
              <w:t xml:space="preserve">  </w:t>
            </w:r>
            <w:r>
              <w:rPr>
                <w:spacing w:val="-7"/>
              </w:rPr>
              <w:t>分</w:t>
            </w:r>
          </w:p>
          <w:p w14:paraId="0234B58D">
            <w:pPr>
              <w:pStyle w:val="9"/>
              <w:spacing w:before="170" w:line="219" w:lineRule="auto"/>
              <w:ind w:left="114"/>
            </w:pPr>
            <w:r>
              <w:rPr>
                <w:spacing w:val="-2"/>
              </w:rPr>
              <w:t>履约信誉：  2</w:t>
            </w:r>
            <w:r>
              <w:rPr>
                <w:rFonts w:hint="eastAsia"/>
                <w:spacing w:val="-2"/>
                <w:lang w:val="en-US" w:eastAsia="zh-CN"/>
              </w:rPr>
              <w:t>5</w:t>
            </w:r>
            <w:r>
              <w:rPr>
                <w:spacing w:val="9"/>
              </w:rPr>
              <w:t xml:space="preserve">  </w:t>
            </w:r>
            <w:r>
              <w:rPr>
                <w:spacing w:val="-2"/>
              </w:rPr>
              <w:t>分</w:t>
            </w:r>
          </w:p>
        </w:tc>
      </w:tr>
      <w:tr w14:paraId="32649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3" w:hRule="atLeast"/>
        </w:trPr>
        <w:tc>
          <w:tcPr>
            <w:tcW w:w="1107" w:type="dxa"/>
            <w:vAlign w:val="top"/>
          </w:tcPr>
          <w:p w14:paraId="1C39967B">
            <w:pPr>
              <w:spacing w:line="249" w:lineRule="auto"/>
              <w:rPr>
                <w:rFonts w:ascii="Arial"/>
                <w:sz w:val="21"/>
              </w:rPr>
            </w:pPr>
          </w:p>
          <w:p w14:paraId="2F45CF73">
            <w:pPr>
              <w:spacing w:line="249" w:lineRule="auto"/>
              <w:rPr>
                <w:rFonts w:ascii="Arial"/>
                <w:sz w:val="21"/>
              </w:rPr>
            </w:pPr>
          </w:p>
          <w:p w14:paraId="481F78F8">
            <w:pPr>
              <w:spacing w:line="249" w:lineRule="auto"/>
              <w:rPr>
                <w:rFonts w:ascii="Arial"/>
                <w:sz w:val="21"/>
              </w:rPr>
            </w:pPr>
          </w:p>
          <w:p w14:paraId="24D2F64D">
            <w:pPr>
              <w:spacing w:line="249" w:lineRule="auto"/>
              <w:rPr>
                <w:rFonts w:ascii="Arial"/>
                <w:sz w:val="21"/>
              </w:rPr>
            </w:pPr>
          </w:p>
          <w:p w14:paraId="700C88B4">
            <w:pPr>
              <w:spacing w:line="250" w:lineRule="auto"/>
              <w:rPr>
                <w:rFonts w:ascii="Arial"/>
                <w:sz w:val="21"/>
              </w:rPr>
            </w:pPr>
          </w:p>
          <w:p w14:paraId="5A1A50DE">
            <w:pPr>
              <w:spacing w:line="250" w:lineRule="auto"/>
              <w:rPr>
                <w:rFonts w:ascii="Arial"/>
                <w:sz w:val="21"/>
              </w:rPr>
            </w:pPr>
          </w:p>
          <w:p w14:paraId="6B15FD80">
            <w:pPr>
              <w:spacing w:line="250" w:lineRule="auto"/>
              <w:rPr>
                <w:rFonts w:ascii="Arial"/>
                <w:sz w:val="21"/>
              </w:rPr>
            </w:pPr>
          </w:p>
          <w:p w14:paraId="5C01387C">
            <w:pPr>
              <w:spacing w:line="250" w:lineRule="auto"/>
              <w:rPr>
                <w:rFonts w:ascii="Arial"/>
                <w:sz w:val="21"/>
              </w:rPr>
            </w:pPr>
          </w:p>
          <w:p w14:paraId="1C795AA6">
            <w:pPr>
              <w:spacing w:line="250" w:lineRule="auto"/>
              <w:rPr>
                <w:rFonts w:ascii="Arial"/>
                <w:sz w:val="21"/>
              </w:rPr>
            </w:pPr>
          </w:p>
          <w:p w14:paraId="7EA821DB">
            <w:pPr>
              <w:spacing w:line="250" w:lineRule="auto"/>
              <w:rPr>
                <w:rFonts w:ascii="Arial"/>
                <w:sz w:val="21"/>
              </w:rPr>
            </w:pPr>
          </w:p>
          <w:p w14:paraId="61438E79">
            <w:pPr>
              <w:pStyle w:val="9"/>
              <w:spacing w:before="68" w:line="239" w:lineRule="auto"/>
              <w:ind w:left="298"/>
            </w:pPr>
            <w:r>
              <w:rPr>
                <w:spacing w:val="-3"/>
              </w:rPr>
              <w:t>2.2.3</w:t>
            </w:r>
          </w:p>
        </w:tc>
        <w:tc>
          <w:tcPr>
            <w:tcW w:w="1528" w:type="dxa"/>
            <w:vAlign w:val="top"/>
          </w:tcPr>
          <w:p w14:paraId="0864C9A5">
            <w:pPr>
              <w:spacing w:line="255" w:lineRule="auto"/>
              <w:rPr>
                <w:rFonts w:ascii="Arial"/>
                <w:sz w:val="21"/>
              </w:rPr>
            </w:pPr>
          </w:p>
          <w:p w14:paraId="220F25E2">
            <w:pPr>
              <w:spacing w:line="255" w:lineRule="auto"/>
              <w:rPr>
                <w:rFonts w:ascii="Arial"/>
                <w:sz w:val="21"/>
              </w:rPr>
            </w:pPr>
          </w:p>
          <w:p w14:paraId="7326667E">
            <w:pPr>
              <w:spacing w:line="255" w:lineRule="auto"/>
              <w:rPr>
                <w:rFonts w:ascii="Arial"/>
                <w:sz w:val="21"/>
              </w:rPr>
            </w:pPr>
          </w:p>
          <w:p w14:paraId="4448DB38">
            <w:pPr>
              <w:spacing w:line="255" w:lineRule="auto"/>
              <w:rPr>
                <w:rFonts w:ascii="Arial"/>
                <w:sz w:val="21"/>
              </w:rPr>
            </w:pPr>
          </w:p>
          <w:p w14:paraId="264C5C1B">
            <w:pPr>
              <w:spacing w:line="255" w:lineRule="auto"/>
              <w:rPr>
                <w:rFonts w:ascii="Arial"/>
                <w:sz w:val="21"/>
              </w:rPr>
            </w:pPr>
          </w:p>
          <w:p w14:paraId="787BC4A8">
            <w:pPr>
              <w:spacing w:line="255" w:lineRule="auto"/>
              <w:rPr>
                <w:rFonts w:ascii="Arial"/>
                <w:sz w:val="21"/>
              </w:rPr>
            </w:pPr>
          </w:p>
          <w:p w14:paraId="3DD34442">
            <w:pPr>
              <w:spacing w:line="255" w:lineRule="auto"/>
              <w:rPr>
                <w:rFonts w:ascii="Arial"/>
                <w:sz w:val="21"/>
              </w:rPr>
            </w:pPr>
          </w:p>
          <w:p w14:paraId="2C20FB32">
            <w:pPr>
              <w:spacing w:line="256" w:lineRule="auto"/>
              <w:rPr>
                <w:rFonts w:ascii="Arial"/>
                <w:sz w:val="21"/>
              </w:rPr>
            </w:pPr>
          </w:p>
          <w:p w14:paraId="32F19834">
            <w:pPr>
              <w:spacing w:line="256" w:lineRule="auto"/>
              <w:rPr>
                <w:rFonts w:ascii="Arial"/>
                <w:sz w:val="21"/>
              </w:rPr>
            </w:pPr>
          </w:p>
          <w:p w14:paraId="79E95412">
            <w:pPr>
              <w:pStyle w:val="9"/>
              <w:spacing w:before="68" w:line="354" w:lineRule="auto"/>
              <w:ind w:left="241" w:right="134" w:hanging="105"/>
            </w:pPr>
            <w:r>
              <w:rPr>
                <w:spacing w:val="-2"/>
              </w:rPr>
              <w:t>第二个信封详细评审标准</w:t>
            </w:r>
          </w:p>
        </w:tc>
        <w:tc>
          <w:tcPr>
            <w:tcW w:w="6657" w:type="dxa"/>
            <w:vAlign w:val="top"/>
          </w:tcPr>
          <w:p w14:paraId="2044A2EC">
            <w:pPr>
              <w:pStyle w:val="9"/>
              <w:spacing w:before="172" w:line="218" w:lineRule="auto"/>
              <w:ind w:left="110"/>
            </w:pPr>
            <w:r>
              <w:rPr>
                <w:spacing w:val="-7"/>
              </w:rPr>
              <w:t>评标价的评审：</w:t>
            </w:r>
          </w:p>
          <w:p w14:paraId="7FCAD6B3">
            <w:pPr>
              <w:pStyle w:val="9"/>
              <w:spacing w:before="191" w:line="218" w:lineRule="auto"/>
              <w:ind w:left="148"/>
            </w:pPr>
            <w:r>
              <w:rPr>
                <w:spacing w:val="-8"/>
              </w:rPr>
              <w:t>(1)评标价计算公式：</w:t>
            </w:r>
          </w:p>
          <w:p w14:paraId="64445400">
            <w:pPr>
              <w:pStyle w:val="9"/>
              <w:spacing w:before="176" w:line="387" w:lineRule="auto"/>
              <w:ind w:left="115" w:right="107" w:hanging="5"/>
            </w:pPr>
            <w:r>
              <w:rPr>
                <w:spacing w:val="1"/>
              </w:rPr>
              <w:t>评标价=</w:t>
            </w:r>
            <w:r>
              <w:rPr>
                <w:spacing w:val="1"/>
                <w:u w:val="single" w:color="auto"/>
              </w:rPr>
              <w:t>修正后的投标总报价-暂估价-暂列金额（不含计日工总额）-</w:t>
            </w:r>
            <w:r>
              <w:rPr>
                <w:spacing w:val="-2"/>
                <w:u w:val="single" w:color="auto"/>
              </w:rPr>
              <w:t>安全生产费</w:t>
            </w:r>
          </w:p>
          <w:p w14:paraId="3344DF3C">
            <w:pPr>
              <w:pStyle w:val="9"/>
              <w:spacing w:before="6" w:line="368" w:lineRule="auto"/>
              <w:ind w:left="109" w:right="103" w:firstLine="422"/>
              <w:jc w:val="both"/>
            </w:pPr>
            <w:r>
              <w:rPr>
                <w:spacing w:val="1"/>
              </w:rPr>
              <w:t>若投标人的评标价小于最高投标限价85％的，应在投标文件中作</w:t>
            </w:r>
            <w:r>
              <w:rPr>
                <w:spacing w:val="-2"/>
              </w:rPr>
              <w:t>出说明并提供相关证明材料（如主要材料/设</w:t>
            </w:r>
            <w:r>
              <w:rPr>
                <w:spacing w:val="-3"/>
              </w:rPr>
              <w:t>备采购意向书/合同、人工</w:t>
            </w:r>
            <w:r>
              <w:rPr>
                <w:spacing w:val="-2"/>
              </w:rPr>
              <w:t>费计算依据、关键分包成本、管理费计算说明等</w:t>
            </w:r>
            <w:r>
              <w:rPr>
                <w:spacing w:val="-8"/>
              </w:rPr>
              <w:t>），</w:t>
            </w:r>
            <w:r>
              <w:rPr>
                <w:spacing w:val="-2"/>
              </w:rPr>
              <w:t>投标人不能合理说</w:t>
            </w:r>
            <w:r>
              <w:rPr>
                <w:spacing w:val="-3"/>
              </w:rPr>
              <w:t>明或者不能提供相关证明资料的，评标委员会认定该投标人以低于成本</w:t>
            </w:r>
            <w:r>
              <w:rPr>
                <w:spacing w:val="-6"/>
              </w:rPr>
              <w:t>报价竞标，否决其投标。当所有投标人的投标因此种情况被否决； 或当</w:t>
            </w:r>
            <w:r>
              <w:rPr>
                <w:spacing w:val="-3"/>
              </w:rPr>
              <w:t>因此种情况被否决部分投标人后，有效投标人不足三家，评标委员会认为竞争不足的情况出现时，评标委员会可以否决全部投标。未否决全部</w:t>
            </w:r>
            <w:r>
              <w:rPr>
                <w:spacing w:val="-1"/>
              </w:rPr>
              <w:t>投标的，评标委员会应当在评标报告中阐明理由并推</w:t>
            </w:r>
            <w:r>
              <w:rPr>
                <w:spacing w:val="-2"/>
              </w:rPr>
              <w:t>荐中标候选人。</w:t>
            </w:r>
          </w:p>
        </w:tc>
      </w:tr>
      <w:tr w14:paraId="177B6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0" w:hRule="atLeast"/>
        </w:trPr>
        <w:tc>
          <w:tcPr>
            <w:tcW w:w="1107" w:type="dxa"/>
            <w:vAlign w:val="top"/>
          </w:tcPr>
          <w:p w14:paraId="77CEDEC6">
            <w:pPr>
              <w:spacing w:line="253" w:lineRule="auto"/>
              <w:rPr>
                <w:rFonts w:ascii="Arial"/>
                <w:sz w:val="21"/>
              </w:rPr>
            </w:pPr>
          </w:p>
          <w:p w14:paraId="508D5E8E">
            <w:pPr>
              <w:spacing w:line="253" w:lineRule="auto"/>
              <w:rPr>
                <w:rFonts w:ascii="Arial"/>
                <w:sz w:val="21"/>
              </w:rPr>
            </w:pPr>
          </w:p>
          <w:p w14:paraId="7BA20DD2">
            <w:pPr>
              <w:spacing w:line="254" w:lineRule="auto"/>
              <w:rPr>
                <w:rFonts w:ascii="Arial"/>
                <w:sz w:val="21"/>
              </w:rPr>
            </w:pPr>
          </w:p>
          <w:p w14:paraId="1BBA4F7E">
            <w:pPr>
              <w:pStyle w:val="9"/>
              <w:spacing w:before="68" w:line="239" w:lineRule="auto"/>
              <w:ind w:left="300"/>
            </w:pPr>
            <w:r>
              <w:rPr>
                <w:spacing w:val="-3"/>
              </w:rPr>
              <w:t>3.2.4</w:t>
            </w:r>
          </w:p>
        </w:tc>
        <w:tc>
          <w:tcPr>
            <w:tcW w:w="1528" w:type="dxa"/>
            <w:vAlign w:val="top"/>
          </w:tcPr>
          <w:p w14:paraId="6ADF13FE">
            <w:pPr>
              <w:spacing w:line="363" w:lineRule="auto"/>
              <w:rPr>
                <w:rFonts w:ascii="Arial"/>
                <w:sz w:val="21"/>
              </w:rPr>
            </w:pPr>
          </w:p>
          <w:p w14:paraId="097A3FA2">
            <w:pPr>
              <w:pStyle w:val="9"/>
              <w:spacing w:before="68" w:line="353" w:lineRule="auto"/>
              <w:ind w:left="136" w:right="134"/>
              <w:jc w:val="both"/>
            </w:pPr>
            <w:r>
              <w:rPr>
                <w:spacing w:val="-2"/>
              </w:rPr>
              <w:t>通过第一个信封详细评审的</w:t>
            </w:r>
            <w:r>
              <w:rPr>
                <w:spacing w:val="19"/>
              </w:rPr>
              <w:t>投标人数量</w:t>
            </w:r>
          </w:p>
        </w:tc>
        <w:tc>
          <w:tcPr>
            <w:tcW w:w="6657" w:type="dxa"/>
            <w:vAlign w:val="top"/>
          </w:tcPr>
          <w:p w14:paraId="7522500D">
            <w:pPr>
              <w:pStyle w:val="9"/>
              <w:spacing w:before="232" w:line="350" w:lineRule="auto"/>
              <w:ind w:left="115" w:right="106" w:firstLine="417"/>
              <w:rPr>
                <w:sz w:val="10"/>
                <w:szCs w:val="10"/>
              </w:rPr>
            </w:pPr>
            <w:r>
              <w:rPr>
                <w:spacing w:val="-4"/>
              </w:rPr>
              <w:t>按照投标人的商务和技术得分由高到低排序，选择</w:t>
            </w:r>
            <w:r>
              <w:rPr>
                <w:spacing w:val="-4"/>
                <w:u w:val="single" w:color="auto"/>
              </w:rPr>
              <w:t>前</w:t>
            </w:r>
            <w:r>
              <w:rPr>
                <w:spacing w:val="-27"/>
                <w:u w:val="single" w:color="auto"/>
              </w:rPr>
              <w:t xml:space="preserve"> </w:t>
            </w:r>
            <w:r>
              <w:rPr>
                <w:spacing w:val="-4"/>
                <w:u w:val="single" w:color="auto"/>
              </w:rPr>
              <w:t>5</w:t>
            </w:r>
            <w:r>
              <w:rPr>
                <w:spacing w:val="-41"/>
                <w:u w:val="single" w:color="auto"/>
              </w:rPr>
              <w:t xml:space="preserve"> </w:t>
            </w:r>
            <w:r>
              <w:rPr>
                <w:spacing w:val="-4"/>
                <w:u w:val="single" w:color="auto"/>
              </w:rPr>
              <w:t>名（不少于</w:t>
            </w:r>
            <w:r>
              <w:rPr>
                <w:spacing w:val="-2"/>
                <w:u w:val="single" w:color="auto"/>
              </w:rPr>
              <w:t>3</w:t>
            </w:r>
            <w:r>
              <w:rPr>
                <w:spacing w:val="-36"/>
                <w:u w:val="single" w:color="auto"/>
              </w:rPr>
              <w:t xml:space="preserve"> </w:t>
            </w:r>
            <w:r>
              <w:rPr>
                <w:spacing w:val="-2"/>
                <w:u w:val="single" w:color="auto"/>
              </w:rPr>
              <w:t>名但不足</w:t>
            </w:r>
            <w:r>
              <w:rPr>
                <w:spacing w:val="-40"/>
                <w:u w:val="single" w:color="auto"/>
              </w:rPr>
              <w:t xml:space="preserve"> </w:t>
            </w:r>
            <w:r>
              <w:rPr>
                <w:spacing w:val="-2"/>
                <w:u w:val="single" w:color="auto"/>
              </w:rPr>
              <w:t>5</w:t>
            </w:r>
            <w:r>
              <w:rPr>
                <w:spacing w:val="-42"/>
                <w:u w:val="single" w:color="auto"/>
              </w:rPr>
              <w:t xml:space="preserve"> </w:t>
            </w:r>
            <w:r>
              <w:rPr>
                <w:spacing w:val="-2"/>
                <w:u w:val="single" w:color="auto"/>
              </w:rPr>
              <w:t>名时，按全部实际数量）</w:t>
            </w:r>
            <w:r>
              <w:rPr>
                <w:spacing w:val="-2"/>
              </w:rPr>
              <w:t>通过详细评审。</w:t>
            </w:r>
          </w:p>
          <w:p w14:paraId="7514E3A9">
            <w:pPr>
              <w:pStyle w:val="9"/>
              <w:spacing w:before="5" w:line="328" w:lineRule="auto"/>
              <w:ind w:left="121" w:right="107" w:hanging="10"/>
            </w:pPr>
            <w:r>
              <w:rPr>
                <w:spacing w:val="-3"/>
              </w:rPr>
              <w:t>注：</w:t>
            </w:r>
            <w:r>
              <w:rPr>
                <w:rFonts w:hint="eastAsia"/>
                <w:spacing w:val="-3"/>
              </w:rPr>
              <w:t>上述“名次”包含了并列的情况；如名次为1,1,3,4,5，则前5名</w:t>
            </w:r>
            <w:r>
              <w:rPr>
                <w:spacing w:val="-3"/>
              </w:rPr>
              <w:t>排名</w:t>
            </w:r>
            <w:r>
              <w:rPr>
                <w:rFonts w:hint="eastAsia"/>
                <w:spacing w:val="-3"/>
              </w:rPr>
              <w:t>为5家投标人；如名次为1,2,3,4,5,5，则前5名为6家投标人，下同。</w:t>
            </w:r>
            <w:r>
              <w:rPr>
                <w:rFonts w:hint="eastAsia"/>
                <w:spacing w:val="-3"/>
                <w:lang w:eastAsia="zh-CN"/>
              </w:rPr>
              <w:t>；</w:t>
            </w:r>
            <w:r>
              <w:rPr>
                <w:spacing w:val="-3"/>
              </w:rPr>
              <w:t>不在上述范围内的投标人不参与第二个信封（报价文件）的评</w:t>
            </w:r>
            <w:r>
              <w:rPr>
                <w:spacing w:val="-5"/>
              </w:rPr>
              <w:t>审，但不否决其投标。</w:t>
            </w:r>
          </w:p>
        </w:tc>
      </w:tr>
    </w:tbl>
    <w:p w14:paraId="0D03BD96">
      <w:pPr>
        <w:pStyle w:val="2"/>
        <w:spacing w:line="262" w:lineRule="auto"/>
      </w:pPr>
    </w:p>
    <w:p w14:paraId="5A0FCB73">
      <w:pPr>
        <w:pStyle w:val="2"/>
        <w:spacing w:line="262" w:lineRule="auto"/>
      </w:pPr>
    </w:p>
    <w:p w14:paraId="326115F4">
      <w:pPr>
        <w:pStyle w:val="2"/>
        <w:spacing w:line="262" w:lineRule="auto"/>
      </w:pPr>
    </w:p>
    <w:p w14:paraId="194F920B">
      <w:pPr>
        <w:pStyle w:val="2"/>
        <w:spacing w:line="262" w:lineRule="auto"/>
      </w:pPr>
    </w:p>
    <w:p w14:paraId="25AE3487">
      <w:pPr>
        <w:pStyle w:val="2"/>
        <w:spacing w:line="262" w:lineRule="auto"/>
      </w:pPr>
    </w:p>
    <w:p w14:paraId="1A2B8A64">
      <w:pPr>
        <w:pStyle w:val="2"/>
        <w:spacing w:line="263" w:lineRule="auto"/>
      </w:pPr>
    </w:p>
    <w:p w14:paraId="5FF262B0">
      <w:pPr>
        <w:rPr>
          <w:rFonts w:ascii="宋体" w:hAnsi="宋体" w:eastAsia="宋体" w:cs="宋体"/>
          <w:sz w:val="18"/>
          <w:szCs w:val="18"/>
        </w:rPr>
        <w:sectPr>
          <w:footerReference r:id="rId34" w:type="default"/>
          <w:pgSz w:w="11905" w:h="16840"/>
          <w:pgMar w:top="1182" w:right="1303" w:bottom="1171" w:left="1303" w:header="849" w:footer="937" w:gutter="0"/>
          <w:pgNumType w:fmt="decimal"/>
          <w:cols w:space="720" w:num="1"/>
        </w:sectPr>
      </w:pPr>
    </w:p>
    <w:p w14:paraId="53EFE92E">
      <w:pPr>
        <w:spacing w:before="110"/>
      </w:pPr>
    </w:p>
    <w:p w14:paraId="1A18A316">
      <w:pPr>
        <w:spacing w:before="109"/>
      </w:pPr>
    </w:p>
    <w:tbl>
      <w:tblPr>
        <w:tblStyle w:val="8"/>
        <w:tblW w:w="9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857"/>
        <w:gridCol w:w="1117"/>
        <w:gridCol w:w="1103"/>
        <w:gridCol w:w="807"/>
        <w:gridCol w:w="5235"/>
      </w:tblGrid>
      <w:tr w14:paraId="6B3ED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641" w:type="dxa"/>
            <w:gridSpan w:val="5"/>
            <w:vAlign w:val="top"/>
          </w:tcPr>
          <w:p w14:paraId="4ACE4B8A">
            <w:pPr>
              <w:pStyle w:val="9"/>
              <w:spacing w:before="181" w:line="220" w:lineRule="auto"/>
              <w:ind w:left="1381"/>
            </w:pPr>
            <w:r>
              <w:rPr>
                <w:b/>
                <w:bCs/>
                <w:spacing w:val="-3"/>
              </w:rPr>
              <w:t>评分因素与权重分值</w:t>
            </w:r>
          </w:p>
        </w:tc>
        <w:tc>
          <w:tcPr>
            <w:tcW w:w="5235" w:type="dxa"/>
            <w:vMerge w:val="restart"/>
            <w:tcBorders>
              <w:bottom w:val="nil"/>
            </w:tcBorders>
            <w:vAlign w:val="top"/>
          </w:tcPr>
          <w:p w14:paraId="75D563D2">
            <w:pPr>
              <w:spacing w:line="427" w:lineRule="auto"/>
              <w:rPr>
                <w:rFonts w:ascii="Arial"/>
                <w:sz w:val="21"/>
              </w:rPr>
            </w:pPr>
          </w:p>
          <w:p w14:paraId="5CADA691">
            <w:pPr>
              <w:pStyle w:val="9"/>
              <w:spacing w:before="69" w:line="220" w:lineRule="auto"/>
              <w:ind w:left="2200"/>
            </w:pPr>
            <w:r>
              <w:rPr>
                <w:b/>
                <w:bCs/>
                <w:spacing w:val="-4"/>
              </w:rPr>
              <w:t>评分标准</w:t>
            </w:r>
          </w:p>
        </w:tc>
      </w:tr>
      <w:tr w14:paraId="28E2C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7" w:type="dxa"/>
            <w:vAlign w:val="top"/>
          </w:tcPr>
          <w:p w14:paraId="7860504A">
            <w:pPr>
              <w:pStyle w:val="9"/>
              <w:spacing w:before="49" w:line="250" w:lineRule="auto"/>
              <w:ind w:left="282" w:right="165" w:hanging="107"/>
            </w:pPr>
            <w:r>
              <w:rPr>
                <w:b/>
                <w:bCs/>
                <w:spacing w:val="-7"/>
              </w:rPr>
              <w:t>条款</w:t>
            </w:r>
            <w:r>
              <w:rPr>
                <w:b/>
                <w:bCs/>
                <w:spacing w:val="-3"/>
              </w:rPr>
              <w:t>号</w:t>
            </w:r>
          </w:p>
        </w:tc>
        <w:tc>
          <w:tcPr>
            <w:tcW w:w="857" w:type="dxa"/>
            <w:vAlign w:val="top"/>
          </w:tcPr>
          <w:p w14:paraId="5633A910">
            <w:pPr>
              <w:pStyle w:val="9"/>
              <w:spacing w:before="49" w:line="250" w:lineRule="auto"/>
              <w:ind w:left="328" w:right="112" w:hanging="213"/>
            </w:pPr>
            <w:r>
              <w:rPr>
                <w:b/>
                <w:bCs/>
                <w:spacing w:val="-5"/>
              </w:rPr>
              <w:t>评分因</w:t>
            </w:r>
            <w:r>
              <w:rPr>
                <w:b/>
                <w:bCs/>
                <w:spacing w:val="-3"/>
              </w:rPr>
              <w:t>素</w:t>
            </w:r>
          </w:p>
        </w:tc>
        <w:tc>
          <w:tcPr>
            <w:tcW w:w="1117" w:type="dxa"/>
            <w:vAlign w:val="top"/>
          </w:tcPr>
          <w:p w14:paraId="333D10AD">
            <w:pPr>
              <w:pStyle w:val="9"/>
              <w:spacing w:before="49" w:line="220" w:lineRule="auto"/>
              <w:ind w:left="140"/>
            </w:pPr>
            <w:r>
              <w:rPr>
                <w:b/>
                <w:bCs/>
                <w:spacing w:val="-4"/>
              </w:rPr>
              <w:t>评分因素</w:t>
            </w:r>
          </w:p>
          <w:p w14:paraId="1F32E64A">
            <w:pPr>
              <w:pStyle w:val="9"/>
              <w:spacing w:before="61" w:line="220" w:lineRule="auto"/>
              <w:ind w:left="140"/>
            </w:pPr>
            <w:r>
              <w:rPr>
                <w:b/>
                <w:bCs/>
                <w:spacing w:val="-4"/>
              </w:rPr>
              <w:t>权重分值</w:t>
            </w:r>
          </w:p>
        </w:tc>
        <w:tc>
          <w:tcPr>
            <w:tcW w:w="1103" w:type="dxa"/>
            <w:vAlign w:val="top"/>
          </w:tcPr>
          <w:p w14:paraId="69015FB9">
            <w:pPr>
              <w:pStyle w:val="9"/>
              <w:spacing w:before="50" w:line="220" w:lineRule="auto"/>
              <w:ind w:left="137"/>
            </w:pPr>
            <w:r>
              <w:rPr>
                <w:b/>
                <w:bCs/>
                <w:spacing w:val="-5"/>
              </w:rPr>
              <w:t>各评分因</w:t>
            </w:r>
          </w:p>
          <w:p w14:paraId="67C0D1F2">
            <w:pPr>
              <w:pStyle w:val="9"/>
              <w:spacing w:before="60" w:line="220" w:lineRule="auto"/>
              <w:ind w:left="137"/>
            </w:pPr>
            <w:r>
              <w:rPr>
                <w:b/>
                <w:bCs/>
                <w:spacing w:val="-5"/>
              </w:rPr>
              <w:t>素细分项</w:t>
            </w:r>
          </w:p>
        </w:tc>
        <w:tc>
          <w:tcPr>
            <w:tcW w:w="807" w:type="dxa"/>
            <w:vAlign w:val="top"/>
          </w:tcPr>
          <w:p w14:paraId="522780B5">
            <w:pPr>
              <w:pStyle w:val="9"/>
              <w:spacing w:before="205" w:line="220" w:lineRule="auto"/>
              <w:ind w:left="201"/>
            </w:pPr>
            <w:r>
              <w:rPr>
                <w:b/>
                <w:bCs/>
                <w:spacing w:val="-5"/>
              </w:rPr>
              <w:t>分值</w:t>
            </w:r>
          </w:p>
        </w:tc>
        <w:tc>
          <w:tcPr>
            <w:tcW w:w="5235" w:type="dxa"/>
            <w:vMerge w:val="continue"/>
            <w:tcBorders>
              <w:top w:val="nil"/>
            </w:tcBorders>
            <w:vAlign w:val="top"/>
          </w:tcPr>
          <w:p w14:paraId="0A751D1D">
            <w:pPr>
              <w:rPr>
                <w:rFonts w:ascii="Arial"/>
                <w:sz w:val="21"/>
              </w:rPr>
            </w:pPr>
          </w:p>
        </w:tc>
      </w:tr>
      <w:tr w14:paraId="11AA8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4" w:hRule="atLeast"/>
        </w:trPr>
        <w:tc>
          <w:tcPr>
            <w:tcW w:w="757" w:type="dxa"/>
            <w:vMerge w:val="restart"/>
            <w:tcBorders>
              <w:bottom w:val="nil"/>
            </w:tcBorders>
            <w:vAlign w:val="top"/>
          </w:tcPr>
          <w:p w14:paraId="4A9FABD2">
            <w:pPr>
              <w:spacing w:line="243" w:lineRule="auto"/>
              <w:rPr>
                <w:rFonts w:ascii="Arial"/>
                <w:sz w:val="21"/>
              </w:rPr>
            </w:pPr>
          </w:p>
          <w:p w14:paraId="68A64CE3">
            <w:pPr>
              <w:spacing w:line="243" w:lineRule="auto"/>
              <w:rPr>
                <w:rFonts w:ascii="Arial"/>
                <w:sz w:val="21"/>
              </w:rPr>
            </w:pPr>
          </w:p>
          <w:p w14:paraId="6FE8400F">
            <w:pPr>
              <w:spacing w:line="243" w:lineRule="auto"/>
              <w:rPr>
                <w:rFonts w:ascii="Arial"/>
                <w:sz w:val="21"/>
              </w:rPr>
            </w:pPr>
          </w:p>
          <w:p w14:paraId="4CC33465">
            <w:pPr>
              <w:spacing w:line="243" w:lineRule="auto"/>
              <w:rPr>
                <w:rFonts w:ascii="Arial"/>
                <w:sz w:val="21"/>
              </w:rPr>
            </w:pPr>
          </w:p>
          <w:p w14:paraId="43254715">
            <w:pPr>
              <w:spacing w:line="243" w:lineRule="auto"/>
              <w:rPr>
                <w:rFonts w:ascii="Arial"/>
                <w:sz w:val="21"/>
              </w:rPr>
            </w:pPr>
          </w:p>
          <w:p w14:paraId="6256B827">
            <w:pPr>
              <w:spacing w:line="243" w:lineRule="auto"/>
              <w:rPr>
                <w:rFonts w:ascii="Arial"/>
                <w:sz w:val="21"/>
              </w:rPr>
            </w:pPr>
          </w:p>
          <w:p w14:paraId="532F193B">
            <w:pPr>
              <w:spacing w:line="243" w:lineRule="auto"/>
              <w:rPr>
                <w:rFonts w:ascii="Arial"/>
                <w:sz w:val="21"/>
              </w:rPr>
            </w:pPr>
          </w:p>
          <w:p w14:paraId="1D203831">
            <w:pPr>
              <w:spacing w:line="243" w:lineRule="auto"/>
              <w:rPr>
                <w:rFonts w:ascii="Arial"/>
                <w:sz w:val="21"/>
              </w:rPr>
            </w:pPr>
          </w:p>
          <w:p w14:paraId="65A82BFE">
            <w:pPr>
              <w:spacing w:line="243" w:lineRule="auto"/>
              <w:rPr>
                <w:rFonts w:ascii="Arial"/>
                <w:sz w:val="21"/>
              </w:rPr>
            </w:pPr>
          </w:p>
          <w:p w14:paraId="1FD231A4">
            <w:pPr>
              <w:spacing w:line="243" w:lineRule="auto"/>
              <w:rPr>
                <w:rFonts w:ascii="Arial"/>
                <w:sz w:val="21"/>
              </w:rPr>
            </w:pPr>
          </w:p>
          <w:p w14:paraId="5C09544A">
            <w:pPr>
              <w:spacing w:line="243" w:lineRule="auto"/>
              <w:rPr>
                <w:rFonts w:ascii="Arial"/>
                <w:sz w:val="21"/>
              </w:rPr>
            </w:pPr>
          </w:p>
          <w:p w14:paraId="73A9C766">
            <w:pPr>
              <w:spacing w:line="243" w:lineRule="auto"/>
              <w:rPr>
                <w:rFonts w:ascii="Arial"/>
                <w:sz w:val="21"/>
              </w:rPr>
            </w:pPr>
          </w:p>
          <w:p w14:paraId="36C0763C">
            <w:pPr>
              <w:spacing w:line="243" w:lineRule="auto"/>
              <w:rPr>
                <w:rFonts w:ascii="Arial"/>
                <w:sz w:val="21"/>
              </w:rPr>
            </w:pPr>
          </w:p>
          <w:p w14:paraId="45F0E552">
            <w:pPr>
              <w:spacing w:line="243" w:lineRule="auto"/>
              <w:rPr>
                <w:rFonts w:ascii="Arial"/>
                <w:sz w:val="21"/>
              </w:rPr>
            </w:pPr>
          </w:p>
          <w:p w14:paraId="1F68EAA8">
            <w:pPr>
              <w:spacing w:line="243" w:lineRule="auto"/>
              <w:rPr>
                <w:rFonts w:ascii="Arial"/>
                <w:sz w:val="21"/>
              </w:rPr>
            </w:pPr>
          </w:p>
          <w:p w14:paraId="4C1F6E96">
            <w:pPr>
              <w:spacing w:line="243" w:lineRule="auto"/>
              <w:rPr>
                <w:rFonts w:ascii="Arial"/>
                <w:sz w:val="21"/>
              </w:rPr>
            </w:pPr>
          </w:p>
          <w:p w14:paraId="5AA3434B">
            <w:pPr>
              <w:spacing w:line="243" w:lineRule="auto"/>
              <w:rPr>
                <w:rFonts w:ascii="Arial"/>
                <w:sz w:val="21"/>
              </w:rPr>
            </w:pPr>
          </w:p>
          <w:p w14:paraId="691BE46D">
            <w:pPr>
              <w:spacing w:line="243" w:lineRule="auto"/>
              <w:rPr>
                <w:rFonts w:ascii="Arial"/>
                <w:sz w:val="21"/>
              </w:rPr>
            </w:pPr>
          </w:p>
          <w:p w14:paraId="67C5ED18">
            <w:pPr>
              <w:spacing w:line="243" w:lineRule="auto"/>
              <w:rPr>
                <w:rFonts w:ascii="Arial"/>
                <w:sz w:val="21"/>
              </w:rPr>
            </w:pPr>
          </w:p>
          <w:p w14:paraId="021FAEAF">
            <w:pPr>
              <w:spacing w:line="243" w:lineRule="auto"/>
              <w:rPr>
                <w:rFonts w:ascii="Arial"/>
                <w:sz w:val="21"/>
              </w:rPr>
            </w:pPr>
          </w:p>
          <w:p w14:paraId="125F2EB7">
            <w:pPr>
              <w:spacing w:line="243" w:lineRule="auto"/>
              <w:rPr>
                <w:rFonts w:ascii="Arial"/>
                <w:sz w:val="21"/>
              </w:rPr>
            </w:pPr>
          </w:p>
          <w:p w14:paraId="0B0F96DA">
            <w:pPr>
              <w:spacing w:line="244" w:lineRule="auto"/>
              <w:rPr>
                <w:rFonts w:ascii="Arial"/>
                <w:sz w:val="21"/>
              </w:rPr>
            </w:pPr>
          </w:p>
          <w:p w14:paraId="167F522E">
            <w:pPr>
              <w:pStyle w:val="9"/>
              <w:spacing w:before="69" w:line="239" w:lineRule="auto"/>
              <w:ind w:left="123"/>
            </w:pPr>
            <w:r>
              <w:rPr>
                <w:spacing w:val="-3"/>
              </w:rPr>
              <w:t>2.2.2</w:t>
            </w:r>
          </w:p>
          <w:p w14:paraId="7865B1D0">
            <w:pPr>
              <w:pStyle w:val="9"/>
              <w:spacing w:before="127" w:line="232" w:lineRule="auto"/>
              <w:ind w:left="126"/>
            </w:pPr>
            <w:r>
              <w:rPr>
                <w:rFonts w:hint="eastAsia"/>
                <w:spacing w:val="-6"/>
                <w:lang w:eastAsia="zh-CN"/>
              </w:rPr>
              <w:t>(</w:t>
            </w:r>
            <w:r>
              <w:rPr>
                <w:spacing w:val="-6"/>
              </w:rPr>
              <w:t>1</w:t>
            </w:r>
            <w:r>
              <w:rPr>
                <w:rFonts w:hint="eastAsia"/>
                <w:spacing w:val="-6"/>
                <w:lang w:eastAsia="zh-CN"/>
              </w:rPr>
              <w:t>)</w:t>
            </w:r>
          </w:p>
        </w:tc>
        <w:tc>
          <w:tcPr>
            <w:tcW w:w="857" w:type="dxa"/>
            <w:vMerge w:val="restart"/>
            <w:tcBorders>
              <w:bottom w:val="nil"/>
            </w:tcBorders>
            <w:vAlign w:val="top"/>
          </w:tcPr>
          <w:p w14:paraId="7089731D">
            <w:pPr>
              <w:spacing w:line="252" w:lineRule="auto"/>
              <w:rPr>
                <w:rFonts w:ascii="Arial"/>
                <w:sz w:val="21"/>
              </w:rPr>
            </w:pPr>
          </w:p>
          <w:p w14:paraId="2460B3A1">
            <w:pPr>
              <w:spacing w:line="252" w:lineRule="auto"/>
              <w:rPr>
                <w:rFonts w:ascii="Arial"/>
                <w:sz w:val="21"/>
              </w:rPr>
            </w:pPr>
          </w:p>
          <w:p w14:paraId="5C70E2F1">
            <w:pPr>
              <w:spacing w:line="253" w:lineRule="auto"/>
              <w:rPr>
                <w:rFonts w:ascii="Arial"/>
                <w:sz w:val="21"/>
              </w:rPr>
            </w:pPr>
          </w:p>
          <w:p w14:paraId="748A6345">
            <w:pPr>
              <w:spacing w:line="253" w:lineRule="auto"/>
              <w:rPr>
                <w:rFonts w:ascii="Arial"/>
                <w:sz w:val="21"/>
              </w:rPr>
            </w:pPr>
          </w:p>
          <w:p w14:paraId="00D37A12">
            <w:pPr>
              <w:spacing w:line="253" w:lineRule="auto"/>
              <w:rPr>
                <w:rFonts w:ascii="Arial"/>
                <w:sz w:val="21"/>
              </w:rPr>
            </w:pPr>
          </w:p>
          <w:p w14:paraId="02581541">
            <w:pPr>
              <w:spacing w:line="253" w:lineRule="auto"/>
              <w:rPr>
                <w:rFonts w:ascii="Arial"/>
                <w:sz w:val="21"/>
              </w:rPr>
            </w:pPr>
          </w:p>
          <w:p w14:paraId="59AC2A26">
            <w:pPr>
              <w:spacing w:line="253" w:lineRule="auto"/>
              <w:rPr>
                <w:rFonts w:ascii="Arial"/>
                <w:sz w:val="21"/>
              </w:rPr>
            </w:pPr>
          </w:p>
          <w:p w14:paraId="4B63291F">
            <w:pPr>
              <w:spacing w:line="253" w:lineRule="auto"/>
              <w:rPr>
                <w:rFonts w:ascii="Arial"/>
                <w:sz w:val="21"/>
              </w:rPr>
            </w:pPr>
          </w:p>
          <w:p w14:paraId="6173C58B">
            <w:pPr>
              <w:spacing w:line="253" w:lineRule="auto"/>
              <w:rPr>
                <w:rFonts w:ascii="Arial"/>
                <w:sz w:val="21"/>
              </w:rPr>
            </w:pPr>
          </w:p>
          <w:p w14:paraId="2C3BFE0D">
            <w:pPr>
              <w:spacing w:line="253" w:lineRule="auto"/>
              <w:rPr>
                <w:rFonts w:ascii="Arial"/>
                <w:sz w:val="21"/>
              </w:rPr>
            </w:pPr>
          </w:p>
          <w:p w14:paraId="49DB8777">
            <w:pPr>
              <w:spacing w:line="253" w:lineRule="auto"/>
              <w:rPr>
                <w:rFonts w:ascii="Arial"/>
                <w:sz w:val="21"/>
              </w:rPr>
            </w:pPr>
          </w:p>
          <w:p w14:paraId="44169270">
            <w:pPr>
              <w:spacing w:line="253" w:lineRule="auto"/>
              <w:rPr>
                <w:rFonts w:ascii="Arial"/>
                <w:sz w:val="21"/>
              </w:rPr>
            </w:pPr>
          </w:p>
          <w:p w14:paraId="7C19F0B2">
            <w:pPr>
              <w:spacing w:line="253" w:lineRule="auto"/>
              <w:rPr>
                <w:rFonts w:ascii="Arial"/>
                <w:sz w:val="21"/>
              </w:rPr>
            </w:pPr>
          </w:p>
          <w:p w14:paraId="70BDDF75">
            <w:pPr>
              <w:spacing w:line="253" w:lineRule="auto"/>
              <w:rPr>
                <w:rFonts w:ascii="Arial"/>
                <w:sz w:val="21"/>
              </w:rPr>
            </w:pPr>
          </w:p>
          <w:p w14:paraId="2129C36C">
            <w:pPr>
              <w:spacing w:line="253" w:lineRule="auto"/>
              <w:rPr>
                <w:rFonts w:ascii="Arial"/>
                <w:sz w:val="21"/>
              </w:rPr>
            </w:pPr>
          </w:p>
          <w:p w14:paraId="592AD7D8">
            <w:pPr>
              <w:spacing w:line="253" w:lineRule="auto"/>
              <w:rPr>
                <w:rFonts w:ascii="Arial"/>
                <w:sz w:val="21"/>
              </w:rPr>
            </w:pPr>
          </w:p>
          <w:p w14:paraId="6702D55B">
            <w:pPr>
              <w:spacing w:line="253" w:lineRule="auto"/>
              <w:rPr>
                <w:rFonts w:ascii="Arial"/>
                <w:sz w:val="21"/>
              </w:rPr>
            </w:pPr>
          </w:p>
          <w:p w14:paraId="11D947F1">
            <w:pPr>
              <w:spacing w:line="253" w:lineRule="auto"/>
              <w:rPr>
                <w:rFonts w:ascii="Arial"/>
                <w:sz w:val="21"/>
              </w:rPr>
            </w:pPr>
          </w:p>
          <w:p w14:paraId="3E9534AA">
            <w:pPr>
              <w:pStyle w:val="9"/>
              <w:spacing w:before="69" w:line="222" w:lineRule="auto"/>
              <w:ind w:left="115"/>
            </w:pPr>
            <w:r>
              <w:rPr>
                <w:spacing w:val="-2"/>
              </w:rPr>
              <w:t>施工组</w:t>
            </w:r>
          </w:p>
          <w:p w14:paraId="621F6C50">
            <w:pPr>
              <w:pStyle w:val="9"/>
              <w:spacing w:before="147" w:line="221" w:lineRule="auto"/>
              <w:ind w:left="119"/>
            </w:pPr>
            <w:r>
              <w:rPr>
                <w:spacing w:val="-3"/>
              </w:rPr>
              <w:t>织设计</w:t>
            </w:r>
          </w:p>
          <w:p w14:paraId="4933FF09">
            <w:pPr>
              <w:pStyle w:val="9"/>
              <w:spacing w:before="147" w:line="220" w:lineRule="auto"/>
              <w:ind w:left="115"/>
            </w:pPr>
            <w:r>
              <w:rPr>
                <w:spacing w:val="-2"/>
                <w:u w:val="single" w:color="auto"/>
              </w:rPr>
              <w:t>及承包</w:t>
            </w:r>
          </w:p>
          <w:p w14:paraId="01AFB345">
            <w:pPr>
              <w:pStyle w:val="9"/>
              <w:spacing w:before="150" w:line="220" w:lineRule="auto"/>
              <w:ind w:left="117"/>
            </w:pPr>
            <w:r>
              <w:rPr>
                <w:spacing w:val="-3"/>
                <w:u w:val="single" w:color="auto"/>
              </w:rPr>
              <w:t>人项目</w:t>
            </w:r>
          </w:p>
          <w:p w14:paraId="216F9EB1">
            <w:pPr>
              <w:pStyle w:val="9"/>
              <w:spacing w:before="149" w:line="220" w:lineRule="auto"/>
              <w:ind w:left="121"/>
            </w:pPr>
            <w:r>
              <w:rPr>
                <w:spacing w:val="-3"/>
                <w:u w:val="single" w:color="auto"/>
              </w:rPr>
              <w:t>管理方</w:t>
            </w:r>
          </w:p>
          <w:p w14:paraId="7D9FCF51">
            <w:pPr>
              <w:pStyle w:val="9"/>
              <w:spacing w:before="135" w:line="233" w:lineRule="auto"/>
              <w:ind w:left="275"/>
              <w:rPr>
                <w:rFonts w:hint="eastAsia" w:eastAsia="宋体"/>
                <w:sz w:val="10"/>
                <w:szCs w:val="10"/>
                <w:lang w:eastAsia="zh-CN"/>
              </w:rPr>
            </w:pPr>
            <w:r>
              <w:rPr>
                <w:spacing w:val="-3"/>
                <w:position w:val="-2"/>
                <w:u w:val="single" w:color="auto"/>
              </w:rPr>
              <w:t>案</w:t>
            </w:r>
          </w:p>
        </w:tc>
        <w:tc>
          <w:tcPr>
            <w:tcW w:w="1117" w:type="dxa"/>
            <w:vMerge w:val="restart"/>
            <w:tcBorders>
              <w:bottom w:val="nil"/>
            </w:tcBorders>
            <w:vAlign w:val="top"/>
          </w:tcPr>
          <w:p w14:paraId="52AEF8B3">
            <w:pPr>
              <w:spacing w:line="241" w:lineRule="auto"/>
              <w:rPr>
                <w:rFonts w:ascii="Arial"/>
                <w:sz w:val="21"/>
              </w:rPr>
            </w:pPr>
          </w:p>
          <w:p w14:paraId="25EEEFE6">
            <w:pPr>
              <w:spacing w:line="241" w:lineRule="auto"/>
              <w:rPr>
                <w:rFonts w:ascii="Arial"/>
                <w:sz w:val="21"/>
              </w:rPr>
            </w:pPr>
          </w:p>
          <w:p w14:paraId="03980FC6">
            <w:pPr>
              <w:spacing w:line="241" w:lineRule="auto"/>
              <w:rPr>
                <w:rFonts w:ascii="Arial"/>
                <w:sz w:val="21"/>
              </w:rPr>
            </w:pPr>
          </w:p>
          <w:p w14:paraId="0631B008">
            <w:pPr>
              <w:spacing w:line="241" w:lineRule="auto"/>
              <w:rPr>
                <w:rFonts w:ascii="Arial"/>
                <w:sz w:val="21"/>
              </w:rPr>
            </w:pPr>
          </w:p>
          <w:p w14:paraId="737C9E76">
            <w:pPr>
              <w:spacing w:line="241" w:lineRule="auto"/>
              <w:rPr>
                <w:rFonts w:ascii="Arial"/>
                <w:sz w:val="21"/>
              </w:rPr>
            </w:pPr>
          </w:p>
          <w:p w14:paraId="0875B63C">
            <w:pPr>
              <w:spacing w:line="241" w:lineRule="auto"/>
              <w:rPr>
                <w:rFonts w:ascii="Arial"/>
                <w:sz w:val="21"/>
              </w:rPr>
            </w:pPr>
          </w:p>
          <w:p w14:paraId="12B9F66E">
            <w:pPr>
              <w:spacing w:line="241" w:lineRule="auto"/>
              <w:rPr>
                <w:rFonts w:ascii="Arial"/>
                <w:sz w:val="21"/>
              </w:rPr>
            </w:pPr>
          </w:p>
          <w:p w14:paraId="6451E57A">
            <w:pPr>
              <w:spacing w:line="241" w:lineRule="auto"/>
              <w:rPr>
                <w:rFonts w:ascii="Arial"/>
                <w:sz w:val="21"/>
              </w:rPr>
            </w:pPr>
          </w:p>
          <w:p w14:paraId="217F8404">
            <w:pPr>
              <w:spacing w:line="241" w:lineRule="auto"/>
              <w:rPr>
                <w:rFonts w:ascii="Arial"/>
                <w:sz w:val="21"/>
              </w:rPr>
            </w:pPr>
          </w:p>
          <w:p w14:paraId="6224FF70">
            <w:pPr>
              <w:spacing w:line="241" w:lineRule="auto"/>
              <w:rPr>
                <w:rFonts w:ascii="Arial"/>
                <w:sz w:val="21"/>
              </w:rPr>
            </w:pPr>
          </w:p>
          <w:p w14:paraId="2D41997E">
            <w:pPr>
              <w:spacing w:line="241" w:lineRule="auto"/>
              <w:rPr>
                <w:rFonts w:ascii="Arial"/>
                <w:sz w:val="21"/>
              </w:rPr>
            </w:pPr>
          </w:p>
          <w:p w14:paraId="3663B6E8">
            <w:pPr>
              <w:spacing w:line="241" w:lineRule="auto"/>
              <w:rPr>
                <w:rFonts w:ascii="Arial"/>
                <w:sz w:val="21"/>
              </w:rPr>
            </w:pPr>
          </w:p>
          <w:p w14:paraId="1B578167">
            <w:pPr>
              <w:spacing w:line="241" w:lineRule="auto"/>
              <w:rPr>
                <w:rFonts w:ascii="Arial"/>
                <w:sz w:val="21"/>
              </w:rPr>
            </w:pPr>
          </w:p>
          <w:p w14:paraId="2DFE5300">
            <w:pPr>
              <w:spacing w:line="241" w:lineRule="auto"/>
              <w:rPr>
                <w:rFonts w:ascii="Arial"/>
                <w:sz w:val="21"/>
              </w:rPr>
            </w:pPr>
          </w:p>
          <w:p w14:paraId="608922A2">
            <w:pPr>
              <w:spacing w:line="241" w:lineRule="auto"/>
              <w:rPr>
                <w:rFonts w:ascii="Arial"/>
                <w:sz w:val="21"/>
              </w:rPr>
            </w:pPr>
          </w:p>
          <w:p w14:paraId="47783C96">
            <w:pPr>
              <w:spacing w:line="241" w:lineRule="auto"/>
              <w:rPr>
                <w:rFonts w:ascii="Arial"/>
                <w:sz w:val="21"/>
              </w:rPr>
            </w:pPr>
          </w:p>
          <w:p w14:paraId="3404E8E8">
            <w:pPr>
              <w:spacing w:line="241" w:lineRule="auto"/>
              <w:rPr>
                <w:rFonts w:ascii="Arial"/>
                <w:sz w:val="21"/>
              </w:rPr>
            </w:pPr>
          </w:p>
          <w:p w14:paraId="3278D49B">
            <w:pPr>
              <w:spacing w:line="241" w:lineRule="auto"/>
              <w:rPr>
                <w:rFonts w:ascii="Arial"/>
                <w:sz w:val="21"/>
              </w:rPr>
            </w:pPr>
          </w:p>
          <w:p w14:paraId="75D6789A">
            <w:pPr>
              <w:spacing w:line="241" w:lineRule="auto"/>
              <w:rPr>
                <w:rFonts w:ascii="Arial"/>
                <w:sz w:val="21"/>
              </w:rPr>
            </w:pPr>
          </w:p>
          <w:p w14:paraId="4BB59255">
            <w:pPr>
              <w:spacing w:line="242" w:lineRule="auto"/>
              <w:rPr>
                <w:rFonts w:ascii="Arial"/>
                <w:sz w:val="21"/>
              </w:rPr>
            </w:pPr>
          </w:p>
          <w:p w14:paraId="2BFD9E90">
            <w:pPr>
              <w:spacing w:line="242" w:lineRule="auto"/>
              <w:rPr>
                <w:rFonts w:ascii="Arial"/>
                <w:sz w:val="21"/>
              </w:rPr>
            </w:pPr>
          </w:p>
          <w:p w14:paraId="095E70ED">
            <w:pPr>
              <w:spacing w:line="242" w:lineRule="auto"/>
              <w:rPr>
                <w:rFonts w:ascii="Arial"/>
                <w:sz w:val="21"/>
              </w:rPr>
            </w:pPr>
          </w:p>
          <w:p w14:paraId="3D78564D">
            <w:pPr>
              <w:spacing w:line="242" w:lineRule="auto"/>
              <w:rPr>
                <w:rFonts w:ascii="Arial"/>
                <w:sz w:val="21"/>
              </w:rPr>
            </w:pPr>
          </w:p>
          <w:p w14:paraId="75681CEC">
            <w:pPr>
              <w:pStyle w:val="9"/>
              <w:spacing w:before="68" w:line="220" w:lineRule="auto"/>
              <w:ind w:left="325"/>
            </w:pPr>
            <w:r>
              <w:rPr>
                <w:rFonts w:hint="eastAsia"/>
                <w:spacing w:val="-3"/>
                <w:lang w:val="en-US" w:eastAsia="zh-CN"/>
              </w:rPr>
              <w:t>40</w:t>
            </w:r>
            <w:r>
              <w:rPr>
                <w:spacing w:val="-43"/>
              </w:rPr>
              <w:t xml:space="preserve"> </w:t>
            </w:r>
            <w:r>
              <w:rPr>
                <w:spacing w:val="-3"/>
              </w:rPr>
              <w:t>分</w:t>
            </w:r>
          </w:p>
        </w:tc>
        <w:tc>
          <w:tcPr>
            <w:tcW w:w="1103" w:type="dxa"/>
            <w:vAlign w:val="top"/>
          </w:tcPr>
          <w:p w14:paraId="53BCEBA7">
            <w:pPr>
              <w:spacing w:line="293" w:lineRule="auto"/>
              <w:rPr>
                <w:rFonts w:ascii="Arial"/>
                <w:sz w:val="21"/>
              </w:rPr>
            </w:pPr>
          </w:p>
          <w:p w14:paraId="678C9B97">
            <w:pPr>
              <w:spacing w:line="293" w:lineRule="auto"/>
              <w:rPr>
                <w:rFonts w:ascii="Arial"/>
                <w:sz w:val="21"/>
              </w:rPr>
            </w:pPr>
          </w:p>
          <w:p w14:paraId="58A45547">
            <w:pPr>
              <w:spacing w:line="293" w:lineRule="auto"/>
              <w:rPr>
                <w:rFonts w:ascii="Arial"/>
                <w:sz w:val="21"/>
              </w:rPr>
            </w:pPr>
          </w:p>
          <w:p w14:paraId="63E99CBA">
            <w:pPr>
              <w:spacing w:line="294" w:lineRule="auto"/>
              <w:rPr>
                <w:rFonts w:ascii="Arial"/>
                <w:sz w:val="21"/>
              </w:rPr>
            </w:pPr>
          </w:p>
          <w:p w14:paraId="0CCD302E">
            <w:pPr>
              <w:pStyle w:val="9"/>
              <w:spacing w:before="68" w:line="354" w:lineRule="auto"/>
              <w:ind w:left="137" w:right="130" w:firstLine="3"/>
              <w:jc w:val="both"/>
            </w:pPr>
            <w:r>
              <w:rPr>
                <w:spacing w:val="-4"/>
              </w:rPr>
              <w:t>总体施工</w:t>
            </w:r>
            <w:r>
              <w:rPr>
                <w:spacing w:val="-3"/>
              </w:rPr>
              <w:t>组织布置</w:t>
            </w:r>
            <w:r>
              <w:rPr>
                <w:spacing w:val="31"/>
              </w:rPr>
              <w:t>及规划</w:t>
            </w:r>
          </w:p>
        </w:tc>
        <w:tc>
          <w:tcPr>
            <w:tcW w:w="807" w:type="dxa"/>
            <w:vAlign w:val="top"/>
          </w:tcPr>
          <w:p w14:paraId="6CE7392F">
            <w:pPr>
              <w:spacing w:line="261" w:lineRule="auto"/>
              <w:rPr>
                <w:rFonts w:ascii="Arial"/>
                <w:sz w:val="21"/>
              </w:rPr>
            </w:pPr>
          </w:p>
          <w:p w14:paraId="29FF0605">
            <w:pPr>
              <w:spacing w:line="262" w:lineRule="auto"/>
              <w:rPr>
                <w:rFonts w:ascii="Arial"/>
                <w:sz w:val="21"/>
              </w:rPr>
            </w:pPr>
          </w:p>
          <w:p w14:paraId="31FEA077">
            <w:pPr>
              <w:spacing w:line="262" w:lineRule="auto"/>
              <w:rPr>
                <w:rFonts w:ascii="Arial"/>
                <w:sz w:val="21"/>
              </w:rPr>
            </w:pPr>
          </w:p>
          <w:p w14:paraId="26080062">
            <w:pPr>
              <w:spacing w:line="262" w:lineRule="auto"/>
              <w:rPr>
                <w:rFonts w:ascii="Arial"/>
                <w:sz w:val="21"/>
              </w:rPr>
            </w:pPr>
          </w:p>
          <w:p w14:paraId="27F92131">
            <w:pPr>
              <w:spacing w:line="262" w:lineRule="auto"/>
              <w:rPr>
                <w:rFonts w:ascii="Arial"/>
                <w:sz w:val="21"/>
              </w:rPr>
            </w:pPr>
          </w:p>
          <w:p w14:paraId="44F9D84A">
            <w:pPr>
              <w:spacing w:line="262" w:lineRule="auto"/>
              <w:rPr>
                <w:rFonts w:ascii="Arial"/>
                <w:sz w:val="21"/>
              </w:rPr>
            </w:pPr>
          </w:p>
          <w:p w14:paraId="419DB733">
            <w:pPr>
              <w:pStyle w:val="9"/>
              <w:spacing w:before="68" w:line="220" w:lineRule="auto"/>
              <w:ind w:left="187"/>
            </w:pPr>
            <w:r>
              <w:rPr>
                <w:spacing w:val="-8"/>
                <w:u w:val="single" w:color="auto"/>
              </w:rPr>
              <w:t>10</w:t>
            </w:r>
            <w:r>
              <w:rPr>
                <w:spacing w:val="-44"/>
                <w:u w:val="single" w:color="auto"/>
              </w:rPr>
              <w:t xml:space="preserve"> </w:t>
            </w:r>
            <w:r>
              <w:rPr>
                <w:spacing w:val="-8"/>
              </w:rPr>
              <w:t>分</w:t>
            </w:r>
          </w:p>
        </w:tc>
        <w:tc>
          <w:tcPr>
            <w:tcW w:w="5235" w:type="dxa"/>
            <w:vAlign w:val="top"/>
          </w:tcPr>
          <w:p w14:paraId="363C5B6A">
            <w:pPr>
              <w:pStyle w:val="9"/>
              <w:spacing w:before="123" w:line="334" w:lineRule="auto"/>
              <w:ind w:left="111" w:firstLine="7"/>
            </w:pPr>
            <w:r>
              <w:rPr>
                <w:spacing w:val="-6"/>
              </w:rPr>
              <w:t>（1）对项目的基本情况了解全面、准确，</w:t>
            </w:r>
            <w:r>
              <w:rPr>
                <w:spacing w:val="73"/>
              </w:rPr>
              <w:t xml:space="preserve"> </w:t>
            </w:r>
            <w:r>
              <w:rPr>
                <w:spacing w:val="-6"/>
              </w:rPr>
              <w:t>施工总体布</w:t>
            </w:r>
            <w:r>
              <w:rPr>
                <w:spacing w:val="-10"/>
              </w:rPr>
              <w:t>置规划、施工进度计划科学合理、可操作性强，</w:t>
            </w:r>
            <w:r>
              <w:rPr>
                <w:spacing w:val="66"/>
              </w:rPr>
              <w:t xml:space="preserve"> </w:t>
            </w:r>
            <w:r>
              <w:rPr>
                <w:spacing w:val="-10"/>
              </w:rPr>
              <w:t>按《广</w:t>
            </w:r>
            <w:r>
              <w:rPr>
                <w:spacing w:val="-3"/>
              </w:rPr>
              <w:t>东省公路工程施工标准化指南》及《广东省高速公路工</w:t>
            </w:r>
            <w:r>
              <w:rPr>
                <w:spacing w:val="-4"/>
              </w:rPr>
              <w:t>程施工安全标准化指南》《公路工程施工安全防护设施</w:t>
            </w:r>
            <w:r>
              <w:rPr>
                <w:spacing w:val="-8"/>
              </w:rPr>
              <w:t>技术指南》执行，</w:t>
            </w:r>
            <w:r>
              <w:rPr>
                <w:spacing w:val="-42"/>
              </w:rPr>
              <w:t xml:space="preserve"> </w:t>
            </w:r>
            <w:r>
              <w:rPr>
                <w:spacing w:val="-8"/>
              </w:rPr>
              <w:t>得</w:t>
            </w:r>
            <w:r>
              <w:rPr>
                <w:spacing w:val="-43"/>
              </w:rPr>
              <w:t xml:space="preserve"> </w:t>
            </w:r>
            <w:r>
              <w:rPr>
                <w:b/>
                <w:bCs/>
                <w:spacing w:val="-8"/>
                <w:u w:val="single" w:color="auto"/>
              </w:rPr>
              <w:t>8</w:t>
            </w:r>
            <w:r>
              <w:rPr>
                <w:rFonts w:ascii="Arial" w:hAnsi="Arial" w:eastAsia="Arial" w:cs="Arial"/>
                <w:b/>
                <w:bCs/>
                <w:spacing w:val="-8"/>
                <w:u w:val="single" w:color="auto"/>
              </w:rPr>
              <w:t>~</w:t>
            </w:r>
            <w:r>
              <w:rPr>
                <w:b/>
                <w:bCs/>
                <w:spacing w:val="-8"/>
                <w:u w:val="single" w:color="auto"/>
              </w:rPr>
              <w:t>10</w:t>
            </w:r>
            <w:r>
              <w:rPr>
                <w:b/>
                <w:bCs/>
                <w:spacing w:val="-43"/>
                <w:u w:val="single" w:color="auto"/>
              </w:rPr>
              <w:t xml:space="preserve"> </w:t>
            </w:r>
            <w:r>
              <w:rPr>
                <w:spacing w:val="-8"/>
              </w:rPr>
              <w:t>分</w:t>
            </w:r>
            <w:r>
              <w:rPr>
                <w:spacing w:val="-8"/>
                <w:u w:val="single" w:color="auto"/>
              </w:rPr>
              <w:t>（满分分值的</w:t>
            </w:r>
            <w:r>
              <w:rPr>
                <w:spacing w:val="-43"/>
                <w:u w:val="single" w:color="auto"/>
              </w:rPr>
              <w:t xml:space="preserve"> </w:t>
            </w:r>
            <w:r>
              <w:rPr>
                <w:spacing w:val="-8"/>
                <w:u w:val="single" w:color="auto"/>
              </w:rPr>
              <w:t>80%～100%</w:t>
            </w:r>
            <w:r>
              <w:rPr>
                <w:spacing w:val="-35"/>
                <w:u w:val="single" w:color="auto"/>
              </w:rPr>
              <w:t>）</w:t>
            </w:r>
            <w:r>
              <w:rPr>
                <w:spacing w:val="-35"/>
              </w:rPr>
              <w:t>；</w:t>
            </w:r>
          </w:p>
          <w:p w14:paraId="58560C3F">
            <w:pPr>
              <w:pStyle w:val="9"/>
              <w:spacing w:before="2" w:line="333" w:lineRule="auto"/>
              <w:ind w:left="112" w:right="63" w:firstLine="6"/>
            </w:pPr>
            <w:r>
              <w:rPr>
                <w:spacing w:val="3"/>
              </w:rPr>
              <w:t>（2）满足工程建设需要，施工总体布置规划、施工进</w:t>
            </w:r>
            <w:r>
              <w:rPr>
                <w:spacing w:val="-2"/>
              </w:rPr>
              <w:t>度计划基本可行，得</w:t>
            </w:r>
            <w:r>
              <w:rPr>
                <w:spacing w:val="-43"/>
              </w:rPr>
              <w:t xml:space="preserve"> </w:t>
            </w:r>
            <w:r>
              <w:rPr>
                <w:b/>
                <w:bCs/>
                <w:spacing w:val="-2"/>
                <w:u w:val="single" w:color="auto"/>
              </w:rPr>
              <w:t>6</w:t>
            </w:r>
            <w:r>
              <w:rPr>
                <w:rFonts w:ascii="Arial" w:hAnsi="Arial" w:eastAsia="Arial" w:cs="Arial"/>
                <w:b/>
                <w:bCs/>
                <w:spacing w:val="-2"/>
                <w:u w:val="single" w:color="auto"/>
              </w:rPr>
              <w:t>~</w:t>
            </w:r>
            <w:r>
              <w:rPr>
                <w:b/>
                <w:bCs/>
                <w:spacing w:val="-2"/>
                <w:u w:val="single" w:color="auto"/>
              </w:rPr>
              <w:t>8</w:t>
            </w:r>
            <w:r>
              <w:rPr>
                <w:b/>
                <w:bCs/>
                <w:spacing w:val="-42"/>
                <w:u w:val="single" w:color="auto"/>
              </w:rPr>
              <w:t xml:space="preserve"> </w:t>
            </w:r>
            <w:r>
              <w:rPr>
                <w:spacing w:val="-2"/>
              </w:rPr>
              <w:t>分</w:t>
            </w:r>
            <w:r>
              <w:rPr>
                <w:spacing w:val="-2"/>
                <w:u w:val="single" w:color="auto"/>
              </w:rPr>
              <w:t>（满分分值的</w:t>
            </w:r>
            <w:r>
              <w:rPr>
                <w:spacing w:val="-26"/>
                <w:u w:val="single" w:color="auto"/>
              </w:rPr>
              <w:t xml:space="preserve"> </w:t>
            </w:r>
            <w:r>
              <w:rPr>
                <w:spacing w:val="-2"/>
                <w:u w:val="single" w:color="auto"/>
              </w:rPr>
              <w:t>60%～80%</w:t>
            </w:r>
            <w:r>
              <w:rPr>
                <w:spacing w:val="-26"/>
                <w:u w:val="single" w:color="auto"/>
              </w:rPr>
              <w:t>）</w:t>
            </w:r>
            <w:r>
              <w:rPr>
                <w:spacing w:val="-26"/>
              </w:rPr>
              <w:t>；</w:t>
            </w:r>
          </w:p>
          <w:p w14:paraId="4515F25C">
            <w:pPr>
              <w:pStyle w:val="9"/>
              <w:spacing w:before="1" w:line="277" w:lineRule="auto"/>
              <w:ind w:left="114" w:right="123" w:firstLine="3"/>
            </w:pPr>
            <w:r>
              <w:rPr>
                <w:spacing w:val="-3"/>
              </w:rPr>
              <w:t>（3）一般但不被评定为不响应的</w:t>
            </w:r>
            <w:r>
              <w:rPr>
                <w:rFonts w:hint="eastAsia"/>
                <w:spacing w:val="-3"/>
                <w:lang w:eastAsia="zh-CN"/>
              </w:rPr>
              <w:t>，</w:t>
            </w:r>
            <w:r>
              <w:rPr>
                <w:spacing w:val="-3"/>
              </w:rPr>
              <w:t>得</w:t>
            </w:r>
            <w:r>
              <w:rPr>
                <w:b/>
                <w:bCs/>
                <w:spacing w:val="-42"/>
              </w:rPr>
              <w:t xml:space="preserve"> </w:t>
            </w:r>
            <w:r>
              <w:rPr>
                <w:b/>
                <w:bCs/>
                <w:spacing w:val="-3"/>
                <w:u w:val="single" w:color="auto"/>
              </w:rPr>
              <w:t>6</w:t>
            </w:r>
            <w:r>
              <w:rPr>
                <w:b/>
                <w:bCs/>
                <w:spacing w:val="-41"/>
                <w:u w:val="single" w:color="auto"/>
              </w:rPr>
              <w:t xml:space="preserve"> </w:t>
            </w:r>
            <w:r>
              <w:rPr>
                <w:spacing w:val="-3"/>
              </w:rPr>
              <w:t>分</w:t>
            </w:r>
            <w:r>
              <w:rPr>
                <w:spacing w:val="-3"/>
                <w:u w:val="single" w:color="auto"/>
              </w:rPr>
              <w:t>（满分分值的</w:t>
            </w:r>
            <w:r>
              <w:rPr>
                <w:spacing w:val="-2"/>
                <w:u w:val="single" w:color="auto"/>
              </w:rPr>
              <w:t>60%）</w:t>
            </w:r>
            <w:r>
              <w:rPr>
                <w:spacing w:val="-2"/>
              </w:rPr>
              <w:t>。</w:t>
            </w:r>
          </w:p>
        </w:tc>
      </w:tr>
      <w:tr w14:paraId="67B78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3" w:hRule="atLeast"/>
        </w:trPr>
        <w:tc>
          <w:tcPr>
            <w:tcW w:w="757" w:type="dxa"/>
            <w:vMerge w:val="continue"/>
            <w:tcBorders>
              <w:top w:val="nil"/>
              <w:bottom w:val="nil"/>
            </w:tcBorders>
            <w:vAlign w:val="top"/>
          </w:tcPr>
          <w:p w14:paraId="26A16009">
            <w:pPr>
              <w:rPr>
                <w:rFonts w:ascii="Arial"/>
                <w:sz w:val="21"/>
              </w:rPr>
            </w:pPr>
          </w:p>
        </w:tc>
        <w:tc>
          <w:tcPr>
            <w:tcW w:w="857" w:type="dxa"/>
            <w:vMerge w:val="continue"/>
            <w:tcBorders>
              <w:top w:val="nil"/>
              <w:bottom w:val="nil"/>
            </w:tcBorders>
            <w:vAlign w:val="top"/>
          </w:tcPr>
          <w:p w14:paraId="177FA1A8">
            <w:pPr>
              <w:rPr>
                <w:rFonts w:ascii="Arial"/>
                <w:sz w:val="21"/>
              </w:rPr>
            </w:pPr>
          </w:p>
        </w:tc>
        <w:tc>
          <w:tcPr>
            <w:tcW w:w="1117" w:type="dxa"/>
            <w:vMerge w:val="continue"/>
            <w:tcBorders>
              <w:top w:val="nil"/>
              <w:bottom w:val="nil"/>
            </w:tcBorders>
            <w:vAlign w:val="top"/>
          </w:tcPr>
          <w:p w14:paraId="687D08A3">
            <w:pPr>
              <w:rPr>
                <w:rFonts w:ascii="Arial"/>
                <w:sz w:val="21"/>
              </w:rPr>
            </w:pPr>
          </w:p>
        </w:tc>
        <w:tc>
          <w:tcPr>
            <w:tcW w:w="1103" w:type="dxa"/>
            <w:vAlign w:val="top"/>
          </w:tcPr>
          <w:p w14:paraId="6CC16B67">
            <w:pPr>
              <w:spacing w:line="269" w:lineRule="auto"/>
              <w:rPr>
                <w:rFonts w:ascii="Arial"/>
                <w:sz w:val="21"/>
              </w:rPr>
            </w:pPr>
          </w:p>
          <w:p w14:paraId="7D972A42">
            <w:pPr>
              <w:spacing w:line="269" w:lineRule="auto"/>
              <w:rPr>
                <w:rFonts w:ascii="Arial"/>
                <w:sz w:val="21"/>
              </w:rPr>
            </w:pPr>
          </w:p>
          <w:p w14:paraId="7E3BA697">
            <w:pPr>
              <w:spacing w:line="269" w:lineRule="auto"/>
              <w:rPr>
                <w:rFonts w:ascii="Arial"/>
                <w:sz w:val="21"/>
              </w:rPr>
            </w:pPr>
          </w:p>
          <w:p w14:paraId="4B32F5A2">
            <w:pPr>
              <w:spacing w:line="269" w:lineRule="auto"/>
              <w:rPr>
                <w:rFonts w:ascii="Arial"/>
                <w:sz w:val="21"/>
              </w:rPr>
            </w:pPr>
          </w:p>
          <w:p w14:paraId="50F65840">
            <w:pPr>
              <w:spacing w:line="269" w:lineRule="auto"/>
              <w:rPr>
                <w:rFonts w:ascii="Arial"/>
                <w:sz w:val="21"/>
              </w:rPr>
            </w:pPr>
          </w:p>
          <w:p w14:paraId="07EDF110">
            <w:pPr>
              <w:pStyle w:val="9"/>
              <w:spacing w:before="69" w:line="352" w:lineRule="auto"/>
              <w:ind w:left="136" w:right="130"/>
              <w:jc w:val="both"/>
            </w:pPr>
            <w:r>
              <w:rPr>
                <w:spacing w:val="-3"/>
              </w:rPr>
              <w:t>重点、难点和关键工程的施工方案与技术措施</w:t>
            </w:r>
          </w:p>
        </w:tc>
        <w:tc>
          <w:tcPr>
            <w:tcW w:w="807" w:type="dxa"/>
            <w:vAlign w:val="top"/>
          </w:tcPr>
          <w:p w14:paraId="5775C501">
            <w:pPr>
              <w:spacing w:line="267" w:lineRule="auto"/>
              <w:rPr>
                <w:rFonts w:ascii="Arial"/>
                <w:sz w:val="21"/>
              </w:rPr>
            </w:pPr>
          </w:p>
          <w:p w14:paraId="3E59EBCD">
            <w:pPr>
              <w:spacing w:line="267" w:lineRule="auto"/>
              <w:rPr>
                <w:rFonts w:ascii="Arial"/>
                <w:sz w:val="21"/>
              </w:rPr>
            </w:pPr>
          </w:p>
          <w:p w14:paraId="0BD4F3A1">
            <w:pPr>
              <w:spacing w:line="267" w:lineRule="auto"/>
              <w:rPr>
                <w:rFonts w:ascii="Arial"/>
                <w:sz w:val="21"/>
              </w:rPr>
            </w:pPr>
          </w:p>
          <w:p w14:paraId="1CDAE760">
            <w:pPr>
              <w:spacing w:line="267" w:lineRule="auto"/>
              <w:rPr>
                <w:rFonts w:ascii="Arial"/>
                <w:sz w:val="21"/>
              </w:rPr>
            </w:pPr>
          </w:p>
          <w:p w14:paraId="2AEE8CBE">
            <w:pPr>
              <w:spacing w:line="267" w:lineRule="auto"/>
              <w:rPr>
                <w:rFonts w:ascii="Arial"/>
                <w:sz w:val="21"/>
              </w:rPr>
            </w:pPr>
          </w:p>
          <w:p w14:paraId="578F4778">
            <w:pPr>
              <w:spacing w:line="268" w:lineRule="auto"/>
              <w:rPr>
                <w:rFonts w:ascii="Arial"/>
                <w:sz w:val="21"/>
              </w:rPr>
            </w:pPr>
          </w:p>
          <w:p w14:paraId="3BF08EB2">
            <w:pPr>
              <w:spacing w:line="268" w:lineRule="auto"/>
              <w:rPr>
                <w:rFonts w:ascii="Arial"/>
                <w:sz w:val="21"/>
              </w:rPr>
            </w:pPr>
          </w:p>
          <w:p w14:paraId="3C71D37C">
            <w:pPr>
              <w:spacing w:line="268" w:lineRule="auto"/>
              <w:rPr>
                <w:rFonts w:ascii="Arial"/>
                <w:sz w:val="21"/>
              </w:rPr>
            </w:pPr>
          </w:p>
          <w:p w14:paraId="7F01B8BF">
            <w:pPr>
              <w:pStyle w:val="9"/>
              <w:spacing w:before="68" w:line="220" w:lineRule="auto"/>
              <w:ind w:left="187"/>
            </w:pPr>
            <w:r>
              <w:rPr>
                <w:spacing w:val="-8"/>
                <w:u w:val="single" w:color="auto"/>
              </w:rPr>
              <w:t>10</w:t>
            </w:r>
            <w:r>
              <w:rPr>
                <w:spacing w:val="-44"/>
                <w:u w:val="single" w:color="auto"/>
              </w:rPr>
              <w:t xml:space="preserve"> </w:t>
            </w:r>
            <w:r>
              <w:rPr>
                <w:spacing w:val="-8"/>
              </w:rPr>
              <w:t>分</w:t>
            </w:r>
          </w:p>
        </w:tc>
        <w:tc>
          <w:tcPr>
            <w:tcW w:w="5235" w:type="dxa"/>
            <w:vAlign w:val="top"/>
          </w:tcPr>
          <w:p w14:paraId="49276BEE">
            <w:pPr>
              <w:pStyle w:val="9"/>
              <w:spacing w:before="125" w:line="334" w:lineRule="auto"/>
              <w:ind w:left="113" w:right="108" w:firstLine="4"/>
            </w:pPr>
            <w:r>
              <w:rPr>
                <w:spacing w:val="3"/>
              </w:rPr>
              <w:t>（1）对项目重点、难点和关键工程认识分</w:t>
            </w:r>
            <w:r>
              <w:rPr>
                <w:spacing w:val="2"/>
              </w:rPr>
              <w:t>析透彻，能</w:t>
            </w:r>
            <w:r>
              <w:rPr>
                <w:spacing w:val="-2"/>
              </w:rPr>
              <w:t>充分发挥自身优势，积极采用“四新”技术，制定的施工方案与技术措施针对性和可操作性强，重点突出的，按《广东省公路工程施工标准化指南》及《广东省高速公路工程施工安全标准化指南》《公路工程施工安全防</w:t>
            </w:r>
            <w:r>
              <w:rPr>
                <w:spacing w:val="-3"/>
              </w:rPr>
              <w:t>护设施技术指南》执行，得</w:t>
            </w:r>
            <w:r>
              <w:rPr>
                <w:spacing w:val="-24"/>
              </w:rPr>
              <w:t xml:space="preserve"> </w:t>
            </w:r>
            <w:r>
              <w:rPr>
                <w:b/>
                <w:bCs/>
                <w:spacing w:val="-3"/>
                <w:u w:val="single" w:color="auto"/>
              </w:rPr>
              <w:t>8</w:t>
            </w:r>
            <w:r>
              <w:rPr>
                <w:rFonts w:ascii="Arial" w:hAnsi="Arial" w:eastAsia="Arial" w:cs="Arial"/>
                <w:b/>
                <w:bCs/>
                <w:spacing w:val="-3"/>
                <w:u w:val="single" w:color="auto"/>
              </w:rPr>
              <w:t>~</w:t>
            </w:r>
            <w:r>
              <w:rPr>
                <w:rFonts w:ascii="Arial" w:hAnsi="Arial" w:eastAsia="Arial" w:cs="Arial"/>
                <w:b/>
                <w:bCs/>
                <w:spacing w:val="-35"/>
                <w:u w:val="single" w:color="auto"/>
              </w:rPr>
              <w:t xml:space="preserve"> </w:t>
            </w:r>
            <w:r>
              <w:rPr>
                <w:b/>
                <w:bCs/>
                <w:spacing w:val="-3"/>
                <w:u w:val="single" w:color="auto"/>
              </w:rPr>
              <w:t>10</w:t>
            </w:r>
            <w:r>
              <w:rPr>
                <w:b/>
                <w:bCs/>
                <w:spacing w:val="-42"/>
                <w:u w:val="single" w:color="auto"/>
              </w:rPr>
              <w:t xml:space="preserve"> </w:t>
            </w:r>
            <w:r>
              <w:rPr>
                <w:spacing w:val="-3"/>
              </w:rPr>
              <w:t>分</w:t>
            </w:r>
            <w:r>
              <w:rPr>
                <w:spacing w:val="-3"/>
                <w:u w:val="single" w:color="auto"/>
              </w:rPr>
              <w:t>（满分分值的</w:t>
            </w:r>
            <w:r>
              <w:rPr>
                <w:spacing w:val="-45"/>
                <w:u w:val="single" w:color="auto"/>
              </w:rPr>
              <w:t xml:space="preserve"> </w:t>
            </w:r>
            <w:r>
              <w:rPr>
                <w:spacing w:val="-3"/>
                <w:u w:val="single" w:color="auto"/>
              </w:rPr>
              <w:t>80%~</w:t>
            </w:r>
            <w:r>
              <w:t xml:space="preserve"> </w:t>
            </w:r>
            <w:r>
              <w:rPr>
                <w:spacing w:val="-3"/>
                <w:u w:val="single" w:color="auto"/>
              </w:rPr>
              <w:t>100%</w:t>
            </w:r>
            <w:r>
              <w:rPr>
                <w:spacing w:val="1"/>
                <w:u w:val="single" w:color="auto"/>
              </w:rPr>
              <w:t>）</w:t>
            </w:r>
            <w:r>
              <w:rPr>
                <w:spacing w:val="1"/>
              </w:rPr>
              <w:t>；</w:t>
            </w:r>
          </w:p>
          <w:p w14:paraId="012F1B88">
            <w:pPr>
              <w:pStyle w:val="9"/>
              <w:spacing w:line="334" w:lineRule="auto"/>
              <w:ind w:left="114" w:right="107" w:firstLine="3"/>
            </w:pPr>
            <w:r>
              <w:rPr>
                <w:spacing w:val="3"/>
              </w:rPr>
              <w:t>（2）对项目重点、难点和关键工程认识基</w:t>
            </w:r>
            <w:r>
              <w:rPr>
                <w:spacing w:val="2"/>
              </w:rPr>
              <w:t>本到位，施</w:t>
            </w:r>
            <w:r>
              <w:rPr>
                <w:spacing w:val="17"/>
              </w:rPr>
              <w:t>工方案与技术措施基本可行，重点较为突出的，得</w:t>
            </w:r>
            <w:r>
              <w:rPr>
                <w:position w:val="-2"/>
              </w:rPr>
              <w:drawing>
                <wp:inline distT="0" distB="0" distL="0" distR="0">
                  <wp:extent cx="1905" cy="571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225"/>
                          <a:stretch>
                            <a:fillRect/>
                          </a:stretch>
                        </pic:blipFill>
                        <pic:spPr>
                          <a:xfrm>
                            <a:off x="0" y="0"/>
                            <a:ext cx="2351" cy="6095"/>
                          </a:xfrm>
                          <a:prstGeom prst="rect">
                            <a:avLst/>
                          </a:prstGeom>
                        </pic:spPr>
                      </pic:pic>
                    </a:graphicData>
                  </a:graphic>
                </wp:inline>
              </w:drawing>
            </w:r>
            <w:r>
              <w:rPr>
                <w:spacing w:val="8"/>
              </w:rPr>
              <w:t xml:space="preserve"> </w:t>
            </w:r>
            <w:r>
              <w:rPr>
                <w:b/>
                <w:bCs/>
                <w:spacing w:val="-2"/>
                <w:u w:val="single" w:color="auto"/>
              </w:rPr>
              <w:t>6</w:t>
            </w:r>
            <w:r>
              <w:rPr>
                <w:rFonts w:ascii="Arial" w:hAnsi="Arial" w:eastAsia="Arial" w:cs="Arial"/>
                <w:b/>
                <w:bCs/>
                <w:spacing w:val="-2"/>
                <w:u w:val="single" w:color="auto"/>
              </w:rPr>
              <w:t>~</w:t>
            </w:r>
            <w:r>
              <w:rPr>
                <w:b/>
                <w:bCs/>
                <w:spacing w:val="-2"/>
                <w:u w:val="single" w:color="auto"/>
              </w:rPr>
              <w:t>8</w:t>
            </w:r>
            <w:r>
              <w:rPr>
                <w:b/>
                <w:bCs/>
                <w:spacing w:val="-42"/>
                <w:u w:val="single" w:color="auto"/>
              </w:rPr>
              <w:t xml:space="preserve"> </w:t>
            </w:r>
            <w:r>
              <w:rPr>
                <w:spacing w:val="-2"/>
              </w:rPr>
              <w:t>分</w:t>
            </w:r>
            <w:r>
              <w:rPr>
                <w:spacing w:val="-2"/>
                <w:u w:val="single" w:color="auto"/>
              </w:rPr>
              <w:t>（满分分值的</w:t>
            </w:r>
            <w:r>
              <w:rPr>
                <w:spacing w:val="-25"/>
                <w:u w:val="single" w:color="auto"/>
              </w:rPr>
              <w:t xml:space="preserve"> </w:t>
            </w:r>
            <w:r>
              <w:rPr>
                <w:spacing w:val="-2"/>
                <w:u w:val="single" w:color="auto"/>
              </w:rPr>
              <w:t>60%～80%</w:t>
            </w:r>
            <w:r>
              <w:rPr>
                <w:spacing w:val="-7"/>
                <w:u w:val="single" w:color="auto"/>
              </w:rPr>
              <w:t>）</w:t>
            </w:r>
            <w:r>
              <w:rPr>
                <w:spacing w:val="-7"/>
              </w:rPr>
              <w:t>；</w:t>
            </w:r>
          </w:p>
          <w:p w14:paraId="0AE9E38A">
            <w:pPr>
              <w:pStyle w:val="9"/>
              <w:spacing w:line="276" w:lineRule="auto"/>
              <w:ind w:left="129" w:right="113" w:hanging="11"/>
            </w:pPr>
            <w:r>
              <w:rPr>
                <w:spacing w:val="1"/>
              </w:rPr>
              <w:t>（3）一般但不被评定为不响应的，得</w:t>
            </w:r>
            <w:r>
              <w:rPr>
                <w:spacing w:val="-30"/>
              </w:rPr>
              <w:t xml:space="preserve"> </w:t>
            </w:r>
            <w:r>
              <w:rPr>
                <w:b/>
                <w:bCs/>
                <w:spacing w:val="1"/>
                <w:u w:val="single" w:color="auto"/>
              </w:rPr>
              <w:t>6</w:t>
            </w:r>
            <w:r>
              <w:rPr>
                <w:spacing w:val="-38"/>
                <w:u w:val="single" w:color="auto"/>
              </w:rPr>
              <w:t xml:space="preserve"> </w:t>
            </w:r>
            <w:r>
              <w:rPr>
                <w:spacing w:val="1"/>
              </w:rPr>
              <w:t>分</w:t>
            </w:r>
            <w:r>
              <w:rPr>
                <w:spacing w:val="1"/>
                <w:u w:val="single" w:color="auto"/>
              </w:rPr>
              <w:t>（满分分值</w:t>
            </w:r>
            <w:r>
              <w:rPr>
                <w:spacing w:val="-6"/>
                <w:u w:val="single" w:color="auto"/>
              </w:rPr>
              <w:t>的</w:t>
            </w:r>
            <w:r>
              <w:rPr>
                <w:spacing w:val="-43"/>
                <w:u w:val="single" w:color="auto"/>
              </w:rPr>
              <w:t xml:space="preserve"> </w:t>
            </w:r>
            <w:r>
              <w:rPr>
                <w:spacing w:val="-6"/>
                <w:u w:val="single" w:color="auto"/>
              </w:rPr>
              <w:t>60%）</w:t>
            </w:r>
            <w:r>
              <w:rPr>
                <w:spacing w:val="-6"/>
              </w:rPr>
              <w:t>。</w:t>
            </w:r>
          </w:p>
        </w:tc>
      </w:tr>
      <w:tr w14:paraId="6AC53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8" w:hRule="atLeast"/>
        </w:trPr>
        <w:tc>
          <w:tcPr>
            <w:tcW w:w="757" w:type="dxa"/>
            <w:vMerge w:val="continue"/>
            <w:tcBorders>
              <w:top w:val="nil"/>
            </w:tcBorders>
            <w:vAlign w:val="top"/>
          </w:tcPr>
          <w:p w14:paraId="56CF16F7">
            <w:pPr>
              <w:rPr>
                <w:rFonts w:ascii="Arial"/>
                <w:sz w:val="21"/>
              </w:rPr>
            </w:pPr>
          </w:p>
        </w:tc>
        <w:tc>
          <w:tcPr>
            <w:tcW w:w="857" w:type="dxa"/>
            <w:vMerge w:val="continue"/>
            <w:tcBorders>
              <w:top w:val="nil"/>
            </w:tcBorders>
            <w:vAlign w:val="top"/>
          </w:tcPr>
          <w:p w14:paraId="5D1D4F67">
            <w:pPr>
              <w:rPr>
                <w:rFonts w:ascii="Arial"/>
                <w:sz w:val="21"/>
              </w:rPr>
            </w:pPr>
          </w:p>
        </w:tc>
        <w:tc>
          <w:tcPr>
            <w:tcW w:w="1117" w:type="dxa"/>
            <w:vMerge w:val="continue"/>
            <w:tcBorders>
              <w:top w:val="nil"/>
            </w:tcBorders>
            <w:vAlign w:val="top"/>
          </w:tcPr>
          <w:p w14:paraId="7D0E71C5">
            <w:pPr>
              <w:rPr>
                <w:rFonts w:ascii="Arial"/>
                <w:sz w:val="21"/>
              </w:rPr>
            </w:pPr>
          </w:p>
        </w:tc>
        <w:tc>
          <w:tcPr>
            <w:tcW w:w="1103" w:type="dxa"/>
            <w:vAlign w:val="top"/>
          </w:tcPr>
          <w:p w14:paraId="60228660">
            <w:pPr>
              <w:spacing w:line="290" w:lineRule="auto"/>
              <w:rPr>
                <w:rFonts w:ascii="Arial"/>
                <w:sz w:val="21"/>
              </w:rPr>
            </w:pPr>
          </w:p>
          <w:p w14:paraId="6D1F4038">
            <w:pPr>
              <w:spacing w:line="291" w:lineRule="auto"/>
              <w:rPr>
                <w:rFonts w:ascii="Arial"/>
                <w:sz w:val="21"/>
              </w:rPr>
            </w:pPr>
          </w:p>
          <w:p w14:paraId="7A7F65FA">
            <w:pPr>
              <w:pStyle w:val="9"/>
              <w:spacing w:before="68" w:line="220" w:lineRule="auto"/>
              <w:ind w:left="137"/>
            </w:pPr>
            <w:r>
              <w:rPr>
                <w:spacing w:val="-3"/>
              </w:rPr>
              <w:t>工期、质</w:t>
            </w:r>
          </w:p>
          <w:p w14:paraId="4BFAB60B">
            <w:pPr>
              <w:pStyle w:val="9"/>
              <w:spacing w:before="149" w:line="221" w:lineRule="auto"/>
              <w:ind w:right="17"/>
              <w:jc w:val="right"/>
            </w:pPr>
            <w:r>
              <w:rPr>
                <w:spacing w:val="-17"/>
              </w:rPr>
              <w:t>量、安全、</w:t>
            </w:r>
          </w:p>
          <w:p w14:paraId="2C93FB7A">
            <w:pPr>
              <w:pStyle w:val="9"/>
              <w:spacing w:before="147" w:line="220" w:lineRule="auto"/>
              <w:ind w:left="240"/>
            </w:pPr>
            <w:r>
              <w:rPr>
                <w:spacing w:val="-2"/>
              </w:rPr>
              <w:t>环保水</w:t>
            </w:r>
          </w:p>
          <w:p w14:paraId="14504002">
            <w:pPr>
              <w:pStyle w:val="9"/>
              <w:spacing w:before="150" w:line="220" w:lineRule="auto"/>
              <w:ind w:left="136"/>
            </w:pPr>
            <w:r>
              <w:rPr>
                <w:spacing w:val="-2"/>
              </w:rPr>
              <w:t>保、文明</w:t>
            </w:r>
          </w:p>
          <w:p w14:paraId="42F70600">
            <w:pPr>
              <w:pStyle w:val="9"/>
              <w:spacing w:before="150" w:line="220" w:lineRule="auto"/>
              <w:ind w:left="134"/>
            </w:pPr>
            <w:r>
              <w:rPr>
                <w:spacing w:val="-2"/>
              </w:rPr>
              <w:t>施工保证</w:t>
            </w:r>
          </w:p>
          <w:p w14:paraId="51BD3EA9">
            <w:pPr>
              <w:pStyle w:val="9"/>
              <w:spacing w:before="149" w:line="220" w:lineRule="auto"/>
              <w:ind w:left="345"/>
            </w:pPr>
            <w:r>
              <w:rPr>
                <w:spacing w:val="-3"/>
              </w:rPr>
              <w:t>措施</w:t>
            </w:r>
          </w:p>
        </w:tc>
        <w:tc>
          <w:tcPr>
            <w:tcW w:w="807" w:type="dxa"/>
            <w:vAlign w:val="top"/>
          </w:tcPr>
          <w:p w14:paraId="2987670F">
            <w:pPr>
              <w:spacing w:line="262" w:lineRule="auto"/>
              <w:rPr>
                <w:rFonts w:ascii="Arial"/>
                <w:sz w:val="21"/>
              </w:rPr>
            </w:pPr>
          </w:p>
          <w:p w14:paraId="652E281E">
            <w:pPr>
              <w:spacing w:line="262" w:lineRule="auto"/>
              <w:rPr>
                <w:rFonts w:ascii="Arial"/>
                <w:sz w:val="21"/>
              </w:rPr>
            </w:pPr>
          </w:p>
          <w:p w14:paraId="6EC07079">
            <w:pPr>
              <w:spacing w:line="262" w:lineRule="auto"/>
              <w:rPr>
                <w:rFonts w:ascii="Arial"/>
                <w:sz w:val="21"/>
              </w:rPr>
            </w:pPr>
          </w:p>
          <w:p w14:paraId="5CCF81A3">
            <w:pPr>
              <w:spacing w:line="262" w:lineRule="auto"/>
              <w:rPr>
                <w:rFonts w:ascii="Arial"/>
                <w:sz w:val="21"/>
              </w:rPr>
            </w:pPr>
          </w:p>
          <w:p w14:paraId="4A7EEA07">
            <w:pPr>
              <w:spacing w:line="263" w:lineRule="auto"/>
              <w:rPr>
                <w:rFonts w:ascii="Arial"/>
                <w:sz w:val="21"/>
              </w:rPr>
            </w:pPr>
          </w:p>
          <w:p w14:paraId="6FB7F412">
            <w:pPr>
              <w:spacing w:line="263" w:lineRule="auto"/>
              <w:rPr>
                <w:rFonts w:ascii="Arial"/>
                <w:sz w:val="21"/>
              </w:rPr>
            </w:pPr>
          </w:p>
          <w:p w14:paraId="5F332E44">
            <w:pPr>
              <w:pStyle w:val="9"/>
              <w:spacing w:before="68" w:line="220" w:lineRule="auto"/>
              <w:ind w:left="187"/>
            </w:pPr>
            <w:r>
              <w:rPr>
                <w:spacing w:val="-8"/>
                <w:u w:val="single" w:color="auto"/>
              </w:rPr>
              <w:t>10</w:t>
            </w:r>
            <w:r>
              <w:rPr>
                <w:spacing w:val="-44"/>
                <w:u w:val="single" w:color="auto"/>
              </w:rPr>
              <w:t xml:space="preserve"> </w:t>
            </w:r>
            <w:r>
              <w:rPr>
                <w:spacing w:val="-8"/>
              </w:rPr>
              <w:t>分</w:t>
            </w:r>
          </w:p>
        </w:tc>
        <w:tc>
          <w:tcPr>
            <w:tcW w:w="5235" w:type="dxa"/>
            <w:vAlign w:val="top"/>
          </w:tcPr>
          <w:p w14:paraId="2521B1C7">
            <w:pPr>
              <w:pStyle w:val="9"/>
              <w:spacing w:before="126" w:line="334" w:lineRule="auto"/>
              <w:ind w:left="112" w:right="107" w:firstLine="5"/>
            </w:pPr>
            <w:r>
              <w:rPr>
                <w:spacing w:val="3"/>
              </w:rPr>
              <w:t>（1）能够准确预判分析工期、质量、安全</w:t>
            </w:r>
            <w:r>
              <w:rPr>
                <w:spacing w:val="2"/>
              </w:rPr>
              <w:t>、环保、水</w:t>
            </w:r>
            <w:r>
              <w:rPr>
                <w:spacing w:val="-2"/>
              </w:rPr>
              <w:t>保、文明施工目标实现的主要影响因素，拟采取预防保</w:t>
            </w:r>
            <w:r>
              <w:rPr>
                <w:spacing w:val="-8"/>
              </w:rPr>
              <w:t>证措施针对性强、科学有效，</w:t>
            </w:r>
            <w:r>
              <w:rPr>
                <w:spacing w:val="54"/>
              </w:rPr>
              <w:t xml:space="preserve"> </w:t>
            </w:r>
            <w:r>
              <w:rPr>
                <w:spacing w:val="-8"/>
              </w:rPr>
              <w:t>重点突出的，按《广东省</w:t>
            </w:r>
            <w:r>
              <w:rPr>
                <w:spacing w:val="-2"/>
              </w:rPr>
              <w:t>公路工程施工标准化指南》及《广东省高速公路工程施工安全标准化指南》《公路工程施工安全防护设施技术</w:t>
            </w:r>
            <w:r>
              <w:rPr>
                <w:spacing w:val="-3"/>
              </w:rPr>
              <w:t>指南》执行，得</w:t>
            </w:r>
            <w:r>
              <w:rPr>
                <w:spacing w:val="-43"/>
              </w:rPr>
              <w:t xml:space="preserve"> </w:t>
            </w:r>
            <w:r>
              <w:rPr>
                <w:b/>
                <w:bCs/>
                <w:spacing w:val="-3"/>
                <w:u w:val="single" w:color="auto"/>
              </w:rPr>
              <w:t>8</w:t>
            </w:r>
            <w:r>
              <w:rPr>
                <w:rFonts w:ascii="Arial" w:hAnsi="Arial" w:eastAsia="Arial" w:cs="Arial"/>
                <w:b/>
                <w:bCs/>
                <w:spacing w:val="-3"/>
                <w:u w:val="single" w:color="auto"/>
              </w:rPr>
              <w:t>~</w:t>
            </w:r>
            <w:r>
              <w:rPr>
                <w:rFonts w:ascii="Arial" w:hAnsi="Arial" w:eastAsia="Arial" w:cs="Arial"/>
                <w:b/>
                <w:bCs/>
                <w:spacing w:val="-34"/>
                <w:u w:val="single" w:color="auto"/>
              </w:rPr>
              <w:t xml:space="preserve"> </w:t>
            </w:r>
            <w:r>
              <w:rPr>
                <w:b/>
                <w:bCs/>
                <w:spacing w:val="-3"/>
                <w:u w:val="single" w:color="auto"/>
              </w:rPr>
              <w:t>10</w:t>
            </w:r>
            <w:r>
              <w:rPr>
                <w:b/>
                <w:bCs/>
                <w:spacing w:val="-43"/>
                <w:u w:val="single" w:color="auto"/>
              </w:rPr>
              <w:t xml:space="preserve"> </w:t>
            </w:r>
            <w:r>
              <w:rPr>
                <w:spacing w:val="-3"/>
              </w:rPr>
              <w:t>分</w:t>
            </w:r>
            <w:r>
              <w:rPr>
                <w:spacing w:val="-3"/>
                <w:u w:val="single" w:color="auto"/>
              </w:rPr>
              <w:t>（满分分值的</w:t>
            </w:r>
            <w:r>
              <w:rPr>
                <w:spacing w:val="-27"/>
                <w:u w:val="single" w:color="auto"/>
              </w:rPr>
              <w:t xml:space="preserve"> </w:t>
            </w:r>
            <w:r>
              <w:rPr>
                <w:spacing w:val="-3"/>
                <w:u w:val="single" w:color="auto"/>
              </w:rPr>
              <w:t>80%～100%</w:t>
            </w:r>
            <w:r>
              <w:rPr>
                <w:u w:val="single" w:color="auto"/>
              </w:rPr>
              <w:t>）</w:t>
            </w:r>
            <w:r>
              <w:t>；</w:t>
            </w:r>
          </w:p>
          <w:p w14:paraId="27ECF4DF">
            <w:pPr>
              <w:pStyle w:val="9"/>
              <w:spacing w:before="2" w:line="296" w:lineRule="auto"/>
              <w:ind w:left="112" w:right="101" w:firstLine="5"/>
            </w:pPr>
            <w:r>
              <w:rPr>
                <w:spacing w:val="3"/>
              </w:rPr>
              <w:t>（2）对工期、质量、安全、环保、水保等风险有一定</w:t>
            </w:r>
            <w:r>
              <w:rPr>
                <w:spacing w:val="7"/>
              </w:rPr>
              <w:t>认识，预防保证措施基本可行，重点较为突出的，得</w:t>
            </w:r>
            <w:r>
              <w:rPr>
                <w:b/>
                <w:bCs/>
                <w:spacing w:val="-2"/>
                <w:u w:val="single" w:color="auto"/>
              </w:rPr>
              <w:t>6</w:t>
            </w:r>
            <w:r>
              <w:rPr>
                <w:rFonts w:ascii="Arial" w:hAnsi="Arial" w:eastAsia="Arial" w:cs="Arial"/>
                <w:b/>
                <w:bCs/>
                <w:spacing w:val="-2"/>
                <w:u w:val="single" w:color="auto"/>
              </w:rPr>
              <w:t>~</w:t>
            </w:r>
            <w:r>
              <w:rPr>
                <w:b/>
                <w:bCs/>
                <w:spacing w:val="-2"/>
                <w:u w:val="single" w:color="auto"/>
              </w:rPr>
              <w:t>8</w:t>
            </w:r>
            <w:r>
              <w:rPr>
                <w:b/>
                <w:bCs/>
                <w:spacing w:val="-42"/>
                <w:u w:val="single" w:color="auto"/>
              </w:rPr>
              <w:t xml:space="preserve"> </w:t>
            </w:r>
            <w:r>
              <w:rPr>
                <w:spacing w:val="-2"/>
              </w:rPr>
              <w:t>分</w:t>
            </w:r>
            <w:r>
              <w:rPr>
                <w:spacing w:val="-2"/>
                <w:u w:val="single" w:color="auto"/>
              </w:rPr>
              <w:t>（满分分值的</w:t>
            </w:r>
            <w:r>
              <w:rPr>
                <w:spacing w:val="-26"/>
                <w:u w:val="single" w:color="auto"/>
              </w:rPr>
              <w:t xml:space="preserve"> </w:t>
            </w:r>
            <w:r>
              <w:rPr>
                <w:spacing w:val="-2"/>
                <w:u w:val="single" w:color="auto"/>
              </w:rPr>
              <w:t>60%～80%</w:t>
            </w:r>
            <w:r>
              <w:rPr>
                <w:spacing w:val="-6"/>
                <w:u w:val="single" w:color="auto"/>
              </w:rPr>
              <w:t>）</w:t>
            </w:r>
            <w:r>
              <w:rPr>
                <w:spacing w:val="-6"/>
              </w:rPr>
              <w:t>；</w:t>
            </w:r>
          </w:p>
        </w:tc>
      </w:tr>
    </w:tbl>
    <w:p w14:paraId="061E7730">
      <w:pPr>
        <w:pStyle w:val="2"/>
        <w:spacing w:line="384" w:lineRule="auto"/>
      </w:pPr>
    </w:p>
    <w:p w14:paraId="523987B9">
      <w:pPr>
        <w:spacing w:line="237" w:lineRule="auto"/>
        <w:rPr>
          <w:rFonts w:ascii="宋体" w:hAnsi="宋体" w:eastAsia="宋体" w:cs="宋体"/>
          <w:sz w:val="18"/>
          <w:szCs w:val="18"/>
        </w:rPr>
        <w:sectPr>
          <w:footerReference r:id="rId35" w:type="default"/>
          <w:pgSz w:w="11905" w:h="16840"/>
          <w:pgMar w:top="1182" w:right="1010" w:bottom="1171" w:left="1011" w:header="849" w:footer="936" w:gutter="0"/>
          <w:pgNumType w:fmt="decimal"/>
          <w:cols w:space="720" w:num="1"/>
        </w:sectPr>
      </w:pPr>
    </w:p>
    <w:p w14:paraId="40B59A87">
      <w:pPr>
        <w:spacing w:line="234" w:lineRule="exact"/>
      </w:pPr>
    </w:p>
    <w:tbl>
      <w:tblPr>
        <w:tblStyle w:val="8"/>
        <w:tblW w:w="9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432"/>
        <w:gridCol w:w="426"/>
        <w:gridCol w:w="1116"/>
        <w:gridCol w:w="1103"/>
        <w:gridCol w:w="807"/>
        <w:gridCol w:w="5235"/>
      </w:tblGrid>
      <w:tr w14:paraId="148AC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641" w:type="dxa"/>
            <w:gridSpan w:val="6"/>
            <w:vAlign w:val="top"/>
          </w:tcPr>
          <w:p w14:paraId="3B1C2AC3">
            <w:pPr>
              <w:pStyle w:val="9"/>
              <w:spacing w:before="181" w:line="220" w:lineRule="auto"/>
              <w:ind w:left="1381"/>
            </w:pPr>
            <w:r>
              <w:rPr>
                <w:b/>
                <w:bCs/>
                <w:spacing w:val="-3"/>
              </w:rPr>
              <w:t>评分因素与权重分值</w:t>
            </w:r>
          </w:p>
        </w:tc>
        <w:tc>
          <w:tcPr>
            <w:tcW w:w="5235" w:type="dxa"/>
            <w:vMerge w:val="restart"/>
            <w:tcBorders>
              <w:bottom w:val="nil"/>
            </w:tcBorders>
            <w:vAlign w:val="top"/>
          </w:tcPr>
          <w:p w14:paraId="1DB17514">
            <w:pPr>
              <w:spacing w:line="427" w:lineRule="auto"/>
              <w:rPr>
                <w:rFonts w:ascii="Arial"/>
                <w:sz w:val="21"/>
              </w:rPr>
            </w:pPr>
          </w:p>
          <w:p w14:paraId="39DE6A19">
            <w:pPr>
              <w:pStyle w:val="9"/>
              <w:spacing w:before="69" w:line="220" w:lineRule="auto"/>
              <w:ind w:left="2200"/>
            </w:pPr>
            <w:r>
              <w:rPr>
                <w:b/>
                <w:bCs/>
                <w:spacing w:val="-4"/>
              </w:rPr>
              <w:t>评分标准</w:t>
            </w:r>
          </w:p>
        </w:tc>
      </w:tr>
      <w:tr w14:paraId="1E3E8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57" w:type="dxa"/>
            <w:vAlign w:val="top"/>
          </w:tcPr>
          <w:p w14:paraId="4686240A">
            <w:pPr>
              <w:pStyle w:val="9"/>
              <w:spacing w:before="49" w:line="250" w:lineRule="auto"/>
              <w:ind w:left="282" w:right="165" w:hanging="107"/>
            </w:pPr>
            <w:r>
              <w:rPr>
                <w:b/>
                <w:bCs/>
                <w:spacing w:val="-7"/>
              </w:rPr>
              <w:t>条款</w:t>
            </w:r>
            <w:r>
              <w:rPr>
                <w:b/>
                <w:bCs/>
                <w:spacing w:val="-3"/>
              </w:rPr>
              <w:t>号</w:t>
            </w:r>
          </w:p>
        </w:tc>
        <w:tc>
          <w:tcPr>
            <w:tcW w:w="858" w:type="dxa"/>
            <w:gridSpan w:val="2"/>
            <w:vAlign w:val="top"/>
          </w:tcPr>
          <w:p w14:paraId="2C8E43C6">
            <w:pPr>
              <w:pStyle w:val="9"/>
              <w:spacing w:before="49" w:line="250" w:lineRule="auto"/>
              <w:ind w:left="328" w:right="113" w:hanging="213"/>
            </w:pPr>
            <w:r>
              <w:rPr>
                <w:b/>
                <w:bCs/>
                <w:spacing w:val="-5"/>
              </w:rPr>
              <w:t>评分因</w:t>
            </w:r>
            <w:r>
              <w:rPr>
                <w:b/>
                <w:bCs/>
                <w:spacing w:val="-3"/>
              </w:rPr>
              <w:t>素</w:t>
            </w:r>
          </w:p>
        </w:tc>
        <w:tc>
          <w:tcPr>
            <w:tcW w:w="1116" w:type="dxa"/>
            <w:vAlign w:val="top"/>
          </w:tcPr>
          <w:p w14:paraId="3CE930EC">
            <w:pPr>
              <w:pStyle w:val="9"/>
              <w:spacing w:before="49" w:line="220" w:lineRule="auto"/>
              <w:ind w:left="139"/>
            </w:pPr>
            <w:r>
              <w:rPr>
                <w:b/>
                <w:bCs/>
                <w:spacing w:val="-4"/>
              </w:rPr>
              <w:t>评分因素</w:t>
            </w:r>
          </w:p>
          <w:p w14:paraId="225EB503">
            <w:pPr>
              <w:pStyle w:val="9"/>
              <w:spacing w:before="61" w:line="220" w:lineRule="auto"/>
              <w:ind w:left="139"/>
            </w:pPr>
            <w:r>
              <w:rPr>
                <w:b/>
                <w:bCs/>
                <w:spacing w:val="-4"/>
              </w:rPr>
              <w:t>权重分值</w:t>
            </w:r>
          </w:p>
        </w:tc>
        <w:tc>
          <w:tcPr>
            <w:tcW w:w="1103" w:type="dxa"/>
            <w:vAlign w:val="top"/>
          </w:tcPr>
          <w:p w14:paraId="41594759">
            <w:pPr>
              <w:pStyle w:val="9"/>
              <w:spacing w:before="50" w:line="220" w:lineRule="auto"/>
              <w:ind w:left="137"/>
            </w:pPr>
            <w:r>
              <w:rPr>
                <w:b/>
                <w:bCs/>
                <w:spacing w:val="-5"/>
              </w:rPr>
              <w:t>各评分因</w:t>
            </w:r>
          </w:p>
          <w:p w14:paraId="383FAA70">
            <w:pPr>
              <w:pStyle w:val="9"/>
              <w:spacing w:before="60" w:line="220" w:lineRule="auto"/>
              <w:ind w:left="137"/>
            </w:pPr>
            <w:r>
              <w:rPr>
                <w:b/>
                <w:bCs/>
                <w:spacing w:val="-5"/>
              </w:rPr>
              <w:t>素细分项</w:t>
            </w:r>
          </w:p>
        </w:tc>
        <w:tc>
          <w:tcPr>
            <w:tcW w:w="807" w:type="dxa"/>
            <w:vAlign w:val="top"/>
          </w:tcPr>
          <w:p w14:paraId="5DAE3084">
            <w:pPr>
              <w:pStyle w:val="9"/>
              <w:spacing w:before="205" w:line="220" w:lineRule="auto"/>
              <w:ind w:left="201"/>
            </w:pPr>
            <w:r>
              <w:rPr>
                <w:b/>
                <w:bCs/>
                <w:spacing w:val="-5"/>
              </w:rPr>
              <w:t>分值</w:t>
            </w:r>
          </w:p>
        </w:tc>
        <w:tc>
          <w:tcPr>
            <w:tcW w:w="5235" w:type="dxa"/>
            <w:vMerge w:val="continue"/>
            <w:tcBorders>
              <w:top w:val="nil"/>
            </w:tcBorders>
            <w:vAlign w:val="top"/>
          </w:tcPr>
          <w:p w14:paraId="3BA1728D">
            <w:pPr>
              <w:rPr>
                <w:rFonts w:ascii="Arial"/>
                <w:sz w:val="21"/>
              </w:rPr>
            </w:pPr>
          </w:p>
        </w:tc>
      </w:tr>
      <w:tr w14:paraId="037D5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757" w:type="dxa"/>
            <w:vAlign w:val="top"/>
          </w:tcPr>
          <w:p w14:paraId="7FDD05DD">
            <w:pPr>
              <w:rPr>
                <w:rFonts w:ascii="Arial"/>
                <w:sz w:val="21"/>
              </w:rPr>
            </w:pPr>
          </w:p>
        </w:tc>
        <w:tc>
          <w:tcPr>
            <w:tcW w:w="858" w:type="dxa"/>
            <w:gridSpan w:val="2"/>
            <w:vAlign w:val="top"/>
          </w:tcPr>
          <w:p w14:paraId="06942DA8">
            <w:pPr>
              <w:rPr>
                <w:rFonts w:ascii="Arial"/>
                <w:sz w:val="21"/>
              </w:rPr>
            </w:pPr>
          </w:p>
        </w:tc>
        <w:tc>
          <w:tcPr>
            <w:tcW w:w="1116" w:type="dxa"/>
            <w:vAlign w:val="top"/>
          </w:tcPr>
          <w:p w14:paraId="5D537455">
            <w:pPr>
              <w:rPr>
                <w:rFonts w:ascii="Arial"/>
                <w:sz w:val="21"/>
              </w:rPr>
            </w:pPr>
          </w:p>
        </w:tc>
        <w:tc>
          <w:tcPr>
            <w:tcW w:w="1103" w:type="dxa"/>
            <w:vAlign w:val="top"/>
          </w:tcPr>
          <w:p w14:paraId="2E4012F9">
            <w:pPr>
              <w:rPr>
                <w:rFonts w:ascii="Arial"/>
                <w:sz w:val="21"/>
              </w:rPr>
            </w:pPr>
          </w:p>
        </w:tc>
        <w:tc>
          <w:tcPr>
            <w:tcW w:w="807" w:type="dxa"/>
            <w:vAlign w:val="top"/>
          </w:tcPr>
          <w:p w14:paraId="72DAC19D">
            <w:pPr>
              <w:rPr>
                <w:rFonts w:ascii="Arial"/>
                <w:sz w:val="21"/>
              </w:rPr>
            </w:pPr>
          </w:p>
        </w:tc>
        <w:tc>
          <w:tcPr>
            <w:tcW w:w="5235" w:type="dxa"/>
            <w:vAlign w:val="top"/>
          </w:tcPr>
          <w:p w14:paraId="440CD688">
            <w:pPr>
              <w:pStyle w:val="9"/>
              <w:spacing w:before="122" w:line="278" w:lineRule="auto"/>
              <w:ind w:left="129" w:right="113" w:hanging="11"/>
            </w:pPr>
            <w:r>
              <w:rPr>
                <w:spacing w:val="1"/>
              </w:rPr>
              <w:t>（3）一般但不被评定为不响应的，得</w:t>
            </w:r>
            <w:r>
              <w:rPr>
                <w:spacing w:val="-30"/>
              </w:rPr>
              <w:t xml:space="preserve"> </w:t>
            </w:r>
            <w:r>
              <w:rPr>
                <w:b/>
                <w:bCs/>
                <w:spacing w:val="1"/>
                <w:u w:val="single" w:color="auto"/>
              </w:rPr>
              <w:t>6</w:t>
            </w:r>
            <w:r>
              <w:rPr>
                <w:spacing w:val="-38"/>
                <w:u w:val="single" w:color="auto"/>
              </w:rPr>
              <w:t xml:space="preserve"> </w:t>
            </w:r>
            <w:r>
              <w:rPr>
                <w:spacing w:val="1"/>
              </w:rPr>
              <w:t>分</w:t>
            </w:r>
            <w:r>
              <w:rPr>
                <w:spacing w:val="1"/>
                <w:u w:val="single" w:color="auto"/>
              </w:rPr>
              <w:t>（满分分值</w:t>
            </w:r>
            <w:r>
              <w:rPr>
                <w:spacing w:val="-6"/>
                <w:u w:val="single" w:color="auto"/>
              </w:rPr>
              <w:t>的</w:t>
            </w:r>
            <w:r>
              <w:rPr>
                <w:spacing w:val="-43"/>
                <w:u w:val="single" w:color="auto"/>
              </w:rPr>
              <w:t xml:space="preserve"> </w:t>
            </w:r>
            <w:r>
              <w:rPr>
                <w:spacing w:val="-6"/>
                <w:u w:val="single" w:color="auto"/>
              </w:rPr>
              <w:t>60%）</w:t>
            </w:r>
            <w:r>
              <w:rPr>
                <w:spacing w:val="-6"/>
              </w:rPr>
              <w:t>。</w:t>
            </w:r>
          </w:p>
        </w:tc>
      </w:tr>
      <w:tr w14:paraId="0CB37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4" w:hRule="atLeast"/>
        </w:trPr>
        <w:tc>
          <w:tcPr>
            <w:tcW w:w="757" w:type="dxa"/>
            <w:vAlign w:val="top"/>
          </w:tcPr>
          <w:p w14:paraId="2D524919">
            <w:pPr>
              <w:rPr>
                <w:rFonts w:ascii="Arial"/>
                <w:sz w:val="21"/>
              </w:rPr>
            </w:pPr>
          </w:p>
        </w:tc>
        <w:tc>
          <w:tcPr>
            <w:tcW w:w="858" w:type="dxa"/>
            <w:gridSpan w:val="2"/>
            <w:vAlign w:val="top"/>
          </w:tcPr>
          <w:p w14:paraId="7DFC0F01">
            <w:pPr>
              <w:rPr>
                <w:rFonts w:ascii="Arial"/>
                <w:sz w:val="21"/>
              </w:rPr>
            </w:pPr>
          </w:p>
        </w:tc>
        <w:tc>
          <w:tcPr>
            <w:tcW w:w="1116" w:type="dxa"/>
            <w:vAlign w:val="top"/>
          </w:tcPr>
          <w:p w14:paraId="0E36C854">
            <w:pPr>
              <w:rPr>
                <w:rFonts w:ascii="Arial"/>
                <w:sz w:val="21"/>
              </w:rPr>
            </w:pPr>
          </w:p>
        </w:tc>
        <w:tc>
          <w:tcPr>
            <w:tcW w:w="1103" w:type="dxa"/>
            <w:vAlign w:val="top"/>
          </w:tcPr>
          <w:p w14:paraId="377B6086">
            <w:pPr>
              <w:spacing w:line="260" w:lineRule="auto"/>
              <w:rPr>
                <w:rFonts w:ascii="Arial"/>
                <w:sz w:val="21"/>
              </w:rPr>
            </w:pPr>
          </w:p>
          <w:p w14:paraId="0F394BB9">
            <w:pPr>
              <w:spacing w:line="260" w:lineRule="auto"/>
              <w:rPr>
                <w:rFonts w:ascii="Arial"/>
                <w:sz w:val="21"/>
              </w:rPr>
            </w:pPr>
          </w:p>
          <w:p w14:paraId="621E1A3E">
            <w:pPr>
              <w:spacing w:line="260" w:lineRule="auto"/>
              <w:rPr>
                <w:rFonts w:ascii="Arial"/>
                <w:sz w:val="21"/>
              </w:rPr>
            </w:pPr>
          </w:p>
          <w:p w14:paraId="138BC866">
            <w:pPr>
              <w:spacing w:line="260" w:lineRule="auto"/>
              <w:rPr>
                <w:rFonts w:ascii="Arial"/>
                <w:sz w:val="21"/>
              </w:rPr>
            </w:pPr>
          </w:p>
          <w:p w14:paraId="6CFDEFBF">
            <w:pPr>
              <w:spacing w:line="260" w:lineRule="auto"/>
              <w:rPr>
                <w:rFonts w:ascii="Arial"/>
                <w:sz w:val="21"/>
              </w:rPr>
            </w:pPr>
          </w:p>
          <w:p w14:paraId="75605C95">
            <w:pPr>
              <w:spacing w:line="260" w:lineRule="auto"/>
              <w:rPr>
                <w:rFonts w:ascii="Arial"/>
                <w:sz w:val="21"/>
              </w:rPr>
            </w:pPr>
          </w:p>
          <w:p w14:paraId="09243996">
            <w:pPr>
              <w:spacing w:line="260" w:lineRule="auto"/>
              <w:rPr>
                <w:rFonts w:ascii="Arial"/>
                <w:sz w:val="21"/>
              </w:rPr>
            </w:pPr>
          </w:p>
          <w:p w14:paraId="41AED4EA">
            <w:pPr>
              <w:pStyle w:val="9"/>
              <w:spacing w:before="68" w:line="299" w:lineRule="auto"/>
              <w:ind w:left="175" w:right="130" w:hanging="40"/>
            </w:pPr>
            <w:r>
              <w:rPr>
                <w:spacing w:val="-3"/>
                <w:u w:val="single" w:color="auto"/>
              </w:rPr>
              <w:t>承包人项</w:t>
            </w:r>
            <w:r>
              <w:rPr>
                <w:spacing w:val="-13"/>
                <w:u w:val="single" w:color="auto"/>
              </w:rPr>
              <w:t>目管理方</w:t>
            </w:r>
          </w:p>
          <w:p w14:paraId="57C54039">
            <w:pPr>
              <w:pStyle w:val="9"/>
              <w:spacing w:line="171" w:lineRule="auto"/>
              <w:ind w:left="577"/>
              <w:rPr>
                <w:sz w:val="15"/>
                <w:szCs w:val="15"/>
              </w:rPr>
            </w:pPr>
          </w:p>
          <w:p w14:paraId="0F6A7DD9">
            <w:pPr>
              <w:pStyle w:val="9"/>
              <w:spacing w:line="202" w:lineRule="auto"/>
              <w:ind w:left="372"/>
            </w:pPr>
            <w:r>
              <w:rPr>
                <w:u w:val="single" w:color="auto"/>
              </w:rPr>
              <w:t>案</w:t>
            </w:r>
          </w:p>
        </w:tc>
        <w:tc>
          <w:tcPr>
            <w:tcW w:w="807" w:type="dxa"/>
            <w:vAlign w:val="top"/>
          </w:tcPr>
          <w:p w14:paraId="536CED0E">
            <w:pPr>
              <w:spacing w:line="246" w:lineRule="auto"/>
              <w:rPr>
                <w:rFonts w:ascii="Arial"/>
                <w:sz w:val="21"/>
              </w:rPr>
            </w:pPr>
          </w:p>
          <w:p w14:paraId="19E8A429">
            <w:pPr>
              <w:spacing w:line="246" w:lineRule="auto"/>
              <w:rPr>
                <w:rFonts w:ascii="Arial"/>
                <w:sz w:val="21"/>
              </w:rPr>
            </w:pPr>
          </w:p>
          <w:p w14:paraId="72B05B0D">
            <w:pPr>
              <w:spacing w:line="246" w:lineRule="auto"/>
              <w:rPr>
                <w:rFonts w:ascii="Arial"/>
                <w:sz w:val="21"/>
              </w:rPr>
            </w:pPr>
          </w:p>
          <w:p w14:paraId="51F3CA80">
            <w:pPr>
              <w:spacing w:line="246" w:lineRule="auto"/>
              <w:rPr>
                <w:rFonts w:ascii="Arial"/>
                <w:sz w:val="21"/>
              </w:rPr>
            </w:pPr>
          </w:p>
          <w:p w14:paraId="46FC0446">
            <w:pPr>
              <w:spacing w:line="246" w:lineRule="auto"/>
              <w:rPr>
                <w:rFonts w:ascii="Arial"/>
                <w:sz w:val="21"/>
              </w:rPr>
            </w:pPr>
          </w:p>
          <w:p w14:paraId="735AD146">
            <w:pPr>
              <w:spacing w:line="246" w:lineRule="auto"/>
              <w:rPr>
                <w:rFonts w:ascii="Arial"/>
                <w:sz w:val="21"/>
              </w:rPr>
            </w:pPr>
          </w:p>
          <w:p w14:paraId="244CA3E1">
            <w:pPr>
              <w:spacing w:line="247" w:lineRule="auto"/>
              <w:rPr>
                <w:rFonts w:ascii="Arial"/>
                <w:sz w:val="21"/>
              </w:rPr>
            </w:pPr>
          </w:p>
          <w:p w14:paraId="3F8B75B3">
            <w:pPr>
              <w:spacing w:line="247" w:lineRule="auto"/>
              <w:rPr>
                <w:rFonts w:ascii="Arial"/>
                <w:sz w:val="21"/>
              </w:rPr>
            </w:pPr>
          </w:p>
          <w:p w14:paraId="4E345850">
            <w:pPr>
              <w:spacing w:line="247" w:lineRule="auto"/>
              <w:rPr>
                <w:rFonts w:ascii="Arial"/>
                <w:sz w:val="21"/>
              </w:rPr>
            </w:pPr>
          </w:p>
          <w:p w14:paraId="77DCE0A9">
            <w:pPr>
              <w:pStyle w:val="9"/>
              <w:spacing w:before="69" w:line="220" w:lineRule="auto"/>
              <w:ind w:left="187"/>
            </w:pPr>
            <w:r>
              <w:rPr>
                <w:rFonts w:hint="eastAsia"/>
                <w:spacing w:val="-8"/>
                <w:u w:val="single" w:color="auto"/>
                <w:lang w:val="en-US" w:eastAsia="zh-CN"/>
              </w:rPr>
              <w:t>10</w:t>
            </w:r>
            <w:r>
              <w:rPr>
                <w:spacing w:val="-8"/>
              </w:rPr>
              <w:t>分</w:t>
            </w:r>
          </w:p>
        </w:tc>
        <w:tc>
          <w:tcPr>
            <w:tcW w:w="5235" w:type="dxa"/>
            <w:vAlign w:val="top"/>
          </w:tcPr>
          <w:p w14:paraId="4954757D">
            <w:pPr>
              <w:pStyle w:val="9"/>
              <w:spacing w:before="112" w:line="316" w:lineRule="auto"/>
              <w:ind w:left="112" w:firstLine="6"/>
            </w:pPr>
            <w:r>
              <w:rPr>
                <w:spacing w:val="1"/>
              </w:rPr>
              <w:t>（1）结合项目特点制定项目管理方案，该方案全面、</w:t>
            </w:r>
            <w:r>
              <w:rPr>
                <w:spacing w:val="-2"/>
              </w:rPr>
              <w:t>准确落实《广东省交通运输厅关于印发《关于推</w:t>
            </w:r>
            <w:r>
              <w:rPr>
                <w:spacing w:val="-3"/>
              </w:rPr>
              <w:t>进公路建设项目管理改革的指导意见（试行）》的通知》《广</w:t>
            </w:r>
            <w:r>
              <w:rPr>
                <w:spacing w:val="-6"/>
              </w:rPr>
              <w:t>东省公路工程施工项目部管理指南</w:t>
            </w:r>
            <w:r>
              <w:rPr>
                <w:rFonts w:hint="eastAsia"/>
                <w:spacing w:val="-6"/>
                <w:lang w:eastAsia="zh-CN"/>
              </w:rPr>
              <w:t>（</w:t>
            </w:r>
            <w:r>
              <w:rPr>
                <w:spacing w:val="-6"/>
              </w:rPr>
              <w:t>试行</w:t>
            </w:r>
            <w:r>
              <w:rPr>
                <w:rFonts w:hint="eastAsia"/>
                <w:spacing w:val="-6"/>
                <w:lang w:eastAsia="zh-CN"/>
              </w:rPr>
              <w:t>）</w:t>
            </w:r>
            <w:r>
              <w:rPr>
                <w:spacing w:val="-6"/>
              </w:rPr>
              <w:t>》等要求， 压</w:t>
            </w:r>
            <w:r>
              <w:t>实“产品生产者”的主体责任，构建承包人、项目部、</w:t>
            </w:r>
            <w:r>
              <w:rPr>
                <w:spacing w:val="-2"/>
              </w:rPr>
              <w:t>分包单位、劳务合作企业、施工班组、材料供应</w:t>
            </w:r>
            <w:r>
              <w:rPr>
                <w:spacing w:val="-3"/>
              </w:rPr>
              <w:t>商与机</w:t>
            </w:r>
            <w:r>
              <w:rPr>
                <w:spacing w:val="3"/>
              </w:rPr>
              <w:t>械设备租赁商的多层级组织管理架构，建立“管、监”</w:t>
            </w:r>
            <w:r>
              <w:rPr>
                <w:spacing w:val="4"/>
              </w:rPr>
              <w:t>分离的质量安全保证体系，</w:t>
            </w:r>
            <w:r>
              <w:rPr>
                <w:spacing w:val="-27"/>
              </w:rPr>
              <w:t xml:space="preserve"> </w:t>
            </w:r>
            <w:r>
              <w:rPr>
                <w:spacing w:val="4"/>
              </w:rPr>
              <w:t>得</w:t>
            </w:r>
            <w:r>
              <w:rPr>
                <w:spacing w:val="-27"/>
              </w:rPr>
              <w:t xml:space="preserve"> </w:t>
            </w:r>
            <w:r>
              <w:rPr>
                <w:b/>
                <w:bCs/>
                <w:spacing w:val="4"/>
                <w:u w:val="single" w:color="auto"/>
              </w:rPr>
              <w:t>8</w:t>
            </w:r>
            <w:r>
              <w:rPr>
                <w:rFonts w:ascii="Arial" w:hAnsi="Arial" w:eastAsia="Arial" w:cs="Arial"/>
                <w:b/>
                <w:bCs/>
                <w:spacing w:val="4"/>
                <w:u w:val="single" w:color="auto"/>
              </w:rPr>
              <w:t>~</w:t>
            </w:r>
            <w:r>
              <w:rPr>
                <w:rFonts w:ascii="Arial" w:hAnsi="Arial" w:eastAsia="Arial" w:cs="Arial"/>
                <w:b/>
                <w:bCs/>
                <w:spacing w:val="-34"/>
                <w:u w:val="single" w:color="auto"/>
              </w:rPr>
              <w:t xml:space="preserve"> </w:t>
            </w:r>
            <w:r>
              <w:rPr>
                <w:b/>
                <w:bCs/>
                <w:spacing w:val="4"/>
                <w:u w:val="single" w:color="auto"/>
              </w:rPr>
              <w:t>10</w:t>
            </w:r>
            <w:r>
              <w:rPr>
                <w:spacing w:val="-29"/>
                <w:u w:val="single" w:color="auto"/>
              </w:rPr>
              <w:t xml:space="preserve"> </w:t>
            </w:r>
            <w:r>
              <w:rPr>
                <w:spacing w:val="4"/>
              </w:rPr>
              <w:t>分</w:t>
            </w:r>
            <w:r>
              <w:rPr>
                <w:spacing w:val="4"/>
                <w:u w:val="single" w:color="auto"/>
              </w:rPr>
              <w:t>（满分分值的</w:t>
            </w:r>
            <w:r>
              <w:t xml:space="preserve"> </w:t>
            </w:r>
            <w:r>
              <w:rPr>
                <w:spacing w:val="-2"/>
                <w:u w:val="single" w:color="auto"/>
              </w:rPr>
              <w:t>80%～100%</w:t>
            </w:r>
            <w:r>
              <w:rPr>
                <w:spacing w:val="2"/>
                <w:u w:val="single" w:color="auto"/>
              </w:rPr>
              <w:t>）</w:t>
            </w:r>
            <w:r>
              <w:rPr>
                <w:spacing w:val="2"/>
              </w:rPr>
              <w:t>；</w:t>
            </w:r>
          </w:p>
          <w:p w14:paraId="6A479CE9">
            <w:pPr>
              <w:pStyle w:val="9"/>
              <w:spacing w:before="1" w:line="318" w:lineRule="auto"/>
              <w:ind w:left="116" w:right="110" w:firstLine="2"/>
            </w:pPr>
            <w:r>
              <w:rPr>
                <w:spacing w:val="2"/>
              </w:rPr>
              <w:t>（2）结合项目特点制定项目管理方案，该方案基本可</w:t>
            </w:r>
            <w:r>
              <w:rPr>
                <w:spacing w:val="-2"/>
              </w:rPr>
              <w:t>行，得</w:t>
            </w:r>
            <w:r>
              <w:rPr>
                <w:spacing w:val="-41"/>
              </w:rPr>
              <w:t xml:space="preserve"> </w:t>
            </w:r>
            <w:r>
              <w:rPr>
                <w:b/>
                <w:bCs/>
                <w:spacing w:val="-2"/>
                <w:u w:val="single" w:color="auto"/>
              </w:rPr>
              <w:t>6</w:t>
            </w:r>
            <w:r>
              <w:rPr>
                <w:rFonts w:ascii="Arial" w:hAnsi="Arial" w:eastAsia="Arial" w:cs="Arial"/>
                <w:b/>
                <w:bCs/>
                <w:spacing w:val="-2"/>
                <w:u w:val="single" w:color="auto"/>
              </w:rPr>
              <w:t>~</w:t>
            </w:r>
            <w:r>
              <w:rPr>
                <w:b/>
                <w:bCs/>
                <w:spacing w:val="-2"/>
                <w:u w:val="single" w:color="auto"/>
              </w:rPr>
              <w:t>8</w:t>
            </w:r>
            <w:r>
              <w:rPr>
                <w:b/>
                <w:bCs/>
                <w:spacing w:val="-42"/>
                <w:u w:val="single" w:color="auto"/>
              </w:rPr>
              <w:t xml:space="preserve"> </w:t>
            </w:r>
            <w:r>
              <w:rPr>
                <w:spacing w:val="-2"/>
              </w:rPr>
              <w:t>分</w:t>
            </w:r>
            <w:r>
              <w:rPr>
                <w:spacing w:val="-2"/>
                <w:u w:val="single" w:color="auto"/>
              </w:rPr>
              <w:t>（满分分值的</w:t>
            </w:r>
            <w:r>
              <w:rPr>
                <w:spacing w:val="-26"/>
                <w:u w:val="single" w:color="auto"/>
              </w:rPr>
              <w:t xml:space="preserve"> </w:t>
            </w:r>
            <w:r>
              <w:rPr>
                <w:spacing w:val="-2"/>
                <w:u w:val="single" w:color="auto"/>
              </w:rPr>
              <w:t>60%～80%</w:t>
            </w:r>
            <w:r>
              <w:rPr>
                <w:spacing w:val="-10"/>
                <w:u w:val="single" w:color="auto"/>
              </w:rPr>
              <w:t>）</w:t>
            </w:r>
            <w:r>
              <w:rPr>
                <w:spacing w:val="-10"/>
              </w:rPr>
              <w:t>；</w:t>
            </w:r>
          </w:p>
          <w:p w14:paraId="72E664C9">
            <w:pPr>
              <w:pStyle w:val="9"/>
              <w:spacing w:before="11" w:line="277" w:lineRule="auto"/>
              <w:ind w:left="129" w:right="113" w:hanging="11"/>
            </w:pPr>
            <w:r>
              <w:rPr>
                <w:spacing w:val="1"/>
              </w:rPr>
              <w:t>（3）一般但不被评定为不响应的，得</w:t>
            </w:r>
            <w:r>
              <w:rPr>
                <w:spacing w:val="-30"/>
              </w:rPr>
              <w:t xml:space="preserve"> </w:t>
            </w:r>
            <w:r>
              <w:rPr>
                <w:b/>
                <w:bCs/>
                <w:spacing w:val="1"/>
                <w:u w:val="single" w:color="auto"/>
              </w:rPr>
              <w:t>6</w:t>
            </w:r>
            <w:r>
              <w:rPr>
                <w:b/>
                <w:bCs/>
                <w:spacing w:val="-38"/>
                <w:u w:val="single" w:color="auto"/>
              </w:rPr>
              <w:t xml:space="preserve"> </w:t>
            </w:r>
            <w:r>
              <w:rPr>
                <w:spacing w:val="1"/>
              </w:rPr>
              <w:t>分</w:t>
            </w:r>
            <w:r>
              <w:rPr>
                <w:spacing w:val="1"/>
                <w:u w:val="single" w:color="auto"/>
              </w:rPr>
              <w:t>（满分分值</w:t>
            </w:r>
            <w:r>
              <w:rPr>
                <w:spacing w:val="-6"/>
                <w:u w:val="single" w:color="auto"/>
              </w:rPr>
              <w:t>的</w:t>
            </w:r>
            <w:r>
              <w:rPr>
                <w:spacing w:val="-43"/>
                <w:u w:val="single" w:color="auto"/>
              </w:rPr>
              <w:t xml:space="preserve"> </w:t>
            </w:r>
            <w:r>
              <w:rPr>
                <w:spacing w:val="-6"/>
                <w:u w:val="single" w:color="auto"/>
              </w:rPr>
              <w:t>60%）</w:t>
            </w:r>
            <w:r>
              <w:rPr>
                <w:spacing w:val="-6"/>
              </w:rPr>
              <w:t>。</w:t>
            </w:r>
          </w:p>
        </w:tc>
      </w:tr>
      <w:tr w14:paraId="4C333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9" w:hRule="atLeast"/>
        </w:trPr>
        <w:tc>
          <w:tcPr>
            <w:tcW w:w="757" w:type="dxa"/>
            <w:vAlign w:val="top"/>
          </w:tcPr>
          <w:p w14:paraId="074D110A">
            <w:pPr>
              <w:spacing w:line="291" w:lineRule="auto"/>
              <w:rPr>
                <w:rFonts w:ascii="Arial"/>
                <w:sz w:val="21"/>
              </w:rPr>
            </w:pPr>
          </w:p>
          <w:p w14:paraId="1B11E6DD">
            <w:pPr>
              <w:spacing w:line="291" w:lineRule="auto"/>
              <w:rPr>
                <w:rFonts w:ascii="Arial"/>
                <w:sz w:val="21"/>
              </w:rPr>
            </w:pPr>
          </w:p>
          <w:p w14:paraId="4F470C4E">
            <w:pPr>
              <w:spacing w:line="291" w:lineRule="auto"/>
              <w:rPr>
                <w:rFonts w:ascii="Arial"/>
                <w:sz w:val="21"/>
              </w:rPr>
            </w:pPr>
          </w:p>
          <w:p w14:paraId="0FCD1808">
            <w:pPr>
              <w:spacing w:line="291" w:lineRule="auto"/>
              <w:rPr>
                <w:rFonts w:ascii="Arial"/>
                <w:sz w:val="21"/>
              </w:rPr>
            </w:pPr>
          </w:p>
          <w:p w14:paraId="4ACD8AAD">
            <w:pPr>
              <w:pStyle w:val="9"/>
              <w:spacing w:before="69" w:line="239" w:lineRule="auto"/>
              <w:ind w:left="123"/>
            </w:pPr>
            <w:r>
              <w:rPr>
                <w:spacing w:val="-3"/>
              </w:rPr>
              <w:t>2.2.2</w:t>
            </w:r>
          </w:p>
          <w:p w14:paraId="74920853">
            <w:pPr>
              <w:pStyle w:val="9"/>
              <w:spacing w:before="127" w:line="232" w:lineRule="auto"/>
              <w:ind w:left="126"/>
            </w:pPr>
            <w:r>
              <w:rPr>
                <w:rFonts w:hint="eastAsia"/>
                <w:spacing w:val="-6"/>
                <w:lang w:eastAsia="zh-CN"/>
              </w:rPr>
              <w:t>(</w:t>
            </w:r>
            <w:r>
              <w:rPr>
                <w:spacing w:val="-6"/>
              </w:rPr>
              <w:t>2</w:t>
            </w:r>
            <w:r>
              <w:rPr>
                <w:rFonts w:hint="eastAsia"/>
                <w:spacing w:val="-6"/>
                <w:lang w:eastAsia="zh-CN"/>
              </w:rPr>
              <w:t>)</w:t>
            </w:r>
          </w:p>
        </w:tc>
        <w:tc>
          <w:tcPr>
            <w:tcW w:w="858" w:type="dxa"/>
            <w:gridSpan w:val="2"/>
            <w:vAlign w:val="top"/>
          </w:tcPr>
          <w:p w14:paraId="1D0F576D">
            <w:pPr>
              <w:spacing w:line="291" w:lineRule="auto"/>
              <w:rPr>
                <w:rFonts w:ascii="Arial"/>
                <w:sz w:val="21"/>
              </w:rPr>
            </w:pPr>
          </w:p>
          <w:p w14:paraId="143CEA13">
            <w:pPr>
              <w:spacing w:line="291" w:lineRule="auto"/>
              <w:rPr>
                <w:rFonts w:ascii="Arial"/>
                <w:sz w:val="21"/>
              </w:rPr>
            </w:pPr>
          </w:p>
          <w:p w14:paraId="7A372F60">
            <w:pPr>
              <w:spacing w:line="291" w:lineRule="auto"/>
              <w:rPr>
                <w:rFonts w:ascii="Arial"/>
                <w:sz w:val="21"/>
              </w:rPr>
            </w:pPr>
          </w:p>
          <w:p w14:paraId="028639C5">
            <w:pPr>
              <w:spacing w:line="291" w:lineRule="auto"/>
              <w:rPr>
                <w:rFonts w:ascii="Arial"/>
                <w:sz w:val="21"/>
              </w:rPr>
            </w:pPr>
          </w:p>
          <w:p w14:paraId="7EFDBF04">
            <w:pPr>
              <w:pStyle w:val="9"/>
              <w:spacing w:before="69" w:line="354" w:lineRule="auto"/>
              <w:ind w:left="333" w:right="114" w:hanging="216"/>
            </w:pPr>
            <w:r>
              <w:rPr>
                <w:spacing w:val="-4"/>
              </w:rPr>
              <w:t>主要人</w:t>
            </w:r>
            <w:r>
              <w:t>员</w:t>
            </w:r>
          </w:p>
        </w:tc>
        <w:tc>
          <w:tcPr>
            <w:tcW w:w="1116" w:type="dxa"/>
            <w:vAlign w:val="top"/>
          </w:tcPr>
          <w:p w14:paraId="6579B4CD">
            <w:pPr>
              <w:spacing w:line="272" w:lineRule="auto"/>
              <w:rPr>
                <w:rFonts w:ascii="Arial"/>
                <w:sz w:val="21"/>
              </w:rPr>
            </w:pPr>
          </w:p>
          <w:p w14:paraId="7BC57B11">
            <w:pPr>
              <w:spacing w:line="273" w:lineRule="auto"/>
              <w:rPr>
                <w:rFonts w:ascii="Arial"/>
                <w:sz w:val="21"/>
              </w:rPr>
            </w:pPr>
          </w:p>
          <w:p w14:paraId="104D7494">
            <w:pPr>
              <w:spacing w:line="273" w:lineRule="auto"/>
              <w:rPr>
                <w:rFonts w:ascii="Arial"/>
                <w:sz w:val="21"/>
              </w:rPr>
            </w:pPr>
          </w:p>
          <w:p w14:paraId="35AD2188">
            <w:pPr>
              <w:spacing w:line="273" w:lineRule="auto"/>
              <w:rPr>
                <w:rFonts w:ascii="Arial"/>
                <w:sz w:val="21"/>
              </w:rPr>
            </w:pPr>
          </w:p>
          <w:p w14:paraId="2FC9AD4A">
            <w:pPr>
              <w:spacing w:line="273" w:lineRule="auto"/>
              <w:rPr>
                <w:rFonts w:ascii="Arial"/>
                <w:sz w:val="21"/>
              </w:rPr>
            </w:pPr>
          </w:p>
          <w:p w14:paraId="5CCE1596">
            <w:pPr>
              <w:pStyle w:val="9"/>
              <w:spacing w:before="68" w:line="220" w:lineRule="auto"/>
              <w:ind w:left="380"/>
            </w:pPr>
            <w:r>
              <w:rPr>
                <w:spacing w:val="-4"/>
              </w:rPr>
              <w:t>2</w:t>
            </w:r>
            <w:r>
              <w:rPr>
                <w:rFonts w:hint="eastAsia"/>
                <w:spacing w:val="-4"/>
                <w:lang w:val="en-US" w:eastAsia="zh-CN"/>
              </w:rPr>
              <w:t>5</w:t>
            </w:r>
            <w:r>
              <w:rPr>
                <w:spacing w:val="-4"/>
              </w:rPr>
              <w:t>分</w:t>
            </w:r>
          </w:p>
        </w:tc>
        <w:tc>
          <w:tcPr>
            <w:tcW w:w="1103" w:type="dxa"/>
            <w:tcBorders>
              <w:bottom w:val="single" w:color="auto" w:sz="4" w:space="0"/>
            </w:tcBorders>
            <w:vAlign w:val="top"/>
          </w:tcPr>
          <w:p w14:paraId="6E0869F0">
            <w:pPr>
              <w:pStyle w:val="9"/>
              <w:spacing w:before="68" w:line="220" w:lineRule="auto"/>
              <w:ind w:left="138"/>
            </w:pPr>
            <w:r>
              <w:rPr>
                <w:spacing w:val="-3"/>
              </w:rPr>
              <w:t>项目经理</w:t>
            </w:r>
          </w:p>
          <w:p w14:paraId="0AB6951F">
            <w:pPr>
              <w:pStyle w:val="9"/>
              <w:spacing w:before="150" w:line="220" w:lineRule="auto"/>
              <w:ind w:left="136"/>
            </w:pPr>
            <w:r>
              <w:rPr>
                <w:spacing w:val="-2"/>
              </w:rPr>
              <w:t>和项目总</w:t>
            </w:r>
          </w:p>
          <w:p w14:paraId="43570C09">
            <w:pPr>
              <w:pStyle w:val="9"/>
              <w:spacing w:before="148" w:line="220" w:lineRule="auto"/>
              <w:ind w:left="137"/>
            </w:pPr>
            <w:r>
              <w:rPr>
                <w:spacing w:val="-3"/>
              </w:rPr>
              <w:t>工等主要</w:t>
            </w:r>
          </w:p>
          <w:p w14:paraId="6966FFA6">
            <w:pPr>
              <w:pStyle w:val="9"/>
              <w:spacing w:before="149" w:line="220" w:lineRule="auto"/>
              <w:ind w:left="140"/>
            </w:pPr>
            <w:r>
              <w:rPr>
                <w:spacing w:val="-3"/>
              </w:rPr>
              <w:t>管理人员</w:t>
            </w:r>
          </w:p>
          <w:p w14:paraId="5678FF97">
            <w:pPr>
              <w:pStyle w:val="9"/>
              <w:spacing w:before="150" w:line="220" w:lineRule="auto"/>
              <w:ind w:left="134"/>
            </w:pPr>
            <w:r>
              <w:rPr>
                <w:spacing w:val="-2"/>
              </w:rPr>
              <w:t>任职资格</w:t>
            </w:r>
          </w:p>
          <w:p w14:paraId="62E0CAED">
            <w:pPr>
              <w:pStyle w:val="9"/>
              <w:spacing w:before="65" w:line="333" w:lineRule="auto"/>
              <w:ind w:left="128" w:leftChars="0" w:right="259" w:rightChars="0" w:firstLine="4" w:firstLineChars="0"/>
              <w:jc w:val="both"/>
              <w:rPr>
                <w:rFonts w:ascii="Arial" w:hAnsi="Arial" w:eastAsia="宋体" w:cs="Arial"/>
                <w:snapToGrid w:val="0"/>
                <w:color w:val="000000"/>
                <w:kern w:val="0"/>
                <w:sz w:val="21"/>
                <w:szCs w:val="21"/>
                <w:lang w:val="en-US" w:eastAsia="en-US" w:bidi="ar-SA"/>
              </w:rPr>
            </w:pPr>
            <w:r>
              <w:rPr>
                <w:spacing w:val="-3"/>
              </w:rPr>
              <w:t>与业绩</w:t>
            </w:r>
          </w:p>
        </w:tc>
        <w:tc>
          <w:tcPr>
            <w:tcW w:w="807" w:type="dxa"/>
            <w:tcBorders>
              <w:bottom w:val="single" w:color="auto" w:sz="4" w:space="0"/>
            </w:tcBorders>
            <w:vAlign w:val="center"/>
          </w:tcPr>
          <w:p w14:paraId="7A428A23">
            <w:pPr>
              <w:spacing w:line="253" w:lineRule="auto"/>
              <w:rPr>
                <w:rFonts w:ascii="Arial" w:hAnsi="Arial" w:eastAsia="宋体" w:cs="Arial"/>
                <w:snapToGrid w:val="0"/>
                <w:color w:val="000000"/>
                <w:kern w:val="0"/>
                <w:sz w:val="21"/>
                <w:szCs w:val="21"/>
                <w:lang w:val="en-US" w:eastAsia="en-US" w:bidi="ar-SA"/>
              </w:rPr>
            </w:pPr>
          </w:p>
          <w:p w14:paraId="313B27BF">
            <w:pPr>
              <w:spacing w:line="253" w:lineRule="auto"/>
              <w:rPr>
                <w:rFonts w:ascii="Arial" w:hAnsi="Arial" w:eastAsia="宋体" w:cs="Arial"/>
                <w:snapToGrid w:val="0"/>
                <w:color w:val="000000"/>
                <w:kern w:val="0"/>
                <w:sz w:val="21"/>
                <w:szCs w:val="21"/>
                <w:lang w:val="en-US" w:eastAsia="en-US" w:bidi="ar-SA"/>
              </w:rPr>
            </w:pPr>
          </w:p>
          <w:p w14:paraId="0DDFD0FA">
            <w:pPr>
              <w:spacing w:line="253" w:lineRule="auto"/>
              <w:rPr>
                <w:rFonts w:ascii="Arial" w:hAnsi="Arial" w:eastAsia="宋体" w:cs="Arial"/>
                <w:snapToGrid w:val="0"/>
                <w:color w:val="000000"/>
                <w:kern w:val="0"/>
                <w:sz w:val="21"/>
                <w:szCs w:val="21"/>
                <w:lang w:val="en-US" w:eastAsia="en-US" w:bidi="ar-SA"/>
              </w:rPr>
            </w:pPr>
          </w:p>
          <w:p w14:paraId="5A5EEFEF">
            <w:pPr>
              <w:pStyle w:val="9"/>
              <w:tabs>
                <w:tab w:val="left" w:pos="332"/>
              </w:tabs>
              <w:spacing w:before="65" w:line="228" w:lineRule="auto"/>
              <w:rPr>
                <w:rFonts w:ascii="Arial" w:hAnsi="Arial" w:eastAsia="宋体" w:cs="Arial"/>
                <w:snapToGrid w:val="0"/>
                <w:color w:val="000000"/>
                <w:kern w:val="0"/>
                <w:sz w:val="21"/>
                <w:szCs w:val="21"/>
                <w:lang w:val="en-US" w:eastAsia="en-US" w:bidi="ar-SA"/>
              </w:rPr>
            </w:pPr>
            <w:r>
              <w:rPr>
                <w:rFonts w:hint="eastAsia"/>
                <w:spacing w:val="-8"/>
                <w:u w:val="single" w:color="auto"/>
                <w:lang w:val="en-US" w:eastAsia="zh-CN"/>
              </w:rPr>
              <w:t>25</w:t>
            </w:r>
            <w:r>
              <w:rPr>
                <w:rFonts w:ascii="Arial" w:hAnsi="Arial" w:eastAsia="宋体" w:cs="Arial"/>
                <w:snapToGrid w:val="0"/>
                <w:color w:val="000000"/>
                <w:kern w:val="0"/>
                <w:sz w:val="21"/>
                <w:szCs w:val="21"/>
                <w:lang w:val="en-US" w:eastAsia="en-US" w:bidi="ar-SA"/>
              </w:rPr>
              <w:t>分</w:t>
            </w:r>
          </w:p>
        </w:tc>
        <w:tc>
          <w:tcPr>
            <w:tcW w:w="5235" w:type="dxa"/>
            <w:tcBorders>
              <w:bottom w:val="single" w:color="auto" w:sz="4" w:space="0"/>
            </w:tcBorders>
            <w:vAlign w:val="center"/>
          </w:tcPr>
          <w:p w14:paraId="3B99AE00">
            <w:pPr>
              <w:pStyle w:val="9"/>
              <w:spacing w:before="113" w:line="280" w:lineRule="auto"/>
              <w:ind w:left="131" w:leftChars="0" w:right="175" w:rightChars="0" w:firstLine="10" w:firstLineChars="0"/>
              <w:rPr>
                <w:rFonts w:ascii="Arial" w:hAnsi="Arial" w:eastAsia="宋体" w:cs="Arial"/>
                <w:snapToGrid w:val="0"/>
                <w:color w:val="000000"/>
                <w:kern w:val="0"/>
                <w:sz w:val="21"/>
                <w:szCs w:val="21"/>
                <w:lang w:val="en-US" w:eastAsia="en-US" w:bidi="ar-SA"/>
              </w:rPr>
            </w:pPr>
            <w:r>
              <w:rPr>
                <w:spacing w:val="-2"/>
              </w:rPr>
              <w:t>满足资格审查条件（项目经理和项目总工等主要管理人</w:t>
            </w:r>
            <w:r>
              <w:rPr>
                <w:spacing w:val="-4"/>
              </w:rPr>
              <w:t>员最低要求）时，得</w:t>
            </w:r>
            <w:r>
              <w:rPr>
                <w:spacing w:val="-38"/>
              </w:rPr>
              <w:t xml:space="preserve"> </w:t>
            </w:r>
            <w:r>
              <w:rPr>
                <w:spacing w:val="-4"/>
              </w:rPr>
              <w:t>25</w:t>
            </w:r>
            <w:r>
              <w:rPr>
                <w:spacing w:val="-42"/>
              </w:rPr>
              <w:t xml:space="preserve"> </w:t>
            </w:r>
            <w:r>
              <w:rPr>
                <w:spacing w:val="-4"/>
              </w:rPr>
              <w:t>分。</w:t>
            </w:r>
          </w:p>
        </w:tc>
      </w:tr>
      <w:tr w14:paraId="5AEA4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757" w:type="dxa"/>
            <w:vMerge w:val="restart"/>
            <w:tcBorders>
              <w:bottom w:val="nil"/>
            </w:tcBorders>
            <w:vAlign w:val="top"/>
          </w:tcPr>
          <w:p w14:paraId="1C489018">
            <w:pPr>
              <w:spacing w:line="254" w:lineRule="auto"/>
              <w:rPr>
                <w:rFonts w:ascii="Arial"/>
                <w:sz w:val="21"/>
              </w:rPr>
            </w:pPr>
          </w:p>
          <w:p w14:paraId="5E2B5036">
            <w:pPr>
              <w:spacing w:line="254" w:lineRule="auto"/>
              <w:rPr>
                <w:rFonts w:ascii="Arial"/>
                <w:sz w:val="21"/>
              </w:rPr>
            </w:pPr>
          </w:p>
          <w:p w14:paraId="3016AD22">
            <w:pPr>
              <w:spacing w:line="254" w:lineRule="auto"/>
              <w:rPr>
                <w:rFonts w:ascii="Arial"/>
                <w:sz w:val="21"/>
              </w:rPr>
            </w:pPr>
          </w:p>
          <w:p w14:paraId="21081D79">
            <w:pPr>
              <w:spacing w:line="254" w:lineRule="auto"/>
              <w:rPr>
                <w:rFonts w:ascii="Arial"/>
                <w:sz w:val="21"/>
              </w:rPr>
            </w:pPr>
          </w:p>
          <w:p w14:paraId="6D274A69">
            <w:pPr>
              <w:spacing w:line="255" w:lineRule="auto"/>
              <w:rPr>
                <w:rFonts w:ascii="Arial"/>
                <w:sz w:val="21"/>
              </w:rPr>
            </w:pPr>
          </w:p>
          <w:p w14:paraId="59B99691">
            <w:pPr>
              <w:pStyle w:val="9"/>
              <w:spacing w:before="68" w:line="239" w:lineRule="auto"/>
              <w:ind w:left="123"/>
            </w:pPr>
            <w:r>
              <w:rPr>
                <w:spacing w:val="-3"/>
              </w:rPr>
              <w:t>2.2.2</w:t>
            </w:r>
          </w:p>
          <w:p w14:paraId="40F393F8">
            <w:pPr>
              <w:pStyle w:val="9"/>
              <w:spacing w:before="127" w:line="232" w:lineRule="auto"/>
              <w:ind w:left="126"/>
            </w:pPr>
            <w:r>
              <w:rPr>
                <w:rFonts w:hint="eastAsia"/>
                <w:spacing w:val="-6"/>
                <w:lang w:eastAsia="zh-CN"/>
              </w:rPr>
              <w:t>(</w:t>
            </w:r>
            <w:r>
              <w:rPr>
                <w:spacing w:val="-6"/>
              </w:rPr>
              <w:t>3</w:t>
            </w:r>
            <w:r>
              <w:rPr>
                <w:rFonts w:hint="eastAsia"/>
                <w:spacing w:val="-6"/>
                <w:lang w:eastAsia="zh-CN"/>
              </w:rPr>
              <w:t>)</w:t>
            </w:r>
          </w:p>
        </w:tc>
        <w:tc>
          <w:tcPr>
            <w:tcW w:w="432" w:type="dxa"/>
            <w:vMerge w:val="restart"/>
            <w:tcBorders>
              <w:bottom w:val="nil"/>
            </w:tcBorders>
            <w:textDirection w:val="tbRlV"/>
            <w:vAlign w:val="top"/>
          </w:tcPr>
          <w:p w14:paraId="510DA828">
            <w:pPr>
              <w:pStyle w:val="9"/>
              <w:spacing w:before="111" w:line="208" w:lineRule="auto"/>
              <w:ind w:left="947"/>
            </w:pPr>
            <w:r>
              <w:t>其</w:t>
            </w:r>
            <w:r>
              <w:rPr>
                <w:spacing w:val="84"/>
              </w:rPr>
              <w:t xml:space="preserve"> </w:t>
            </w:r>
            <w:r>
              <w:t>他</w:t>
            </w:r>
            <w:r>
              <w:rPr>
                <w:spacing w:val="84"/>
              </w:rPr>
              <w:t xml:space="preserve"> </w:t>
            </w:r>
            <w:r>
              <w:t>因</w:t>
            </w:r>
            <w:r>
              <w:rPr>
                <w:spacing w:val="86"/>
              </w:rPr>
              <w:t xml:space="preserve"> </w:t>
            </w:r>
            <w:r>
              <w:t>素</w:t>
            </w:r>
          </w:p>
        </w:tc>
        <w:tc>
          <w:tcPr>
            <w:tcW w:w="426" w:type="dxa"/>
            <w:textDirection w:val="tbRlV"/>
            <w:vAlign w:val="top"/>
          </w:tcPr>
          <w:p w14:paraId="0125D7E7">
            <w:pPr>
              <w:pStyle w:val="9"/>
              <w:spacing w:before="109" w:line="207" w:lineRule="auto"/>
              <w:ind w:left="142"/>
            </w:pPr>
            <w:r>
              <w:t>技</w:t>
            </w:r>
            <w:r>
              <w:rPr>
                <w:spacing w:val="84"/>
              </w:rPr>
              <w:t xml:space="preserve"> </w:t>
            </w:r>
            <w:r>
              <w:t>术</w:t>
            </w:r>
            <w:r>
              <w:rPr>
                <w:spacing w:val="84"/>
              </w:rPr>
              <w:t xml:space="preserve"> </w:t>
            </w:r>
            <w:r>
              <w:t>能</w:t>
            </w:r>
            <w:r>
              <w:rPr>
                <w:spacing w:val="86"/>
              </w:rPr>
              <w:t xml:space="preserve"> </w:t>
            </w:r>
            <w:r>
              <w:t>力</w:t>
            </w:r>
          </w:p>
        </w:tc>
        <w:tc>
          <w:tcPr>
            <w:tcW w:w="1116" w:type="dxa"/>
            <w:vAlign w:val="top"/>
          </w:tcPr>
          <w:p w14:paraId="0C8AA2B5">
            <w:pPr>
              <w:spacing w:line="335" w:lineRule="auto"/>
              <w:rPr>
                <w:rFonts w:ascii="Arial"/>
                <w:sz w:val="21"/>
              </w:rPr>
            </w:pPr>
          </w:p>
          <w:p w14:paraId="6511A947">
            <w:pPr>
              <w:spacing w:line="335" w:lineRule="auto"/>
              <w:rPr>
                <w:rFonts w:ascii="Arial"/>
                <w:sz w:val="21"/>
              </w:rPr>
            </w:pPr>
          </w:p>
          <w:p w14:paraId="62A65D5B">
            <w:pPr>
              <w:pStyle w:val="9"/>
              <w:spacing w:before="68" w:line="220" w:lineRule="auto"/>
              <w:ind w:left="365"/>
            </w:pPr>
            <w:r>
              <w:rPr>
                <w:rFonts w:hint="eastAsia"/>
                <w:spacing w:val="-8"/>
                <w:lang w:val="en-US" w:eastAsia="zh-CN"/>
              </w:rPr>
              <w:t>10</w:t>
            </w:r>
            <w:r>
              <w:rPr>
                <w:spacing w:val="10"/>
              </w:rPr>
              <w:t xml:space="preserve"> </w:t>
            </w:r>
            <w:r>
              <w:rPr>
                <w:spacing w:val="-8"/>
              </w:rPr>
              <w:t>分</w:t>
            </w:r>
          </w:p>
        </w:tc>
        <w:tc>
          <w:tcPr>
            <w:tcW w:w="7145" w:type="dxa"/>
            <w:gridSpan w:val="3"/>
            <w:vAlign w:val="top"/>
          </w:tcPr>
          <w:p w14:paraId="6A193075">
            <w:pPr>
              <w:spacing w:line="471" w:lineRule="auto"/>
              <w:rPr>
                <w:rFonts w:ascii="Arial"/>
                <w:sz w:val="21"/>
              </w:rPr>
            </w:pPr>
          </w:p>
          <w:p w14:paraId="2F692793">
            <w:pPr>
              <w:pStyle w:val="9"/>
              <w:spacing w:before="69" w:line="353" w:lineRule="auto"/>
              <w:ind w:left="116" w:right="104" w:hanging="5"/>
            </w:pPr>
            <w:r>
              <w:t>满足资格审查条件（资质、财务、业绩、信誉、项目经理和</w:t>
            </w:r>
            <w:r>
              <w:rPr>
                <w:spacing w:val="-1"/>
              </w:rPr>
              <w:t>项目总工等主要</w:t>
            </w:r>
            <w:r>
              <w:rPr>
                <w:spacing w:val="-4"/>
              </w:rPr>
              <w:t>管理人员）最低要求的，得满分</w:t>
            </w:r>
            <w:r>
              <w:rPr>
                <w:spacing w:val="-16"/>
              </w:rPr>
              <w:t xml:space="preserve"> </w:t>
            </w:r>
            <w:r>
              <w:rPr>
                <w:spacing w:val="-4"/>
              </w:rPr>
              <w:t>10</w:t>
            </w:r>
            <w:r>
              <w:rPr>
                <w:spacing w:val="-41"/>
              </w:rPr>
              <w:t xml:space="preserve"> </w:t>
            </w:r>
            <w:r>
              <w:rPr>
                <w:spacing w:val="-4"/>
              </w:rPr>
              <w:t>分。</w:t>
            </w:r>
          </w:p>
        </w:tc>
      </w:tr>
      <w:tr w14:paraId="7934C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757" w:type="dxa"/>
            <w:vMerge w:val="continue"/>
            <w:tcBorders>
              <w:top w:val="nil"/>
            </w:tcBorders>
            <w:vAlign w:val="top"/>
          </w:tcPr>
          <w:p w14:paraId="0F938BD0">
            <w:pPr>
              <w:rPr>
                <w:rFonts w:ascii="Arial"/>
                <w:sz w:val="21"/>
              </w:rPr>
            </w:pPr>
          </w:p>
        </w:tc>
        <w:tc>
          <w:tcPr>
            <w:tcW w:w="432" w:type="dxa"/>
            <w:vMerge w:val="continue"/>
            <w:tcBorders>
              <w:top w:val="nil"/>
            </w:tcBorders>
            <w:textDirection w:val="tbRlV"/>
            <w:vAlign w:val="top"/>
          </w:tcPr>
          <w:p w14:paraId="0261AEFB">
            <w:pPr>
              <w:rPr>
                <w:rFonts w:ascii="Arial"/>
                <w:sz w:val="21"/>
              </w:rPr>
            </w:pPr>
          </w:p>
        </w:tc>
        <w:tc>
          <w:tcPr>
            <w:tcW w:w="426" w:type="dxa"/>
            <w:textDirection w:val="tbRlV"/>
            <w:vAlign w:val="top"/>
          </w:tcPr>
          <w:p w14:paraId="25C7FA01">
            <w:pPr>
              <w:pStyle w:val="9"/>
              <w:spacing w:before="108" w:line="208" w:lineRule="auto"/>
              <w:ind w:left="141"/>
            </w:pPr>
            <w:r>
              <w:t>履</w:t>
            </w:r>
            <w:r>
              <w:rPr>
                <w:spacing w:val="85"/>
              </w:rPr>
              <w:t xml:space="preserve"> </w:t>
            </w:r>
            <w:r>
              <w:t>约</w:t>
            </w:r>
            <w:r>
              <w:rPr>
                <w:spacing w:val="84"/>
              </w:rPr>
              <w:t xml:space="preserve"> </w:t>
            </w:r>
            <w:r>
              <w:t>信</w:t>
            </w:r>
            <w:r>
              <w:rPr>
                <w:spacing w:val="85"/>
              </w:rPr>
              <w:t xml:space="preserve"> </w:t>
            </w:r>
            <w:r>
              <w:t>誉</w:t>
            </w:r>
          </w:p>
        </w:tc>
        <w:tc>
          <w:tcPr>
            <w:tcW w:w="1116" w:type="dxa"/>
            <w:vAlign w:val="top"/>
          </w:tcPr>
          <w:p w14:paraId="45EF711F">
            <w:pPr>
              <w:spacing w:line="334" w:lineRule="auto"/>
              <w:rPr>
                <w:rFonts w:ascii="Arial"/>
                <w:sz w:val="21"/>
              </w:rPr>
            </w:pPr>
          </w:p>
          <w:p w14:paraId="2DBF7A09">
            <w:pPr>
              <w:spacing w:line="335" w:lineRule="auto"/>
              <w:rPr>
                <w:rFonts w:ascii="Arial"/>
                <w:sz w:val="21"/>
              </w:rPr>
            </w:pPr>
          </w:p>
          <w:p w14:paraId="3D134336">
            <w:pPr>
              <w:pStyle w:val="9"/>
              <w:spacing w:before="69" w:line="220" w:lineRule="auto"/>
              <w:ind w:left="352"/>
            </w:pPr>
            <w:r>
              <w:rPr>
                <w:spacing w:val="-3"/>
              </w:rPr>
              <w:t>2</w:t>
            </w:r>
            <w:r>
              <w:rPr>
                <w:rFonts w:hint="eastAsia"/>
                <w:spacing w:val="-3"/>
                <w:lang w:val="en-US" w:eastAsia="zh-CN"/>
              </w:rPr>
              <w:t>5</w:t>
            </w:r>
            <w:r>
              <w:rPr>
                <w:spacing w:val="9"/>
              </w:rPr>
              <w:t xml:space="preserve"> </w:t>
            </w:r>
            <w:r>
              <w:rPr>
                <w:spacing w:val="-3"/>
              </w:rPr>
              <w:t>分</w:t>
            </w:r>
          </w:p>
        </w:tc>
        <w:tc>
          <w:tcPr>
            <w:tcW w:w="7145" w:type="dxa"/>
            <w:gridSpan w:val="3"/>
            <w:vAlign w:val="top"/>
          </w:tcPr>
          <w:p w14:paraId="144A375B">
            <w:pPr>
              <w:pStyle w:val="9"/>
              <w:spacing w:before="141" w:line="220" w:lineRule="auto"/>
              <w:ind w:left="126"/>
            </w:pPr>
            <w:r>
              <w:rPr>
                <w:spacing w:val="-3"/>
              </w:rPr>
              <w:t>1. 信用等级分值（10</w:t>
            </w:r>
            <w:r>
              <w:rPr>
                <w:spacing w:val="-36"/>
              </w:rPr>
              <w:t xml:space="preserve"> </w:t>
            </w:r>
            <w:r>
              <w:rPr>
                <w:spacing w:val="-3"/>
              </w:rPr>
              <w:t>分）</w:t>
            </w:r>
          </w:p>
          <w:p w14:paraId="0C70E618">
            <w:pPr>
              <w:pStyle w:val="9"/>
              <w:spacing w:before="151" w:line="351" w:lineRule="auto"/>
              <w:ind w:left="110" w:right="609" w:hanging="6"/>
            </w:pPr>
            <w:r>
              <w:rPr>
                <w:spacing w:val="-2"/>
              </w:rPr>
              <w:t>AA、A、B、C</w:t>
            </w:r>
            <w:r>
              <w:rPr>
                <w:spacing w:val="-34"/>
              </w:rPr>
              <w:t xml:space="preserve"> </w:t>
            </w:r>
            <w:r>
              <w:rPr>
                <w:spacing w:val="-2"/>
              </w:rPr>
              <w:t>级单位的信用等级分得分分别为</w:t>
            </w:r>
            <w:r>
              <w:rPr>
                <w:spacing w:val="-28"/>
              </w:rPr>
              <w:t xml:space="preserve"> </w:t>
            </w:r>
            <w:r>
              <w:rPr>
                <w:spacing w:val="-2"/>
              </w:rPr>
              <w:t>10、9.</w:t>
            </w:r>
            <w:r>
              <w:rPr>
                <w:spacing w:val="-3"/>
              </w:rPr>
              <w:t>5、8.9、7.3</w:t>
            </w:r>
            <w:r>
              <w:rPr>
                <w:spacing w:val="-42"/>
              </w:rPr>
              <w:t xml:space="preserve"> </w:t>
            </w:r>
            <w:r>
              <w:rPr>
                <w:spacing w:val="-3"/>
              </w:rPr>
              <w:t>分。</w:t>
            </w:r>
            <w:r>
              <w:rPr>
                <w:spacing w:val="-2"/>
              </w:rPr>
              <w:t>注：信用等级的确定原则遵循投标人须知前附表</w:t>
            </w:r>
            <w:r>
              <w:rPr>
                <w:spacing w:val="-30"/>
              </w:rPr>
              <w:t xml:space="preserve"> </w:t>
            </w:r>
            <w:r>
              <w:rPr>
                <w:spacing w:val="-2"/>
              </w:rPr>
              <w:t>10.2</w:t>
            </w:r>
            <w:r>
              <w:rPr>
                <w:spacing w:val="-42"/>
              </w:rPr>
              <w:t xml:space="preserve"> </w:t>
            </w:r>
            <w:r>
              <w:rPr>
                <w:spacing w:val="-2"/>
              </w:rPr>
              <w:t>款</w:t>
            </w:r>
            <w:r>
              <w:rPr>
                <w:spacing w:val="-3"/>
              </w:rPr>
              <w:t>的规定。</w:t>
            </w:r>
          </w:p>
          <w:p w14:paraId="3E22F216">
            <w:pPr>
              <w:pStyle w:val="9"/>
              <w:spacing w:before="97" w:line="220" w:lineRule="auto"/>
              <w:ind w:left="112"/>
            </w:pPr>
            <w:r>
              <w:rPr>
                <w:spacing w:val="7"/>
              </w:rPr>
              <w:t>2. 履约情况（15 分）</w:t>
            </w:r>
            <w:r>
              <w:rPr>
                <w:spacing w:val="-5"/>
              </w:rPr>
              <w:t>若没出现下述情形得满分；</w:t>
            </w:r>
          </w:p>
          <w:p w14:paraId="4B0E463A">
            <w:pPr>
              <w:pStyle w:val="9"/>
              <w:spacing w:before="89" w:line="219" w:lineRule="auto"/>
              <w:ind w:left="113"/>
            </w:pPr>
            <w:r>
              <w:rPr>
                <w:spacing w:val="-3"/>
              </w:rPr>
              <w:t>投标人因公路工程（含附属设施）质量、安全事故被：</w:t>
            </w:r>
          </w:p>
          <w:p w14:paraId="6ECD433B">
            <w:pPr>
              <w:pStyle w:val="9"/>
              <w:spacing w:before="91" w:line="220" w:lineRule="auto"/>
              <w:ind w:left="117"/>
            </w:pPr>
            <w:r>
              <w:rPr>
                <w:spacing w:val="-2"/>
              </w:rPr>
              <w:t>（1）交通运输部行政处罚、且在处罚信息公</w:t>
            </w:r>
            <w:r>
              <w:rPr>
                <w:spacing w:val="-3"/>
              </w:rPr>
              <w:t>示期内的，扣</w:t>
            </w:r>
            <w:r>
              <w:rPr>
                <w:spacing w:val="-25"/>
              </w:rPr>
              <w:t xml:space="preserve"> </w:t>
            </w:r>
            <w:r>
              <w:rPr>
                <w:spacing w:val="-3"/>
              </w:rPr>
              <w:t>2</w:t>
            </w:r>
            <w:r>
              <w:rPr>
                <w:spacing w:val="-41"/>
              </w:rPr>
              <w:t xml:space="preserve"> </w:t>
            </w:r>
            <w:r>
              <w:rPr>
                <w:spacing w:val="-3"/>
              </w:rPr>
              <w:t>分/次。</w:t>
            </w:r>
          </w:p>
          <w:p w14:paraId="5271C767">
            <w:pPr>
              <w:pStyle w:val="9"/>
              <w:spacing w:before="89" w:line="220" w:lineRule="auto"/>
              <w:ind w:left="117"/>
            </w:pPr>
            <w:r>
              <w:rPr>
                <w:spacing w:val="-3"/>
              </w:rPr>
              <w:t>（2）广东省交通运输厅行政处罚、且在处罚信息公示期内的，扣 1</w:t>
            </w:r>
            <w:r>
              <w:rPr>
                <w:spacing w:val="-34"/>
              </w:rPr>
              <w:t xml:space="preserve"> </w:t>
            </w:r>
            <w:r>
              <w:rPr>
                <w:spacing w:val="-3"/>
              </w:rPr>
              <w:t>分/次。</w:t>
            </w:r>
          </w:p>
          <w:p w14:paraId="739BCD61">
            <w:pPr>
              <w:pStyle w:val="9"/>
              <w:tabs>
                <w:tab w:val="left" w:pos="222"/>
              </w:tabs>
              <w:spacing w:before="90" w:line="295" w:lineRule="auto"/>
              <w:ind w:left="112" w:right="115" w:hanging="9"/>
              <w:rPr>
                <w:sz w:val="10"/>
                <w:szCs w:val="10"/>
              </w:rPr>
            </w:pPr>
            <w:r>
              <w:rPr>
                <w:spacing w:val="2"/>
                <w:u w:val="single" w:color="auto"/>
              </w:rPr>
              <w:t>（3</w:t>
            </w:r>
            <w:r>
              <w:rPr>
                <w:spacing w:val="-40"/>
                <w:u w:val="single" w:color="auto"/>
              </w:rPr>
              <w:t>）（</w:t>
            </w:r>
            <w:r>
              <w:rPr>
                <w:spacing w:val="2"/>
                <w:u w:val="single" w:color="auto"/>
              </w:rPr>
              <w:t>项目涉及各地级以上市）市交通运输局行政处罚、</w:t>
            </w:r>
            <w:r>
              <w:rPr>
                <w:spacing w:val="1"/>
                <w:u w:val="single" w:color="auto"/>
              </w:rPr>
              <w:t>且在处罚信息公</w:t>
            </w:r>
            <w:r>
              <w:rPr>
                <w:spacing w:val="-1"/>
                <w:u w:val="single" w:color="auto"/>
              </w:rPr>
              <w:t>示期内的，扣</w:t>
            </w:r>
            <w:r>
              <w:rPr>
                <w:spacing w:val="-37"/>
                <w:u w:val="single" w:color="auto"/>
              </w:rPr>
              <w:t xml:space="preserve"> </w:t>
            </w:r>
            <w:r>
              <w:rPr>
                <w:spacing w:val="-1"/>
                <w:u w:val="single" w:color="auto"/>
              </w:rPr>
              <w:t>0.5</w:t>
            </w:r>
            <w:r>
              <w:rPr>
                <w:spacing w:val="-41"/>
                <w:u w:val="single" w:color="auto"/>
              </w:rPr>
              <w:t xml:space="preserve"> </w:t>
            </w:r>
            <w:r>
              <w:rPr>
                <w:spacing w:val="-1"/>
                <w:u w:val="single" w:color="auto"/>
              </w:rPr>
              <w:t>分/次。如该项目涉及多个地级以上市的均应扣分。</w:t>
            </w:r>
          </w:p>
          <w:p w14:paraId="0B32C416">
            <w:pPr>
              <w:spacing w:line="279" w:lineRule="auto"/>
              <w:rPr>
                <w:rFonts w:ascii="Arial"/>
                <w:sz w:val="21"/>
              </w:rPr>
            </w:pPr>
          </w:p>
          <w:p w14:paraId="0894FD83">
            <w:pPr>
              <w:pStyle w:val="9"/>
              <w:spacing w:before="68" w:line="299" w:lineRule="auto"/>
              <w:ind w:left="111" w:right="105"/>
              <w:jc w:val="both"/>
            </w:pPr>
            <w:r>
              <w:t>注：1.处罚信息公示期，是指行政机关将行政处罚决</w:t>
            </w:r>
            <w:r>
              <w:rPr>
                <w:spacing w:val="-1"/>
              </w:rPr>
              <w:t>定信息通过信用中国向社会公开的期限；以投标文件递交截止日</w:t>
            </w:r>
            <w:r>
              <w:rPr>
                <w:spacing w:val="-43"/>
              </w:rPr>
              <w:t xml:space="preserve"> </w:t>
            </w:r>
            <w:r>
              <w:rPr>
                <w:spacing w:val="-1"/>
              </w:rPr>
              <w:t>0</w:t>
            </w:r>
            <w:r>
              <w:rPr>
                <w:spacing w:val="-34"/>
              </w:rPr>
              <w:t xml:space="preserve"> </w:t>
            </w:r>
            <w:r>
              <w:rPr>
                <w:spacing w:val="-1"/>
              </w:rPr>
              <w:t>时是否位于处罚信息公示</w:t>
            </w:r>
            <w:r>
              <w:rPr>
                <w:spacing w:val="-2"/>
              </w:rPr>
              <w:t>期，来</w:t>
            </w:r>
            <w:r>
              <w:rPr>
                <w:spacing w:val="-1"/>
              </w:rPr>
              <w:t>判定是否影响相关投标人的履约情况得分，投标文件递交截止</w:t>
            </w:r>
            <w:r>
              <w:rPr>
                <w:spacing w:val="-2"/>
              </w:rPr>
              <w:t>日</w:t>
            </w:r>
            <w:r>
              <w:rPr>
                <w:spacing w:val="-42"/>
              </w:rPr>
              <w:t xml:space="preserve"> </w:t>
            </w:r>
            <w:r>
              <w:rPr>
                <w:spacing w:val="-2"/>
              </w:rPr>
              <w:t>0</w:t>
            </w:r>
            <w:r>
              <w:rPr>
                <w:spacing w:val="-35"/>
              </w:rPr>
              <w:t xml:space="preserve"> </w:t>
            </w:r>
            <w:r>
              <w:rPr>
                <w:spacing w:val="-2"/>
              </w:rPr>
              <w:t>时在处罚信息公示期内应予以扣分、否则不予扣分。</w:t>
            </w:r>
          </w:p>
          <w:p w14:paraId="18742B09">
            <w:pPr>
              <w:pStyle w:val="9"/>
              <w:spacing w:before="1" w:line="219" w:lineRule="auto"/>
              <w:ind w:left="113"/>
            </w:pPr>
            <w:r>
              <w:rPr>
                <w:spacing w:val="-2"/>
              </w:rPr>
              <w:t>2.同一事项同时被多个部门行政处罚只按最高的扣分计算</w:t>
            </w:r>
            <w:r>
              <w:rPr>
                <w:spacing w:val="-21"/>
              </w:rPr>
              <w:t xml:space="preserve"> </w:t>
            </w:r>
            <w:r>
              <w:rPr>
                <w:spacing w:val="-2"/>
              </w:rPr>
              <w:t>1</w:t>
            </w:r>
            <w:r>
              <w:rPr>
                <w:spacing w:val="-38"/>
              </w:rPr>
              <w:t xml:space="preserve"> </w:t>
            </w:r>
            <w:r>
              <w:rPr>
                <w:spacing w:val="-2"/>
              </w:rPr>
              <w:t>次。</w:t>
            </w:r>
          </w:p>
          <w:p w14:paraId="442A2CC3">
            <w:pPr>
              <w:pStyle w:val="9"/>
              <w:spacing w:before="20" w:line="360" w:lineRule="auto"/>
              <w:ind w:left="109" w:right="204" w:firstLine="5"/>
            </w:pPr>
            <w:r>
              <w:rPr>
                <w:spacing w:val="1"/>
                <w:u w:val="single" w:color="auto"/>
              </w:rPr>
              <w:t>3.第</w:t>
            </w:r>
            <w:r>
              <w:rPr>
                <w:spacing w:val="-40"/>
                <w:u w:val="single" w:color="auto"/>
              </w:rPr>
              <w:t xml:space="preserve"> </w:t>
            </w:r>
            <w:r>
              <w:rPr>
                <w:spacing w:val="1"/>
                <w:u w:val="single" w:color="auto"/>
              </w:rPr>
              <w:t>2（3）条款“项目涉及各地级以上市”指：本项目</w:t>
            </w:r>
            <w:r>
              <w:rPr>
                <w:u w:val="single" w:color="auto"/>
              </w:rPr>
              <w:t>（以立项为单位）</w:t>
            </w:r>
            <w:r>
              <w:rPr>
                <w:spacing w:val="2"/>
                <w:u w:val="single" w:color="auto"/>
              </w:rPr>
              <w:t>涉及多个地市，如投标人所投某个标段（仅涉及部分地市</w:t>
            </w:r>
            <w:r>
              <w:rPr>
                <w:spacing w:val="22"/>
                <w:u w:val="single" w:color="auto"/>
              </w:rPr>
              <w:t>），</w:t>
            </w:r>
            <w:r>
              <w:rPr>
                <w:spacing w:val="2"/>
                <w:u w:val="single" w:color="auto"/>
              </w:rPr>
              <w:t>该标段履约</w:t>
            </w:r>
            <w:r>
              <w:rPr>
                <w:spacing w:val="3"/>
                <w:u w:val="single" w:color="auto"/>
              </w:rPr>
              <w:t>情况按项目（以立项为单位）涉及各地市交通运输局相关行政处罚均应包</w:t>
            </w:r>
            <w:r>
              <w:rPr>
                <w:spacing w:val="1"/>
                <w:u w:val="single" w:color="auto"/>
              </w:rPr>
              <w:t>含。如某项目涉及</w:t>
            </w:r>
            <w:r>
              <w:rPr>
                <w:spacing w:val="-41"/>
                <w:u w:val="single" w:color="auto"/>
              </w:rPr>
              <w:t xml:space="preserve"> </w:t>
            </w:r>
            <w:r>
              <w:rPr>
                <w:spacing w:val="1"/>
                <w:u w:val="single" w:color="auto"/>
              </w:rPr>
              <w:t>A、B、C</w:t>
            </w:r>
            <w:r>
              <w:rPr>
                <w:spacing w:val="-41"/>
                <w:u w:val="single" w:color="auto"/>
              </w:rPr>
              <w:t xml:space="preserve"> </w:t>
            </w:r>
            <w:r>
              <w:rPr>
                <w:spacing w:val="1"/>
                <w:u w:val="single" w:color="auto"/>
              </w:rPr>
              <w:t>三个地级以上市，但标段</w:t>
            </w:r>
            <w:r>
              <w:rPr>
                <w:spacing w:val="-40"/>
                <w:u w:val="single" w:color="auto"/>
              </w:rPr>
              <w:t xml:space="preserve"> </w:t>
            </w:r>
            <w:r>
              <w:rPr>
                <w:spacing w:val="1"/>
                <w:u w:val="single" w:color="auto"/>
              </w:rPr>
              <w:t>3</w:t>
            </w:r>
            <w:r>
              <w:rPr>
                <w:spacing w:val="-42"/>
                <w:u w:val="single" w:color="auto"/>
              </w:rPr>
              <w:t xml:space="preserve"> </w:t>
            </w:r>
            <w:r>
              <w:rPr>
                <w:spacing w:val="1"/>
                <w:u w:val="single" w:color="auto"/>
              </w:rPr>
              <w:t>仅涉及</w:t>
            </w:r>
            <w:r>
              <w:rPr>
                <w:spacing w:val="-48"/>
                <w:u w:val="single" w:color="auto"/>
              </w:rPr>
              <w:t xml:space="preserve"> </w:t>
            </w:r>
            <w:r>
              <w:rPr>
                <w:spacing w:val="1"/>
                <w:u w:val="single" w:color="auto"/>
              </w:rPr>
              <w:t>A</w:t>
            </w:r>
            <w:r>
              <w:rPr>
                <w:spacing w:val="-37"/>
                <w:u w:val="single" w:color="auto"/>
              </w:rPr>
              <w:t xml:space="preserve"> </w:t>
            </w:r>
            <w:r>
              <w:rPr>
                <w:spacing w:val="1"/>
                <w:u w:val="single" w:color="auto"/>
              </w:rPr>
              <w:t>市，该条</w:t>
            </w:r>
            <w:r>
              <w:rPr>
                <w:spacing w:val="3"/>
                <w:u w:val="single" w:color="auto"/>
              </w:rPr>
              <w:t>款履约情况应为</w:t>
            </w:r>
            <w:r>
              <w:rPr>
                <w:spacing w:val="-48"/>
                <w:u w:val="single" w:color="auto"/>
              </w:rPr>
              <w:t xml:space="preserve"> </w:t>
            </w:r>
            <w:r>
              <w:rPr>
                <w:spacing w:val="3"/>
                <w:u w:val="single" w:color="auto"/>
              </w:rPr>
              <w:t>A、B、C</w:t>
            </w:r>
            <w:r>
              <w:rPr>
                <w:spacing w:val="-40"/>
                <w:u w:val="single" w:color="auto"/>
              </w:rPr>
              <w:t xml:space="preserve"> </w:t>
            </w:r>
            <w:r>
              <w:rPr>
                <w:spacing w:val="3"/>
                <w:u w:val="single" w:color="auto"/>
              </w:rPr>
              <w:t>三个地级以上市</w:t>
            </w:r>
            <w:r>
              <w:rPr>
                <w:spacing w:val="2"/>
                <w:u w:val="single" w:color="auto"/>
              </w:rPr>
              <w:t>交通运输局相关行政处罚（而非</w:t>
            </w:r>
            <w:r>
              <w:rPr>
                <w:spacing w:val="-1"/>
                <w:u w:val="single" w:color="auto"/>
              </w:rPr>
              <w:t>仅</w:t>
            </w:r>
            <w:r>
              <w:rPr>
                <w:spacing w:val="-52"/>
                <w:u w:val="single" w:color="auto"/>
              </w:rPr>
              <w:t xml:space="preserve"> </w:t>
            </w:r>
            <w:r>
              <w:rPr>
                <w:spacing w:val="-1"/>
                <w:u w:val="single" w:color="auto"/>
              </w:rPr>
              <w:t>A</w:t>
            </w:r>
            <w:r>
              <w:rPr>
                <w:spacing w:val="-37"/>
                <w:u w:val="single" w:color="auto"/>
              </w:rPr>
              <w:t xml:space="preserve"> </w:t>
            </w:r>
            <w:r>
              <w:rPr>
                <w:spacing w:val="-1"/>
                <w:u w:val="single" w:color="auto"/>
              </w:rPr>
              <w:t>市交通运输局相关行政处罚</w:t>
            </w:r>
            <w:r>
              <w:rPr>
                <w:spacing w:val="6"/>
                <w:u w:val="single" w:color="auto"/>
              </w:rPr>
              <w:t>），</w:t>
            </w:r>
            <w:r>
              <w:rPr>
                <w:spacing w:val="-1"/>
                <w:u w:val="single" w:color="auto"/>
              </w:rPr>
              <w:t>且在招标文件编制时明确为“A、B、C市交通运输局行政处罚、且在处罚信息公示期内的”。</w:t>
            </w:r>
          </w:p>
          <w:p w14:paraId="25E2B6AF">
            <w:pPr>
              <w:pStyle w:val="9"/>
              <w:spacing w:before="69" w:line="353" w:lineRule="auto"/>
              <w:ind w:left="116" w:right="104" w:hanging="5"/>
            </w:pPr>
            <w:r>
              <w:t>4.如果扣完本项分值，可以从总分中扣。以联合体形式</w:t>
            </w:r>
            <w:r>
              <w:rPr>
                <w:spacing w:val="-1"/>
              </w:rPr>
              <w:t>投标的，若各联合体成员任何一方或均存在上述情形的，对联合</w:t>
            </w:r>
            <w:r>
              <w:rPr>
                <w:spacing w:val="-2"/>
              </w:rPr>
              <w:t>体各成员进行累计扣分。</w:t>
            </w:r>
          </w:p>
        </w:tc>
      </w:tr>
    </w:tbl>
    <w:p w14:paraId="0F894414">
      <w:pPr>
        <w:pStyle w:val="2"/>
        <w:spacing w:line="318" w:lineRule="auto"/>
      </w:pPr>
    </w:p>
    <w:p w14:paraId="4841B561">
      <w:pPr>
        <w:spacing w:line="238" w:lineRule="auto"/>
        <w:rPr>
          <w:rFonts w:ascii="宋体" w:hAnsi="宋体" w:eastAsia="宋体" w:cs="宋体"/>
          <w:sz w:val="18"/>
          <w:szCs w:val="18"/>
        </w:rPr>
        <w:sectPr>
          <w:footerReference r:id="rId36" w:type="default"/>
          <w:pgSz w:w="11905" w:h="16840"/>
          <w:pgMar w:top="1182" w:right="1010" w:bottom="1171" w:left="1011" w:header="849" w:footer="936" w:gutter="0"/>
          <w:pgNumType w:fmt="decimal"/>
          <w:cols w:space="720" w:num="1"/>
        </w:sectPr>
      </w:pPr>
    </w:p>
    <w:p w14:paraId="2E7D44CB">
      <w:pPr>
        <w:spacing w:line="234" w:lineRule="exact"/>
      </w:pPr>
    </w:p>
    <w:tbl>
      <w:tblPr>
        <w:tblStyle w:val="8"/>
        <w:tblW w:w="98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8687"/>
      </w:tblGrid>
      <w:tr w14:paraId="0870A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876" w:type="dxa"/>
            <w:gridSpan w:val="2"/>
            <w:vAlign w:val="top"/>
          </w:tcPr>
          <w:p w14:paraId="6274C659">
            <w:pPr>
              <w:pStyle w:val="9"/>
              <w:spacing w:before="223" w:line="220" w:lineRule="auto"/>
              <w:ind w:left="127"/>
            </w:pPr>
            <w:r>
              <w:rPr>
                <w:b/>
                <w:bCs/>
                <w:spacing w:val="-4"/>
              </w:rPr>
              <w:t>需要补充的其他内容</w:t>
            </w:r>
          </w:p>
        </w:tc>
      </w:tr>
      <w:tr w14:paraId="1C213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189" w:type="dxa"/>
            <w:vAlign w:val="top"/>
          </w:tcPr>
          <w:p w14:paraId="7D4C3455">
            <w:pPr>
              <w:pStyle w:val="9"/>
              <w:spacing w:before="177" w:line="220" w:lineRule="auto"/>
              <w:ind w:left="285"/>
            </w:pPr>
            <w:r>
              <w:rPr>
                <w:spacing w:val="-3"/>
              </w:rPr>
              <w:t>条款号</w:t>
            </w:r>
          </w:p>
        </w:tc>
        <w:tc>
          <w:tcPr>
            <w:tcW w:w="8687" w:type="dxa"/>
            <w:vAlign w:val="top"/>
          </w:tcPr>
          <w:p w14:paraId="76F88293">
            <w:pPr>
              <w:pStyle w:val="9"/>
              <w:spacing w:before="177" w:line="220" w:lineRule="auto"/>
              <w:ind w:left="3506"/>
            </w:pPr>
            <w:r>
              <w:rPr>
                <w:spacing w:val="-1"/>
              </w:rPr>
              <w:t>补充或修改的内容</w:t>
            </w:r>
          </w:p>
        </w:tc>
      </w:tr>
      <w:tr w14:paraId="33C23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9" w:type="dxa"/>
            <w:vAlign w:val="center"/>
          </w:tcPr>
          <w:p w14:paraId="5CD79118">
            <w:pPr>
              <w:pStyle w:val="9"/>
              <w:spacing w:before="179" w:line="239" w:lineRule="auto"/>
              <w:ind w:left="340"/>
              <w:rPr>
                <w:rFonts w:hint="eastAsia" w:eastAsia="宋体"/>
                <w:spacing w:val="-2"/>
                <w:lang w:val="en-US" w:eastAsia="zh-CN"/>
              </w:rPr>
            </w:pPr>
            <w:r>
              <w:rPr>
                <w:rFonts w:hint="eastAsia"/>
                <w:spacing w:val="-2"/>
                <w:lang w:val="en-US" w:eastAsia="zh-CN"/>
              </w:rPr>
              <w:t>1</w:t>
            </w:r>
          </w:p>
        </w:tc>
        <w:tc>
          <w:tcPr>
            <w:tcW w:w="8687" w:type="dxa"/>
            <w:vAlign w:val="top"/>
          </w:tcPr>
          <w:p w14:paraId="409E3985">
            <w:pPr>
              <w:pStyle w:val="9"/>
              <w:spacing w:before="178" w:line="220" w:lineRule="auto"/>
              <w:ind w:left="114"/>
              <w:rPr>
                <w:rFonts w:hint="eastAsia"/>
                <w:spacing w:val="-2"/>
              </w:rPr>
            </w:pPr>
            <w:r>
              <w:rPr>
                <w:rFonts w:hint="eastAsia"/>
                <w:spacing w:val="-2"/>
              </w:rPr>
              <w:t>将评标办法原文第 1 条“评标方法 ”改为“评标方法、组织及工作程序 ”，原文内容修改如下：</w:t>
            </w:r>
          </w:p>
          <w:p w14:paraId="3FD016D0">
            <w:pPr>
              <w:pStyle w:val="9"/>
              <w:spacing w:before="178" w:line="220" w:lineRule="auto"/>
              <w:ind w:left="114"/>
              <w:rPr>
                <w:rFonts w:hint="eastAsia"/>
                <w:spacing w:val="-2"/>
              </w:rPr>
            </w:pPr>
            <w:r>
              <w:rPr>
                <w:rFonts w:hint="eastAsia"/>
                <w:spacing w:val="-2"/>
              </w:rPr>
              <w:t>1.评标方法、组织及工作程序</w:t>
            </w:r>
          </w:p>
          <w:p w14:paraId="32B86488">
            <w:pPr>
              <w:pStyle w:val="9"/>
              <w:spacing w:before="178" w:line="220" w:lineRule="auto"/>
              <w:ind w:left="114"/>
              <w:rPr>
                <w:rFonts w:hint="eastAsia"/>
                <w:spacing w:val="-2"/>
              </w:rPr>
            </w:pPr>
            <w:r>
              <w:rPr>
                <w:rFonts w:hint="eastAsia"/>
                <w:spacing w:val="-2"/>
              </w:rPr>
              <w:t>1.1 评标方法</w:t>
            </w:r>
          </w:p>
          <w:p w14:paraId="6C6708B3">
            <w:pPr>
              <w:pStyle w:val="9"/>
              <w:spacing w:before="178" w:line="220" w:lineRule="auto"/>
              <w:ind w:left="114"/>
              <w:rPr>
                <w:rFonts w:hint="eastAsia"/>
                <w:spacing w:val="-2"/>
              </w:rPr>
            </w:pPr>
            <w:r>
              <w:rPr>
                <w:rFonts w:hint="eastAsia"/>
                <w:spacing w:val="-2"/>
              </w:rPr>
              <w:t>本次评标采用双信封的技术评分最低标价法。评标委员会对满足招标文件实质性要求的投标文件，按照本章第 2.2 款规定对通过初步评审的投标人的施工组织设计及承包人项目管理方案、主要人员、其他因素等进行评分，按照得分由高到低排序，对排名在招标文件规定数量前 5 名（不少于 3 名但不足 5 名时，按全部实际数量）的投标人的报价文件进行评审，按照评标价由低到高的顺序推荐中标候选人的评标方法。但投标报价低于其成本的除外。评标价相等时，评标委员会应按照评标办法前附表规定的优先次序推荐中标候选人或确定中标人。</w:t>
            </w:r>
          </w:p>
          <w:p w14:paraId="55A0689E">
            <w:pPr>
              <w:pStyle w:val="9"/>
              <w:spacing w:before="178" w:line="220" w:lineRule="auto"/>
              <w:ind w:left="114"/>
              <w:rPr>
                <w:rFonts w:hint="eastAsia"/>
                <w:spacing w:val="-2"/>
              </w:rPr>
            </w:pPr>
            <w:r>
              <w:rPr>
                <w:rFonts w:hint="eastAsia"/>
                <w:spacing w:val="-2"/>
              </w:rPr>
              <w:t>1.2 评标组织</w:t>
            </w:r>
          </w:p>
          <w:p w14:paraId="4D3712A6">
            <w:pPr>
              <w:pStyle w:val="9"/>
              <w:spacing w:before="178" w:line="220" w:lineRule="auto"/>
              <w:ind w:left="114"/>
              <w:rPr>
                <w:rFonts w:hint="eastAsia"/>
                <w:spacing w:val="-2"/>
              </w:rPr>
            </w:pPr>
            <w:r>
              <w:rPr>
                <w:rFonts w:hint="eastAsia"/>
                <w:spacing w:val="-2"/>
              </w:rPr>
              <w:t>1.2.1 协助工作组</w:t>
            </w:r>
          </w:p>
          <w:p w14:paraId="2D5303D9">
            <w:pPr>
              <w:pStyle w:val="9"/>
              <w:spacing w:before="178" w:line="220" w:lineRule="auto"/>
              <w:ind w:left="114"/>
              <w:rPr>
                <w:rFonts w:hint="eastAsia"/>
                <w:spacing w:val="-2"/>
              </w:rPr>
            </w:pPr>
            <w:r>
              <w:rPr>
                <w:rFonts w:hint="eastAsia"/>
                <w:spacing w:val="-2"/>
              </w:rPr>
              <w:t>招标人可在评标工作开始前成立协助工作组，选派熟悉招标工作、政治素质高的人员组成，协助评标委员会工作。协助工作组人员的具体数量由招标人视评标工作量确定。</w:t>
            </w:r>
          </w:p>
          <w:p w14:paraId="79299980">
            <w:pPr>
              <w:pStyle w:val="9"/>
              <w:spacing w:before="178" w:line="220" w:lineRule="auto"/>
              <w:ind w:left="114"/>
              <w:rPr>
                <w:rFonts w:hint="eastAsia"/>
                <w:spacing w:val="-2"/>
              </w:rPr>
            </w:pPr>
            <w:r>
              <w:rPr>
                <w:rFonts w:hint="eastAsia"/>
                <w:spacing w:val="-2"/>
              </w:rPr>
              <w:t>招标人可以协助评标委员会开展下列工作并提供相关信息：</w:t>
            </w:r>
          </w:p>
          <w:p w14:paraId="5AD66D09">
            <w:pPr>
              <w:pStyle w:val="9"/>
              <w:spacing w:before="178" w:line="220" w:lineRule="auto"/>
              <w:ind w:left="114"/>
              <w:rPr>
                <w:rFonts w:hint="eastAsia"/>
                <w:spacing w:val="-2"/>
              </w:rPr>
            </w:pPr>
            <w:r>
              <w:rPr>
                <w:rFonts w:hint="eastAsia"/>
                <w:spacing w:val="-2"/>
              </w:rPr>
              <w:t>（1）根据招标文件，编制评标使用的相应表格；</w:t>
            </w:r>
          </w:p>
          <w:p w14:paraId="7C2084B4">
            <w:pPr>
              <w:pStyle w:val="9"/>
              <w:spacing w:before="178" w:line="220" w:lineRule="auto"/>
              <w:ind w:left="114"/>
              <w:rPr>
                <w:rFonts w:hint="eastAsia"/>
                <w:spacing w:val="-2"/>
              </w:rPr>
            </w:pPr>
            <w:r>
              <w:rPr>
                <w:rFonts w:hint="eastAsia"/>
                <w:spacing w:val="-2"/>
              </w:rPr>
              <w:t>（2）对投标报价进行算术性校核（如采用固化工程量清单，本步骤省略）；</w:t>
            </w:r>
          </w:p>
          <w:p w14:paraId="59F9E47D">
            <w:pPr>
              <w:pStyle w:val="9"/>
              <w:spacing w:before="178" w:line="220" w:lineRule="auto"/>
              <w:ind w:left="114"/>
              <w:rPr>
                <w:rFonts w:hint="eastAsia"/>
                <w:spacing w:val="-2"/>
              </w:rPr>
            </w:pPr>
            <w:r>
              <w:rPr>
                <w:rFonts w:hint="eastAsia"/>
                <w:spacing w:val="-2"/>
              </w:rPr>
              <w:t>（3）以评标标准和方法为依据，列出投标文件相对于招标文件的所有偏差，并进行归类汇总；</w:t>
            </w:r>
          </w:p>
          <w:p w14:paraId="11193C8C">
            <w:pPr>
              <w:pStyle w:val="9"/>
              <w:spacing w:before="178" w:line="220" w:lineRule="auto"/>
              <w:ind w:left="114"/>
              <w:rPr>
                <w:rFonts w:hint="eastAsia"/>
                <w:spacing w:val="-2"/>
              </w:rPr>
            </w:pPr>
            <w:r>
              <w:rPr>
                <w:rFonts w:hint="eastAsia"/>
                <w:spacing w:val="-2"/>
              </w:rPr>
              <w:t>（4）查询公路建设市场监督管理系统，对投标人的资质、业绩、主要人员资历和目前在岗情况、信用等级进行核实。</w:t>
            </w:r>
          </w:p>
          <w:p w14:paraId="0E04E4BD">
            <w:pPr>
              <w:pStyle w:val="9"/>
              <w:spacing w:before="178" w:line="220" w:lineRule="auto"/>
              <w:ind w:left="114"/>
              <w:rPr>
                <w:rFonts w:hint="eastAsia"/>
                <w:spacing w:val="-2"/>
              </w:rPr>
            </w:pPr>
            <w:r>
              <w:rPr>
                <w:rFonts w:hint="eastAsia"/>
                <w:spacing w:val="-2"/>
              </w:rPr>
              <w:t>招标人不得对投标文件作出任何评价，不得故意遗漏或者片面摘录，不得在评标委员会对所有偏差定性之前透露存有偏差的投标人名称。</w:t>
            </w:r>
          </w:p>
          <w:p w14:paraId="72E36328">
            <w:pPr>
              <w:pStyle w:val="9"/>
              <w:spacing w:before="178" w:line="220" w:lineRule="auto"/>
              <w:ind w:left="114"/>
              <w:rPr>
                <w:rFonts w:hint="eastAsia"/>
                <w:spacing w:val="-2"/>
              </w:rPr>
            </w:pPr>
            <w:r>
              <w:rPr>
                <w:rFonts w:hint="eastAsia"/>
                <w:spacing w:val="-2"/>
              </w:rPr>
              <w:t>1.2.2 评标委员会</w:t>
            </w:r>
          </w:p>
          <w:p w14:paraId="3BA61E99">
            <w:pPr>
              <w:pStyle w:val="9"/>
              <w:spacing w:before="178" w:line="220" w:lineRule="auto"/>
              <w:ind w:left="114"/>
              <w:rPr>
                <w:rFonts w:hint="eastAsia"/>
                <w:spacing w:val="-2"/>
              </w:rPr>
            </w:pPr>
            <w:r>
              <w:rPr>
                <w:rFonts w:hint="eastAsia"/>
                <w:spacing w:val="-2"/>
              </w:rPr>
              <w:t>评标委员会由招标人按国家、广东省等的有关规定依法组建。评标委员会的主要工作内容包括：</w:t>
            </w:r>
          </w:p>
          <w:p w14:paraId="74BAD9B3">
            <w:pPr>
              <w:pStyle w:val="9"/>
              <w:spacing w:before="178" w:line="220" w:lineRule="auto"/>
              <w:ind w:left="114"/>
              <w:rPr>
                <w:rFonts w:hint="eastAsia"/>
                <w:spacing w:val="-2"/>
              </w:rPr>
            </w:pPr>
            <w:r>
              <w:rPr>
                <w:rFonts w:hint="eastAsia"/>
                <w:spacing w:val="-2"/>
              </w:rPr>
              <w:t>（1）评标委员会开始评标工作之前，首先听取招标人、协助工作组关于工程情况和辅助工作的说明，并认真研读招标文件，获取评标所需的重要信息和数据；</w:t>
            </w:r>
          </w:p>
          <w:p w14:paraId="7F71DC24">
            <w:pPr>
              <w:pStyle w:val="9"/>
              <w:spacing w:before="178" w:line="220" w:lineRule="auto"/>
              <w:ind w:left="114"/>
              <w:rPr>
                <w:rFonts w:hint="eastAsia"/>
                <w:spacing w:val="-2"/>
              </w:rPr>
            </w:pPr>
            <w:r>
              <w:rPr>
                <w:rFonts w:hint="eastAsia"/>
                <w:spacing w:val="-2"/>
              </w:rPr>
              <w:t>（2）对协助工作组提供的评标工作用表和评标内容进行核查。</w:t>
            </w:r>
          </w:p>
          <w:p w14:paraId="57F5A38C">
            <w:pPr>
              <w:pStyle w:val="9"/>
              <w:spacing w:before="178" w:line="220" w:lineRule="auto"/>
              <w:ind w:left="114"/>
              <w:rPr>
                <w:rFonts w:hint="eastAsia"/>
                <w:spacing w:val="-2"/>
              </w:rPr>
            </w:pPr>
            <w:r>
              <w:rPr>
                <w:rFonts w:hint="eastAsia"/>
                <w:spacing w:val="-2"/>
              </w:rPr>
              <w:t>（3）按照以下 1.3 款程序进行各项评审工作。</w:t>
            </w:r>
          </w:p>
          <w:p w14:paraId="63DB2449">
            <w:pPr>
              <w:pStyle w:val="9"/>
              <w:spacing w:before="178" w:line="220" w:lineRule="auto"/>
              <w:ind w:left="114"/>
              <w:rPr>
                <w:rFonts w:hint="eastAsia"/>
                <w:spacing w:val="-2"/>
              </w:rPr>
            </w:pPr>
            <w:r>
              <w:rPr>
                <w:rFonts w:hint="eastAsia"/>
                <w:spacing w:val="-2"/>
              </w:rPr>
              <w:t>1.3 评审工作程序</w:t>
            </w:r>
          </w:p>
          <w:p w14:paraId="5173B915">
            <w:pPr>
              <w:pStyle w:val="9"/>
              <w:spacing w:before="178" w:line="220" w:lineRule="auto"/>
              <w:ind w:left="114"/>
              <w:rPr>
                <w:rFonts w:hint="eastAsia"/>
                <w:spacing w:val="-2"/>
              </w:rPr>
            </w:pPr>
            <w:r>
              <w:rPr>
                <w:rFonts w:hint="eastAsia"/>
                <w:spacing w:val="-2"/>
              </w:rPr>
              <w:t>（一）第一个信封（商务及技术文件）：</w:t>
            </w:r>
          </w:p>
          <w:p w14:paraId="54F9D405">
            <w:pPr>
              <w:pStyle w:val="9"/>
              <w:spacing w:before="178" w:line="220" w:lineRule="auto"/>
              <w:ind w:left="114"/>
              <w:rPr>
                <w:rFonts w:hint="eastAsia"/>
                <w:spacing w:val="-2"/>
              </w:rPr>
            </w:pPr>
            <w:r>
              <w:rPr>
                <w:rFonts w:hint="eastAsia"/>
                <w:spacing w:val="-2"/>
              </w:rPr>
              <w:t>l、初步评审：包括形式评审与响应性评审、资格评审（适用于未进行资格预审）；</w:t>
            </w:r>
          </w:p>
          <w:p w14:paraId="65459697">
            <w:pPr>
              <w:pStyle w:val="9"/>
              <w:spacing w:before="178" w:line="220" w:lineRule="auto"/>
              <w:ind w:left="114"/>
              <w:rPr>
                <w:rFonts w:hint="eastAsia"/>
                <w:spacing w:val="-2"/>
              </w:rPr>
            </w:pPr>
            <w:r>
              <w:rPr>
                <w:rFonts w:hint="eastAsia"/>
                <w:spacing w:val="-2"/>
              </w:rPr>
              <w:t>2、详细评审（评审打分） ：评标委员会首先对通过第一个信封初步评审的投标文件进行详细评审，对投标人的施工组织设计及承包人项目管理方案、主要人员、其他因素等分别评审打分，并按照综合得分由高到低排序，排名在招标文件规定数量前 5 名（不少于 3 名但不足 5 名的，按全部实际数量）的投标人，其投标文件第一个信封（商务及技术文件）通过详细评审。</w:t>
            </w:r>
          </w:p>
          <w:p w14:paraId="41FE5EB8">
            <w:pPr>
              <w:pStyle w:val="9"/>
              <w:spacing w:before="178" w:line="220" w:lineRule="auto"/>
              <w:ind w:left="114"/>
              <w:rPr>
                <w:rFonts w:hint="eastAsia"/>
                <w:spacing w:val="-2"/>
              </w:rPr>
            </w:pPr>
            <w:r>
              <w:rPr>
                <w:rFonts w:hint="eastAsia"/>
                <w:spacing w:val="-2"/>
              </w:rPr>
              <w:t>（二）第二个信封（报价文件）：</w:t>
            </w:r>
          </w:p>
          <w:p w14:paraId="5B3117DF">
            <w:pPr>
              <w:pStyle w:val="9"/>
              <w:spacing w:before="178" w:line="220" w:lineRule="auto"/>
              <w:ind w:left="114"/>
              <w:rPr>
                <w:rFonts w:hint="eastAsia"/>
                <w:spacing w:val="-2"/>
              </w:rPr>
            </w:pPr>
            <w:r>
              <w:rPr>
                <w:rFonts w:hint="eastAsia"/>
                <w:spacing w:val="-2"/>
              </w:rPr>
              <w:t>1、初步评审：</w:t>
            </w:r>
          </w:p>
          <w:p w14:paraId="50987B06">
            <w:pPr>
              <w:pStyle w:val="9"/>
              <w:spacing w:before="178" w:line="220" w:lineRule="auto"/>
              <w:ind w:left="114"/>
              <w:rPr>
                <w:rFonts w:hint="eastAsia"/>
                <w:spacing w:val="-2"/>
              </w:rPr>
            </w:pPr>
            <w:r>
              <w:rPr>
                <w:rFonts w:hint="eastAsia"/>
                <w:spacing w:val="-2"/>
              </w:rPr>
              <w:t>（1）只有对投标文件第一个信封通过详细评审的投标人的报价文件才能继续参加第二个信封报价文件的形式评审与响应性评审。</w:t>
            </w:r>
          </w:p>
          <w:p w14:paraId="2E6F1416">
            <w:pPr>
              <w:pStyle w:val="9"/>
              <w:spacing w:before="178" w:line="220" w:lineRule="auto"/>
              <w:ind w:left="114"/>
              <w:rPr>
                <w:rFonts w:hint="eastAsia"/>
                <w:spacing w:val="-2"/>
              </w:rPr>
            </w:pPr>
            <w:r>
              <w:rPr>
                <w:rFonts w:hint="eastAsia"/>
                <w:spacing w:val="-2"/>
              </w:rPr>
              <w:t>（2）报价算术性修正（如采用固化工程量清单，本步骤省略）；</w:t>
            </w:r>
          </w:p>
          <w:p w14:paraId="08A7630C">
            <w:pPr>
              <w:pStyle w:val="9"/>
              <w:spacing w:before="178" w:line="220" w:lineRule="auto"/>
              <w:ind w:left="114"/>
              <w:rPr>
                <w:rFonts w:hint="eastAsia"/>
                <w:spacing w:val="-2"/>
              </w:rPr>
            </w:pPr>
            <w:r>
              <w:rPr>
                <w:rFonts w:hint="eastAsia"/>
                <w:spacing w:val="-2"/>
              </w:rPr>
              <w:t>2、详细评审：计算评标价。</w:t>
            </w:r>
          </w:p>
          <w:p w14:paraId="33A443C6">
            <w:pPr>
              <w:pStyle w:val="9"/>
              <w:spacing w:before="178" w:line="220" w:lineRule="auto"/>
              <w:ind w:left="114"/>
              <w:rPr>
                <w:rFonts w:hint="eastAsia"/>
                <w:spacing w:val="-2"/>
              </w:rPr>
            </w:pPr>
            <w:r>
              <w:rPr>
                <w:rFonts w:hint="eastAsia"/>
                <w:spacing w:val="-2"/>
              </w:rPr>
              <w:t>（三）投标文件相关信息的核查。</w:t>
            </w:r>
          </w:p>
          <w:p w14:paraId="1151C27E">
            <w:pPr>
              <w:pStyle w:val="9"/>
              <w:spacing w:before="178" w:line="220" w:lineRule="auto"/>
              <w:ind w:left="114"/>
              <w:rPr>
                <w:rFonts w:hint="eastAsia"/>
                <w:spacing w:val="-2"/>
              </w:rPr>
            </w:pPr>
            <w:r>
              <w:rPr>
                <w:rFonts w:hint="eastAsia"/>
                <w:spacing w:val="-2"/>
              </w:rPr>
              <w:t>（四）投标文件的澄清和说明</w:t>
            </w:r>
            <w:r>
              <w:rPr>
                <w:rFonts w:hint="eastAsia"/>
                <w:spacing w:val="-2"/>
                <w:lang w:eastAsia="zh-CN"/>
              </w:rPr>
              <w:t>（</w:t>
            </w:r>
            <w:r>
              <w:rPr>
                <w:rFonts w:hint="eastAsia"/>
                <w:spacing w:val="-2"/>
              </w:rPr>
              <w:t>如有</w:t>
            </w:r>
            <w:r>
              <w:rPr>
                <w:rFonts w:hint="eastAsia"/>
                <w:spacing w:val="-2"/>
                <w:lang w:eastAsia="zh-CN"/>
              </w:rPr>
              <w:t>）</w:t>
            </w:r>
          </w:p>
          <w:p w14:paraId="466AB457">
            <w:pPr>
              <w:pStyle w:val="9"/>
              <w:spacing w:before="178" w:line="220" w:lineRule="auto"/>
              <w:ind w:left="114"/>
              <w:rPr>
                <w:spacing w:val="-2"/>
              </w:rPr>
            </w:pPr>
            <w:r>
              <w:rPr>
                <w:rFonts w:hint="eastAsia"/>
                <w:spacing w:val="-2"/>
              </w:rPr>
              <w:t>（五）按评标办法规定按照第二个信封的评标价由低到高的顺序推荐中标候选人，编写评标报告。</w:t>
            </w:r>
          </w:p>
        </w:tc>
      </w:tr>
      <w:tr w14:paraId="2E9AA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9" w:type="dxa"/>
            <w:vAlign w:val="top"/>
          </w:tcPr>
          <w:p w14:paraId="55A896C7">
            <w:pPr>
              <w:pStyle w:val="9"/>
              <w:spacing w:before="179" w:line="239" w:lineRule="auto"/>
              <w:ind w:left="340"/>
              <w:rPr>
                <w:rFonts w:hint="default"/>
                <w:spacing w:val="-2"/>
                <w:lang w:val="en-US" w:eastAsia="zh-CN"/>
              </w:rPr>
            </w:pPr>
            <w:r>
              <w:rPr>
                <w:rFonts w:hint="eastAsia"/>
                <w:spacing w:val="-2"/>
                <w:lang w:val="en-US" w:eastAsia="zh-CN"/>
              </w:rPr>
              <w:t>3.1.1</w:t>
            </w:r>
          </w:p>
        </w:tc>
        <w:tc>
          <w:tcPr>
            <w:tcW w:w="8687" w:type="dxa"/>
            <w:vAlign w:val="top"/>
          </w:tcPr>
          <w:p w14:paraId="50BC166D">
            <w:pPr>
              <w:pStyle w:val="9"/>
              <w:spacing w:before="178" w:line="220" w:lineRule="auto"/>
              <w:ind w:left="114"/>
              <w:rPr>
                <w:rFonts w:hint="eastAsia"/>
                <w:spacing w:val="-2"/>
              </w:rPr>
            </w:pPr>
            <w:r>
              <w:rPr>
                <w:rFonts w:hint="eastAsia"/>
                <w:spacing w:val="-2"/>
              </w:rPr>
              <w:t xml:space="preserve">将评标办法原文第3.1.1项修改如下： </w:t>
            </w:r>
          </w:p>
          <w:p w14:paraId="235ADC61">
            <w:pPr>
              <w:pStyle w:val="9"/>
              <w:spacing w:before="178" w:line="220" w:lineRule="auto"/>
              <w:ind w:left="114"/>
              <w:rPr>
                <w:rFonts w:hint="eastAsia"/>
                <w:spacing w:val="-2"/>
              </w:rPr>
            </w:pPr>
            <w:r>
              <w:rPr>
                <w:rFonts w:hint="eastAsia"/>
                <w:spacing w:val="-2"/>
              </w:rPr>
              <w:t>3.1.1评标委员会依据本章第2.1款规定的标准对投标文件第一个信封（商务及技术</w:t>
            </w:r>
          </w:p>
          <w:p w14:paraId="79FAD5D2">
            <w:pPr>
              <w:pStyle w:val="9"/>
              <w:spacing w:before="178" w:line="220" w:lineRule="auto"/>
              <w:ind w:left="114"/>
              <w:rPr>
                <w:rFonts w:hint="eastAsia"/>
                <w:spacing w:val="-2"/>
              </w:rPr>
            </w:pPr>
            <w:r>
              <w:rPr>
                <w:rFonts w:hint="eastAsia"/>
                <w:spacing w:val="-2"/>
              </w:rPr>
              <w:t>文件）进行初步评审。有一项不符合评审标准的，评标委员会应否决其投标。</w:t>
            </w:r>
          </w:p>
        </w:tc>
      </w:tr>
      <w:tr w14:paraId="63EA5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9" w:type="dxa"/>
            <w:vAlign w:val="top"/>
          </w:tcPr>
          <w:p w14:paraId="2B146A1F">
            <w:pPr>
              <w:pStyle w:val="9"/>
              <w:spacing w:before="179" w:line="239" w:lineRule="auto"/>
              <w:ind w:left="340"/>
              <w:rPr>
                <w:rFonts w:hint="default" w:eastAsia="宋体"/>
                <w:spacing w:val="-2"/>
                <w:lang w:val="en-US" w:eastAsia="zh-CN"/>
              </w:rPr>
            </w:pPr>
            <w:r>
              <w:rPr>
                <w:rFonts w:hint="eastAsia"/>
                <w:spacing w:val="-2"/>
                <w:lang w:val="en-US" w:eastAsia="zh-CN"/>
              </w:rPr>
              <w:t>3.2.2</w:t>
            </w:r>
          </w:p>
        </w:tc>
        <w:tc>
          <w:tcPr>
            <w:tcW w:w="8687" w:type="dxa"/>
            <w:vAlign w:val="top"/>
          </w:tcPr>
          <w:p w14:paraId="170174BC">
            <w:pPr>
              <w:pStyle w:val="9"/>
              <w:spacing w:before="178" w:line="220" w:lineRule="auto"/>
              <w:ind w:left="114"/>
              <w:rPr>
                <w:rFonts w:hint="eastAsia"/>
                <w:spacing w:val="-2"/>
              </w:rPr>
            </w:pPr>
            <w:r>
              <w:rPr>
                <w:rFonts w:hint="eastAsia"/>
                <w:spacing w:val="-2"/>
              </w:rPr>
              <w:t>将评标办法原文第 3.2.2 项修改如下：</w:t>
            </w:r>
          </w:p>
          <w:p w14:paraId="36D4AF2F">
            <w:pPr>
              <w:pStyle w:val="9"/>
              <w:spacing w:before="178" w:line="220" w:lineRule="auto"/>
              <w:ind w:left="114"/>
              <w:rPr>
                <w:spacing w:val="-2"/>
              </w:rPr>
            </w:pPr>
            <w:r>
              <w:rPr>
                <w:rFonts w:hint="eastAsia"/>
                <w:spacing w:val="-2"/>
              </w:rPr>
              <w:t>投标人的商务和技术得分分值计算保留小数点后</w:t>
            </w:r>
            <w:r>
              <w:rPr>
                <w:rFonts w:hint="eastAsia"/>
                <w:spacing w:val="-2"/>
                <w:lang w:val="en-US" w:eastAsia="zh-CN"/>
              </w:rPr>
              <w:t>两</w:t>
            </w:r>
            <w:r>
              <w:rPr>
                <w:rFonts w:hint="eastAsia"/>
                <w:spacing w:val="-2"/>
              </w:rPr>
              <w:t>位，小数点后第</w:t>
            </w:r>
            <w:r>
              <w:rPr>
                <w:rFonts w:hint="eastAsia"/>
                <w:spacing w:val="-2"/>
                <w:lang w:val="en-US" w:eastAsia="zh-CN"/>
              </w:rPr>
              <w:t>三</w:t>
            </w:r>
            <w:r>
              <w:rPr>
                <w:rFonts w:hint="eastAsia"/>
                <w:spacing w:val="-2"/>
              </w:rPr>
              <w:t>位“四舍五入 ”</w:t>
            </w:r>
          </w:p>
        </w:tc>
      </w:tr>
      <w:tr w14:paraId="009B7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189" w:type="dxa"/>
            <w:vAlign w:val="top"/>
          </w:tcPr>
          <w:p w14:paraId="375AD6D8">
            <w:pPr>
              <w:pStyle w:val="9"/>
              <w:spacing w:before="179" w:line="239" w:lineRule="auto"/>
              <w:ind w:left="340"/>
            </w:pPr>
            <w:r>
              <w:rPr>
                <w:spacing w:val="-2"/>
              </w:rPr>
              <w:t>3.2.3</w:t>
            </w:r>
          </w:p>
        </w:tc>
        <w:tc>
          <w:tcPr>
            <w:tcW w:w="8687" w:type="dxa"/>
            <w:vAlign w:val="top"/>
          </w:tcPr>
          <w:p w14:paraId="0C498901">
            <w:pPr>
              <w:pStyle w:val="9"/>
              <w:spacing w:before="178" w:line="220" w:lineRule="auto"/>
              <w:ind w:left="114"/>
              <w:rPr>
                <w:rFonts w:hint="eastAsia"/>
                <w:spacing w:val="-2"/>
              </w:rPr>
            </w:pPr>
            <w:r>
              <w:rPr>
                <w:rFonts w:hint="eastAsia"/>
                <w:spacing w:val="-2"/>
              </w:rPr>
              <w:t xml:space="preserve">将评标办法范本原文第3.2.3项细化如下： </w:t>
            </w:r>
          </w:p>
          <w:p w14:paraId="14B2FC5A">
            <w:pPr>
              <w:pStyle w:val="9"/>
              <w:spacing w:before="178" w:line="220" w:lineRule="auto"/>
              <w:ind w:left="114"/>
              <w:rPr>
                <w:rFonts w:hint="eastAsia"/>
                <w:spacing w:val="-2"/>
              </w:rPr>
            </w:pPr>
            <w:r>
              <w:rPr>
                <w:rFonts w:hint="eastAsia"/>
                <w:b/>
                <w:bCs/>
                <w:spacing w:val="-2"/>
              </w:rPr>
              <w:t>1、适用于实际参与评审的评标委员会人数数量不少于9人单数：</w:t>
            </w:r>
            <w:r>
              <w:rPr>
                <w:rFonts w:hint="eastAsia"/>
                <w:spacing w:val="-2"/>
              </w:rPr>
              <w:t xml:space="preserve"> </w:t>
            </w:r>
          </w:p>
          <w:p w14:paraId="1D53C2FF">
            <w:pPr>
              <w:pStyle w:val="9"/>
              <w:spacing w:before="178" w:line="220" w:lineRule="auto"/>
              <w:ind w:left="114"/>
              <w:rPr>
                <w:rFonts w:hint="eastAsia"/>
                <w:spacing w:val="-2"/>
              </w:rPr>
            </w:pPr>
            <w:r>
              <w:rPr>
                <w:rFonts w:hint="eastAsia"/>
                <w:spacing w:val="-2"/>
              </w:rPr>
              <w:t>投标人的商务和技术得分=A+B+C。</w:t>
            </w:r>
          </w:p>
          <w:p w14:paraId="03660559">
            <w:pPr>
              <w:pStyle w:val="9"/>
              <w:spacing w:before="178" w:line="220" w:lineRule="auto"/>
              <w:ind w:left="114"/>
              <w:rPr>
                <w:rFonts w:hint="eastAsia"/>
                <w:spacing w:val="-2"/>
              </w:rPr>
            </w:pPr>
            <w:r>
              <w:rPr>
                <w:rFonts w:hint="eastAsia"/>
                <w:spacing w:val="-2"/>
              </w:rPr>
              <w:t>除履约信誉、技术能力得分外，投标文件各评分因素细分项得分均不应低于其权重分的60％，评分低于权重分值60％的，评标委员会成员应当在评标报告中作出说明。计算投标人技术得分时：首先在评委技术评分中，采用取消同一评委对同一标段各投标人评分总分的差值最大的1名评委评分分值（若有2名或以上评委技术评分总分差值最大值相等时，则取消其中1名评委的所有评分，具体办法如下），再对各评分因素细分项中取消一个最高、一个最低分后计算其算术平均值的和为投标人的最终技术得分，平均值计算保留小数点后</w:t>
            </w:r>
            <w:r>
              <w:rPr>
                <w:rFonts w:hint="eastAsia"/>
                <w:spacing w:val="-2"/>
                <w:lang w:val="en-US" w:eastAsia="zh-CN"/>
              </w:rPr>
              <w:t>两</w:t>
            </w:r>
            <w:r>
              <w:rPr>
                <w:rFonts w:hint="eastAsia"/>
                <w:spacing w:val="-2"/>
              </w:rPr>
              <w:t>位，小数点后第</w:t>
            </w:r>
            <w:r>
              <w:rPr>
                <w:rFonts w:hint="eastAsia"/>
                <w:spacing w:val="-2"/>
                <w:lang w:val="en-US" w:eastAsia="zh-CN"/>
              </w:rPr>
              <w:t>三</w:t>
            </w:r>
            <w:r>
              <w:rPr>
                <w:rFonts w:hint="eastAsia"/>
                <w:spacing w:val="-2"/>
              </w:rPr>
              <w:t>位“四舍五入”。</w:t>
            </w:r>
          </w:p>
          <w:p w14:paraId="754EDCE3">
            <w:pPr>
              <w:pStyle w:val="9"/>
              <w:spacing w:before="178" w:line="220" w:lineRule="auto"/>
              <w:ind w:left="114"/>
              <w:rPr>
                <w:rFonts w:hint="eastAsia"/>
                <w:spacing w:val="-2"/>
              </w:rPr>
            </w:pPr>
            <w:r>
              <w:rPr>
                <w:rFonts w:hint="eastAsia"/>
                <w:spacing w:val="-2"/>
              </w:rPr>
              <w:t>取消其中1名评委所有评分的办法一（依次按照以下流程）：</w:t>
            </w:r>
          </w:p>
          <w:p w14:paraId="63F587F0">
            <w:pPr>
              <w:pStyle w:val="9"/>
              <w:spacing w:before="178" w:line="220" w:lineRule="auto"/>
              <w:ind w:left="114"/>
              <w:rPr>
                <w:rFonts w:hint="eastAsia"/>
                <w:spacing w:val="-2"/>
              </w:rPr>
            </w:pPr>
            <w:r>
              <w:rPr>
                <w:rFonts w:hint="eastAsia"/>
                <w:spacing w:val="-2"/>
              </w:rPr>
              <w:t>（1）对比上述出现技术评分总分差值最大值相等的评委的次大差值（次大差值＝某一评委技术评分总分的最高分－该评委技术评分总分的次低分），取消次分差值最大的评委所有评分；</w:t>
            </w:r>
          </w:p>
          <w:p w14:paraId="2827F69D">
            <w:pPr>
              <w:pStyle w:val="9"/>
              <w:spacing w:before="178" w:line="220" w:lineRule="auto"/>
              <w:ind w:left="114"/>
              <w:rPr>
                <w:rFonts w:hint="eastAsia"/>
                <w:spacing w:val="-2"/>
              </w:rPr>
            </w:pPr>
            <w:r>
              <w:rPr>
                <w:rFonts w:hint="eastAsia"/>
                <w:spacing w:val="-2"/>
              </w:rPr>
              <w:t>（2）如次分差值仍相同，则按随机抽取的方式选定取消1名评委评分。</w:t>
            </w:r>
          </w:p>
          <w:p w14:paraId="1A6C62BB">
            <w:pPr>
              <w:pStyle w:val="9"/>
              <w:spacing w:before="178" w:line="220" w:lineRule="auto"/>
              <w:ind w:left="114"/>
              <w:rPr>
                <w:rFonts w:hint="eastAsia"/>
                <w:spacing w:val="-2"/>
              </w:rPr>
            </w:pPr>
            <w:r>
              <w:rPr>
                <w:rFonts w:hint="eastAsia"/>
                <w:spacing w:val="-2"/>
              </w:rPr>
              <w:t xml:space="preserve">示例：同一评委对5名投标人技术评分总分分别为：6.65（最高分）、5.88、5.11、4.90（次低分）、4.55（最低分），则其最大差值为2.1、次大差值为6.65-4.90=1.75）。 </w:t>
            </w:r>
          </w:p>
          <w:p w14:paraId="28654CC7">
            <w:pPr>
              <w:pStyle w:val="9"/>
              <w:spacing w:before="178" w:line="220" w:lineRule="auto"/>
              <w:ind w:left="114"/>
              <w:rPr>
                <w:rFonts w:hint="eastAsia"/>
                <w:b/>
                <w:bCs/>
                <w:spacing w:val="-2"/>
              </w:rPr>
            </w:pPr>
            <w:r>
              <w:rPr>
                <w:rFonts w:hint="eastAsia"/>
                <w:b/>
                <w:bCs/>
                <w:spacing w:val="-2"/>
              </w:rPr>
              <w:t>2、适用于实际参与评审的评标委员会人数数量为7人的情形（包括由于符合相关规</w:t>
            </w:r>
          </w:p>
          <w:p w14:paraId="29D8DBEE">
            <w:pPr>
              <w:pStyle w:val="9"/>
              <w:spacing w:before="178" w:line="220" w:lineRule="auto"/>
              <w:ind w:left="114"/>
              <w:rPr>
                <w:rFonts w:hint="eastAsia"/>
                <w:spacing w:val="-2"/>
              </w:rPr>
            </w:pPr>
            <w:r>
              <w:rPr>
                <w:rFonts w:hint="eastAsia"/>
                <w:b/>
                <w:bCs/>
                <w:spacing w:val="-2"/>
              </w:rPr>
              <w:t>定的特殊原因评标委员会人数由9人变为7人的情形）：</w:t>
            </w:r>
            <w:r>
              <w:rPr>
                <w:rFonts w:hint="eastAsia"/>
                <w:spacing w:val="-2"/>
              </w:rPr>
              <w:t xml:space="preserve"> </w:t>
            </w:r>
          </w:p>
          <w:p w14:paraId="1BDAFAEB">
            <w:pPr>
              <w:pStyle w:val="9"/>
              <w:spacing w:before="178" w:line="220" w:lineRule="auto"/>
              <w:ind w:left="114"/>
              <w:rPr>
                <w:rFonts w:hint="eastAsia"/>
                <w:spacing w:val="-2"/>
              </w:rPr>
            </w:pPr>
            <w:r>
              <w:rPr>
                <w:rFonts w:hint="eastAsia"/>
                <w:spacing w:val="-2"/>
              </w:rPr>
              <w:t>投标人的商务和技术得分=A+B+C。</w:t>
            </w:r>
          </w:p>
          <w:p w14:paraId="388F4F19">
            <w:pPr>
              <w:pStyle w:val="9"/>
              <w:spacing w:before="178" w:line="220" w:lineRule="auto"/>
              <w:ind w:left="114"/>
            </w:pPr>
            <w:r>
              <w:rPr>
                <w:rFonts w:hint="eastAsia"/>
                <w:spacing w:val="-2"/>
              </w:rPr>
              <w:t>除履约信誉、技术能力得分外，投标文件各评分因素细分项得分均不应低于其权重分的60％，评分低于权重分值60％的，评标委员会成员应当在评标报告中作出说明。计算投标人技术得分时：对各评分因素细分项中取消一个最高、一个最低分后计算算术平</w:t>
            </w:r>
          </w:p>
        </w:tc>
      </w:tr>
      <w:tr w14:paraId="27467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1189" w:type="dxa"/>
            <w:vAlign w:val="top"/>
          </w:tcPr>
          <w:p w14:paraId="5CA87048">
            <w:pPr>
              <w:pStyle w:val="9"/>
              <w:spacing w:before="68" w:line="286" w:lineRule="exact"/>
              <w:ind w:left="393"/>
              <w:rPr>
                <w:rFonts w:hint="default" w:eastAsia="宋体"/>
                <w:spacing w:val="-3"/>
                <w:lang w:val="en-US" w:eastAsia="zh-CN"/>
              </w:rPr>
            </w:pPr>
            <w:r>
              <w:rPr>
                <w:rFonts w:hint="eastAsia"/>
                <w:spacing w:val="-3"/>
                <w:lang w:val="en-US" w:eastAsia="zh-CN"/>
              </w:rPr>
              <w:t>3.6</w:t>
            </w:r>
          </w:p>
        </w:tc>
        <w:tc>
          <w:tcPr>
            <w:tcW w:w="8687" w:type="dxa"/>
            <w:vAlign w:val="top"/>
          </w:tcPr>
          <w:p w14:paraId="6D2B5003">
            <w:pPr>
              <w:pStyle w:val="9"/>
              <w:spacing w:before="203" w:line="377" w:lineRule="auto"/>
              <w:ind w:left="111" w:right="107" w:firstLine="3"/>
              <w:jc w:val="both"/>
              <w:rPr>
                <w:rFonts w:hint="eastAsia"/>
              </w:rPr>
            </w:pPr>
            <w:r>
              <w:rPr>
                <w:rFonts w:hint="eastAsia"/>
              </w:rPr>
              <w:t xml:space="preserve">将评标办法范本原文第3.6.1项细化如下： </w:t>
            </w:r>
          </w:p>
          <w:p w14:paraId="29381CE9">
            <w:pPr>
              <w:pStyle w:val="9"/>
              <w:spacing w:before="203" w:line="377" w:lineRule="auto"/>
              <w:ind w:left="111" w:right="107" w:firstLine="3"/>
              <w:jc w:val="both"/>
              <w:rPr>
                <w:rFonts w:hint="eastAsia"/>
              </w:rPr>
            </w:pPr>
            <w:r>
              <w:rPr>
                <w:rFonts w:hint="eastAsia"/>
              </w:rPr>
              <w:t>3.6.1在评标过程中，评标委员会应查询交通运输主管部门“全国公路建设市场监督管理系统”，对投标人的资质、业绩、主要人员资历和目前在岗情况、信用等级等信息进行核实。若投标文件载明的信息与交通运输主管部门“全国公路建设市场监督管理系统”发布的信息不符，使得投标人的资格条件不符合招标文件规定的，评标委员会应否决其投标。</w:t>
            </w:r>
          </w:p>
          <w:p w14:paraId="4DADA273">
            <w:pPr>
              <w:pStyle w:val="9"/>
              <w:spacing w:before="203" w:line="377" w:lineRule="auto"/>
              <w:ind w:left="111" w:right="107" w:firstLine="3"/>
              <w:jc w:val="both"/>
              <w:rPr>
                <w:rFonts w:hint="eastAsia"/>
              </w:rPr>
            </w:pPr>
            <w:r>
              <w:rPr>
                <w:rFonts w:hint="eastAsia"/>
              </w:rPr>
              <w:t>3.6.2项（2）目末增加以下条款：</w:t>
            </w:r>
          </w:p>
          <w:p w14:paraId="390BCAAA">
            <w:pPr>
              <w:pStyle w:val="9"/>
              <w:spacing w:before="203" w:line="377" w:lineRule="auto"/>
              <w:ind w:left="111" w:right="107" w:firstLine="3"/>
              <w:jc w:val="both"/>
              <w:rPr>
                <w:rFonts w:hint="eastAsia"/>
              </w:rPr>
            </w:pPr>
            <w:r>
              <w:rPr>
                <w:rFonts w:hint="eastAsia"/>
              </w:rPr>
              <w:t>g.当一家以上投标人评标价相同时，若各投标人工程量清单细目单价也相同，视为串标（一个标段仅一工作细目报价的除外）。</w:t>
            </w:r>
          </w:p>
          <w:p w14:paraId="38CD866E">
            <w:pPr>
              <w:pStyle w:val="9"/>
              <w:spacing w:before="203" w:line="377" w:lineRule="auto"/>
              <w:ind w:left="111" w:right="107" w:firstLine="3"/>
              <w:jc w:val="both"/>
            </w:pPr>
            <w:r>
              <w:rPr>
                <w:rFonts w:hint="eastAsia"/>
              </w:rPr>
              <w:t>h.广东省实施《中华人民共和国招标投标法》办法第十六条规定的情形。</w:t>
            </w:r>
          </w:p>
        </w:tc>
      </w:tr>
      <w:tr w14:paraId="4B03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1189" w:type="dxa"/>
            <w:vAlign w:val="top"/>
          </w:tcPr>
          <w:p w14:paraId="387FFD7B">
            <w:pPr>
              <w:spacing w:line="248" w:lineRule="auto"/>
              <w:rPr>
                <w:rFonts w:ascii="Arial"/>
                <w:sz w:val="21"/>
              </w:rPr>
            </w:pPr>
          </w:p>
          <w:p w14:paraId="2E495EEA">
            <w:pPr>
              <w:spacing w:line="248" w:lineRule="auto"/>
              <w:rPr>
                <w:rFonts w:ascii="Arial"/>
                <w:sz w:val="21"/>
              </w:rPr>
            </w:pPr>
          </w:p>
          <w:p w14:paraId="6924B4C8">
            <w:pPr>
              <w:spacing w:line="249" w:lineRule="auto"/>
              <w:rPr>
                <w:rFonts w:ascii="Arial"/>
                <w:sz w:val="21"/>
              </w:rPr>
            </w:pPr>
          </w:p>
          <w:p w14:paraId="379571AE">
            <w:pPr>
              <w:pStyle w:val="9"/>
              <w:spacing w:before="68" w:line="286" w:lineRule="exact"/>
              <w:ind w:left="393"/>
              <w:rPr>
                <w:rFonts w:hint="eastAsia" w:eastAsia="宋体"/>
                <w:sz w:val="10"/>
                <w:szCs w:val="10"/>
                <w:lang w:eastAsia="zh-CN"/>
              </w:rPr>
            </w:pPr>
            <w:r>
              <w:rPr>
                <w:spacing w:val="-3"/>
              </w:rPr>
              <w:t>3.9</w:t>
            </w:r>
          </w:p>
        </w:tc>
        <w:tc>
          <w:tcPr>
            <w:tcW w:w="8687" w:type="dxa"/>
            <w:vAlign w:val="top"/>
          </w:tcPr>
          <w:p w14:paraId="727E6C1C">
            <w:pPr>
              <w:pStyle w:val="9"/>
              <w:spacing w:before="203" w:line="377" w:lineRule="auto"/>
              <w:ind w:left="111" w:right="107" w:firstLine="3"/>
              <w:jc w:val="both"/>
              <w:rPr>
                <w:rFonts w:hint="eastAsia"/>
                <w:spacing w:val="-6"/>
              </w:rPr>
            </w:pPr>
            <w:r>
              <w:rPr>
                <w:rFonts w:hint="eastAsia"/>
                <w:spacing w:val="-6"/>
              </w:rPr>
              <w:t>增加 3.9.3-3.9.7 项：</w:t>
            </w:r>
          </w:p>
          <w:p w14:paraId="0C79C72B">
            <w:pPr>
              <w:pStyle w:val="9"/>
              <w:spacing w:before="203" w:line="377" w:lineRule="auto"/>
              <w:ind w:left="111" w:right="107" w:firstLine="396" w:firstLineChars="200"/>
              <w:jc w:val="both"/>
              <w:rPr>
                <w:rFonts w:hint="eastAsia"/>
                <w:spacing w:val="-6"/>
              </w:rPr>
            </w:pPr>
            <w:r>
              <w:rPr>
                <w:rFonts w:hint="eastAsia"/>
                <w:spacing w:val="-6"/>
              </w:rPr>
              <w:t>3.9.3 推荐中标候选人方式：（1） 已被推荐为某一标段的第一中标候选人， 自动失去其在本次招标中其他标段的中标候选人资格。（2）按标段最高投标限价由高到低顺序依次选定各标段中标候选人，如果出现投标人在多个标段都排名第一，将确定该投标人为最高投标限价较高的标段的第一中标候选人，同时该投标人自动失去在本次招标中其他标段的中标候选人资格，其他标段的综合排名名次高者自动上升为中标候选人， 以此类推。</w:t>
            </w:r>
          </w:p>
          <w:p w14:paraId="72D0B875">
            <w:pPr>
              <w:pStyle w:val="9"/>
              <w:spacing w:before="203" w:line="377" w:lineRule="auto"/>
              <w:ind w:left="111" w:right="107" w:firstLine="396" w:firstLineChars="200"/>
              <w:jc w:val="both"/>
              <w:rPr>
                <w:rFonts w:hint="eastAsia"/>
                <w:spacing w:val="-6"/>
              </w:rPr>
            </w:pPr>
            <w:r>
              <w:rPr>
                <w:rFonts w:hint="eastAsia"/>
                <w:spacing w:val="-6"/>
              </w:rPr>
              <w:t>3.9.4 通过第一个信封商务及技术文件评审的投标人少于 3 个的，评标委员会应否决全部投标。</w:t>
            </w:r>
          </w:p>
          <w:p w14:paraId="788EC41C">
            <w:pPr>
              <w:pStyle w:val="9"/>
              <w:spacing w:before="203" w:line="377" w:lineRule="auto"/>
              <w:ind w:left="111" w:right="107" w:firstLine="396" w:firstLineChars="200"/>
              <w:jc w:val="both"/>
              <w:rPr>
                <w:rFonts w:hint="eastAsia"/>
                <w:spacing w:val="-6"/>
              </w:rPr>
            </w:pPr>
            <w:r>
              <w:rPr>
                <w:rFonts w:hint="eastAsia"/>
                <w:spacing w:val="-6"/>
              </w:rPr>
              <w:t>3.9.5 通过第一个信封商务及技术文件评审的投标人在 3 个及以上的，招标人应当按照招标文件规定的程序进行第二个信封报价文件开标；在对报价文件进行评审后，有效投标不足 3 个的，评标委员会可以否决全部投标。未否决全部投标的，评标委员会应当在评标报告中阐明理由并推荐中标候选人。</w:t>
            </w:r>
          </w:p>
          <w:p w14:paraId="242C8C39">
            <w:pPr>
              <w:pStyle w:val="9"/>
              <w:spacing w:before="203" w:line="377" w:lineRule="auto"/>
              <w:ind w:left="111" w:right="107" w:firstLine="396" w:firstLineChars="200"/>
              <w:jc w:val="both"/>
              <w:rPr>
                <w:rFonts w:hint="eastAsia"/>
                <w:spacing w:val="-6"/>
              </w:rPr>
            </w:pPr>
            <w:r>
              <w:rPr>
                <w:rFonts w:hint="eastAsia"/>
                <w:spacing w:val="-6"/>
              </w:rPr>
              <w:t>3.9.6 如果发生无法确定推荐中标候选人的其他意外情况，评标委员会可建议招标人重新招标。</w:t>
            </w:r>
          </w:p>
          <w:p w14:paraId="6E5B1958">
            <w:pPr>
              <w:pStyle w:val="9"/>
              <w:spacing w:before="203" w:line="377" w:lineRule="auto"/>
              <w:ind w:left="111" w:right="107" w:firstLine="398" w:firstLineChars="200"/>
              <w:jc w:val="both"/>
              <w:rPr>
                <w:rFonts w:hint="eastAsia"/>
                <w:b/>
                <w:bCs/>
                <w:spacing w:val="-6"/>
              </w:rPr>
            </w:pPr>
            <w:r>
              <w:rPr>
                <w:rFonts w:hint="eastAsia"/>
                <w:b/>
                <w:bCs/>
                <w:spacing w:val="-6"/>
              </w:rPr>
              <w:t>3.9.7 本招标文件规定的否决投标条款包含在以下条款：</w:t>
            </w:r>
          </w:p>
          <w:p w14:paraId="07B4BD56">
            <w:pPr>
              <w:pStyle w:val="9"/>
              <w:spacing w:before="203" w:line="377" w:lineRule="auto"/>
              <w:ind w:left="111" w:right="107" w:firstLine="398" w:firstLineChars="200"/>
              <w:jc w:val="both"/>
              <w:rPr>
                <w:rFonts w:hint="eastAsia"/>
                <w:b/>
                <w:bCs/>
                <w:spacing w:val="-6"/>
              </w:rPr>
            </w:pPr>
            <w:r>
              <w:rPr>
                <w:rFonts w:hint="eastAsia"/>
                <w:b/>
                <w:bCs/>
                <w:spacing w:val="-6"/>
              </w:rPr>
              <w:t>（1）招标公告第 3 点 投标人资格要求；</w:t>
            </w:r>
          </w:p>
          <w:p w14:paraId="7C7B1F20">
            <w:pPr>
              <w:pStyle w:val="9"/>
              <w:spacing w:before="203" w:line="377" w:lineRule="auto"/>
              <w:ind w:left="111" w:right="107" w:firstLine="398" w:firstLineChars="200"/>
              <w:jc w:val="both"/>
              <w:rPr>
                <w:rFonts w:hint="eastAsia"/>
                <w:b/>
                <w:bCs/>
                <w:spacing w:val="-6"/>
              </w:rPr>
            </w:pPr>
            <w:r>
              <w:rPr>
                <w:rFonts w:hint="eastAsia"/>
                <w:b/>
                <w:bCs/>
                <w:spacing w:val="-6"/>
              </w:rPr>
              <w:t>（2）投标人须知 1.4.3 项、1.4.4 项、1.4.5 项、1.11.1 项、1.12.2 项、 3.4.2 项、3.5.11 项、3.6.1 项；</w:t>
            </w:r>
          </w:p>
          <w:p w14:paraId="57A9FD54">
            <w:pPr>
              <w:pStyle w:val="9"/>
              <w:spacing w:before="203" w:line="377" w:lineRule="auto"/>
              <w:ind w:left="111" w:right="107" w:firstLine="398" w:firstLineChars="200"/>
              <w:jc w:val="both"/>
            </w:pPr>
            <w:r>
              <w:rPr>
                <w:rFonts w:hint="eastAsia"/>
                <w:b/>
                <w:bCs/>
                <w:spacing w:val="-6"/>
              </w:rPr>
              <w:t>（3）本评标办法的否决条款。</w:t>
            </w:r>
          </w:p>
        </w:tc>
      </w:tr>
    </w:tbl>
    <w:p w14:paraId="7CF55B4F">
      <w:pPr>
        <w:pStyle w:val="2"/>
        <w:spacing w:line="302" w:lineRule="auto"/>
      </w:pPr>
    </w:p>
    <w:p w14:paraId="3293ABA4">
      <w:pPr>
        <w:pStyle w:val="2"/>
        <w:spacing w:line="302" w:lineRule="auto"/>
      </w:pPr>
    </w:p>
    <w:p w14:paraId="086E089D">
      <w:pPr>
        <w:spacing w:line="219" w:lineRule="auto"/>
        <w:rPr>
          <w:rFonts w:ascii="宋体" w:hAnsi="宋体" w:eastAsia="宋体" w:cs="宋体"/>
          <w:sz w:val="18"/>
          <w:szCs w:val="18"/>
        </w:rPr>
        <w:sectPr>
          <w:footerReference r:id="rId37" w:type="default"/>
          <w:pgSz w:w="11905" w:h="16840"/>
          <w:pgMar w:top="1182" w:right="1010" w:bottom="1171" w:left="1011" w:header="849" w:footer="937" w:gutter="0"/>
          <w:pgNumType w:fmt="decimal"/>
          <w:cols w:space="720" w:num="1"/>
        </w:sectPr>
      </w:pPr>
    </w:p>
    <w:p w14:paraId="37A21C63">
      <w:pPr>
        <w:spacing w:line="234" w:lineRule="exact"/>
      </w:pPr>
    </w:p>
    <w:p w14:paraId="75A45639">
      <w:pPr>
        <w:spacing w:before="170" w:line="228" w:lineRule="auto"/>
        <w:rPr>
          <w:rFonts w:ascii="黑体" w:hAnsi="黑体" w:eastAsia="黑体" w:cs="黑体"/>
          <w:sz w:val="27"/>
          <w:szCs w:val="27"/>
        </w:rPr>
      </w:pPr>
      <w:r>
        <w:rPr>
          <w:rFonts w:ascii="黑体" w:hAnsi="黑体" w:eastAsia="黑体" w:cs="黑体"/>
          <w:spacing w:val="7"/>
          <w:sz w:val="27"/>
          <w:szCs w:val="27"/>
        </w:rPr>
        <w:t>1. 评标方法、组织及工作程序</w:t>
      </w:r>
    </w:p>
    <w:p w14:paraId="4674A50F">
      <w:pPr>
        <w:spacing w:before="233" w:line="220" w:lineRule="auto"/>
        <w:ind w:left="431"/>
        <w:rPr>
          <w:rFonts w:ascii="宋体" w:hAnsi="宋体" w:eastAsia="宋体" w:cs="宋体"/>
          <w:sz w:val="24"/>
          <w:szCs w:val="24"/>
        </w:rPr>
      </w:pPr>
      <w:r>
        <w:rPr>
          <w:rFonts w:ascii="宋体" w:hAnsi="宋体" w:eastAsia="宋体" w:cs="宋体"/>
          <w:spacing w:val="-5"/>
          <w:sz w:val="24"/>
          <w:szCs w:val="24"/>
        </w:rPr>
        <w:t>1评标方法</w:t>
      </w:r>
    </w:p>
    <w:p w14:paraId="7A0A4615">
      <w:pPr>
        <w:spacing w:before="181" w:line="360" w:lineRule="auto"/>
        <w:ind w:left="411" w:right="405" w:firstLine="482"/>
        <w:jc w:val="both"/>
        <w:rPr>
          <w:rFonts w:ascii="宋体" w:hAnsi="宋体" w:eastAsia="宋体" w:cs="宋体"/>
          <w:sz w:val="24"/>
          <w:szCs w:val="24"/>
        </w:rPr>
      </w:pPr>
      <w:r>
        <w:rPr>
          <w:rFonts w:ascii="宋体" w:hAnsi="宋体" w:eastAsia="宋体" w:cs="宋体"/>
          <w:spacing w:val="-2"/>
          <w:sz w:val="24"/>
          <w:szCs w:val="24"/>
        </w:rPr>
        <w:t>本次评标采用双信封的技术评分最低标价法。评标委员会对满足招标文件实质性要求的投标文件，按照本章第</w:t>
      </w:r>
      <w:r>
        <w:rPr>
          <w:rFonts w:ascii="宋体" w:hAnsi="宋体" w:eastAsia="宋体" w:cs="宋体"/>
          <w:spacing w:val="-48"/>
          <w:sz w:val="24"/>
          <w:szCs w:val="24"/>
        </w:rPr>
        <w:t xml:space="preserve"> </w:t>
      </w:r>
      <w:r>
        <w:rPr>
          <w:rFonts w:ascii="宋体" w:hAnsi="宋体" w:eastAsia="宋体" w:cs="宋体"/>
          <w:spacing w:val="-2"/>
          <w:sz w:val="24"/>
          <w:szCs w:val="24"/>
        </w:rPr>
        <w:t>2.2</w:t>
      </w:r>
      <w:r>
        <w:rPr>
          <w:rFonts w:ascii="宋体" w:hAnsi="宋体" w:eastAsia="宋体" w:cs="宋体"/>
          <w:spacing w:val="-50"/>
          <w:sz w:val="24"/>
          <w:szCs w:val="24"/>
        </w:rPr>
        <w:t xml:space="preserve"> </w:t>
      </w:r>
      <w:r>
        <w:rPr>
          <w:rFonts w:ascii="宋体" w:hAnsi="宋体" w:eastAsia="宋体" w:cs="宋体"/>
          <w:spacing w:val="-2"/>
          <w:sz w:val="24"/>
          <w:szCs w:val="24"/>
        </w:rPr>
        <w:t>款规定对通过初步评审的投标人的施工组织设计</w:t>
      </w:r>
      <w:r>
        <w:rPr>
          <w:rFonts w:hint="eastAsia" w:ascii="宋体" w:hAnsi="宋体" w:cs="宋体"/>
          <w:spacing w:val="-2"/>
          <w:sz w:val="24"/>
          <w:szCs w:val="24"/>
          <w:u w:val="single" w:color="auto"/>
          <w:lang w:eastAsia="zh-CN"/>
        </w:rPr>
        <w:t>及承包人项目管理方案</w:t>
      </w:r>
      <w:r>
        <w:rPr>
          <w:rFonts w:ascii="宋体" w:hAnsi="宋体" w:eastAsia="宋体" w:cs="宋体"/>
          <w:spacing w:val="-6"/>
          <w:sz w:val="24"/>
          <w:szCs w:val="24"/>
        </w:rPr>
        <w:t>、主要人员、其他因素等进行评分，</w:t>
      </w:r>
      <w:r>
        <w:rPr>
          <w:rFonts w:ascii="宋体" w:hAnsi="宋体" w:eastAsia="宋体" w:cs="宋体"/>
          <w:spacing w:val="53"/>
          <w:sz w:val="24"/>
          <w:szCs w:val="24"/>
        </w:rPr>
        <w:t xml:space="preserve"> </w:t>
      </w:r>
      <w:r>
        <w:rPr>
          <w:rFonts w:ascii="宋体" w:hAnsi="宋体" w:eastAsia="宋体" w:cs="宋体"/>
          <w:spacing w:val="-6"/>
          <w:sz w:val="24"/>
          <w:szCs w:val="24"/>
        </w:rPr>
        <w:t>按照得分由高到低排序，对排</w:t>
      </w:r>
      <w:r>
        <w:rPr>
          <w:rFonts w:ascii="宋体" w:hAnsi="宋体" w:eastAsia="宋体" w:cs="宋体"/>
          <w:spacing w:val="-7"/>
          <w:sz w:val="24"/>
          <w:szCs w:val="24"/>
        </w:rPr>
        <w:t>名在</w:t>
      </w:r>
      <w:r>
        <w:rPr>
          <w:rFonts w:ascii="宋体" w:hAnsi="宋体" w:eastAsia="宋体" w:cs="宋体"/>
          <w:spacing w:val="-2"/>
          <w:sz w:val="24"/>
          <w:szCs w:val="24"/>
        </w:rPr>
        <w:t>招标文件规定数量</w:t>
      </w:r>
      <w:r>
        <w:rPr>
          <w:rFonts w:ascii="宋体" w:hAnsi="宋体" w:eastAsia="宋体" w:cs="宋体"/>
          <w:spacing w:val="-2"/>
          <w:sz w:val="24"/>
          <w:szCs w:val="24"/>
          <w:u w:val="single" w:color="auto"/>
        </w:rPr>
        <w:t>前 5 名（不少于</w:t>
      </w:r>
      <w:r>
        <w:rPr>
          <w:rFonts w:ascii="宋体" w:hAnsi="宋体" w:eastAsia="宋体" w:cs="宋体"/>
          <w:spacing w:val="-30"/>
          <w:sz w:val="24"/>
          <w:szCs w:val="24"/>
          <w:u w:val="single" w:color="auto"/>
        </w:rPr>
        <w:t xml:space="preserve"> </w:t>
      </w:r>
      <w:r>
        <w:rPr>
          <w:rFonts w:ascii="宋体" w:hAnsi="宋体" w:eastAsia="宋体" w:cs="宋体"/>
          <w:spacing w:val="-2"/>
          <w:sz w:val="24"/>
          <w:szCs w:val="24"/>
          <w:u w:val="single" w:color="auto"/>
        </w:rPr>
        <w:t>3</w:t>
      </w:r>
      <w:r>
        <w:rPr>
          <w:rFonts w:ascii="宋体" w:hAnsi="宋体" w:eastAsia="宋体" w:cs="宋体"/>
          <w:spacing w:val="-47"/>
          <w:sz w:val="24"/>
          <w:szCs w:val="24"/>
          <w:u w:val="single" w:color="auto"/>
        </w:rPr>
        <w:t xml:space="preserve"> </w:t>
      </w:r>
      <w:r>
        <w:rPr>
          <w:rFonts w:ascii="宋体" w:hAnsi="宋体" w:eastAsia="宋体" w:cs="宋体"/>
          <w:spacing w:val="-2"/>
          <w:sz w:val="24"/>
          <w:szCs w:val="24"/>
          <w:u w:val="single" w:color="auto"/>
        </w:rPr>
        <w:t>名但不足</w:t>
      </w:r>
      <w:r>
        <w:rPr>
          <w:rFonts w:ascii="宋体" w:hAnsi="宋体" w:eastAsia="宋体" w:cs="宋体"/>
          <w:spacing w:val="-46"/>
          <w:sz w:val="24"/>
          <w:szCs w:val="24"/>
          <w:u w:val="single" w:color="auto"/>
        </w:rPr>
        <w:t xml:space="preserve"> </w:t>
      </w:r>
      <w:r>
        <w:rPr>
          <w:rFonts w:ascii="宋体" w:hAnsi="宋体" w:eastAsia="宋体" w:cs="宋体"/>
          <w:spacing w:val="-2"/>
          <w:sz w:val="24"/>
          <w:szCs w:val="24"/>
          <w:u w:val="single" w:color="auto"/>
        </w:rPr>
        <w:t>5</w:t>
      </w:r>
      <w:r>
        <w:rPr>
          <w:rFonts w:ascii="宋体" w:hAnsi="宋体" w:eastAsia="宋体" w:cs="宋体"/>
          <w:spacing w:val="-48"/>
          <w:sz w:val="24"/>
          <w:szCs w:val="24"/>
          <w:u w:val="single" w:color="auto"/>
        </w:rPr>
        <w:t xml:space="preserve"> </w:t>
      </w:r>
      <w:r>
        <w:rPr>
          <w:rFonts w:ascii="宋体" w:hAnsi="宋体" w:eastAsia="宋体" w:cs="宋体"/>
          <w:spacing w:val="-2"/>
          <w:sz w:val="24"/>
          <w:szCs w:val="24"/>
          <w:u w:val="single" w:color="auto"/>
        </w:rPr>
        <w:t>名时，按全部实际数量）</w:t>
      </w:r>
      <w:r>
        <w:rPr>
          <w:rFonts w:ascii="宋体" w:hAnsi="宋体" w:eastAsia="宋体" w:cs="宋体"/>
          <w:spacing w:val="-2"/>
          <w:sz w:val="24"/>
          <w:szCs w:val="24"/>
        </w:rPr>
        <w:t>的投标人的</w:t>
      </w:r>
      <w:r>
        <w:rPr>
          <w:rFonts w:ascii="宋体" w:hAnsi="宋体" w:eastAsia="宋体" w:cs="宋体"/>
          <w:spacing w:val="-1"/>
          <w:sz w:val="24"/>
          <w:szCs w:val="24"/>
        </w:rPr>
        <w:t>报价文件进行评审，按照评标价由低到高的</w:t>
      </w:r>
      <w:r>
        <w:rPr>
          <w:rFonts w:ascii="宋体" w:hAnsi="宋体" w:eastAsia="宋体" w:cs="宋体"/>
          <w:spacing w:val="-2"/>
          <w:sz w:val="24"/>
          <w:szCs w:val="24"/>
        </w:rPr>
        <w:t>顺序推荐中标候选人的评标方法，但投标报</w:t>
      </w:r>
      <w:r>
        <w:rPr>
          <w:rFonts w:ascii="宋体" w:hAnsi="宋体" w:eastAsia="宋体" w:cs="宋体"/>
          <w:spacing w:val="-5"/>
          <w:sz w:val="24"/>
          <w:szCs w:val="24"/>
        </w:rPr>
        <w:t>价低于其成本的除外。评标价相等时， 评标委员会应按照评标办法前附表规定的优先次</w:t>
      </w:r>
      <w:r>
        <w:rPr>
          <w:rFonts w:ascii="宋体" w:hAnsi="宋体" w:eastAsia="宋体" w:cs="宋体"/>
          <w:spacing w:val="-3"/>
          <w:sz w:val="24"/>
          <w:szCs w:val="24"/>
        </w:rPr>
        <w:t>序推荐中标候选人或确定中标人。</w:t>
      </w:r>
    </w:p>
    <w:p w14:paraId="3F3A2205">
      <w:pPr>
        <w:spacing w:before="54" w:line="229" w:lineRule="auto"/>
        <w:ind w:left="8"/>
        <w:rPr>
          <w:rFonts w:ascii="黑体" w:hAnsi="黑体" w:eastAsia="黑体" w:cs="黑体"/>
          <w:sz w:val="27"/>
          <w:szCs w:val="27"/>
        </w:rPr>
      </w:pPr>
      <w:r>
        <w:rPr>
          <w:rFonts w:ascii="黑体" w:hAnsi="黑体" w:eastAsia="黑体" w:cs="黑体"/>
          <w:spacing w:val="6"/>
          <w:sz w:val="27"/>
          <w:szCs w:val="27"/>
        </w:rPr>
        <w:t>2. 评审标准</w:t>
      </w:r>
    </w:p>
    <w:p w14:paraId="1FCF0511">
      <w:pPr>
        <w:pStyle w:val="2"/>
        <w:spacing w:line="268" w:lineRule="auto"/>
      </w:pPr>
      <w:r>
        <w:rPr>
          <w:rFonts w:ascii="黑体" w:hAnsi="黑体" w:eastAsia="黑体" w:cs="黑体"/>
          <w:spacing w:val="-1"/>
          <w:sz w:val="24"/>
          <w:szCs w:val="24"/>
        </w:rPr>
        <w:t>2.1 初步评审标准</w:t>
      </w:r>
    </w:p>
    <w:p w14:paraId="5470C00D">
      <w:pPr>
        <w:spacing w:before="78" w:line="220" w:lineRule="auto"/>
        <w:ind w:left="5"/>
        <w:rPr>
          <w:rFonts w:ascii="宋体" w:hAnsi="宋体" w:eastAsia="宋体" w:cs="宋体"/>
          <w:sz w:val="24"/>
          <w:szCs w:val="24"/>
        </w:rPr>
      </w:pPr>
      <w:r>
        <w:rPr>
          <w:rFonts w:ascii="Times New Roman" w:hAnsi="Times New Roman" w:eastAsia="Times New Roman" w:cs="Times New Roman"/>
          <w:spacing w:val="-1"/>
          <w:sz w:val="24"/>
          <w:szCs w:val="24"/>
        </w:rPr>
        <w:t xml:space="preserve">2.1.1  </w:t>
      </w:r>
      <w:r>
        <w:rPr>
          <w:rFonts w:ascii="宋体" w:hAnsi="宋体" w:eastAsia="宋体" w:cs="宋体"/>
          <w:spacing w:val="-1"/>
          <w:sz w:val="24"/>
          <w:szCs w:val="24"/>
        </w:rPr>
        <w:t>形式评审标准：见评标办法前附表</w:t>
      </w:r>
    </w:p>
    <w:p w14:paraId="5AB57D50">
      <w:pPr>
        <w:spacing w:before="181" w:line="219" w:lineRule="auto"/>
        <w:ind w:left="5"/>
        <w:rPr>
          <w:rFonts w:ascii="宋体" w:hAnsi="宋体" w:eastAsia="宋体" w:cs="宋体"/>
          <w:sz w:val="24"/>
          <w:szCs w:val="24"/>
        </w:rPr>
      </w:pPr>
      <w:r>
        <w:rPr>
          <w:rFonts w:ascii="Times New Roman" w:hAnsi="Times New Roman" w:eastAsia="Times New Roman" w:cs="Times New Roman"/>
          <w:spacing w:val="-1"/>
          <w:sz w:val="24"/>
          <w:szCs w:val="24"/>
        </w:rPr>
        <w:t xml:space="preserve">2.1.2  </w:t>
      </w:r>
      <w:r>
        <w:rPr>
          <w:rFonts w:ascii="宋体" w:hAnsi="宋体" w:eastAsia="宋体" w:cs="宋体"/>
          <w:spacing w:val="-1"/>
          <w:sz w:val="24"/>
          <w:szCs w:val="24"/>
        </w:rPr>
        <w:t>资格评审标准：见评标办法前附表</w:t>
      </w:r>
    </w:p>
    <w:p w14:paraId="6609685B">
      <w:pPr>
        <w:spacing w:before="78" w:line="220" w:lineRule="auto"/>
        <w:ind w:left="5"/>
        <w:rPr>
          <w:rFonts w:ascii="Times New Roman" w:hAnsi="Times New Roman" w:eastAsia="Times New Roman" w:cs="Times New Roman"/>
          <w:spacing w:val="-1"/>
          <w:sz w:val="24"/>
          <w:szCs w:val="24"/>
        </w:rPr>
      </w:pPr>
      <w:r>
        <w:rPr>
          <w:rFonts w:ascii="Times New Roman" w:hAnsi="Times New Roman" w:eastAsia="Times New Roman" w:cs="Times New Roman"/>
          <w:spacing w:val="-1"/>
          <w:sz w:val="24"/>
          <w:szCs w:val="24"/>
        </w:rPr>
        <w:t>2.1.3  响应性评审标准</w:t>
      </w:r>
      <w:r>
        <w:rPr>
          <w:rFonts w:ascii="宋体" w:hAnsi="宋体" w:eastAsia="宋体" w:cs="宋体"/>
          <w:spacing w:val="-1"/>
          <w:sz w:val="24"/>
          <w:szCs w:val="24"/>
        </w:rPr>
        <w:t>：见评标办法前附表</w:t>
      </w:r>
    </w:p>
    <w:p w14:paraId="232BC6C1">
      <w:pPr>
        <w:spacing w:before="181" w:line="222" w:lineRule="auto"/>
        <w:ind w:left="7"/>
        <w:rPr>
          <w:rFonts w:ascii="黑体" w:hAnsi="黑体" w:eastAsia="黑体" w:cs="黑体"/>
          <w:sz w:val="24"/>
          <w:szCs w:val="24"/>
        </w:rPr>
      </w:pPr>
      <w:r>
        <w:rPr>
          <w:rFonts w:ascii="黑体" w:hAnsi="黑体" w:eastAsia="黑体" w:cs="黑体"/>
          <w:spacing w:val="-1"/>
          <w:sz w:val="24"/>
          <w:szCs w:val="24"/>
        </w:rPr>
        <w:t>2.2 分值构成与评分标准</w:t>
      </w:r>
    </w:p>
    <w:p w14:paraId="2EC8D738">
      <w:pPr>
        <w:spacing w:before="179" w:line="222" w:lineRule="auto"/>
        <w:ind w:left="5"/>
        <w:rPr>
          <w:rFonts w:ascii="黑体" w:hAnsi="黑体" w:eastAsia="黑体" w:cs="黑体"/>
          <w:sz w:val="24"/>
          <w:szCs w:val="24"/>
        </w:rPr>
      </w:pPr>
      <w:r>
        <w:rPr>
          <w:rFonts w:ascii="Times New Roman" w:hAnsi="Times New Roman" w:eastAsia="Times New Roman" w:cs="Times New Roman"/>
          <w:spacing w:val="-1"/>
          <w:sz w:val="24"/>
          <w:szCs w:val="24"/>
        </w:rPr>
        <w:t xml:space="preserve">2.2.1  </w:t>
      </w:r>
      <w:r>
        <w:rPr>
          <w:rFonts w:ascii="黑体" w:hAnsi="黑体" w:eastAsia="黑体" w:cs="黑体"/>
          <w:spacing w:val="-1"/>
          <w:sz w:val="24"/>
          <w:szCs w:val="24"/>
        </w:rPr>
        <w:t>第一个信封评分分值构成</w:t>
      </w:r>
    </w:p>
    <w:p w14:paraId="6BEE3488">
      <w:pPr>
        <w:spacing w:before="179" w:line="219" w:lineRule="auto"/>
        <w:ind w:left="1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）施工组织设计</w:t>
      </w:r>
      <w:r>
        <w:rPr>
          <w:rFonts w:hint="eastAsia" w:ascii="宋体" w:hAnsi="宋体" w:cs="宋体"/>
          <w:spacing w:val="-2"/>
          <w:sz w:val="24"/>
          <w:szCs w:val="24"/>
          <w:u w:val="single" w:color="auto"/>
          <w:lang w:eastAsia="zh-CN"/>
        </w:rPr>
        <w:t>及承包人项目管理方案</w:t>
      </w:r>
      <w:r>
        <w:rPr>
          <w:rFonts w:ascii="宋体" w:hAnsi="宋体" w:eastAsia="宋体" w:cs="宋体"/>
          <w:spacing w:val="-3"/>
          <w:sz w:val="24"/>
          <w:szCs w:val="24"/>
        </w:rPr>
        <w:t>：见评标办法前附表；</w:t>
      </w:r>
    </w:p>
    <w:p w14:paraId="2C93D8CA">
      <w:pPr>
        <w:spacing w:before="184" w:line="219" w:lineRule="auto"/>
        <w:ind w:left="1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）主要人员：见评标办法前附表；</w:t>
      </w:r>
    </w:p>
    <w:p w14:paraId="640F0045">
      <w:pPr>
        <w:spacing w:before="183" w:line="219" w:lineRule="auto"/>
        <w:ind w:left="1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）其他评分因素：见评标办法前附表。</w:t>
      </w:r>
    </w:p>
    <w:p w14:paraId="02024C30">
      <w:pPr>
        <w:spacing w:before="183" w:line="222" w:lineRule="auto"/>
        <w:ind w:left="5"/>
        <w:rPr>
          <w:rFonts w:ascii="黑体" w:hAnsi="黑体" w:eastAsia="黑体" w:cs="黑体"/>
          <w:sz w:val="24"/>
          <w:szCs w:val="24"/>
        </w:rPr>
      </w:pPr>
      <w:r>
        <w:rPr>
          <w:rFonts w:ascii="Times New Roman" w:hAnsi="Times New Roman" w:eastAsia="Times New Roman" w:cs="Times New Roman"/>
          <w:spacing w:val="-1"/>
          <w:sz w:val="24"/>
          <w:szCs w:val="24"/>
        </w:rPr>
        <w:t xml:space="preserve">2.2.2  </w:t>
      </w:r>
      <w:r>
        <w:rPr>
          <w:rFonts w:ascii="黑体" w:hAnsi="黑体" w:eastAsia="黑体" w:cs="黑体"/>
          <w:spacing w:val="-1"/>
          <w:sz w:val="24"/>
          <w:szCs w:val="24"/>
        </w:rPr>
        <w:t>第一个信封评分评分标准</w:t>
      </w:r>
    </w:p>
    <w:p w14:paraId="52CBD614">
      <w:pPr>
        <w:spacing w:before="180" w:line="219" w:lineRule="auto"/>
        <w:ind w:left="1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）施工组织设计</w:t>
      </w:r>
      <w:r>
        <w:rPr>
          <w:rFonts w:hint="eastAsia" w:ascii="宋体" w:hAnsi="宋体" w:cs="宋体"/>
          <w:spacing w:val="-2"/>
          <w:sz w:val="24"/>
          <w:szCs w:val="24"/>
          <w:u w:val="single" w:color="auto"/>
          <w:lang w:eastAsia="zh-CN"/>
        </w:rPr>
        <w:t>及承包人项目管理方案</w:t>
      </w:r>
      <w:r>
        <w:rPr>
          <w:rFonts w:ascii="宋体" w:hAnsi="宋体" w:eastAsia="宋体" w:cs="宋体"/>
          <w:spacing w:val="-2"/>
          <w:sz w:val="24"/>
          <w:szCs w:val="24"/>
        </w:rPr>
        <w:t>评分标准：见评标办法前</w:t>
      </w:r>
      <w:r>
        <w:rPr>
          <w:rFonts w:ascii="宋体" w:hAnsi="宋体" w:eastAsia="宋体" w:cs="宋体"/>
          <w:spacing w:val="-3"/>
          <w:sz w:val="24"/>
          <w:szCs w:val="24"/>
        </w:rPr>
        <w:t>附表；</w:t>
      </w:r>
    </w:p>
    <w:p w14:paraId="161484B9">
      <w:pPr>
        <w:spacing w:before="183" w:line="219" w:lineRule="auto"/>
        <w:ind w:left="1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）主要人员评分标准：见评标办法前附表；</w:t>
      </w:r>
    </w:p>
    <w:p w14:paraId="627E9112">
      <w:pPr>
        <w:spacing w:before="183" w:line="219" w:lineRule="auto"/>
        <w:ind w:left="1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）其他因素评分标准：见评标办法前附表。</w:t>
      </w:r>
    </w:p>
    <w:p w14:paraId="6647A1ED">
      <w:pPr>
        <w:spacing w:before="184" w:line="219" w:lineRule="auto"/>
        <w:ind w:left="5"/>
        <w:rPr>
          <w:rFonts w:ascii="宋体" w:hAnsi="宋体" w:eastAsia="宋体" w:cs="宋体"/>
          <w:sz w:val="24"/>
          <w:szCs w:val="24"/>
        </w:rPr>
      </w:pPr>
      <w:r>
        <w:rPr>
          <w:rFonts w:ascii="Times New Roman" w:hAnsi="Times New Roman" w:eastAsia="Times New Roman" w:cs="Times New Roman"/>
          <w:spacing w:val="-2"/>
          <w:sz w:val="24"/>
          <w:szCs w:val="24"/>
        </w:rPr>
        <w:t xml:space="preserve">2.2.3  </w:t>
      </w:r>
      <w:r>
        <w:rPr>
          <w:rFonts w:ascii="宋体" w:hAnsi="宋体" w:eastAsia="宋体" w:cs="宋体"/>
          <w:spacing w:val="-2"/>
          <w:sz w:val="24"/>
          <w:szCs w:val="24"/>
        </w:rPr>
        <w:t>第二个信封详细评审标准：见评标办法前附表。</w:t>
      </w:r>
    </w:p>
    <w:p w14:paraId="7D274C65">
      <w:pPr>
        <w:spacing w:before="241" w:line="229" w:lineRule="auto"/>
        <w:ind w:left="10"/>
        <w:rPr>
          <w:rFonts w:ascii="黑体" w:hAnsi="黑体" w:eastAsia="黑体" w:cs="黑体"/>
          <w:sz w:val="27"/>
          <w:szCs w:val="27"/>
        </w:rPr>
      </w:pPr>
      <w:r>
        <w:rPr>
          <w:rFonts w:ascii="黑体" w:hAnsi="黑体" w:eastAsia="黑体" w:cs="黑体"/>
          <w:spacing w:val="6"/>
          <w:sz w:val="27"/>
          <w:szCs w:val="27"/>
        </w:rPr>
        <w:t>3. 评标程序</w:t>
      </w:r>
    </w:p>
    <w:p w14:paraId="166261A0">
      <w:pPr>
        <w:spacing w:before="231" w:line="222" w:lineRule="auto"/>
        <w:ind w:left="9"/>
        <w:rPr>
          <w:rFonts w:ascii="黑体" w:hAnsi="黑体" w:eastAsia="黑体" w:cs="黑体"/>
          <w:sz w:val="24"/>
          <w:szCs w:val="24"/>
        </w:rPr>
      </w:pPr>
      <w:r>
        <w:rPr>
          <w:rFonts w:ascii="黑体" w:hAnsi="黑体" w:eastAsia="黑体" w:cs="黑体"/>
          <w:spacing w:val="-1"/>
          <w:sz w:val="24"/>
          <w:szCs w:val="24"/>
        </w:rPr>
        <w:t>3.1 第一个信封初步评审</w:t>
      </w:r>
    </w:p>
    <w:p w14:paraId="2F15B009">
      <w:pPr>
        <w:spacing w:before="180" w:line="360" w:lineRule="auto"/>
        <w:ind w:left="8" w:firstLine="1"/>
        <w:rPr>
          <w:rFonts w:ascii="宋体" w:hAnsi="宋体" w:eastAsia="宋体" w:cs="宋体"/>
          <w:sz w:val="24"/>
          <w:szCs w:val="24"/>
        </w:rPr>
      </w:pPr>
      <w:r>
        <w:rPr>
          <w:rFonts w:ascii="Times New Roman" w:hAnsi="Times New Roman" w:eastAsia="Times New Roman" w:cs="Times New Roman"/>
          <w:sz w:val="24"/>
          <w:szCs w:val="24"/>
        </w:rPr>
        <w:t xml:space="preserve">3.1.1  </w:t>
      </w:r>
      <w:r>
        <w:rPr>
          <w:rFonts w:ascii="宋体" w:hAnsi="宋体" w:eastAsia="宋体" w:cs="宋体"/>
          <w:sz w:val="24"/>
          <w:szCs w:val="24"/>
        </w:rPr>
        <w:t>评标委员会可以要求投标人提交第二章</w:t>
      </w:r>
      <w:r>
        <w:rPr>
          <w:rFonts w:ascii="Times New Roman" w:hAnsi="Times New Roman" w:eastAsia="Times New Roman" w:cs="Times New Roman"/>
          <w:sz w:val="24"/>
          <w:szCs w:val="24"/>
        </w:rPr>
        <w:t>“</w:t>
      </w:r>
      <w:r>
        <w:rPr>
          <w:rFonts w:ascii="宋体" w:hAnsi="宋体" w:eastAsia="宋体" w:cs="宋体"/>
          <w:sz w:val="24"/>
          <w:szCs w:val="24"/>
        </w:rPr>
        <w:t>投标人须知</w:t>
      </w:r>
      <w:r>
        <w:rPr>
          <w:rFonts w:ascii="Times New Roman" w:hAnsi="Times New Roman" w:eastAsia="Times New Roman" w:cs="Times New Roman"/>
          <w:sz w:val="24"/>
          <w:szCs w:val="24"/>
        </w:rPr>
        <w:t>”</w:t>
      </w:r>
      <w:r>
        <w:rPr>
          <w:rFonts w:ascii="宋体" w:hAnsi="宋体" w:eastAsia="宋体" w:cs="宋体"/>
          <w:sz w:val="24"/>
          <w:szCs w:val="24"/>
        </w:rPr>
        <w:t xml:space="preserve">第 </w:t>
      </w:r>
      <w:r>
        <w:rPr>
          <w:rFonts w:ascii="Times New Roman" w:hAnsi="Times New Roman" w:eastAsia="Times New Roman" w:cs="Times New Roman"/>
          <w:sz w:val="24"/>
          <w:szCs w:val="24"/>
        </w:rPr>
        <w:t xml:space="preserve">3.5.1  </w:t>
      </w:r>
      <w:r>
        <w:rPr>
          <w:rFonts w:ascii="宋体" w:hAnsi="宋体" w:eastAsia="宋体" w:cs="宋体"/>
          <w:spacing w:val="-1"/>
          <w:sz w:val="24"/>
          <w:szCs w:val="24"/>
        </w:rPr>
        <w:t xml:space="preserve">项至第 </w:t>
      </w:r>
      <w:r>
        <w:rPr>
          <w:rFonts w:ascii="Times New Roman" w:hAnsi="Times New Roman" w:eastAsia="Times New Roman" w:cs="Times New Roman"/>
          <w:spacing w:val="-1"/>
          <w:sz w:val="24"/>
          <w:szCs w:val="24"/>
        </w:rPr>
        <w:t xml:space="preserve">3.5.6 </w:t>
      </w:r>
      <w:r>
        <w:rPr>
          <w:rFonts w:ascii="宋体" w:hAnsi="宋体" w:eastAsia="宋体" w:cs="宋体"/>
          <w:spacing w:val="-1"/>
          <w:sz w:val="24"/>
          <w:szCs w:val="24"/>
        </w:rPr>
        <w:t>项规</w:t>
      </w:r>
      <w:r>
        <w:rPr>
          <w:rFonts w:ascii="宋体" w:hAnsi="宋体" w:eastAsia="宋体" w:cs="宋体"/>
          <w:spacing w:val="-3"/>
          <w:sz w:val="24"/>
          <w:szCs w:val="24"/>
        </w:rPr>
        <w:t xml:space="preserve">定的有关证明和证件的原件，以便核验。评标委员会依据本章第 </w:t>
      </w:r>
      <w:r>
        <w:rPr>
          <w:rFonts w:ascii="Times New Roman" w:hAnsi="Times New Roman" w:eastAsia="Times New Roman" w:cs="Times New Roman"/>
          <w:spacing w:val="-3"/>
          <w:sz w:val="24"/>
          <w:szCs w:val="24"/>
        </w:rPr>
        <w:t xml:space="preserve">2.1  </w:t>
      </w:r>
      <w:r>
        <w:rPr>
          <w:rFonts w:ascii="宋体" w:hAnsi="宋体" w:eastAsia="宋体" w:cs="宋体"/>
          <w:spacing w:val="-3"/>
          <w:sz w:val="24"/>
          <w:szCs w:val="24"/>
        </w:rPr>
        <w:t>款规定的标准对投</w:t>
      </w:r>
      <w:r>
        <w:rPr>
          <w:rFonts w:ascii="宋体" w:hAnsi="宋体" w:eastAsia="宋体" w:cs="宋体"/>
          <w:spacing w:val="-2"/>
          <w:sz w:val="24"/>
          <w:szCs w:val="24"/>
        </w:rPr>
        <w:t>标文件第一个信封（商务及技术文件）进行初步评审。有一项不符合评审标准的，评标</w:t>
      </w:r>
      <w:r>
        <w:rPr>
          <w:rFonts w:ascii="宋体" w:hAnsi="宋体" w:eastAsia="宋体" w:cs="宋体"/>
          <w:spacing w:val="-1"/>
          <w:sz w:val="24"/>
          <w:szCs w:val="24"/>
        </w:rPr>
        <w:t>委员会应否决其投标。（适用于未进行资格预审</w:t>
      </w:r>
      <w:r>
        <w:rPr>
          <w:rFonts w:ascii="宋体" w:hAnsi="宋体" w:eastAsia="宋体" w:cs="宋体"/>
          <w:spacing w:val="-2"/>
          <w:sz w:val="24"/>
          <w:szCs w:val="24"/>
        </w:rPr>
        <w:t>的）</w:t>
      </w:r>
    </w:p>
    <w:p w14:paraId="650D2FF8">
      <w:pPr>
        <w:spacing w:line="221" w:lineRule="auto"/>
        <w:ind w:left="9"/>
        <w:rPr>
          <w:rFonts w:ascii="黑体" w:hAnsi="黑体" w:eastAsia="黑体" w:cs="黑体"/>
          <w:sz w:val="24"/>
          <w:szCs w:val="24"/>
        </w:rPr>
      </w:pPr>
      <w:r>
        <w:rPr>
          <w:rFonts w:ascii="黑体" w:hAnsi="黑体" w:eastAsia="黑体" w:cs="黑体"/>
          <w:spacing w:val="-1"/>
          <w:sz w:val="24"/>
          <w:szCs w:val="24"/>
        </w:rPr>
        <w:t>3.2 第一个信封详细评审</w:t>
      </w:r>
    </w:p>
    <w:p w14:paraId="24303EB8">
      <w:pPr>
        <w:pStyle w:val="2"/>
        <w:spacing w:line="268" w:lineRule="auto"/>
      </w:pPr>
      <w:r>
        <w:rPr>
          <w:rFonts w:ascii="Times New Roman" w:hAnsi="Times New Roman" w:eastAsia="Times New Roman" w:cs="Times New Roman"/>
          <w:sz w:val="24"/>
          <w:szCs w:val="24"/>
        </w:rPr>
        <w:t xml:space="preserve">3.2.1  </w:t>
      </w:r>
      <w:r>
        <w:rPr>
          <w:rFonts w:ascii="宋体" w:hAnsi="宋体" w:eastAsia="宋体" w:cs="宋体"/>
          <w:sz w:val="24"/>
          <w:szCs w:val="24"/>
        </w:rPr>
        <w:t xml:space="preserve">评标委员会按本章第 </w:t>
      </w:r>
      <w:r>
        <w:rPr>
          <w:rFonts w:ascii="Times New Roman" w:hAnsi="Times New Roman" w:eastAsia="Times New Roman" w:cs="Times New Roman"/>
          <w:sz w:val="24"/>
          <w:szCs w:val="24"/>
        </w:rPr>
        <w:t xml:space="preserve">2.2  </w:t>
      </w:r>
      <w:r>
        <w:rPr>
          <w:rFonts w:ascii="宋体" w:hAnsi="宋体" w:eastAsia="宋体" w:cs="宋体"/>
          <w:sz w:val="24"/>
          <w:szCs w:val="24"/>
        </w:rPr>
        <w:t>款规定的量化因素和分值进行</w:t>
      </w:r>
      <w:r>
        <w:rPr>
          <w:rFonts w:ascii="宋体" w:hAnsi="宋体" w:eastAsia="宋体" w:cs="宋体"/>
          <w:spacing w:val="-1"/>
          <w:sz w:val="24"/>
          <w:szCs w:val="24"/>
        </w:rPr>
        <w:t>打分，并计算出各投标人</w:t>
      </w:r>
      <w:r>
        <w:rPr>
          <w:rFonts w:ascii="宋体" w:hAnsi="宋体" w:eastAsia="宋体" w:cs="宋体"/>
          <w:spacing w:val="-7"/>
          <w:sz w:val="24"/>
          <w:szCs w:val="24"/>
        </w:rPr>
        <w:t>的商务和技术得分。</w:t>
      </w:r>
    </w:p>
    <w:p w14:paraId="54C33DF1">
      <w:pPr>
        <w:spacing w:before="78" w:line="360" w:lineRule="auto"/>
        <w:ind w:left="12" w:right="85" w:firstLine="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 xml:space="preserve">）按本章第 </w:t>
      </w:r>
      <w:r>
        <w:rPr>
          <w:rFonts w:ascii="Times New Roman" w:hAnsi="Times New Roman" w:eastAsia="Times New Roman" w:cs="Times New Roman"/>
          <w:spacing w:val="-1"/>
          <w:sz w:val="24"/>
          <w:szCs w:val="24"/>
        </w:rPr>
        <w:t xml:space="preserve">2.2.2  </w:t>
      </w:r>
      <w:r>
        <w:rPr>
          <w:rFonts w:ascii="宋体" w:hAnsi="宋体" w:eastAsia="宋体" w:cs="宋体"/>
          <w:spacing w:val="-1"/>
          <w:sz w:val="24"/>
          <w:szCs w:val="24"/>
        </w:rPr>
        <w:t>项（</w:t>
      </w:r>
      <w:r>
        <w:rPr>
          <w:rFonts w:ascii="Times New Roman" w:hAnsi="Times New Roman" w:eastAsia="Times New Roman" w:cs="Times New Roman"/>
          <w:spacing w:val="-1"/>
          <w:sz w:val="24"/>
          <w:szCs w:val="24"/>
        </w:rPr>
        <w:t>1</w:t>
      </w:r>
      <w:r>
        <w:rPr>
          <w:rFonts w:ascii="宋体" w:hAnsi="宋体" w:eastAsia="宋体" w:cs="宋体"/>
          <w:spacing w:val="-1"/>
          <w:sz w:val="24"/>
          <w:szCs w:val="24"/>
        </w:rPr>
        <w:t>）目规定的</w:t>
      </w:r>
      <w:r>
        <w:rPr>
          <w:rFonts w:ascii="宋体" w:hAnsi="宋体" w:eastAsia="宋体" w:cs="宋体"/>
          <w:spacing w:val="-2"/>
          <w:sz w:val="24"/>
          <w:szCs w:val="24"/>
        </w:rPr>
        <w:t>评审因素和分值对施工组织设计</w:t>
      </w:r>
      <w:r>
        <w:rPr>
          <w:rFonts w:hint="eastAsia" w:ascii="宋体" w:hAnsi="宋体" w:cs="宋体"/>
          <w:spacing w:val="-2"/>
          <w:sz w:val="24"/>
          <w:szCs w:val="24"/>
          <w:u w:val="single" w:color="auto"/>
          <w:lang w:eastAsia="zh-CN"/>
        </w:rPr>
        <w:t>及承包人项目管理方案</w:t>
      </w:r>
      <w:r>
        <w:rPr>
          <w:rFonts w:ascii="宋体" w:hAnsi="宋体" w:eastAsia="宋体" w:cs="宋体"/>
          <w:spacing w:val="-1"/>
          <w:sz w:val="24"/>
          <w:szCs w:val="24"/>
        </w:rPr>
        <w:t xml:space="preserve">部分计算出得分 </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14:paraId="04D8318A">
      <w:pPr>
        <w:spacing w:before="1" w:line="218" w:lineRule="auto"/>
        <w:jc w:val="right"/>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 xml:space="preserve">）按本章第 </w:t>
      </w:r>
      <w:r>
        <w:rPr>
          <w:rFonts w:ascii="Times New Roman" w:hAnsi="Times New Roman" w:eastAsia="Times New Roman" w:cs="Times New Roman"/>
          <w:spacing w:val="-2"/>
          <w:sz w:val="24"/>
          <w:szCs w:val="24"/>
        </w:rPr>
        <w:t xml:space="preserve">2.2.2  </w:t>
      </w:r>
      <w:r>
        <w:rPr>
          <w:rFonts w:ascii="宋体" w:hAnsi="宋体" w:eastAsia="宋体" w:cs="宋体"/>
          <w:spacing w:val="-2"/>
          <w:sz w:val="24"/>
          <w:szCs w:val="24"/>
        </w:rPr>
        <w:t>项（</w:t>
      </w:r>
      <w:r>
        <w:rPr>
          <w:rFonts w:ascii="Times New Roman" w:hAnsi="Times New Roman" w:eastAsia="Times New Roman" w:cs="Times New Roman"/>
          <w:spacing w:val="-2"/>
          <w:sz w:val="24"/>
          <w:szCs w:val="24"/>
        </w:rPr>
        <w:t>2</w:t>
      </w:r>
      <w:r>
        <w:rPr>
          <w:rFonts w:ascii="宋体" w:hAnsi="宋体" w:eastAsia="宋体" w:cs="宋体"/>
          <w:spacing w:val="-2"/>
          <w:sz w:val="24"/>
          <w:szCs w:val="24"/>
        </w:rPr>
        <w:t xml:space="preserve">）目规定的评审因素和分值对主要人员部分计算出得分 </w:t>
      </w:r>
      <w:r>
        <w:rPr>
          <w:rFonts w:ascii="Times New Roman" w:hAnsi="Times New Roman" w:eastAsia="Times New Roman" w:cs="Times New Roman"/>
          <w:spacing w:val="-2"/>
          <w:sz w:val="24"/>
          <w:szCs w:val="24"/>
        </w:rPr>
        <w:t>B</w:t>
      </w:r>
      <w:r>
        <w:rPr>
          <w:rFonts w:ascii="宋体" w:hAnsi="宋体" w:eastAsia="宋体" w:cs="宋体"/>
          <w:spacing w:val="-2"/>
          <w:sz w:val="24"/>
          <w:szCs w:val="24"/>
        </w:rPr>
        <w:t>；</w:t>
      </w:r>
    </w:p>
    <w:p w14:paraId="2A3C2B05">
      <w:pPr>
        <w:spacing w:before="183" w:line="219" w:lineRule="auto"/>
        <w:ind w:left="1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 xml:space="preserve">）按本章第 </w:t>
      </w:r>
      <w:r>
        <w:rPr>
          <w:rFonts w:ascii="Times New Roman" w:hAnsi="Times New Roman" w:eastAsia="Times New Roman" w:cs="Times New Roman"/>
          <w:sz w:val="24"/>
          <w:szCs w:val="24"/>
        </w:rPr>
        <w:t xml:space="preserve">2.2.2  </w:t>
      </w:r>
      <w:r>
        <w:rPr>
          <w:rFonts w:ascii="宋体" w:hAnsi="宋体" w:eastAsia="宋体" w:cs="宋体"/>
          <w:sz w:val="24"/>
          <w:szCs w:val="24"/>
        </w:rPr>
        <w:t>项（</w:t>
      </w:r>
      <w:r>
        <w:rPr>
          <w:rFonts w:ascii="Times New Roman" w:hAnsi="Times New Roman" w:eastAsia="Times New Roman" w:cs="Times New Roman"/>
          <w:sz w:val="24"/>
          <w:szCs w:val="24"/>
        </w:rPr>
        <w:t>3</w:t>
      </w:r>
      <w:r>
        <w:rPr>
          <w:rFonts w:ascii="宋体" w:hAnsi="宋体" w:eastAsia="宋体" w:cs="宋体"/>
          <w:sz w:val="24"/>
          <w:szCs w:val="24"/>
        </w:rPr>
        <w:t>）目规定的评审因</w:t>
      </w:r>
      <w:r>
        <w:rPr>
          <w:rFonts w:ascii="宋体" w:hAnsi="宋体" w:eastAsia="宋体" w:cs="宋体"/>
          <w:spacing w:val="-1"/>
          <w:sz w:val="24"/>
          <w:szCs w:val="24"/>
        </w:rPr>
        <w:t xml:space="preserve">素和分值对其他部分计算出得分 </w:t>
      </w:r>
      <w:r>
        <w:rPr>
          <w:rFonts w:ascii="Times New Roman" w:hAnsi="Times New Roman" w:eastAsia="Times New Roman" w:cs="Times New Roman"/>
          <w:spacing w:val="-1"/>
          <w:sz w:val="24"/>
          <w:szCs w:val="24"/>
        </w:rPr>
        <w:t>C</w:t>
      </w:r>
      <w:r>
        <w:rPr>
          <w:rFonts w:ascii="宋体" w:hAnsi="宋体" w:eastAsia="宋体" w:cs="宋体"/>
          <w:spacing w:val="-1"/>
          <w:sz w:val="24"/>
          <w:szCs w:val="24"/>
        </w:rPr>
        <w:t>。</w:t>
      </w:r>
    </w:p>
    <w:p w14:paraId="3D761A6F">
      <w:pPr>
        <w:spacing w:before="183" w:line="360" w:lineRule="auto"/>
        <w:ind w:left="8" w:right="157" w:firstLine="1"/>
        <w:rPr>
          <w:rFonts w:ascii="宋体" w:hAnsi="宋体" w:eastAsia="宋体" w:cs="宋体"/>
          <w:sz w:val="24"/>
          <w:szCs w:val="24"/>
        </w:rPr>
      </w:pPr>
      <w:r>
        <w:rPr>
          <w:rFonts w:ascii="Times New Roman" w:hAnsi="Times New Roman" w:eastAsia="Times New Roman" w:cs="Times New Roman"/>
          <w:sz w:val="24"/>
          <w:szCs w:val="24"/>
        </w:rPr>
        <w:t xml:space="preserve">3.2.2  </w:t>
      </w:r>
      <w:r>
        <w:rPr>
          <w:rFonts w:ascii="宋体" w:hAnsi="宋体" w:eastAsia="宋体" w:cs="宋体"/>
          <w:sz w:val="24"/>
          <w:szCs w:val="24"/>
        </w:rPr>
        <w:t>投标人的商务和技术得分分值</w:t>
      </w:r>
      <w:bookmarkStart w:id="52" w:name="_GoBack"/>
      <w:r>
        <w:rPr>
          <w:rFonts w:ascii="宋体" w:hAnsi="宋体" w:eastAsia="宋体" w:cs="宋体"/>
          <w:sz w:val="24"/>
          <w:szCs w:val="24"/>
        </w:rPr>
        <w:t>计算保留小数</w:t>
      </w:r>
      <w:bookmarkEnd w:id="52"/>
      <w:r>
        <w:rPr>
          <w:rFonts w:ascii="宋体" w:hAnsi="宋体" w:eastAsia="宋体" w:cs="宋体"/>
          <w:sz w:val="24"/>
          <w:szCs w:val="24"/>
        </w:rPr>
        <w:t>点后四位，</w:t>
      </w:r>
      <w:r>
        <w:rPr>
          <w:rFonts w:ascii="宋体" w:hAnsi="宋体" w:eastAsia="宋体" w:cs="宋体"/>
          <w:spacing w:val="-1"/>
          <w:sz w:val="24"/>
          <w:szCs w:val="24"/>
        </w:rPr>
        <w:t>小数点后第五位“四舍五</w:t>
      </w:r>
      <w:r>
        <w:rPr>
          <w:rFonts w:ascii="宋体" w:hAnsi="宋体" w:eastAsia="宋体" w:cs="宋体"/>
          <w:spacing w:val="-10"/>
          <w:sz w:val="24"/>
          <w:szCs w:val="24"/>
        </w:rPr>
        <w:t>入”。</w:t>
      </w:r>
    </w:p>
    <w:p w14:paraId="28A9956C">
      <w:pPr>
        <w:spacing w:line="219" w:lineRule="auto"/>
        <w:ind w:left="9"/>
        <w:rPr>
          <w:rFonts w:ascii="宋体" w:hAnsi="宋体" w:eastAsia="宋体" w:cs="宋体"/>
          <w:sz w:val="24"/>
          <w:szCs w:val="24"/>
        </w:rPr>
      </w:pPr>
      <w:r>
        <w:rPr>
          <w:rFonts w:ascii="Times New Roman" w:hAnsi="Times New Roman" w:eastAsia="Times New Roman" w:cs="Times New Roman"/>
          <w:spacing w:val="-2"/>
          <w:sz w:val="24"/>
          <w:szCs w:val="24"/>
        </w:rPr>
        <w:t xml:space="preserve">3.2.3  </w:t>
      </w:r>
      <w:r>
        <w:rPr>
          <w:rFonts w:ascii="宋体" w:hAnsi="宋体" w:eastAsia="宋体" w:cs="宋体"/>
          <w:spacing w:val="-2"/>
          <w:sz w:val="24"/>
          <w:szCs w:val="24"/>
        </w:rPr>
        <w:t>投标人的商务和技术得分=A+B+C。</w:t>
      </w:r>
    </w:p>
    <w:p w14:paraId="07E1BF6A">
      <w:pPr>
        <w:spacing w:before="6" w:line="360" w:lineRule="auto"/>
        <w:ind w:left="9" w:right="157"/>
        <w:rPr>
          <w:rFonts w:ascii="宋体" w:hAnsi="宋体" w:eastAsia="宋体" w:cs="宋体"/>
          <w:sz w:val="24"/>
          <w:szCs w:val="24"/>
        </w:rPr>
      </w:pPr>
      <w:r>
        <w:rPr>
          <w:rFonts w:ascii="Times New Roman" w:hAnsi="Times New Roman" w:eastAsia="Times New Roman" w:cs="Times New Roman"/>
          <w:sz w:val="24"/>
          <w:szCs w:val="24"/>
        </w:rPr>
        <w:t xml:space="preserve">3.2.4  </w:t>
      </w:r>
      <w:r>
        <w:rPr>
          <w:rFonts w:ascii="宋体" w:hAnsi="宋体" w:eastAsia="宋体" w:cs="宋体"/>
          <w:sz w:val="24"/>
          <w:szCs w:val="24"/>
        </w:rPr>
        <w:t>评标委员会按照投标人的商务和技术得分由高到低排序</w:t>
      </w:r>
      <w:r>
        <w:rPr>
          <w:rFonts w:ascii="宋体" w:hAnsi="宋体" w:eastAsia="宋体" w:cs="宋体"/>
          <w:spacing w:val="-1"/>
          <w:sz w:val="24"/>
          <w:szCs w:val="24"/>
        </w:rPr>
        <w:t>，排名在评标办法前附表规定数量以内的投标人，其投标文件第一个信封（商务及技术文件</w:t>
      </w:r>
      <w:r>
        <w:rPr>
          <w:rFonts w:ascii="宋体" w:hAnsi="宋体" w:eastAsia="宋体" w:cs="宋体"/>
          <w:spacing w:val="-2"/>
          <w:sz w:val="24"/>
          <w:szCs w:val="24"/>
        </w:rPr>
        <w:t>）通过详细评审。</w:t>
      </w:r>
    </w:p>
    <w:p w14:paraId="17EA101E">
      <w:pPr>
        <w:spacing w:line="360" w:lineRule="auto"/>
        <w:ind w:left="8" w:right="96" w:firstLine="1"/>
        <w:rPr>
          <w:rFonts w:ascii="宋体" w:hAnsi="宋体" w:eastAsia="宋体" w:cs="宋体"/>
          <w:sz w:val="24"/>
          <w:szCs w:val="24"/>
        </w:rPr>
      </w:pPr>
      <w:r>
        <w:rPr>
          <w:rFonts w:ascii="Times New Roman" w:hAnsi="Times New Roman" w:eastAsia="Times New Roman" w:cs="Times New Roman"/>
          <w:sz w:val="24"/>
          <w:szCs w:val="24"/>
        </w:rPr>
        <w:t xml:space="preserve">3.2.5  </w:t>
      </w:r>
      <w:r>
        <w:rPr>
          <w:rFonts w:ascii="宋体" w:hAnsi="宋体" w:eastAsia="宋体" w:cs="宋体"/>
          <w:sz w:val="24"/>
          <w:szCs w:val="24"/>
        </w:rPr>
        <w:t>通过投标文件第一个信封（商务及技术文件）初步评审的投</w:t>
      </w:r>
      <w:r>
        <w:rPr>
          <w:rFonts w:ascii="宋体" w:hAnsi="宋体" w:eastAsia="宋体" w:cs="宋体"/>
          <w:spacing w:val="-1"/>
          <w:sz w:val="24"/>
          <w:szCs w:val="24"/>
        </w:rPr>
        <w:t xml:space="preserve">标人不少于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个且未</w:t>
      </w:r>
      <w:r>
        <w:rPr>
          <w:rFonts w:ascii="宋体" w:hAnsi="宋体" w:eastAsia="宋体" w:cs="宋体"/>
          <w:spacing w:val="-2"/>
          <w:sz w:val="24"/>
          <w:szCs w:val="24"/>
        </w:rPr>
        <w:t xml:space="preserve">超过评标办法前附表第 </w:t>
      </w:r>
      <w:r>
        <w:rPr>
          <w:rFonts w:ascii="Times New Roman" w:hAnsi="Times New Roman" w:eastAsia="Times New Roman" w:cs="Times New Roman"/>
          <w:spacing w:val="-2"/>
          <w:sz w:val="24"/>
          <w:szCs w:val="24"/>
        </w:rPr>
        <w:t xml:space="preserve">3.2.4  </w:t>
      </w:r>
      <w:r>
        <w:rPr>
          <w:rFonts w:ascii="宋体" w:hAnsi="宋体" w:eastAsia="宋体" w:cs="宋体"/>
          <w:spacing w:val="-2"/>
          <w:sz w:val="24"/>
          <w:szCs w:val="24"/>
        </w:rPr>
        <w:t>项规定数量的，均通过投标文件第一个信封（商务及技术文件）详细评审，不再对投标人的商务和技术文件进行评分。</w:t>
      </w:r>
    </w:p>
    <w:p w14:paraId="7F558B40">
      <w:pPr>
        <w:spacing w:line="221" w:lineRule="auto"/>
        <w:ind w:left="9"/>
        <w:rPr>
          <w:rFonts w:ascii="黑体" w:hAnsi="黑体" w:eastAsia="黑体" w:cs="黑体"/>
          <w:sz w:val="24"/>
          <w:szCs w:val="24"/>
        </w:rPr>
      </w:pPr>
      <w:r>
        <w:rPr>
          <w:rFonts w:ascii="黑体" w:hAnsi="黑体" w:eastAsia="黑体" w:cs="黑体"/>
          <w:spacing w:val="-1"/>
          <w:sz w:val="24"/>
          <w:szCs w:val="24"/>
        </w:rPr>
        <w:t>3.3 第二个信封开标</w:t>
      </w:r>
    </w:p>
    <w:p w14:paraId="69EF8D89">
      <w:pPr>
        <w:spacing w:before="179" w:line="360" w:lineRule="auto"/>
        <w:ind w:left="9" w:right="85"/>
        <w:rPr>
          <w:rFonts w:ascii="宋体" w:hAnsi="宋体" w:eastAsia="宋体" w:cs="宋体"/>
          <w:sz w:val="24"/>
          <w:szCs w:val="24"/>
        </w:rPr>
      </w:pPr>
      <w:r>
        <w:rPr>
          <w:rFonts w:ascii="宋体" w:hAnsi="宋体" w:eastAsia="宋体" w:cs="宋体"/>
          <w:spacing w:val="-1"/>
          <w:sz w:val="24"/>
          <w:szCs w:val="24"/>
        </w:rPr>
        <w:t>第一个信封（商务及技术文件）评审结束后，招标人将按照第二章</w:t>
      </w:r>
      <w:r>
        <w:rPr>
          <w:rFonts w:ascii="Times New Roman" w:hAnsi="Times New Roman" w:eastAsia="Times New Roman" w:cs="Times New Roman"/>
          <w:spacing w:val="-1"/>
          <w:sz w:val="24"/>
          <w:szCs w:val="24"/>
        </w:rPr>
        <w:t>“</w:t>
      </w:r>
      <w:r>
        <w:rPr>
          <w:rFonts w:ascii="宋体" w:hAnsi="宋体" w:eastAsia="宋体" w:cs="宋体"/>
          <w:spacing w:val="-1"/>
          <w:sz w:val="24"/>
          <w:szCs w:val="24"/>
        </w:rPr>
        <w:t>投标人须知</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第</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5.1</w:t>
      </w:r>
      <w:r>
        <w:rPr>
          <w:rFonts w:ascii="宋体" w:hAnsi="宋体" w:eastAsia="宋体" w:cs="宋体"/>
          <w:spacing w:val="-2"/>
          <w:sz w:val="24"/>
          <w:szCs w:val="24"/>
        </w:rPr>
        <w:t>款规定的时间和地点对通过投标文件第一个信封（商务及技术文件）评审的投标文件第</w:t>
      </w:r>
      <w:r>
        <w:rPr>
          <w:rFonts w:ascii="宋体" w:hAnsi="宋体" w:eastAsia="宋体" w:cs="宋体"/>
          <w:spacing w:val="-3"/>
          <w:sz w:val="24"/>
          <w:szCs w:val="24"/>
        </w:rPr>
        <w:t>二个信封（报价文件）进行开标。</w:t>
      </w:r>
    </w:p>
    <w:p w14:paraId="26DF872C">
      <w:pPr>
        <w:spacing w:line="221" w:lineRule="auto"/>
        <w:ind w:left="9"/>
        <w:rPr>
          <w:rFonts w:ascii="黑体" w:hAnsi="黑体" w:eastAsia="黑体" w:cs="黑体"/>
          <w:sz w:val="24"/>
          <w:szCs w:val="24"/>
        </w:rPr>
      </w:pPr>
      <w:r>
        <w:rPr>
          <w:rFonts w:ascii="黑体" w:hAnsi="黑体" w:eastAsia="黑体" w:cs="黑体"/>
          <w:spacing w:val="-1"/>
          <w:sz w:val="24"/>
          <w:szCs w:val="24"/>
        </w:rPr>
        <w:t>3.4 第二个信封初步评审</w:t>
      </w:r>
    </w:p>
    <w:p w14:paraId="4008DCF4">
      <w:pPr>
        <w:spacing w:before="180" w:line="360" w:lineRule="auto"/>
        <w:ind w:left="9"/>
        <w:rPr>
          <w:rFonts w:ascii="宋体" w:hAnsi="宋体" w:eastAsia="宋体" w:cs="宋体"/>
          <w:sz w:val="24"/>
          <w:szCs w:val="24"/>
        </w:rPr>
      </w:pPr>
      <w:r>
        <w:rPr>
          <w:rFonts w:ascii="Times New Roman" w:hAnsi="Times New Roman" w:eastAsia="Times New Roman" w:cs="Times New Roman"/>
          <w:sz w:val="24"/>
          <w:szCs w:val="24"/>
        </w:rPr>
        <w:t xml:space="preserve">3.4.1  </w:t>
      </w:r>
      <w:r>
        <w:rPr>
          <w:rFonts w:ascii="宋体" w:hAnsi="宋体" w:eastAsia="宋体" w:cs="宋体"/>
          <w:sz w:val="24"/>
          <w:szCs w:val="24"/>
        </w:rPr>
        <w:t xml:space="preserve">评标委员会依据本章第 </w:t>
      </w:r>
      <w:r>
        <w:rPr>
          <w:rFonts w:ascii="Times New Roman" w:hAnsi="Times New Roman" w:eastAsia="Times New Roman" w:cs="Times New Roman"/>
          <w:sz w:val="24"/>
          <w:szCs w:val="24"/>
        </w:rPr>
        <w:t xml:space="preserve">2.1.1  </w:t>
      </w:r>
      <w:r>
        <w:rPr>
          <w:rFonts w:ascii="宋体" w:hAnsi="宋体" w:eastAsia="宋体" w:cs="宋体"/>
          <w:sz w:val="24"/>
          <w:szCs w:val="24"/>
        </w:rPr>
        <w:t xml:space="preserve">项、第 </w:t>
      </w:r>
      <w:r>
        <w:rPr>
          <w:rFonts w:ascii="Times New Roman" w:hAnsi="Times New Roman" w:eastAsia="Times New Roman" w:cs="Times New Roman"/>
          <w:sz w:val="24"/>
          <w:szCs w:val="24"/>
        </w:rPr>
        <w:t xml:space="preserve">2.1.3  </w:t>
      </w:r>
      <w:r>
        <w:rPr>
          <w:rFonts w:ascii="宋体" w:hAnsi="宋体" w:eastAsia="宋体" w:cs="宋体"/>
          <w:sz w:val="24"/>
          <w:szCs w:val="24"/>
        </w:rPr>
        <w:t>项规定的评</w:t>
      </w:r>
      <w:r>
        <w:rPr>
          <w:rFonts w:ascii="宋体" w:hAnsi="宋体" w:eastAsia="宋体" w:cs="宋体"/>
          <w:spacing w:val="-1"/>
          <w:sz w:val="24"/>
          <w:szCs w:val="24"/>
        </w:rPr>
        <w:t>审标准对投标文件第二个</w:t>
      </w:r>
      <w:r>
        <w:rPr>
          <w:rFonts w:ascii="宋体" w:hAnsi="宋体" w:eastAsia="宋体" w:cs="宋体"/>
          <w:spacing w:val="-5"/>
          <w:sz w:val="24"/>
          <w:szCs w:val="24"/>
        </w:rPr>
        <w:t>信封（报价文件）进行初步评审。有一项不符</w:t>
      </w:r>
      <w:r>
        <w:rPr>
          <w:rFonts w:ascii="宋体" w:hAnsi="宋体" w:eastAsia="宋体" w:cs="宋体"/>
          <w:spacing w:val="-6"/>
          <w:sz w:val="24"/>
          <w:szCs w:val="24"/>
        </w:rPr>
        <w:t>合评审标准的，评标委员会应否决其投标。</w:t>
      </w:r>
    </w:p>
    <w:p w14:paraId="66A4ACAC">
      <w:pPr>
        <w:spacing w:line="360" w:lineRule="auto"/>
        <w:ind w:left="9" w:right="85"/>
        <w:rPr>
          <w:rFonts w:ascii="宋体" w:hAnsi="宋体" w:eastAsia="宋体" w:cs="宋体"/>
          <w:sz w:val="24"/>
          <w:szCs w:val="24"/>
        </w:rPr>
      </w:pPr>
      <w:r>
        <w:rPr>
          <w:rFonts w:ascii="Times New Roman" w:hAnsi="Times New Roman" w:eastAsia="Times New Roman" w:cs="Times New Roman"/>
          <w:sz w:val="24"/>
          <w:szCs w:val="24"/>
        </w:rPr>
        <w:t xml:space="preserve">3.4.2  </w:t>
      </w:r>
      <w:r>
        <w:rPr>
          <w:rFonts w:ascii="宋体" w:hAnsi="宋体" w:eastAsia="宋体" w:cs="宋体"/>
          <w:sz w:val="24"/>
          <w:szCs w:val="24"/>
        </w:rPr>
        <w:t>投标报价有算术错误的，评标委员会按以下原则对投标</w:t>
      </w:r>
      <w:r>
        <w:rPr>
          <w:rFonts w:ascii="宋体" w:hAnsi="宋体" w:eastAsia="宋体" w:cs="宋体"/>
          <w:spacing w:val="-1"/>
          <w:sz w:val="24"/>
          <w:szCs w:val="24"/>
        </w:rPr>
        <w:t>报价进行修正，修正的价</w:t>
      </w:r>
      <w:r>
        <w:rPr>
          <w:rFonts w:ascii="宋体" w:hAnsi="宋体" w:eastAsia="宋体" w:cs="宋体"/>
          <w:spacing w:val="-5"/>
          <w:sz w:val="24"/>
          <w:szCs w:val="24"/>
        </w:rPr>
        <w:t>格经投标人书面确认后具有约束力。投标人不接受修正价格的， 评标委员会应否决其投</w:t>
      </w:r>
      <w:r>
        <w:rPr>
          <w:rFonts w:ascii="宋体" w:hAnsi="宋体" w:eastAsia="宋体" w:cs="宋体"/>
          <w:spacing w:val="-12"/>
          <w:sz w:val="24"/>
          <w:szCs w:val="24"/>
        </w:rPr>
        <w:t>标。</w:t>
      </w:r>
    </w:p>
    <w:p w14:paraId="2790D99F">
      <w:pPr>
        <w:spacing w:before="1" w:line="219" w:lineRule="auto"/>
        <w:ind w:left="1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）投标文件中的大写金额与小写金额不一致的，以大</w:t>
      </w:r>
      <w:r>
        <w:rPr>
          <w:rFonts w:ascii="宋体" w:hAnsi="宋体" w:eastAsia="宋体" w:cs="宋体"/>
          <w:spacing w:val="-3"/>
          <w:sz w:val="24"/>
          <w:szCs w:val="24"/>
        </w:rPr>
        <w:t>写金额为准；</w:t>
      </w:r>
    </w:p>
    <w:p w14:paraId="464DADC4">
      <w:pPr>
        <w:spacing w:before="184" w:line="359" w:lineRule="auto"/>
        <w:ind w:left="11" w:right="157" w:firstLine="4"/>
        <w:rPr>
          <w:rFonts w:ascii="Times New Roman" w:hAnsi="Times New Roman" w:eastAsia="Times New Roman" w:cs="Times New Roman"/>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）总价金额与依据单价计算出的结果不一致</w:t>
      </w:r>
      <w:r>
        <w:rPr>
          <w:rFonts w:ascii="宋体" w:hAnsi="宋体" w:eastAsia="宋体" w:cs="宋体"/>
          <w:spacing w:val="-1"/>
          <w:sz w:val="24"/>
          <w:szCs w:val="24"/>
        </w:rPr>
        <w:t>的，以单价金额为准修正总价，但单价金额小数点有明显错误的除外</w:t>
      </w:r>
      <w:r>
        <w:rPr>
          <w:rFonts w:hint="eastAsia" w:ascii="宋体" w:hAnsi="宋体" w:cs="宋体"/>
          <w:spacing w:val="-1"/>
          <w:sz w:val="24"/>
          <w:szCs w:val="24"/>
          <w:lang w:eastAsia="zh-CN"/>
        </w:rPr>
        <w:t>；</w:t>
      </w:r>
    </w:p>
    <w:p w14:paraId="30FD7AC3">
      <w:pPr>
        <w:spacing w:before="1" w:line="360" w:lineRule="auto"/>
        <w:ind w:left="7" w:right="166" w:firstLine="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）当单价与数量相乘不等于合价时，以单价计算为准，如果单价有明显的小数点位</w:t>
      </w:r>
      <w:r>
        <w:rPr>
          <w:rFonts w:ascii="宋体" w:hAnsi="宋体" w:eastAsia="宋体" w:cs="宋体"/>
          <w:spacing w:val="-3"/>
          <w:sz w:val="24"/>
          <w:szCs w:val="24"/>
        </w:rPr>
        <w:t>置差错，应以标出的合价为准，同时对单价予以修正；</w:t>
      </w:r>
    </w:p>
    <w:p w14:paraId="514D0810">
      <w:pPr>
        <w:spacing w:line="218" w:lineRule="auto"/>
        <w:ind w:left="1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）当各子目的合价累计不等于总价时，应以各子</w:t>
      </w:r>
      <w:r>
        <w:rPr>
          <w:rFonts w:ascii="宋体" w:hAnsi="宋体" w:eastAsia="宋体" w:cs="宋体"/>
          <w:spacing w:val="-2"/>
          <w:sz w:val="24"/>
          <w:szCs w:val="24"/>
        </w:rPr>
        <w:t>目合价累计数为准，修正总价。</w:t>
      </w:r>
    </w:p>
    <w:p w14:paraId="0396F944">
      <w:pPr>
        <w:spacing w:before="185" w:line="361" w:lineRule="auto"/>
        <w:ind w:left="9" w:right="85"/>
        <w:jc w:val="both"/>
        <w:rPr>
          <w:rFonts w:ascii="宋体" w:hAnsi="宋体" w:eastAsia="宋体" w:cs="宋体"/>
          <w:sz w:val="24"/>
          <w:szCs w:val="24"/>
        </w:rPr>
      </w:pPr>
      <w:r>
        <w:rPr>
          <w:rFonts w:ascii="Times New Roman" w:hAnsi="Times New Roman" w:eastAsia="Times New Roman" w:cs="Times New Roman"/>
          <w:sz w:val="24"/>
          <w:szCs w:val="24"/>
        </w:rPr>
        <w:t xml:space="preserve">3.4.3  </w:t>
      </w:r>
      <w:r>
        <w:rPr>
          <w:rFonts w:ascii="宋体" w:hAnsi="宋体" w:eastAsia="宋体" w:cs="宋体"/>
          <w:sz w:val="24"/>
          <w:szCs w:val="24"/>
        </w:rPr>
        <w:t>工程量清单中的投标报价有其他错误的，评标委员会按</w:t>
      </w:r>
      <w:r>
        <w:rPr>
          <w:rFonts w:ascii="宋体" w:hAnsi="宋体" w:eastAsia="宋体" w:cs="宋体"/>
          <w:spacing w:val="-1"/>
          <w:sz w:val="24"/>
          <w:szCs w:val="24"/>
        </w:rPr>
        <w:t>以下原则对投标报价进行</w:t>
      </w:r>
      <w:r>
        <w:rPr>
          <w:rFonts w:ascii="宋体" w:hAnsi="宋体" w:eastAsia="宋体" w:cs="宋体"/>
          <w:spacing w:val="-6"/>
          <w:sz w:val="24"/>
          <w:szCs w:val="24"/>
        </w:rPr>
        <w:t>修正，修正的价格经投标人书面确认后具有约束力。投标人不接受修正价格的，</w:t>
      </w:r>
      <w:r>
        <w:rPr>
          <w:rFonts w:ascii="宋体" w:hAnsi="宋体" w:eastAsia="宋体" w:cs="宋体"/>
          <w:spacing w:val="49"/>
          <w:sz w:val="24"/>
          <w:szCs w:val="24"/>
        </w:rPr>
        <w:t xml:space="preserve"> </w:t>
      </w:r>
      <w:r>
        <w:rPr>
          <w:rFonts w:ascii="宋体" w:hAnsi="宋体" w:eastAsia="宋体" w:cs="宋体"/>
          <w:spacing w:val="-6"/>
          <w:sz w:val="24"/>
          <w:szCs w:val="24"/>
        </w:rPr>
        <w:t>评标委</w:t>
      </w:r>
      <w:r>
        <w:rPr>
          <w:rFonts w:ascii="宋体" w:hAnsi="宋体" w:eastAsia="宋体" w:cs="宋体"/>
          <w:spacing w:val="-5"/>
          <w:sz w:val="24"/>
          <w:szCs w:val="24"/>
        </w:rPr>
        <w:t>员会应否决其投标。</w:t>
      </w:r>
    </w:p>
    <w:p w14:paraId="6E1F94B7">
      <w:pPr>
        <w:spacing w:before="78" w:line="360" w:lineRule="auto"/>
        <w:ind w:left="7" w:right="154" w:firstLine="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）在招标人给定的工程量清单中漏报了某个工程子目的单价、合价或总额价，或所</w:t>
      </w:r>
      <w:r>
        <w:rPr>
          <w:rFonts w:ascii="宋体" w:hAnsi="宋体" w:eastAsia="宋体" w:cs="宋体"/>
          <w:spacing w:val="-7"/>
          <w:sz w:val="24"/>
          <w:szCs w:val="24"/>
        </w:rPr>
        <w:t>报单价、合价或总额价减少了报价范围，</w:t>
      </w:r>
      <w:r>
        <w:rPr>
          <w:rFonts w:ascii="宋体" w:hAnsi="宋体" w:eastAsia="宋体" w:cs="宋体"/>
          <w:spacing w:val="-59"/>
          <w:sz w:val="24"/>
          <w:szCs w:val="24"/>
        </w:rPr>
        <w:t xml:space="preserve"> </w:t>
      </w:r>
      <w:r>
        <w:rPr>
          <w:rFonts w:ascii="宋体" w:hAnsi="宋体" w:eastAsia="宋体" w:cs="宋体"/>
          <w:spacing w:val="-7"/>
          <w:sz w:val="24"/>
          <w:szCs w:val="24"/>
        </w:rPr>
        <w:t>则漏报的工程子目单价、合价和总额价或单价、</w:t>
      </w:r>
      <w:r>
        <w:rPr>
          <w:rFonts w:ascii="宋体" w:hAnsi="宋体" w:eastAsia="宋体" w:cs="宋体"/>
          <w:spacing w:val="-1"/>
          <w:sz w:val="24"/>
          <w:szCs w:val="24"/>
        </w:rPr>
        <w:t>合价和总额价中减少的报价内容视为已含入其他工程子目的单价、合价和总</w:t>
      </w:r>
      <w:r>
        <w:rPr>
          <w:rFonts w:ascii="宋体" w:hAnsi="宋体" w:eastAsia="宋体" w:cs="宋体"/>
          <w:spacing w:val="-2"/>
          <w:sz w:val="24"/>
          <w:szCs w:val="24"/>
        </w:rPr>
        <w:t>额价之中。</w:t>
      </w:r>
    </w:p>
    <w:p w14:paraId="4811A24C">
      <w:pPr>
        <w:spacing w:line="360" w:lineRule="auto"/>
        <w:ind w:left="7" w:right="240" w:firstLine="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）在招标人给定的工程量清单中多报了某个工程子目的单价、合价或总额价，或所</w:t>
      </w:r>
      <w:r>
        <w:rPr>
          <w:rFonts w:ascii="宋体" w:hAnsi="宋体" w:eastAsia="宋体" w:cs="宋体"/>
          <w:spacing w:val="-5"/>
          <w:sz w:val="24"/>
          <w:szCs w:val="24"/>
        </w:rPr>
        <w:t>报单价、合价或总额价增加了报价范围， 则从投标报价中扣除多报的工程子目报价或工</w:t>
      </w:r>
      <w:r>
        <w:rPr>
          <w:rFonts w:ascii="宋体" w:hAnsi="宋体" w:eastAsia="宋体" w:cs="宋体"/>
          <w:spacing w:val="-3"/>
          <w:sz w:val="24"/>
          <w:szCs w:val="24"/>
        </w:rPr>
        <w:t>程子目报价中增加了报价范围的部分报价。</w:t>
      </w:r>
    </w:p>
    <w:p w14:paraId="7CE93A07">
      <w:pPr>
        <w:spacing w:before="2" w:line="359" w:lineRule="auto"/>
        <w:ind w:left="9" w:right="312" w:firstLine="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）当单价与数量的乘积与合价（金额）虽然</w:t>
      </w:r>
      <w:r>
        <w:rPr>
          <w:rFonts w:ascii="宋体" w:hAnsi="宋体" w:eastAsia="宋体" w:cs="宋体"/>
          <w:spacing w:val="-1"/>
          <w:sz w:val="24"/>
          <w:szCs w:val="24"/>
        </w:rPr>
        <w:t>一致，但投标人修改了该子目的工程数</w:t>
      </w:r>
      <w:r>
        <w:rPr>
          <w:rFonts w:ascii="宋体" w:hAnsi="宋体" w:eastAsia="宋体" w:cs="宋体"/>
          <w:spacing w:val="-2"/>
          <w:sz w:val="24"/>
          <w:szCs w:val="24"/>
        </w:rPr>
        <w:t>量，则其合价按招标人给定的工程数量乘以投标人所报单价予以修正。</w:t>
      </w:r>
    </w:p>
    <w:p w14:paraId="2AB894B7">
      <w:pPr>
        <w:spacing w:before="2" w:line="359" w:lineRule="auto"/>
        <w:ind w:left="8" w:right="312" w:firstLine="1"/>
        <w:rPr>
          <w:rFonts w:ascii="宋体" w:hAnsi="宋体" w:eastAsia="宋体" w:cs="宋体"/>
          <w:sz w:val="24"/>
          <w:szCs w:val="24"/>
        </w:rPr>
      </w:pPr>
      <w:r>
        <w:rPr>
          <w:rFonts w:ascii="Times New Roman" w:hAnsi="Times New Roman" w:eastAsia="Times New Roman" w:cs="Times New Roman"/>
          <w:sz w:val="24"/>
          <w:szCs w:val="24"/>
        </w:rPr>
        <w:t xml:space="preserve">3.4.4  </w:t>
      </w:r>
      <w:r>
        <w:rPr>
          <w:rFonts w:ascii="宋体" w:hAnsi="宋体" w:eastAsia="宋体" w:cs="宋体"/>
          <w:sz w:val="24"/>
          <w:szCs w:val="24"/>
        </w:rPr>
        <w:t>修正后的最终投标报价若超过最高投标限价或最高</w:t>
      </w:r>
      <w:r>
        <w:rPr>
          <w:rFonts w:ascii="宋体" w:hAnsi="宋体" w:eastAsia="宋体" w:cs="宋体"/>
          <w:spacing w:val="-1"/>
          <w:sz w:val="24"/>
          <w:szCs w:val="24"/>
        </w:rPr>
        <w:t>评标限价（如有</w:t>
      </w:r>
      <w:r>
        <w:rPr>
          <w:rFonts w:ascii="宋体" w:hAnsi="宋体" w:eastAsia="宋体" w:cs="宋体"/>
          <w:sz w:val="24"/>
          <w:szCs w:val="24"/>
        </w:rPr>
        <w:t>），</w:t>
      </w:r>
      <w:r>
        <w:rPr>
          <w:rFonts w:ascii="宋体" w:hAnsi="宋体" w:eastAsia="宋体" w:cs="宋体"/>
          <w:spacing w:val="-1"/>
          <w:sz w:val="24"/>
          <w:szCs w:val="24"/>
        </w:rPr>
        <w:t>评标委员</w:t>
      </w:r>
      <w:r>
        <w:rPr>
          <w:rFonts w:ascii="宋体" w:hAnsi="宋体" w:eastAsia="宋体" w:cs="宋体"/>
          <w:spacing w:val="-5"/>
          <w:sz w:val="24"/>
          <w:szCs w:val="24"/>
        </w:rPr>
        <w:t>会应否决其投标。</w:t>
      </w:r>
    </w:p>
    <w:p w14:paraId="3DAE6B91">
      <w:pPr>
        <w:spacing w:line="221" w:lineRule="auto"/>
        <w:ind w:left="9"/>
        <w:rPr>
          <w:rFonts w:ascii="黑体" w:hAnsi="黑体" w:eastAsia="黑体" w:cs="黑体"/>
          <w:sz w:val="24"/>
          <w:szCs w:val="24"/>
        </w:rPr>
      </w:pPr>
      <w:r>
        <w:rPr>
          <w:rFonts w:ascii="黑体" w:hAnsi="黑体" w:eastAsia="黑体" w:cs="黑体"/>
          <w:spacing w:val="-1"/>
          <w:sz w:val="24"/>
          <w:szCs w:val="24"/>
        </w:rPr>
        <w:t>3.5 第二个信封详细评审</w:t>
      </w:r>
    </w:p>
    <w:p w14:paraId="01A51226">
      <w:pPr>
        <w:spacing w:before="180" w:line="218" w:lineRule="auto"/>
        <w:ind w:left="10"/>
        <w:rPr>
          <w:rFonts w:ascii="宋体" w:hAnsi="宋体" w:eastAsia="宋体" w:cs="宋体"/>
          <w:sz w:val="24"/>
          <w:szCs w:val="24"/>
        </w:rPr>
      </w:pPr>
      <w:r>
        <w:rPr>
          <w:rFonts w:ascii="Times New Roman" w:hAnsi="Times New Roman" w:eastAsia="Times New Roman" w:cs="Times New Roman"/>
          <w:spacing w:val="-1"/>
          <w:sz w:val="24"/>
          <w:szCs w:val="24"/>
        </w:rPr>
        <w:t xml:space="preserve">3.5.1  </w:t>
      </w:r>
      <w:r>
        <w:rPr>
          <w:rFonts w:ascii="宋体" w:hAnsi="宋体" w:eastAsia="宋体" w:cs="宋体"/>
          <w:spacing w:val="-1"/>
          <w:sz w:val="24"/>
          <w:szCs w:val="24"/>
        </w:rPr>
        <w:t xml:space="preserve">评标委员会按本章第 </w:t>
      </w:r>
      <w:r>
        <w:rPr>
          <w:rFonts w:ascii="Times New Roman" w:hAnsi="Times New Roman" w:eastAsia="Times New Roman" w:cs="Times New Roman"/>
          <w:spacing w:val="-1"/>
          <w:sz w:val="24"/>
          <w:szCs w:val="24"/>
        </w:rPr>
        <w:t xml:space="preserve">2.2  </w:t>
      </w:r>
      <w:r>
        <w:rPr>
          <w:rFonts w:ascii="宋体" w:hAnsi="宋体" w:eastAsia="宋体" w:cs="宋体"/>
          <w:spacing w:val="-1"/>
          <w:sz w:val="24"/>
          <w:szCs w:val="24"/>
        </w:rPr>
        <w:t>款规</w:t>
      </w:r>
      <w:r>
        <w:rPr>
          <w:rFonts w:ascii="宋体" w:hAnsi="宋体" w:eastAsia="宋体" w:cs="宋体"/>
          <w:spacing w:val="-2"/>
          <w:sz w:val="24"/>
          <w:szCs w:val="24"/>
        </w:rPr>
        <w:t>定的计算出评标价。</w:t>
      </w:r>
    </w:p>
    <w:p w14:paraId="71FF3168">
      <w:pPr>
        <w:spacing w:before="184" w:line="360" w:lineRule="auto"/>
        <w:ind w:left="10" w:right="240"/>
        <w:rPr>
          <w:rFonts w:ascii="宋体" w:hAnsi="宋体" w:eastAsia="宋体" w:cs="宋体"/>
          <w:sz w:val="24"/>
          <w:szCs w:val="24"/>
        </w:rPr>
      </w:pPr>
      <w:r>
        <w:rPr>
          <w:rFonts w:ascii="Times New Roman" w:hAnsi="Times New Roman" w:eastAsia="Times New Roman" w:cs="Times New Roman"/>
          <w:sz w:val="24"/>
          <w:szCs w:val="24"/>
        </w:rPr>
        <w:t xml:space="preserve">3.5.2  </w:t>
      </w:r>
      <w:r>
        <w:rPr>
          <w:rFonts w:ascii="宋体" w:hAnsi="宋体" w:eastAsia="宋体" w:cs="宋体"/>
          <w:sz w:val="24"/>
          <w:szCs w:val="24"/>
        </w:rPr>
        <w:t>评标委员会发现投标人的报价明显低于其他投标报价，</w:t>
      </w:r>
      <w:r>
        <w:rPr>
          <w:rFonts w:ascii="宋体" w:hAnsi="宋体" w:eastAsia="宋体" w:cs="宋体"/>
          <w:spacing w:val="-1"/>
          <w:sz w:val="24"/>
          <w:szCs w:val="24"/>
        </w:rPr>
        <w:t>使得其投标报价可能低于</w:t>
      </w:r>
      <w:r>
        <w:rPr>
          <w:rFonts w:ascii="宋体" w:hAnsi="宋体" w:eastAsia="宋体" w:cs="宋体"/>
          <w:spacing w:val="-2"/>
          <w:sz w:val="24"/>
          <w:szCs w:val="24"/>
        </w:rPr>
        <w:t>其个别成本的，应要求该投标人作出书面说明并提供相应的证明材料。投标人不能合理说明或不能提供相应证明材料的，由评标委员会认定该投标人以低于成本报价竞标，并</w:t>
      </w:r>
      <w:r>
        <w:rPr>
          <w:rFonts w:ascii="宋体" w:hAnsi="宋体" w:eastAsia="宋体" w:cs="宋体"/>
          <w:spacing w:val="-7"/>
          <w:sz w:val="24"/>
          <w:szCs w:val="24"/>
        </w:rPr>
        <w:t>否决其投标。</w:t>
      </w:r>
    </w:p>
    <w:p w14:paraId="6488BDFA">
      <w:pPr>
        <w:spacing w:before="1" w:line="221" w:lineRule="auto"/>
        <w:ind w:left="9"/>
        <w:rPr>
          <w:rFonts w:ascii="黑体" w:hAnsi="黑体" w:eastAsia="黑体" w:cs="黑体"/>
          <w:sz w:val="24"/>
          <w:szCs w:val="24"/>
        </w:rPr>
      </w:pPr>
      <w:r>
        <w:rPr>
          <w:rFonts w:ascii="黑体" w:hAnsi="黑体" w:eastAsia="黑体" w:cs="黑体"/>
          <w:spacing w:val="-1"/>
          <w:sz w:val="24"/>
          <w:szCs w:val="24"/>
        </w:rPr>
        <w:t>3.6 投标文件相关信息的核查</w:t>
      </w:r>
    </w:p>
    <w:p w14:paraId="7D2F91C6">
      <w:pPr>
        <w:spacing w:before="160" w:line="363" w:lineRule="auto"/>
        <w:ind w:left="12" w:hanging="2"/>
        <w:rPr>
          <w:rFonts w:ascii="宋体" w:hAnsi="宋体" w:eastAsia="宋体" w:cs="宋体"/>
          <w:sz w:val="24"/>
          <w:szCs w:val="24"/>
        </w:rPr>
      </w:pPr>
      <w:r>
        <w:rPr>
          <w:rFonts w:ascii="Times New Roman" w:hAnsi="Times New Roman" w:eastAsia="Times New Roman" w:cs="Times New Roman"/>
          <w:spacing w:val="-1"/>
          <w:sz w:val="24"/>
          <w:szCs w:val="24"/>
        </w:rPr>
        <w:t xml:space="preserve">3.6.1  </w:t>
      </w:r>
      <w:r>
        <w:rPr>
          <w:rFonts w:ascii="宋体" w:hAnsi="宋体" w:eastAsia="宋体" w:cs="宋体"/>
          <w:spacing w:val="-1"/>
          <w:sz w:val="24"/>
          <w:szCs w:val="24"/>
        </w:rPr>
        <w:t>在评标过程中，评标委员会应查询交通运输</w:t>
      </w:r>
      <w:r>
        <w:rPr>
          <w:rFonts w:ascii="宋体" w:hAnsi="宋体" w:eastAsia="宋体" w:cs="宋体"/>
          <w:spacing w:val="-2"/>
          <w:sz w:val="24"/>
          <w:szCs w:val="24"/>
        </w:rPr>
        <w:t>主管部门“全国公路建设市场监督管</w:t>
      </w:r>
      <w:r>
        <w:rPr>
          <w:rFonts w:ascii="宋体" w:hAnsi="宋体" w:eastAsia="宋体" w:cs="宋体"/>
          <w:sz w:val="24"/>
          <w:szCs w:val="24"/>
        </w:rPr>
        <w:t xml:space="preserve"> </w:t>
      </w:r>
      <w:r>
        <w:rPr>
          <w:rFonts w:ascii="宋体" w:hAnsi="宋体" w:eastAsia="宋体" w:cs="宋体"/>
          <w:spacing w:val="-2"/>
          <w:sz w:val="24"/>
          <w:szCs w:val="24"/>
        </w:rPr>
        <w:t>理系统”，对投标人的资质、业绩、主要人员资历和目前在岗情况、信用等级等信息进</w:t>
      </w:r>
      <w:r>
        <w:rPr>
          <w:rFonts w:ascii="宋体" w:hAnsi="宋体" w:eastAsia="宋体" w:cs="宋体"/>
          <w:spacing w:val="4"/>
          <w:sz w:val="24"/>
          <w:szCs w:val="24"/>
        </w:rPr>
        <w:t xml:space="preserve"> </w:t>
      </w:r>
      <w:r>
        <w:rPr>
          <w:rFonts w:ascii="宋体" w:hAnsi="宋体" w:eastAsia="宋体" w:cs="宋体"/>
          <w:spacing w:val="-2"/>
          <w:sz w:val="24"/>
          <w:szCs w:val="24"/>
        </w:rPr>
        <w:t>行核实。若投标文件载明的信息与交通运输主管部门“全国公路建设市场监督管理系统”发布的信息不符，使得投标人的资格条件不符合招标文件规定的，评标委员会应否决其</w:t>
      </w:r>
      <w:r>
        <w:rPr>
          <w:rFonts w:ascii="宋体" w:hAnsi="宋体" w:eastAsia="宋体" w:cs="宋体"/>
          <w:spacing w:val="4"/>
          <w:sz w:val="24"/>
          <w:szCs w:val="24"/>
        </w:rPr>
        <w:t xml:space="preserve"> </w:t>
      </w:r>
      <w:r>
        <w:rPr>
          <w:rFonts w:ascii="宋体" w:hAnsi="宋体" w:eastAsia="宋体" w:cs="宋体"/>
          <w:spacing w:val="-11"/>
          <w:sz w:val="24"/>
          <w:szCs w:val="24"/>
        </w:rPr>
        <w:t>投标。</w:t>
      </w:r>
    </w:p>
    <w:p w14:paraId="48A7A45B">
      <w:pPr>
        <w:spacing w:line="360" w:lineRule="auto"/>
        <w:ind w:left="8" w:right="240" w:firstLine="1"/>
        <w:rPr>
          <w:rFonts w:ascii="宋体" w:hAnsi="宋体" w:eastAsia="宋体" w:cs="宋体"/>
          <w:sz w:val="24"/>
          <w:szCs w:val="24"/>
        </w:rPr>
      </w:pPr>
      <w:r>
        <w:rPr>
          <w:rFonts w:ascii="Times New Roman" w:hAnsi="Times New Roman" w:eastAsia="Times New Roman" w:cs="Times New Roman"/>
          <w:sz w:val="24"/>
          <w:szCs w:val="24"/>
        </w:rPr>
        <w:t xml:space="preserve">3.6.2  </w:t>
      </w:r>
      <w:r>
        <w:rPr>
          <w:rFonts w:ascii="宋体" w:hAnsi="宋体" w:eastAsia="宋体" w:cs="宋体"/>
          <w:sz w:val="24"/>
          <w:szCs w:val="24"/>
        </w:rPr>
        <w:t>评标委员会应对在评标过程中发现的投标人与投标人之</w:t>
      </w:r>
      <w:r>
        <w:rPr>
          <w:rFonts w:ascii="宋体" w:hAnsi="宋体" w:eastAsia="宋体" w:cs="宋体"/>
          <w:spacing w:val="-1"/>
          <w:sz w:val="24"/>
          <w:szCs w:val="24"/>
        </w:rPr>
        <w:t>间、投标人与招标人之间</w:t>
      </w:r>
      <w:r>
        <w:rPr>
          <w:rFonts w:ascii="宋体" w:hAnsi="宋体" w:eastAsia="宋体" w:cs="宋体"/>
          <w:spacing w:val="-2"/>
          <w:sz w:val="24"/>
          <w:szCs w:val="24"/>
        </w:rPr>
        <w:t>存在的串通投标的情形进行评审和认定。投标人存在串通投标、弄虚作假、行贿等违法</w:t>
      </w:r>
      <w:r>
        <w:rPr>
          <w:rFonts w:ascii="宋体" w:hAnsi="宋体" w:eastAsia="宋体" w:cs="宋体"/>
          <w:spacing w:val="-3"/>
          <w:sz w:val="24"/>
          <w:szCs w:val="24"/>
        </w:rPr>
        <w:t>行为的，评标委员会应否决其投标。</w:t>
      </w:r>
    </w:p>
    <w:p w14:paraId="5BF092A5">
      <w:pPr>
        <w:spacing w:before="1" w:line="220" w:lineRule="auto"/>
        <w:ind w:left="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）有下列情形之一的，属于投标人相互串通投标：</w:t>
      </w:r>
    </w:p>
    <w:p w14:paraId="707BB04B">
      <w:pPr>
        <w:spacing w:before="181" w:line="218" w:lineRule="auto"/>
        <w:ind w:left="8"/>
        <w:rPr>
          <w:rFonts w:ascii="宋体" w:hAnsi="宋体" w:eastAsia="宋体" w:cs="宋体"/>
          <w:sz w:val="24"/>
          <w:szCs w:val="24"/>
        </w:rPr>
      </w:pPr>
      <w:r>
        <w:rPr>
          <w:rFonts w:ascii="Times New Roman" w:hAnsi="Times New Roman" w:eastAsia="Times New Roman" w:cs="Times New Roman"/>
          <w:spacing w:val="-3"/>
          <w:sz w:val="24"/>
          <w:szCs w:val="24"/>
        </w:rPr>
        <w:t>a.</w:t>
      </w:r>
      <w:r>
        <w:rPr>
          <w:rFonts w:ascii="宋体" w:hAnsi="宋体" w:eastAsia="宋体" w:cs="宋体"/>
          <w:spacing w:val="-3"/>
          <w:sz w:val="24"/>
          <w:szCs w:val="24"/>
        </w:rPr>
        <w:t>投标人之间协商投标报价等投标文件的实质性内容；</w:t>
      </w:r>
    </w:p>
    <w:p w14:paraId="01BA3592">
      <w:pPr>
        <w:spacing w:before="185" w:line="220" w:lineRule="auto"/>
        <w:rPr>
          <w:rFonts w:ascii="宋体" w:hAnsi="宋体" w:eastAsia="宋体" w:cs="宋体"/>
          <w:sz w:val="24"/>
          <w:szCs w:val="24"/>
        </w:rPr>
      </w:pPr>
      <w:r>
        <w:rPr>
          <w:rFonts w:ascii="Times New Roman" w:hAnsi="Times New Roman" w:eastAsia="Times New Roman" w:cs="Times New Roman"/>
          <w:spacing w:val="-4"/>
          <w:sz w:val="24"/>
          <w:szCs w:val="24"/>
        </w:rPr>
        <w:t>b.</w:t>
      </w:r>
      <w:r>
        <w:rPr>
          <w:rFonts w:ascii="宋体" w:hAnsi="宋体" w:eastAsia="宋体" w:cs="宋体"/>
          <w:spacing w:val="-4"/>
          <w:sz w:val="24"/>
          <w:szCs w:val="24"/>
        </w:rPr>
        <w:t>投标人之间约定中标人；</w:t>
      </w:r>
    </w:p>
    <w:p w14:paraId="16A0FA6C">
      <w:pPr>
        <w:spacing w:before="78" w:line="220" w:lineRule="auto"/>
        <w:ind w:left="8"/>
        <w:rPr>
          <w:rFonts w:ascii="宋体" w:hAnsi="宋体" w:eastAsia="宋体" w:cs="宋体"/>
          <w:sz w:val="24"/>
          <w:szCs w:val="24"/>
        </w:rPr>
      </w:pPr>
      <w:r>
        <w:rPr>
          <w:rFonts w:ascii="Times New Roman" w:hAnsi="Times New Roman" w:eastAsia="Times New Roman" w:cs="Times New Roman"/>
          <w:spacing w:val="-3"/>
          <w:sz w:val="24"/>
          <w:szCs w:val="24"/>
        </w:rPr>
        <w:t>c.</w:t>
      </w:r>
      <w:r>
        <w:rPr>
          <w:rFonts w:ascii="宋体" w:hAnsi="宋体" w:eastAsia="宋体" w:cs="宋体"/>
          <w:spacing w:val="-3"/>
          <w:sz w:val="24"/>
          <w:szCs w:val="24"/>
        </w:rPr>
        <w:t>投标人之间约定部分投标人放弃投标或中标；</w:t>
      </w:r>
    </w:p>
    <w:p w14:paraId="3758AFD9">
      <w:pPr>
        <w:spacing w:before="182" w:line="219" w:lineRule="auto"/>
        <w:ind w:left="8"/>
        <w:rPr>
          <w:rFonts w:ascii="宋体" w:hAnsi="宋体" w:eastAsia="宋体" w:cs="宋体"/>
          <w:sz w:val="24"/>
          <w:szCs w:val="24"/>
        </w:rPr>
      </w:pPr>
      <w:r>
        <w:rPr>
          <w:rFonts w:ascii="Times New Roman" w:hAnsi="Times New Roman" w:eastAsia="Times New Roman" w:cs="Times New Roman"/>
          <w:spacing w:val="-2"/>
          <w:sz w:val="24"/>
          <w:szCs w:val="24"/>
        </w:rPr>
        <w:t>d.</w:t>
      </w:r>
      <w:r>
        <w:rPr>
          <w:rFonts w:ascii="宋体" w:hAnsi="宋体" w:eastAsia="宋体" w:cs="宋体"/>
          <w:spacing w:val="-2"/>
          <w:sz w:val="24"/>
          <w:szCs w:val="24"/>
        </w:rPr>
        <w:t>属于同一集团、协会、商会等组织成员的投标人按照该组织要求协同投标；</w:t>
      </w:r>
    </w:p>
    <w:p w14:paraId="62C31B56">
      <w:pPr>
        <w:spacing w:before="183" w:line="219" w:lineRule="auto"/>
        <w:ind w:left="9"/>
        <w:rPr>
          <w:rFonts w:ascii="宋体" w:hAnsi="宋体" w:eastAsia="宋体" w:cs="宋体"/>
          <w:sz w:val="24"/>
          <w:szCs w:val="24"/>
        </w:rPr>
      </w:pPr>
      <w:r>
        <w:rPr>
          <w:rFonts w:ascii="Times New Roman" w:hAnsi="Times New Roman" w:eastAsia="Times New Roman" w:cs="Times New Roman"/>
          <w:spacing w:val="-2"/>
          <w:sz w:val="24"/>
          <w:szCs w:val="24"/>
        </w:rPr>
        <w:t>e.</w:t>
      </w:r>
      <w:r>
        <w:rPr>
          <w:rFonts w:ascii="宋体" w:hAnsi="宋体" w:eastAsia="宋体" w:cs="宋体"/>
          <w:spacing w:val="-2"/>
          <w:sz w:val="24"/>
          <w:szCs w:val="24"/>
        </w:rPr>
        <w:t>投标人之间为谋取中标或排斥特定投标人而采取的其他联合行动。</w:t>
      </w:r>
    </w:p>
    <w:p w14:paraId="27D603F3">
      <w:pPr>
        <w:spacing w:before="183" w:line="220" w:lineRule="auto"/>
        <w:ind w:left="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）有下列情形之一的，视为投标人相互串通投标：</w:t>
      </w:r>
    </w:p>
    <w:p w14:paraId="78A4591B">
      <w:pPr>
        <w:spacing w:before="181" w:line="220" w:lineRule="auto"/>
        <w:ind w:left="8"/>
        <w:rPr>
          <w:rFonts w:ascii="宋体" w:hAnsi="宋体" w:eastAsia="宋体" w:cs="宋体"/>
          <w:sz w:val="24"/>
          <w:szCs w:val="24"/>
        </w:rPr>
      </w:pPr>
      <w:r>
        <w:rPr>
          <w:rFonts w:ascii="Times New Roman" w:hAnsi="Times New Roman" w:eastAsia="Times New Roman" w:cs="Times New Roman"/>
          <w:spacing w:val="-3"/>
          <w:sz w:val="24"/>
          <w:szCs w:val="24"/>
        </w:rPr>
        <w:t>a.</w:t>
      </w:r>
      <w:r>
        <w:rPr>
          <w:rFonts w:ascii="宋体" w:hAnsi="宋体" w:eastAsia="宋体" w:cs="宋体"/>
          <w:spacing w:val="-3"/>
          <w:sz w:val="24"/>
          <w:szCs w:val="24"/>
        </w:rPr>
        <w:t>不同投标人的投标文件由同一单位或个人编制；</w:t>
      </w:r>
    </w:p>
    <w:p w14:paraId="3F9723B0">
      <w:pPr>
        <w:spacing w:before="182" w:line="220" w:lineRule="auto"/>
        <w:rPr>
          <w:rFonts w:ascii="宋体" w:hAnsi="宋体" w:eastAsia="宋体" w:cs="宋体"/>
          <w:sz w:val="24"/>
          <w:szCs w:val="24"/>
        </w:rPr>
      </w:pPr>
      <w:r>
        <w:rPr>
          <w:rFonts w:ascii="Times New Roman" w:hAnsi="Times New Roman" w:eastAsia="Times New Roman" w:cs="Times New Roman"/>
          <w:spacing w:val="-3"/>
          <w:sz w:val="24"/>
          <w:szCs w:val="24"/>
        </w:rPr>
        <w:t>b.</w:t>
      </w:r>
      <w:r>
        <w:rPr>
          <w:rFonts w:ascii="宋体" w:hAnsi="宋体" w:eastAsia="宋体" w:cs="宋体"/>
          <w:spacing w:val="-3"/>
          <w:sz w:val="24"/>
          <w:szCs w:val="24"/>
        </w:rPr>
        <w:t>不同投标人委托同一单位或个人办理投标事宜；</w:t>
      </w:r>
    </w:p>
    <w:p w14:paraId="5E99527B">
      <w:pPr>
        <w:spacing w:before="182" w:line="220" w:lineRule="auto"/>
        <w:ind w:left="8"/>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不同投标人的投标文件载明的项目管理成员为同一人；</w:t>
      </w:r>
    </w:p>
    <w:p w14:paraId="249E7855">
      <w:pPr>
        <w:spacing w:before="182" w:line="218" w:lineRule="auto"/>
        <w:ind w:left="8"/>
        <w:rPr>
          <w:rFonts w:ascii="宋体" w:hAnsi="宋体" w:eastAsia="宋体" w:cs="宋体"/>
          <w:sz w:val="24"/>
          <w:szCs w:val="24"/>
        </w:rPr>
      </w:pPr>
      <w:r>
        <w:rPr>
          <w:rFonts w:ascii="Times New Roman" w:hAnsi="Times New Roman" w:eastAsia="Times New Roman" w:cs="Times New Roman"/>
          <w:spacing w:val="-2"/>
          <w:sz w:val="24"/>
          <w:szCs w:val="24"/>
        </w:rPr>
        <w:t>d.</w:t>
      </w:r>
      <w:r>
        <w:rPr>
          <w:rFonts w:ascii="宋体" w:hAnsi="宋体" w:eastAsia="宋体" w:cs="宋体"/>
          <w:spacing w:val="-2"/>
          <w:sz w:val="24"/>
          <w:szCs w:val="24"/>
        </w:rPr>
        <w:t>不同投标人的投标文件异常一致或投标报价呈规</w:t>
      </w:r>
      <w:r>
        <w:rPr>
          <w:rFonts w:ascii="宋体" w:hAnsi="宋体" w:eastAsia="宋体" w:cs="宋体"/>
          <w:spacing w:val="-3"/>
          <w:sz w:val="24"/>
          <w:szCs w:val="24"/>
        </w:rPr>
        <w:t>律性差异；</w:t>
      </w:r>
    </w:p>
    <w:p w14:paraId="5D34BAB1">
      <w:pPr>
        <w:spacing w:before="184" w:line="220" w:lineRule="auto"/>
        <w:ind w:left="9"/>
        <w:rPr>
          <w:rFonts w:ascii="宋体" w:hAnsi="宋体" w:eastAsia="宋体" w:cs="宋体"/>
          <w:sz w:val="24"/>
          <w:szCs w:val="24"/>
        </w:rPr>
      </w:pPr>
      <w:r>
        <w:rPr>
          <w:rFonts w:ascii="Times New Roman" w:hAnsi="Times New Roman" w:eastAsia="Times New Roman" w:cs="Times New Roman"/>
          <w:spacing w:val="-4"/>
          <w:sz w:val="24"/>
          <w:szCs w:val="24"/>
        </w:rPr>
        <w:t>e.</w:t>
      </w:r>
      <w:r>
        <w:rPr>
          <w:rFonts w:ascii="宋体" w:hAnsi="宋体" w:eastAsia="宋体" w:cs="宋体"/>
          <w:spacing w:val="-4"/>
          <w:sz w:val="24"/>
          <w:szCs w:val="24"/>
        </w:rPr>
        <w:t>不同投标人的投标文件相互混装；</w:t>
      </w:r>
    </w:p>
    <w:p w14:paraId="53BC87E2">
      <w:pPr>
        <w:spacing w:before="182" w:line="220" w:lineRule="auto"/>
        <w:ind w:left="9"/>
        <w:rPr>
          <w:rFonts w:ascii="宋体" w:hAnsi="宋体" w:eastAsia="宋体" w:cs="宋体"/>
          <w:sz w:val="24"/>
          <w:szCs w:val="24"/>
        </w:rPr>
      </w:pPr>
      <w:r>
        <w:rPr>
          <w:rFonts w:ascii="Times New Roman" w:hAnsi="Times New Roman" w:eastAsia="Times New Roman" w:cs="Times New Roman"/>
          <w:spacing w:val="-3"/>
          <w:sz w:val="24"/>
          <w:szCs w:val="24"/>
        </w:rPr>
        <w:t>f.</w:t>
      </w:r>
      <w:r>
        <w:rPr>
          <w:rFonts w:ascii="宋体" w:hAnsi="宋体" w:eastAsia="宋体" w:cs="宋体"/>
          <w:spacing w:val="-3"/>
          <w:sz w:val="24"/>
          <w:szCs w:val="24"/>
        </w:rPr>
        <w:t>不同投标人的投标保证金从同一单位或个人的账户转出；</w:t>
      </w:r>
    </w:p>
    <w:p w14:paraId="277CA892">
      <w:pPr>
        <w:spacing w:before="183" w:line="360" w:lineRule="auto"/>
        <w:ind w:left="15" w:right="85" w:hanging="2"/>
        <w:rPr>
          <w:rFonts w:ascii="宋体" w:hAnsi="宋体" w:eastAsia="宋体" w:cs="宋体"/>
          <w:sz w:val="24"/>
          <w:szCs w:val="24"/>
        </w:rPr>
      </w:pPr>
      <w:r>
        <w:rPr>
          <w:rFonts w:ascii="Times New Roman" w:hAnsi="Times New Roman" w:eastAsia="Times New Roman" w:cs="Times New Roman"/>
          <w:spacing w:val="-3"/>
          <w:sz w:val="24"/>
          <w:szCs w:val="24"/>
        </w:rPr>
        <w:t>g</w:t>
      </w:r>
      <w:r>
        <w:rPr>
          <w:rFonts w:ascii="宋体" w:hAnsi="宋体" w:eastAsia="宋体" w:cs="宋体"/>
          <w:spacing w:val="-2"/>
          <w:sz w:val="24"/>
          <w:szCs w:val="24"/>
        </w:rPr>
        <w:t>.当一家以上投标人评标价相同时，若各投标人工程量清单细目单价也相同，视为串标</w:t>
      </w:r>
      <w:r>
        <w:rPr>
          <w:rFonts w:ascii="宋体" w:hAnsi="宋体" w:eastAsia="宋体" w:cs="宋体"/>
          <w:spacing w:val="-4"/>
          <w:sz w:val="24"/>
          <w:szCs w:val="24"/>
        </w:rPr>
        <w:t>（一个标段仅一工作细目报价的除外</w:t>
      </w:r>
      <w:r>
        <w:rPr>
          <w:rFonts w:ascii="宋体" w:hAnsi="宋体" w:eastAsia="宋体" w:cs="宋体"/>
          <w:spacing w:val="-2"/>
          <w:sz w:val="24"/>
          <w:szCs w:val="24"/>
        </w:rPr>
        <w:t>）；</w:t>
      </w:r>
    </w:p>
    <w:p w14:paraId="7BF7292D">
      <w:pPr>
        <w:spacing w:before="1" w:line="219" w:lineRule="auto"/>
        <w:ind w:left="6"/>
        <w:rPr>
          <w:rFonts w:ascii="宋体" w:hAnsi="宋体" w:eastAsia="宋体" w:cs="宋体"/>
          <w:sz w:val="24"/>
          <w:szCs w:val="24"/>
        </w:rPr>
      </w:pPr>
      <w:r>
        <w:rPr>
          <w:rFonts w:ascii="Times New Roman" w:hAnsi="Times New Roman" w:eastAsia="Times New Roman" w:cs="Times New Roman"/>
          <w:spacing w:val="-3"/>
          <w:sz w:val="24"/>
          <w:szCs w:val="24"/>
        </w:rPr>
        <w:t>h</w:t>
      </w:r>
      <w:r>
        <w:rPr>
          <w:rFonts w:ascii="宋体" w:hAnsi="宋体" w:eastAsia="宋体" w:cs="宋体"/>
          <w:spacing w:val="-1"/>
          <w:sz w:val="24"/>
          <w:szCs w:val="24"/>
        </w:rPr>
        <w:t>.广东省实施《中华人民共和国招标投标法》办法第</w:t>
      </w:r>
      <w:r>
        <w:rPr>
          <w:rFonts w:ascii="宋体" w:hAnsi="宋体" w:eastAsia="宋体" w:cs="宋体"/>
          <w:spacing w:val="-2"/>
          <w:sz w:val="24"/>
          <w:szCs w:val="24"/>
        </w:rPr>
        <w:t>十六条规定的情形。</w:t>
      </w:r>
    </w:p>
    <w:p w14:paraId="15F7A0CD">
      <w:pPr>
        <w:spacing w:before="182" w:line="220" w:lineRule="auto"/>
        <w:ind w:left="13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）有下列情形之一的，属于招标人与投标人串通投标：</w:t>
      </w:r>
    </w:p>
    <w:p w14:paraId="41A36C4F">
      <w:pPr>
        <w:spacing w:before="182" w:line="212" w:lineRule="auto"/>
        <w:ind w:left="8"/>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宋体" w:hAnsi="宋体" w:eastAsia="宋体" w:cs="宋体"/>
          <w:sz w:val="24"/>
          <w:szCs w:val="24"/>
        </w:rPr>
        <w:t>招标人在开标前开启投标文件并将有关</w:t>
      </w:r>
      <w:r>
        <w:rPr>
          <w:rFonts w:ascii="宋体" w:hAnsi="宋体" w:eastAsia="宋体" w:cs="宋体"/>
          <w:spacing w:val="-1"/>
          <w:sz w:val="24"/>
          <w:szCs w:val="24"/>
        </w:rPr>
        <w:t>信息泄露给其他投标人</w:t>
      </w:r>
      <w:r>
        <w:rPr>
          <w:rFonts w:hint="eastAsia" w:ascii="宋体" w:hAnsi="宋体" w:cs="宋体"/>
          <w:spacing w:val="-1"/>
          <w:sz w:val="24"/>
          <w:szCs w:val="24"/>
          <w:lang w:eastAsia="zh-CN"/>
        </w:rPr>
        <w:t>；</w:t>
      </w:r>
    </w:p>
    <w:p w14:paraId="35067A03">
      <w:pPr>
        <w:spacing w:before="192" w:line="219" w:lineRule="auto"/>
        <w:rPr>
          <w:rFonts w:ascii="宋体" w:hAnsi="宋体" w:eastAsia="宋体" w:cs="宋体"/>
          <w:sz w:val="24"/>
          <w:szCs w:val="24"/>
        </w:rPr>
      </w:pPr>
      <w:r>
        <w:rPr>
          <w:rFonts w:ascii="Times New Roman" w:hAnsi="Times New Roman" w:eastAsia="Times New Roman" w:cs="Times New Roman"/>
          <w:spacing w:val="-2"/>
          <w:sz w:val="24"/>
          <w:szCs w:val="24"/>
        </w:rPr>
        <w:t>b.</w:t>
      </w:r>
      <w:r>
        <w:rPr>
          <w:rFonts w:ascii="宋体" w:hAnsi="宋体" w:eastAsia="宋体" w:cs="宋体"/>
          <w:spacing w:val="-2"/>
          <w:sz w:val="24"/>
          <w:szCs w:val="24"/>
        </w:rPr>
        <w:t>招标人直接或间接向投标人泄露标底、评标委员会成员等信息；</w:t>
      </w:r>
    </w:p>
    <w:p w14:paraId="2FBD8FCD">
      <w:pPr>
        <w:spacing w:before="184" w:line="218" w:lineRule="auto"/>
        <w:ind w:left="8"/>
        <w:rPr>
          <w:rFonts w:ascii="宋体" w:hAnsi="宋体" w:eastAsia="宋体" w:cs="宋体"/>
          <w:sz w:val="24"/>
          <w:szCs w:val="24"/>
        </w:rPr>
      </w:pPr>
      <w:r>
        <w:rPr>
          <w:rFonts w:ascii="Times New Roman" w:hAnsi="Times New Roman" w:eastAsia="Times New Roman" w:cs="Times New Roman"/>
          <w:spacing w:val="-3"/>
          <w:sz w:val="24"/>
          <w:szCs w:val="24"/>
        </w:rPr>
        <w:t>c.</w:t>
      </w:r>
      <w:r>
        <w:rPr>
          <w:rFonts w:ascii="宋体" w:hAnsi="宋体" w:eastAsia="宋体" w:cs="宋体"/>
          <w:spacing w:val="-3"/>
          <w:sz w:val="24"/>
          <w:szCs w:val="24"/>
        </w:rPr>
        <w:t>招标人明示或暗示投标人压低或抬高投标报价；</w:t>
      </w:r>
    </w:p>
    <w:p w14:paraId="4A831AD5">
      <w:pPr>
        <w:spacing w:before="184" w:line="220" w:lineRule="auto"/>
        <w:ind w:left="8"/>
        <w:rPr>
          <w:rFonts w:ascii="宋体" w:hAnsi="宋体" w:eastAsia="宋体" w:cs="宋体"/>
          <w:sz w:val="24"/>
          <w:szCs w:val="24"/>
        </w:rPr>
      </w:pPr>
      <w:r>
        <w:rPr>
          <w:rFonts w:ascii="Times New Roman" w:hAnsi="Times New Roman" w:eastAsia="Times New Roman" w:cs="Times New Roman"/>
          <w:spacing w:val="-4"/>
          <w:sz w:val="24"/>
          <w:szCs w:val="24"/>
        </w:rPr>
        <w:t>d.</w:t>
      </w:r>
      <w:r>
        <w:rPr>
          <w:rFonts w:ascii="宋体" w:hAnsi="宋体" w:eastAsia="宋体" w:cs="宋体"/>
          <w:spacing w:val="-4"/>
          <w:sz w:val="24"/>
          <w:szCs w:val="24"/>
        </w:rPr>
        <w:t>招标人授意投标人撤换、修改投标文件；</w:t>
      </w:r>
    </w:p>
    <w:p w14:paraId="4E69118C">
      <w:pPr>
        <w:spacing w:before="182" w:line="219" w:lineRule="auto"/>
        <w:ind w:left="9"/>
        <w:rPr>
          <w:rFonts w:ascii="宋体" w:hAnsi="宋体" w:eastAsia="宋体" w:cs="宋体"/>
          <w:sz w:val="24"/>
          <w:szCs w:val="24"/>
        </w:rPr>
      </w:pPr>
      <w:r>
        <w:rPr>
          <w:rFonts w:ascii="Times New Roman" w:hAnsi="Times New Roman" w:eastAsia="Times New Roman" w:cs="Times New Roman"/>
          <w:spacing w:val="-3"/>
          <w:sz w:val="24"/>
          <w:szCs w:val="24"/>
        </w:rPr>
        <w:t>e.</w:t>
      </w:r>
      <w:r>
        <w:rPr>
          <w:rFonts w:ascii="宋体" w:hAnsi="宋体" w:eastAsia="宋体" w:cs="宋体"/>
          <w:spacing w:val="-3"/>
          <w:sz w:val="24"/>
          <w:szCs w:val="24"/>
        </w:rPr>
        <w:t>招标人明示或暗示投标人为特定投标人中标提供方便；</w:t>
      </w:r>
    </w:p>
    <w:p w14:paraId="3290B10F">
      <w:pPr>
        <w:spacing w:before="183" w:line="219" w:lineRule="auto"/>
        <w:ind w:left="9"/>
        <w:rPr>
          <w:rFonts w:ascii="宋体" w:hAnsi="宋体" w:eastAsia="宋体" w:cs="宋体"/>
          <w:sz w:val="24"/>
          <w:szCs w:val="24"/>
        </w:rPr>
      </w:pPr>
      <w:r>
        <w:rPr>
          <w:rFonts w:ascii="Times New Roman" w:hAnsi="Times New Roman" w:eastAsia="Times New Roman" w:cs="Times New Roman"/>
          <w:spacing w:val="-2"/>
          <w:sz w:val="24"/>
          <w:szCs w:val="24"/>
        </w:rPr>
        <w:t>f.</w:t>
      </w:r>
      <w:r>
        <w:rPr>
          <w:rFonts w:ascii="宋体" w:hAnsi="宋体" w:eastAsia="宋体" w:cs="宋体"/>
          <w:spacing w:val="-2"/>
          <w:sz w:val="24"/>
          <w:szCs w:val="24"/>
        </w:rPr>
        <w:t>招标人与投标人为谋求特定投标人中标而采取的其他串通行为。</w:t>
      </w:r>
    </w:p>
    <w:p w14:paraId="4E1A1A78">
      <w:pPr>
        <w:spacing w:before="184" w:line="219" w:lineRule="auto"/>
        <w:ind w:left="1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）投标人有下列情形之一的，属于弄虚作假的行为：</w:t>
      </w:r>
    </w:p>
    <w:p w14:paraId="4B6407BB">
      <w:pPr>
        <w:spacing w:before="183" w:line="219" w:lineRule="auto"/>
        <w:ind w:left="8"/>
        <w:rPr>
          <w:rFonts w:ascii="宋体" w:hAnsi="宋体" w:eastAsia="宋体" w:cs="宋体"/>
          <w:sz w:val="24"/>
          <w:szCs w:val="24"/>
        </w:rPr>
      </w:pPr>
      <w:r>
        <w:rPr>
          <w:rFonts w:ascii="Times New Roman" w:hAnsi="Times New Roman" w:eastAsia="Times New Roman" w:cs="Times New Roman"/>
          <w:spacing w:val="-3"/>
          <w:sz w:val="24"/>
          <w:szCs w:val="24"/>
        </w:rPr>
        <w:t>a.</w:t>
      </w:r>
      <w:r>
        <w:rPr>
          <w:rFonts w:ascii="宋体" w:hAnsi="宋体" w:eastAsia="宋体" w:cs="宋体"/>
          <w:spacing w:val="-3"/>
          <w:sz w:val="24"/>
          <w:szCs w:val="24"/>
        </w:rPr>
        <w:t>使用通过受让或租借等方式获取的资格、资质证书投标；</w:t>
      </w:r>
    </w:p>
    <w:p w14:paraId="18254539">
      <w:pPr>
        <w:spacing w:before="183" w:line="220" w:lineRule="auto"/>
        <w:rPr>
          <w:rFonts w:ascii="宋体" w:hAnsi="宋体" w:eastAsia="宋体" w:cs="宋体"/>
          <w:sz w:val="24"/>
          <w:szCs w:val="24"/>
        </w:rPr>
      </w:pPr>
      <w:r>
        <w:rPr>
          <w:rFonts w:ascii="Times New Roman" w:hAnsi="Times New Roman" w:eastAsia="Times New Roman" w:cs="Times New Roman"/>
          <w:spacing w:val="-4"/>
          <w:sz w:val="24"/>
          <w:szCs w:val="24"/>
        </w:rPr>
        <w:t>b.</w:t>
      </w:r>
      <w:r>
        <w:rPr>
          <w:rFonts w:ascii="宋体" w:hAnsi="宋体" w:eastAsia="宋体" w:cs="宋体"/>
          <w:spacing w:val="-4"/>
          <w:sz w:val="24"/>
          <w:szCs w:val="24"/>
        </w:rPr>
        <w:t>使用伪造、变造的许可证件；</w:t>
      </w:r>
    </w:p>
    <w:p w14:paraId="6C1FB35F">
      <w:pPr>
        <w:spacing w:before="182" w:line="219" w:lineRule="auto"/>
        <w:ind w:left="8"/>
        <w:rPr>
          <w:rFonts w:ascii="宋体" w:hAnsi="宋体" w:eastAsia="宋体" w:cs="宋体"/>
          <w:sz w:val="24"/>
          <w:szCs w:val="24"/>
        </w:rPr>
      </w:pPr>
      <w:r>
        <w:rPr>
          <w:rFonts w:ascii="Times New Roman" w:hAnsi="Times New Roman" w:eastAsia="Times New Roman" w:cs="Times New Roman"/>
          <w:spacing w:val="-5"/>
          <w:sz w:val="24"/>
          <w:szCs w:val="24"/>
        </w:rPr>
        <w:t>c.</w:t>
      </w:r>
      <w:r>
        <w:rPr>
          <w:rFonts w:ascii="宋体" w:hAnsi="宋体" w:eastAsia="宋体" w:cs="宋体"/>
          <w:spacing w:val="-5"/>
          <w:sz w:val="24"/>
          <w:szCs w:val="24"/>
        </w:rPr>
        <w:t>提供虚假的财务状况或业绩；</w:t>
      </w:r>
    </w:p>
    <w:p w14:paraId="2797661E">
      <w:pPr>
        <w:spacing w:before="184" w:line="219" w:lineRule="auto"/>
        <w:ind w:left="8"/>
        <w:rPr>
          <w:rFonts w:ascii="宋体" w:hAnsi="宋体" w:eastAsia="宋体" w:cs="宋体"/>
          <w:sz w:val="24"/>
          <w:szCs w:val="24"/>
        </w:rPr>
      </w:pPr>
      <w:r>
        <w:rPr>
          <w:rFonts w:ascii="Times New Roman" w:hAnsi="Times New Roman" w:eastAsia="Times New Roman" w:cs="Times New Roman"/>
          <w:spacing w:val="-2"/>
          <w:sz w:val="24"/>
          <w:szCs w:val="24"/>
        </w:rPr>
        <w:t>d.</w:t>
      </w:r>
      <w:r>
        <w:rPr>
          <w:rFonts w:ascii="宋体" w:hAnsi="宋体" w:eastAsia="宋体" w:cs="宋体"/>
          <w:spacing w:val="-2"/>
          <w:sz w:val="24"/>
          <w:szCs w:val="24"/>
        </w:rPr>
        <w:t>提供虚假的项目负责人或主要技术人员简历、劳动</w:t>
      </w:r>
      <w:r>
        <w:rPr>
          <w:rFonts w:ascii="宋体" w:hAnsi="宋体" w:eastAsia="宋体" w:cs="宋体"/>
          <w:spacing w:val="-3"/>
          <w:sz w:val="24"/>
          <w:szCs w:val="24"/>
        </w:rPr>
        <w:t>关系证明；</w:t>
      </w:r>
    </w:p>
    <w:p w14:paraId="3ADDE079">
      <w:pPr>
        <w:spacing w:before="183" w:line="219" w:lineRule="auto"/>
        <w:ind w:left="9"/>
        <w:rPr>
          <w:rFonts w:ascii="宋体" w:hAnsi="宋体" w:eastAsia="宋体" w:cs="宋体"/>
          <w:sz w:val="24"/>
          <w:szCs w:val="24"/>
        </w:rPr>
      </w:pPr>
      <w:r>
        <w:rPr>
          <w:rFonts w:ascii="Times New Roman" w:hAnsi="Times New Roman" w:eastAsia="Times New Roman" w:cs="Times New Roman"/>
          <w:spacing w:val="-5"/>
          <w:sz w:val="24"/>
          <w:szCs w:val="24"/>
        </w:rPr>
        <w:t>e.</w:t>
      </w:r>
      <w:r>
        <w:rPr>
          <w:rFonts w:ascii="宋体" w:hAnsi="宋体" w:eastAsia="宋体" w:cs="宋体"/>
          <w:spacing w:val="-5"/>
          <w:sz w:val="24"/>
          <w:szCs w:val="24"/>
        </w:rPr>
        <w:t>提供虚假的信用状况；</w:t>
      </w:r>
    </w:p>
    <w:p w14:paraId="615F9AD5">
      <w:pPr>
        <w:spacing w:before="183" w:line="219" w:lineRule="auto"/>
        <w:ind w:left="9"/>
        <w:rPr>
          <w:rFonts w:ascii="宋体" w:hAnsi="宋体" w:eastAsia="宋体" w:cs="宋体"/>
          <w:sz w:val="24"/>
          <w:szCs w:val="24"/>
        </w:rPr>
      </w:pPr>
      <w:r>
        <w:rPr>
          <w:rFonts w:ascii="Times New Roman" w:hAnsi="Times New Roman" w:eastAsia="Times New Roman" w:cs="Times New Roman"/>
          <w:spacing w:val="-4"/>
          <w:sz w:val="24"/>
          <w:szCs w:val="24"/>
        </w:rPr>
        <w:t>f.</w:t>
      </w:r>
      <w:r>
        <w:rPr>
          <w:rFonts w:ascii="宋体" w:hAnsi="宋体" w:eastAsia="宋体" w:cs="宋体"/>
          <w:spacing w:val="-4"/>
          <w:sz w:val="24"/>
          <w:szCs w:val="24"/>
        </w:rPr>
        <w:t>其他弄虚作假的行为。</w:t>
      </w:r>
    </w:p>
    <w:p w14:paraId="00B4C19B">
      <w:pPr>
        <w:spacing w:before="184" w:line="361" w:lineRule="auto"/>
        <w:ind w:left="9"/>
        <w:rPr>
          <w:rFonts w:ascii="黑体" w:hAnsi="黑体" w:eastAsia="黑体" w:cs="黑体"/>
          <w:sz w:val="24"/>
          <w:szCs w:val="24"/>
        </w:rPr>
      </w:pPr>
      <w:r>
        <w:rPr>
          <w:rFonts w:ascii="Times New Roman" w:hAnsi="Times New Roman" w:eastAsia="Times New Roman" w:cs="Times New Roman"/>
          <w:spacing w:val="-3"/>
          <w:sz w:val="24"/>
          <w:szCs w:val="24"/>
        </w:rPr>
        <w:t xml:space="preserve">3.6.3 </w:t>
      </w:r>
      <w:r>
        <w:rPr>
          <w:rFonts w:ascii="宋体" w:hAnsi="宋体" w:eastAsia="宋体" w:cs="宋体"/>
          <w:spacing w:val="-3"/>
          <w:sz w:val="24"/>
          <w:szCs w:val="24"/>
        </w:rPr>
        <w:t>依法必须进行招标的项目，除第一中标候选人或者中标人，其他投标人存在串通投</w:t>
      </w:r>
      <w:r>
        <w:rPr>
          <w:rFonts w:ascii="宋体" w:hAnsi="宋体" w:eastAsia="宋体" w:cs="宋体"/>
          <w:spacing w:val="-6"/>
          <w:sz w:val="24"/>
          <w:szCs w:val="24"/>
        </w:rPr>
        <w:t>标、弄虚作假、行贿情形且在评标过程中未被发现的，</w:t>
      </w:r>
      <w:r>
        <w:rPr>
          <w:rFonts w:ascii="宋体" w:hAnsi="宋体" w:eastAsia="宋体" w:cs="宋体"/>
          <w:spacing w:val="49"/>
          <w:sz w:val="24"/>
          <w:szCs w:val="24"/>
        </w:rPr>
        <w:t xml:space="preserve"> </w:t>
      </w:r>
      <w:r>
        <w:rPr>
          <w:rFonts w:ascii="宋体" w:hAnsi="宋体" w:eastAsia="宋体" w:cs="宋体"/>
          <w:spacing w:val="-6"/>
          <w:sz w:val="24"/>
          <w:szCs w:val="24"/>
        </w:rPr>
        <w:t>视为对中标结果没有造成实质性</w:t>
      </w:r>
      <w:r>
        <w:rPr>
          <w:rFonts w:ascii="宋体" w:hAnsi="宋体" w:eastAsia="宋体" w:cs="宋体"/>
          <w:spacing w:val="-5"/>
          <w:sz w:val="24"/>
          <w:szCs w:val="24"/>
        </w:rPr>
        <w:t>影响，招标人可以依法继续开展招标活动。投</w:t>
      </w:r>
      <w:r>
        <w:rPr>
          <w:rFonts w:ascii="宋体" w:hAnsi="宋体" w:eastAsia="宋体" w:cs="宋体"/>
          <w:spacing w:val="-6"/>
          <w:sz w:val="24"/>
          <w:szCs w:val="24"/>
        </w:rPr>
        <w:t>标人的违法行为由行政监督部门依法处理</w:t>
      </w:r>
      <w:r>
        <w:rPr>
          <w:rFonts w:ascii="黑体" w:hAnsi="黑体" w:eastAsia="黑体" w:cs="黑体"/>
          <w:spacing w:val="-1"/>
          <w:sz w:val="24"/>
          <w:szCs w:val="24"/>
        </w:rPr>
        <w:t>3.7 投标文件的澄清和说明</w:t>
      </w:r>
    </w:p>
    <w:p w14:paraId="1EFC3B84">
      <w:pPr>
        <w:spacing w:before="180" w:line="360" w:lineRule="auto"/>
        <w:ind w:left="14" w:hanging="5"/>
        <w:rPr>
          <w:rFonts w:ascii="宋体" w:hAnsi="宋体" w:eastAsia="宋体" w:cs="宋体"/>
          <w:sz w:val="24"/>
          <w:szCs w:val="24"/>
        </w:rPr>
      </w:pPr>
      <w:r>
        <w:rPr>
          <w:rFonts w:ascii="Times New Roman" w:hAnsi="Times New Roman" w:eastAsia="Times New Roman" w:cs="Times New Roman"/>
          <w:sz w:val="24"/>
          <w:szCs w:val="24"/>
        </w:rPr>
        <w:t xml:space="preserve">3.7.1  </w:t>
      </w:r>
      <w:r>
        <w:rPr>
          <w:rFonts w:ascii="宋体" w:hAnsi="宋体" w:eastAsia="宋体" w:cs="宋体"/>
          <w:sz w:val="24"/>
          <w:szCs w:val="24"/>
        </w:rPr>
        <w:t>在评标过程中，评标委员会可以要求投标人对投标文件</w:t>
      </w:r>
      <w:r>
        <w:rPr>
          <w:rFonts w:ascii="宋体" w:hAnsi="宋体" w:eastAsia="宋体" w:cs="宋体"/>
          <w:spacing w:val="-1"/>
          <w:sz w:val="24"/>
          <w:szCs w:val="24"/>
        </w:rPr>
        <w:t>中含义不明确的内容、明</w:t>
      </w:r>
      <w:r>
        <w:rPr>
          <w:rFonts w:ascii="宋体" w:hAnsi="宋体" w:eastAsia="宋体" w:cs="宋体"/>
          <w:spacing w:val="-2"/>
          <w:sz w:val="24"/>
          <w:szCs w:val="24"/>
        </w:rPr>
        <w:t>显文字或计算错误进行书面澄清或说明。评标委员会不接受投标人主动提出的澄清、说明。投标人不按评标委员会要求澄清或说明的，评标委员会应否决其投标。</w:t>
      </w:r>
    </w:p>
    <w:p w14:paraId="32277B97">
      <w:pPr>
        <w:spacing w:line="360" w:lineRule="auto"/>
        <w:ind w:left="28" w:right="72" w:hanging="19"/>
        <w:rPr>
          <w:rFonts w:ascii="宋体" w:hAnsi="宋体" w:eastAsia="宋体" w:cs="宋体"/>
          <w:sz w:val="24"/>
          <w:szCs w:val="24"/>
        </w:rPr>
      </w:pPr>
      <w:r>
        <w:rPr>
          <w:rFonts w:ascii="Times New Roman" w:hAnsi="Times New Roman" w:eastAsia="Times New Roman" w:cs="Times New Roman"/>
          <w:sz w:val="24"/>
          <w:szCs w:val="24"/>
        </w:rPr>
        <w:t xml:space="preserve">3.7.2  </w:t>
      </w:r>
      <w:r>
        <w:rPr>
          <w:rFonts w:ascii="宋体" w:hAnsi="宋体" w:eastAsia="宋体" w:cs="宋体"/>
          <w:sz w:val="24"/>
          <w:szCs w:val="24"/>
        </w:rPr>
        <w:t>澄清和说明不得超出投标文件的范围或改变投标文件的</w:t>
      </w:r>
      <w:r>
        <w:rPr>
          <w:rFonts w:ascii="宋体" w:hAnsi="宋体" w:eastAsia="宋体" w:cs="宋体"/>
          <w:spacing w:val="-1"/>
          <w:sz w:val="24"/>
          <w:szCs w:val="24"/>
        </w:rPr>
        <w:t>实质性内容（算术性错误</w:t>
      </w:r>
      <w:r>
        <w:rPr>
          <w:rFonts w:ascii="宋体" w:hAnsi="宋体" w:eastAsia="宋体" w:cs="宋体"/>
          <w:spacing w:val="-2"/>
          <w:sz w:val="24"/>
          <w:szCs w:val="24"/>
        </w:rPr>
        <w:t>的修正除外）。投标人的书面澄清、说明属于投标文件的组成</w:t>
      </w:r>
      <w:r>
        <w:rPr>
          <w:rFonts w:ascii="宋体" w:hAnsi="宋体" w:eastAsia="宋体" w:cs="宋体"/>
          <w:spacing w:val="-3"/>
          <w:sz w:val="24"/>
          <w:szCs w:val="24"/>
        </w:rPr>
        <w:t>部分。</w:t>
      </w:r>
    </w:p>
    <w:p w14:paraId="2BC2CFF1">
      <w:pPr>
        <w:spacing w:before="2" w:line="359" w:lineRule="auto"/>
        <w:ind w:left="9" w:right="72"/>
        <w:rPr>
          <w:rFonts w:ascii="宋体" w:hAnsi="宋体" w:eastAsia="宋体" w:cs="宋体"/>
          <w:sz w:val="24"/>
          <w:szCs w:val="24"/>
        </w:rPr>
      </w:pPr>
      <w:r>
        <w:rPr>
          <w:rFonts w:ascii="Times New Roman" w:hAnsi="Times New Roman" w:eastAsia="Times New Roman" w:cs="Times New Roman"/>
          <w:sz w:val="24"/>
          <w:szCs w:val="24"/>
        </w:rPr>
        <w:t xml:space="preserve">3.7.3  </w:t>
      </w:r>
      <w:r>
        <w:rPr>
          <w:rFonts w:ascii="宋体" w:hAnsi="宋体" w:eastAsia="宋体" w:cs="宋体"/>
          <w:sz w:val="24"/>
          <w:szCs w:val="24"/>
        </w:rPr>
        <w:t>评标委员会不得暗示或诱导投标人作出澄清、说明，对</w:t>
      </w:r>
      <w:r>
        <w:rPr>
          <w:rFonts w:ascii="宋体" w:hAnsi="宋体" w:eastAsia="宋体" w:cs="宋体"/>
          <w:spacing w:val="-1"/>
          <w:sz w:val="24"/>
          <w:szCs w:val="24"/>
        </w:rPr>
        <w:t>投标人提交的澄清、说明有疑问的，可以要求投标人进一步澄清或说明，直至</w:t>
      </w:r>
      <w:r>
        <w:rPr>
          <w:rFonts w:ascii="宋体" w:hAnsi="宋体" w:eastAsia="宋体" w:cs="宋体"/>
          <w:spacing w:val="-2"/>
          <w:sz w:val="24"/>
          <w:szCs w:val="24"/>
        </w:rPr>
        <w:t>满足评标委员会的要求。</w:t>
      </w:r>
    </w:p>
    <w:p w14:paraId="4E436CE4">
      <w:pPr>
        <w:spacing w:before="3" w:line="359" w:lineRule="auto"/>
        <w:ind w:left="8" w:right="72" w:firstLine="1"/>
        <w:rPr>
          <w:rFonts w:ascii="宋体" w:hAnsi="宋体" w:eastAsia="宋体" w:cs="宋体"/>
          <w:sz w:val="24"/>
          <w:szCs w:val="24"/>
        </w:rPr>
      </w:pPr>
      <w:r>
        <w:rPr>
          <w:rFonts w:ascii="Times New Roman" w:hAnsi="Times New Roman" w:eastAsia="Times New Roman" w:cs="Times New Roman"/>
          <w:sz w:val="24"/>
          <w:szCs w:val="24"/>
        </w:rPr>
        <w:t xml:space="preserve">3.7.4  </w:t>
      </w:r>
      <w:r>
        <w:rPr>
          <w:rFonts w:ascii="宋体" w:hAnsi="宋体" w:eastAsia="宋体" w:cs="宋体"/>
          <w:sz w:val="24"/>
          <w:szCs w:val="24"/>
        </w:rPr>
        <w:t>凡超出招标文件规定的或给发包人带来未曾要求的利益</w:t>
      </w:r>
      <w:r>
        <w:rPr>
          <w:rFonts w:ascii="宋体" w:hAnsi="宋体" w:eastAsia="宋体" w:cs="宋体"/>
          <w:spacing w:val="-1"/>
          <w:sz w:val="24"/>
          <w:szCs w:val="24"/>
        </w:rPr>
        <w:t>的变化、偏差或其他因素</w:t>
      </w:r>
      <w:r>
        <w:rPr>
          <w:rFonts w:ascii="宋体" w:hAnsi="宋体" w:eastAsia="宋体" w:cs="宋体"/>
          <w:spacing w:val="-5"/>
          <w:sz w:val="24"/>
          <w:szCs w:val="24"/>
        </w:rPr>
        <w:t>在评标时不予考虑。</w:t>
      </w:r>
    </w:p>
    <w:p w14:paraId="79577149">
      <w:pPr>
        <w:spacing w:line="222" w:lineRule="auto"/>
        <w:ind w:left="9"/>
        <w:rPr>
          <w:rFonts w:ascii="黑体" w:hAnsi="黑体" w:eastAsia="黑体" w:cs="黑体"/>
          <w:sz w:val="24"/>
          <w:szCs w:val="24"/>
        </w:rPr>
      </w:pPr>
      <w:r>
        <w:rPr>
          <w:rFonts w:ascii="黑体" w:hAnsi="黑体" w:eastAsia="黑体" w:cs="黑体"/>
          <w:spacing w:val="-1"/>
          <w:sz w:val="24"/>
          <w:szCs w:val="24"/>
        </w:rPr>
        <w:t>3.8 不得否决投标的情形</w:t>
      </w:r>
    </w:p>
    <w:p w14:paraId="5E50B6A1">
      <w:pPr>
        <w:spacing w:before="179" w:line="360" w:lineRule="auto"/>
        <w:ind w:left="8" w:right="72" w:firstLine="3"/>
        <w:rPr>
          <w:rFonts w:ascii="宋体" w:hAnsi="宋体" w:eastAsia="宋体" w:cs="宋体"/>
          <w:sz w:val="24"/>
          <w:szCs w:val="24"/>
        </w:rPr>
      </w:pPr>
      <w:r>
        <w:rPr>
          <w:rFonts w:ascii="宋体" w:hAnsi="宋体" w:eastAsia="宋体" w:cs="宋体"/>
          <w:sz w:val="24"/>
          <w:szCs w:val="24"/>
        </w:rPr>
        <w:t xml:space="preserve">投标文件存在第二章“投标人须知”第 </w:t>
      </w:r>
      <w:r>
        <w:rPr>
          <w:rFonts w:ascii="Times New Roman" w:hAnsi="Times New Roman" w:eastAsia="Times New Roman" w:cs="Times New Roman"/>
          <w:sz w:val="24"/>
          <w:szCs w:val="24"/>
        </w:rPr>
        <w:t xml:space="preserve">1.12.3  </w:t>
      </w:r>
      <w:r>
        <w:rPr>
          <w:rFonts w:ascii="宋体" w:hAnsi="宋体" w:eastAsia="宋体" w:cs="宋体"/>
          <w:sz w:val="24"/>
          <w:szCs w:val="24"/>
        </w:rPr>
        <w:t>项所列</w:t>
      </w:r>
      <w:r>
        <w:rPr>
          <w:rFonts w:ascii="宋体" w:hAnsi="宋体" w:eastAsia="宋体" w:cs="宋体"/>
          <w:spacing w:val="-1"/>
          <w:sz w:val="24"/>
          <w:szCs w:val="24"/>
        </w:rPr>
        <w:t>情形的，均视为细微偏差，评标</w:t>
      </w:r>
      <w:r>
        <w:rPr>
          <w:rFonts w:ascii="宋体" w:hAnsi="宋体" w:eastAsia="宋体" w:cs="宋体"/>
          <w:sz w:val="24"/>
          <w:szCs w:val="24"/>
        </w:rPr>
        <w:t xml:space="preserve">委员会不得否决投标人的投标，应按照第二章“投标人须知”第 </w:t>
      </w:r>
      <w:r>
        <w:rPr>
          <w:rFonts w:ascii="Times New Roman" w:hAnsi="Times New Roman" w:eastAsia="Times New Roman" w:cs="Times New Roman"/>
          <w:sz w:val="24"/>
          <w:szCs w:val="24"/>
        </w:rPr>
        <w:t>1.12</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项规定的原则</w:t>
      </w:r>
      <w:r>
        <w:rPr>
          <w:rFonts w:ascii="宋体" w:hAnsi="宋体" w:eastAsia="宋体" w:cs="宋体"/>
          <w:spacing w:val="-10"/>
          <w:sz w:val="24"/>
          <w:szCs w:val="24"/>
        </w:rPr>
        <w:t>处理。</w:t>
      </w:r>
    </w:p>
    <w:p w14:paraId="1144EC6C">
      <w:pPr>
        <w:spacing w:before="1" w:line="221" w:lineRule="auto"/>
        <w:ind w:left="9"/>
        <w:rPr>
          <w:rFonts w:ascii="黑体" w:hAnsi="黑体" w:eastAsia="黑体" w:cs="黑体"/>
          <w:sz w:val="24"/>
          <w:szCs w:val="24"/>
        </w:rPr>
      </w:pPr>
      <w:r>
        <w:rPr>
          <w:rFonts w:ascii="黑体" w:hAnsi="黑体" w:eastAsia="黑体" w:cs="黑体"/>
          <w:spacing w:val="-1"/>
          <w:sz w:val="24"/>
          <w:szCs w:val="24"/>
        </w:rPr>
        <w:t>3.9 评标结果</w:t>
      </w:r>
    </w:p>
    <w:p w14:paraId="5A31F15E">
      <w:pPr>
        <w:spacing w:before="180" w:line="360" w:lineRule="auto"/>
        <w:ind w:left="8" w:right="99" w:firstLine="1"/>
        <w:rPr>
          <w:rFonts w:ascii="宋体" w:hAnsi="宋体" w:eastAsia="宋体" w:cs="宋体"/>
          <w:sz w:val="24"/>
          <w:szCs w:val="24"/>
        </w:rPr>
      </w:pPr>
      <w:r>
        <w:rPr>
          <w:rFonts w:ascii="Times New Roman" w:hAnsi="Times New Roman" w:eastAsia="Times New Roman" w:cs="Times New Roman"/>
          <w:sz w:val="24"/>
          <w:szCs w:val="24"/>
        </w:rPr>
        <w:t xml:space="preserve">3.9.1  </w:t>
      </w:r>
      <w:r>
        <w:rPr>
          <w:rFonts w:ascii="宋体" w:hAnsi="宋体" w:eastAsia="宋体" w:cs="宋体"/>
          <w:sz w:val="24"/>
          <w:szCs w:val="24"/>
        </w:rPr>
        <w:t>除第二章</w:t>
      </w:r>
      <w:r>
        <w:rPr>
          <w:rFonts w:ascii="Times New Roman" w:hAnsi="Times New Roman" w:eastAsia="Times New Roman" w:cs="Times New Roman"/>
          <w:sz w:val="24"/>
          <w:szCs w:val="24"/>
        </w:rPr>
        <w:t>“</w:t>
      </w:r>
      <w:r>
        <w:rPr>
          <w:rFonts w:ascii="宋体" w:hAnsi="宋体" w:eastAsia="宋体" w:cs="宋体"/>
          <w:sz w:val="24"/>
          <w:szCs w:val="24"/>
        </w:rPr>
        <w:t>投标人须知</w:t>
      </w:r>
      <w:r>
        <w:rPr>
          <w:rFonts w:ascii="Times New Roman" w:hAnsi="Times New Roman" w:eastAsia="Times New Roman" w:cs="Times New Roman"/>
          <w:sz w:val="24"/>
          <w:szCs w:val="24"/>
        </w:rPr>
        <w:t>”</w:t>
      </w:r>
      <w:r>
        <w:rPr>
          <w:rFonts w:ascii="宋体" w:hAnsi="宋体" w:eastAsia="宋体" w:cs="宋体"/>
          <w:sz w:val="24"/>
          <w:szCs w:val="24"/>
        </w:rPr>
        <w:t>前附表授权直接确定中标人外</w:t>
      </w:r>
      <w:r>
        <w:rPr>
          <w:rFonts w:ascii="宋体" w:hAnsi="宋体" w:eastAsia="宋体" w:cs="宋体"/>
          <w:spacing w:val="-1"/>
          <w:sz w:val="24"/>
          <w:szCs w:val="24"/>
        </w:rPr>
        <w:t>，评标委员会按照评标价由</w:t>
      </w:r>
      <w:r>
        <w:rPr>
          <w:rFonts w:ascii="宋体" w:hAnsi="宋体" w:eastAsia="宋体" w:cs="宋体"/>
          <w:spacing w:val="-3"/>
          <w:sz w:val="24"/>
          <w:szCs w:val="24"/>
        </w:rPr>
        <w:t>低到高的顺序推荐中标候选人，并标明排序。</w:t>
      </w:r>
    </w:p>
    <w:p w14:paraId="55F0B6FF">
      <w:pPr>
        <w:spacing w:before="180" w:line="360" w:lineRule="auto"/>
        <w:ind w:left="8" w:right="99" w:firstLine="1"/>
        <w:rPr>
          <w:rFonts w:ascii="Times New Roman" w:hAnsi="Times New Roman" w:eastAsia="Times New Roman" w:cs="Times New Roman"/>
          <w:sz w:val="24"/>
          <w:szCs w:val="24"/>
        </w:rPr>
      </w:pPr>
      <w:r>
        <w:rPr>
          <w:rFonts w:ascii="Times New Roman" w:hAnsi="Times New Roman" w:eastAsia="Times New Roman" w:cs="Times New Roman"/>
          <w:sz w:val="24"/>
          <w:szCs w:val="24"/>
        </w:rPr>
        <w:t>3.9.2  评标委员会完成评标后，应向招标人提交书面评标报告。</w:t>
      </w:r>
    </w:p>
    <w:p w14:paraId="766BD0E6">
      <w:pPr>
        <w:spacing w:before="180" w:line="360" w:lineRule="auto"/>
        <w:ind w:left="8" w:right="99" w:firstLine="1"/>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3.9.3 通过第一个信封商务及技术文件评审的投标人少于 3 个的，评标委员会应当对投标是否明显缺乏竞争和是否需要否决全部投标进行充分论证，并在评标报告中记载论证过程和结果；未否决全部投标的，评标委员会应当在评标报告中阐明理由，招标人应当按照招标文件规定的程序进行第二个信封报价文件开标，但评标委员会在进行报价文件评审时仍有权否决全部投标；评标委员会未在报价文件评审时否决全部投标的，应当在评标报告中阐明理由并推荐中标候选人。</w:t>
      </w:r>
    </w:p>
    <w:p w14:paraId="64947685">
      <w:pPr>
        <w:spacing w:before="180" w:line="360" w:lineRule="auto"/>
        <w:ind w:left="8" w:right="99" w:firstLine="1"/>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3.9.4 通过第一个信封商务及技术文件评审的投标人在 3 个及以上的，招标人应当按照招标文件规定的程序进行第二个信封报价文件开标；在对报价文件进行评审后，有效投标不足 3 个的，评标委员会应当对投标是否明显缺乏竞争和是否需要否决全部投标进行充分论证，并在评标报告中记载论证过程和结果。未否决全部投标的，评标委员会应当在评标报告中阐明理由并推荐中标候选人。</w:t>
      </w:r>
    </w:p>
    <w:p w14:paraId="26C1B2CE">
      <w:pPr>
        <w:spacing w:before="180" w:line="360" w:lineRule="auto"/>
        <w:ind w:left="8" w:right="99" w:firstLine="1"/>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3.9.5 如果发生无法确定推荐中标候选人的其他意外情况，评标委员会可建议招标人重新招标。</w:t>
      </w:r>
    </w:p>
    <w:p w14:paraId="6A7D0A7A">
      <w:pPr>
        <w:spacing w:before="180" w:line="360" w:lineRule="auto"/>
        <w:ind w:left="8" w:right="99" w:firstLine="1"/>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3.9.6 本招标文件规定的否决投标条款包含在以下条款：</w:t>
      </w:r>
    </w:p>
    <w:p w14:paraId="4E1C3B5E">
      <w:pPr>
        <w:spacing w:before="180" w:line="360" w:lineRule="auto"/>
        <w:ind w:left="8" w:right="99" w:firstLine="1"/>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（1）投标人须知前附表后附录资格审查条件；</w:t>
      </w:r>
    </w:p>
    <w:p w14:paraId="23488329">
      <w:pPr>
        <w:spacing w:before="180" w:line="360" w:lineRule="auto"/>
        <w:ind w:left="8" w:right="99" w:firstLine="1"/>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（2）投标人须知 1.4.3 项、1.4.4 项、1.4.5 项、1.12.2 项、3.4.2 项、3.5 项、3.6.1</w:t>
      </w:r>
    </w:p>
    <w:p w14:paraId="405D2FF0">
      <w:pPr>
        <w:spacing w:before="180" w:line="360" w:lineRule="auto"/>
        <w:ind w:left="8" w:right="99" w:firstLine="1"/>
        <w:rPr>
          <w:rFonts w:hint="eastAsia" w:ascii="Times New Roman" w:hAnsi="Times New Roman" w:eastAsia="Times New Roman" w:cs="Times New Roman"/>
          <w:sz w:val="24"/>
          <w:szCs w:val="24"/>
        </w:rPr>
      </w:pPr>
      <w:r>
        <w:rPr>
          <w:rFonts w:hint="eastAsia" w:ascii="Times New Roman" w:hAnsi="Times New Roman" w:eastAsia="Times New Roman" w:cs="Times New Roman"/>
          <w:sz w:val="24"/>
          <w:szCs w:val="24"/>
        </w:rPr>
        <w:t>项；</w:t>
      </w:r>
    </w:p>
    <w:p w14:paraId="5E9510BE">
      <w:pPr>
        <w:spacing w:before="180" w:line="360" w:lineRule="auto"/>
        <w:ind w:left="8" w:right="99" w:firstLine="1"/>
        <w:rPr>
          <w:rFonts w:ascii="Times New Roman" w:hAnsi="Times New Roman" w:eastAsia="Times New Roman" w:cs="Times New Roman"/>
          <w:sz w:val="24"/>
          <w:szCs w:val="24"/>
        </w:rPr>
      </w:pPr>
      <w:r>
        <w:rPr>
          <w:rFonts w:hint="eastAsia" w:ascii="Times New Roman" w:hAnsi="Times New Roman" w:eastAsia="Times New Roman" w:cs="Times New Roman"/>
          <w:sz w:val="24"/>
          <w:szCs w:val="24"/>
        </w:rPr>
        <w:t>（3）本评标办法的否决条款。</w:t>
      </w:r>
    </w:p>
    <w:p w14:paraId="5ABC7E61">
      <w:pPr>
        <w:spacing w:before="81" w:line="219" w:lineRule="auto"/>
        <w:jc w:val="center"/>
        <w:outlineLvl w:val="0"/>
        <w:rPr>
          <w:rFonts w:ascii="宋体" w:hAnsi="宋体" w:eastAsia="宋体" w:cs="宋体"/>
          <w:color w:val="auto"/>
          <w:sz w:val="28"/>
          <w:szCs w:val="28"/>
          <w:highlight w:val="none"/>
        </w:rPr>
      </w:pPr>
      <w:r>
        <w:rPr>
          <w:rFonts w:ascii="宋体" w:hAnsi="宋体" w:eastAsia="宋体" w:cs="宋体"/>
          <w:b/>
          <w:bCs/>
          <w:color w:val="auto"/>
          <w:spacing w:val="-15"/>
          <w:sz w:val="32"/>
          <w:szCs w:val="32"/>
          <w:highlight w:val="none"/>
        </w:rPr>
        <w:t>否决投标条款一览表</w:t>
      </w:r>
    </w:p>
    <w:p w14:paraId="6B09A18B">
      <w:pPr>
        <w:keepNext w:val="0"/>
        <w:keepLines w:val="0"/>
        <w:pageBreakBefore w:val="0"/>
        <w:widowControl w:val="0"/>
        <w:kinsoku/>
        <w:wordWrap/>
        <w:overflowPunct/>
        <w:topLinePunct w:val="0"/>
        <w:autoSpaceDE/>
        <w:autoSpaceDN/>
        <w:bidi w:val="0"/>
        <w:adjustRightInd/>
        <w:snapToGrid/>
        <w:spacing w:before="181" w:line="240" w:lineRule="auto"/>
        <w:ind w:firstLine="386" w:firstLineChars="200"/>
        <w:jc w:val="both"/>
        <w:textAlignment w:val="auto"/>
        <w:rPr>
          <w:rFonts w:ascii="宋体" w:hAnsi="宋体" w:eastAsia="宋体" w:cs="宋体"/>
          <w:b/>
          <w:bCs/>
          <w:color w:val="auto"/>
          <w:spacing w:val="-14"/>
          <w:position w:val="13"/>
          <w:sz w:val="22"/>
          <w:szCs w:val="22"/>
          <w:highlight w:val="none"/>
        </w:rPr>
      </w:pPr>
      <w:r>
        <w:rPr>
          <w:rFonts w:ascii="宋体" w:hAnsi="宋体" w:eastAsia="宋体" w:cs="宋体"/>
          <w:b/>
          <w:bCs/>
          <w:color w:val="auto"/>
          <w:spacing w:val="-14"/>
          <w:position w:val="13"/>
          <w:sz w:val="22"/>
          <w:szCs w:val="22"/>
          <w:highlight w:val="none"/>
        </w:rPr>
        <w:t>声明：以下所列条款为本招标文件的否决投</w:t>
      </w:r>
      <w:r>
        <w:rPr>
          <w:rFonts w:ascii="宋体" w:hAnsi="宋体" w:eastAsia="宋体" w:cs="宋体"/>
          <w:b/>
          <w:bCs/>
          <w:color w:val="auto"/>
          <w:spacing w:val="-15"/>
          <w:position w:val="13"/>
          <w:sz w:val="22"/>
          <w:szCs w:val="22"/>
          <w:highlight w:val="none"/>
        </w:rPr>
        <w:t>标条款一览表</w:t>
      </w:r>
      <w:r>
        <w:rPr>
          <w:rFonts w:hint="eastAsia" w:ascii="宋体" w:hAnsi="宋体" w:eastAsia="宋体" w:cs="宋体"/>
          <w:b/>
          <w:bCs/>
          <w:color w:val="auto"/>
          <w:spacing w:val="-15"/>
          <w:position w:val="13"/>
          <w:sz w:val="22"/>
          <w:szCs w:val="22"/>
          <w:highlight w:val="none"/>
          <w:lang w:eastAsia="zh-CN"/>
        </w:rPr>
        <w:t>，</w:t>
      </w:r>
      <w:r>
        <w:rPr>
          <w:rFonts w:ascii="宋体" w:hAnsi="宋体" w:eastAsia="宋体" w:cs="宋体"/>
          <w:b/>
          <w:bCs/>
          <w:color w:val="auto"/>
          <w:spacing w:val="-15"/>
          <w:position w:val="13"/>
          <w:sz w:val="22"/>
          <w:szCs w:val="22"/>
          <w:highlight w:val="none"/>
        </w:rPr>
        <w:t>投标人应自行仔细阅读</w:t>
      </w:r>
      <w:r>
        <w:rPr>
          <w:rFonts w:hint="eastAsia" w:ascii="宋体" w:hAnsi="宋体" w:eastAsia="宋体" w:cs="宋体"/>
          <w:b/>
          <w:bCs/>
          <w:color w:val="auto"/>
          <w:spacing w:val="-15"/>
          <w:position w:val="13"/>
          <w:sz w:val="22"/>
          <w:szCs w:val="22"/>
          <w:highlight w:val="none"/>
          <w:lang w:eastAsia="zh-CN"/>
        </w:rPr>
        <w:t>，</w:t>
      </w:r>
      <w:r>
        <w:rPr>
          <w:rFonts w:ascii="宋体" w:hAnsi="宋体" w:eastAsia="宋体" w:cs="宋体"/>
          <w:b/>
          <w:bCs/>
          <w:color w:val="auto"/>
          <w:spacing w:val="-14"/>
          <w:position w:val="13"/>
          <w:sz w:val="22"/>
          <w:szCs w:val="22"/>
          <w:highlight w:val="none"/>
        </w:rPr>
        <w:t>自行查阅对应条款，否则责任自负。</w:t>
      </w:r>
    </w:p>
    <w:tbl>
      <w:tblPr>
        <w:tblStyle w:val="8"/>
        <w:tblpPr w:leftFromText="180" w:rightFromText="180" w:vertAnchor="text" w:horzAnchor="page" w:tblpX="1801" w:tblpY="331"/>
        <w:tblOverlap w:val="never"/>
        <w:tblW w:w="83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3"/>
        <w:gridCol w:w="2413"/>
        <w:gridCol w:w="5200"/>
      </w:tblGrid>
      <w:tr w14:paraId="6D6E6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83" w:type="dxa"/>
            <w:noWrap w:val="0"/>
            <w:vAlign w:val="top"/>
          </w:tcPr>
          <w:p w14:paraId="5787B684">
            <w:pPr>
              <w:pStyle w:val="9"/>
              <w:spacing w:before="80" w:line="221" w:lineRule="auto"/>
              <w:ind w:left="107"/>
              <w:rPr>
                <w:color w:val="auto"/>
                <w:sz w:val="22"/>
                <w:szCs w:val="22"/>
                <w:highlight w:val="none"/>
              </w:rPr>
            </w:pPr>
            <w:r>
              <w:rPr>
                <w:b/>
                <w:bCs/>
                <w:color w:val="auto"/>
                <w:spacing w:val="-4"/>
                <w:sz w:val="22"/>
                <w:szCs w:val="22"/>
                <w:highlight w:val="none"/>
              </w:rPr>
              <w:t>序号</w:t>
            </w:r>
          </w:p>
        </w:tc>
        <w:tc>
          <w:tcPr>
            <w:tcW w:w="2413" w:type="dxa"/>
            <w:noWrap w:val="0"/>
            <w:vAlign w:val="top"/>
          </w:tcPr>
          <w:p w14:paraId="4B3A1B0D">
            <w:pPr>
              <w:pStyle w:val="9"/>
              <w:spacing w:before="79" w:line="219" w:lineRule="auto"/>
              <w:ind w:left="663"/>
              <w:rPr>
                <w:color w:val="auto"/>
                <w:sz w:val="22"/>
                <w:szCs w:val="22"/>
                <w:highlight w:val="none"/>
              </w:rPr>
            </w:pPr>
            <w:r>
              <w:rPr>
                <w:b/>
                <w:bCs/>
                <w:color w:val="auto"/>
                <w:spacing w:val="-4"/>
                <w:sz w:val="22"/>
                <w:szCs w:val="22"/>
                <w:highlight w:val="none"/>
              </w:rPr>
              <w:t>条款名称</w:t>
            </w:r>
          </w:p>
        </w:tc>
        <w:tc>
          <w:tcPr>
            <w:tcW w:w="5200" w:type="dxa"/>
            <w:noWrap w:val="0"/>
            <w:vAlign w:val="top"/>
          </w:tcPr>
          <w:p w14:paraId="078EBC63">
            <w:pPr>
              <w:pStyle w:val="9"/>
              <w:spacing w:before="79" w:line="219" w:lineRule="auto"/>
              <w:ind w:left="2225"/>
              <w:rPr>
                <w:color w:val="auto"/>
                <w:sz w:val="22"/>
                <w:szCs w:val="22"/>
                <w:highlight w:val="none"/>
              </w:rPr>
            </w:pPr>
            <w:r>
              <w:rPr>
                <w:b/>
                <w:bCs/>
                <w:color w:val="auto"/>
                <w:spacing w:val="-4"/>
                <w:sz w:val="22"/>
                <w:szCs w:val="22"/>
                <w:highlight w:val="none"/>
              </w:rPr>
              <w:t>编列内容</w:t>
            </w:r>
          </w:p>
        </w:tc>
      </w:tr>
      <w:tr w14:paraId="065E35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83" w:type="dxa"/>
            <w:noWrap w:val="0"/>
            <w:vAlign w:val="top"/>
          </w:tcPr>
          <w:p w14:paraId="3B3694CA">
            <w:pPr>
              <w:pStyle w:val="9"/>
              <w:spacing w:before="132" w:line="184" w:lineRule="auto"/>
              <w:ind w:left="235"/>
              <w:rPr>
                <w:color w:val="auto"/>
                <w:sz w:val="22"/>
                <w:szCs w:val="22"/>
                <w:highlight w:val="none"/>
              </w:rPr>
            </w:pPr>
            <w:r>
              <w:rPr>
                <w:color w:val="auto"/>
                <w:sz w:val="22"/>
                <w:szCs w:val="22"/>
                <w:highlight w:val="none"/>
              </w:rPr>
              <w:t>1</w:t>
            </w:r>
          </w:p>
        </w:tc>
        <w:tc>
          <w:tcPr>
            <w:tcW w:w="2413" w:type="dxa"/>
            <w:noWrap w:val="0"/>
            <w:vAlign w:val="top"/>
          </w:tcPr>
          <w:p w14:paraId="25F7AEB0">
            <w:pPr>
              <w:pStyle w:val="9"/>
              <w:spacing w:before="87" w:line="220" w:lineRule="auto"/>
              <w:ind w:left="661"/>
              <w:rPr>
                <w:color w:val="auto"/>
                <w:sz w:val="22"/>
                <w:szCs w:val="22"/>
                <w:highlight w:val="none"/>
              </w:rPr>
            </w:pPr>
            <w:r>
              <w:rPr>
                <w:color w:val="auto"/>
                <w:spacing w:val="-2"/>
                <w:sz w:val="22"/>
                <w:szCs w:val="22"/>
                <w:highlight w:val="none"/>
              </w:rPr>
              <w:t>计划工期</w:t>
            </w:r>
          </w:p>
        </w:tc>
        <w:tc>
          <w:tcPr>
            <w:tcW w:w="5200" w:type="dxa"/>
            <w:noWrap w:val="0"/>
            <w:vAlign w:val="top"/>
          </w:tcPr>
          <w:p w14:paraId="27FF3DC3">
            <w:pPr>
              <w:pStyle w:val="9"/>
              <w:spacing w:before="86" w:line="219" w:lineRule="auto"/>
              <w:ind w:left="103"/>
              <w:rPr>
                <w:color w:val="auto"/>
                <w:sz w:val="22"/>
                <w:szCs w:val="22"/>
                <w:highlight w:val="none"/>
              </w:rPr>
            </w:pPr>
            <w:r>
              <w:rPr>
                <w:color w:val="auto"/>
                <w:spacing w:val="-1"/>
                <w:sz w:val="22"/>
                <w:szCs w:val="22"/>
                <w:highlight w:val="none"/>
              </w:rPr>
              <w:t>详见投标人须知前附表“1.3.2计划工期”相关内容</w:t>
            </w:r>
          </w:p>
        </w:tc>
      </w:tr>
      <w:tr w14:paraId="7DE30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83" w:type="dxa"/>
            <w:noWrap w:val="0"/>
            <w:vAlign w:val="top"/>
          </w:tcPr>
          <w:p w14:paraId="5F390DAE">
            <w:pPr>
              <w:pStyle w:val="9"/>
              <w:spacing w:before="133" w:line="183" w:lineRule="auto"/>
              <w:ind w:left="235"/>
              <w:rPr>
                <w:color w:val="auto"/>
                <w:sz w:val="22"/>
                <w:szCs w:val="22"/>
                <w:highlight w:val="none"/>
              </w:rPr>
            </w:pPr>
            <w:r>
              <w:rPr>
                <w:color w:val="auto"/>
                <w:sz w:val="22"/>
                <w:szCs w:val="22"/>
                <w:highlight w:val="none"/>
              </w:rPr>
              <w:t>2</w:t>
            </w:r>
          </w:p>
        </w:tc>
        <w:tc>
          <w:tcPr>
            <w:tcW w:w="2413" w:type="dxa"/>
            <w:noWrap w:val="0"/>
            <w:vAlign w:val="top"/>
          </w:tcPr>
          <w:p w14:paraId="0DF23E89">
            <w:pPr>
              <w:pStyle w:val="9"/>
              <w:spacing w:before="87" w:line="220" w:lineRule="auto"/>
              <w:ind w:left="661"/>
              <w:rPr>
                <w:rFonts w:hint="eastAsia" w:eastAsia="宋体"/>
                <w:color w:val="auto"/>
                <w:sz w:val="22"/>
                <w:szCs w:val="22"/>
                <w:highlight w:val="none"/>
                <w:lang w:eastAsia="zh-CN"/>
              </w:rPr>
            </w:pPr>
            <w:r>
              <w:rPr>
                <w:color w:val="auto"/>
                <w:spacing w:val="-2"/>
                <w:sz w:val="22"/>
                <w:szCs w:val="22"/>
                <w:highlight w:val="none"/>
              </w:rPr>
              <w:t>质量</w:t>
            </w:r>
            <w:r>
              <w:rPr>
                <w:rFonts w:hint="eastAsia"/>
                <w:color w:val="auto"/>
                <w:spacing w:val="-2"/>
                <w:sz w:val="22"/>
                <w:szCs w:val="22"/>
                <w:highlight w:val="none"/>
                <w:lang w:val="en-US" w:eastAsia="zh-CN"/>
              </w:rPr>
              <w:t>标准</w:t>
            </w:r>
          </w:p>
        </w:tc>
        <w:tc>
          <w:tcPr>
            <w:tcW w:w="5200" w:type="dxa"/>
            <w:noWrap w:val="0"/>
            <w:vAlign w:val="top"/>
          </w:tcPr>
          <w:p w14:paraId="1EAE6D94">
            <w:pPr>
              <w:pStyle w:val="9"/>
              <w:spacing w:before="86" w:line="219" w:lineRule="auto"/>
              <w:ind w:left="103"/>
              <w:rPr>
                <w:color w:val="auto"/>
                <w:sz w:val="22"/>
                <w:szCs w:val="22"/>
                <w:highlight w:val="none"/>
              </w:rPr>
            </w:pPr>
            <w:r>
              <w:rPr>
                <w:color w:val="auto"/>
                <w:spacing w:val="-1"/>
                <w:sz w:val="22"/>
                <w:szCs w:val="22"/>
                <w:highlight w:val="none"/>
              </w:rPr>
              <w:t>详见投标人须知前附表“1.3.3质量标准”相关内容</w:t>
            </w:r>
          </w:p>
        </w:tc>
      </w:tr>
      <w:tr w14:paraId="47AF5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83" w:type="dxa"/>
            <w:noWrap w:val="0"/>
            <w:vAlign w:val="top"/>
          </w:tcPr>
          <w:p w14:paraId="77C45DAE">
            <w:pPr>
              <w:pStyle w:val="9"/>
              <w:spacing w:before="143" w:line="183" w:lineRule="auto"/>
              <w:ind w:left="235"/>
              <w:rPr>
                <w:color w:val="auto"/>
                <w:sz w:val="22"/>
                <w:szCs w:val="22"/>
                <w:highlight w:val="none"/>
              </w:rPr>
            </w:pPr>
            <w:r>
              <w:rPr>
                <w:color w:val="auto"/>
                <w:sz w:val="22"/>
                <w:szCs w:val="22"/>
                <w:highlight w:val="none"/>
              </w:rPr>
              <w:t>3</w:t>
            </w:r>
          </w:p>
        </w:tc>
        <w:tc>
          <w:tcPr>
            <w:tcW w:w="2413" w:type="dxa"/>
            <w:noWrap w:val="0"/>
            <w:vAlign w:val="top"/>
          </w:tcPr>
          <w:p w14:paraId="7E17CE86">
            <w:pPr>
              <w:pStyle w:val="9"/>
              <w:spacing w:before="97" w:line="220" w:lineRule="auto"/>
              <w:ind w:left="661"/>
              <w:rPr>
                <w:color w:val="auto"/>
                <w:sz w:val="22"/>
                <w:szCs w:val="22"/>
                <w:highlight w:val="none"/>
              </w:rPr>
            </w:pPr>
            <w:r>
              <w:rPr>
                <w:color w:val="auto"/>
                <w:spacing w:val="-2"/>
                <w:sz w:val="22"/>
                <w:szCs w:val="22"/>
                <w:highlight w:val="none"/>
              </w:rPr>
              <w:t>安全目标</w:t>
            </w:r>
          </w:p>
        </w:tc>
        <w:tc>
          <w:tcPr>
            <w:tcW w:w="5200" w:type="dxa"/>
            <w:noWrap w:val="0"/>
            <w:vAlign w:val="top"/>
          </w:tcPr>
          <w:p w14:paraId="1C20EEDC">
            <w:pPr>
              <w:pStyle w:val="9"/>
              <w:spacing w:before="96" w:line="219" w:lineRule="auto"/>
              <w:ind w:left="103"/>
              <w:rPr>
                <w:color w:val="auto"/>
                <w:sz w:val="22"/>
                <w:szCs w:val="22"/>
                <w:highlight w:val="none"/>
              </w:rPr>
            </w:pPr>
            <w:r>
              <w:rPr>
                <w:color w:val="auto"/>
                <w:spacing w:val="-1"/>
                <w:sz w:val="22"/>
                <w:szCs w:val="22"/>
                <w:highlight w:val="none"/>
              </w:rPr>
              <w:t>详见投标人须知前附表“1.3.4安全目标”相关内容</w:t>
            </w:r>
          </w:p>
        </w:tc>
      </w:tr>
      <w:tr w14:paraId="36294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783" w:type="dxa"/>
            <w:noWrap w:val="0"/>
            <w:vAlign w:val="top"/>
          </w:tcPr>
          <w:p w14:paraId="5144B87F">
            <w:pPr>
              <w:pStyle w:val="9"/>
              <w:spacing w:before="213" w:line="183" w:lineRule="auto"/>
              <w:ind w:left="235"/>
              <w:rPr>
                <w:color w:val="auto"/>
                <w:sz w:val="22"/>
                <w:szCs w:val="22"/>
                <w:highlight w:val="none"/>
              </w:rPr>
            </w:pPr>
            <w:r>
              <w:rPr>
                <w:color w:val="auto"/>
                <w:sz w:val="22"/>
                <w:szCs w:val="22"/>
                <w:highlight w:val="none"/>
              </w:rPr>
              <w:t>4</w:t>
            </w:r>
          </w:p>
        </w:tc>
        <w:tc>
          <w:tcPr>
            <w:tcW w:w="2413" w:type="dxa"/>
            <w:noWrap w:val="0"/>
            <w:vAlign w:val="top"/>
          </w:tcPr>
          <w:p w14:paraId="7F57BFAF">
            <w:pPr>
              <w:pStyle w:val="9"/>
              <w:spacing w:before="56" w:line="232" w:lineRule="auto"/>
              <w:ind w:left="750" w:right="111" w:hanging="629"/>
              <w:rPr>
                <w:color w:val="auto"/>
                <w:sz w:val="22"/>
                <w:szCs w:val="22"/>
                <w:highlight w:val="none"/>
              </w:rPr>
            </w:pPr>
            <w:r>
              <w:rPr>
                <w:color w:val="auto"/>
                <w:spacing w:val="1"/>
                <w:sz w:val="22"/>
                <w:szCs w:val="22"/>
                <w:highlight w:val="none"/>
              </w:rPr>
              <w:t>投标人资格条件、能力</w:t>
            </w:r>
            <w:r>
              <w:rPr>
                <w:color w:val="auto"/>
                <w:spacing w:val="-2"/>
                <w:sz w:val="22"/>
                <w:szCs w:val="22"/>
                <w:highlight w:val="none"/>
              </w:rPr>
              <w:t>和信誉</w:t>
            </w:r>
          </w:p>
        </w:tc>
        <w:tc>
          <w:tcPr>
            <w:tcW w:w="5200" w:type="dxa"/>
            <w:noWrap w:val="0"/>
            <w:vAlign w:val="top"/>
          </w:tcPr>
          <w:p w14:paraId="54642A44">
            <w:pPr>
              <w:pStyle w:val="9"/>
              <w:spacing w:before="46" w:line="237" w:lineRule="auto"/>
              <w:ind w:left="103"/>
              <w:rPr>
                <w:color w:val="auto"/>
                <w:sz w:val="22"/>
                <w:szCs w:val="22"/>
                <w:highlight w:val="none"/>
              </w:rPr>
            </w:pPr>
            <w:r>
              <w:rPr>
                <w:color w:val="auto"/>
                <w:spacing w:val="3"/>
                <w:sz w:val="22"/>
                <w:szCs w:val="22"/>
                <w:highlight w:val="none"/>
              </w:rPr>
              <w:t>详见投标人须知前附表“1.4.1投标人资格条件、能力和信誉”</w:t>
            </w:r>
            <w:r>
              <w:rPr>
                <w:color w:val="auto"/>
                <w:spacing w:val="-4"/>
                <w:sz w:val="22"/>
                <w:szCs w:val="22"/>
                <w:highlight w:val="none"/>
              </w:rPr>
              <w:t>相关内容</w:t>
            </w:r>
          </w:p>
        </w:tc>
      </w:tr>
      <w:tr w14:paraId="0C950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83" w:type="dxa"/>
            <w:noWrap w:val="0"/>
            <w:vAlign w:val="top"/>
          </w:tcPr>
          <w:p w14:paraId="7F16C850">
            <w:pPr>
              <w:pStyle w:val="9"/>
              <w:spacing w:before="225" w:line="182" w:lineRule="auto"/>
              <w:ind w:left="235"/>
              <w:rPr>
                <w:color w:val="auto"/>
                <w:sz w:val="22"/>
                <w:szCs w:val="22"/>
                <w:highlight w:val="none"/>
              </w:rPr>
            </w:pPr>
            <w:r>
              <w:rPr>
                <w:color w:val="auto"/>
                <w:sz w:val="22"/>
                <w:szCs w:val="22"/>
                <w:highlight w:val="none"/>
              </w:rPr>
              <w:t>5</w:t>
            </w:r>
          </w:p>
        </w:tc>
        <w:tc>
          <w:tcPr>
            <w:tcW w:w="2413" w:type="dxa"/>
            <w:noWrap w:val="0"/>
            <w:vAlign w:val="top"/>
          </w:tcPr>
          <w:p w14:paraId="3F96CE81">
            <w:pPr>
              <w:pStyle w:val="9"/>
              <w:spacing w:before="178" w:line="220" w:lineRule="auto"/>
              <w:ind w:left="210"/>
              <w:rPr>
                <w:color w:val="auto"/>
                <w:sz w:val="22"/>
                <w:szCs w:val="22"/>
                <w:highlight w:val="none"/>
              </w:rPr>
            </w:pPr>
            <w:r>
              <w:rPr>
                <w:color w:val="auto"/>
                <w:spacing w:val="-1"/>
                <w:sz w:val="22"/>
                <w:szCs w:val="22"/>
                <w:highlight w:val="none"/>
              </w:rPr>
              <w:t>是否接受联合体投标</w:t>
            </w:r>
          </w:p>
        </w:tc>
        <w:tc>
          <w:tcPr>
            <w:tcW w:w="5200" w:type="dxa"/>
            <w:noWrap w:val="0"/>
            <w:vAlign w:val="top"/>
          </w:tcPr>
          <w:p w14:paraId="127F879E">
            <w:pPr>
              <w:pStyle w:val="9"/>
              <w:spacing w:before="55" w:line="243" w:lineRule="auto"/>
              <w:ind w:left="103" w:right="104"/>
              <w:rPr>
                <w:color w:val="auto"/>
                <w:sz w:val="22"/>
                <w:szCs w:val="22"/>
                <w:highlight w:val="none"/>
              </w:rPr>
            </w:pPr>
            <w:r>
              <w:rPr>
                <w:color w:val="auto"/>
                <w:sz w:val="22"/>
                <w:szCs w:val="22"/>
                <w:highlight w:val="none"/>
              </w:rPr>
              <w:t>详见投标人须知“1.4.2”</w:t>
            </w:r>
            <w:r>
              <w:rPr>
                <w:rFonts w:hint="eastAsia"/>
                <w:color w:val="auto"/>
                <w:sz w:val="22"/>
                <w:szCs w:val="22"/>
                <w:highlight w:val="none"/>
                <w:lang w:eastAsia="zh-CN"/>
              </w:rPr>
              <w:t>，</w:t>
            </w:r>
            <w:r>
              <w:rPr>
                <w:color w:val="auto"/>
                <w:sz w:val="22"/>
                <w:szCs w:val="22"/>
                <w:highlight w:val="none"/>
              </w:rPr>
              <w:t>投标人须知前附</w:t>
            </w:r>
            <w:r>
              <w:rPr>
                <w:color w:val="auto"/>
                <w:spacing w:val="-1"/>
                <w:sz w:val="22"/>
                <w:szCs w:val="22"/>
                <w:highlight w:val="none"/>
              </w:rPr>
              <w:t>表“1.4.2是否接受</w:t>
            </w:r>
            <w:r>
              <w:rPr>
                <w:color w:val="auto"/>
                <w:sz w:val="22"/>
                <w:szCs w:val="22"/>
                <w:highlight w:val="none"/>
              </w:rPr>
              <w:t xml:space="preserve"> </w:t>
            </w:r>
            <w:r>
              <w:rPr>
                <w:color w:val="auto"/>
                <w:spacing w:val="-1"/>
                <w:sz w:val="22"/>
                <w:szCs w:val="22"/>
                <w:highlight w:val="none"/>
              </w:rPr>
              <w:t>联合体投标”相关内容</w:t>
            </w:r>
          </w:p>
        </w:tc>
      </w:tr>
      <w:tr w14:paraId="697EC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783" w:type="dxa"/>
            <w:noWrap w:val="0"/>
            <w:vAlign w:val="top"/>
          </w:tcPr>
          <w:p w14:paraId="309A5E8F">
            <w:pPr>
              <w:spacing w:line="414" w:lineRule="auto"/>
              <w:rPr>
                <w:rFonts w:ascii="Arial"/>
                <w:color w:val="auto"/>
                <w:sz w:val="28"/>
                <w:szCs w:val="28"/>
                <w:highlight w:val="none"/>
              </w:rPr>
            </w:pPr>
          </w:p>
          <w:p w14:paraId="3145ED3F">
            <w:pPr>
              <w:pStyle w:val="9"/>
              <w:spacing w:before="59" w:line="183" w:lineRule="auto"/>
              <w:ind w:left="235"/>
              <w:rPr>
                <w:color w:val="auto"/>
                <w:sz w:val="22"/>
                <w:szCs w:val="22"/>
                <w:highlight w:val="none"/>
              </w:rPr>
            </w:pPr>
            <w:r>
              <w:rPr>
                <w:color w:val="auto"/>
                <w:sz w:val="22"/>
                <w:szCs w:val="22"/>
                <w:highlight w:val="none"/>
              </w:rPr>
              <w:t>6</w:t>
            </w:r>
          </w:p>
        </w:tc>
        <w:tc>
          <w:tcPr>
            <w:tcW w:w="2413" w:type="dxa"/>
            <w:noWrap w:val="0"/>
            <w:vAlign w:val="top"/>
          </w:tcPr>
          <w:p w14:paraId="19F5E919">
            <w:pPr>
              <w:pStyle w:val="9"/>
              <w:spacing w:before="49" w:line="220" w:lineRule="auto"/>
              <w:ind w:left="161"/>
              <w:rPr>
                <w:color w:val="auto"/>
                <w:sz w:val="22"/>
                <w:szCs w:val="22"/>
                <w:highlight w:val="none"/>
              </w:rPr>
            </w:pPr>
            <w:r>
              <w:rPr>
                <w:color w:val="auto"/>
                <w:spacing w:val="-1"/>
                <w:sz w:val="22"/>
                <w:szCs w:val="22"/>
                <w:highlight w:val="none"/>
              </w:rPr>
              <w:t>投标人</w:t>
            </w:r>
            <w:r>
              <w:rPr>
                <w:rFonts w:hint="eastAsia"/>
                <w:color w:val="auto"/>
                <w:spacing w:val="-1"/>
                <w:sz w:val="22"/>
                <w:szCs w:val="22"/>
                <w:highlight w:val="none"/>
                <w:lang w:eastAsia="zh-CN"/>
              </w:rPr>
              <w:t>（</w:t>
            </w:r>
            <w:r>
              <w:rPr>
                <w:color w:val="auto"/>
                <w:spacing w:val="-1"/>
                <w:sz w:val="22"/>
                <w:szCs w:val="22"/>
                <w:highlight w:val="none"/>
              </w:rPr>
              <w:t>包括联合体各</w:t>
            </w:r>
          </w:p>
          <w:p w14:paraId="7AF1AA25">
            <w:pPr>
              <w:pStyle w:val="9"/>
              <w:spacing w:before="53" w:line="219" w:lineRule="auto"/>
              <w:ind w:left="161"/>
              <w:rPr>
                <w:color w:val="auto"/>
                <w:sz w:val="22"/>
                <w:szCs w:val="22"/>
                <w:highlight w:val="none"/>
              </w:rPr>
            </w:pPr>
            <w:r>
              <w:rPr>
                <w:color w:val="auto"/>
                <w:spacing w:val="1"/>
                <w:sz w:val="22"/>
                <w:szCs w:val="22"/>
                <w:highlight w:val="none"/>
              </w:rPr>
              <w:t>成员</w:t>
            </w:r>
            <w:r>
              <w:rPr>
                <w:rFonts w:hint="eastAsia"/>
                <w:color w:val="auto"/>
                <w:spacing w:val="1"/>
                <w:sz w:val="22"/>
                <w:szCs w:val="22"/>
                <w:highlight w:val="none"/>
                <w:lang w:eastAsia="zh-CN"/>
              </w:rPr>
              <w:t>）</w:t>
            </w:r>
            <w:r>
              <w:rPr>
                <w:color w:val="auto"/>
                <w:spacing w:val="1"/>
                <w:sz w:val="22"/>
                <w:szCs w:val="22"/>
                <w:highlight w:val="none"/>
              </w:rPr>
              <w:t>不得与本标段相</w:t>
            </w:r>
          </w:p>
          <w:p w14:paraId="182ECD53">
            <w:pPr>
              <w:pStyle w:val="9"/>
              <w:spacing w:before="57" w:line="219" w:lineRule="auto"/>
              <w:ind w:left="121"/>
              <w:rPr>
                <w:color w:val="auto"/>
                <w:sz w:val="22"/>
                <w:szCs w:val="22"/>
                <w:highlight w:val="none"/>
              </w:rPr>
            </w:pPr>
            <w:r>
              <w:rPr>
                <w:color w:val="auto"/>
                <w:spacing w:val="-1"/>
                <w:sz w:val="22"/>
                <w:szCs w:val="22"/>
                <w:highlight w:val="none"/>
              </w:rPr>
              <w:t>关单位存在下列关联关</w:t>
            </w:r>
          </w:p>
          <w:p w14:paraId="7C282A69">
            <w:pPr>
              <w:pStyle w:val="9"/>
              <w:spacing w:before="38" w:line="193" w:lineRule="auto"/>
              <w:ind w:left="931"/>
              <w:rPr>
                <w:color w:val="auto"/>
                <w:sz w:val="22"/>
                <w:szCs w:val="22"/>
                <w:highlight w:val="none"/>
              </w:rPr>
            </w:pPr>
            <w:r>
              <w:rPr>
                <w:color w:val="auto"/>
                <w:sz w:val="22"/>
                <w:szCs w:val="22"/>
                <w:highlight w:val="none"/>
              </w:rPr>
              <w:t>系</w:t>
            </w:r>
          </w:p>
        </w:tc>
        <w:tc>
          <w:tcPr>
            <w:tcW w:w="5200" w:type="dxa"/>
            <w:noWrap w:val="0"/>
            <w:vAlign w:val="top"/>
          </w:tcPr>
          <w:p w14:paraId="0FB77539">
            <w:pPr>
              <w:pStyle w:val="9"/>
              <w:spacing w:before="199" w:line="244" w:lineRule="auto"/>
              <w:ind w:left="103" w:right="192"/>
              <w:rPr>
                <w:color w:val="auto"/>
                <w:sz w:val="22"/>
                <w:szCs w:val="22"/>
                <w:highlight w:val="none"/>
              </w:rPr>
            </w:pPr>
            <w:r>
              <w:rPr>
                <w:color w:val="auto"/>
                <w:sz w:val="22"/>
                <w:szCs w:val="22"/>
                <w:highlight w:val="none"/>
              </w:rPr>
              <w:t>详见投标人须知“1.4.3投标人</w:t>
            </w:r>
            <w:r>
              <w:rPr>
                <w:rFonts w:hint="eastAsia"/>
                <w:color w:val="auto"/>
                <w:sz w:val="22"/>
                <w:szCs w:val="22"/>
                <w:highlight w:val="none"/>
                <w:lang w:eastAsia="zh-CN"/>
              </w:rPr>
              <w:t>（</w:t>
            </w:r>
            <w:r>
              <w:rPr>
                <w:color w:val="auto"/>
                <w:sz w:val="22"/>
                <w:szCs w:val="22"/>
                <w:highlight w:val="none"/>
              </w:rPr>
              <w:t>包括</w:t>
            </w:r>
            <w:r>
              <w:rPr>
                <w:color w:val="auto"/>
                <w:spacing w:val="-1"/>
                <w:sz w:val="22"/>
                <w:szCs w:val="22"/>
                <w:highlight w:val="none"/>
              </w:rPr>
              <w:t>联合体各成员</w:t>
            </w:r>
            <w:r>
              <w:rPr>
                <w:rFonts w:hint="eastAsia"/>
                <w:color w:val="auto"/>
                <w:spacing w:val="-1"/>
                <w:sz w:val="22"/>
                <w:szCs w:val="22"/>
                <w:highlight w:val="none"/>
                <w:lang w:eastAsia="zh-CN"/>
              </w:rPr>
              <w:t>）</w:t>
            </w:r>
            <w:r>
              <w:rPr>
                <w:color w:val="auto"/>
                <w:spacing w:val="-1"/>
                <w:sz w:val="22"/>
                <w:szCs w:val="22"/>
                <w:highlight w:val="none"/>
              </w:rPr>
              <w:t>不得与本</w:t>
            </w:r>
            <w:r>
              <w:rPr>
                <w:color w:val="auto"/>
                <w:sz w:val="22"/>
                <w:szCs w:val="22"/>
                <w:highlight w:val="none"/>
              </w:rPr>
              <w:t>标段相关单位存在下列关联关系”</w:t>
            </w:r>
            <w:r>
              <w:rPr>
                <w:rFonts w:hint="eastAsia"/>
                <w:color w:val="auto"/>
                <w:sz w:val="22"/>
                <w:szCs w:val="22"/>
                <w:highlight w:val="none"/>
                <w:lang w:eastAsia="zh-CN"/>
              </w:rPr>
              <w:t>，</w:t>
            </w:r>
            <w:r>
              <w:rPr>
                <w:color w:val="auto"/>
                <w:sz w:val="22"/>
                <w:szCs w:val="22"/>
                <w:highlight w:val="none"/>
              </w:rPr>
              <w:t>投标人须知</w:t>
            </w:r>
            <w:r>
              <w:rPr>
                <w:color w:val="auto"/>
                <w:spacing w:val="-1"/>
                <w:sz w:val="22"/>
                <w:szCs w:val="22"/>
                <w:highlight w:val="none"/>
              </w:rPr>
              <w:t>前附表“1.4.3</w:t>
            </w:r>
            <w:r>
              <w:rPr>
                <w:color w:val="auto"/>
                <w:sz w:val="22"/>
                <w:szCs w:val="22"/>
                <w:highlight w:val="none"/>
              </w:rPr>
              <w:t xml:space="preserve"> </w:t>
            </w:r>
            <w:r>
              <w:rPr>
                <w:color w:val="auto"/>
                <w:spacing w:val="-1"/>
                <w:sz w:val="22"/>
                <w:szCs w:val="22"/>
                <w:highlight w:val="none"/>
              </w:rPr>
              <w:t>投标人不得存在的其他关联情形”相关内容</w:t>
            </w:r>
          </w:p>
        </w:tc>
      </w:tr>
      <w:tr w14:paraId="63A05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783" w:type="dxa"/>
            <w:noWrap w:val="0"/>
            <w:vAlign w:val="top"/>
          </w:tcPr>
          <w:p w14:paraId="1E559429">
            <w:pPr>
              <w:spacing w:line="307" w:lineRule="auto"/>
              <w:rPr>
                <w:rFonts w:ascii="Arial"/>
                <w:color w:val="auto"/>
                <w:sz w:val="28"/>
                <w:szCs w:val="28"/>
                <w:highlight w:val="none"/>
              </w:rPr>
            </w:pPr>
          </w:p>
          <w:p w14:paraId="1C60C5DE">
            <w:pPr>
              <w:pStyle w:val="9"/>
              <w:spacing w:before="58" w:line="182" w:lineRule="auto"/>
              <w:ind w:left="235"/>
              <w:rPr>
                <w:color w:val="auto"/>
                <w:sz w:val="22"/>
                <w:szCs w:val="22"/>
                <w:highlight w:val="none"/>
              </w:rPr>
            </w:pPr>
            <w:r>
              <w:rPr>
                <w:color w:val="auto"/>
                <w:sz w:val="22"/>
                <w:szCs w:val="22"/>
                <w:highlight w:val="none"/>
              </w:rPr>
              <w:t>7</w:t>
            </w:r>
          </w:p>
        </w:tc>
        <w:tc>
          <w:tcPr>
            <w:tcW w:w="2413" w:type="dxa"/>
            <w:noWrap w:val="0"/>
            <w:vAlign w:val="top"/>
          </w:tcPr>
          <w:p w14:paraId="13EB15F2">
            <w:pPr>
              <w:pStyle w:val="9"/>
              <w:spacing w:before="71" w:line="252" w:lineRule="auto"/>
              <w:ind w:left="121" w:right="118" w:firstLine="40"/>
              <w:jc w:val="both"/>
              <w:rPr>
                <w:color w:val="auto"/>
                <w:sz w:val="22"/>
                <w:szCs w:val="22"/>
                <w:highlight w:val="none"/>
              </w:rPr>
            </w:pPr>
            <w:r>
              <w:rPr>
                <w:color w:val="auto"/>
                <w:spacing w:val="-2"/>
                <w:sz w:val="22"/>
                <w:szCs w:val="22"/>
                <w:highlight w:val="none"/>
              </w:rPr>
              <w:t>投标人</w:t>
            </w:r>
            <w:r>
              <w:rPr>
                <w:rFonts w:hint="eastAsia"/>
                <w:color w:val="auto"/>
                <w:spacing w:val="-2"/>
                <w:sz w:val="22"/>
                <w:szCs w:val="22"/>
                <w:highlight w:val="none"/>
                <w:lang w:eastAsia="zh-CN"/>
              </w:rPr>
              <w:t>（</w:t>
            </w:r>
            <w:r>
              <w:rPr>
                <w:color w:val="auto"/>
                <w:spacing w:val="-2"/>
                <w:sz w:val="22"/>
                <w:szCs w:val="22"/>
                <w:highlight w:val="none"/>
              </w:rPr>
              <w:t xml:space="preserve">包括联合体各 </w:t>
            </w:r>
            <w:r>
              <w:rPr>
                <w:color w:val="auto"/>
                <w:spacing w:val="2"/>
                <w:sz w:val="22"/>
                <w:szCs w:val="22"/>
                <w:highlight w:val="none"/>
              </w:rPr>
              <w:t>成员</w:t>
            </w:r>
            <w:r>
              <w:rPr>
                <w:rFonts w:hint="eastAsia"/>
                <w:color w:val="auto"/>
                <w:spacing w:val="2"/>
                <w:sz w:val="22"/>
                <w:szCs w:val="22"/>
                <w:highlight w:val="none"/>
                <w:lang w:eastAsia="zh-CN"/>
              </w:rPr>
              <w:t>）</w:t>
            </w:r>
            <w:r>
              <w:rPr>
                <w:color w:val="auto"/>
                <w:spacing w:val="2"/>
                <w:sz w:val="22"/>
                <w:szCs w:val="22"/>
                <w:highlight w:val="none"/>
              </w:rPr>
              <w:t xml:space="preserve">不得存在下列不 </w:t>
            </w:r>
            <w:r>
              <w:rPr>
                <w:color w:val="auto"/>
                <w:sz w:val="22"/>
                <w:szCs w:val="22"/>
                <w:highlight w:val="none"/>
              </w:rPr>
              <w:t>良状况或不良信用记录</w:t>
            </w:r>
          </w:p>
        </w:tc>
        <w:tc>
          <w:tcPr>
            <w:tcW w:w="5200" w:type="dxa"/>
            <w:noWrap w:val="0"/>
            <w:vAlign w:val="top"/>
          </w:tcPr>
          <w:p w14:paraId="0876B354">
            <w:pPr>
              <w:pStyle w:val="9"/>
              <w:spacing w:before="59" w:line="251" w:lineRule="auto"/>
              <w:ind w:left="103" w:right="177"/>
              <w:rPr>
                <w:color w:val="auto"/>
                <w:sz w:val="22"/>
                <w:szCs w:val="22"/>
                <w:highlight w:val="none"/>
              </w:rPr>
            </w:pPr>
            <w:r>
              <w:rPr>
                <w:color w:val="auto"/>
                <w:sz w:val="22"/>
                <w:szCs w:val="22"/>
                <w:highlight w:val="none"/>
              </w:rPr>
              <w:t>详见投标人须知“1.4.4投标人</w:t>
            </w:r>
            <w:r>
              <w:rPr>
                <w:rFonts w:hint="eastAsia"/>
                <w:color w:val="auto"/>
                <w:sz w:val="22"/>
                <w:szCs w:val="22"/>
                <w:highlight w:val="none"/>
                <w:lang w:eastAsia="zh-CN"/>
              </w:rPr>
              <w:t>（</w:t>
            </w:r>
            <w:r>
              <w:rPr>
                <w:color w:val="auto"/>
                <w:sz w:val="22"/>
                <w:szCs w:val="22"/>
                <w:highlight w:val="none"/>
              </w:rPr>
              <w:t>包括</w:t>
            </w:r>
            <w:r>
              <w:rPr>
                <w:color w:val="auto"/>
                <w:spacing w:val="-1"/>
                <w:sz w:val="22"/>
                <w:szCs w:val="22"/>
                <w:highlight w:val="none"/>
              </w:rPr>
              <w:t>联合体各成员</w:t>
            </w:r>
            <w:r>
              <w:rPr>
                <w:rFonts w:hint="eastAsia"/>
                <w:color w:val="auto"/>
                <w:spacing w:val="-1"/>
                <w:sz w:val="22"/>
                <w:szCs w:val="22"/>
                <w:highlight w:val="none"/>
                <w:lang w:eastAsia="zh-CN"/>
              </w:rPr>
              <w:t>）</w:t>
            </w:r>
            <w:r>
              <w:rPr>
                <w:color w:val="auto"/>
                <w:spacing w:val="-1"/>
                <w:sz w:val="22"/>
                <w:szCs w:val="22"/>
                <w:highlight w:val="none"/>
              </w:rPr>
              <w:t>不得存在</w:t>
            </w:r>
            <w:r>
              <w:rPr>
                <w:color w:val="auto"/>
                <w:sz w:val="22"/>
                <w:szCs w:val="22"/>
                <w:highlight w:val="none"/>
              </w:rPr>
              <w:t>下列不良状况或不良信用记录”</w:t>
            </w:r>
            <w:r>
              <w:rPr>
                <w:rFonts w:hint="eastAsia"/>
                <w:color w:val="auto"/>
                <w:sz w:val="22"/>
                <w:szCs w:val="22"/>
                <w:highlight w:val="none"/>
                <w:lang w:eastAsia="zh-CN"/>
              </w:rPr>
              <w:t>，</w:t>
            </w:r>
            <w:r>
              <w:rPr>
                <w:color w:val="auto"/>
                <w:sz w:val="22"/>
                <w:szCs w:val="22"/>
                <w:highlight w:val="none"/>
              </w:rPr>
              <w:t>投标人须知前附表“1.4.4投</w:t>
            </w:r>
            <w:r>
              <w:rPr>
                <w:color w:val="auto"/>
                <w:spacing w:val="-1"/>
                <w:sz w:val="22"/>
                <w:szCs w:val="22"/>
                <w:highlight w:val="none"/>
              </w:rPr>
              <w:t>标人不得存在的其他不良状况或不良信用记录”相关内容</w:t>
            </w:r>
          </w:p>
        </w:tc>
      </w:tr>
      <w:tr w14:paraId="51FB5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783" w:type="dxa"/>
            <w:noWrap w:val="0"/>
            <w:vAlign w:val="top"/>
          </w:tcPr>
          <w:p w14:paraId="5356DAEA">
            <w:pPr>
              <w:pStyle w:val="9"/>
              <w:spacing w:before="207" w:line="183" w:lineRule="auto"/>
              <w:ind w:left="235"/>
              <w:rPr>
                <w:color w:val="auto"/>
                <w:sz w:val="22"/>
                <w:szCs w:val="22"/>
                <w:highlight w:val="none"/>
              </w:rPr>
            </w:pPr>
            <w:r>
              <w:rPr>
                <w:color w:val="auto"/>
                <w:sz w:val="22"/>
                <w:szCs w:val="22"/>
                <w:highlight w:val="none"/>
              </w:rPr>
              <w:t>8</w:t>
            </w:r>
          </w:p>
        </w:tc>
        <w:tc>
          <w:tcPr>
            <w:tcW w:w="2413" w:type="dxa"/>
            <w:noWrap w:val="0"/>
            <w:vAlign w:val="top"/>
          </w:tcPr>
          <w:p w14:paraId="2CE0FBA7">
            <w:pPr>
              <w:pStyle w:val="9"/>
              <w:spacing w:before="40" w:line="230" w:lineRule="auto"/>
              <w:ind w:left="840" w:right="139" w:hanging="719"/>
              <w:rPr>
                <w:color w:val="auto"/>
                <w:sz w:val="22"/>
                <w:szCs w:val="22"/>
                <w:highlight w:val="none"/>
              </w:rPr>
            </w:pPr>
            <w:r>
              <w:rPr>
                <w:color w:val="auto"/>
                <w:spacing w:val="-2"/>
                <w:sz w:val="22"/>
                <w:szCs w:val="22"/>
                <w:highlight w:val="none"/>
              </w:rPr>
              <w:t>公路工程施工资质企业</w:t>
            </w:r>
            <w:r>
              <w:rPr>
                <w:color w:val="auto"/>
                <w:spacing w:val="-3"/>
                <w:sz w:val="22"/>
                <w:szCs w:val="22"/>
                <w:highlight w:val="none"/>
              </w:rPr>
              <w:t>名录</w:t>
            </w:r>
          </w:p>
        </w:tc>
        <w:tc>
          <w:tcPr>
            <w:tcW w:w="5200" w:type="dxa"/>
            <w:noWrap w:val="0"/>
            <w:vAlign w:val="top"/>
          </w:tcPr>
          <w:p w14:paraId="2EC98242">
            <w:pPr>
              <w:pStyle w:val="9"/>
              <w:spacing w:before="161" w:line="219" w:lineRule="auto"/>
              <w:ind w:left="103"/>
              <w:rPr>
                <w:color w:val="auto"/>
                <w:sz w:val="22"/>
                <w:szCs w:val="22"/>
                <w:highlight w:val="none"/>
              </w:rPr>
            </w:pPr>
            <w:r>
              <w:rPr>
                <w:color w:val="auto"/>
                <w:spacing w:val="-1"/>
                <w:sz w:val="22"/>
                <w:szCs w:val="22"/>
                <w:highlight w:val="none"/>
              </w:rPr>
              <w:t>详见投标人须知前“1.4.5”相关内容</w:t>
            </w:r>
          </w:p>
        </w:tc>
      </w:tr>
      <w:tr w14:paraId="372DC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83" w:type="dxa"/>
            <w:noWrap w:val="0"/>
            <w:vAlign w:val="top"/>
          </w:tcPr>
          <w:p w14:paraId="2EF5CA52">
            <w:pPr>
              <w:pStyle w:val="9"/>
              <w:spacing w:before="228" w:line="183" w:lineRule="auto"/>
              <w:ind w:left="235"/>
              <w:rPr>
                <w:color w:val="auto"/>
                <w:sz w:val="22"/>
                <w:szCs w:val="22"/>
                <w:highlight w:val="none"/>
              </w:rPr>
            </w:pPr>
            <w:r>
              <w:rPr>
                <w:color w:val="auto"/>
                <w:sz w:val="22"/>
                <w:szCs w:val="22"/>
                <w:highlight w:val="none"/>
              </w:rPr>
              <w:t>9</w:t>
            </w:r>
          </w:p>
        </w:tc>
        <w:tc>
          <w:tcPr>
            <w:tcW w:w="2413" w:type="dxa"/>
            <w:noWrap w:val="0"/>
            <w:vAlign w:val="top"/>
          </w:tcPr>
          <w:p w14:paraId="1E65AC7C">
            <w:pPr>
              <w:pStyle w:val="9"/>
              <w:spacing w:before="182" w:line="220" w:lineRule="auto"/>
              <w:ind w:left="841"/>
              <w:rPr>
                <w:color w:val="auto"/>
                <w:sz w:val="22"/>
                <w:szCs w:val="22"/>
                <w:highlight w:val="none"/>
              </w:rPr>
            </w:pPr>
            <w:r>
              <w:rPr>
                <w:color w:val="auto"/>
                <w:spacing w:val="-3"/>
                <w:sz w:val="22"/>
                <w:szCs w:val="22"/>
                <w:highlight w:val="none"/>
              </w:rPr>
              <w:t>分包</w:t>
            </w:r>
          </w:p>
        </w:tc>
        <w:tc>
          <w:tcPr>
            <w:tcW w:w="5200" w:type="dxa"/>
            <w:noWrap w:val="0"/>
            <w:vAlign w:val="top"/>
          </w:tcPr>
          <w:p w14:paraId="0681B34C">
            <w:pPr>
              <w:pStyle w:val="9"/>
              <w:spacing w:before="68" w:line="236" w:lineRule="auto"/>
              <w:ind w:left="103" w:right="100" w:hanging="20"/>
              <w:rPr>
                <w:color w:val="auto"/>
                <w:sz w:val="22"/>
                <w:szCs w:val="22"/>
                <w:highlight w:val="none"/>
              </w:rPr>
            </w:pPr>
            <w:r>
              <w:rPr>
                <w:color w:val="auto"/>
                <w:sz w:val="22"/>
                <w:szCs w:val="22"/>
                <w:highlight w:val="none"/>
              </w:rPr>
              <w:t>详见投标人须知“1.11.1”</w:t>
            </w:r>
            <w:r>
              <w:rPr>
                <w:rFonts w:hint="eastAsia"/>
                <w:color w:val="auto"/>
                <w:sz w:val="22"/>
                <w:szCs w:val="22"/>
                <w:highlight w:val="none"/>
                <w:lang w:eastAsia="zh-CN"/>
              </w:rPr>
              <w:t>，</w:t>
            </w:r>
            <w:r>
              <w:rPr>
                <w:color w:val="auto"/>
                <w:sz w:val="22"/>
                <w:szCs w:val="22"/>
                <w:highlight w:val="none"/>
              </w:rPr>
              <w:t>及投标人须知前附表“1.11.1”相</w:t>
            </w:r>
            <w:r>
              <w:rPr>
                <w:color w:val="auto"/>
                <w:spacing w:val="-3"/>
                <w:sz w:val="22"/>
                <w:szCs w:val="22"/>
                <w:highlight w:val="none"/>
              </w:rPr>
              <w:t>关内容</w:t>
            </w:r>
          </w:p>
        </w:tc>
      </w:tr>
      <w:tr w14:paraId="2C80F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83" w:type="dxa"/>
            <w:noWrap w:val="0"/>
            <w:vAlign w:val="top"/>
          </w:tcPr>
          <w:p w14:paraId="4A7EBC1A">
            <w:pPr>
              <w:pStyle w:val="9"/>
              <w:spacing w:before="138" w:line="184" w:lineRule="auto"/>
              <w:ind w:left="195"/>
              <w:rPr>
                <w:color w:val="auto"/>
                <w:sz w:val="22"/>
                <w:szCs w:val="22"/>
                <w:highlight w:val="none"/>
              </w:rPr>
            </w:pPr>
            <w:r>
              <w:rPr>
                <w:color w:val="auto"/>
                <w:spacing w:val="-6"/>
                <w:sz w:val="22"/>
                <w:szCs w:val="22"/>
                <w:highlight w:val="none"/>
              </w:rPr>
              <w:t>10</w:t>
            </w:r>
          </w:p>
        </w:tc>
        <w:tc>
          <w:tcPr>
            <w:tcW w:w="2413" w:type="dxa"/>
            <w:noWrap w:val="0"/>
            <w:vAlign w:val="top"/>
          </w:tcPr>
          <w:p w14:paraId="58504D55">
            <w:pPr>
              <w:pStyle w:val="9"/>
              <w:spacing w:before="93" w:line="219" w:lineRule="auto"/>
              <w:ind w:left="571"/>
              <w:rPr>
                <w:color w:val="auto"/>
                <w:sz w:val="22"/>
                <w:szCs w:val="22"/>
                <w:highlight w:val="none"/>
              </w:rPr>
            </w:pPr>
            <w:r>
              <w:rPr>
                <w:color w:val="auto"/>
                <w:spacing w:val="2"/>
                <w:sz w:val="22"/>
                <w:szCs w:val="22"/>
                <w:highlight w:val="none"/>
              </w:rPr>
              <w:t>响应和偏离</w:t>
            </w:r>
          </w:p>
        </w:tc>
        <w:tc>
          <w:tcPr>
            <w:tcW w:w="5200" w:type="dxa"/>
            <w:noWrap w:val="0"/>
            <w:vAlign w:val="top"/>
          </w:tcPr>
          <w:p w14:paraId="3298F458">
            <w:pPr>
              <w:pStyle w:val="9"/>
              <w:spacing w:before="93" w:line="219" w:lineRule="auto"/>
              <w:ind w:left="103"/>
              <w:rPr>
                <w:color w:val="auto"/>
                <w:sz w:val="22"/>
                <w:szCs w:val="22"/>
                <w:highlight w:val="none"/>
              </w:rPr>
            </w:pPr>
            <w:r>
              <w:rPr>
                <w:color w:val="auto"/>
                <w:spacing w:val="-1"/>
                <w:sz w:val="22"/>
                <w:szCs w:val="22"/>
                <w:highlight w:val="none"/>
              </w:rPr>
              <w:t>详见投标人须知“1.12.2”相关内容</w:t>
            </w:r>
          </w:p>
        </w:tc>
      </w:tr>
      <w:tr w14:paraId="523BB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83" w:type="dxa"/>
            <w:noWrap w:val="0"/>
            <w:vAlign w:val="top"/>
          </w:tcPr>
          <w:p w14:paraId="6853E3E9">
            <w:pPr>
              <w:pStyle w:val="9"/>
              <w:spacing w:before="138" w:line="184" w:lineRule="auto"/>
              <w:ind w:left="195"/>
              <w:rPr>
                <w:color w:val="auto"/>
                <w:sz w:val="22"/>
                <w:szCs w:val="22"/>
                <w:highlight w:val="none"/>
              </w:rPr>
            </w:pPr>
            <w:r>
              <w:rPr>
                <w:color w:val="auto"/>
                <w:spacing w:val="-6"/>
                <w:sz w:val="22"/>
                <w:szCs w:val="22"/>
                <w:highlight w:val="none"/>
              </w:rPr>
              <w:t>11</w:t>
            </w:r>
          </w:p>
        </w:tc>
        <w:tc>
          <w:tcPr>
            <w:tcW w:w="2413" w:type="dxa"/>
            <w:noWrap w:val="0"/>
            <w:vAlign w:val="top"/>
          </w:tcPr>
          <w:p w14:paraId="3F4866D5">
            <w:pPr>
              <w:pStyle w:val="9"/>
              <w:spacing w:before="93" w:line="219" w:lineRule="auto"/>
              <w:ind w:left="391"/>
              <w:rPr>
                <w:color w:val="auto"/>
                <w:sz w:val="22"/>
                <w:szCs w:val="22"/>
                <w:highlight w:val="none"/>
              </w:rPr>
            </w:pPr>
            <w:r>
              <w:rPr>
                <w:color w:val="auto"/>
                <w:spacing w:val="-2"/>
                <w:sz w:val="22"/>
                <w:szCs w:val="22"/>
                <w:highlight w:val="none"/>
              </w:rPr>
              <w:t>投标文件的组成</w:t>
            </w:r>
          </w:p>
        </w:tc>
        <w:tc>
          <w:tcPr>
            <w:tcW w:w="5200" w:type="dxa"/>
            <w:noWrap w:val="0"/>
            <w:vAlign w:val="top"/>
          </w:tcPr>
          <w:p w14:paraId="45188BBB">
            <w:pPr>
              <w:pStyle w:val="9"/>
              <w:spacing w:before="93" w:line="219" w:lineRule="auto"/>
              <w:ind w:left="103"/>
              <w:rPr>
                <w:color w:val="auto"/>
                <w:sz w:val="22"/>
                <w:szCs w:val="22"/>
                <w:highlight w:val="none"/>
              </w:rPr>
            </w:pPr>
            <w:r>
              <w:rPr>
                <w:color w:val="auto"/>
                <w:spacing w:val="-1"/>
                <w:sz w:val="22"/>
                <w:szCs w:val="22"/>
                <w:highlight w:val="none"/>
              </w:rPr>
              <w:t>详见投标人须知“3.1投标文件的组成”相关内容</w:t>
            </w:r>
          </w:p>
        </w:tc>
      </w:tr>
      <w:tr w14:paraId="7C236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783" w:type="dxa"/>
            <w:noWrap w:val="0"/>
            <w:vAlign w:val="top"/>
          </w:tcPr>
          <w:p w14:paraId="1D0EA8D6">
            <w:pPr>
              <w:pStyle w:val="9"/>
              <w:spacing w:before="218" w:line="184" w:lineRule="auto"/>
              <w:ind w:left="195"/>
              <w:rPr>
                <w:color w:val="auto"/>
                <w:sz w:val="22"/>
                <w:szCs w:val="22"/>
                <w:highlight w:val="none"/>
              </w:rPr>
            </w:pPr>
            <w:r>
              <w:rPr>
                <w:color w:val="auto"/>
                <w:spacing w:val="-6"/>
                <w:sz w:val="22"/>
                <w:szCs w:val="22"/>
                <w:highlight w:val="none"/>
              </w:rPr>
              <w:t>12</w:t>
            </w:r>
          </w:p>
        </w:tc>
        <w:tc>
          <w:tcPr>
            <w:tcW w:w="2413" w:type="dxa"/>
            <w:noWrap w:val="0"/>
            <w:vAlign w:val="top"/>
          </w:tcPr>
          <w:p w14:paraId="10E1A28B">
            <w:pPr>
              <w:pStyle w:val="9"/>
              <w:spacing w:before="171" w:line="218" w:lineRule="auto"/>
              <w:ind w:left="661"/>
              <w:rPr>
                <w:color w:val="auto"/>
                <w:sz w:val="22"/>
                <w:szCs w:val="22"/>
                <w:highlight w:val="none"/>
              </w:rPr>
            </w:pPr>
            <w:r>
              <w:rPr>
                <w:color w:val="auto"/>
                <w:spacing w:val="-2"/>
                <w:sz w:val="22"/>
                <w:szCs w:val="22"/>
                <w:highlight w:val="none"/>
              </w:rPr>
              <w:t>投标报价</w:t>
            </w:r>
          </w:p>
        </w:tc>
        <w:tc>
          <w:tcPr>
            <w:tcW w:w="5200" w:type="dxa"/>
            <w:noWrap w:val="0"/>
            <w:vAlign w:val="top"/>
          </w:tcPr>
          <w:p w14:paraId="4A24C91C">
            <w:pPr>
              <w:pStyle w:val="9"/>
              <w:spacing w:before="50" w:line="235" w:lineRule="auto"/>
              <w:ind w:left="103" w:right="194"/>
              <w:rPr>
                <w:color w:val="auto"/>
                <w:sz w:val="22"/>
                <w:szCs w:val="22"/>
                <w:highlight w:val="none"/>
              </w:rPr>
            </w:pPr>
            <w:r>
              <w:rPr>
                <w:color w:val="auto"/>
                <w:spacing w:val="-1"/>
                <w:sz w:val="22"/>
                <w:szCs w:val="22"/>
                <w:highlight w:val="none"/>
              </w:rPr>
              <w:t>详见投标人须知“3.2投标报价”,及投标人须知前附表“需要补充的其他内容3.2.1”的相关内容</w:t>
            </w:r>
          </w:p>
        </w:tc>
      </w:tr>
      <w:tr w14:paraId="79E34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83" w:type="dxa"/>
            <w:noWrap w:val="0"/>
            <w:vAlign w:val="top"/>
          </w:tcPr>
          <w:p w14:paraId="4DB042AE">
            <w:pPr>
              <w:pStyle w:val="9"/>
              <w:spacing w:before="149" w:line="184" w:lineRule="auto"/>
              <w:ind w:left="195"/>
              <w:rPr>
                <w:color w:val="auto"/>
                <w:sz w:val="22"/>
                <w:szCs w:val="22"/>
                <w:highlight w:val="none"/>
              </w:rPr>
            </w:pPr>
            <w:r>
              <w:rPr>
                <w:color w:val="auto"/>
                <w:spacing w:val="-6"/>
                <w:sz w:val="22"/>
                <w:szCs w:val="22"/>
                <w:highlight w:val="none"/>
              </w:rPr>
              <w:t>13</w:t>
            </w:r>
          </w:p>
        </w:tc>
        <w:tc>
          <w:tcPr>
            <w:tcW w:w="2413" w:type="dxa"/>
            <w:noWrap w:val="0"/>
            <w:vAlign w:val="top"/>
          </w:tcPr>
          <w:p w14:paraId="7676DC72">
            <w:pPr>
              <w:pStyle w:val="9"/>
              <w:spacing w:before="104" w:line="220" w:lineRule="auto"/>
              <w:ind w:left="571"/>
              <w:rPr>
                <w:color w:val="auto"/>
                <w:sz w:val="22"/>
                <w:szCs w:val="22"/>
                <w:highlight w:val="none"/>
              </w:rPr>
            </w:pPr>
            <w:r>
              <w:rPr>
                <w:color w:val="auto"/>
                <w:spacing w:val="-2"/>
                <w:sz w:val="22"/>
                <w:szCs w:val="22"/>
                <w:highlight w:val="none"/>
              </w:rPr>
              <w:t>投标保证金</w:t>
            </w:r>
          </w:p>
        </w:tc>
        <w:tc>
          <w:tcPr>
            <w:tcW w:w="5200" w:type="dxa"/>
            <w:noWrap w:val="0"/>
            <w:vAlign w:val="top"/>
          </w:tcPr>
          <w:p w14:paraId="36995264">
            <w:pPr>
              <w:pStyle w:val="9"/>
              <w:spacing w:before="104" w:line="219" w:lineRule="auto"/>
              <w:ind w:left="103"/>
              <w:rPr>
                <w:color w:val="auto"/>
                <w:sz w:val="22"/>
                <w:szCs w:val="22"/>
                <w:highlight w:val="none"/>
              </w:rPr>
            </w:pPr>
            <w:r>
              <w:rPr>
                <w:color w:val="auto"/>
                <w:spacing w:val="-1"/>
                <w:sz w:val="22"/>
                <w:szCs w:val="22"/>
                <w:highlight w:val="none"/>
              </w:rPr>
              <w:t>详见投标人须知“3.4投标保证金”相关内容</w:t>
            </w:r>
          </w:p>
        </w:tc>
      </w:tr>
      <w:tr w14:paraId="1A974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83" w:type="dxa"/>
            <w:noWrap w:val="0"/>
            <w:vAlign w:val="top"/>
          </w:tcPr>
          <w:p w14:paraId="042B670D">
            <w:pPr>
              <w:pStyle w:val="9"/>
              <w:spacing w:before="229" w:line="184" w:lineRule="auto"/>
              <w:ind w:left="195"/>
              <w:rPr>
                <w:color w:val="auto"/>
                <w:sz w:val="22"/>
                <w:szCs w:val="22"/>
                <w:highlight w:val="none"/>
              </w:rPr>
            </w:pPr>
            <w:r>
              <w:rPr>
                <w:color w:val="auto"/>
                <w:spacing w:val="-6"/>
                <w:sz w:val="22"/>
                <w:szCs w:val="22"/>
                <w:highlight w:val="none"/>
              </w:rPr>
              <w:t>14</w:t>
            </w:r>
          </w:p>
        </w:tc>
        <w:tc>
          <w:tcPr>
            <w:tcW w:w="2413" w:type="dxa"/>
            <w:noWrap w:val="0"/>
            <w:vAlign w:val="top"/>
          </w:tcPr>
          <w:p w14:paraId="42F9E757">
            <w:pPr>
              <w:pStyle w:val="9"/>
              <w:spacing w:before="74" w:line="233" w:lineRule="auto"/>
              <w:ind w:left="930" w:right="133" w:hanging="809"/>
              <w:rPr>
                <w:color w:val="auto"/>
                <w:sz w:val="22"/>
                <w:szCs w:val="22"/>
                <w:highlight w:val="none"/>
              </w:rPr>
            </w:pPr>
            <w:r>
              <w:rPr>
                <w:color w:val="auto"/>
                <w:spacing w:val="-1"/>
                <w:sz w:val="22"/>
                <w:szCs w:val="22"/>
                <w:highlight w:val="none"/>
              </w:rPr>
              <w:t>近年财务状况的年份要</w:t>
            </w:r>
            <w:r>
              <w:rPr>
                <w:color w:val="auto"/>
                <w:sz w:val="22"/>
                <w:szCs w:val="22"/>
                <w:highlight w:val="none"/>
              </w:rPr>
              <w:t>求</w:t>
            </w:r>
          </w:p>
        </w:tc>
        <w:tc>
          <w:tcPr>
            <w:tcW w:w="5200" w:type="dxa"/>
            <w:noWrap w:val="0"/>
            <w:vAlign w:val="top"/>
          </w:tcPr>
          <w:p w14:paraId="26138E17">
            <w:pPr>
              <w:pStyle w:val="9"/>
              <w:spacing w:before="63" w:line="228" w:lineRule="auto"/>
              <w:ind w:left="103" w:right="104"/>
              <w:rPr>
                <w:color w:val="auto"/>
                <w:sz w:val="22"/>
                <w:szCs w:val="22"/>
                <w:highlight w:val="none"/>
              </w:rPr>
            </w:pPr>
            <w:r>
              <w:rPr>
                <w:color w:val="auto"/>
                <w:sz w:val="22"/>
                <w:szCs w:val="22"/>
                <w:highlight w:val="none"/>
              </w:rPr>
              <w:t>详见投标人须知前附表“3.5.2近年财</w:t>
            </w:r>
            <w:r>
              <w:rPr>
                <w:color w:val="auto"/>
                <w:spacing w:val="-1"/>
                <w:sz w:val="22"/>
                <w:szCs w:val="22"/>
                <w:highlight w:val="none"/>
              </w:rPr>
              <w:t>务状况的年份要求”相关</w:t>
            </w:r>
            <w:r>
              <w:rPr>
                <w:color w:val="auto"/>
                <w:spacing w:val="4"/>
                <w:sz w:val="22"/>
                <w:szCs w:val="22"/>
                <w:highlight w:val="none"/>
              </w:rPr>
              <w:t>内容</w:t>
            </w:r>
          </w:p>
        </w:tc>
      </w:tr>
      <w:tr w14:paraId="73ABC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783" w:type="dxa"/>
            <w:noWrap w:val="0"/>
            <w:vAlign w:val="top"/>
          </w:tcPr>
          <w:p w14:paraId="49F5EA31">
            <w:pPr>
              <w:pStyle w:val="9"/>
              <w:spacing w:before="220" w:line="184" w:lineRule="auto"/>
              <w:ind w:left="195"/>
              <w:rPr>
                <w:color w:val="auto"/>
                <w:sz w:val="22"/>
                <w:szCs w:val="22"/>
                <w:highlight w:val="none"/>
              </w:rPr>
            </w:pPr>
            <w:r>
              <w:rPr>
                <w:color w:val="auto"/>
                <w:spacing w:val="-6"/>
                <w:sz w:val="22"/>
                <w:szCs w:val="22"/>
                <w:highlight w:val="none"/>
              </w:rPr>
              <w:t>15</w:t>
            </w:r>
          </w:p>
        </w:tc>
        <w:tc>
          <w:tcPr>
            <w:tcW w:w="2413" w:type="dxa"/>
            <w:noWrap w:val="0"/>
            <w:vAlign w:val="top"/>
          </w:tcPr>
          <w:p w14:paraId="50243E3C">
            <w:pPr>
              <w:pStyle w:val="9"/>
              <w:spacing w:before="55" w:line="228" w:lineRule="auto"/>
              <w:ind w:left="480" w:right="133" w:hanging="359"/>
              <w:rPr>
                <w:color w:val="auto"/>
                <w:sz w:val="22"/>
                <w:szCs w:val="22"/>
                <w:highlight w:val="none"/>
              </w:rPr>
            </w:pPr>
            <w:r>
              <w:rPr>
                <w:color w:val="auto"/>
                <w:spacing w:val="-1"/>
                <w:sz w:val="22"/>
                <w:szCs w:val="22"/>
                <w:highlight w:val="none"/>
              </w:rPr>
              <w:t>近年完成的类似项目情</w:t>
            </w:r>
            <w:r>
              <w:rPr>
                <w:color w:val="auto"/>
                <w:spacing w:val="-2"/>
                <w:sz w:val="22"/>
                <w:szCs w:val="22"/>
                <w:highlight w:val="none"/>
              </w:rPr>
              <w:t>况的时间要求</w:t>
            </w:r>
          </w:p>
        </w:tc>
        <w:tc>
          <w:tcPr>
            <w:tcW w:w="5200" w:type="dxa"/>
            <w:noWrap w:val="0"/>
            <w:vAlign w:val="top"/>
          </w:tcPr>
          <w:p w14:paraId="1DDD1F71">
            <w:pPr>
              <w:pStyle w:val="9"/>
              <w:spacing w:before="33" w:line="239" w:lineRule="auto"/>
              <w:ind w:left="103" w:right="77"/>
              <w:rPr>
                <w:color w:val="auto"/>
                <w:sz w:val="22"/>
                <w:szCs w:val="22"/>
                <w:highlight w:val="none"/>
              </w:rPr>
            </w:pPr>
            <w:r>
              <w:rPr>
                <w:color w:val="auto"/>
                <w:sz w:val="22"/>
                <w:szCs w:val="22"/>
                <w:highlight w:val="none"/>
              </w:rPr>
              <w:t>详见投标人须知前附表“3.5.3近年完成的类似项目情况的时间</w:t>
            </w:r>
            <w:r>
              <w:rPr>
                <w:color w:val="auto"/>
                <w:spacing w:val="-1"/>
                <w:sz w:val="22"/>
                <w:szCs w:val="22"/>
                <w:highlight w:val="none"/>
              </w:rPr>
              <w:t>要求”相关内容</w:t>
            </w:r>
          </w:p>
        </w:tc>
      </w:tr>
      <w:tr w14:paraId="2BE7F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83" w:type="dxa"/>
            <w:noWrap w:val="0"/>
            <w:vAlign w:val="top"/>
          </w:tcPr>
          <w:p w14:paraId="17BA623D">
            <w:pPr>
              <w:pStyle w:val="9"/>
              <w:spacing w:before="230" w:line="184" w:lineRule="auto"/>
              <w:ind w:left="195"/>
              <w:rPr>
                <w:color w:val="auto"/>
                <w:sz w:val="22"/>
                <w:szCs w:val="22"/>
                <w:highlight w:val="none"/>
              </w:rPr>
            </w:pPr>
            <w:r>
              <w:rPr>
                <w:color w:val="auto"/>
                <w:spacing w:val="-6"/>
                <w:sz w:val="22"/>
                <w:szCs w:val="22"/>
                <w:highlight w:val="none"/>
              </w:rPr>
              <w:t>16</w:t>
            </w:r>
          </w:p>
        </w:tc>
        <w:tc>
          <w:tcPr>
            <w:tcW w:w="2413" w:type="dxa"/>
            <w:noWrap w:val="0"/>
            <w:vAlign w:val="top"/>
          </w:tcPr>
          <w:p w14:paraId="3DF6AAF2">
            <w:pPr>
              <w:pStyle w:val="9"/>
              <w:spacing w:before="185" w:line="219" w:lineRule="auto"/>
              <w:ind w:left="480"/>
              <w:rPr>
                <w:color w:val="auto"/>
                <w:sz w:val="22"/>
                <w:szCs w:val="22"/>
                <w:highlight w:val="none"/>
              </w:rPr>
            </w:pPr>
            <w:r>
              <w:rPr>
                <w:color w:val="auto"/>
                <w:spacing w:val="1"/>
                <w:sz w:val="22"/>
                <w:szCs w:val="22"/>
                <w:highlight w:val="none"/>
              </w:rPr>
              <w:t>资格审查资料</w:t>
            </w:r>
          </w:p>
        </w:tc>
        <w:tc>
          <w:tcPr>
            <w:tcW w:w="5200" w:type="dxa"/>
            <w:noWrap w:val="0"/>
            <w:vAlign w:val="top"/>
          </w:tcPr>
          <w:p w14:paraId="1478CD76">
            <w:pPr>
              <w:pStyle w:val="9"/>
              <w:spacing w:before="64" w:line="238" w:lineRule="auto"/>
              <w:ind w:left="103" w:right="95"/>
              <w:rPr>
                <w:color w:val="auto"/>
                <w:sz w:val="22"/>
                <w:szCs w:val="22"/>
                <w:highlight w:val="none"/>
              </w:rPr>
            </w:pPr>
            <w:r>
              <w:rPr>
                <w:color w:val="auto"/>
                <w:spacing w:val="3"/>
                <w:sz w:val="22"/>
                <w:szCs w:val="22"/>
                <w:highlight w:val="none"/>
              </w:rPr>
              <w:t>详见投标人须知前附表“需要补充的其他内容3.5.</w:t>
            </w:r>
            <w:r>
              <w:rPr>
                <w:color w:val="auto"/>
                <w:spacing w:val="2"/>
                <w:sz w:val="22"/>
                <w:szCs w:val="22"/>
                <w:highlight w:val="none"/>
              </w:rPr>
              <w:t>2、3.5.3、</w:t>
            </w:r>
            <w:r>
              <w:rPr>
                <w:color w:val="auto"/>
                <w:sz w:val="22"/>
                <w:szCs w:val="22"/>
                <w:highlight w:val="none"/>
              </w:rPr>
              <w:t xml:space="preserve"> 3.5.4、3.5.5”相关内容，及投标人须</w:t>
            </w:r>
            <w:r>
              <w:rPr>
                <w:color w:val="auto"/>
                <w:spacing w:val="-1"/>
                <w:sz w:val="22"/>
                <w:szCs w:val="22"/>
                <w:highlight w:val="none"/>
              </w:rPr>
              <w:t>知“3.5.6”相关内容</w:t>
            </w:r>
          </w:p>
        </w:tc>
      </w:tr>
      <w:tr w14:paraId="6FF6F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783" w:type="dxa"/>
            <w:noWrap w:val="0"/>
            <w:vAlign w:val="top"/>
          </w:tcPr>
          <w:p w14:paraId="2DA86D32">
            <w:pPr>
              <w:pStyle w:val="9"/>
              <w:spacing w:before="221" w:line="184" w:lineRule="auto"/>
              <w:ind w:left="195"/>
              <w:rPr>
                <w:color w:val="auto"/>
                <w:sz w:val="22"/>
                <w:szCs w:val="22"/>
                <w:highlight w:val="none"/>
              </w:rPr>
            </w:pPr>
            <w:r>
              <w:rPr>
                <w:color w:val="auto"/>
                <w:spacing w:val="-6"/>
                <w:sz w:val="22"/>
                <w:szCs w:val="22"/>
                <w:highlight w:val="none"/>
              </w:rPr>
              <w:t>17</w:t>
            </w:r>
          </w:p>
        </w:tc>
        <w:tc>
          <w:tcPr>
            <w:tcW w:w="2413" w:type="dxa"/>
            <w:noWrap w:val="0"/>
            <w:vAlign w:val="top"/>
          </w:tcPr>
          <w:p w14:paraId="095D242E">
            <w:pPr>
              <w:pStyle w:val="9"/>
              <w:spacing w:before="56" w:line="232" w:lineRule="auto"/>
              <w:ind w:left="480" w:right="117" w:hanging="359"/>
              <w:rPr>
                <w:color w:val="auto"/>
                <w:sz w:val="22"/>
                <w:szCs w:val="22"/>
                <w:highlight w:val="none"/>
              </w:rPr>
            </w:pPr>
            <w:r>
              <w:rPr>
                <w:color w:val="auto"/>
                <w:sz w:val="22"/>
                <w:szCs w:val="22"/>
                <w:highlight w:val="none"/>
              </w:rPr>
              <w:t>资格预审文件或投标文</w:t>
            </w:r>
            <w:r>
              <w:rPr>
                <w:color w:val="auto"/>
                <w:spacing w:val="-1"/>
                <w:sz w:val="22"/>
                <w:szCs w:val="22"/>
                <w:highlight w:val="none"/>
              </w:rPr>
              <w:t>件提供的资料</w:t>
            </w:r>
          </w:p>
        </w:tc>
        <w:tc>
          <w:tcPr>
            <w:tcW w:w="5200" w:type="dxa"/>
            <w:noWrap w:val="0"/>
            <w:vAlign w:val="top"/>
          </w:tcPr>
          <w:p w14:paraId="150689EE">
            <w:pPr>
              <w:pStyle w:val="9"/>
              <w:spacing w:before="176" w:line="219" w:lineRule="auto"/>
              <w:ind w:left="103"/>
              <w:rPr>
                <w:color w:val="auto"/>
                <w:sz w:val="22"/>
                <w:szCs w:val="22"/>
                <w:highlight w:val="none"/>
              </w:rPr>
            </w:pPr>
            <w:r>
              <w:rPr>
                <w:color w:val="auto"/>
                <w:spacing w:val="-1"/>
                <w:sz w:val="22"/>
                <w:szCs w:val="22"/>
                <w:highlight w:val="none"/>
              </w:rPr>
              <w:t>详见投标人须知“3.5.</w:t>
            </w:r>
            <w:r>
              <w:rPr>
                <w:rFonts w:hint="eastAsia"/>
                <w:color w:val="auto"/>
                <w:spacing w:val="-1"/>
                <w:sz w:val="22"/>
                <w:szCs w:val="22"/>
                <w:highlight w:val="none"/>
                <w:lang w:val="en-US" w:eastAsia="zh-CN"/>
              </w:rPr>
              <w:t>9</w:t>
            </w:r>
            <w:r>
              <w:rPr>
                <w:color w:val="auto"/>
                <w:spacing w:val="-1"/>
                <w:sz w:val="22"/>
                <w:szCs w:val="22"/>
                <w:highlight w:val="none"/>
              </w:rPr>
              <w:t>”相关内容</w:t>
            </w:r>
          </w:p>
        </w:tc>
      </w:tr>
      <w:tr w14:paraId="63FB9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783" w:type="dxa"/>
            <w:noWrap w:val="0"/>
            <w:vAlign w:val="top"/>
          </w:tcPr>
          <w:p w14:paraId="651AE735">
            <w:pPr>
              <w:pStyle w:val="9"/>
              <w:spacing w:before="222" w:line="184" w:lineRule="auto"/>
              <w:ind w:left="195"/>
              <w:rPr>
                <w:color w:val="auto"/>
                <w:sz w:val="22"/>
                <w:szCs w:val="22"/>
                <w:highlight w:val="none"/>
              </w:rPr>
            </w:pPr>
            <w:r>
              <w:rPr>
                <w:color w:val="auto"/>
                <w:spacing w:val="-6"/>
                <w:sz w:val="22"/>
                <w:szCs w:val="22"/>
                <w:highlight w:val="none"/>
              </w:rPr>
              <w:t>18</w:t>
            </w:r>
          </w:p>
        </w:tc>
        <w:tc>
          <w:tcPr>
            <w:tcW w:w="2413" w:type="dxa"/>
            <w:noWrap w:val="0"/>
            <w:vAlign w:val="top"/>
          </w:tcPr>
          <w:p w14:paraId="30C5B612">
            <w:pPr>
              <w:pStyle w:val="9"/>
              <w:spacing w:before="177" w:line="220" w:lineRule="auto"/>
              <w:ind w:left="480"/>
              <w:rPr>
                <w:color w:val="auto"/>
                <w:sz w:val="22"/>
                <w:szCs w:val="22"/>
                <w:highlight w:val="none"/>
              </w:rPr>
            </w:pPr>
            <w:r>
              <w:rPr>
                <w:color w:val="auto"/>
                <w:spacing w:val="-2"/>
                <w:sz w:val="22"/>
                <w:szCs w:val="22"/>
                <w:highlight w:val="none"/>
              </w:rPr>
              <w:t>备选投标方案</w:t>
            </w:r>
          </w:p>
        </w:tc>
        <w:tc>
          <w:tcPr>
            <w:tcW w:w="5200" w:type="dxa"/>
            <w:noWrap w:val="0"/>
            <w:vAlign w:val="top"/>
          </w:tcPr>
          <w:p w14:paraId="5AD6A6DE">
            <w:pPr>
              <w:pStyle w:val="9"/>
              <w:spacing w:before="44" w:line="238" w:lineRule="auto"/>
              <w:ind w:left="103" w:right="124" w:hanging="20"/>
              <w:rPr>
                <w:color w:val="auto"/>
                <w:sz w:val="22"/>
                <w:szCs w:val="22"/>
                <w:highlight w:val="none"/>
              </w:rPr>
            </w:pPr>
            <w:r>
              <w:rPr>
                <w:color w:val="auto"/>
                <w:sz w:val="22"/>
                <w:szCs w:val="22"/>
                <w:highlight w:val="none"/>
              </w:rPr>
              <w:t>详见投标人须知“3.6.1”</w:t>
            </w:r>
            <w:r>
              <w:rPr>
                <w:rFonts w:hint="eastAsia"/>
                <w:color w:val="auto"/>
                <w:sz w:val="22"/>
                <w:szCs w:val="22"/>
                <w:highlight w:val="none"/>
                <w:lang w:eastAsia="zh-CN"/>
              </w:rPr>
              <w:t>，</w:t>
            </w:r>
            <w:r>
              <w:rPr>
                <w:color w:val="auto"/>
                <w:sz w:val="22"/>
                <w:szCs w:val="22"/>
                <w:highlight w:val="none"/>
              </w:rPr>
              <w:t>及投标人须知前</w:t>
            </w:r>
            <w:r>
              <w:rPr>
                <w:color w:val="auto"/>
                <w:spacing w:val="-1"/>
                <w:sz w:val="22"/>
                <w:szCs w:val="22"/>
                <w:highlight w:val="none"/>
              </w:rPr>
              <w:t>附表“3.6.1”相关</w:t>
            </w:r>
            <w:r>
              <w:rPr>
                <w:color w:val="auto"/>
                <w:spacing w:val="4"/>
                <w:sz w:val="22"/>
                <w:szCs w:val="22"/>
                <w:highlight w:val="none"/>
              </w:rPr>
              <w:t>内容</w:t>
            </w:r>
          </w:p>
        </w:tc>
      </w:tr>
      <w:tr w14:paraId="6BD48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783" w:type="dxa"/>
            <w:noWrap w:val="0"/>
            <w:vAlign w:val="top"/>
          </w:tcPr>
          <w:p w14:paraId="5A7D4C13">
            <w:pPr>
              <w:pStyle w:val="9"/>
              <w:spacing w:before="153" w:line="184" w:lineRule="auto"/>
              <w:ind w:left="195"/>
              <w:rPr>
                <w:color w:val="auto"/>
                <w:sz w:val="22"/>
                <w:szCs w:val="22"/>
                <w:highlight w:val="none"/>
              </w:rPr>
            </w:pPr>
            <w:r>
              <w:rPr>
                <w:color w:val="auto"/>
                <w:spacing w:val="-6"/>
                <w:sz w:val="22"/>
                <w:szCs w:val="22"/>
                <w:highlight w:val="none"/>
              </w:rPr>
              <w:t>19</w:t>
            </w:r>
          </w:p>
        </w:tc>
        <w:tc>
          <w:tcPr>
            <w:tcW w:w="2413" w:type="dxa"/>
            <w:noWrap w:val="0"/>
            <w:vAlign w:val="top"/>
          </w:tcPr>
          <w:p w14:paraId="0E602B85">
            <w:pPr>
              <w:pStyle w:val="9"/>
              <w:spacing w:before="108" w:line="219" w:lineRule="auto"/>
              <w:ind w:left="391"/>
              <w:rPr>
                <w:color w:val="auto"/>
                <w:sz w:val="22"/>
                <w:szCs w:val="22"/>
                <w:highlight w:val="none"/>
              </w:rPr>
            </w:pPr>
            <w:r>
              <w:rPr>
                <w:color w:val="auto"/>
                <w:spacing w:val="2"/>
                <w:sz w:val="22"/>
                <w:szCs w:val="22"/>
                <w:highlight w:val="none"/>
              </w:rPr>
              <w:t>投标文件的编制</w:t>
            </w:r>
          </w:p>
        </w:tc>
        <w:tc>
          <w:tcPr>
            <w:tcW w:w="5200" w:type="dxa"/>
            <w:noWrap w:val="0"/>
            <w:vAlign w:val="top"/>
          </w:tcPr>
          <w:p w14:paraId="44924F61">
            <w:pPr>
              <w:pStyle w:val="9"/>
              <w:spacing w:before="108" w:line="219" w:lineRule="auto"/>
              <w:ind w:left="103"/>
              <w:rPr>
                <w:color w:val="auto"/>
                <w:sz w:val="22"/>
                <w:szCs w:val="22"/>
                <w:highlight w:val="none"/>
              </w:rPr>
            </w:pPr>
            <w:r>
              <w:rPr>
                <w:color w:val="auto"/>
                <w:spacing w:val="-1"/>
                <w:sz w:val="22"/>
                <w:szCs w:val="22"/>
                <w:highlight w:val="none"/>
              </w:rPr>
              <w:t>详见投标人须知“3.7投标文件的编制”相关内容</w:t>
            </w:r>
          </w:p>
        </w:tc>
      </w:tr>
      <w:tr w14:paraId="5C784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3B623A88">
            <w:pPr>
              <w:pStyle w:val="9"/>
              <w:spacing w:before="144" w:line="183" w:lineRule="auto"/>
              <w:ind w:left="195"/>
              <w:rPr>
                <w:color w:val="auto"/>
                <w:sz w:val="22"/>
                <w:szCs w:val="22"/>
                <w:highlight w:val="none"/>
              </w:rPr>
            </w:pPr>
            <w:r>
              <w:rPr>
                <w:color w:val="auto"/>
                <w:spacing w:val="-3"/>
                <w:sz w:val="22"/>
                <w:szCs w:val="22"/>
                <w:highlight w:val="none"/>
              </w:rPr>
              <w:t>20</w:t>
            </w:r>
          </w:p>
        </w:tc>
        <w:tc>
          <w:tcPr>
            <w:tcW w:w="2413" w:type="dxa"/>
            <w:noWrap w:val="0"/>
            <w:vAlign w:val="top"/>
          </w:tcPr>
          <w:p w14:paraId="5AF66552">
            <w:pPr>
              <w:pStyle w:val="9"/>
              <w:spacing w:before="98" w:line="219" w:lineRule="auto"/>
              <w:ind w:left="391"/>
              <w:rPr>
                <w:color w:val="auto"/>
                <w:sz w:val="22"/>
                <w:szCs w:val="22"/>
                <w:highlight w:val="none"/>
              </w:rPr>
            </w:pPr>
            <w:r>
              <w:rPr>
                <w:color w:val="auto"/>
                <w:spacing w:val="-2"/>
                <w:sz w:val="22"/>
                <w:szCs w:val="22"/>
                <w:highlight w:val="none"/>
              </w:rPr>
              <w:t>投标文件的递交</w:t>
            </w:r>
          </w:p>
        </w:tc>
        <w:tc>
          <w:tcPr>
            <w:tcW w:w="5200" w:type="dxa"/>
            <w:noWrap w:val="0"/>
            <w:vAlign w:val="top"/>
          </w:tcPr>
          <w:p w14:paraId="68A63B6D">
            <w:pPr>
              <w:pStyle w:val="9"/>
              <w:spacing w:before="98" w:line="219" w:lineRule="auto"/>
              <w:ind w:left="103"/>
              <w:rPr>
                <w:color w:val="auto"/>
                <w:sz w:val="22"/>
                <w:szCs w:val="22"/>
                <w:highlight w:val="none"/>
              </w:rPr>
            </w:pPr>
            <w:r>
              <w:rPr>
                <w:color w:val="auto"/>
                <w:spacing w:val="-1"/>
                <w:sz w:val="22"/>
                <w:szCs w:val="22"/>
                <w:highlight w:val="none"/>
              </w:rPr>
              <w:t>详见投标人须知“4.2投标文件的递交”相关内容</w:t>
            </w:r>
          </w:p>
        </w:tc>
      </w:tr>
      <w:tr w14:paraId="72811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657BC3C1">
            <w:pPr>
              <w:pStyle w:val="9"/>
              <w:spacing w:before="134" w:line="184" w:lineRule="auto"/>
              <w:ind w:left="204" w:leftChars="0"/>
              <w:rPr>
                <w:color w:val="auto"/>
                <w:spacing w:val="-3"/>
                <w:sz w:val="22"/>
                <w:szCs w:val="22"/>
                <w:highlight w:val="none"/>
              </w:rPr>
            </w:pPr>
            <w:r>
              <w:rPr>
                <w:color w:val="auto"/>
                <w:spacing w:val="-3"/>
                <w:sz w:val="21"/>
                <w:szCs w:val="21"/>
                <w:highlight w:val="none"/>
              </w:rPr>
              <w:t>21</w:t>
            </w:r>
          </w:p>
        </w:tc>
        <w:tc>
          <w:tcPr>
            <w:tcW w:w="2413" w:type="dxa"/>
            <w:noWrap w:val="0"/>
            <w:vAlign w:val="top"/>
          </w:tcPr>
          <w:p w14:paraId="3FDBBB29">
            <w:pPr>
              <w:pStyle w:val="9"/>
              <w:spacing w:before="92" w:line="220" w:lineRule="auto"/>
              <w:ind w:left="420" w:leftChars="0"/>
              <w:rPr>
                <w:color w:val="auto"/>
                <w:spacing w:val="-2"/>
                <w:sz w:val="22"/>
                <w:szCs w:val="22"/>
                <w:highlight w:val="none"/>
              </w:rPr>
            </w:pPr>
            <w:r>
              <w:rPr>
                <w:color w:val="auto"/>
                <w:spacing w:val="2"/>
                <w:sz w:val="21"/>
                <w:szCs w:val="21"/>
                <w:highlight w:val="none"/>
              </w:rPr>
              <w:t>开标时间和地点</w:t>
            </w:r>
          </w:p>
        </w:tc>
        <w:tc>
          <w:tcPr>
            <w:tcW w:w="5200" w:type="dxa"/>
            <w:noWrap w:val="0"/>
            <w:vAlign w:val="top"/>
          </w:tcPr>
          <w:p w14:paraId="27F5545E">
            <w:pPr>
              <w:pStyle w:val="9"/>
              <w:spacing w:before="90" w:line="219" w:lineRule="auto"/>
              <w:ind w:left="103" w:leftChars="0"/>
              <w:rPr>
                <w:color w:val="auto"/>
                <w:spacing w:val="-1"/>
                <w:sz w:val="22"/>
                <w:szCs w:val="22"/>
                <w:highlight w:val="none"/>
              </w:rPr>
            </w:pPr>
            <w:r>
              <w:rPr>
                <w:color w:val="auto"/>
                <w:spacing w:val="-1"/>
                <w:sz w:val="21"/>
                <w:szCs w:val="21"/>
                <w:highlight w:val="none"/>
              </w:rPr>
              <w:t>详见投标人须知前附表“5.1开标时间和地点”相关内容</w:t>
            </w:r>
          </w:p>
        </w:tc>
      </w:tr>
      <w:tr w14:paraId="49F3E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265C8535">
            <w:pPr>
              <w:pStyle w:val="9"/>
              <w:spacing w:before="131" w:line="183" w:lineRule="auto"/>
              <w:ind w:left="204" w:leftChars="0"/>
              <w:rPr>
                <w:color w:val="auto"/>
                <w:spacing w:val="-3"/>
                <w:sz w:val="22"/>
                <w:szCs w:val="22"/>
                <w:highlight w:val="none"/>
              </w:rPr>
            </w:pPr>
            <w:r>
              <w:rPr>
                <w:color w:val="auto"/>
                <w:spacing w:val="-3"/>
                <w:sz w:val="21"/>
                <w:szCs w:val="21"/>
                <w:highlight w:val="none"/>
              </w:rPr>
              <w:t>22</w:t>
            </w:r>
          </w:p>
        </w:tc>
        <w:tc>
          <w:tcPr>
            <w:tcW w:w="2413" w:type="dxa"/>
            <w:noWrap w:val="0"/>
            <w:vAlign w:val="top"/>
          </w:tcPr>
          <w:p w14:paraId="447B46D6">
            <w:pPr>
              <w:pStyle w:val="9"/>
              <w:spacing w:before="88" w:line="219" w:lineRule="auto"/>
              <w:ind w:left="500" w:leftChars="0"/>
              <w:rPr>
                <w:color w:val="auto"/>
                <w:spacing w:val="-2"/>
                <w:sz w:val="22"/>
                <w:szCs w:val="22"/>
                <w:highlight w:val="none"/>
              </w:rPr>
            </w:pPr>
            <w:r>
              <w:rPr>
                <w:color w:val="auto"/>
                <w:spacing w:val="1"/>
                <w:sz w:val="21"/>
                <w:szCs w:val="21"/>
                <w:highlight w:val="none"/>
              </w:rPr>
              <w:t>资格审查条件</w:t>
            </w:r>
          </w:p>
        </w:tc>
        <w:tc>
          <w:tcPr>
            <w:tcW w:w="5200" w:type="dxa"/>
            <w:noWrap w:val="0"/>
            <w:vAlign w:val="top"/>
          </w:tcPr>
          <w:p w14:paraId="06639C89">
            <w:pPr>
              <w:pStyle w:val="9"/>
              <w:spacing w:before="86" w:line="219" w:lineRule="auto"/>
              <w:ind w:left="103" w:leftChars="0"/>
              <w:rPr>
                <w:color w:val="auto"/>
                <w:spacing w:val="-1"/>
                <w:sz w:val="22"/>
                <w:szCs w:val="22"/>
                <w:highlight w:val="none"/>
              </w:rPr>
            </w:pPr>
            <w:r>
              <w:rPr>
                <w:color w:val="auto"/>
                <w:spacing w:val="-1"/>
                <w:sz w:val="21"/>
                <w:szCs w:val="21"/>
                <w:highlight w:val="none"/>
              </w:rPr>
              <w:t>详见投标人须知前附表“附录1至附录</w:t>
            </w:r>
            <w:r>
              <w:rPr>
                <w:rFonts w:hint="eastAsia"/>
                <w:color w:val="auto"/>
                <w:spacing w:val="-1"/>
                <w:sz w:val="21"/>
                <w:szCs w:val="21"/>
                <w:highlight w:val="none"/>
                <w:lang w:val="en-US" w:eastAsia="zh-CN"/>
              </w:rPr>
              <w:t>6</w:t>
            </w:r>
            <w:r>
              <w:rPr>
                <w:color w:val="auto"/>
                <w:spacing w:val="-1"/>
                <w:sz w:val="21"/>
                <w:szCs w:val="21"/>
                <w:highlight w:val="none"/>
              </w:rPr>
              <w:t>”相关内容</w:t>
            </w:r>
          </w:p>
        </w:tc>
      </w:tr>
      <w:tr w14:paraId="58176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66A42C19">
            <w:pPr>
              <w:pStyle w:val="9"/>
              <w:spacing w:before="222" w:line="183" w:lineRule="auto"/>
              <w:ind w:left="204" w:leftChars="0"/>
              <w:rPr>
                <w:color w:val="auto"/>
                <w:spacing w:val="-3"/>
                <w:sz w:val="22"/>
                <w:szCs w:val="22"/>
                <w:highlight w:val="none"/>
              </w:rPr>
            </w:pPr>
            <w:r>
              <w:rPr>
                <w:color w:val="auto"/>
                <w:spacing w:val="-3"/>
                <w:sz w:val="21"/>
                <w:szCs w:val="21"/>
                <w:highlight w:val="none"/>
              </w:rPr>
              <w:t>23</w:t>
            </w:r>
          </w:p>
        </w:tc>
        <w:tc>
          <w:tcPr>
            <w:tcW w:w="2413" w:type="dxa"/>
            <w:noWrap w:val="0"/>
            <w:vAlign w:val="top"/>
          </w:tcPr>
          <w:p w14:paraId="27F4520F">
            <w:pPr>
              <w:pStyle w:val="9"/>
              <w:spacing w:before="69" w:line="244" w:lineRule="auto"/>
              <w:ind w:left="839" w:leftChars="0" w:right="161" w:rightChars="0" w:hanging="679" w:firstLineChars="0"/>
              <w:rPr>
                <w:color w:val="auto"/>
                <w:spacing w:val="-2"/>
                <w:sz w:val="22"/>
                <w:szCs w:val="22"/>
                <w:highlight w:val="none"/>
              </w:rPr>
            </w:pPr>
            <w:r>
              <w:rPr>
                <w:color w:val="auto"/>
                <w:spacing w:val="1"/>
                <w:sz w:val="21"/>
                <w:szCs w:val="21"/>
                <w:highlight w:val="none"/>
              </w:rPr>
              <w:t>形式评审与响应性评审</w:t>
            </w:r>
            <w:r>
              <w:rPr>
                <w:color w:val="auto"/>
                <w:spacing w:val="-2"/>
                <w:sz w:val="21"/>
                <w:szCs w:val="21"/>
                <w:highlight w:val="none"/>
              </w:rPr>
              <w:t>标准</w:t>
            </w:r>
          </w:p>
        </w:tc>
        <w:tc>
          <w:tcPr>
            <w:tcW w:w="5200" w:type="dxa"/>
            <w:noWrap w:val="0"/>
            <w:vAlign w:val="top"/>
          </w:tcPr>
          <w:p w14:paraId="143D632B">
            <w:pPr>
              <w:pStyle w:val="9"/>
              <w:spacing w:before="65" w:line="246" w:lineRule="auto"/>
              <w:ind w:left="103" w:leftChars="0" w:right="46" w:rightChars="0"/>
              <w:rPr>
                <w:color w:val="auto"/>
                <w:spacing w:val="-1"/>
                <w:sz w:val="22"/>
                <w:szCs w:val="22"/>
                <w:highlight w:val="none"/>
              </w:rPr>
            </w:pPr>
            <w:r>
              <w:rPr>
                <w:color w:val="auto"/>
                <w:spacing w:val="5"/>
                <w:sz w:val="21"/>
                <w:szCs w:val="21"/>
                <w:highlight w:val="none"/>
              </w:rPr>
              <w:t>详见评标办法前附表“2.1.1</w:t>
            </w:r>
            <w:r>
              <w:rPr>
                <w:rFonts w:hint="eastAsia"/>
                <w:color w:val="auto"/>
                <w:spacing w:val="5"/>
                <w:sz w:val="21"/>
                <w:szCs w:val="21"/>
                <w:highlight w:val="none"/>
                <w:lang w:eastAsia="zh-CN"/>
              </w:rPr>
              <w:t>，</w:t>
            </w:r>
            <w:r>
              <w:rPr>
                <w:color w:val="auto"/>
                <w:spacing w:val="5"/>
                <w:sz w:val="21"/>
                <w:szCs w:val="21"/>
                <w:highlight w:val="none"/>
              </w:rPr>
              <w:t>2.1.3形式评审</w:t>
            </w:r>
            <w:r>
              <w:rPr>
                <w:color w:val="auto"/>
                <w:spacing w:val="4"/>
                <w:sz w:val="21"/>
                <w:szCs w:val="21"/>
                <w:highlight w:val="none"/>
              </w:rPr>
              <w:t>与响应性评审标准”</w:t>
            </w:r>
            <w:r>
              <w:rPr>
                <w:color w:val="auto"/>
                <w:spacing w:val="-2"/>
                <w:sz w:val="21"/>
                <w:szCs w:val="21"/>
                <w:highlight w:val="none"/>
              </w:rPr>
              <w:t>相关内容</w:t>
            </w:r>
          </w:p>
        </w:tc>
      </w:tr>
      <w:tr w14:paraId="3393E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0F3B7FC0">
            <w:pPr>
              <w:pStyle w:val="9"/>
              <w:spacing w:before="143" w:line="183" w:lineRule="auto"/>
              <w:ind w:left="204" w:leftChars="0"/>
              <w:rPr>
                <w:color w:val="auto"/>
                <w:spacing w:val="-3"/>
                <w:sz w:val="22"/>
                <w:szCs w:val="22"/>
                <w:highlight w:val="none"/>
              </w:rPr>
            </w:pPr>
            <w:r>
              <w:rPr>
                <w:color w:val="auto"/>
                <w:spacing w:val="-3"/>
                <w:sz w:val="21"/>
                <w:szCs w:val="21"/>
                <w:highlight w:val="none"/>
              </w:rPr>
              <w:t>24</w:t>
            </w:r>
          </w:p>
        </w:tc>
        <w:tc>
          <w:tcPr>
            <w:tcW w:w="2413" w:type="dxa"/>
            <w:noWrap w:val="0"/>
            <w:vAlign w:val="top"/>
          </w:tcPr>
          <w:p w14:paraId="52D1C93A">
            <w:pPr>
              <w:pStyle w:val="9"/>
              <w:spacing w:before="100" w:line="219" w:lineRule="auto"/>
              <w:ind w:left="500" w:leftChars="0"/>
              <w:rPr>
                <w:color w:val="auto"/>
                <w:spacing w:val="-2"/>
                <w:sz w:val="22"/>
                <w:szCs w:val="22"/>
                <w:highlight w:val="none"/>
              </w:rPr>
            </w:pPr>
            <w:r>
              <w:rPr>
                <w:color w:val="auto"/>
                <w:spacing w:val="1"/>
                <w:sz w:val="21"/>
                <w:szCs w:val="21"/>
                <w:highlight w:val="none"/>
              </w:rPr>
              <w:t>资格评审标准</w:t>
            </w:r>
          </w:p>
        </w:tc>
        <w:tc>
          <w:tcPr>
            <w:tcW w:w="5200" w:type="dxa"/>
            <w:noWrap w:val="0"/>
            <w:vAlign w:val="top"/>
          </w:tcPr>
          <w:p w14:paraId="1349DA73">
            <w:pPr>
              <w:pStyle w:val="9"/>
              <w:spacing w:before="99" w:line="219" w:lineRule="auto"/>
              <w:ind w:left="103" w:leftChars="0"/>
              <w:rPr>
                <w:color w:val="auto"/>
                <w:spacing w:val="-1"/>
                <w:sz w:val="22"/>
                <w:szCs w:val="22"/>
                <w:highlight w:val="none"/>
              </w:rPr>
            </w:pPr>
            <w:r>
              <w:rPr>
                <w:color w:val="auto"/>
                <w:spacing w:val="-1"/>
                <w:sz w:val="21"/>
                <w:szCs w:val="21"/>
                <w:highlight w:val="none"/>
              </w:rPr>
              <w:t>详见评标办法前附表“2.1.2资格评审标准”相关内容</w:t>
            </w:r>
          </w:p>
        </w:tc>
      </w:tr>
      <w:tr w14:paraId="34EE6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83" w:type="dxa"/>
            <w:noWrap w:val="0"/>
            <w:vAlign w:val="top"/>
          </w:tcPr>
          <w:p w14:paraId="5945445E">
            <w:pPr>
              <w:pStyle w:val="9"/>
              <w:spacing w:before="144" w:line="183" w:lineRule="auto"/>
              <w:ind w:left="204" w:leftChars="0"/>
              <w:rPr>
                <w:color w:val="auto"/>
                <w:spacing w:val="-3"/>
                <w:sz w:val="22"/>
                <w:szCs w:val="22"/>
                <w:highlight w:val="none"/>
              </w:rPr>
            </w:pPr>
            <w:r>
              <w:rPr>
                <w:color w:val="auto"/>
                <w:spacing w:val="-3"/>
                <w:sz w:val="21"/>
                <w:szCs w:val="21"/>
                <w:highlight w:val="none"/>
              </w:rPr>
              <w:t>25</w:t>
            </w:r>
          </w:p>
        </w:tc>
        <w:tc>
          <w:tcPr>
            <w:tcW w:w="2413" w:type="dxa"/>
            <w:noWrap w:val="0"/>
            <w:vAlign w:val="top"/>
          </w:tcPr>
          <w:p w14:paraId="02FA5EA9">
            <w:pPr>
              <w:pStyle w:val="9"/>
              <w:spacing w:before="101" w:line="219" w:lineRule="auto"/>
              <w:ind w:left="250" w:leftChars="0"/>
              <w:rPr>
                <w:color w:val="auto"/>
                <w:spacing w:val="-2"/>
                <w:sz w:val="22"/>
                <w:szCs w:val="22"/>
                <w:highlight w:val="none"/>
              </w:rPr>
            </w:pPr>
            <w:r>
              <w:rPr>
                <w:color w:val="auto"/>
                <w:spacing w:val="1"/>
                <w:sz w:val="21"/>
                <w:szCs w:val="21"/>
                <w:highlight w:val="none"/>
              </w:rPr>
              <w:t>第一个信封初步评审</w:t>
            </w:r>
          </w:p>
        </w:tc>
        <w:tc>
          <w:tcPr>
            <w:tcW w:w="5200" w:type="dxa"/>
            <w:noWrap w:val="0"/>
            <w:vAlign w:val="top"/>
          </w:tcPr>
          <w:p w14:paraId="49169D44">
            <w:pPr>
              <w:pStyle w:val="9"/>
              <w:spacing w:before="101" w:line="219" w:lineRule="auto"/>
              <w:ind w:left="103" w:leftChars="0"/>
              <w:rPr>
                <w:color w:val="auto"/>
                <w:spacing w:val="-1"/>
                <w:sz w:val="22"/>
                <w:szCs w:val="22"/>
                <w:highlight w:val="none"/>
              </w:rPr>
            </w:pPr>
            <w:r>
              <w:rPr>
                <w:color w:val="auto"/>
                <w:spacing w:val="-1"/>
                <w:sz w:val="21"/>
                <w:szCs w:val="21"/>
                <w:highlight w:val="none"/>
              </w:rPr>
              <w:t>详见评标办法正文“3.1第一个信封初步评审”相关内容</w:t>
            </w:r>
          </w:p>
        </w:tc>
      </w:tr>
      <w:tr w14:paraId="7F594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2C247493">
            <w:pPr>
              <w:pStyle w:val="9"/>
              <w:spacing w:before="135" w:line="183" w:lineRule="auto"/>
              <w:ind w:left="204" w:leftChars="0"/>
              <w:rPr>
                <w:color w:val="auto"/>
                <w:spacing w:val="-3"/>
                <w:sz w:val="22"/>
                <w:szCs w:val="22"/>
                <w:highlight w:val="none"/>
              </w:rPr>
            </w:pPr>
            <w:r>
              <w:rPr>
                <w:color w:val="auto"/>
                <w:spacing w:val="-3"/>
                <w:sz w:val="21"/>
                <w:szCs w:val="21"/>
                <w:highlight w:val="none"/>
              </w:rPr>
              <w:t>26</w:t>
            </w:r>
          </w:p>
        </w:tc>
        <w:tc>
          <w:tcPr>
            <w:tcW w:w="2413" w:type="dxa"/>
            <w:noWrap w:val="0"/>
            <w:vAlign w:val="top"/>
          </w:tcPr>
          <w:p w14:paraId="454BC831">
            <w:pPr>
              <w:pStyle w:val="9"/>
              <w:spacing w:before="92" w:line="219" w:lineRule="auto"/>
              <w:ind w:left="250" w:leftChars="0"/>
              <w:rPr>
                <w:color w:val="auto"/>
                <w:spacing w:val="-2"/>
                <w:sz w:val="22"/>
                <w:szCs w:val="22"/>
                <w:highlight w:val="none"/>
              </w:rPr>
            </w:pPr>
            <w:r>
              <w:rPr>
                <w:color w:val="auto"/>
                <w:spacing w:val="1"/>
                <w:sz w:val="21"/>
                <w:szCs w:val="21"/>
                <w:highlight w:val="none"/>
              </w:rPr>
              <w:t>第二个信封初步评审</w:t>
            </w:r>
          </w:p>
        </w:tc>
        <w:tc>
          <w:tcPr>
            <w:tcW w:w="5200" w:type="dxa"/>
            <w:noWrap w:val="0"/>
            <w:vAlign w:val="top"/>
          </w:tcPr>
          <w:p w14:paraId="0E564B70">
            <w:pPr>
              <w:pStyle w:val="9"/>
              <w:spacing w:before="92" w:line="219" w:lineRule="auto"/>
              <w:ind w:left="103" w:leftChars="0"/>
              <w:rPr>
                <w:color w:val="auto"/>
                <w:spacing w:val="-1"/>
                <w:sz w:val="22"/>
                <w:szCs w:val="22"/>
                <w:highlight w:val="none"/>
              </w:rPr>
            </w:pPr>
            <w:r>
              <w:rPr>
                <w:color w:val="auto"/>
                <w:spacing w:val="-1"/>
                <w:sz w:val="21"/>
                <w:szCs w:val="21"/>
                <w:highlight w:val="none"/>
              </w:rPr>
              <w:t>见评标办法正文“3.4第二个信封初步评审”相关内容</w:t>
            </w:r>
          </w:p>
        </w:tc>
      </w:tr>
      <w:tr w14:paraId="2C4F2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11867915">
            <w:pPr>
              <w:pStyle w:val="9"/>
              <w:spacing w:before="136" w:line="183" w:lineRule="auto"/>
              <w:ind w:left="204" w:leftChars="0"/>
              <w:rPr>
                <w:color w:val="auto"/>
                <w:spacing w:val="-3"/>
                <w:sz w:val="22"/>
                <w:szCs w:val="22"/>
                <w:highlight w:val="none"/>
              </w:rPr>
            </w:pPr>
            <w:r>
              <w:rPr>
                <w:color w:val="auto"/>
                <w:spacing w:val="-3"/>
                <w:sz w:val="21"/>
                <w:szCs w:val="21"/>
                <w:highlight w:val="none"/>
              </w:rPr>
              <w:t>27</w:t>
            </w:r>
          </w:p>
        </w:tc>
        <w:tc>
          <w:tcPr>
            <w:tcW w:w="2413" w:type="dxa"/>
            <w:noWrap w:val="0"/>
            <w:vAlign w:val="top"/>
          </w:tcPr>
          <w:p w14:paraId="48D34429">
            <w:pPr>
              <w:pStyle w:val="9"/>
              <w:spacing w:before="93" w:line="219" w:lineRule="auto"/>
              <w:ind w:left="250" w:leftChars="0"/>
              <w:rPr>
                <w:color w:val="auto"/>
                <w:spacing w:val="-2"/>
                <w:sz w:val="22"/>
                <w:szCs w:val="22"/>
                <w:highlight w:val="none"/>
              </w:rPr>
            </w:pPr>
            <w:r>
              <w:rPr>
                <w:color w:val="auto"/>
                <w:spacing w:val="1"/>
                <w:sz w:val="21"/>
                <w:szCs w:val="21"/>
                <w:highlight w:val="none"/>
              </w:rPr>
              <w:t>第二个信封详细评审</w:t>
            </w:r>
          </w:p>
        </w:tc>
        <w:tc>
          <w:tcPr>
            <w:tcW w:w="5200" w:type="dxa"/>
            <w:noWrap w:val="0"/>
            <w:vAlign w:val="top"/>
          </w:tcPr>
          <w:p w14:paraId="313CC849">
            <w:pPr>
              <w:pStyle w:val="9"/>
              <w:spacing w:before="93" w:line="219" w:lineRule="auto"/>
              <w:ind w:left="103" w:leftChars="0"/>
              <w:rPr>
                <w:color w:val="auto"/>
                <w:spacing w:val="-1"/>
                <w:sz w:val="22"/>
                <w:szCs w:val="22"/>
                <w:highlight w:val="none"/>
              </w:rPr>
            </w:pPr>
            <w:r>
              <w:rPr>
                <w:color w:val="auto"/>
                <w:spacing w:val="-1"/>
                <w:sz w:val="21"/>
                <w:szCs w:val="21"/>
                <w:highlight w:val="none"/>
              </w:rPr>
              <w:t>详见评标办法正文“3.5第二个信封详细评审”相关内容</w:t>
            </w:r>
          </w:p>
        </w:tc>
      </w:tr>
      <w:tr w14:paraId="073AA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7FE3EEFD">
            <w:pPr>
              <w:pStyle w:val="9"/>
              <w:spacing w:before="227" w:line="183" w:lineRule="auto"/>
              <w:ind w:left="204" w:leftChars="0"/>
              <w:rPr>
                <w:color w:val="auto"/>
                <w:spacing w:val="-3"/>
                <w:sz w:val="22"/>
                <w:szCs w:val="22"/>
                <w:highlight w:val="none"/>
              </w:rPr>
            </w:pPr>
            <w:r>
              <w:rPr>
                <w:color w:val="auto"/>
                <w:spacing w:val="-3"/>
                <w:sz w:val="21"/>
                <w:szCs w:val="21"/>
                <w:highlight w:val="none"/>
              </w:rPr>
              <w:t>28</w:t>
            </w:r>
          </w:p>
        </w:tc>
        <w:tc>
          <w:tcPr>
            <w:tcW w:w="2413" w:type="dxa"/>
            <w:noWrap w:val="0"/>
            <w:vAlign w:val="top"/>
          </w:tcPr>
          <w:p w14:paraId="5F9FF73D">
            <w:pPr>
              <w:pStyle w:val="9"/>
              <w:spacing w:before="73" w:line="242" w:lineRule="auto"/>
              <w:ind w:left="929" w:leftChars="0" w:right="184" w:rightChars="0" w:hanging="769" w:firstLineChars="0"/>
              <w:rPr>
                <w:color w:val="auto"/>
                <w:spacing w:val="-2"/>
                <w:sz w:val="22"/>
                <w:szCs w:val="22"/>
                <w:highlight w:val="none"/>
              </w:rPr>
            </w:pPr>
            <w:r>
              <w:rPr>
                <w:color w:val="auto"/>
                <w:spacing w:val="-1"/>
                <w:sz w:val="21"/>
                <w:szCs w:val="21"/>
                <w:highlight w:val="none"/>
              </w:rPr>
              <w:t>投标文件相关信息的核</w:t>
            </w:r>
            <w:r>
              <w:rPr>
                <w:color w:val="auto"/>
                <w:sz w:val="21"/>
                <w:szCs w:val="21"/>
                <w:highlight w:val="none"/>
              </w:rPr>
              <w:t>查</w:t>
            </w:r>
          </w:p>
        </w:tc>
        <w:tc>
          <w:tcPr>
            <w:tcW w:w="5200" w:type="dxa"/>
            <w:noWrap w:val="0"/>
            <w:vAlign w:val="top"/>
          </w:tcPr>
          <w:p w14:paraId="24202D68">
            <w:pPr>
              <w:pStyle w:val="9"/>
              <w:spacing w:before="184" w:line="219" w:lineRule="auto"/>
              <w:ind w:left="103" w:leftChars="0"/>
              <w:rPr>
                <w:color w:val="auto"/>
                <w:spacing w:val="-1"/>
                <w:sz w:val="22"/>
                <w:szCs w:val="22"/>
                <w:highlight w:val="none"/>
              </w:rPr>
            </w:pPr>
            <w:r>
              <w:rPr>
                <w:color w:val="auto"/>
                <w:spacing w:val="-1"/>
                <w:sz w:val="21"/>
                <w:szCs w:val="21"/>
                <w:highlight w:val="none"/>
              </w:rPr>
              <w:t>详见评标办法正文“3.6投标文件相关信息的核查”相关内容</w:t>
            </w:r>
          </w:p>
        </w:tc>
      </w:tr>
      <w:tr w14:paraId="6C094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67D499B5">
            <w:pPr>
              <w:pStyle w:val="9"/>
              <w:spacing w:before="148" w:line="183" w:lineRule="auto"/>
              <w:ind w:left="204" w:leftChars="0"/>
              <w:rPr>
                <w:color w:val="auto"/>
                <w:spacing w:val="-3"/>
                <w:sz w:val="22"/>
                <w:szCs w:val="22"/>
                <w:highlight w:val="none"/>
              </w:rPr>
            </w:pPr>
            <w:r>
              <w:rPr>
                <w:color w:val="auto"/>
                <w:spacing w:val="-3"/>
                <w:sz w:val="21"/>
                <w:szCs w:val="21"/>
                <w:highlight w:val="none"/>
              </w:rPr>
              <w:t>29</w:t>
            </w:r>
          </w:p>
        </w:tc>
        <w:tc>
          <w:tcPr>
            <w:tcW w:w="2413" w:type="dxa"/>
            <w:noWrap w:val="0"/>
            <w:vAlign w:val="top"/>
          </w:tcPr>
          <w:p w14:paraId="549CEDF9">
            <w:pPr>
              <w:pStyle w:val="9"/>
              <w:spacing w:before="105" w:line="219" w:lineRule="auto"/>
              <w:ind w:left="160" w:leftChars="0"/>
              <w:rPr>
                <w:color w:val="auto"/>
                <w:spacing w:val="-2"/>
                <w:sz w:val="22"/>
                <w:szCs w:val="22"/>
                <w:highlight w:val="none"/>
              </w:rPr>
            </w:pPr>
            <w:r>
              <w:rPr>
                <w:color w:val="auto"/>
                <w:spacing w:val="1"/>
                <w:sz w:val="21"/>
                <w:szCs w:val="21"/>
                <w:highlight w:val="none"/>
              </w:rPr>
              <w:t>投标文件的澄清和说明</w:t>
            </w:r>
          </w:p>
        </w:tc>
        <w:tc>
          <w:tcPr>
            <w:tcW w:w="5200" w:type="dxa"/>
            <w:noWrap w:val="0"/>
            <w:vAlign w:val="top"/>
          </w:tcPr>
          <w:p w14:paraId="71165558">
            <w:pPr>
              <w:pStyle w:val="9"/>
              <w:spacing w:before="105" w:line="219" w:lineRule="auto"/>
              <w:ind w:left="103" w:leftChars="0"/>
              <w:rPr>
                <w:color w:val="auto"/>
                <w:spacing w:val="-1"/>
                <w:sz w:val="22"/>
                <w:szCs w:val="22"/>
                <w:highlight w:val="none"/>
              </w:rPr>
            </w:pPr>
            <w:r>
              <w:rPr>
                <w:color w:val="auto"/>
                <w:spacing w:val="-1"/>
                <w:sz w:val="21"/>
                <w:szCs w:val="21"/>
                <w:highlight w:val="none"/>
              </w:rPr>
              <w:t>详见评标办法正文“3.7投标文件的澄清和说明”相关内容</w:t>
            </w:r>
          </w:p>
        </w:tc>
      </w:tr>
      <w:tr w14:paraId="0F5C4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top"/>
          </w:tcPr>
          <w:p w14:paraId="4E7F6AFC">
            <w:pPr>
              <w:pStyle w:val="9"/>
              <w:spacing w:before="139" w:line="183" w:lineRule="auto"/>
              <w:ind w:left="204" w:leftChars="0"/>
              <w:rPr>
                <w:color w:val="auto"/>
                <w:spacing w:val="-3"/>
                <w:sz w:val="22"/>
                <w:szCs w:val="22"/>
                <w:highlight w:val="none"/>
              </w:rPr>
            </w:pPr>
            <w:r>
              <w:rPr>
                <w:color w:val="auto"/>
                <w:spacing w:val="-3"/>
                <w:sz w:val="21"/>
                <w:szCs w:val="21"/>
                <w:highlight w:val="none"/>
              </w:rPr>
              <w:t>30</w:t>
            </w:r>
          </w:p>
        </w:tc>
        <w:tc>
          <w:tcPr>
            <w:tcW w:w="2413" w:type="dxa"/>
            <w:noWrap w:val="0"/>
            <w:vAlign w:val="top"/>
          </w:tcPr>
          <w:p w14:paraId="654E59EB">
            <w:pPr>
              <w:pStyle w:val="9"/>
              <w:spacing w:before="96" w:line="220" w:lineRule="auto"/>
              <w:ind w:left="670" w:leftChars="0"/>
              <w:rPr>
                <w:color w:val="auto"/>
                <w:spacing w:val="-2"/>
                <w:sz w:val="22"/>
                <w:szCs w:val="22"/>
                <w:highlight w:val="none"/>
              </w:rPr>
            </w:pPr>
            <w:r>
              <w:rPr>
                <w:color w:val="auto"/>
                <w:spacing w:val="-2"/>
                <w:sz w:val="21"/>
                <w:szCs w:val="21"/>
                <w:highlight w:val="none"/>
              </w:rPr>
              <w:t>其他规定</w:t>
            </w:r>
          </w:p>
        </w:tc>
        <w:tc>
          <w:tcPr>
            <w:tcW w:w="5200" w:type="dxa"/>
            <w:noWrap w:val="0"/>
            <w:vAlign w:val="top"/>
          </w:tcPr>
          <w:p w14:paraId="02319F5F">
            <w:pPr>
              <w:pStyle w:val="9"/>
              <w:spacing w:before="96" w:line="219" w:lineRule="auto"/>
              <w:ind w:left="103" w:leftChars="0"/>
              <w:rPr>
                <w:color w:val="auto"/>
                <w:spacing w:val="-1"/>
                <w:sz w:val="22"/>
                <w:szCs w:val="22"/>
                <w:highlight w:val="none"/>
              </w:rPr>
            </w:pPr>
            <w:r>
              <w:rPr>
                <w:color w:val="auto"/>
                <w:spacing w:val="-1"/>
                <w:sz w:val="21"/>
                <w:szCs w:val="21"/>
                <w:highlight w:val="none"/>
              </w:rPr>
              <w:t>法律、行政法规规定的应当否决投标人投标的其他事项</w:t>
            </w:r>
          </w:p>
        </w:tc>
      </w:tr>
      <w:tr w14:paraId="592F7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83" w:type="dxa"/>
            <w:noWrap w:val="0"/>
            <w:vAlign w:val="center"/>
          </w:tcPr>
          <w:p w14:paraId="793E5A9E">
            <w:pPr>
              <w:pStyle w:val="9"/>
              <w:spacing w:before="55" w:line="184" w:lineRule="auto"/>
              <w:jc w:val="center"/>
              <w:rPr>
                <w:color w:val="auto"/>
                <w:spacing w:val="-3"/>
                <w:sz w:val="22"/>
                <w:szCs w:val="22"/>
                <w:highlight w:val="none"/>
              </w:rPr>
            </w:pPr>
            <w:r>
              <w:rPr>
                <w:rFonts w:hint="eastAsia"/>
                <w:color w:val="auto"/>
                <w:spacing w:val="-3"/>
                <w:sz w:val="21"/>
                <w:szCs w:val="21"/>
                <w:highlight w:val="none"/>
                <w:lang w:val="en-US" w:eastAsia="zh-CN"/>
              </w:rPr>
              <w:t>3</w:t>
            </w:r>
            <w:r>
              <w:rPr>
                <w:color w:val="auto"/>
                <w:spacing w:val="-3"/>
                <w:sz w:val="21"/>
                <w:szCs w:val="21"/>
                <w:highlight w:val="none"/>
              </w:rPr>
              <w:t>1</w:t>
            </w:r>
          </w:p>
        </w:tc>
        <w:tc>
          <w:tcPr>
            <w:tcW w:w="2413" w:type="dxa"/>
            <w:noWrap w:val="0"/>
            <w:vAlign w:val="top"/>
          </w:tcPr>
          <w:p w14:paraId="3A3D886B">
            <w:pPr>
              <w:pStyle w:val="9"/>
              <w:spacing w:before="266" w:line="360" w:lineRule="auto"/>
              <w:ind w:left="840" w:leftChars="0"/>
              <w:rPr>
                <w:color w:val="auto"/>
                <w:spacing w:val="-2"/>
                <w:sz w:val="22"/>
                <w:szCs w:val="22"/>
                <w:highlight w:val="none"/>
              </w:rPr>
            </w:pPr>
            <w:r>
              <w:rPr>
                <w:color w:val="auto"/>
                <w:spacing w:val="-2"/>
                <w:sz w:val="21"/>
                <w:szCs w:val="21"/>
                <w:highlight w:val="none"/>
              </w:rPr>
              <w:t>其他</w:t>
            </w:r>
          </w:p>
        </w:tc>
        <w:tc>
          <w:tcPr>
            <w:tcW w:w="5200" w:type="dxa"/>
            <w:noWrap w:val="0"/>
            <w:vAlign w:val="top"/>
          </w:tcPr>
          <w:p w14:paraId="2950EB46">
            <w:pPr>
              <w:pStyle w:val="9"/>
              <w:spacing w:before="177" w:line="391" w:lineRule="auto"/>
              <w:ind w:left="112" w:right="107" w:firstLine="5"/>
              <w:rPr>
                <w:rFonts w:hint="eastAsia"/>
                <w:spacing w:val="-3"/>
              </w:rPr>
            </w:pPr>
            <w:r>
              <w:rPr>
                <w:rFonts w:hint="eastAsia"/>
                <w:spacing w:val="-3"/>
              </w:rPr>
              <w:t>经云浮市公共资源交易服务平台检测存在以下之一及以上的:</w:t>
            </w:r>
          </w:p>
          <w:p w14:paraId="0CCF512A">
            <w:pPr>
              <w:pStyle w:val="9"/>
              <w:spacing w:before="177" w:line="391" w:lineRule="auto"/>
              <w:ind w:left="112" w:right="107" w:firstLine="5"/>
              <w:rPr>
                <w:rFonts w:hint="eastAsia"/>
                <w:spacing w:val="-3"/>
              </w:rPr>
            </w:pPr>
            <w:r>
              <w:rPr>
                <w:rFonts w:hint="eastAsia" w:ascii="微软雅黑" w:hAnsi="微软雅黑" w:eastAsia="微软雅黑" w:cs="微软雅黑"/>
                <w:spacing w:val="-3"/>
              </w:rPr>
              <w:t>①</w:t>
            </w:r>
            <w:r>
              <w:rPr>
                <w:rFonts w:hint="eastAsia"/>
                <w:spacing w:val="-3"/>
              </w:rPr>
              <w:t>两家及以上投标人的投标文件上传IP地址、投标报名登记IP和投标文件CA解密IP地址出现一项及以上地址相同的;</w:t>
            </w:r>
          </w:p>
          <w:p w14:paraId="106C2150">
            <w:pPr>
              <w:pStyle w:val="9"/>
              <w:spacing w:before="177" w:line="391" w:lineRule="auto"/>
              <w:ind w:left="112" w:right="107" w:firstLine="5"/>
              <w:rPr>
                <w:rFonts w:hint="eastAsia"/>
                <w:spacing w:val="-3"/>
              </w:rPr>
            </w:pPr>
            <w:r>
              <w:rPr>
                <w:rFonts w:hint="eastAsia" w:ascii="微软雅黑" w:hAnsi="微软雅黑" w:eastAsia="微软雅黑" w:cs="微软雅黑"/>
                <w:spacing w:val="-3"/>
              </w:rPr>
              <w:t>②</w:t>
            </w:r>
            <w:r>
              <w:rPr>
                <w:rFonts w:hint="eastAsia"/>
                <w:spacing w:val="-3"/>
              </w:rPr>
              <w:t>两家及以上投标人的投标文件制作机器码(MAC地址、CPU序列号、硬盘序列号、主板序列号、软件制作码)完全致的。</w:t>
            </w:r>
          </w:p>
          <w:p w14:paraId="7EDE5B68">
            <w:pPr>
              <w:pStyle w:val="9"/>
              <w:spacing w:before="143" w:line="360" w:lineRule="auto"/>
              <w:ind w:left="106"/>
              <w:rPr>
                <w:color w:val="auto"/>
                <w:spacing w:val="-1"/>
                <w:sz w:val="22"/>
                <w:szCs w:val="22"/>
                <w:highlight w:val="none"/>
              </w:rPr>
            </w:pPr>
          </w:p>
        </w:tc>
      </w:tr>
    </w:tbl>
    <w:p w14:paraId="553F69DC">
      <w:pPr>
        <w:pStyle w:val="2"/>
        <w:spacing w:line="243" w:lineRule="auto"/>
      </w:pPr>
    </w:p>
    <w:p w14:paraId="192850AB">
      <w:pPr>
        <w:pStyle w:val="2"/>
        <w:spacing w:line="243" w:lineRule="auto"/>
      </w:pPr>
    </w:p>
    <w:p w14:paraId="134F9D15">
      <w:pPr>
        <w:pStyle w:val="2"/>
        <w:spacing w:line="243" w:lineRule="auto"/>
      </w:pPr>
    </w:p>
    <w:p w14:paraId="2539F864">
      <w:pPr>
        <w:pStyle w:val="2"/>
        <w:spacing w:line="244" w:lineRule="auto"/>
      </w:pPr>
    </w:p>
    <w:p w14:paraId="4001AE7F">
      <w:pPr>
        <w:spacing w:line="242" w:lineRule="auto"/>
        <w:rPr>
          <w:rFonts w:ascii="宋体" w:hAnsi="宋体" w:eastAsia="宋体" w:cs="宋体"/>
          <w:sz w:val="18"/>
          <w:szCs w:val="18"/>
        </w:rPr>
        <w:sectPr>
          <w:footerReference r:id="rId38" w:type="default"/>
          <w:pgSz w:w="11905" w:h="16840"/>
          <w:pgMar w:top="1182" w:right="1416" w:bottom="1171" w:left="1416" w:header="849" w:footer="937" w:gutter="0"/>
          <w:pgNumType w:fmt="decimal"/>
          <w:cols w:space="720" w:num="1"/>
        </w:sectPr>
      </w:pPr>
    </w:p>
    <w:p w14:paraId="3F3CEE43">
      <w:pPr>
        <w:pStyle w:val="2"/>
        <w:spacing w:line="284" w:lineRule="auto"/>
      </w:pPr>
    </w:p>
    <w:p w14:paraId="5458C789">
      <w:pPr>
        <w:pStyle w:val="2"/>
        <w:spacing w:line="241" w:lineRule="auto"/>
      </w:pPr>
      <w:bookmarkStart w:id="5" w:name="bookmark8"/>
      <w:bookmarkEnd w:id="5"/>
    </w:p>
    <w:p w14:paraId="1139752D">
      <w:pPr>
        <w:pStyle w:val="2"/>
        <w:spacing w:line="241" w:lineRule="auto"/>
      </w:pPr>
    </w:p>
    <w:p w14:paraId="3689AA37">
      <w:pPr>
        <w:pStyle w:val="2"/>
        <w:spacing w:line="241" w:lineRule="auto"/>
      </w:pPr>
    </w:p>
    <w:p w14:paraId="4D775DF3">
      <w:pPr>
        <w:pStyle w:val="2"/>
        <w:spacing w:line="241" w:lineRule="auto"/>
      </w:pPr>
    </w:p>
    <w:p w14:paraId="2E18F95E">
      <w:pPr>
        <w:pStyle w:val="2"/>
        <w:spacing w:line="242" w:lineRule="auto"/>
      </w:pPr>
    </w:p>
    <w:p w14:paraId="59F26296">
      <w:pPr>
        <w:pStyle w:val="2"/>
        <w:spacing w:line="242" w:lineRule="auto"/>
      </w:pPr>
    </w:p>
    <w:p w14:paraId="1C15AF1C">
      <w:pPr>
        <w:pStyle w:val="2"/>
        <w:spacing w:line="242" w:lineRule="auto"/>
      </w:pPr>
    </w:p>
    <w:p w14:paraId="69624C1A">
      <w:pPr>
        <w:pStyle w:val="2"/>
        <w:spacing w:line="242" w:lineRule="auto"/>
      </w:pPr>
    </w:p>
    <w:p w14:paraId="008E0C7F">
      <w:pPr>
        <w:pStyle w:val="2"/>
        <w:spacing w:line="242" w:lineRule="auto"/>
      </w:pPr>
    </w:p>
    <w:p w14:paraId="3C795801">
      <w:pPr>
        <w:pStyle w:val="2"/>
        <w:spacing w:line="242" w:lineRule="auto"/>
      </w:pPr>
    </w:p>
    <w:p w14:paraId="4EC9FB5F">
      <w:pPr>
        <w:pStyle w:val="2"/>
        <w:spacing w:line="242" w:lineRule="auto"/>
      </w:pPr>
    </w:p>
    <w:p w14:paraId="45415DEF">
      <w:pPr>
        <w:pStyle w:val="2"/>
        <w:spacing w:line="242" w:lineRule="auto"/>
      </w:pPr>
    </w:p>
    <w:p w14:paraId="36193378">
      <w:pPr>
        <w:pStyle w:val="2"/>
        <w:spacing w:line="242" w:lineRule="auto"/>
      </w:pPr>
    </w:p>
    <w:p w14:paraId="4CEA79EC">
      <w:pPr>
        <w:pStyle w:val="2"/>
        <w:spacing w:line="242" w:lineRule="auto"/>
      </w:pPr>
    </w:p>
    <w:p w14:paraId="22AABDAF">
      <w:pPr>
        <w:pStyle w:val="2"/>
        <w:spacing w:line="242" w:lineRule="auto"/>
      </w:pPr>
    </w:p>
    <w:p w14:paraId="7B8C4DAC">
      <w:pPr>
        <w:pStyle w:val="2"/>
        <w:spacing w:line="242" w:lineRule="auto"/>
      </w:pPr>
    </w:p>
    <w:p w14:paraId="11B5FE09">
      <w:pPr>
        <w:pStyle w:val="2"/>
        <w:spacing w:line="242" w:lineRule="auto"/>
      </w:pPr>
    </w:p>
    <w:p w14:paraId="0E28726C">
      <w:pPr>
        <w:pStyle w:val="2"/>
        <w:spacing w:line="242" w:lineRule="auto"/>
      </w:pPr>
    </w:p>
    <w:p w14:paraId="26067282">
      <w:pPr>
        <w:pStyle w:val="2"/>
        <w:spacing w:line="242" w:lineRule="auto"/>
      </w:pPr>
    </w:p>
    <w:p w14:paraId="431C1377">
      <w:pPr>
        <w:pStyle w:val="2"/>
        <w:spacing w:line="242" w:lineRule="auto"/>
      </w:pPr>
    </w:p>
    <w:p w14:paraId="661B622F">
      <w:pPr>
        <w:spacing w:before="140" w:line="223" w:lineRule="auto"/>
        <w:ind w:left="2238"/>
        <w:outlineLvl w:val="0"/>
        <w:rPr>
          <w:rFonts w:ascii="宋体" w:hAnsi="宋体" w:eastAsia="宋体" w:cs="宋体"/>
          <w:sz w:val="43"/>
          <w:szCs w:val="43"/>
        </w:rPr>
      </w:pPr>
      <w:bookmarkStart w:id="6" w:name="bookmark9"/>
      <w:bookmarkEnd w:id="6"/>
      <w:r>
        <w:rPr>
          <w:rFonts w:ascii="宋体" w:hAnsi="宋体" w:eastAsia="宋体" w:cs="宋体"/>
          <w:b/>
          <w:bCs/>
          <w:spacing w:val="5"/>
          <w:sz w:val="43"/>
          <w:szCs w:val="43"/>
        </w:rPr>
        <w:t>第四章</w:t>
      </w:r>
      <w:r>
        <w:rPr>
          <w:rFonts w:ascii="宋体" w:hAnsi="宋体" w:eastAsia="宋体" w:cs="宋体"/>
          <w:spacing w:val="5"/>
          <w:sz w:val="43"/>
          <w:szCs w:val="43"/>
        </w:rPr>
        <w:t xml:space="preserve"> </w:t>
      </w:r>
      <w:r>
        <w:rPr>
          <w:rFonts w:ascii="宋体" w:hAnsi="宋体" w:eastAsia="宋体" w:cs="宋体"/>
          <w:b/>
          <w:bCs/>
          <w:spacing w:val="5"/>
          <w:sz w:val="43"/>
          <w:szCs w:val="43"/>
        </w:rPr>
        <w:t>合同条款及格式</w:t>
      </w:r>
    </w:p>
    <w:p w14:paraId="0A92793C">
      <w:pPr>
        <w:spacing w:line="223" w:lineRule="auto"/>
        <w:rPr>
          <w:rFonts w:ascii="宋体" w:hAnsi="宋体" w:eastAsia="宋体" w:cs="宋体"/>
          <w:sz w:val="43"/>
          <w:szCs w:val="43"/>
        </w:rPr>
        <w:sectPr>
          <w:footerReference r:id="rId39" w:type="default"/>
          <w:pgSz w:w="11905" w:h="16840"/>
          <w:pgMar w:top="1182" w:right="1416" w:bottom="1171" w:left="1416" w:header="849" w:footer="937" w:gutter="0"/>
          <w:pgNumType w:fmt="decimal"/>
          <w:cols w:space="720" w:num="1"/>
        </w:sectPr>
      </w:pPr>
    </w:p>
    <w:p w14:paraId="4DCD48C0">
      <w:pPr>
        <w:pStyle w:val="2"/>
        <w:spacing w:line="285" w:lineRule="auto"/>
      </w:pPr>
    </w:p>
    <w:p w14:paraId="498058C0">
      <w:pPr>
        <w:spacing w:before="101" w:line="225" w:lineRule="auto"/>
        <w:ind w:left="2942"/>
        <w:rPr>
          <w:rFonts w:ascii="宋体" w:hAnsi="宋体" w:eastAsia="宋体" w:cs="宋体"/>
          <w:sz w:val="31"/>
          <w:szCs w:val="31"/>
        </w:rPr>
      </w:pPr>
      <w:r>
        <w:rPr>
          <w:rFonts w:ascii="宋体" w:hAnsi="宋体" w:eastAsia="宋体" w:cs="宋体"/>
          <w:b/>
          <w:bCs/>
          <w:spacing w:val="6"/>
          <w:sz w:val="31"/>
          <w:szCs w:val="31"/>
        </w:rPr>
        <w:t>第一节</w:t>
      </w:r>
      <w:r>
        <w:rPr>
          <w:rFonts w:ascii="宋体" w:hAnsi="宋体" w:eastAsia="宋体" w:cs="宋体"/>
          <w:spacing w:val="6"/>
          <w:sz w:val="31"/>
          <w:szCs w:val="31"/>
        </w:rPr>
        <w:t xml:space="preserve">  </w:t>
      </w:r>
      <w:r>
        <w:rPr>
          <w:rFonts w:ascii="宋体" w:hAnsi="宋体" w:eastAsia="宋体" w:cs="宋体"/>
          <w:b/>
          <w:bCs/>
          <w:spacing w:val="6"/>
          <w:sz w:val="31"/>
          <w:szCs w:val="31"/>
        </w:rPr>
        <w:t>通用合同条款</w:t>
      </w:r>
    </w:p>
    <w:p w14:paraId="2B42E728">
      <w:pPr>
        <w:pStyle w:val="2"/>
        <w:spacing w:line="277" w:lineRule="auto"/>
      </w:pPr>
    </w:p>
    <w:p w14:paraId="3E3075A5">
      <w:pPr>
        <w:kinsoku w:val="0"/>
        <w:autoSpaceDE w:val="0"/>
        <w:autoSpaceDN w:val="0"/>
        <w:adjustRightInd w:val="0"/>
        <w:snapToGrid w:val="0"/>
        <w:spacing w:before="209" w:line="227" w:lineRule="auto"/>
        <w:ind w:left="4122"/>
        <w:jc w:val="left"/>
        <w:textAlignment w:val="baseline"/>
        <w:outlineLvl w:val="1"/>
        <w:rPr>
          <w:rFonts w:ascii="宋体" w:hAnsi="宋体" w:eastAsia="宋体" w:cs="宋体"/>
          <w:b/>
          <w:bCs/>
          <w:snapToGrid w:val="0"/>
          <w:color w:val="000000"/>
          <w:spacing w:val="-9"/>
          <w:kern w:val="0"/>
          <w:sz w:val="25"/>
          <w:szCs w:val="25"/>
          <w:lang w:val="en-US" w:eastAsia="en-US" w:bidi="ar-SA"/>
        </w:rPr>
      </w:pPr>
      <w:r>
        <w:rPr>
          <w:rFonts w:ascii="宋体" w:hAnsi="宋体" w:eastAsia="宋体" w:cs="宋体"/>
          <w:b/>
          <w:bCs/>
          <w:snapToGrid w:val="0"/>
          <w:color w:val="000000"/>
          <w:spacing w:val="-9"/>
          <w:kern w:val="0"/>
          <w:sz w:val="25"/>
          <w:szCs w:val="25"/>
          <w:lang w:val="en-US" w:eastAsia="en-US" w:bidi="ar-SA"/>
        </w:rPr>
        <w:t>通用合同条款</w:t>
      </w:r>
    </w:p>
    <w:p w14:paraId="1598AC33">
      <w:pPr>
        <w:kinsoku w:val="0"/>
        <w:autoSpaceDE w:val="0"/>
        <w:autoSpaceDN w:val="0"/>
        <w:adjustRightInd w:val="0"/>
        <w:snapToGrid w:val="0"/>
        <w:spacing w:before="209" w:line="227" w:lineRule="auto"/>
        <w:ind w:left="4122"/>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9"/>
          <w:kern w:val="0"/>
          <w:sz w:val="25"/>
          <w:szCs w:val="25"/>
          <w:lang w:val="en-US" w:eastAsia="en-US" w:bidi="ar-SA"/>
        </w:rPr>
        <w:t>1.</w:t>
      </w:r>
      <w:r>
        <w:rPr>
          <w:rFonts w:ascii="宋体" w:hAnsi="宋体" w:eastAsia="宋体" w:cs="宋体"/>
          <w:snapToGrid w:val="0"/>
          <w:color w:val="000000"/>
          <w:spacing w:val="18"/>
          <w:kern w:val="0"/>
          <w:sz w:val="25"/>
          <w:szCs w:val="25"/>
          <w:lang w:val="en-US" w:eastAsia="en-US" w:bidi="ar-SA"/>
        </w:rPr>
        <w:t xml:space="preserve">     </w:t>
      </w:r>
      <w:r>
        <w:rPr>
          <w:rFonts w:ascii="宋体" w:hAnsi="宋体" w:eastAsia="宋体" w:cs="宋体"/>
          <w:b/>
          <w:bCs/>
          <w:snapToGrid w:val="0"/>
          <w:color w:val="000000"/>
          <w:spacing w:val="-9"/>
          <w:kern w:val="0"/>
          <w:sz w:val="24"/>
          <w:szCs w:val="24"/>
          <w:lang w:val="en-US" w:eastAsia="en-US" w:bidi="ar-SA"/>
        </w:rPr>
        <w:t>一般约定</w:t>
      </w:r>
    </w:p>
    <w:p w14:paraId="0B2D32A7">
      <w:pPr>
        <w:kinsoku w:val="0"/>
        <w:autoSpaceDE w:val="0"/>
        <w:autoSpaceDN w:val="0"/>
        <w:adjustRightInd w:val="0"/>
        <w:snapToGrid w:val="0"/>
        <w:spacing w:before="176" w:line="240" w:lineRule="auto"/>
        <w:ind w:left="498"/>
        <w:jc w:val="left"/>
        <w:textAlignment w:val="baseline"/>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1.1</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词语定义</w:t>
      </w:r>
    </w:p>
    <w:p w14:paraId="67873658">
      <w:pPr>
        <w:kinsoku w:val="0"/>
        <w:autoSpaceDE w:val="0"/>
        <w:autoSpaceDN w:val="0"/>
        <w:adjustRightInd w:val="0"/>
        <w:snapToGrid w:val="0"/>
        <w:spacing w:before="174"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通用合同条款、专用合同条款中的下列词语应具有本款所赋予的含义。</w:t>
      </w:r>
    </w:p>
    <w:p w14:paraId="0316DDBC">
      <w:pPr>
        <w:kinsoku w:val="0"/>
        <w:autoSpaceDE w:val="0"/>
        <w:autoSpaceDN w:val="0"/>
        <w:adjustRightInd w:val="0"/>
        <w:snapToGrid w:val="0"/>
        <w:spacing w:before="164" w:line="240" w:lineRule="auto"/>
        <w:ind w:left="435"/>
        <w:jc w:val="left"/>
        <w:textAlignment w:val="baseline"/>
        <w:outlineLvl w:val="2"/>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1.1.1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合同</w:t>
      </w:r>
    </w:p>
    <w:p w14:paraId="7093E5F7">
      <w:pPr>
        <w:kinsoku w:val="0"/>
        <w:autoSpaceDE w:val="0"/>
        <w:autoSpaceDN w:val="0"/>
        <w:adjustRightInd w:val="0"/>
        <w:snapToGrid w:val="0"/>
        <w:spacing w:before="159" w:line="240" w:lineRule="auto"/>
        <w:ind w:left="20" w:firstLine="4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1.1.1.1      合同文件（或称合同</w:t>
      </w:r>
      <w:r>
        <w:rPr>
          <w:rFonts w:ascii="宋体" w:hAnsi="宋体" w:eastAsia="宋体" w:cs="宋体"/>
          <w:snapToGrid w:val="0"/>
          <w:color w:val="000000"/>
          <w:spacing w:val="15"/>
          <w:kern w:val="0"/>
          <w:sz w:val="20"/>
          <w:szCs w:val="20"/>
          <w:lang w:val="en-US" w:eastAsia="en-US" w:bidi="ar-SA"/>
        </w:rPr>
        <w:t>）：</w:t>
      </w:r>
      <w:r>
        <w:rPr>
          <w:rFonts w:ascii="宋体" w:hAnsi="宋体" w:eastAsia="宋体" w:cs="宋体"/>
          <w:snapToGrid w:val="0"/>
          <w:color w:val="000000"/>
          <w:spacing w:val="9"/>
          <w:kern w:val="0"/>
          <w:sz w:val="20"/>
          <w:szCs w:val="20"/>
          <w:lang w:val="en-US" w:eastAsia="en-US" w:bidi="ar-SA"/>
        </w:rPr>
        <w:t>指合同协议书、中标通知书</w:t>
      </w:r>
      <w:r>
        <w:rPr>
          <w:rFonts w:ascii="宋体" w:hAnsi="宋体" w:eastAsia="宋体" w:cs="宋体"/>
          <w:snapToGrid w:val="0"/>
          <w:color w:val="000000"/>
          <w:spacing w:val="8"/>
          <w:kern w:val="0"/>
          <w:sz w:val="20"/>
          <w:szCs w:val="20"/>
          <w:lang w:val="en-US" w:eastAsia="en-US" w:bidi="ar-SA"/>
        </w:rPr>
        <w:t>、投标函及投标函附录、专用合</w:t>
      </w:r>
      <w:r>
        <w:rPr>
          <w:rFonts w:ascii="宋体" w:hAnsi="宋体" w:eastAsia="宋体" w:cs="宋体"/>
          <w:snapToGrid w:val="0"/>
          <w:color w:val="000000"/>
          <w:spacing w:val="9"/>
          <w:kern w:val="0"/>
          <w:sz w:val="20"/>
          <w:szCs w:val="20"/>
          <w:lang w:val="en-US" w:eastAsia="en-US" w:bidi="ar-SA"/>
        </w:rPr>
        <w:t>同条款、通用合同条款、技术标准和要求、图纸、已标价工程量清单，以及其他合同文件。</w:t>
      </w:r>
    </w:p>
    <w:p w14:paraId="4507DD17">
      <w:pPr>
        <w:kinsoku w:val="0"/>
        <w:autoSpaceDE w:val="0"/>
        <w:autoSpaceDN w:val="0"/>
        <w:adjustRightInd w:val="0"/>
        <w:snapToGrid w:val="0"/>
        <w:spacing w:before="163"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1.1.1.2</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合同协议书：指第</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1.5 款所指的合同协议书。</w:t>
      </w:r>
    </w:p>
    <w:p w14:paraId="0EB71144">
      <w:pPr>
        <w:kinsoku w:val="0"/>
        <w:autoSpaceDE w:val="0"/>
        <w:autoSpaceDN w:val="0"/>
        <w:adjustRightInd w:val="0"/>
        <w:snapToGrid w:val="0"/>
        <w:spacing w:before="162"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1.1.1.3</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中标通知书：指发包人通知承</w:t>
      </w:r>
      <w:r>
        <w:rPr>
          <w:rFonts w:ascii="宋体" w:hAnsi="宋体" w:eastAsia="宋体" w:cs="宋体"/>
          <w:snapToGrid w:val="0"/>
          <w:color w:val="000000"/>
          <w:spacing w:val="5"/>
          <w:kern w:val="0"/>
          <w:sz w:val="20"/>
          <w:szCs w:val="20"/>
          <w:lang w:val="en-US" w:eastAsia="en-US" w:bidi="ar-SA"/>
        </w:rPr>
        <w:t>包人中标的函件。</w:t>
      </w:r>
    </w:p>
    <w:p w14:paraId="1B6A7225">
      <w:pPr>
        <w:kinsoku w:val="0"/>
        <w:autoSpaceDE w:val="0"/>
        <w:autoSpaceDN w:val="0"/>
        <w:adjustRightInd w:val="0"/>
        <w:snapToGrid w:val="0"/>
        <w:spacing w:before="162"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1.1.1.4</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投标函：指构成合同文件组成部分的由承包人填写并签署的投标函。</w:t>
      </w:r>
    </w:p>
    <w:p w14:paraId="29B9AB83">
      <w:pPr>
        <w:kinsoku w:val="0"/>
        <w:autoSpaceDE w:val="0"/>
        <w:autoSpaceDN w:val="0"/>
        <w:adjustRightInd w:val="0"/>
        <w:snapToGrid w:val="0"/>
        <w:spacing w:before="164"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1.1.1.5</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投标函附录：指附在投标函后构成合同文件的投标函</w:t>
      </w:r>
      <w:r>
        <w:rPr>
          <w:rFonts w:ascii="宋体" w:hAnsi="宋体" w:eastAsia="宋体" w:cs="宋体"/>
          <w:snapToGrid w:val="0"/>
          <w:color w:val="000000"/>
          <w:spacing w:val="6"/>
          <w:kern w:val="0"/>
          <w:sz w:val="20"/>
          <w:szCs w:val="20"/>
          <w:lang w:val="en-US" w:eastAsia="en-US" w:bidi="ar-SA"/>
        </w:rPr>
        <w:t>附录。</w:t>
      </w:r>
    </w:p>
    <w:p w14:paraId="2B83C077">
      <w:pPr>
        <w:kinsoku w:val="0"/>
        <w:autoSpaceDE w:val="0"/>
        <w:autoSpaceDN w:val="0"/>
        <w:adjustRightInd w:val="0"/>
        <w:snapToGrid w:val="0"/>
        <w:spacing w:before="162" w:line="240" w:lineRule="auto"/>
        <w:ind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1.1.1.6      技术标准和要求：指构成合同文件组成部分的名为技术标准和要求的文件，包括</w:t>
      </w:r>
      <w:r>
        <w:rPr>
          <w:rFonts w:ascii="宋体" w:hAnsi="宋体" w:eastAsia="宋体" w:cs="宋体"/>
          <w:snapToGrid w:val="0"/>
          <w:color w:val="000000"/>
          <w:spacing w:val="8"/>
          <w:kern w:val="0"/>
          <w:sz w:val="20"/>
          <w:szCs w:val="20"/>
          <w:lang w:val="en-US" w:eastAsia="en-US" w:bidi="ar-SA"/>
        </w:rPr>
        <w:t>合同双方当事人约定对其所作的修改或补充。</w:t>
      </w:r>
    </w:p>
    <w:p w14:paraId="70C6A3AC">
      <w:pPr>
        <w:kinsoku w:val="0"/>
        <w:autoSpaceDE w:val="0"/>
        <w:autoSpaceDN w:val="0"/>
        <w:adjustRightInd w:val="0"/>
        <w:snapToGrid w:val="0"/>
        <w:spacing w:before="162" w:line="240" w:lineRule="auto"/>
        <w:ind w:left="17"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1.1.1.7</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图纸：指包含在合同中的工程图纸，</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以及</w:t>
      </w:r>
      <w:r>
        <w:rPr>
          <w:rFonts w:ascii="宋体" w:hAnsi="宋体" w:eastAsia="宋体" w:cs="宋体"/>
          <w:snapToGrid w:val="0"/>
          <w:color w:val="000000"/>
          <w:spacing w:val="6"/>
          <w:kern w:val="0"/>
          <w:sz w:val="20"/>
          <w:szCs w:val="20"/>
          <w:lang w:val="en-US" w:eastAsia="en-US" w:bidi="ar-SA"/>
        </w:rPr>
        <w:t>由发包人按合同约定提供的任何补充和修改的图纸，包括配套的说明。</w:t>
      </w:r>
    </w:p>
    <w:p w14:paraId="494CF89F">
      <w:pPr>
        <w:kinsoku w:val="0"/>
        <w:autoSpaceDE w:val="0"/>
        <w:autoSpaceDN w:val="0"/>
        <w:adjustRightInd w:val="0"/>
        <w:snapToGrid w:val="0"/>
        <w:spacing w:before="162" w:line="240" w:lineRule="auto"/>
        <w:ind w:left="5" w:firstLine="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1.1.1.8</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已标价工程量清单：指构成合</w:t>
      </w:r>
      <w:r>
        <w:rPr>
          <w:rFonts w:ascii="宋体" w:hAnsi="宋体" w:eastAsia="宋体" w:cs="宋体"/>
          <w:snapToGrid w:val="0"/>
          <w:color w:val="000000"/>
          <w:spacing w:val="7"/>
          <w:kern w:val="0"/>
          <w:sz w:val="20"/>
          <w:szCs w:val="20"/>
          <w:lang w:val="en-US" w:eastAsia="en-US" w:bidi="ar-SA"/>
        </w:rPr>
        <w:t>同文件组成部分的由承包人按照规定的格式和要求填写并标明价格的工程量清单。</w:t>
      </w:r>
    </w:p>
    <w:p w14:paraId="2AA5C972">
      <w:pPr>
        <w:kinsoku w:val="0"/>
        <w:autoSpaceDE w:val="0"/>
        <w:autoSpaceDN w:val="0"/>
        <w:adjustRightInd w:val="0"/>
        <w:snapToGrid w:val="0"/>
        <w:spacing w:before="163"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1.1.1.9</w:t>
      </w:r>
      <w:r>
        <w:rPr>
          <w:rFonts w:ascii="宋体" w:hAnsi="宋体" w:eastAsia="宋体" w:cs="宋体"/>
          <w:snapToGrid w:val="0"/>
          <w:color w:val="000000"/>
          <w:spacing w:val="18"/>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其他合同文件：指经合同双方当事人确认构成合同文件的其他文件。</w:t>
      </w:r>
    </w:p>
    <w:p w14:paraId="5C363AC1">
      <w:pPr>
        <w:kinsoku w:val="0"/>
        <w:autoSpaceDE w:val="0"/>
        <w:autoSpaceDN w:val="0"/>
        <w:adjustRightInd w:val="0"/>
        <w:snapToGrid w:val="0"/>
        <w:spacing w:before="164" w:line="240" w:lineRule="auto"/>
        <w:ind w:left="435"/>
        <w:jc w:val="left"/>
        <w:textAlignment w:val="baseline"/>
        <w:outlineLvl w:val="2"/>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1.1.2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合同当事人和人员</w:t>
      </w:r>
    </w:p>
    <w:p w14:paraId="32DADF21">
      <w:pPr>
        <w:kinsoku w:val="0"/>
        <w:autoSpaceDE w:val="0"/>
        <w:autoSpaceDN w:val="0"/>
        <w:adjustRightInd w:val="0"/>
        <w:snapToGrid w:val="0"/>
        <w:spacing w:before="160"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1.1.2.1</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合同当事人</w:t>
      </w:r>
      <w:r>
        <w:rPr>
          <w:rFonts w:hint="eastAsia" w:ascii="宋体" w:hAnsi="宋体" w:cs="宋体"/>
          <w:snapToGrid w:val="0"/>
          <w:color w:val="000000"/>
          <w:spacing w:val="6"/>
          <w:kern w:val="0"/>
          <w:sz w:val="20"/>
          <w:szCs w:val="20"/>
          <w:lang w:val="en-US" w:eastAsia="zh-CN" w:bidi="ar-SA"/>
        </w:rPr>
        <w:t>：</w:t>
      </w:r>
      <w:r>
        <w:rPr>
          <w:rFonts w:ascii="宋体" w:hAnsi="宋体" w:eastAsia="宋体" w:cs="宋体"/>
          <w:snapToGrid w:val="0"/>
          <w:color w:val="000000"/>
          <w:spacing w:val="6"/>
          <w:kern w:val="0"/>
          <w:sz w:val="20"/>
          <w:szCs w:val="20"/>
          <w:lang w:val="en-US" w:eastAsia="en-US" w:bidi="ar-SA"/>
        </w:rPr>
        <w:t>指发包人和（或）</w:t>
      </w:r>
      <w:r>
        <w:rPr>
          <w:rFonts w:ascii="宋体" w:hAnsi="宋体" w:eastAsia="宋体" w:cs="宋体"/>
          <w:snapToGrid w:val="0"/>
          <w:color w:val="000000"/>
          <w:spacing w:val="5"/>
          <w:kern w:val="0"/>
          <w:sz w:val="20"/>
          <w:szCs w:val="20"/>
          <w:lang w:val="en-US" w:eastAsia="en-US" w:bidi="ar-SA"/>
        </w:rPr>
        <w:t>承包人。</w:t>
      </w:r>
    </w:p>
    <w:p w14:paraId="510CBE04">
      <w:pPr>
        <w:kinsoku w:val="0"/>
        <w:autoSpaceDE w:val="0"/>
        <w:autoSpaceDN w:val="0"/>
        <w:adjustRightInd w:val="0"/>
        <w:snapToGrid w:val="0"/>
        <w:spacing w:before="162"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1.1.2.2</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发包人：指专用合同条款中指明并与承包人在合同协议书中签字的当事人。</w:t>
      </w:r>
    </w:p>
    <w:p w14:paraId="422037F2">
      <w:pPr>
        <w:kinsoku w:val="0"/>
        <w:autoSpaceDE w:val="0"/>
        <w:autoSpaceDN w:val="0"/>
        <w:adjustRightInd w:val="0"/>
        <w:snapToGrid w:val="0"/>
        <w:spacing w:before="162"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1.1.2.3</w:t>
      </w:r>
      <w:r>
        <w:rPr>
          <w:rFonts w:ascii="宋体" w:hAnsi="宋体" w:eastAsia="宋体" w:cs="宋体"/>
          <w:snapToGrid w:val="0"/>
          <w:color w:val="000000"/>
          <w:spacing w:val="18"/>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承包人：指与发包人签订合同协议书的当事人。</w:t>
      </w:r>
    </w:p>
    <w:p w14:paraId="2B23C9FA">
      <w:pPr>
        <w:kinsoku w:val="0"/>
        <w:autoSpaceDE w:val="0"/>
        <w:autoSpaceDN w:val="0"/>
        <w:adjustRightInd w:val="0"/>
        <w:snapToGrid w:val="0"/>
        <w:spacing w:before="161"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1.1.2.4</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承包人项目经理：指承包人派驻施工场地的全</w:t>
      </w:r>
      <w:r>
        <w:rPr>
          <w:rFonts w:ascii="宋体" w:hAnsi="宋体" w:eastAsia="宋体" w:cs="宋体"/>
          <w:snapToGrid w:val="0"/>
          <w:color w:val="000000"/>
          <w:spacing w:val="6"/>
          <w:kern w:val="0"/>
          <w:sz w:val="20"/>
          <w:szCs w:val="20"/>
          <w:lang w:val="en-US" w:eastAsia="en-US" w:bidi="ar-SA"/>
        </w:rPr>
        <w:t>权负责人。</w:t>
      </w:r>
    </w:p>
    <w:p w14:paraId="6C487E58">
      <w:pPr>
        <w:kinsoku w:val="0"/>
        <w:autoSpaceDE w:val="0"/>
        <w:autoSpaceDN w:val="0"/>
        <w:adjustRightInd w:val="0"/>
        <w:snapToGrid w:val="0"/>
        <w:spacing w:before="161"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1.1.2.5      分包人：指从承包人处分包合同中某一部分工程，并</w:t>
      </w:r>
      <w:r>
        <w:rPr>
          <w:rFonts w:ascii="宋体" w:hAnsi="宋体" w:eastAsia="宋体" w:cs="宋体"/>
          <w:snapToGrid w:val="0"/>
          <w:color w:val="000000"/>
          <w:spacing w:val="8"/>
          <w:kern w:val="0"/>
          <w:sz w:val="20"/>
          <w:szCs w:val="20"/>
          <w:lang w:val="en-US" w:eastAsia="en-US" w:bidi="ar-SA"/>
        </w:rPr>
        <w:t>与其签订分包合同的分包人。</w:t>
      </w:r>
    </w:p>
    <w:p w14:paraId="07F808C1">
      <w:pPr>
        <w:kinsoku w:val="0"/>
        <w:autoSpaceDE w:val="0"/>
        <w:autoSpaceDN w:val="0"/>
        <w:adjustRightInd w:val="0"/>
        <w:snapToGrid w:val="0"/>
        <w:spacing w:before="165" w:line="240" w:lineRule="auto"/>
        <w:ind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1.1.2.6      监理人：指在专用合同条款中指明的，受发包人委托对合同履行实施管理的法人</w:t>
      </w:r>
      <w:r>
        <w:rPr>
          <w:rFonts w:ascii="宋体" w:hAnsi="宋体" w:eastAsia="宋体" w:cs="宋体"/>
          <w:snapToGrid w:val="0"/>
          <w:color w:val="000000"/>
          <w:spacing w:val="8"/>
          <w:kern w:val="0"/>
          <w:sz w:val="20"/>
          <w:szCs w:val="20"/>
          <w:lang w:val="en-US" w:eastAsia="en-US" w:bidi="ar-SA"/>
        </w:rPr>
        <w:t>或其</w:t>
      </w:r>
      <w:r>
        <w:rPr>
          <w:rFonts w:ascii="宋体" w:hAnsi="宋体" w:eastAsia="宋体" w:cs="宋体"/>
          <w:snapToGrid w:val="0"/>
          <w:color w:val="000000"/>
          <w:spacing w:val="5"/>
          <w:kern w:val="0"/>
          <w:sz w:val="20"/>
          <w:szCs w:val="20"/>
          <w:lang w:val="en-US" w:eastAsia="en-US" w:bidi="ar-SA"/>
        </w:rPr>
        <w:t>他组织。</w:t>
      </w:r>
    </w:p>
    <w:p w14:paraId="0444EB7F">
      <w:pPr>
        <w:kinsoku w:val="0"/>
        <w:autoSpaceDE w:val="0"/>
        <w:autoSpaceDN w:val="0"/>
        <w:adjustRightInd w:val="0"/>
        <w:snapToGrid w:val="0"/>
        <w:spacing w:before="161" w:line="240" w:lineRule="auto"/>
        <w:ind w:left="7"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1.1.2.7</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总监理工程师（总监</w:t>
      </w:r>
      <w:r>
        <w:rPr>
          <w:rFonts w:ascii="宋体" w:hAnsi="宋体" w:eastAsia="宋体" w:cs="宋体"/>
          <w:snapToGrid w:val="0"/>
          <w:color w:val="000000"/>
          <w:spacing w:val="15"/>
          <w:kern w:val="0"/>
          <w:sz w:val="20"/>
          <w:szCs w:val="20"/>
          <w:lang w:val="en-US" w:eastAsia="en-US" w:bidi="ar-SA"/>
        </w:rPr>
        <w:t>）：</w:t>
      </w:r>
      <w:r>
        <w:rPr>
          <w:rFonts w:ascii="宋体" w:hAnsi="宋体" w:eastAsia="宋体" w:cs="宋体"/>
          <w:snapToGrid w:val="0"/>
          <w:color w:val="000000"/>
          <w:spacing w:val="8"/>
          <w:kern w:val="0"/>
          <w:sz w:val="20"/>
          <w:szCs w:val="20"/>
          <w:lang w:val="en-US" w:eastAsia="en-US" w:bidi="ar-SA"/>
        </w:rPr>
        <w:t>指由监理</w:t>
      </w:r>
      <w:r>
        <w:rPr>
          <w:rFonts w:ascii="宋体" w:hAnsi="宋体" w:eastAsia="宋体" w:cs="宋体"/>
          <w:snapToGrid w:val="0"/>
          <w:color w:val="000000"/>
          <w:spacing w:val="7"/>
          <w:kern w:val="0"/>
          <w:sz w:val="20"/>
          <w:szCs w:val="20"/>
          <w:lang w:val="en-US" w:eastAsia="en-US" w:bidi="ar-SA"/>
        </w:rPr>
        <w:t>人委派常驻施工场地对合同履行实施管理的全权负</w:t>
      </w:r>
      <w:r>
        <w:rPr>
          <w:rFonts w:ascii="宋体" w:hAnsi="宋体" w:eastAsia="宋体" w:cs="宋体"/>
          <w:snapToGrid w:val="0"/>
          <w:color w:val="000000"/>
          <w:kern w:val="0"/>
          <w:sz w:val="20"/>
          <w:szCs w:val="20"/>
          <w:lang w:val="en-US" w:eastAsia="en-US" w:bidi="ar-SA"/>
        </w:rPr>
        <w:t>责人。</w:t>
      </w:r>
    </w:p>
    <w:p w14:paraId="3C0B3ED3">
      <w:pPr>
        <w:kinsoku w:val="0"/>
        <w:autoSpaceDE w:val="0"/>
        <w:autoSpaceDN w:val="0"/>
        <w:adjustRightInd w:val="0"/>
        <w:snapToGrid w:val="0"/>
        <w:spacing w:before="162" w:line="240" w:lineRule="auto"/>
        <w:ind w:left="435"/>
        <w:jc w:val="left"/>
        <w:textAlignment w:val="baseline"/>
        <w:outlineLvl w:val="2"/>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1.1.3</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工程和设备</w:t>
      </w:r>
    </w:p>
    <w:p w14:paraId="231183CD">
      <w:pPr>
        <w:kinsoku w:val="0"/>
        <w:autoSpaceDE w:val="0"/>
        <w:autoSpaceDN w:val="0"/>
        <w:adjustRightInd w:val="0"/>
        <w:snapToGrid w:val="0"/>
        <w:spacing w:before="160"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1.1.3.1</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工程：指永久工程和（或）临时工程。</w:t>
      </w:r>
    </w:p>
    <w:p w14:paraId="4698893C">
      <w:pPr>
        <w:kinsoku w:val="0"/>
        <w:autoSpaceDE w:val="0"/>
        <w:autoSpaceDN w:val="0"/>
        <w:adjustRightInd w:val="0"/>
        <w:snapToGrid w:val="0"/>
        <w:spacing w:before="161"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1.1.3.2</w:t>
      </w:r>
      <w:r>
        <w:rPr>
          <w:rFonts w:ascii="宋体" w:hAnsi="宋体" w:eastAsia="宋体" w:cs="宋体"/>
          <w:snapToGrid w:val="0"/>
          <w:color w:val="000000"/>
          <w:spacing w:val="18"/>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永久工程：指按合同约定建造并移交给发包人的工程，包括工程设备。</w:t>
      </w:r>
    </w:p>
    <w:p w14:paraId="1799BF16">
      <w:pPr>
        <w:kinsoku w:val="0"/>
        <w:autoSpaceDE w:val="0"/>
        <w:autoSpaceDN w:val="0"/>
        <w:adjustRightInd w:val="0"/>
        <w:snapToGrid w:val="0"/>
        <w:spacing w:before="161" w:line="240" w:lineRule="auto"/>
        <w:ind w:left="422" w:right="211" w:firstLine="1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1.1.3.3</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临时工程：指为完成合同约定的永久工程所修</w:t>
      </w:r>
      <w:r>
        <w:rPr>
          <w:rFonts w:ascii="宋体" w:hAnsi="宋体" w:eastAsia="宋体" w:cs="宋体"/>
          <w:snapToGrid w:val="0"/>
          <w:color w:val="000000"/>
          <w:spacing w:val="7"/>
          <w:kern w:val="0"/>
          <w:sz w:val="20"/>
          <w:szCs w:val="20"/>
          <w:lang w:val="en-US" w:eastAsia="en-US" w:bidi="ar-SA"/>
        </w:rPr>
        <w:t>建的各类临时性工程，不包括施工设</w:t>
      </w:r>
      <w:r>
        <w:rPr>
          <w:rFonts w:ascii="宋体" w:hAnsi="宋体" w:eastAsia="宋体" w:cs="宋体"/>
          <w:snapToGrid w:val="0"/>
          <w:color w:val="000000"/>
          <w:spacing w:val="-1"/>
          <w:kern w:val="0"/>
          <w:sz w:val="20"/>
          <w:szCs w:val="20"/>
          <w:lang w:val="en-US" w:eastAsia="en-US" w:bidi="ar-SA"/>
        </w:rPr>
        <w:t>备。</w:t>
      </w:r>
    </w:p>
    <w:p w14:paraId="5E610398">
      <w:pPr>
        <w:kinsoku w:val="0"/>
        <w:autoSpaceDE w:val="0"/>
        <w:autoSpaceDN w:val="0"/>
        <w:adjustRightInd w:val="0"/>
        <w:snapToGrid w:val="0"/>
        <w:spacing w:before="162"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1.1.3.4</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单位工程：指专用合同条款中指明特定范围</w:t>
      </w:r>
      <w:r>
        <w:rPr>
          <w:rFonts w:ascii="宋体" w:hAnsi="宋体" w:eastAsia="宋体" w:cs="宋体"/>
          <w:snapToGrid w:val="0"/>
          <w:color w:val="000000"/>
          <w:spacing w:val="6"/>
          <w:kern w:val="0"/>
          <w:sz w:val="20"/>
          <w:szCs w:val="20"/>
          <w:lang w:val="en-US" w:eastAsia="en-US" w:bidi="ar-SA"/>
        </w:rPr>
        <w:t>的永久工程。</w:t>
      </w:r>
    </w:p>
    <w:p w14:paraId="20FBDA9C">
      <w:pPr>
        <w:kinsoku w:val="0"/>
        <w:autoSpaceDE w:val="0"/>
        <w:autoSpaceDN w:val="0"/>
        <w:adjustRightInd w:val="0"/>
        <w:snapToGrid w:val="0"/>
        <w:spacing w:before="162" w:line="240" w:lineRule="auto"/>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1.1.3.5      工程设备：指构成或计划构成永久工程一部分的机电设备、金属结构设备、仪器</w:t>
      </w:r>
      <w:r>
        <w:rPr>
          <w:rFonts w:ascii="宋体" w:hAnsi="宋体" w:eastAsia="宋体" w:cs="宋体"/>
          <w:snapToGrid w:val="0"/>
          <w:color w:val="000000"/>
          <w:spacing w:val="8"/>
          <w:kern w:val="0"/>
          <w:sz w:val="20"/>
          <w:szCs w:val="20"/>
          <w:lang w:val="en-US" w:eastAsia="en-US" w:bidi="ar-SA"/>
        </w:rPr>
        <w:t>装置</w:t>
      </w:r>
    </w:p>
    <w:p w14:paraId="72B10671">
      <w:pPr>
        <w:kinsoku w:val="0"/>
        <w:autoSpaceDE w:val="0"/>
        <w:autoSpaceDN w:val="0"/>
        <w:adjustRightInd w:val="0"/>
        <w:snapToGrid w:val="0"/>
        <w:spacing w:before="41" w:line="240" w:lineRule="auto"/>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及其他类似的设备和装置。</w:t>
      </w:r>
    </w:p>
    <w:p w14:paraId="593133F1">
      <w:pPr>
        <w:kinsoku w:val="0"/>
        <w:autoSpaceDE w:val="0"/>
        <w:autoSpaceDN w:val="0"/>
        <w:adjustRightInd w:val="0"/>
        <w:snapToGrid w:val="0"/>
        <w:spacing w:before="160" w:line="240" w:lineRule="auto"/>
        <w:ind w:left="3" w:right="12" w:firstLine="4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1.1.3.6      施工设备：指为完成合同约定的各项工作所需的设备、器具和其他物品，不包括</w:t>
      </w:r>
      <w:r>
        <w:rPr>
          <w:rFonts w:ascii="宋体" w:hAnsi="宋体" w:eastAsia="宋体" w:cs="宋体"/>
          <w:snapToGrid w:val="0"/>
          <w:color w:val="000000"/>
          <w:spacing w:val="8"/>
          <w:kern w:val="0"/>
          <w:sz w:val="20"/>
          <w:szCs w:val="20"/>
          <w:lang w:val="en-US" w:eastAsia="en-US" w:bidi="ar-SA"/>
        </w:rPr>
        <w:t>临时</w:t>
      </w:r>
      <w:r>
        <w:rPr>
          <w:rFonts w:ascii="宋体" w:hAnsi="宋体" w:eastAsia="宋体" w:cs="宋体"/>
          <w:snapToGrid w:val="0"/>
          <w:color w:val="000000"/>
          <w:spacing w:val="6"/>
          <w:kern w:val="0"/>
          <w:sz w:val="20"/>
          <w:szCs w:val="20"/>
          <w:lang w:val="en-US" w:eastAsia="en-US" w:bidi="ar-SA"/>
        </w:rPr>
        <w:t>工程和材料。</w:t>
      </w:r>
    </w:p>
    <w:p w14:paraId="4E8123FF">
      <w:pPr>
        <w:kinsoku w:val="0"/>
        <w:autoSpaceDE w:val="0"/>
        <w:autoSpaceDN w:val="0"/>
        <w:adjustRightInd w:val="0"/>
        <w:snapToGrid w:val="0"/>
        <w:spacing w:before="161"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1.1.3.7</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临时设施：指为完成合同约定的各项工作所服务的临时性生产和生活设施。</w:t>
      </w:r>
    </w:p>
    <w:p w14:paraId="65FCC1FF">
      <w:pPr>
        <w:kinsoku w:val="0"/>
        <w:autoSpaceDE w:val="0"/>
        <w:autoSpaceDN w:val="0"/>
        <w:adjustRightInd w:val="0"/>
        <w:snapToGrid w:val="0"/>
        <w:spacing w:before="163"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1.1.3.8</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承包人设备：指承包人自带的施工设备。</w:t>
      </w:r>
    </w:p>
    <w:p w14:paraId="4DA7F140">
      <w:pPr>
        <w:kinsoku w:val="0"/>
        <w:autoSpaceDE w:val="0"/>
        <w:autoSpaceDN w:val="0"/>
        <w:adjustRightInd w:val="0"/>
        <w:snapToGrid w:val="0"/>
        <w:spacing w:before="162" w:line="240" w:lineRule="auto"/>
        <w:ind w:right="12" w:firstLine="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1.1.3.9      施工场地（或称工地、现场</w:t>
      </w:r>
      <w:r>
        <w:rPr>
          <w:rFonts w:ascii="宋体" w:hAnsi="宋体" w:eastAsia="宋体" w:cs="宋体"/>
          <w:snapToGrid w:val="0"/>
          <w:color w:val="000000"/>
          <w:spacing w:val="16"/>
          <w:kern w:val="0"/>
          <w:sz w:val="20"/>
          <w:szCs w:val="20"/>
          <w:lang w:val="en-US" w:eastAsia="en-US" w:bidi="ar-SA"/>
        </w:rPr>
        <w:t>）：</w:t>
      </w:r>
      <w:r>
        <w:rPr>
          <w:rFonts w:ascii="宋体" w:hAnsi="宋体" w:eastAsia="宋体" w:cs="宋体"/>
          <w:snapToGrid w:val="0"/>
          <w:color w:val="000000"/>
          <w:spacing w:val="9"/>
          <w:kern w:val="0"/>
          <w:sz w:val="20"/>
          <w:szCs w:val="20"/>
          <w:lang w:val="en-US" w:eastAsia="en-US" w:bidi="ar-SA"/>
        </w:rPr>
        <w:t>指用于合同工</w:t>
      </w:r>
      <w:r>
        <w:rPr>
          <w:rFonts w:ascii="宋体" w:hAnsi="宋体" w:eastAsia="宋体" w:cs="宋体"/>
          <w:snapToGrid w:val="0"/>
          <w:color w:val="000000"/>
          <w:spacing w:val="8"/>
          <w:kern w:val="0"/>
          <w:sz w:val="20"/>
          <w:szCs w:val="20"/>
          <w:lang w:val="en-US" w:eastAsia="en-US" w:bidi="ar-SA"/>
        </w:rPr>
        <w:t>程施工的场所，以及在合同中指定作为</w:t>
      </w:r>
      <w:r>
        <w:rPr>
          <w:rFonts w:ascii="宋体" w:hAnsi="宋体" w:eastAsia="宋体" w:cs="宋体"/>
          <w:snapToGrid w:val="0"/>
          <w:color w:val="000000"/>
          <w:spacing w:val="9"/>
          <w:kern w:val="0"/>
          <w:sz w:val="20"/>
          <w:szCs w:val="20"/>
          <w:lang w:val="en-US" w:eastAsia="en-US" w:bidi="ar-SA"/>
        </w:rPr>
        <w:t>施工场地组成部分的其他场所，包括永久占地和临时占地。</w:t>
      </w:r>
    </w:p>
    <w:p w14:paraId="614C58FC">
      <w:pPr>
        <w:kinsoku w:val="0"/>
        <w:autoSpaceDE w:val="0"/>
        <w:autoSpaceDN w:val="0"/>
        <w:adjustRightInd w:val="0"/>
        <w:snapToGrid w:val="0"/>
        <w:spacing w:before="161"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1.1.3.10</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永久占地：指专用合同条款中指明为实施合同工程需永久占用的土地。</w:t>
      </w:r>
    </w:p>
    <w:p w14:paraId="70CE726A">
      <w:pPr>
        <w:kinsoku w:val="0"/>
        <w:autoSpaceDE w:val="0"/>
        <w:autoSpaceDN w:val="0"/>
        <w:adjustRightInd w:val="0"/>
        <w:snapToGrid w:val="0"/>
        <w:spacing w:before="163"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1.1.3.11</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临时占地：指专用合同条款中指明为实施合同工程需临时占用的土</w:t>
      </w:r>
      <w:r>
        <w:rPr>
          <w:rFonts w:ascii="宋体" w:hAnsi="宋体" w:eastAsia="宋体" w:cs="宋体"/>
          <w:snapToGrid w:val="0"/>
          <w:color w:val="000000"/>
          <w:spacing w:val="6"/>
          <w:kern w:val="0"/>
          <w:sz w:val="20"/>
          <w:szCs w:val="20"/>
          <w:lang w:val="en-US" w:eastAsia="en-US" w:bidi="ar-SA"/>
        </w:rPr>
        <w:t>地。</w:t>
      </w:r>
    </w:p>
    <w:p w14:paraId="200731A8">
      <w:pPr>
        <w:kinsoku w:val="0"/>
        <w:autoSpaceDE w:val="0"/>
        <w:autoSpaceDN w:val="0"/>
        <w:adjustRightInd w:val="0"/>
        <w:snapToGrid w:val="0"/>
        <w:spacing w:before="162" w:line="240" w:lineRule="auto"/>
        <w:ind w:left="436"/>
        <w:jc w:val="left"/>
        <w:textAlignment w:val="baseline"/>
        <w:outlineLvl w:val="2"/>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7"/>
          <w:kern w:val="0"/>
          <w:sz w:val="20"/>
          <w:szCs w:val="20"/>
          <w:lang w:val="en-US" w:eastAsia="en-US" w:bidi="ar-SA"/>
        </w:rPr>
        <w:t>1.1.4</w:t>
      </w:r>
      <w:r>
        <w:rPr>
          <w:rFonts w:ascii="宋体" w:hAnsi="宋体" w:eastAsia="宋体" w:cs="宋体"/>
          <w:snapToGrid w:val="0"/>
          <w:color w:val="000000"/>
          <w:spacing w:val="7"/>
          <w:kern w:val="0"/>
          <w:sz w:val="20"/>
          <w:szCs w:val="20"/>
          <w:lang w:val="en-US" w:eastAsia="en-US" w:bidi="ar-SA"/>
        </w:rPr>
        <w:t xml:space="preserve">    </w:t>
      </w:r>
      <w:r>
        <w:rPr>
          <w:rFonts w:ascii="宋体" w:hAnsi="宋体" w:eastAsia="宋体" w:cs="宋体"/>
          <w:b/>
          <w:bCs/>
          <w:snapToGrid w:val="0"/>
          <w:color w:val="000000"/>
          <w:spacing w:val="-7"/>
          <w:kern w:val="0"/>
          <w:sz w:val="20"/>
          <w:szCs w:val="20"/>
          <w:lang w:val="en-US" w:eastAsia="en-US" w:bidi="ar-SA"/>
        </w:rPr>
        <w:t>日期</w:t>
      </w:r>
    </w:p>
    <w:p w14:paraId="19A793F5">
      <w:pPr>
        <w:kinsoku w:val="0"/>
        <w:autoSpaceDE w:val="0"/>
        <w:autoSpaceDN w:val="0"/>
        <w:adjustRightInd w:val="0"/>
        <w:snapToGrid w:val="0"/>
        <w:spacing w:before="160"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1.1.4.1</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开工通知：指监理人按第</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 xml:space="preserve">11.1 </w:t>
      </w:r>
      <w:r>
        <w:rPr>
          <w:rFonts w:ascii="宋体" w:hAnsi="宋体" w:eastAsia="宋体" w:cs="宋体"/>
          <w:snapToGrid w:val="0"/>
          <w:color w:val="000000"/>
          <w:spacing w:val="5"/>
          <w:kern w:val="0"/>
          <w:sz w:val="20"/>
          <w:szCs w:val="20"/>
          <w:lang w:val="en-US" w:eastAsia="en-US" w:bidi="ar-SA"/>
        </w:rPr>
        <w:t>款通知承包人开工的函件。</w:t>
      </w:r>
    </w:p>
    <w:p w14:paraId="40E12351">
      <w:pPr>
        <w:kinsoku w:val="0"/>
        <w:autoSpaceDE w:val="0"/>
        <w:autoSpaceDN w:val="0"/>
        <w:adjustRightInd w:val="0"/>
        <w:snapToGrid w:val="0"/>
        <w:spacing w:before="161"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1.1.4.2</w:t>
      </w:r>
      <w:r>
        <w:rPr>
          <w:rFonts w:ascii="宋体" w:hAnsi="宋体" w:eastAsia="宋体" w:cs="宋体"/>
          <w:snapToGrid w:val="0"/>
          <w:color w:val="000000"/>
          <w:spacing w:val="17"/>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开工日期：指监理人按第</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11.1 款发出的开工通知中写明的开工日期。</w:t>
      </w:r>
    </w:p>
    <w:p w14:paraId="25C1D8C5">
      <w:pPr>
        <w:kinsoku w:val="0"/>
        <w:autoSpaceDE w:val="0"/>
        <w:autoSpaceDN w:val="0"/>
        <w:adjustRightInd w:val="0"/>
        <w:snapToGrid w:val="0"/>
        <w:spacing w:before="164" w:line="240" w:lineRule="auto"/>
        <w:ind w:left="435" w:right="1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1.1.4.3</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工期：指承包人在投标函中承诺的完成合同工程所需的期限，包括按第</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11</w:t>
      </w:r>
      <w:r>
        <w:rPr>
          <w:rFonts w:ascii="宋体" w:hAnsi="宋体" w:eastAsia="宋体" w:cs="宋体"/>
          <w:snapToGrid w:val="0"/>
          <w:color w:val="000000"/>
          <w:spacing w:val="6"/>
          <w:kern w:val="0"/>
          <w:sz w:val="20"/>
          <w:szCs w:val="20"/>
          <w:lang w:val="en-US" w:eastAsia="en-US" w:bidi="ar-SA"/>
        </w:rPr>
        <w:t>.3 款、第</w:t>
      </w:r>
      <w:r>
        <w:rPr>
          <w:rFonts w:ascii="宋体" w:hAnsi="宋体" w:eastAsia="宋体" w:cs="宋体"/>
          <w:snapToGrid w:val="0"/>
          <w:color w:val="000000"/>
          <w:spacing w:val="5"/>
          <w:kern w:val="0"/>
          <w:sz w:val="20"/>
          <w:szCs w:val="20"/>
          <w:lang w:val="en-US" w:eastAsia="en-US" w:bidi="ar-SA"/>
        </w:rPr>
        <w:t>11.4 款和第</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11.6 款约定所作的变更。</w:t>
      </w:r>
    </w:p>
    <w:p w14:paraId="630D4DA2">
      <w:pPr>
        <w:kinsoku w:val="0"/>
        <w:autoSpaceDE w:val="0"/>
        <w:autoSpaceDN w:val="0"/>
        <w:adjustRightInd w:val="0"/>
        <w:snapToGrid w:val="0"/>
        <w:spacing w:before="162" w:line="240" w:lineRule="auto"/>
        <w:ind w:left="20" w:right="115" w:firstLine="4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1.1.4.4</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竣工日期：指第</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1.1.4.3</w:t>
      </w:r>
      <w:r>
        <w:rPr>
          <w:rFonts w:ascii="宋体" w:hAnsi="宋体" w:eastAsia="宋体" w:cs="宋体"/>
          <w:snapToGrid w:val="0"/>
          <w:color w:val="000000"/>
          <w:spacing w:val="5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目约定工期届满时的日期</w:t>
      </w:r>
      <w:r>
        <w:rPr>
          <w:rFonts w:ascii="宋体" w:hAnsi="宋体" w:eastAsia="宋体" w:cs="宋体"/>
          <w:snapToGrid w:val="0"/>
          <w:color w:val="000000"/>
          <w:spacing w:val="5"/>
          <w:kern w:val="0"/>
          <w:sz w:val="20"/>
          <w:szCs w:val="20"/>
          <w:lang w:val="en-US" w:eastAsia="en-US" w:bidi="ar-SA"/>
        </w:rPr>
        <w:t>。实际竣工日期以工程接收证书中写明的日期为准。</w:t>
      </w:r>
    </w:p>
    <w:p w14:paraId="4CFAE135">
      <w:pPr>
        <w:kinsoku w:val="0"/>
        <w:autoSpaceDE w:val="0"/>
        <w:autoSpaceDN w:val="0"/>
        <w:adjustRightInd w:val="0"/>
        <w:snapToGrid w:val="0"/>
        <w:spacing w:before="161" w:line="240" w:lineRule="auto"/>
        <w:ind w:left="5" w:right="12" w:firstLine="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1.1.4.5      缺陷责任期：指履行第</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19.2</w:t>
      </w:r>
      <w:r>
        <w:rPr>
          <w:rFonts w:ascii="宋体" w:hAnsi="宋体" w:eastAsia="宋体" w:cs="宋体"/>
          <w:snapToGrid w:val="0"/>
          <w:color w:val="000000"/>
          <w:spacing w:val="1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款约定的缺陷责任的期限，具体期限由专用</w:t>
      </w:r>
      <w:r>
        <w:rPr>
          <w:rFonts w:ascii="宋体" w:hAnsi="宋体" w:eastAsia="宋体" w:cs="宋体"/>
          <w:snapToGrid w:val="0"/>
          <w:color w:val="000000"/>
          <w:spacing w:val="7"/>
          <w:kern w:val="0"/>
          <w:sz w:val="20"/>
          <w:szCs w:val="20"/>
          <w:lang w:val="en-US" w:eastAsia="en-US" w:bidi="ar-SA"/>
        </w:rPr>
        <w:t>合同条款约</w:t>
      </w:r>
      <w:r>
        <w:rPr>
          <w:rFonts w:ascii="宋体" w:hAnsi="宋体" w:eastAsia="宋体" w:cs="宋体"/>
          <w:snapToGrid w:val="0"/>
          <w:color w:val="000000"/>
          <w:spacing w:val="6"/>
          <w:kern w:val="0"/>
          <w:sz w:val="20"/>
          <w:szCs w:val="20"/>
          <w:lang w:val="en-US" w:eastAsia="en-US" w:bidi="ar-SA"/>
        </w:rPr>
        <w:t>定，包括根据第</w:t>
      </w:r>
      <w:r>
        <w:rPr>
          <w:rFonts w:ascii="宋体" w:hAnsi="宋体" w:eastAsia="宋体" w:cs="宋体"/>
          <w:snapToGrid w:val="0"/>
          <w:color w:val="000000"/>
          <w:spacing w:val="37"/>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19.3 款约定所作的延长。</w:t>
      </w:r>
    </w:p>
    <w:p w14:paraId="7A52C164">
      <w:pPr>
        <w:kinsoku w:val="0"/>
        <w:autoSpaceDE w:val="0"/>
        <w:autoSpaceDN w:val="0"/>
        <w:adjustRightInd w:val="0"/>
        <w:snapToGrid w:val="0"/>
        <w:spacing w:before="165"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1.1.4.6</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基准日期：指投标截止时间前 28 天的</w:t>
      </w:r>
      <w:r>
        <w:rPr>
          <w:rFonts w:ascii="宋体" w:hAnsi="宋体" w:eastAsia="宋体" w:cs="宋体"/>
          <w:snapToGrid w:val="0"/>
          <w:color w:val="000000"/>
          <w:spacing w:val="5"/>
          <w:kern w:val="0"/>
          <w:sz w:val="20"/>
          <w:szCs w:val="20"/>
          <w:lang w:val="en-US" w:eastAsia="en-US" w:bidi="ar-SA"/>
        </w:rPr>
        <w:t>日期。</w:t>
      </w:r>
    </w:p>
    <w:p w14:paraId="1A3818B6">
      <w:pPr>
        <w:kinsoku w:val="0"/>
        <w:autoSpaceDE w:val="0"/>
        <w:autoSpaceDN w:val="0"/>
        <w:adjustRightInd w:val="0"/>
        <w:snapToGrid w:val="0"/>
        <w:spacing w:before="160" w:line="240" w:lineRule="auto"/>
        <w:ind w:left="1" w:right="1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1.1.4.7      天：除特别指明外，指日历天。合同中按天计算时间的，开始当天不计入，从次</w:t>
      </w:r>
      <w:r>
        <w:rPr>
          <w:rFonts w:ascii="宋体" w:hAnsi="宋体" w:eastAsia="宋体" w:cs="宋体"/>
          <w:snapToGrid w:val="0"/>
          <w:color w:val="000000"/>
          <w:spacing w:val="8"/>
          <w:kern w:val="0"/>
          <w:sz w:val="20"/>
          <w:szCs w:val="20"/>
          <w:lang w:val="en-US" w:eastAsia="en-US" w:bidi="ar-SA"/>
        </w:rPr>
        <w:t>日开始计算。期限最后一天的截止时间为当天 24:00。</w:t>
      </w:r>
    </w:p>
    <w:p w14:paraId="0E70AFC8">
      <w:pPr>
        <w:kinsoku w:val="0"/>
        <w:autoSpaceDE w:val="0"/>
        <w:autoSpaceDN w:val="0"/>
        <w:adjustRightInd w:val="0"/>
        <w:snapToGrid w:val="0"/>
        <w:spacing w:before="162" w:line="240" w:lineRule="auto"/>
        <w:ind w:left="436"/>
        <w:jc w:val="left"/>
        <w:textAlignment w:val="baseline"/>
        <w:outlineLvl w:val="2"/>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1.1.5</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合同价格和费用</w:t>
      </w:r>
    </w:p>
    <w:p w14:paraId="6BB3E841">
      <w:pPr>
        <w:kinsoku w:val="0"/>
        <w:autoSpaceDE w:val="0"/>
        <w:autoSpaceDN w:val="0"/>
        <w:adjustRightInd w:val="0"/>
        <w:snapToGrid w:val="0"/>
        <w:spacing w:before="166" w:line="240" w:lineRule="auto"/>
        <w:ind w:left="2" w:right="12"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1.1.5.1      签约合同价：指签定合同时合同协议书中写明的，包括了暂列金额、暂估价的合</w:t>
      </w:r>
      <w:r>
        <w:rPr>
          <w:rFonts w:ascii="宋体" w:hAnsi="宋体" w:eastAsia="宋体" w:cs="宋体"/>
          <w:snapToGrid w:val="0"/>
          <w:color w:val="000000"/>
          <w:spacing w:val="8"/>
          <w:kern w:val="0"/>
          <w:sz w:val="20"/>
          <w:szCs w:val="20"/>
          <w:lang w:val="en-US" w:eastAsia="en-US" w:bidi="ar-SA"/>
        </w:rPr>
        <w:t>同总</w:t>
      </w:r>
      <w:r>
        <w:rPr>
          <w:rFonts w:ascii="宋体" w:hAnsi="宋体" w:eastAsia="宋体" w:cs="宋体"/>
          <w:snapToGrid w:val="0"/>
          <w:color w:val="000000"/>
          <w:spacing w:val="2"/>
          <w:kern w:val="0"/>
          <w:sz w:val="20"/>
          <w:szCs w:val="20"/>
          <w:lang w:val="en-US" w:eastAsia="en-US" w:bidi="ar-SA"/>
        </w:rPr>
        <w:t>金额。</w:t>
      </w:r>
    </w:p>
    <w:p w14:paraId="4DBB3C08">
      <w:pPr>
        <w:kinsoku w:val="0"/>
        <w:autoSpaceDE w:val="0"/>
        <w:autoSpaceDN w:val="0"/>
        <w:adjustRightInd w:val="0"/>
        <w:snapToGrid w:val="0"/>
        <w:spacing w:before="161" w:line="240" w:lineRule="auto"/>
        <w:ind w:right="1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1.1.5.2      合同价格：指承包人按合同约定完成了包括缺陷责任期内的全部承包工作后，发</w:t>
      </w:r>
      <w:r>
        <w:rPr>
          <w:rFonts w:ascii="宋体" w:hAnsi="宋体" w:eastAsia="宋体" w:cs="宋体"/>
          <w:snapToGrid w:val="0"/>
          <w:color w:val="000000"/>
          <w:spacing w:val="8"/>
          <w:kern w:val="0"/>
          <w:sz w:val="20"/>
          <w:szCs w:val="20"/>
          <w:lang w:val="en-US" w:eastAsia="en-US" w:bidi="ar-SA"/>
        </w:rPr>
        <w:t>包人</w:t>
      </w:r>
      <w:r>
        <w:rPr>
          <w:rFonts w:ascii="宋体" w:hAnsi="宋体" w:eastAsia="宋体" w:cs="宋体"/>
          <w:snapToGrid w:val="0"/>
          <w:color w:val="000000"/>
          <w:spacing w:val="9"/>
          <w:kern w:val="0"/>
          <w:sz w:val="20"/>
          <w:szCs w:val="20"/>
          <w:lang w:val="en-US" w:eastAsia="en-US" w:bidi="ar-SA"/>
        </w:rPr>
        <w:t>应付给承包人的金额，包括在履行合同过程中按合同约定进行的变更和调整。</w:t>
      </w:r>
    </w:p>
    <w:p w14:paraId="4FA910EC">
      <w:pPr>
        <w:kinsoku w:val="0"/>
        <w:autoSpaceDE w:val="0"/>
        <w:autoSpaceDN w:val="0"/>
        <w:adjustRightInd w:val="0"/>
        <w:snapToGrid w:val="0"/>
        <w:spacing w:before="163" w:line="240" w:lineRule="auto"/>
        <w:ind w:right="1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1.1.5.3</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费用：指为履行合同所发生的或将要发生的所有合理开</w:t>
      </w:r>
      <w:r>
        <w:rPr>
          <w:rFonts w:ascii="宋体" w:hAnsi="宋体" w:eastAsia="宋体" w:cs="宋体"/>
          <w:snapToGrid w:val="0"/>
          <w:color w:val="000000"/>
          <w:spacing w:val="7"/>
          <w:kern w:val="0"/>
          <w:sz w:val="20"/>
          <w:szCs w:val="20"/>
          <w:lang w:val="en-US" w:eastAsia="en-US" w:bidi="ar-SA"/>
        </w:rPr>
        <w:t>支，包括管理费和应分摊的其</w:t>
      </w:r>
      <w:r>
        <w:rPr>
          <w:rFonts w:ascii="宋体" w:hAnsi="宋体" w:eastAsia="宋体" w:cs="宋体"/>
          <w:snapToGrid w:val="0"/>
          <w:color w:val="000000"/>
          <w:spacing w:val="8"/>
          <w:kern w:val="0"/>
          <w:sz w:val="20"/>
          <w:szCs w:val="20"/>
          <w:lang w:val="en-US" w:eastAsia="en-US" w:bidi="ar-SA"/>
        </w:rPr>
        <w:t>他费用，但不包括利润。</w:t>
      </w:r>
    </w:p>
    <w:p w14:paraId="3D29E776">
      <w:pPr>
        <w:kinsoku w:val="0"/>
        <w:autoSpaceDE w:val="0"/>
        <w:autoSpaceDN w:val="0"/>
        <w:adjustRightInd w:val="0"/>
        <w:snapToGrid w:val="0"/>
        <w:spacing w:before="162" w:line="240" w:lineRule="auto"/>
        <w:ind w:left="4" w:right="12" w:firstLine="43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1.1.5.4</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暂列金额：指已标价工程量清单中所列的暂列金额，用于在签订协</w:t>
      </w:r>
      <w:r>
        <w:rPr>
          <w:rFonts w:ascii="宋体" w:hAnsi="宋体" w:eastAsia="宋体" w:cs="宋体"/>
          <w:snapToGrid w:val="0"/>
          <w:color w:val="000000"/>
          <w:spacing w:val="7"/>
          <w:kern w:val="0"/>
          <w:sz w:val="20"/>
          <w:szCs w:val="20"/>
          <w:lang w:val="en-US" w:eastAsia="en-US" w:bidi="ar-SA"/>
        </w:rPr>
        <w:t>议书时尚未确定或</w:t>
      </w:r>
      <w:r>
        <w:rPr>
          <w:rFonts w:ascii="宋体" w:hAnsi="宋体" w:eastAsia="宋体" w:cs="宋体"/>
          <w:snapToGrid w:val="0"/>
          <w:color w:val="000000"/>
          <w:spacing w:val="9"/>
          <w:kern w:val="0"/>
          <w:sz w:val="20"/>
          <w:szCs w:val="20"/>
          <w:lang w:val="en-US" w:eastAsia="en-US" w:bidi="ar-SA"/>
        </w:rPr>
        <w:t>不可预见变更的施工及其所需材料、工程设备、服务等的金额，包括以计日工方式支付的金额。</w:t>
      </w:r>
    </w:p>
    <w:p w14:paraId="56FE122F">
      <w:pPr>
        <w:kinsoku w:val="0"/>
        <w:autoSpaceDE w:val="0"/>
        <w:autoSpaceDN w:val="0"/>
        <w:adjustRightInd w:val="0"/>
        <w:snapToGrid w:val="0"/>
        <w:spacing w:before="163" w:line="240" w:lineRule="auto"/>
        <w:ind w:right="1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1.1.5.5</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暂估价：指发包人在工程量清单中给定的用于支付必然发生但暂时</w:t>
      </w:r>
      <w:r>
        <w:rPr>
          <w:rFonts w:ascii="宋体" w:hAnsi="宋体" w:eastAsia="宋体" w:cs="宋体"/>
          <w:snapToGrid w:val="0"/>
          <w:color w:val="000000"/>
          <w:spacing w:val="7"/>
          <w:kern w:val="0"/>
          <w:sz w:val="20"/>
          <w:szCs w:val="20"/>
          <w:lang w:val="en-US" w:eastAsia="en-US" w:bidi="ar-SA"/>
        </w:rPr>
        <w:t>不能确定价格的材</w:t>
      </w:r>
      <w:r>
        <w:rPr>
          <w:rFonts w:ascii="宋体" w:hAnsi="宋体" w:eastAsia="宋体" w:cs="宋体"/>
          <w:snapToGrid w:val="0"/>
          <w:color w:val="000000"/>
          <w:spacing w:val="8"/>
          <w:kern w:val="0"/>
          <w:sz w:val="20"/>
          <w:szCs w:val="20"/>
          <w:lang w:val="en-US" w:eastAsia="en-US" w:bidi="ar-SA"/>
        </w:rPr>
        <w:t>料、设备以及专业工程的金额。</w:t>
      </w:r>
    </w:p>
    <w:p w14:paraId="67D77276">
      <w:pPr>
        <w:kinsoku w:val="0"/>
        <w:autoSpaceDE w:val="0"/>
        <w:autoSpaceDN w:val="0"/>
        <w:adjustRightInd w:val="0"/>
        <w:snapToGrid w:val="0"/>
        <w:spacing w:before="163" w:line="240" w:lineRule="auto"/>
        <w:ind w:left="2" w:firstLine="433"/>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9"/>
          <w:kern w:val="0"/>
          <w:sz w:val="20"/>
          <w:szCs w:val="20"/>
          <w:lang w:val="en-US" w:eastAsia="en-US" w:bidi="ar-SA"/>
        </w:rPr>
        <w:t>1.1.5.6      计日工：指对零星工作采取的一种计价方式，按合同中的计日</w:t>
      </w:r>
      <w:r>
        <w:rPr>
          <w:rFonts w:ascii="宋体" w:hAnsi="宋体" w:eastAsia="宋体" w:cs="宋体"/>
          <w:snapToGrid w:val="0"/>
          <w:color w:val="000000"/>
          <w:spacing w:val="8"/>
          <w:kern w:val="0"/>
          <w:sz w:val="20"/>
          <w:szCs w:val="20"/>
          <w:lang w:val="en-US" w:eastAsia="en-US" w:bidi="ar-SA"/>
        </w:rPr>
        <w:t>工子目及其单价计价</w:t>
      </w:r>
      <w:r>
        <w:rPr>
          <w:rFonts w:ascii="宋体" w:hAnsi="宋体" w:eastAsia="宋体" w:cs="宋体"/>
          <w:snapToGrid w:val="0"/>
          <w:color w:val="000000"/>
          <w:spacing w:val="8"/>
          <w:kern w:val="0"/>
          <w:sz w:val="22"/>
          <w:szCs w:val="22"/>
          <w:lang w:val="en-US" w:eastAsia="en-US" w:bidi="ar-SA"/>
        </w:rPr>
        <w:t>付</w:t>
      </w:r>
      <w:r>
        <w:rPr>
          <w:rFonts w:ascii="宋体" w:hAnsi="宋体" w:eastAsia="宋体" w:cs="宋体"/>
          <w:snapToGrid w:val="0"/>
          <w:color w:val="000000"/>
          <w:spacing w:val="-5"/>
          <w:kern w:val="0"/>
          <w:sz w:val="22"/>
          <w:szCs w:val="22"/>
          <w:lang w:val="en-US" w:eastAsia="en-US" w:bidi="ar-SA"/>
        </w:rPr>
        <w:t>款。</w:t>
      </w:r>
    </w:p>
    <w:p w14:paraId="00170D9C">
      <w:pPr>
        <w:kinsoku w:val="0"/>
        <w:autoSpaceDE w:val="0"/>
        <w:autoSpaceDN w:val="0"/>
        <w:adjustRightInd w:val="0"/>
        <w:snapToGrid w:val="0"/>
        <w:spacing w:before="163" w:line="240" w:lineRule="auto"/>
        <w:ind w:left="2" w:firstLine="433"/>
        <w:jc w:val="left"/>
        <w:textAlignment w:val="baseline"/>
        <w:rPr>
          <w:rFonts w:ascii="宋体" w:hAnsi="宋体" w:eastAsia="宋体" w:cs="宋体"/>
          <w:snapToGrid w:val="0"/>
          <w:color w:val="000000"/>
          <w:spacing w:val="9"/>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1.1.5.7      质量保证金（或称保留金）：指按第 17.4.1 项约定用于保证在缺陷责任期内履行缺陷修复义务的金额。</w:t>
      </w:r>
    </w:p>
    <w:p w14:paraId="01DBDDAC">
      <w:pPr>
        <w:kinsoku w:val="0"/>
        <w:autoSpaceDE w:val="0"/>
        <w:autoSpaceDN w:val="0"/>
        <w:adjustRightInd w:val="0"/>
        <w:snapToGrid w:val="0"/>
        <w:spacing w:before="163" w:line="240" w:lineRule="auto"/>
        <w:ind w:left="436"/>
        <w:jc w:val="left"/>
        <w:textAlignment w:val="baseline"/>
        <w:outlineLvl w:val="2"/>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1.1.6</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其他</w:t>
      </w:r>
    </w:p>
    <w:p w14:paraId="337CF3F5">
      <w:pPr>
        <w:kinsoku w:val="0"/>
        <w:autoSpaceDE w:val="0"/>
        <w:autoSpaceDN w:val="0"/>
        <w:adjustRightInd w:val="0"/>
        <w:snapToGrid w:val="0"/>
        <w:spacing w:before="160"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1.1.6.1</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书面形式：指合同文件、信函、</w:t>
      </w:r>
      <w:r>
        <w:rPr>
          <w:rFonts w:ascii="宋体" w:hAnsi="宋体" w:eastAsia="宋体" w:cs="宋体"/>
          <w:snapToGrid w:val="0"/>
          <w:color w:val="000000"/>
          <w:spacing w:val="-57"/>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电</w:t>
      </w:r>
      <w:r>
        <w:rPr>
          <w:rFonts w:ascii="宋体" w:hAnsi="宋体" w:eastAsia="宋体" w:cs="宋体"/>
          <w:snapToGrid w:val="0"/>
          <w:color w:val="000000"/>
          <w:spacing w:val="6"/>
          <w:kern w:val="0"/>
          <w:sz w:val="20"/>
          <w:szCs w:val="20"/>
          <w:lang w:val="en-US" w:eastAsia="en-US" w:bidi="ar-SA"/>
        </w:rPr>
        <w:t>报、传真等可以有形地表现所载内容的形式。</w:t>
      </w:r>
    </w:p>
    <w:p w14:paraId="5E005EAE">
      <w:pPr>
        <w:kinsoku w:val="0"/>
        <w:autoSpaceDE w:val="0"/>
        <w:autoSpaceDN w:val="0"/>
        <w:adjustRightInd w:val="0"/>
        <w:snapToGrid w:val="0"/>
        <w:spacing w:before="169"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1.2</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语言文字</w:t>
      </w:r>
    </w:p>
    <w:p w14:paraId="70A3307B">
      <w:pPr>
        <w:kinsoku w:val="0"/>
        <w:autoSpaceDE w:val="0"/>
        <w:autoSpaceDN w:val="0"/>
        <w:adjustRightInd w:val="0"/>
        <w:snapToGrid w:val="0"/>
        <w:spacing w:before="175" w:line="240" w:lineRule="auto"/>
        <w:ind w:left="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除专用术语外，合同使用的语言文字为中文。必要时专用术语应附有中文注释。</w:t>
      </w:r>
    </w:p>
    <w:p w14:paraId="58EB77AE">
      <w:pPr>
        <w:kinsoku w:val="0"/>
        <w:autoSpaceDE w:val="0"/>
        <w:autoSpaceDN w:val="0"/>
        <w:adjustRightInd w:val="0"/>
        <w:snapToGrid w:val="0"/>
        <w:spacing w:before="167"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11"/>
          <w:kern w:val="0"/>
          <w:sz w:val="24"/>
          <w:szCs w:val="24"/>
          <w:lang w:val="en-US" w:eastAsia="en-US" w:bidi="ar-SA"/>
        </w:rPr>
        <w:t>1.3</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11"/>
          <w:kern w:val="0"/>
          <w:sz w:val="24"/>
          <w:szCs w:val="24"/>
          <w:lang w:val="en-US" w:eastAsia="en-US" w:bidi="ar-SA"/>
        </w:rPr>
        <w:t>法律</w:t>
      </w:r>
    </w:p>
    <w:p w14:paraId="162FC14E">
      <w:pPr>
        <w:kinsoku w:val="0"/>
        <w:autoSpaceDE w:val="0"/>
        <w:autoSpaceDN w:val="0"/>
        <w:adjustRightInd w:val="0"/>
        <w:snapToGrid w:val="0"/>
        <w:spacing w:before="178" w:line="240" w:lineRule="auto"/>
        <w:ind w:left="35" w:right="34" w:firstLine="38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适用于合同的法律包括中华人民共和国法律、行政法规、部门规章，</w:t>
      </w:r>
      <w:r>
        <w:rPr>
          <w:rFonts w:ascii="宋体" w:hAnsi="宋体" w:eastAsia="宋体" w:cs="宋体"/>
          <w:snapToGrid w:val="0"/>
          <w:color w:val="000000"/>
          <w:spacing w:val="-60"/>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以及工程所在地的地方法规、</w:t>
      </w:r>
      <w:r>
        <w:rPr>
          <w:rFonts w:ascii="宋体" w:hAnsi="宋体" w:eastAsia="宋体" w:cs="宋体"/>
          <w:snapToGrid w:val="0"/>
          <w:color w:val="000000"/>
          <w:spacing w:val="6"/>
          <w:kern w:val="0"/>
          <w:sz w:val="20"/>
          <w:szCs w:val="20"/>
          <w:lang w:val="en-US" w:eastAsia="en-US" w:bidi="ar-SA"/>
        </w:rPr>
        <w:t>自治条例、单行条例和地方政府规章。</w:t>
      </w:r>
    </w:p>
    <w:p w14:paraId="6FC58A7B">
      <w:pPr>
        <w:kinsoku w:val="0"/>
        <w:autoSpaceDE w:val="0"/>
        <w:autoSpaceDN w:val="0"/>
        <w:adjustRightInd w:val="0"/>
        <w:snapToGrid w:val="0"/>
        <w:spacing w:before="3"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1.4</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合同文件的优先顺序</w:t>
      </w:r>
    </w:p>
    <w:p w14:paraId="098471E9">
      <w:pPr>
        <w:kinsoku w:val="0"/>
        <w:autoSpaceDE w:val="0"/>
        <w:autoSpaceDN w:val="0"/>
        <w:adjustRightInd w:val="0"/>
        <w:snapToGrid w:val="0"/>
        <w:spacing w:before="177" w:line="240" w:lineRule="auto"/>
        <w:ind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组成合同的各项文件应互相解释，互为说明。除专用合同条款另有约</w:t>
      </w:r>
      <w:r>
        <w:rPr>
          <w:rFonts w:ascii="宋体" w:hAnsi="宋体" w:eastAsia="宋体" w:cs="宋体"/>
          <w:snapToGrid w:val="0"/>
          <w:color w:val="000000"/>
          <w:spacing w:val="9"/>
          <w:kern w:val="0"/>
          <w:sz w:val="20"/>
          <w:szCs w:val="20"/>
          <w:lang w:val="en-US" w:eastAsia="en-US" w:bidi="ar-SA"/>
        </w:rPr>
        <w:t>定外，解释合同文件的优先顺</w:t>
      </w:r>
      <w:r>
        <w:rPr>
          <w:rFonts w:ascii="宋体" w:hAnsi="宋体" w:eastAsia="宋体" w:cs="宋体"/>
          <w:snapToGrid w:val="0"/>
          <w:color w:val="000000"/>
          <w:spacing w:val="5"/>
          <w:kern w:val="0"/>
          <w:sz w:val="20"/>
          <w:szCs w:val="20"/>
          <w:lang w:val="en-US" w:eastAsia="en-US" w:bidi="ar-SA"/>
        </w:rPr>
        <w:t>序如下：</w:t>
      </w:r>
    </w:p>
    <w:p w14:paraId="69C65A53">
      <w:pPr>
        <w:kinsoku w:val="0"/>
        <w:autoSpaceDE w:val="0"/>
        <w:autoSpaceDN w:val="0"/>
        <w:adjustRightInd w:val="0"/>
        <w:snapToGrid w:val="0"/>
        <w:spacing w:before="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3"/>
          <w:kern w:val="0"/>
          <w:sz w:val="18"/>
          <w:szCs w:val="18"/>
          <w:lang w:val="en-US" w:eastAsia="en-US" w:bidi="ar-SA"/>
        </w:rPr>
        <w:t>（1）</w:t>
      </w:r>
      <w:r>
        <w:rPr>
          <w:rFonts w:ascii="宋体" w:hAnsi="宋体" w:eastAsia="宋体" w:cs="宋体"/>
          <w:snapToGrid w:val="0"/>
          <w:color w:val="000000"/>
          <w:spacing w:val="23"/>
          <w:kern w:val="0"/>
          <w:sz w:val="18"/>
          <w:szCs w:val="18"/>
          <w:lang w:val="en-US" w:eastAsia="en-US" w:bidi="ar-SA"/>
        </w:rPr>
        <w:t xml:space="preserve">   </w:t>
      </w:r>
      <w:r>
        <w:rPr>
          <w:rFonts w:ascii="宋体" w:hAnsi="宋体" w:eastAsia="宋体" w:cs="宋体"/>
          <w:snapToGrid w:val="0"/>
          <w:color w:val="000000"/>
          <w:spacing w:val="3"/>
          <w:kern w:val="0"/>
          <w:sz w:val="20"/>
          <w:szCs w:val="20"/>
          <w:lang w:val="en-US" w:eastAsia="en-US" w:bidi="ar-SA"/>
        </w:rPr>
        <w:t>合同协议书；</w:t>
      </w:r>
    </w:p>
    <w:p w14:paraId="5D288858">
      <w:pPr>
        <w:kinsoku w:val="0"/>
        <w:autoSpaceDE w:val="0"/>
        <w:autoSpaceDN w:val="0"/>
        <w:adjustRightInd w:val="0"/>
        <w:snapToGrid w:val="0"/>
        <w:spacing w:before="162"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18"/>
          <w:szCs w:val="18"/>
          <w:lang w:val="en-US" w:eastAsia="en-US" w:bidi="ar-SA"/>
        </w:rPr>
        <w:t>（2）</w:t>
      </w:r>
      <w:r>
        <w:rPr>
          <w:rFonts w:ascii="宋体" w:hAnsi="宋体" w:eastAsia="宋体" w:cs="宋体"/>
          <w:snapToGrid w:val="0"/>
          <w:color w:val="000000"/>
          <w:spacing w:val="29"/>
          <w:kern w:val="0"/>
          <w:sz w:val="18"/>
          <w:szCs w:val="18"/>
          <w:lang w:val="en-US" w:eastAsia="en-US" w:bidi="ar-SA"/>
        </w:rPr>
        <w:t xml:space="preserve">   </w:t>
      </w:r>
      <w:r>
        <w:rPr>
          <w:rFonts w:ascii="宋体" w:hAnsi="宋体" w:eastAsia="宋体" w:cs="宋体"/>
          <w:snapToGrid w:val="0"/>
          <w:color w:val="000000"/>
          <w:spacing w:val="1"/>
          <w:kern w:val="0"/>
          <w:sz w:val="20"/>
          <w:szCs w:val="20"/>
          <w:lang w:val="en-US" w:eastAsia="en-US" w:bidi="ar-SA"/>
        </w:rPr>
        <w:t>中标通知书；</w:t>
      </w:r>
    </w:p>
    <w:p w14:paraId="466AE893">
      <w:pPr>
        <w:kinsoku w:val="0"/>
        <w:autoSpaceDE w:val="0"/>
        <w:autoSpaceDN w:val="0"/>
        <w:adjustRightInd w:val="0"/>
        <w:snapToGrid w:val="0"/>
        <w:spacing w:before="165"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18"/>
          <w:szCs w:val="18"/>
          <w:lang w:val="en-US" w:eastAsia="en-US" w:bidi="ar-SA"/>
        </w:rPr>
        <w:t>（3）</w:t>
      </w:r>
      <w:r>
        <w:rPr>
          <w:rFonts w:ascii="宋体" w:hAnsi="宋体" w:eastAsia="宋体" w:cs="宋体"/>
          <w:snapToGrid w:val="0"/>
          <w:color w:val="000000"/>
          <w:spacing w:val="24"/>
          <w:kern w:val="0"/>
          <w:sz w:val="18"/>
          <w:szCs w:val="18"/>
          <w:lang w:val="en-US" w:eastAsia="en-US" w:bidi="ar-SA"/>
        </w:rPr>
        <w:t xml:space="preserve">   </w:t>
      </w:r>
      <w:r>
        <w:rPr>
          <w:rFonts w:ascii="宋体" w:hAnsi="宋体" w:eastAsia="宋体" w:cs="宋体"/>
          <w:snapToGrid w:val="0"/>
          <w:color w:val="000000"/>
          <w:spacing w:val="5"/>
          <w:kern w:val="0"/>
          <w:sz w:val="20"/>
          <w:szCs w:val="20"/>
          <w:lang w:val="en-US" w:eastAsia="en-US" w:bidi="ar-SA"/>
        </w:rPr>
        <w:t>投标函及投标函附录；</w:t>
      </w:r>
    </w:p>
    <w:p w14:paraId="6BA9828E">
      <w:pPr>
        <w:kinsoku w:val="0"/>
        <w:autoSpaceDE w:val="0"/>
        <w:autoSpaceDN w:val="0"/>
        <w:adjustRightInd w:val="0"/>
        <w:snapToGrid w:val="0"/>
        <w:spacing w:before="162"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18"/>
          <w:szCs w:val="18"/>
          <w:lang w:val="en-US" w:eastAsia="en-US" w:bidi="ar-SA"/>
        </w:rPr>
        <w:t>（4）</w:t>
      </w:r>
      <w:r>
        <w:rPr>
          <w:rFonts w:ascii="宋体" w:hAnsi="宋体" w:eastAsia="宋体" w:cs="宋体"/>
          <w:snapToGrid w:val="0"/>
          <w:color w:val="000000"/>
          <w:spacing w:val="22"/>
          <w:kern w:val="0"/>
          <w:sz w:val="18"/>
          <w:szCs w:val="18"/>
          <w:lang w:val="en-US" w:eastAsia="en-US" w:bidi="ar-SA"/>
        </w:rPr>
        <w:t xml:space="preserve">   </w:t>
      </w:r>
      <w:r>
        <w:rPr>
          <w:rFonts w:ascii="宋体" w:hAnsi="宋体" w:eastAsia="宋体" w:cs="宋体"/>
          <w:snapToGrid w:val="0"/>
          <w:color w:val="000000"/>
          <w:spacing w:val="4"/>
          <w:kern w:val="0"/>
          <w:sz w:val="20"/>
          <w:szCs w:val="20"/>
          <w:lang w:val="en-US" w:eastAsia="en-US" w:bidi="ar-SA"/>
        </w:rPr>
        <w:t>专用合同条款；</w:t>
      </w:r>
    </w:p>
    <w:p w14:paraId="31DAE659">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18"/>
          <w:szCs w:val="18"/>
          <w:lang w:val="en-US" w:eastAsia="en-US" w:bidi="ar-SA"/>
        </w:rPr>
        <w:t>（5）</w:t>
      </w:r>
      <w:r>
        <w:rPr>
          <w:rFonts w:ascii="宋体" w:hAnsi="宋体" w:eastAsia="宋体" w:cs="宋体"/>
          <w:snapToGrid w:val="0"/>
          <w:color w:val="000000"/>
          <w:spacing w:val="22"/>
          <w:kern w:val="0"/>
          <w:sz w:val="18"/>
          <w:szCs w:val="18"/>
          <w:lang w:val="en-US" w:eastAsia="en-US" w:bidi="ar-SA"/>
        </w:rPr>
        <w:t xml:space="preserve">   </w:t>
      </w:r>
      <w:r>
        <w:rPr>
          <w:rFonts w:ascii="宋体" w:hAnsi="宋体" w:eastAsia="宋体" w:cs="宋体"/>
          <w:snapToGrid w:val="0"/>
          <w:color w:val="000000"/>
          <w:spacing w:val="4"/>
          <w:kern w:val="0"/>
          <w:sz w:val="20"/>
          <w:szCs w:val="20"/>
          <w:lang w:val="en-US" w:eastAsia="en-US" w:bidi="ar-SA"/>
        </w:rPr>
        <w:t>通用合同条款；</w:t>
      </w:r>
    </w:p>
    <w:p w14:paraId="1CBA9502">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18"/>
          <w:szCs w:val="18"/>
          <w:lang w:val="en-US" w:eastAsia="en-US" w:bidi="ar-SA"/>
        </w:rPr>
        <w:t>（6）</w:t>
      </w:r>
      <w:r>
        <w:rPr>
          <w:rFonts w:ascii="宋体" w:hAnsi="宋体" w:eastAsia="宋体" w:cs="宋体"/>
          <w:snapToGrid w:val="0"/>
          <w:color w:val="000000"/>
          <w:spacing w:val="24"/>
          <w:kern w:val="0"/>
          <w:sz w:val="18"/>
          <w:szCs w:val="18"/>
          <w:lang w:val="en-US" w:eastAsia="en-US" w:bidi="ar-SA"/>
        </w:rPr>
        <w:t xml:space="preserve">   </w:t>
      </w:r>
      <w:r>
        <w:rPr>
          <w:rFonts w:ascii="宋体" w:hAnsi="宋体" w:eastAsia="宋体" w:cs="宋体"/>
          <w:snapToGrid w:val="0"/>
          <w:color w:val="000000"/>
          <w:spacing w:val="4"/>
          <w:kern w:val="0"/>
          <w:sz w:val="20"/>
          <w:szCs w:val="20"/>
          <w:lang w:val="en-US" w:eastAsia="en-US" w:bidi="ar-SA"/>
        </w:rPr>
        <w:t>技术标准和要求；</w:t>
      </w:r>
    </w:p>
    <w:p w14:paraId="2CB326CE">
      <w:pPr>
        <w:kinsoku w:val="0"/>
        <w:autoSpaceDE w:val="0"/>
        <w:autoSpaceDN w:val="0"/>
        <w:adjustRightInd w:val="0"/>
        <w:snapToGrid w:val="0"/>
        <w:spacing w:before="163"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3"/>
          <w:kern w:val="0"/>
          <w:sz w:val="18"/>
          <w:szCs w:val="18"/>
          <w:lang w:val="en-US" w:eastAsia="en-US" w:bidi="ar-SA"/>
        </w:rPr>
        <w:t>（7）</w:t>
      </w:r>
      <w:r>
        <w:rPr>
          <w:rFonts w:ascii="宋体" w:hAnsi="宋体" w:eastAsia="宋体" w:cs="宋体"/>
          <w:snapToGrid w:val="0"/>
          <w:color w:val="000000"/>
          <w:spacing w:val="28"/>
          <w:kern w:val="0"/>
          <w:sz w:val="18"/>
          <w:szCs w:val="18"/>
          <w:lang w:val="en-US" w:eastAsia="en-US" w:bidi="ar-SA"/>
        </w:rPr>
        <w:t xml:space="preserve">   </w:t>
      </w:r>
      <w:r>
        <w:rPr>
          <w:rFonts w:ascii="宋体" w:hAnsi="宋体" w:eastAsia="宋体" w:cs="宋体"/>
          <w:snapToGrid w:val="0"/>
          <w:color w:val="000000"/>
          <w:spacing w:val="-3"/>
          <w:kern w:val="0"/>
          <w:sz w:val="20"/>
          <w:szCs w:val="20"/>
          <w:lang w:val="en-US" w:eastAsia="en-US" w:bidi="ar-SA"/>
        </w:rPr>
        <w:t>图纸；</w:t>
      </w:r>
    </w:p>
    <w:p w14:paraId="6AF5B88A">
      <w:pPr>
        <w:kinsoku w:val="0"/>
        <w:autoSpaceDE w:val="0"/>
        <w:autoSpaceDN w:val="0"/>
        <w:adjustRightInd w:val="0"/>
        <w:snapToGrid w:val="0"/>
        <w:spacing w:before="160"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3"/>
          <w:kern w:val="0"/>
          <w:sz w:val="18"/>
          <w:szCs w:val="18"/>
          <w:lang w:val="en-US" w:eastAsia="en-US" w:bidi="ar-SA"/>
        </w:rPr>
        <w:t>（8）</w:t>
      </w:r>
      <w:r>
        <w:rPr>
          <w:rFonts w:ascii="宋体" w:hAnsi="宋体" w:eastAsia="宋体" w:cs="宋体"/>
          <w:snapToGrid w:val="0"/>
          <w:color w:val="000000"/>
          <w:spacing w:val="30"/>
          <w:kern w:val="0"/>
          <w:sz w:val="18"/>
          <w:szCs w:val="18"/>
          <w:lang w:val="en-US" w:eastAsia="en-US" w:bidi="ar-SA"/>
        </w:rPr>
        <w:t xml:space="preserve">   </w:t>
      </w:r>
      <w:r>
        <w:rPr>
          <w:rFonts w:ascii="宋体" w:hAnsi="宋体" w:eastAsia="宋体" w:cs="宋体"/>
          <w:snapToGrid w:val="0"/>
          <w:color w:val="000000"/>
          <w:spacing w:val="3"/>
          <w:kern w:val="0"/>
          <w:sz w:val="20"/>
          <w:szCs w:val="20"/>
          <w:lang w:val="en-US" w:eastAsia="en-US" w:bidi="ar-SA"/>
        </w:rPr>
        <w:t>已标价工程量清单；</w:t>
      </w:r>
    </w:p>
    <w:p w14:paraId="63A6774B">
      <w:pPr>
        <w:kinsoku w:val="0"/>
        <w:autoSpaceDE w:val="0"/>
        <w:autoSpaceDN w:val="0"/>
        <w:adjustRightInd w:val="0"/>
        <w:snapToGrid w:val="0"/>
        <w:spacing w:before="163"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18"/>
          <w:szCs w:val="18"/>
          <w:lang w:val="en-US" w:eastAsia="en-US" w:bidi="ar-SA"/>
        </w:rPr>
        <w:t>（9）</w:t>
      </w:r>
      <w:r>
        <w:rPr>
          <w:rFonts w:ascii="宋体" w:hAnsi="宋体" w:eastAsia="宋体" w:cs="宋体"/>
          <w:snapToGrid w:val="0"/>
          <w:color w:val="000000"/>
          <w:spacing w:val="22"/>
          <w:kern w:val="0"/>
          <w:sz w:val="18"/>
          <w:szCs w:val="18"/>
          <w:lang w:val="en-US" w:eastAsia="en-US" w:bidi="ar-SA"/>
        </w:rPr>
        <w:t xml:space="preserve">   </w:t>
      </w:r>
      <w:r>
        <w:rPr>
          <w:rFonts w:ascii="宋体" w:hAnsi="宋体" w:eastAsia="宋体" w:cs="宋体"/>
          <w:snapToGrid w:val="0"/>
          <w:color w:val="000000"/>
          <w:spacing w:val="4"/>
          <w:kern w:val="0"/>
          <w:sz w:val="20"/>
          <w:szCs w:val="20"/>
          <w:lang w:val="en-US" w:eastAsia="en-US" w:bidi="ar-SA"/>
        </w:rPr>
        <w:t>其他合同文件。</w:t>
      </w:r>
    </w:p>
    <w:p w14:paraId="60576B34">
      <w:pPr>
        <w:kinsoku w:val="0"/>
        <w:autoSpaceDE w:val="0"/>
        <w:autoSpaceDN w:val="0"/>
        <w:adjustRightInd w:val="0"/>
        <w:snapToGrid w:val="0"/>
        <w:spacing w:before="166"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1.5</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合同协议书</w:t>
      </w:r>
    </w:p>
    <w:p w14:paraId="41BC66C9">
      <w:pPr>
        <w:kinsoku w:val="0"/>
        <w:autoSpaceDE w:val="0"/>
        <w:autoSpaceDN w:val="0"/>
        <w:adjustRightInd w:val="0"/>
        <w:snapToGrid w:val="0"/>
        <w:spacing w:before="178" w:line="240" w:lineRule="auto"/>
        <w:ind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承包人按中标通知书规定的时间与发包人签订合同协议书。除法律另有规</w:t>
      </w:r>
      <w:r>
        <w:rPr>
          <w:rFonts w:ascii="宋体" w:hAnsi="宋体" w:eastAsia="宋体" w:cs="宋体"/>
          <w:snapToGrid w:val="0"/>
          <w:color w:val="000000"/>
          <w:spacing w:val="9"/>
          <w:kern w:val="0"/>
          <w:sz w:val="20"/>
          <w:szCs w:val="20"/>
          <w:lang w:val="en-US" w:eastAsia="en-US" w:bidi="ar-SA"/>
        </w:rPr>
        <w:t>定或合同另有约定外，发</w:t>
      </w:r>
      <w:r>
        <w:rPr>
          <w:rFonts w:ascii="宋体" w:hAnsi="宋体" w:eastAsia="宋体" w:cs="宋体"/>
          <w:snapToGrid w:val="0"/>
          <w:color w:val="000000"/>
          <w:spacing w:val="10"/>
          <w:kern w:val="0"/>
          <w:sz w:val="20"/>
          <w:szCs w:val="20"/>
          <w:lang w:val="en-US" w:eastAsia="en-US" w:bidi="ar-SA"/>
        </w:rPr>
        <w:t>包人和承包人的法定代表人或其委托代理人</w:t>
      </w:r>
      <w:r>
        <w:rPr>
          <w:rFonts w:ascii="宋体" w:hAnsi="宋体" w:eastAsia="宋体" w:cs="宋体"/>
          <w:snapToGrid w:val="0"/>
          <w:color w:val="000000"/>
          <w:spacing w:val="9"/>
          <w:kern w:val="0"/>
          <w:sz w:val="20"/>
          <w:szCs w:val="20"/>
          <w:lang w:val="en-US" w:eastAsia="en-US" w:bidi="ar-SA"/>
        </w:rPr>
        <w:t>在合同协议书上签字并盖单位章后，合同生效。</w:t>
      </w:r>
    </w:p>
    <w:p w14:paraId="480B21BE">
      <w:pPr>
        <w:kinsoku w:val="0"/>
        <w:autoSpaceDE w:val="0"/>
        <w:autoSpaceDN w:val="0"/>
        <w:adjustRightInd w:val="0"/>
        <w:snapToGrid w:val="0"/>
        <w:spacing w:before="3"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1.6</w:t>
      </w:r>
      <w:r>
        <w:rPr>
          <w:rFonts w:ascii="宋体" w:hAnsi="宋体" w:eastAsia="宋体" w:cs="宋体"/>
          <w:snapToGrid w:val="0"/>
          <w:color w:val="000000"/>
          <w:spacing w:val="7"/>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图纸和承包人文件</w:t>
      </w:r>
    </w:p>
    <w:p w14:paraId="5F81D9D9">
      <w:pPr>
        <w:kinsoku w:val="0"/>
        <w:autoSpaceDE w:val="0"/>
        <w:autoSpaceDN w:val="0"/>
        <w:adjustRightInd w:val="0"/>
        <w:snapToGrid w:val="0"/>
        <w:spacing w:before="178"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kern w:val="0"/>
          <w:sz w:val="20"/>
          <w:szCs w:val="20"/>
          <w:lang w:val="en-US" w:eastAsia="en-US" w:bidi="ar-SA"/>
        </w:rPr>
        <w:t>1.6.1</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b/>
          <w:bCs/>
          <w:snapToGrid w:val="0"/>
          <w:color w:val="000000"/>
          <w:kern w:val="0"/>
          <w:sz w:val="20"/>
          <w:szCs w:val="20"/>
          <w:lang w:val="en-US" w:eastAsia="en-US" w:bidi="ar-SA"/>
        </w:rPr>
        <w:t>图纸的提供</w:t>
      </w:r>
    </w:p>
    <w:p w14:paraId="59F14F88">
      <w:pPr>
        <w:kinsoku w:val="0"/>
        <w:autoSpaceDE w:val="0"/>
        <w:autoSpaceDN w:val="0"/>
        <w:adjustRightInd w:val="0"/>
        <w:snapToGrid w:val="0"/>
        <w:spacing w:before="161" w:line="240" w:lineRule="auto"/>
        <w:ind w:left="2" w:firstLine="43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除专用合同条款另有约定外，图纸应在合理的</w:t>
      </w:r>
      <w:r>
        <w:rPr>
          <w:rFonts w:ascii="宋体" w:hAnsi="宋体" w:eastAsia="宋体" w:cs="宋体"/>
          <w:snapToGrid w:val="0"/>
          <w:color w:val="000000"/>
          <w:spacing w:val="9"/>
          <w:kern w:val="0"/>
          <w:sz w:val="20"/>
          <w:szCs w:val="20"/>
          <w:lang w:val="en-US" w:eastAsia="en-US" w:bidi="ar-SA"/>
        </w:rPr>
        <w:t>期限内按照合同约定的数量提供给承包人。由于发包</w:t>
      </w:r>
      <w:r>
        <w:rPr>
          <w:rFonts w:ascii="宋体" w:hAnsi="宋体" w:eastAsia="宋体" w:cs="宋体"/>
          <w:snapToGrid w:val="0"/>
          <w:color w:val="000000"/>
          <w:spacing w:val="7"/>
          <w:kern w:val="0"/>
          <w:sz w:val="20"/>
          <w:szCs w:val="20"/>
          <w:lang w:val="en-US" w:eastAsia="en-US" w:bidi="ar-SA"/>
        </w:rPr>
        <w:t>人未按时提供图纸造成工期延误的，按第</w:t>
      </w:r>
      <w:r>
        <w:rPr>
          <w:rFonts w:ascii="宋体" w:hAnsi="宋体" w:eastAsia="宋体" w:cs="宋体"/>
          <w:snapToGrid w:val="0"/>
          <w:color w:val="000000"/>
          <w:spacing w:val="48"/>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11.3 款的约定办理。</w:t>
      </w:r>
    </w:p>
    <w:p w14:paraId="38CF7267">
      <w:pPr>
        <w:kinsoku w:val="0"/>
        <w:autoSpaceDE w:val="0"/>
        <w:autoSpaceDN w:val="0"/>
        <w:adjustRightInd w:val="0"/>
        <w:snapToGrid w:val="0"/>
        <w:spacing w:before="1"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1.6.2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承包人提供的文件</w:t>
      </w:r>
    </w:p>
    <w:p w14:paraId="3E048D36">
      <w:pPr>
        <w:kinsoku w:val="0"/>
        <w:autoSpaceDE w:val="0"/>
        <w:autoSpaceDN w:val="0"/>
        <w:adjustRightInd w:val="0"/>
        <w:snapToGrid w:val="0"/>
        <w:spacing w:before="162" w:line="240" w:lineRule="auto"/>
        <w:ind w:lef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按专用合同条款约定由承包人提供的文件，包括部分工程的大样图、</w:t>
      </w:r>
      <w:r>
        <w:rPr>
          <w:rFonts w:ascii="宋体" w:hAnsi="宋体" w:eastAsia="宋体" w:cs="宋体"/>
          <w:snapToGrid w:val="0"/>
          <w:color w:val="000000"/>
          <w:spacing w:val="9"/>
          <w:kern w:val="0"/>
          <w:sz w:val="20"/>
          <w:szCs w:val="20"/>
          <w:lang w:val="en-US" w:eastAsia="en-US" w:bidi="ar-SA"/>
        </w:rPr>
        <w:t>加工图等，承包人应按约定的数量和期限报送监理人。监理人应在专用合同条款约定的期限内批复。</w:t>
      </w:r>
    </w:p>
    <w:p w14:paraId="2ED2A2F6">
      <w:pPr>
        <w:kinsoku w:val="0"/>
        <w:autoSpaceDE w:val="0"/>
        <w:autoSpaceDN w:val="0"/>
        <w:adjustRightInd w:val="0"/>
        <w:snapToGrid w:val="0"/>
        <w:spacing w:before="1"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kern w:val="0"/>
          <w:sz w:val="20"/>
          <w:szCs w:val="20"/>
          <w:lang w:val="en-US" w:eastAsia="en-US" w:bidi="ar-SA"/>
        </w:rPr>
        <w:t>1.6.3</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b/>
          <w:bCs/>
          <w:snapToGrid w:val="0"/>
          <w:color w:val="000000"/>
          <w:kern w:val="0"/>
          <w:sz w:val="20"/>
          <w:szCs w:val="20"/>
          <w:lang w:val="en-US" w:eastAsia="en-US" w:bidi="ar-SA"/>
        </w:rPr>
        <w:t>图纸的修改</w:t>
      </w:r>
    </w:p>
    <w:p w14:paraId="5C34D41D">
      <w:pPr>
        <w:kinsoku w:val="0"/>
        <w:autoSpaceDE w:val="0"/>
        <w:autoSpaceDN w:val="0"/>
        <w:adjustRightInd w:val="0"/>
        <w:snapToGrid w:val="0"/>
        <w:spacing w:before="160" w:line="240" w:lineRule="auto"/>
        <w:ind w:left="15"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图纸需要修改和补充的，应由监理人取得发包人同意后，在该工程或工程相应部位施工前的合理期限内签发图纸修改图给承包人，具体签发期限在专用合同条款中约定。承包人应按修改后的图纸施工。</w:t>
      </w:r>
    </w:p>
    <w:p w14:paraId="07903F8F">
      <w:pPr>
        <w:kinsoku w:val="0"/>
        <w:autoSpaceDE w:val="0"/>
        <w:autoSpaceDN w:val="0"/>
        <w:adjustRightInd w:val="0"/>
        <w:snapToGrid w:val="0"/>
        <w:spacing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kern w:val="0"/>
          <w:sz w:val="20"/>
          <w:szCs w:val="20"/>
          <w:lang w:val="en-US" w:eastAsia="en-US" w:bidi="ar-SA"/>
        </w:rPr>
        <w:t>1.6.4</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b/>
          <w:bCs/>
          <w:snapToGrid w:val="0"/>
          <w:color w:val="000000"/>
          <w:kern w:val="0"/>
          <w:sz w:val="20"/>
          <w:szCs w:val="20"/>
          <w:lang w:val="en-US" w:eastAsia="en-US" w:bidi="ar-SA"/>
        </w:rPr>
        <w:t>图纸的错误</w:t>
      </w:r>
    </w:p>
    <w:p w14:paraId="3A7407C1">
      <w:pPr>
        <w:kinsoku w:val="0"/>
        <w:autoSpaceDE w:val="0"/>
        <w:autoSpaceDN w:val="0"/>
        <w:adjustRightInd w:val="0"/>
        <w:snapToGrid w:val="0"/>
        <w:spacing w:before="160"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承包人发现发包人提供的图纸存在明显错误或疏忽，应及时通知监理人。</w:t>
      </w:r>
    </w:p>
    <w:p w14:paraId="286FB302">
      <w:pPr>
        <w:kinsoku w:val="0"/>
        <w:autoSpaceDE w:val="0"/>
        <w:autoSpaceDN w:val="0"/>
        <w:adjustRightInd w:val="0"/>
        <w:snapToGrid w:val="0"/>
        <w:spacing w:before="41"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1.6.5</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图纸和承包人文件的保管</w:t>
      </w:r>
    </w:p>
    <w:p w14:paraId="4C5B6995">
      <w:pPr>
        <w:kinsoku w:val="0"/>
        <w:autoSpaceDE w:val="0"/>
        <w:autoSpaceDN w:val="0"/>
        <w:adjustRightInd w:val="0"/>
        <w:snapToGrid w:val="0"/>
        <w:spacing w:before="161" w:line="240" w:lineRule="auto"/>
        <w:ind w:left="5" w:right="88" w:firstLine="4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监理人和承包人均应在施工场地各保存一套完整的包含第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1.6.1 项、第 1.6.2 项、第</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1.6.3 项约</w:t>
      </w:r>
      <w:r>
        <w:rPr>
          <w:rFonts w:ascii="宋体" w:hAnsi="宋体" w:eastAsia="宋体" w:cs="宋体"/>
          <w:snapToGrid w:val="0"/>
          <w:color w:val="000000"/>
          <w:spacing w:val="8"/>
          <w:kern w:val="0"/>
          <w:sz w:val="20"/>
          <w:szCs w:val="20"/>
          <w:lang w:val="en-US" w:eastAsia="en-US" w:bidi="ar-SA"/>
        </w:rPr>
        <w:t>定内容的图纸和承包人文件。</w:t>
      </w:r>
    </w:p>
    <w:p w14:paraId="7131BEDC">
      <w:pPr>
        <w:kinsoku w:val="0"/>
        <w:autoSpaceDE w:val="0"/>
        <w:autoSpaceDN w:val="0"/>
        <w:adjustRightInd w:val="0"/>
        <w:snapToGrid w:val="0"/>
        <w:spacing w:before="2"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11"/>
          <w:kern w:val="0"/>
          <w:sz w:val="24"/>
          <w:szCs w:val="24"/>
          <w:lang w:val="en-US" w:eastAsia="en-US" w:bidi="ar-SA"/>
        </w:rPr>
        <w:t>1.7</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11"/>
          <w:kern w:val="0"/>
          <w:sz w:val="24"/>
          <w:szCs w:val="24"/>
          <w:lang w:val="en-US" w:eastAsia="en-US" w:bidi="ar-SA"/>
        </w:rPr>
        <w:t>联络</w:t>
      </w:r>
    </w:p>
    <w:p w14:paraId="5FD6B515">
      <w:pPr>
        <w:kinsoku w:val="0"/>
        <w:autoSpaceDE w:val="0"/>
        <w:autoSpaceDN w:val="0"/>
        <w:adjustRightInd w:val="0"/>
        <w:snapToGrid w:val="0"/>
        <w:spacing w:before="174" w:line="240" w:lineRule="auto"/>
        <w:ind w:left="1" w:right="348"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1.7.1</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与合同有关的通知、批准、证明、证书、指示、要求、请求、同意、意见、确定和决定</w:t>
      </w:r>
      <w:r>
        <w:rPr>
          <w:rFonts w:ascii="宋体" w:hAnsi="宋体" w:eastAsia="宋体" w:cs="宋体"/>
          <w:snapToGrid w:val="0"/>
          <w:color w:val="000000"/>
          <w:spacing w:val="7"/>
          <w:kern w:val="0"/>
          <w:sz w:val="20"/>
          <w:szCs w:val="20"/>
          <w:lang w:val="en-US" w:eastAsia="en-US" w:bidi="ar-SA"/>
        </w:rPr>
        <w:t>等，均应采用书面形式。</w:t>
      </w:r>
    </w:p>
    <w:p w14:paraId="3B2D3E23">
      <w:pPr>
        <w:kinsoku w:val="0"/>
        <w:autoSpaceDE w:val="0"/>
        <w:autoSpaceDN w:val="0"/>
        <w:adjustRightInd w:val="0"/>
        <w:snapToGrid w:val="0"/>
        <w:spacing w:before="162" w:line="240" w:lineRule="auto"/>
        <w:ind w:left="1" w:right="31"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1.7.2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第 1.7.1 项中的通知、批准、证明、证书、指示、要求、请求</w:t>
      </w:r>
      <w:r>
        <w:rPr>
          <w:rFonts w:ascii="宋体" w:hAnsi="宋体" w:eastAsia="宋体" w:cs="宋体"/>
          <w:snapToGrid w:val="0"/>
          <w:color w:val="000000"/>
          <w:spacing w:val="7"/>
          <w:kern w:val="0"/>
          <w:sz w:val="20"/>
          <w:szCs w:val="20"/>
          <w:lang w:val="en-US" w:eastAsia="en-US" w:bidi="ar-SA"/>
        </w:rPr>
        <w:t>、同意、意见、确定和决定</w:t>
      </w:r>
      <w:r>
        <w:rPr>
          <w:rFonts w:ascii="宋体" w:hAnsi="宋体" w:eastAsia="宋体" w:cs="宋体"/>
          <w:snapToGrid w:val="0"/>
          <w:color w:val="000000"/>
          <w:spacing w:val="9"/>
          <w:kern w:val="0"/>
          <w:sz w:val="20"/>
          <w:szCs w:val="20"/>
          <w:lang w:val="en-US" w:eastAsia="en-US" w:bidi="ar-SA"/>
        </w:rPr>
        <w:t>等来往函件，均应在合同约定的期限内送达指定地点和接收人，并办理签收手续。</w:t>
      </w:r>
    </w:p>
    <w:p w14:paraId="6D34DE2C">
      <w:pPr>
        <w:kinsoku w:val="0"/>
        <w:autoSpaceDE w:val="0"/>
        <w:autoSpaceDN w:val="0"/>
        <w:adjustRightInd w:val="0"/>
        <w:snapToGrid w:val="0"/>
        <w:spacing w:before="168"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11"/>
          <w:kern w:val="0"/>
          <w:sz w:val="24"/>
          <w:szCs w:val="24"/>
          <w:lang w:val="en-US" w:eastAsia="en-US" w:bidi="ar-SA"/>
        </w:rPr>
        <w:t>1.8</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11"/>
          <w:kern w:val="0"/>
          <w:sz w:val="24"/>
          <w:szCs w:val="24"/>
          <w:lang w:val="en-US" w:eastAsia="en-US" w:bidi="ar-SA"/>
        </w:rPr>
        <w:t>转让</w:t>
      </w:r>
    </w:p>
    <w:p w14:paraId="4EA60332">
      <w:pPr>
        <w:kinsoku w:val="0"/>
        <w:autoSpaceDE w:val="0"/>
        <w:autoSpaceDN w:val="0"/>
        <w:adjustRightInd w:val="0"/>
        <w:snapToGrid w:val="0"/>
        <w:spacing w:before="175" w:line="240" w:lineRule="auto"/>
        <w:ind w:left="4" w:right="245" w:firstLine="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除合同另有约定外，未经对方当事人同意，一方当事人不得将合同权利全部或部分转让给第三人，也不得全部或部分转移合同义务。</w:t>
      </w:r>
    </w:p>
    <w:p w14:paraId="4D494AA4">
      <w:pPr>
        <w:kinsoku w:val="0"/>
        <w:autoSpaceDE w:val="0"/>
        <w:autoSpaceDN w:val="0"/>
        <w:adjustRightInd w:val="0"/>
        <w:snapToGrid w:val="0"/>
        <w:spacing w:before="5"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1.9</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严禁贿赂</w:t>
      </w:r>
    </w:p>
    <w:p w14:paraId="63F87823">
      <w:pPr>
        <w:kinsoku w:val="0"/>
        <w:autoSpaceDE w:val="0"/>
        <w:autoSpaceDN w:val="0"/>
        <w:adjustRightInd w:val="0"/>
        <w:snapToGrid w:val="0"/>
        <w:spacing w:before="176" w:line="240" w:lineRule="auto"/>
        <w:ind w:left="5" w:right="194" w:firstLine="4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合同双方当事人不得以贿赂或变相贿赂的方式，谋取不当利益或损害对</w:t>
      </w:r>
      <w:r>
        <w:rPr>
          <w:rFonts w:ascii="宋体" w:hAnsi="宋体" w:eastAsia="宋体" w:cs="宋体"/>
          <w:snapToGrid w:val="0"/>
          <w:color w:val="000000"/>
          <w:spacing w:val="9"/>
          <w:kern w:val="0"/>
          <w:sz w:val="20"/>
          <w:szCs w:val="20"/>
          <w:lang w:val="en-US" w:eastAsia="en-US" w:bidi="ar-SA"/>
        </w:rPr>
        <w:t>方权益。因贿赂造成对方损失的，行为人应赔偿损失，并承担相应的法</w:t>
      </w:r>
      <w:r>
        <w:rPr>
          <w:rFonts w:ascii="宋体" w:hAnsi="宋体" w:eastAsia="宋体" w:cs="宋体"/>
          <w:snapToGrid w:val="0"/>
          <w:color w:val="000000"/>
          <w:spacing w:val="8"/>
          <w:kern w:val="0"/>
          <w:sz w:val="20"/>
          <w:szCs w:val="20"/>
          <w:lang w:val="en-US" w:eastAsia="en-US" w:bidi="ar-SA"/>
        </w:rPr>
        <w:t>律责任。</w:t>
      </w:r>
    </w:p>
    <w:p w14:paraId="3C54B01D">
      <w:pPr>
        <w:kinsoku w:val="0"/>
        <w:autoSpaceDE w:val="0"/>
        <w:autoSpaceDN w:val="0"/>
        <w:adjustRightInd w:val="0"/>
        <w:snapToGrid w:val="0"/>
        <w:spacing w:before="3"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1.10</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化石、文物</w:t>
      </w:r>
    </w:p>
    <w:p w14:paraId="38EA9744">
      <w:pPr>
        <w:kinsoku w:val="0"/>
        <w:autoSpaceDE w:val="0"/>
        <w:autoSpaceDN w:val="0"/>
        <w:adjustRightInd w:val="0"/>
        <w:snapToGrid w:val="0"/>
        <w:spacing w:before="173"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1.10.1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在施工场地发掘的所有文物、古迹以及具有地质研究或考古价值的其他遗迹、化</w:t>
      </w:r>
      <w:r>
        <w:rPr>
          <w:rFonts w:ascii="宋体" w:hAnsi="宋体" w:eastAsia="宋体" w:cs="宋体"/>
          <w:snapToGrid w:val="0"/>
          <w:color w:val="000000"/>
          <w:spacing w:val="8"/>
          <w:kern w:val="0"/>
          <w:sz w:val="20"/>
          <w:szCs w:val="20"/>
          <w:lang w:val="en-US" w:eastAsia="en-US" w:bidi="ar-SA"/>
        </w:rPr>
        <w:t>石、钱币</w:t>
      </w:r>
      <w:r>
        <w:rPr>
          <w:rFonts w:ascii="宋体" w:hAnsi="宋体" w:eastAsia="宋体" w:cs="宋体"/>
          <w:snapToGrid w:val="0"/>
          <w:color w:val="000000"/>
          <w:spacing w:val="14"/>
          <w:kern w:val="0"/>
          <w:sz w:val="20"/>
          <w:szCs w:val="20"/>
          <w:lang w:val="en-US" w:eastAsia="en-US" w:bidi="ar-SA"/>
        </w:rPr>
        <w:t>或物品属于国家所有。一旦发现上述文物，承包人应采取有效合理的保护措施，防止任何人员移动或损坏上述物品，并立即报告当地文物行政部门，同时通知监理人。发包人、监理人和承包人应按文物行政</w:t>
      </w:r>
      <w:r>
        <w:rPr>
          <w:rFonts w:ascii="宋体" w:hAnsi="宋体" w:eastAsia="宋体" w:cs="宋体"/>
          <w:snapToGrid w:val="0"/>
          <w:color w:val="000000"/>
          <w:spacing w:val="9"/>
          <w:kern w:val="0"/>
          <w:sz w:val="20"/>
          <w:szCs w:val="20"/>
          <w:lang w:val="en-US" w:eastAsia="en-US" w:bidi="ar-SA"/>
        </w:rPr>
        <w:t>部门要求采取妥善保护措施，由此导致费用增加和（或）工期延误由发包人承担。</w:t>
      </w:r>
    </w:p>
    <w:p w14:paraId="4E67FDD3">
      <w:pPr>
        <w:kinsoku w:val="0"/>
        <w:autoSpaceDE w:val="0"/>
        <w:autoSpaceDN w:val="0"/>
        <w:adjustRightInd w:val="0"/>
        <w:snapToGrid w:val="0"/>
        <w:spacing w:before="163"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1.10.2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承包人发现文物后不及时报告或隐瞒不报，致使文物丢失或损坏的，应赔偿损失</w:t>
      </w:r>
      <w:r>
        <w:rPr>
          <w:rFonts w:ascii="宋体" w:hAnsi="宋体" w:eastAsia="宋体" w:cs="宋体"/>
          <w:snapToGrid w:val="0"/>
          <w:color w:val="000000"/>
          <w:spacing w:val="8"/>
          <w:kern w:val="0"/>
          <w:sz w:val="20"/>
          <w:szCs w:val="20"/>
          <w:lang w:val="en-US" w:eastAsia="en-US" w:bidi="ar-SA"/>
        </w:rPr>
        <w:t>，并承担</w:t>
      </w:r>
      <w:r>
        <w:rPr>
          <w:rFonts w:ascii="宋体" w:hAnsi="宋体" w:eastAsia="宋体" w:cs="宋体"/>
          <w:snapToGrid w:val="0"/>
          <w:color w:val="000000"/>
          <w:spacing w:val="7"/>
          <w:kern w:val="0"/>
          <w:sz w:val="20"/>
          <w:szCs w:val="20"/>
          <w:lang w:val="en-US" w:eastAsia="en-US" w:bidi="ar-SA"/>
        </w:rPr>
        <w:t>相应的法律责任。</w:t>
      </w:r>
    </w:p>
    <w:p w14:paraId="254A2C28">
      <w:pPr>
        <w:kinsoku w:val="0"/>
        <w:autoSpaceDE w:val="0"/>
        <w:autoSpaceDN w:val="0"/>
        <w:adjustRightInd w:val="0"/>
        <w:snapToGrid w:val="0"/>
        <w:spacing w:before="168"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1.11</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专利技术</w:t>
      </w:r>
    </w:p>
    <w:p w14:paraId="4A990129">
      <w:pPr>
        <w:kinsoku w:val="0"/>
        <w:autoSpaceDE w:val="0"/>
        <w:autoSpaceDN w:val="0"/>
        <w:adjustRightInd w:val="0"/>
        <w:snapToGrid w:val="0"/>
        <w:spacing w:before="176"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1.11.1   承包人在使用任何材料、承包人设备、工程设备或采用施工工艺时</w:t>
      </w:r>
      <w:r>
        <w:rPr>
          <w:rFonts w:ascii="宋体" w:hAnsi="宋体" w:eastAsia="宋体" w:cs="宋体"/>
          <w:snapToGrid w:val="0"/>
          <w:color w:val="000000"/>
          <w:spacing w:val="14"/>
          <w:kern w:val="0"/>
          <w:sz w:val="20"/>
          <w:szCs w:val="20"/>
          <w:lang w:val="en-US" w:eastAsia="en-US" w:bidi="ar-SA"/>
        </w:rPr>
        <w:t>，因侵犯专利权或其</w:t>
      </w:r>
      <w:r>
        <w:rPr>
          <w:rFonts w:ascii="宋体" w:hAnsi="宋体" w:eastAsia="宋体" w:cs="宋体"/>
          <w:snapToGrid w:val="0"/>
          <w:color w:val="000000"/>
          <w:spacing w:val="18"/>
          <w:kern w:val="0"/>
          <w:sz w:val="20"/>
          <w:szCs w:val="20"/>
          <w:lang w:val="en-US" w:eastAsia="en-US" w:bidi="ar-SA"/>
        </w:rPr>
        <w:t>他知识产权所引起的责任，</w:t>
      </w:r>
      <w:r>
        <w:rPr>
          <w:rFonts w:ascii="宋体" w:hAnsi="宋体" w:eastAsia="宋体" w:cs="宋体"/>
          <w:snapToGrid w:val="0"/>
          <w:color w:val="000000"/>
          <w:spacing w:val="-48"/>
          <w:kern w:val="0"/>
          <w:sz w:val="20"/>
          <w:szCs w:val="20"/>
          <w:lang w:val="en-US" w:eastAsia="en-US" w:bidi="ar-SA"/>
        </w:rPr>
        <w:t xml:space="preserve"> </w:t>
      </w:r>
      <w:r>
        <w:rPr>
          <w:rFonts w:ascii="宋体" w:hAnsi="宋体" w:eastAsia="宋体" w:cs="宋体"/>
          <w:snapToGrid w:val="0"/>
          <w:color w:val="000000"/>
          <w:spacing w:val="18"/>
          <w:kern w:val="0"/>
          <w:sz w:val="20"/>
          <w:szCs w:val="20"/>
          <w:lang w:val="en-US" w:eastAsia="en-US" w:bidi="ar-SA"/>
        </w:rPr>
        <w:t>由承包人承担，但由于遵照发包人提供的设</w:t>
      </w:r>
      <w:r>
        <w:rPr>
          <w:rFonts w:ascii="宋体" w:hAnsi="宋体" w:eastAsia="宋体" w:cs="宋体"/>
          <w:snapToGrid w:val="0"/>
          <w:color w:val="000000"/>
          <w:spacing w:val="17"/>
          <w:kern w:val="0"/>
          <w:sz w:val="20"/>
          <w:szCs w:val="20"/>
          <w:lang w:val="en-US" w:eastAsia="en-US" w:bidi="ar-SA"/>
        </w:rPr>
        <w:t>计或技术标准和要求引起的除</w:t>
      </w:r>
      <w:r>
        <w:rPr>
          <w:rFonts w:ascii="宋体" w:hAnsi="宋体" w:eastAsia="宋体" w:cs="宋体"/>
          <w:snapToGrid w:val="0"/>
          <w:color w:val="000000"/>
          <w:kern w:val="0"/>
          <w:sz w:val="20"/>
          <w:szCs w:val="20"/>
          <w:lang w:val="en-US" w:eastAsia="en-US" w:bidi="ar-SA"/>
        </w:rPr>
        <w:t>外。</w:t>
      </w:r>
    </w:p>
    <w:p w14:paraId="2DFB49EC">
      <w:pPr>
        <w:kinsoku w:val="0"/>
        <w:autoSpaceDE w:val="0"/>
        <w:autoSpaceDN w:val="0"/>
        <w:adjustRightInd w:val="0"/>
        <w:snapToGrid w:val="0"/>
        <w:spacing w:before="161"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1.11.2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承包人在投标文件中采用专利技术的，专利技术的使用</w:t>
      </w:r>
      <w:r>
        <w:rPr>
          <w:rFonts w:ascii="宋体" w:hAnsi="宋体" w:eastAsia="宋体" w:cs="宋体"/>
          <w:snapToGrid w:val="0"/>
          <w:color w:val="000000"/>
          <w:spacing w:val="7"/>
          <w:kern w:val="0"/>
          <w:sz w:val="20"/>
          <w:szCs w:val="20"/>
          <w:lang w:val="en-US" w:eastAsia="en-US" w:bidi="ar-SA"/>
        </w:rPr>
        <w:t>费包含在投标报价内。</w:t>
      </w:r>
    </w:p>
    <w:p w14:paraId="06DF0492">
      <w:pPr>
        <w:kinsoku w:val="0"/>
        <w:autoSpaceDE w:val="0"/>
        <w:autoSpaceDN w:val="0"/>
        <w:adjustRightInd w:val="0"/>
        <w:snapToGrid w:val="0"/>
        <w:spacing w:before="164" w:line="240" w:lineRule="auto"/>
        <w:ind w:left="17" w:right="2"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1.11.3   承包人的技术秘密和声明需要保密的资料和信息，发包人和监理人</w:t>
      </w:r>
      <w:r>
        <w:rPr>
          <w:rFonts w:ascii="宋体" w:hAnsi="宋体" w:eastAsia="宋体" w:cs="宋体"/>
          <w:snapToGrid w:val="0"/>
          <w:color w:val="000000"/>
          <w:spacing w:val="14"/>
          <w:kern w:val="0"/>
          <w:sz w:val="20"/>
          <w:szCs w:val="20"/>
          <w:lang w:val="en-US" w:eastAsia="en-US" w:bidi="ar-SA"/>
        </w:rPr>
        <w:t>不得为合同以外的目</w:t>
      </w:r>
      <w:r>
        <w:rPr>
          <w:rFonts w:ascii="宋体" w:hAnsi="宋体" w:eastAsia="宋体" w:cs="宋体"/>
          <w:snapToGrid w:val="0"/>
          <w:color w:val="000000"/>
          <w:spacing w:val="4"/>
          <w:kern w:val="0"/>
          <w:sz w:val="20"/>
          <w:szCs w:val="20"/>
          <w:lang w:val="en-US" w:eastAsia="en-US" w:bidi="ar-SA"/>
        </w:rPr>
        <w:t>的泄露给他人。</w:t>
      </w:r>
    </w:p>
    <w:p w14:paraId="36F5A5E8">
      <w:pPr>
        <w:kinsoku w:val="0"/>
        <w:autoSpaceDE w:val="0"/>
        <w:autoSpaceDN w:val="0"/>
        <w:adjustRightInd w:val="0"/>
        <w:snapToGrid w:val="0"/>
        <w:spacing w:before="166"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1.12</w:t>
      </w:r>
      <w:r>
        <w:rPr>
          <w:rFonts w:ascii="宋体" w:hAnsi="宋体" w:eastAsia="宋体" w:cs="宋体"/>
          <w:snapToGrid w:val="0"/>
          <w:color w:val="000000"/>
          <w:spacing w:val="11"/>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图纸和文件的保密</w:t>
      </w:r>
    </w:p>
    <w:p w14:paraId="7312095C">
      <w:pPr>
        <w:kinsoku w:val="0"/>
        <w:autoSpaceDE w:val="0"/>
        <w:autoSpaceDN w:val="0"/>
        <w:adjustRightInd w:val="0"/>
        <w:snapToGrid w:val="0"/>
        <w:spacing w:before="179" w:line="240" w:lineRule="auto"/>
        <w:ind w:left="6" w:right="2" w:firstLine="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1.12.1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发包人提供的图纸和文件，未经发包人同意，承包人不得为合同以外的</w:t>
      </w:r>
      <w:r>
        <w:rPr>
          <w:rFonts w:ascii="宋体" w:hAnsi="宋体" w:eastAsia="宋体" w:cs="宋体"/>
          <w:snapToGrid w:val="0"/>
          <w:color w:val="000000"/>
          <w:spacing w:val="8"/>
          <w:kern w:val="0"/>
          <w:sz w:val="20"/>
          <w:szCs w:val="20"/>
          <w:lang w:val="en-US" w:eastAsia="en-US" w:bidi="ar-SA"/>
        </w:rPr>
        <w:t>目的泄露给他人或</w:t>
      </w:r>
      <w:r>
        <w:rPr>
          <w:rFonts w:ascii="宋体" w:hAnsi="宋体" w:eastAsia="宋体" w:cs="宋体"/>
          <w:snapToGrid w:val="0"/>
          <w:color w:val="000000"/>
          <w:spacing w:val="6"/>
          <w:kern w:val="0"/>
          <w:sz w:val="20"/>
          <w:szCs w:val="20"/>
          <w:lang w:val="en-US" w:eastAsia="en-US" w:bidi="ar-SA"/>
        </w:rPr>
        <w:t>公开发表与引用。</w:t>
      </w:r>
    </w:p>
    <w:p w14:paraId="3A4DBFC1">
      <w:pPr>
        <w:kinsoku w:val="0"/>
        <w:autoSpaceDE w:val="0"/>
        <w:autoSpaceDN w:val="0"/>
        <w:adjustRightInd w:val="0"/>
        <w:snapToGrid w:val="0"/>
        <w:spacing w:before="161" w:line="240" w:lineRule="auto"/>
        <w:ind w:left="3" w:firstLine="431"/>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9"/>
          <w:kern w:val="0"/>
          <w:sz w:val="20"/>
          <w:szCs w:val="20"/>
          <w:lang w:val="en-US" w:eastAsia="en-US" w:bidi="ar-SA"/>
        </w:rPr>
        <w:t>1.12.2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承包人提供的文件，未经承包人同意，</w:t>
      </w:r>
      <w:r>
        <w:rPr>
          <w:rFonts w:ascii="宋体" w:hAnsi="宋体" w:eastAsia="宋体" w:cs="宋体"/>
          <w:snapToGrid w:val="0"/>
          <w:color w:val="000000"/>
          <w:spacing w:val="8"/>
          <w:kern w:val="0"/>
          <w:sz w:val="20"/>
          <w:szCs w:val="20"/>
          <w:lang w:val="en-US" w:eastAsia="en-US" w:bidi="ar-SA"/>
        </w:rPr>
        <w:t>发包人和监理人不得为合同以外的目的泄露给他</w:t>
      </w:r>
      <w:r>
        <w:rPr>
          <w:rFonts w:ascii="宋体" w:hAnsi="宋体" w:eastAsia="宋体" w:cs="宋体"/>
          <w:snapToGrid w:val="0"/>
          <w:color w:val="000000"/>
          <w:spacing w:val="8"/>
          <w:kern w:val="0"/>
          <w:sz w:val="22"/>
          <w:szCs w:val="22"/>
          <w:lang w:val="en-US" w:eastAsia="en-US" w:bidi="ar-SA"/>
        </w:rPr>
        <w:t>人</w:t>
      </w:r>
      <w:r>
        <w:rPr>
          <w:rFonts w:ascii="宋体" w:hAnsi="宋体" w:eastAsia="宋体" w:cs="宋体"/>
          <w:snapToGrid w:val="0"/>
          <w:color w:val="000000"/>
          <w:spacing w:val="-2"/>
          <w:kern w:val="0"/>
          <w:sz w:val="22"/>
          <w:szCs w:val="22"/>
          <w:lang w:val="en-US" w:eastAsia="en-US" w:bidi="ar-SA"/>
        </w:rPr>
        <w:t>或公开发表与引用。</w:t>
      </w:r>
    </w:p>
    <w:p w14:paraId="7D9E5816">
      <w:pPr>
        <w:kinsoku w:val="0"/>
        <w:autoSpaceDE w:val="0"/>
        <w:autoSpaceDN w:val="0"/>
        <w:adjustRightInd w:val="0"/>
        <w:snapToGrid w:val="0"/>
        <w:spacing w:before="172" w:line="240" w:lineRule="auto"/>
        <w:ind w:left="3983"/>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5"/>
          <w:szCs w:val="25"/>
          <w:lang w:val="en-US" w:eastAsia="en-US" w:bidi="ar-SA"/>
        </w:rPr>
        <w:t>2.</w:t>
      </w:r>
      <w:r>
        <w:rPr>
          <w:rFonts w:ascii="宋体" w:hAnsi="宋体" w:eastAsia="宋体" w:cs="宋体"/>
          <w:snapToGrid w:val="0"/>
          <w:color w:val="000000"/>
          <w:spacing w:val="18"/>
          <w:kern w:val="0"/>
          <w:sz w:val="25"/>
          <w:szCs w:val="25"/>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发包人义务</w:t>
      </w:r>
    </w:p>
    <w:p w14:paraId="3ED78873">
      <w:pPr>
        <w:kinsoku w:val="0"/>
        <w:autoSpaceDE w:val="0"/>
        <w:autoSpaceDN w:val="0"/>
        <w:adjustRightInd w:val="0"/>
        <w:snapToGrid w:val="0"/>
        <w:spacing w:before="48"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2.1</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遵守法律</w:t>
      </w:r>
    </w:p>
    <w:p w14:paraId="392E48BE">
      <w:pPr>
        <w:kinsoku w:val="0"/>
        <w:autoSpaceDE w:val="0"/>
        <w:autoSpaceDN w:val="0"/>
        <w:adjustRightInd w:val="0"/>
        <w:snapToGrid w:val="0"/>
        <w:spacing w:before="175" w:line="240" w:lineRule="auto"/>
        <w:ind w:right="374" w:firstLine="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发包人在履行合同过程中应遵守法律，并保证承包人免于承</w:t>
      </w:r>
      <w:r>
        <w:rPr>
          <w:rFonts w:ascii="宋体" w:hAnsi="宋体" w:eastAsia="宋体" w:cs="宋体"/>
          <w:snapToGrid w:val="0"/>
          <w:color w:val="000000"/>
          <w:spacing w:val="9"/>
          <w:kern w:val="0"/>
          <w:sz w:val="20"/>
          <w:szCs w:val="20"/>
          <w:lang w:val="en-US" w:eastAsia="en-US" w:bidi="ar-SA"/>
        </w:rPr>
        <w:t>担因发包人违反法律而引起的任何责</w:t>
      </w:r>
      <w:r>
        <w:rPr>
          <w:rFonts w:ascii="宋体" w:hAnsi="宋体" w:eastAsia="宋体" w:cs="宋体"/>
          <w:snapToGrid w:val="0"/>
          <w:color w:val="000000"/>
          <w:kern w:val="0"/>
          <w:sz w:val="20"/>
          <w:szCs w:val="20"/>
          <w:lang w:val="en-US" w:eastAsia="en-US" w:bidi="ar-SA"/>
        </w:rPr>
        <w:t>任。</w:t>
      </w:r>
    </w:p>
    <w:p w14:paraId="7FF7A2A2">
      <w:pPr>
        <w:kinsoku w:val="0"/>
        <w:autoSpaceDE w:val="0"/>
        <w:autoSpaceDN w:val="0"/>
        <w:adjustRightInd w:val="0"/>
        <w:snapToGrid w:val="0"/>
        <w:spacing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2.2</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发出开工通知</w:t>
      </w:r>
    </w:p>
    <w:p w14:paraId="148937AB">
      <w:pPr>
        <w:kinsoku w:val="0"/>
        <w:autoSpaceDE w:val="0"/>
        <w:autoSpaceDN w:val="0"/>
        <w:adjustRightInd w:val="0"/>
        <w:snapToGrid w:val="0"/>
        <w:spacing w:before="174"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发包人应委托监理人按第</w:t>
      </w:r>
      <w:r>
        <w:rPr>
          <w:rFonts w:ascii="宋体" w:hAnsi="宋体" w:eastAsia="宋体" w:cs="宋体"/>
          <w:snapToGrid w:val="0"/>
          <w:color w:val="000000"/>
          <w:spacing w:val="48"/>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11.1 款的约定向承包人发出开工通知。</w:t>
      </w:r>
    </w:p>
    <w:p w14:paraId="65C503C7">
      <w:pPr>
        <w:kinsoku w:val="0"/>
        <w:autoSpaceDE w:val="0"/>
        <w:autoSpaceDN w:val="0"/>
        <w:adjustRightInd w:val="0"/>
        <w:snapToGrid w:val="0"/>
        <w:spacing w:before="167"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2.3</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提供施工场地</w:t>
      </w:r>
    </w:p>
    <w:p w14:paraId="3A2E35EB">
      <w:pPr>
        <w:kinsoku w:val="0"/>
        <w:autoSpaceDE w:val="0"/>
        <w:autoSpaceDN w:val="0"/>
        <w:adjustRightInd w:val="0"/>
        <w:snapToGrid w:val="0"/>
        <w:spacing w:before="177" w:line="240" w:lineRule="auto"/>
        <w:ind w:left="9" w:right="163" w:firstLine="4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发包人应按专用合同条款约定向承包人提供施工场地，</w:t>
      </w:r>
      <w:r>
        <w:rPr>
          <w:rFonts w:ascii="宋体" w:hAnsi="宋体" w:eastAsia="宋体" w:cs="宋体"/>
          <w:snapToGrid w:val="0"/>
          <w:color w:val="000000"/>
          <w:spacing w:val="-59"/>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以及施工场地内</w:t>
      </w:r>
      <w:r>
        <w:rPr>
          <w:rFonts w:ascii="宋体" w:hAnsi="宋体" w:eastAsia="宋体" w:cs="宋体"/>
          <w:snapToGrid w:val="0"/>
          <w:color w:val="000000"/>
          <w:spacing w:val="8"/>
          <w:kern w:val="0"/>
          <w:sz w:val="20"/>
          <w:szCs w:val="20"/>
          <w:lang w:val="en-US" w:eastAsia="en-US" w:bidi="ar-SA"/>
        </w:rPr>
        <w:t>地下管线和地下设施等有关资料，并保证资料的真实、准确、完整。</w:t>
      </w:r>
    </w:p>
    <w:p w14:paraId="190E23AA">
      <w:pPr>
        <w:kinsoku w:val="0"/>
        <w:autoSpaceDE w:val="0"/>
        <w:autoSpaceDN w:val="0"/>
        <w:adjustRightInd w:val="0"/>
        <w:snapToGrid w:val="0"/>
        <w:spacing w:before="4"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2.4</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协助承包人办理证件和批件</w:t>
      </w:r>
    </w:p>
    <w:p w14:paraId="6BD95329">
      <w:pPr>
        <w:kinsoku w:val="0"/>
        <w:autoSpaceDE w:val="0"/>
        <w:autoSpaceDN w:val="0"/>
        <w:adjustRightInd w:val="0"/>
        <w:snapToGrid w:val="0"/>
        <w:spacing w:before="176"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发包人应协助承包人办理法律规定的有关施工证件和批件。</w:t>
      </w:r>
    </w:p>
    <w:p w14:paraId="1B04B540">
      <w:pPr>
        <w:kinsoku w:val="0"/>
        <w:autoSpaceDE w:val="0"/>
        <w:autoSpaceDN w:val="0"/>
        <w:adjustRightInd w:val="0"/>
        <w:snapToGrid w:val="0"/>
        <w:spacing w:before="165"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4"/>
          <w:szCs w:val="24"/>
          <w:lang w:val="en-US" w:eastAsia="en-US" w:bidi="ar-SA"/>
        </w:rPr>
        <w:t>2.5</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组织设计交底</w:t>
      </w:r>
    </w:p>
    <w:p w14:paraId="20391356">
      <w:pPr>
        <w:kinsoku w:val="0"/>
        <w:autoSpaceDE w:val="0"/>
        <w:autoSpaceDN w:val="0"/>
        <w:adjustRightInd w:val="0"/>
        <w:snapToGrid w:val="0"/>
        <w:spacing w:before="176"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发包人应根据合同进度计划，组织设计单位向承包人进行设计交底。</w:t>
      </w:r>
    </w:p>
    <w:p w14:paraId="408E1380">
      <w:pPr>
        <w:kinsoku w:val="0"/>
        <w:autoSpaceDE w:val="0"/>
        <w:autoSpaceDN w:val="0"/>
        <w:adjustRightInd w:val="0"/>
        <w:snapToGrid w:val="0"/>
        <w:spacing w:before="166"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2.6</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支付合同价款</w:t>
      </w:r>
    </w:p>
    <w:p w14:paraId="58BB1DCE">
      <w:pPr>
        <w:kinsoku w:val="0"/>
        <w:autoSpaceDE w:val="0"/>
        <w:autoSpaceDN w:val="0"/>
        <w:adjustRightInd w:val="0"/>
        <w:snapToGrid w:val="0"/>
        <w:spacing w:before="178"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发包人应按合同约定向承包人及时支付合同价</w:t>
      </w:r>
      <w:r>
        <w:rPr>
          <w:rFonts w:ascii="宋体" w:hAnsi="宋体" w:eastAsia="宋体" w:cs="宋体"/>
          <w:snapToGrid w:val="0"/>
          <w:color w:val="000000"/>
          <w:spacing w:val="8"/>
          <w:kern w:val="0"/>
          <w:sz w:val="20"/>
          <w:szCs w:val="20"/>
          <w:lang w:val="en-US" w:eastAsia="en-US" w:bidi="ar-SA"/>
        </w:rPr>
        <w:t>款。</w:t>
      </w:r>
    </w:p>
    <w:p w14:paraId="26D262A7">
      <w:pPr>
        <w:kinsoku w:val="0"/>
        <w:autoSpaceDE w:val="0"/>
        <w:autoSpaceDN w:val="0"/>
        <w:adjustRightInd w:val="0"/>
        <w:snapToGrid w:val="0"/>
        <w:spacing w:before="171"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4"/>
          <w:szCs w:val="24"/>
          <w:lang w:val="en-US" w:eastAsia="en-US" w:bidi="ar-SA"/>
        </w:rPr>
        <w:t>2.7</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组织竣工验收</w:t>
      </w:r>
    </w:p>
    <w:p w14:paraId="3FE3ADA8">
      <w:pPr>
        <w:kinsoku w:val="0"/>
        <w:autoSpaceDE w:val="0"/>
        <w:autoSpaceDN w:val="0"/>
        <w:adjustRightInd w:val="0"/>
        <w:snapToGrid w:val="0"/>
        <w:spacing w:before="175"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发包人应按合同约定及时组织竣工验收。</w:t>
      </w:r>
    </w:p>
    <w:p w14:paraId="46CAD4AD">
      <w:pPr>
        <w:kinsoku w:val="0"/>
        <w:autoSpaceDE w:val="0"/>
        <w:autoSpaceDN w:val="0"/>
        <w:adjustRightInd w:val="0"/>
        <w:snapToGrid w:val="0"/>
        <w:spacing w:before="166"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2.8</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其他义务</w:t>
      </w:r>
    </w:p>
    <w:p w14:paraId="128D053F">
      <w:pPr>
        <w:kinsoku w:val="0"/>
        <w:autoSpaceDE w:val="0"/>
        <w:autoSpaceDN w:val="0"/>
        <w:adjustRightInd w:val="0"/>
        <w:snapToGrid w:val="0"/>
        <w:spacing w:before="178"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发包人应履行合同约定的其他义务。</w:t>
      </w:r>
    </w:p>
    <w:p w14:paraId="21F24CAD">
      <w:pPr>
        <w:kinsoku w:val="0"/>
        <w:autoSpaceDE w:val="0"/>
        <w:autoSpaceDN w:val="0"/>
        <w:adjustRightInd w:val="0"/>
        <w:snapToGrid w:val="0"/>
        <w:spacing w:before="172" w:line="240" w:lineRule="auto"/>
        <w:ind w:left="4229"/>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5"/>
          <w:szCs w:val="25"/>
          <w:lang w:val="en-US" w:eastAsia="en-US" w:bidi="ar-SA"/>
        </w:rPr>
        <w:t>3.</w:t>
      </w:r>
      <w:r>
        <w:rPr>
          <w:rFonts w:ascii="宋体" w:hAnsi="宋体" w:eastAsia="宋体" w:cs="宋体"/>
          <w:snapToGrid w:val="0"/>
          <w:color w:val="000000"/>
          <w:spacing w:val="17"/>
          <w:kern w:val="0"/>
          <w:sz w:val="25"/>
          <w:szCs w:val="25"/>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监理人</w:t>
      </w:r>
    </w:p>
    <w:p w14:paraId="7A129D84">
      <w:pPr>
        <w:kinsoku w:val="0"/>
        <w:autoSpaceDE w:val="0"/>
        <w:autoSpaceDN w:val="0"/>
        <w:adjustRightInd w:val="0"/>
        <w:snapToGrid w:val="0"/>
        <w:spacing w:before="172"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3.1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监理人的职责和权力</w:t>
      </w:r>
    </w:p>
    <w:p w14:paraId="018A76C8">
      <w:pPr>
        <w:kinsoku w:val="0"/>
        <w:autoSpaceDE w:val="0"/>
        <w:autoSpaceDN w:val="0"/>
        <w:adjustRightInd w:val="0"/>
        <w:snapToGrid w:val="0"/>
        <w:spacing w:before="178" w:line="240" w:lineRule="auto"/>
        <w:ind w:right="105" w:firstLine="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3.1.1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监理人受发包人委托，享有合同约定的权力。</w:t>
      </w:r>
      <w:r>
        <w:rPr>
          <w:rFonts w:ascii="宋体" w:hAnsi="宋体" w:eastAsia="宋体" w:cs="宋体"/>
          <w:snapToGrid w:val="0"/>
          <w:color w:val="000000"/>
          <w:spacing w:val="8"/>
          <w:kern w:val="0"/>
          <w:sz w:val="20"/>
          <w:szCs w:val="20"/>
          <w:lang w:val="en-US" w:eastAsia="en-US" w:bidi="ar-SA"/>
        </w:rPr>
        <w:t>监理人在行使某项权力前需要经发包人事先</w:t>
      </w:r>
      <w:r>
        <w:rPr>
          <w:rFonts w:ascii="宋体" w:hAnsi="宋体" w:eastAsia="宋体" w:cs="宋体"/>
          <w:snapToGrid w:val="0"/>
          <w:color w:val="000000"/>
          <w:spacing w:val="9"/>
          <w:kern w:val="0"/>
          <w:sz w:val="20"/>
          <w:szCs w:val="20"/>
          <w:lang w:val="en-US" w:eastAsia="en-US" w:bidi="ar-SA"/>
        </w:rPr>
        <w:t>批准而通用合同条款没有指明的，应在专用合同条款中指明。</w:t>
      </w:r>
    </w:p>
    <w:p w14:paraId="32F6179B">
      <w:pPr>
        <w:kinsoku w:val="0"/>
        <w:autoSpaceDE w:val="0"/>
        <w:autoSpaceDN w:val="0"/>
        <w:adjustRightInd w:val="0"/>
        <w:snapToGrid w:val="0"/>
        <w:spacing w:before="162" w:line="240" w:lineRule="auto"/>
        <w:ind w:left="4" w:right="105"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3.1.2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监理人发出的任何指示应视为已得到发包人的</w:t>
      </w:r>
      <w:r>
        <w:rPr>
          <w:rFonts w:ascii="宋体" w:hAnsi="宋体" w:eastAsia="宋体" w:cs="宋体"/>
          <w:snapToGrid w:val="0"/>
          <w:color w:val="000000"/>
          <w:spacing w:val="8"/>
          <w:kern w:val="0"/>
          <w:sz w:val="20"/>
          <w:szCs w:val="20"/>
          <w:lang w:val="en-US" w:eastAsia="en-US" w:bidi="ar-SA"/>
        </w:rPr>
        <w:t>批准，但监理人无权免除或变更合同约定的发包人和承包人的权利、义务和责任。</w:t>
      </w:r>
    </w:p>
    <w:p w14:paraId="1D18CB04">
      <w:pPr>
        <w:kinsoku w:val="0"/>
        <w:autoSpaceDE w:val="0"/>
        <w:autoSpaceDN w:val="0"/>
        <w:adjustRightInd w:val="0"/>
        <w:snapToGrid w:val="0"/>
        <w:spacing w:before="163" w:line="240" w:lineRule="auto"/>
        <w:ind w:left="3" w:firstLine="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3.1.3</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合同约定应由承包人承担的义务和责任</w:t>
      </w:r>
      <w:r>
        <w:rPr>
          <w:rFonts w:ascii="宋体" w:hAnsi="宋体" w:eastAsia="宋体" w:cs="宋体"/>
          <w:snapToGrid w:val="0"/>
          <w:color w:val="000000"/>
          <w:spacing w:val="8"/>
          <w:kern w:val="0"/>
          <w:sz w:val="20"/>
          <w:szCs w:val="20"/>
          <w:lang w:val="en-US" w:eastAsia="en-US" w:bidi="ar-SA"/>
        </w:rPr>
        <w:t>，不因监理人对承包人提交文件的审查或批准， 对</w:t>
      </w:r>
      <w:r>
        <w:rPr>
          <w:rFonts w:ascii="宋体" w:hAnsi="宋体" w:eastAsia="宋体" w:cs="宋体"/>
          <w:snapToGrid w:val="0"/>
          <w:color w:val="000000"/>
          <w:spacing w:val="9"/>
          <w:kern w:val="0"/>
          <w:sz w:val="20"/>
          <w:szCs w:val="20"/>
          <w:lang w:val="en-US" w:eastAsia="en-US" w:bidi="ar-SA"/>
        </w:rPr>
        <w:t>工程、材料和设备的检查和检验，以及为实施监理作出的指示等职务行为而减轻或解除。</w:t>
      </w:r>
    </w:p>
    <w:p w14:paraId="71E6FB63">
      <w:pPr>
        <w:kinsoku w:val="0"/>
        <w:autoSpaceDE w:val="0"/>
        <w:autoSpaceDN w:val="0"/>
        <w:adjustRightInd w:val="0"/>
        <w:snapToGrid w:val="0"/>
        <w:spacing w:before="168"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3.2</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总监理工程师</w:t>
      </w:r>
    </w:p>
    <w:p w14:paraId="623DA54E">
      <w:pPr>
        <w:kinsoku w:val="0"/>
        <w:autoSpaceDE w:val="0"/>
        <w:autoSpaceDN w:val="0"/>
        <w:adjustRightInd w:val="0"/>
        <w:snapToGrid w:val="0"/>
        <w:spacing w:before="178" w:line="240" w:lineRule="auto"/>
        <w:ind w:left="5" w:right="56"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发包人应在发出开工通知前将总监理工程师的任命通知承包人。总监理工程师更换时，应</w:t>
      </w:r>
      <w:r>
        <w:rPr>
          <w:rFonts w:ascii="宋体" w:hAnsi="宋体" w:eastAsia="宋体" w:cs="宋体"/>
          <w:snapToGrid w:val="0"/>
          <w:color w:val="000000"/>
          <w:spacing w:val="8"/>
          <w:kern w:val="0"/>
          <w:sz w:val="20"/>
          <w:szCs w:val="20"/>
          <w:lang w:val="en-US" w:eastAsia="en-US" w:bidi="ar-SA"/>
        </w:rPr>
        <w:t>在调离</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14</w:t>
      </w:r>
      <w:r>
        <w:rPr>
          <w:rFonts w:ascii="宋体" w:hAnsi="宋体" w:eastAsia="宋体" w:cs="宋体"/>
          <w:snapToGrid w:val="0"/>
          <w:color w:val="000000"/>
          <w:spacing w:val="9"/>
          <w:kern w:val="0"/>
          <w:sz w:val="20"/>
          <w:szCs w:val="20"/>
          <w:lang w:val="en-US" w:eastAsia="en-US" w:bidi="ar-SA"/>
        </w:rPr>
        <w:t>天前通知承包人。总监理工程师短期离开施工场地的，应委派代表代行其职责，并通知承包人。</w:t>
      </w:r>
    </w:p>
    <w:p w14:paraId="1A76650D">
      <w:pPr>
        <w:kinsoku w:val="0"/>
        <w:autoSpaceDE w:val="0"/>
        <w:autoSpaceDN w:val="0"/>
        <w:adjustRightInd w:val="0"/>
        <w:snapToGrid w:val="0"/>
        <w:spacing w:before="1"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3.3</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监理人员</w:t>
      </w:r>
    </w:p>
    <w:p w14:paraId="2E25C89F">
      <w:pPr>
        <w:kinsoku w:val="0"/>
        <w:autoSpaceDE w:val="0"/>
        <w:autoSpaceDN w:val="0"/>
        <w:adjustRightInd w:val="0"/>
        <w:snapToGrid w:val="0"/>
        <w:spacing w:before="172" w:line="240" w:lineRule="auto"/>
        <w:ind w:right="105" w:firstLine="424"/>
        <w:jc w:val="both"/>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9"/>
          <w:kern w:val="0"/>
          <w:sz w:val="20"/>
          <w:szCs w:val="20"/>
          <w:lang w:val="en-US" w:eastAsia="en-US" w:bidi="ar-SA"/>
        </w:rPr>
        <w:t>3.3.1</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总监理工程师可以授权其他监理人</w:t>
      </w:r>
      <w:r>
        <w:rPr>
          <w:rFonts w:ascii="宋体" w:hAnsi="宋体" w:eastAsia="宋体" w:cs="宋体"/>
          <w:snapToGrid w:val="0"/>
          <w:color w:val="000000"/>
          <w:spacing w:val="8"/>
          <w:kern w:val="0"/>
          <w:sz w:val="20"/>
          <w:szCs w:val="20"/>
          <w:lang w:val="en-US" w:eastAsia="en-US" w:bidi="ar-SA"/>
        </w:rPr>
        <w:t>员负责执行其指派的一项或多项监理工作。总监理工程</w:t>
      </w:r>
      <w:r>
        <w:rPr>
          <w:rFonts w:ascii="宋体" w:hAnsi="宋体" w:eastAsia="宋体" w:cs="宋体"/>
          <w:snapToGrid w:val="0"/>
          <w:color w:val="000000"/>
          <w:spacing w:val="9"/>
          <w:kern w:val="0"/>
          <w:sz w:val="20"/>
          <w:szCs w:val="20"/>
          <w:lang w:val="en-US" w:eastAsia="en-US" w:bidi="ar-SA"/>
        </w:rPr>
        <w:t>师应将被授权监理人员的姓名及其授权范围通知承包人。被授权的监理人员在授权范围内发出的</w:t>
      </w:r>
      <w:r>
        <w:rPr>
          <w:rFonts w:ascii="宋体" w:hAnsi="宋体" w:eastAsia="宋体" w:cs="宋体"/>
          <w:snapToGrid w:val="0"/>
          <w:color w:val="000000"/>
          <w:spacing w:val="9"/>
          <w:kern w:val="0"/>
          <w:sz w:val="22"/>
          <w:szCs w:val="22"/>
          <w:lang w:val="en-US" w:eastAsia="en-US" w:bidi="ar-SA"/>
        </w:rPr>
        <w:t>指示视</w:t>
      </w:r>
      <w:r>
        <w:rPr>
          <w:rFonts w:ascii="宋体" w:hAnsi="宋体" w:eastAsia="宋体" w:cs="宋体"/>
          <w:snapToGrid w:val="0"/>
          <w:color w:val="000000"/>
          <w:kern w:val="0"/>
          <w:sz w:val="22"/>
          <w:szCs w:val="22"/>
          <w:lang w:val="en-US" w:eastAsia="en-US" w:bidi="ar-SA"/>
        </w:rPr>
        <w:t>为已得到总监理工程师的同意，与总监理工程师发出的指示具有同等效力。总监</w:t>
      </w:r>
      <w:r>
        <w:rPr>
          <w:rFonts w:ascii="宋体" w:hAnsi="宋体" w:eastAsia="宋体" w:cs="宋体"/>
          <w:snapToGrid w:val="0"/>
          <w:color w:val="000000"/>
          <w:spacing w:val="-1"/>
          <w:kern w:val="0"/>
          <w:sz w:val="22"/>
          <w:szCs w:val="22"/>
          <w:lang w:val="en-US" w:eastAsia="en-US" w:bidi="ar-SA"/>
        </w:rPr>
        <w:t>理工程师撤销某项授权时，应将撤销授权的决定及时通知承包人。</w:t>
      </w:r>
    </w:p>
    <w:p w14:paraId="59F0A3F1">
      <w:pPr>
        <w:kinsoku w:val="0"/>
        <w:autoSpaceDE w:val="0"/>
        <w:autoSpaceDN w:val="0"/>
        <w:adjustRightInd w:val="0"/>
        <w:snapToGrid w:val="0"/>
        <w:spacing w:before="40" w:line="240" w:lineRule="auto"/>
        <w:ind w:left="1" w:right="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3.3.2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监理人员对承包人的任何工作、工程或其采用的材</w:t>
      </w:r>
      <w:r>
        <w:rPr>
          <w:rFonts w:ascii="宋体" w:hAnsi="宋体" w:eastAsia="宋体" w:cs="宋体"/>
          <w:snapToGrid w:val="0"/>
          <w:color w:val="000000"/>
          <w:spacing w:val="11"/>
          <w:kern w:val="0"/>
          <w:sz w:val="20"/>
          <w:szCs w:val="20"/>
          <w:lang w:val="en-US" w:eastAsia="en-US" w:bidi="ar-SA"/>
        </w:rPr>
        <w:t>料和工程设备未在约定的或合理的期限</w:t>
      </w:r>
      <w:r>
        <w:rPr>
          <w:rFonts w:ascii="宋体" w:hAnsi="宋体" w:eastAsia="宋体" w:cs="宋体"/>
          <w:snapToGrid w:val="0"/>
          <w:color w:val="000000"/>
          <w:spacing w:val="14"/>
          <w:kern w:val="0"/>
          <w:sz w:val="20"/>
          <w:szCs w:val="20"/>
          <w:lang w:val="en-US" w:eastAsia="en-US" w:bidi="ar-SA"/>
        </w:rPr>
        <w:t>内提出否定意见的，视为已获批准，但不影响监理人在以后拒绝该项工作、工程、材料或工程设备的权</w:t>
      </w:r>
      <w:r>
        <w:rPr>
          <w:rFonts w:ascii="宋体" w:hAnsi="宋体" w:eastAsia="宋体" w:cs="宋体"/>
          <w:snapToGrid w:val="0"/>
          <w:color w:val="000000"/>
          <w:kern w:val="0"/>
          <w:sz w:val="20"/>
          <w:szCs w:val="20"/>
          <w:lang w:val="en-US" w:eastAsia="en-US" w:bidi="ar-SA"/>
        </w:rPr>
        <w:t>利。</w:t>
      </w:r>
    </w:p>
    <w:p w14:paraId="0C41C450">
      <w:pPr>
        <w:kinsoku w:val="0"/>
        <w:autoSpaceDE w:val="0"/>
        <w:autoSpaceDN w:val="0"/>
        <w:adjustRightInd w:val="0"/>
        <w:snapToGrid w:val="0"/>
        <w:spacing w:before="159" w:line="240" w:lineRule="auto"/>
        <w:ind w:left="3" w:right="2" w:firstLine="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3.3.3   承包人对总监理工程师授权的监理人员发出的指示有疑问的，可向总监理工程师</w:t>
      </w:r>
      <w:r>
        <w:rPr>
          <w:rFonts w:ascii="宋体" w:hAnsi="宋体" w:eastAsia="宋体" w:cs="宋体"/>
          <w:snapToGrid w:val="0"/>
          <w:color w:val="000000"/>
          <w:spacing w:val="12"/>
          <w:kern w:val="0"/>
          <w:sz w:val="20"/>
          <w:szCs w:val="20"/>
          <w:lang w:val="en-US" w:eastAsia="en-US" w:bidi="ar-SA"/>
        </w:rPr>
        <w:t>提出书面</w:t>
      </w:r>
      <w:r>
        <w:rPr>
          <w:rFonts w:ascii="宋体" w:hAnsi="宋体" w:eastAsia="宋体" w:cs="宋体"/>
          <w:snapToGrid w:val="0"/>
          <w:color w:val="000000"/>
          <w:spacing w:val="9"/>
          <w:kern w:val="0"/>
          <w:sz w:val="20"/>
          <w:szCs w:val="20"/>
          <w:lang w:val="en-US" w:eastAsia="en-US" w:bidi="ar-SA"/>
        </w:rPr>
        <w:t>异议，总监理工程师应在 48 小时内对该指示予以</w:t>
      </w:r>
      <w:r>
        <w:rPr>
          <w:rFonts w:ascii="宋体" w:hAnsi="宋体" w:eastAsia="宋体" w:cs="宋体"/>
          <w:snapToGrid w:val="0"/>
          <w:color w:val="000000"/>
          <w:spacing w:val="8"/>
          <w:kern w:val="0"/>
          <w:sz w:val="20"/>
          <w:szCs w:val="20"/>
          <w:lang w:val="en-US" w:eastAsia="en-US" w:bidi="ar-SA"/>
        </w:rPr>
        <w:t>确认、更改或撤销。</w:t>
      </w:r>
    </w:p>
    <w:p w14:paraId="0E0784A9">
      <w:pPr>
        <w:kinsoku w:val="0"/>
        <w:autoSpaceDE w:val="0"/>
        <w:autoSpaceDN w:val="0"/>
        <w:adjustRightInd w:val="0"/>
        <w:snapToGrid w:val="0"/>
        <w:spacing w:before="161" w:line="240" w:lineRule="auto"/>
        <w:ind w:left="5" w:right="2"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3.3.4</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除专用合同条款另有约定外，总监理工程师</w:t>
      </w:r>
      <w:r>
        <w:rPr>
          <w:rFonts w:ascii="宋体" w:hAnsi="宋体" w:eastAsia="宋体" w:cs="宋体"/>
          <w:snapToGrid w:val="0"/>
          <w:color w:val="000000"/>
          <w:spacing w:val="8"/>
          <w:kern w:val="0"/>
          <w:sz w:val="20"/>
          <w:szCs w:val="20"/>
          <w:lang w:val="en-US" w:eastAsia="en-US" w:bidi="ar-SA"/>
        </w:rPr>
        <w:t>不应将第 3.5 款约定应由总监理工程师作出确定的权力授权或委托给其他监理人员。</w:t>
      </w:r>
    </w:p>
    <w:p w14:paraId="234B112E">
      <w:pPr>
        <w:kinsoku w:val="0"/>
        <w:autoSpaceDE w:val="0"/>
        <w:autoSpaceDN w:val="0"/>
        <w:adjustRightInd w:val="0"/>
        <w:snapToGrid w:val="0"/>
        <w:spacing w:before="165"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3.4</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监理人的指示</w:t>
      </w:r>
    </w:p>
    <w:p w14:paraId="0C9F47C2">
      <w:pPr>
        <w:kinsoku w:val="0"/>
        <w:autoSpaceDE w:val="0"/>
        <w:autoSpaceDN w:val="0"/>
        <w:adjustRightInd w:val="0"/>
        <w:snapToGrid w:val="0"/>
        <w:spacing w:before="176" w:line="240" w:lineRule="auto"/>
        <w:ind w:right="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3.4.1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监理人应按第 3.1 款的约定向承包人发出指示，监理人的指示</w:t>
      </w:r>
      <w:r>
        <w:rPr>
          <w:rFonts w:ascii="宋体" w:hAnsi="宋体" w:eastAsia="宋体" w:cs="宋体"/>
          <w:snapToGrid w:val="0"/>
          <w:color w:val="000000"/>
          <w:spacing w:val="8"/>
          <w:kern w:val="0"/>
          <w:sz w:val="20"/>
          <w:szCs w:val="20"/>
          <w:lang w:val="en-US" w:eastAsia="en-US" w:bidi="ar-SA"/>
        </w:rPr>
        <w:t>应盖有监理人授权的施工场</w:t>
      </w:r>
      <w:r>
        <w:rPr>
          <w:rFonts w:ascii="宋体" w:hAnsi="宋体" w:eastAsia="宋体" w:cs="宋体"/>
          <w:snapToGrid w:val="0"/>
          <w:color w:val="000000"/>
          <w:spacing w:val="9"/>
          <w:kern w:val="0"/>
          <w:sz w:val="20"/>
          <w:szCs w:val="20"/>
          <w:lang w:val="en-US" w:eastAsia="en-US" w:bidi="ar-SA"/>
        </w:rPr>
        <w:t xml:space="preserve">地机构章，并由总监理工程师或总监理工程师按第 3.3.1 </w:t>
      </w:r>
      <w:r>
        <w:rPr>
          <w:rFonts w:ascii="宋体" w:hAnsi="宋体" w:eastAsia="宋体" w:cs="宋体"/>
          <w:snapToGrid w:val="0"/>
          <w:color w:val="000000"/>
          <w:spacing w:val="8"/>
          <w:kern w:val="0"/>
          <w:sz w:val="20"/>
          <w:szCs w:val="20"/>
          <w:lang w:val="en-US" w:eastAsia="en-US" w:bidi="ar-SA"/>
        </w:rPr>
        <w:t>项约定授权的监理人员签字。</w:t>
      </w:r>
    </w:p>
    <w:p w14:paraId="66524128">
      <w:pPr>
        <w:kinsoku w:val="0"/>
        <w:autoSpaceDE w:val="0"/>
        <w:autoSpaceDN w:val="0"/>
        <w:adjustRightInd w:val="0"/>
        <w:snapToGrid w:val="0"/>
        <w:spacing w:before="163" w:line="240" w:lineRule="auto"/>
        <w:ind w:left="2" w:right="1"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3.4.2</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承包人收到监理人按第 3.4.1 项作出的指示后应遵照执行。指示构成变更的，应按第</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15</w:t>
      </w:r>
      <w:r>
        <w:rPr>
          <w:rFonts w:ascii="宋体" w:hAnsi="宋体" w:eastAsia="宋体" w:cs="宋体"/>
          <w:snapToGrid w:val="0"/>
          <w:color w:val="000000"/>
          <w:spacing w:val="4"/>
          <w:kern w:val="0"/>
          <w:sz w:val="20"/>
          <w:szCs w:val="20"/>
          <w:lang w:val="en-US" w:eastAsia="en-US" w:bidi="ar-SA"/>
        </w:rPr>
        <w:t>条处理。</w:t>
      </w:r>
    </w:p>
    <w:p w14:paraId="73401FDB">
      <w:pPr>
        <w:kinsoku w:val="0"/>
        <w:autoSpaceDE w:val="0"/>
        <w:autoSpaceDN w:val="0"/>
        <w:adjustRightInd w:val="0"/>
        <w:snapToGrid w:val="0"/>
        <w:spacing w:before="160" w:line="240" w:lineRule="auto"/>
        <w:ind w:firstLine="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3.4.3   在紧急情况下，总监理工程师或被授权的监理人员可以当场签发临时书面指示，</w:t>
      </w:r>
      <w:r>
        <w:rPr>
          <w:rFonts w:ascii="宋体" w:hAnsi="宋体" w:eastAsia="宋体" w:cs="宋体"/>
          <w:snapToGrid w:val="0"/>
          <w:color w:val="000000"/>
          <w:spacing w:val="12"/>
          <w:kern w:val="0"/>
          <w:sz w:val="20"/>
          <w:szCs w:val="20"/>
          <w:lang w:val="en-US" w:eastAsia="en-US" w:bidi="ar-SA"/>
        </w:rPr>
        <w:t>承包人应</w:t>
      </w:r>
      <w:r>
        <w:rPr>
          <w:rFonts w:ascii="宋体" w:hAnsi="宋体" w:eastAsia="宋体" w:cs="宋体"/>
          <w:snapToGrid w:val="0"/>
          <w:color w:val="000000"/>
          <w:spacing w:val="13"/>
          <w:kern w:val="0"/>
          <w:sz w:val="20"/>
          <w:szCs w:val="20"/>
          <w:lang w:val="en-US" w:eastAsia="en-US" w:bidi="ar-SA"/>
        </w:rPr>
        <w:t>遵照执行。承包人应在收到上述临时书面指示后 24 小时内，</w:t>
      </w:r>
      <w:r>
        <w:rPr>
          <w:rFonts w:ascii="宋体" w:hAnsi="宋体" w:eastAsia="宋体" w:cs="宋体"/>
          <w:snapToGrid w:val="0"/>
          <w:color w:val="000000"/>
          <w:spacing w:val="-59"/>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向</w:t>
      </w:r>
      <w:r>
        <w:rPr>
          <w:rFonts w:ascii="宋体" w:hAnsi="宋体" w:eastAsia="宋体" w:cs="宋体"/>
          <w:snapToGrid w:val="0"/>
          <w:color w:val="000000"/>
          <w:spacing w:val="12"/>
          <w:kern w:val="0"/>
          <w:sz w:val="20"/>
          <w:szCs w:val="20"/>
          <w:lang w:val="en-US" w:eastAsia="en-US" w:bidi="ar-SA"/>
        </w:rPr>
        <w:t>监理人发出书面确认函。监理人在收到</w:t>
      </w:r>
      <w:r>
        <w:rPr>
          <w:rFonts w:ascii="宋体" w:hAnsi="宋体" w:eastAsia="宋体" w:cs="宋体"/>
          <w:snapToGrid w:val="0"/>
          <w:color w:val="000000"/>
          <w:spacing w:val="9"/>
          <w:kern w:val="0"/>
          <w:sz w:val="20"/>
          <w:szCs w:val="20"/>
          <w:lang w:val="en-US" w:eastAsia="en-US" w:bidi="ar-SA"/>
        </w:rPr>
        <w:t>书面确认函后 24 小时内未予答复的，该书面确认函应被视为监理人的正式指</w:t>
      </w:r>
      <w:r>
        <w:rPr>
          <w:rFonts w:ascii="宋体" w:hAnsi="宋体" w:eastAsia="宋体" w:cs="宋体"/>
          <w:snapToGrid w:val="0"/>
          <w:color w:val="000000"/>
          <w:spacing w:val="8"/>
          <w:kern w:val="0"/>
          <w:sz w:val="20"/>
          <w:szCs w:val="20"/>
          <w:lang w:val="en-US" w:eastAsia="en-US" w:bidi="ar-SA"/>
        </w:rPr>
        <w:t>示。</w:t>
      </w:r>
    </w:p>
    <w:p w14:paraId="0D559479">
      <w:pPr>
        <w:kinsoku w:val="0"/>
        <w:autoSpaceDE w:val="0"/>
        <w:autoSpaceDN w:val="0"/>
        <w:adjustRightInd w:val="0"/>
        <w:snapToGrid w:val="0"/>
        <w:spacing w:before="164" w:line="240" w:lineRule="auto"/>
        <w:ind w:left="1" w:right="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3.4.4</w:t>
      </w:r>
      <w:r>
        <w:rPr>
          <w:rFonts w:ascii="宋体" w:hAnsi="宋体" w:eastAsia="宋体" w:cs="宋体"/>
          <w:snapToGrid w:val="0"/>
          <w:color w:val="000000"/>
          <w:spacing w:val="5"/>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除合同另有约定外，承包人只从总监理工程师或按第 3.3.1 项被授权的监理人员处取得指</w:t>
      </w:r>
      <w:r>
        <w:rPr>
          <w:rFonts w:ascii="宋体" w:hAnsi="宋体" w:eastAsia="宋体" w:cs="宋体"/>
          <w:snapToGrid w:val="0"/>
          <w:color w:val="000000"/>
          <w:kern w:val="0"/>
          <w:sz w:val="20"/>
          <w:szCs w:val="20"/>
          <w:lang w:val="en-US" w:eastAsia="en-US" w:bidi="ar-SA"/>
        </w:rPr>
        <w:t>示。</w:t>
      </w:r>
    </w:p>
    <w:p w14:paraId="74535F3B">
      <w:pPr>
        <w:kinsoku w:val="0"/>
        <w:autoSpaceDE w:val="0"/>
        <w:autoSpaceDN w:val="0"/>
        <w:adjustRightInd w:val="0"/>
        <w:snapToGrid w:val="0"/>
        <w:spacing w:before="161" w:line="240" w:lineRule="auto"/>
        <w:ind w:left="10" w:right="2" w:firstLine="41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22"/>
          <w:kern w:val="0"/>
          <w:sz w:val="20"/>
          <w:szCs w:val="20"/>
          <w:lang w:val="en-US" w:eastAsia="en-US" w:bidi="ar-SA"/>
        </w:rPr>
        <w:t>3.4.5   由于监理人未能按合同约定发出指示、指示延误或指示错误而导致承包人费用增加和</w:t>
      </w:r>
      <w:r>
        <w:rPr>
          <w:rFonts w:ascii="宋体" w:hAnsi="宋体" w:eastAsia="宋体" w:cs="宋体"/>
          <w:snapToGrid w:val="0"/>
          <w:color w:val="000000"/>
          <w:spacing w:val="8"/>
          <w:kern w:val="0"/>
          <w:sz w:val="20"/>
          <w:szCs w:val="20"/>
          <w:lang w:val="en-US" w:eastAsia="en-US" w:bidi="ar-SA"/>
        </w:rPr>
        <w:t>（或）工期延误的，由发包人承担赔偿责任。</w:t>
      </w:r>
    </w:p>
    <w:p w14:paraId="6DEC4AA4">
      <w:pPr>
        <w:kinsoku w:val="0"/>
        <w:autoSpaceDE w:val="0"/>
        <w:autoSpaceDN w:val="0"/>
        <w:adjustRightInd w:val="0"/>
        <w:snapToGrid w:val="0"/>
        <w:spacing w:before="166"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3.5</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商定或确定</w:t>
      </w:r>
    </w:p>
    <w:p w14:paraId="357060DE">
      <w:pPr>
        <w:kinsoku w:val="0"/>
        <w:autoSpaceDE w:val="0"/>
        <w:autoSpaceDN w:val="0"/>
        <w:adjustRightInd w:val="0"/>
        <w:snapToGrid w:val="0"/>
        <w:spacing w:before="176" w:line="240" w:lineRule="auto"/>
        <w:ind w:left="14" w:right="2" w:firstLine="4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3.5.1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合同约定总监理工程师应按照本款对任何事项进行</w:t>
      </w:r>
      <w:r>
        <w:rPr>
          <w:rFonts w:ascii="宋体" w:hAnsi="宋体" w:eastAsia="宋体" w:cs="宋体"/>
          <w:snapToGrid w:val="0"/>
          <w:color w:val="000000"/>
          <w:spacing w:val="11"/>
          <w:kern w:val="0"/>
          <w:sz w:val="20"/>
          <w:szCs w:val="20"/>
          <w:lang w:val="en-US" w:eastAsia="en-US" w:bidi="ar-SA"/>
        </w:rPr>
        <w:t>商定或确定时，总监理工程师应与合同</w:t>
      </w:r>
      <w:r>
        <w:rPr>
          <w:rFonts w:ascii="宋体" w:hAnsi="宋体" w:eastAsia="宋体" w:cs="宋体"/>
          <w:snapToGrid w:val="0"/>
          <w:color w:val="000000"/>
          <w:spacing w:val="9"/>
          <w:kern w:val="0"/>
          <w:sz w:val="20"/>
          <w:szCs w:val="20"/>
          <w:lang w:val="en-US" w:eastAsia="en-US" w:bidi="ar-SA"/>
        </w:rPr>
        <w:t>当事人协商，尽量达成一致。不能达成一致的，总监理工程师应认真研究后审慎确定。</w:t>
      </w:r>
    </w:p>
    <w:p w14:paraId="26D1E258">
      <w:pPr>
        <w:kinsoku w:val="0"/>
        <w:autoSpaceDE w:val="0"/>
        <w:autoSpaceDN w:val="0"/>
        <w:adjustRightInd w:val="0"/>
        <w:snapToGrid w:val="0"/>
        <w:spacing w:before="162" w:line="240" w:lineRule="auto"/>
        <w:ind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3.5.2</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总监理工程师应将商定或确定的事项通</w:t>
      </w:r>
      <w:r>
        <w:rPr>
          <w:rFonts w:ascii="宋体" w:hAnsi="宋体" w:eastAsia="宋体" w:cs="宋体"/>
          <w:snapToGrid w:val="0"/>
          <w:color w:val="000000"/>
          <w:spacing w:val="11"/>
          <w:kern w:val="0"/>
          <w:sz w:val="20"/>
          <w:szCs w:val="20"/>
          <w:lang w:val="en-US" w:eastAsia="en-US" w:bidi="ar-SA"/>
        </w:rPr>
        <w:t>知合同当事人，并附详细依据。对总监理工程师的</w:t>
      </w:r>
      <w:r>
        <w:rPr>
          <w:rFonts w:ascii="宋体" w:hAnsi="宋体" w:eastAsia="宋体" w:cs="宋体"/>
          <w:snapToGrid w:val="0"/>
          <w:color w:val="000000"/>
          <w:spacing w:val="14"/>
          <w:kern w:val="0"/>
          <w:sz w:val="20"/>
          <w:szCs w:val="20"/>
          <w:lang w:val="en-US" w:eastAsia="en-US" w:bidi="ar-SA"/>
        </w:rPr>
        <w:t>确定有异议的，构成争议，按照第 24 条的约定</w:t>
      </w:r>
      <w:r>
        <w:rPr>
          <w:rFonts w:ascii="宋体" w:hAnsi="宋体" w:eastAsia="宋体" w:cs="宋体"/>
          <w:snapToGrid w:val="0"/>
          <w:color w:val="000000"/>
          <w:spacing w:val="13"/>
          <w:kern w:val="0"/>
          <w:sz w:val="20"/>
          <w:szCs w:val="20"/>
          <w:lang w:val="en-US" w:eastAsia="en-US" w:bidi="ar-SA"/>
        </w:rPr>
        <w:t>处理。在争议解决前，双方应暂按总监理工程师的确定</w:t>
      </w:r>
      <w:r>
        <w:rPr>
          <w:rFonts w:ascii="宋体" w:hAnsi="宋体" w:eastAsia="宋体" w:cs="宋体"/>
          <w:snapToGrid w:val="0"/>
          <w:color w:val="000000"/>
          <w:spacing w:val="9"/>
          <w:kern w:val="0"/>
          <w:sz w:val="20"/>
          <w:szCs w:val="20"/>
          <w:lang w:val="en-US" w:eastAsia="en-US" w:bidi="ar-SA"/>
        </w:rPr>
        <w:t>执行，按照第 24 条的约定对总监理工程师的确定作出修改的，按修改后的结果执行。</w:t>
      </w:r>
    </w:p>
    <w:p w14:paraId="0FD0545E">
      <w:pPr>
        <w:kinsoku w:val="0"/>
        <w:autoSpaceDE w:val="0"/>
        <w:autoSpaceDN w:val="0"/>
        <w:adjustRightInd w:val="0"/>
        <w:snapToGrid w:val="0"/>
        <w:spacing w:before="168" w:line="240" w:lineRule="auto"/>
        <w:ind w:left="4223"/>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5"/>
          <w:szCs w:val="25"/>
          <w:lang w:val="en-US" w:eastAsia="en-US" w:bidi="ar-SA"/>
        </w:rPr>
        <w:t>4.</w:t>
      </w:r>
      <w:r>
        <w:rPr>
          <w:rFonts w:ascii="宋体" w:hAnsi="宋体" w:eastAsia="宋体" w:cs="宋体"/>
          <w:snapToGrid w:val="0"/>
          <w:color w:val="000000"/>
          <w:spacing w:val="17"/>
          <w:kern w:val="0"/>
          <w:sz w:val="25"/>
          <w:szCs w:val="25"/>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承包人</w:t>
      </w:r>
    </w:p>
    <w:p w14:paraId="7624068C">
      <w:pPr>
        <w:kinsoku w:val="0"/>
        <w:autoSpaceDE w:val="0"/>
        <w:autoSpaceDN w:val="0"/>
        <w:adjustRightInd w:val="0"/>
        <w:snapToGrid w:val="0"/>
        <w:spacing w:before="178"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4.1</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承包人的一般义务</w:t>
      </w:r>
    </w:p>
    <w:p w14:paraId="71E5ADD6">
      <w:pPr>
        <w:kinsoku w:val="0"/>
        <w:autoSpaceDE w:val="0"/>
        <w:autoSpaceDN w:val="0"/>
        <w:adjustRightInd w:val="0"/>
        <w:snapToGrid w:val="0"/>
        <w:spacing w:before="175"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4.1.1</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遵守法律</w:t>
      </w:r>
    </w:p>
    <w:p w14:paraId="72241771">
      <w:pPr>
        <w:kinsoku w:val="0"/>
        <w:autoSpaceDE w:val="0"/>
        <w:autoSpaceDN w:val="0"/>
        <w:adjustRightInd w:val="0"/>
        <w:snapToGrid w:val="0"/>
        <w:spacing w:before="163" w:line="240" w:lineRule="auto"/>
        <w:ind w:right="405"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承包人在履行合同过程中应遵守法律，并保证发包人免于承担因承包</w:t>
      </w:r>
      <w:r>
        <w:rPr>
          <w:rFonts w:ascii="宋体" w:hAnsi="宋体" w:eastAsia="宋体" w:cs="宋体"/>
          <w:snapToGrid w:val="0"/>
          <w:color w:val="000000"/>
          <w:spacing w:val="9"/>
          <w:kern w:val="0"/>
          <w:sz w:val="20"/>
          <w:szCs w:val="20"/>
          <w:lang w:val="en-US" w:eastAsia="en-US" w:bidi="ar-SA"/>
        </w:rPr>
        <w:t>人违反法律而引起的任何责</w:t>
      </w:r>
      <w:r>
        <w:rPr>
          <w:rFonts w:ascii="宋体" w:hAnsi="宋体" w:eastAsia="宋体" w:cs="宋体"/>
          <w:snapToGrid w:val="0"/>
          <w:color w:val="000000"/>
          <w:kern w:val="0"/>
          <w:sz w:val="20"/>
          <w:szCs w:val="20"/>
          <w:lang w:val="en-US" w:eastAsia="en-US" w:bidi="ar-SA"/>
        </w:rPr>
        <w:t>任。</w:t>
      </w:r>
    </w:p>
    <w:p w14:paraId="6267550D">
      <w:pPr>
        <w:kinsoku w:val="0"/>
        <w:autoSpaceDE w:val="0"/>
        <w:autoSpaceDN w:val="0"/>
        <w:adjustRightInd w:val="0"/>
        <w:snapToGrid w:val="0"/>
        <w:spacing w:before="1"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4.1.2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依法纳税</w:t>
      </w:r>
    </w:p>
    <w:p w14:paraId="149C28A4">
      <w:pPr>
        <w:kinsoku w:val="0"/>
        <w:autoSpaceDE w:val="0"/>
        <w:autoSpaceDN w:val="0"/>
        <w:adjustRightInd w:val="0"/>
        <w:snapToGrid w:val="0"/>
        <w:spacing w:before="163"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承包人应按有关法律规定纳税，应缴纳的税金包括在合同价格内。</w:t>
      </w:r>
    </w:p>
    <w:p w14:paraId="35DBB2F2">
      <w:pPr>
        <w:kinsoku w:val="0"/>
        <w:autoSpaceDE w:val="0"/>
        <w:autoSpaceDN w:val="0"/>
        <w:adjustRightInd w:val="0"/>
        <w:snapToGrid w:val="0"/>
        <w:spacing w:before="165"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4.1.3</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完成各项承包工作</w:t>
      </w:r>
    </w:p>
    <w:p w14:paraId="59E3CEA2">
      <w:pPr>
        <w:kinsoku w:val="0"/>
        <w:autoSpaceDE w:val="0"/>
        <w:autoSpaceDN w:val="0"/>
        <w:adjustRightInd w:val="0"/>
        <w:snapToGrid w:val="0"/>
        <w:spacing w:before="160" w:line="240" w:lineRule="auto"/>
        <w:ind w:righ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承包人应按合同约定以及监理人根据第 3.4 款作出的指示，实施、完成全部工程，并修补工程中的</w:t>
      </w:r>
      <w:r>
        <w:rPr>
          <w:rFonts w:ascii="宋体" w:hAnsi="宋体" w:eastAsia="宋体" w:cs="宋体"/>
          <w:snapToGrid w:val="0"/>
          <w:color w:val="000000"/>
          <w:spacing w:val="14"/>
          <w:kern w:val="0"/>
          <w:sz w:val="20"/>
          <w:szCs w:val="20"/>
          <w:lang w:val="en-US" w:eastAsia="en-US" w:bidi="ar-SA"/>
        </w:rPr>
        <w:t>任何缺陷。除专用合同条款另有约定外，承包人应提供为完成合同工作所需</w:t>
      </w:r>
      <w:r>
        <w:rPr>
          <w:rFonts w:ascii="宋体" w:hAnsi="宋体" w:eastAsia="宋体" w:cs="宋体"/>
          <w:snapToGrid w:val="0"/>
          <w:color w:val="000000"/>
          <w:spacing w:val="13"/>
          <w:kern w:val="0"/>
          <w:sz w:val="20"/>
          <w:szCs w:val="20"/>
          <w:lang w:val="en-US" w:eastAsia="en-US" w:bidi="ar-SA"/>
        </w:rPr>
        <w:t>的劳务、材料、施工设备、</w:t>
      </w:r>
    </w:p>
    <w:p w14:paraId="68DBD829">
      <w:pPr>
        <w:kinsoku w:val="0"/>
        <w:autoSpaceDE w:val="0"/>
        <w:autoSpaceDN w:val="0"/>
        <w:adjustRightInd w:val="0"/>
        <w:snapToGrid w:val="0"/>
        <w:spacing w:before="41" w:line="240" w:lineRule="auto"/>
        <w:ind w:left="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工程设备和其他物品，并按合同约定负责临时设施的设计、建造、运行、维护、管理和拆除。</w:t>
      </w:r>
    </w:p>
    <w:p w14:paraId="3C21C01F">
      <w:pPr>
        <w:kinsoku w:val="0"/>
        <w:autoSpaceDE w:val="0"/>
        <w:autoSpaceDN w:val="0"/>
        <w:adjustRightInd w:val="0"/>
        <w:snapToGrid w:val="0"/>
        <w:spacing w:before="161"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6"/>
          <w:kern w:val="0"/>
          <w:sz w:val="20"/>
          <w:szCs w:val="20"/>
          <w:lang w:val="en-US" w:eastAsia="en-US" w:bidi="ar-SA"/>
        </w:rPr>
        <w:t>4.1.4</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6"/>
          <w:kern w:val="0"/>
          <w:sz w:val="20"/>
          <w:szCs w:val="20"/>
          <w:lang w:val="en-US" w:eastAsia="en-US" w:bidi="ar-SA"/>
        </w:rPr>
        <w:t>对施工作业和施工方法的完备性负责</w:t>
      </w:r>
    </w:p>
    <w:p w14:paraId="28EC8E0B">
      <w:pPr>
        <w:kinsoku w:val="0"/>
        <w:autoSpaceDE w:val="0"/>
        <w:autoSpaceDN w:val="0"/>
        <w:adjustRightInd w:val="0"/>
        <w:snapToGrid w:val="0"/>
        <w:spacing w:before="160" w:line="240" w:lineRule="auto"/>
        <w:ind w:left="3" w:right="192"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承包人应按合同约定的工作内容和施工进度要求，编制施工组织设计和施</w:t>
      </w:r>
      <w:r>
        <w:rPr>
          <w:rFonts w:ascii="宋体" w:hAnsi="宋体" w:eastAsia="宋体" w:cs="宋体"/>
          <w:snapToGrid w:val="0"/>
          <w:color w:val="000000"/>
          <w:spacing w:val="9"/>
          <w:kern w:val="0"/>
          <w:sz w:val="20"/>
          <w:szCs w:val="20"/>
          <w:lang w:val="en-US" w:eastAsia="en-US" w:bidi="ar-SA"/>
        </w:rPr>
        <w:t>工措施计划，并对所有施</w:t>
      </w:r>
      <w:r>
        <w:rPr>
          <w:rFonts w:ascii="宋体" w:hAnsi="宋体" w:eastAsia="宋体" w:cs="宋体"/>
          <w:snapToGrid w:val="0"/>
          <w:color w:val="000000"/>
          <w:spacing w:val="8"/>
          <w:kern w:val="0"/>
          <w:sz w:val="20"/>
          <w:szCs w:val="20"/>
          <w:lang w:val="en-US" w:eastAsia="en-US" w:bidi="ar-SA"/>
        </w:rPr>
        <w:t>工作业和施工方法的完备性和安全可靠性负责。</w:t>
      </w:r>
    </w:p>
    <w:p w14:paraId="082E1BA3">
      <w:pPr>
        <w:kinsoku w:val="0"/>
        <w:autoSpaceDE w:val="0"/>
        <w:autoSpaceDN w:val="0"/>
        <w:adjustRightInd w:val="0"/>
        <w:snapToGrid w:val="0"/>
        <w:spacing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5"/>
          <w:kern w:val="0"/>
          <w:sz w:val="20"/>
          <w:szCs w:val="20"/>
          <w:lang w:val="en-US" w:eastAsia="en-US" w:bidi="ar-SA"/>
        </w:rPr>
        <w:t>4.1.5</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5"/>
          <w:kern w:val="0"/>
          <w:sz w:val="20"/>
          <w:szCs w:val="20"/>
          <w:lang w:val="en-US" w:eastAsia="en-US" w:bidi="ar-SA"/>
        </w:rPr>
        <w:t>保证工程施工和人员的安全</w:t>
      </w:r>
    </w:p>
    <w:p w14:paraId="3CB2F44A">
      <w:pPr>
        <w:kinsoku w:val="0"/>
        <w:autoSpaceDE w:val="0"/>
        <w:autoSpaceDN w:val="0"/>
        <w:adjustRightInd w:val="0"/>
        <w:snapToGrid w:val="0"/>
        <w:spacing w:before="159" w:line="240" w:lineRule="auto"/>
        <w:ind w:left="1" w:right="191"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承包人应按第 9.2 款约定采取施工安全措施，确保工</w:t>
      </w:r>
      <w:r>
        <w:rPr>
          <w:rFonts w:ascii="宋体" w:hAnsi="宋体" w:eastAsia="宋体" w:cs="宋体"/>
          <w:snapToGrid w:val="0"/>
          <w:color w:val="000000"/>
          <w:spacing w:val="8"/>
          <w:kern w:val="0"/>
          <w:sz w:val="20"/>
          <w:szCs w:val="20"/>
          <w:lang w:val="en-US" w:eastAsia="en-US" w:bidi="ar-SA"/>
        </w:rPr>
        <w:t>程及其人员、材料、设备和设施的安全，</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防止因工程施工造成的人身伤害和财产损失。</w:t>
      </w:r>
    </w:p>
    <w:p w14:paraId="321CFFB8">
      <w:pPr>
        <w:kinsoku w:val="0"/>
        <w:autoSpaceDE w:val="0"/>
        <w:autoSpaceDN w:val="0"/>
        <w:adjustRightInd w:val="0"/>
        <w:snapToGrid w:val="0"/>
        <w:spacing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6"/>
          <w:kern w:val="0"/>
          <w:sz w:val="20"/>
          <w:szCs w:val="20"/>
          <w:lang w:val="en-US" w:eastAsia="en-US" w:bidi="ar-SA"/>
        </w:rPr>
        <w:t>4.1.6</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b/>
          <w:bCs/>
          <w:snapToGrid w:val="0"/>
          <w:color w:val="000000"/>
          <w:spacing w:val="6"/>
          <w:kern w:val="0"/>
          <w:sz w:val="20"/>
          <w:szCs w:val="20"/>
          <w:lang w:val="en-US" w:eastAsia="en-US" w:bidi="ar-SA"/>
        </w:rPr>
        <w:t>负责施工场地及其周边环境与生态的保护工作</w:t>
      </w:r>
    </w:p>
    <w:p w14:paraId="29098336">
      <w:pPr>
        <w:kinsoku w:val="0"/>
        <w:autoSpaceDE w:val="0"/>
        <w:autoSpaceDN w:val="0"/>
        <w:adjustRightInd w:val="0"/>
        <w:snapToGrid w:val="0"/>
        <w:spacing w:before="164"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承包人应按照第 9.4 款约定负责施工场地及其周边环境与</w:t>
      </w:r>
      <w:r>
        <w:rPr>
          <w:rFonts w:ascii="宋体" w:hAnsi="宋体" w:eastAsia="宋体" w:cs="宋体"/>
          <w:snapToGrid w:val="0"/>
          <w:color w:val="000000"/>
          <w:spacing w:val="8"/>
          <w:kern w:val="0"/>
          <w:sz w:val="20"/>
          <w:szCs w:val="20"/>
          <w:lang w:val="en-US" w:eastAsia="en-US" w:bidi="ar-SA"/>
        </w:rPr>
        <w:t>生态的保护工作。</w:t>
      </w:r>
    </w:p>
    <w:p w14:paraId="1F760403">
      <w:pPr>
        <w:kinsoku w:val="0"/>
        <w:autoSpaceDE w:val="0"/>
        <w:autoSpaceDN w:val="0"/>
        <w:adjustRightInd w:val="0"/>
        <w:snapToGrid w:val="0"/>
        <w:spacing w:before="161"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6"/>
          <w:kern w:val="0"/>
          <w:sz w:val="20"/>
          <w:szCs w:val="20"/>
          <w:lang w:val="en-US" w:eastAsia="en-US" w:bidi="ar-SA"/>
        </w:rPr>
        <w:t>4.1.7</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6"/>
          <w:kern w:val="0"/>
          <w:sz w:val="20"/>
          <w:szCs w:val="20"/>
          <w:lang w:val="en-US" w:eastAsia="en-US" w:bidi="ar-SA"/>
        </w:rPr>
        <w:t>避免施工对公众与他人的利益造成损害</w:t>
      </w:r>
    </w:p>
    <w:p w14:paraId="581F9D01">
      <w:pPr>
        <w:kinsoku w:val="0"/>
        <w:autoSpaceDE w:val="0"/>
        <w:autoSpaceDN w:val="0"/>
        <w:adjustRightInd w:val="0"/>
        <w:snapToGrid w:val="0"/>
        <w:spacing w:before="162" w:line="240" w:lineRule="auto"/>
        <w:ind w:firstLine="420"/>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承包人在进行合同约定的各项工作时，不得侵害发包人与他人使用公用道路、水源、市政管网等公共设施的权利，避免对邻近的公共设施产生干扰。承包人占用或使用他人的施工场地，影响他人作业或</w:t>
      </w:r>
      <w:r>
        <w:rPr>
          <w:rFonts w:ascii="宋体" w:hAnsi="宋体" w:eastAsia="宋体" w:cs="宋体"/>
          <w:snapToGrid w:val="0"/>
          <w:color w:val="000000"/>
          <w:spacing w:val="8"/>
          <w:kern w:val="0"/>
          <w:sz w:val="20"/>
          <w:szCs w:val="20"/>
          <w:lang w:val="en-US" w:eastAsia="en-US" w:bidi="ar-SA"/>
        </w:rPr>
        <w:t>生活的，应承担相应责任。</w:t>
      </w:r>
    </w:p>
    <w:p w14:paraId="3A2AC750">
      <w:pPr>
        <w:kinsoku w:val="0"/>
        <w:autoSpaceDE w:val="0"/>
        <w:autoSpaceDN w:val="0"/>
        <w:adjustRightInd w:val="0"/>
        <w:snapToGrid w:val="0"/>
        <w:spacing w:before="1"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4.1.8</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为他人提供方便</w:t>
      </w:r>
    </w:p>
    <w:p w14:paraId="4EBA49D0">
      <w:pPr>
        <w:kinsoku w:val="0"/>
        <w:autoSpaceDE w:val="0"/>
        <w:autoSpaceDN w:val="0"/>
        <w:adjustRightInd w:val="0"/>
        <w:snapToGrid w:val="0"/>
        <w:spacing w:before="162" w:line="240" w:lineRule="auto"/>
        <w:ind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9"/>
          <w:kern w:val="0"/>
          <w:sz w:val="20"/>
          <w:szCs w:val="20"/>
          <w:lang w:val="en-US" w:eastAsia="en-US" w:bidi="ar-SA"/>
        </w:rPr>
        <w:t>承包人应按监理人的指示为他人在施工场地或附近实施与工程有关的其他各项工作提供可能的条</w:t>
      </w:r>
      <w:r>
        <w:rPr>
          <w:rFonts w:ascii="宋体" w:hAnsi="宋体" w:eastAsia="宋体" w:cs="宋体"/>
          <w:snapToGrid w:val="0"/>
          <w:color w:val="000000"/>
          <w:spacing w:val="9"/>
          <w:kern w:val="0"/>
          <w:sz w:val="20"/>
          <w:szCs w:val="20"/>
          <w:lang w:val="en-US" w:eastAsia="en-US" w:bidi="ar-SA"/>
        </w:rPr>
        <w:t>件。除合同另有约定外，提供有关条件的内容和可能发生的费用，由监理人按第 3.5 款商定或确定。</w:t>
      </w:r>
    </w:p>
    <w:p w14:paraId="49727C41">
      <w:pPr>
        <w:kinsoku w:val="0"/>
        <w:autoSpaceDE w:val="0"/>
        <w:autoSpaceDN w:val="0"/>
        <w:adjustRightInd w:val="0"/>
        <w:snapToGrid w:val="0"/>
        <w:spacing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4.1.9</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工程的维护和照管</w:t>
      </w:r>
    </w:p>
    <w:p w14:paraId="594BC615">
      <w:pPr>
        <w:kinsoku w:val="0"/>
        <w:autoSpaceDE w:val="0"/>
        <w:autoSpaceDN w:val="0"/>
        <w:adjustRightInd w:val="0"/>
        <w:snapToGrid w:val="0"/>
        <w:spacing w:before="161" w:line="240" w:lineRule="auto"/>
        <w:ind w:left="17" w:right="403" w:firstLine="4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工程接收证书颁发前，承包人应负责照管和维护工程。工程接</w:t>
      </w:r>
      <w:r>
        <w:rPr>
          <w:rFonts w:ascii="宋体" w:hAnsi="宋体" w:eastAsia="宋体" w:cs="宋体"/>
          <w:snapToGrid w:val="0"/>
          <w:color w:val="000000"/>
          <w:spacing w:val="9"/>
          <w:kern w:val="0"/>
          <w:sz w:val="20"/>
          <w:szCs w:val="20"/>
          <w:lang w:val="en-US" w:eastAsia="en-US" w:bidi="ar-SA"/>
        </w:rPr>
        <w:t>收证书颁发时尚有部分未竣工工程的，承包人还应负责该未竣工工程的照管和维护工作，直至竣工后移交给发包人为止。</w:t>
      </w:r>
    </w:p>
    <w:p w14:paraId="7E331242">
      <w:pPr>
        <w:kinsoku w:val="0"/>
        <w:autoSpaceDE w:val="0"/>
        <w:autoSpaceDN w:val="0"/>
        <w:adjustRightInd w:val="0"/>
        <w:snapToGrid w:val="0"/>
        <w:spacing w:before="1" w:line="240" w:lineRule="auto"/>
        <w:ind w:left="420"/>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4.1.10</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其他义务</w:t>
      </w:r>
    </w:p>
    <w:p w14:paraId="1298FE53">
      <w:pPr>
        <w:kinsoku w:val="0"/>
        <w:autoSpaceDE w:val="0"/>
        <w:autoSpaceDN w:val="0"/>
        <w:adjustRightInd w:val="0"/>
        <w:snapToGrid w:val="0"/>
        <w:spacing w:before="161"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承包人应履行合同约定的其他义务。</w:t>
      </w:r>
    </w:p>
    <w:p w14:paraId="1EEBB3D3">
      <w:pPr>
        <w:kinsoku w:val="0"/>
        <w:autoSpaceDE w:val="0"/>
        <w:autoSpaceDN w:val="0"/>
        <w:adjustRightInd w:val="0"/>
        <w:snapToGrid w:val="0"/>
        <w:spacing w:before="166"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4.2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履约担保</w:t>
      </w:r>
    </w:p>
    <w:p w14:paraId="4AE09517">
      <w:pPr>
        <w:kinsoku w:val="0"/>
        <w:autoSpaceDE w:val="0"/>
        <w:autoSpaceDN w:val="0"/>
        <w:adjustRightInd w:val="0"/>
        <w:snapToGrid w:val="0"/>
        <w:spacing w:before="177" w:line="240" w:lineRule="auto"/>
        <w:ind w:left="3" w:right="192"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承包人应保证其履约担保在发包人颁发工程接收证书前一直有效。发包人</w:t>
      </w:r>
      <w:r>
        <w:rPr>
          <w:rFonts w:ascii="宋体" w:hAnsi="宋体" w:eastAsia="宋体" w:cs="宋体"/>
          <w:snapToGrid w:val="0"/>
          <w:color w:val="000000"/>
          <w:spacing w:val="9"/>
          <w:kern w:val="0"/>
          <w:sz w:val="20"/>
          <w:szCs w:val="20"/>
          <w:lang w:val="en-US" w:eastAsia="en-US" w:bidi="ar-SA"/>
        </w:rPr>
        <w:t>应在工程接收证书颁发后</w:t>
      </w:r>
      <w:r>
        <w:rPr>
          <w:rFonts w:ascii="宋体" w:hAnsi="宋体" w:eastAsia="宋体" w:cs="宋体"/>
          <w:snapToGrid w:val="0"/>
          <w:color w:val="000000"/>
          <w:spacing w:val="7"/>
          <w:kern w:val="0"/>
          <w:sz w:val="20"/>
          <w:szCs w:val="20"/>
          <w:lang w:val="en-US" w:eastAsia="en-US" w:bidi="ar-SA"/>
        </w:rPr>
        <w:t>28 天内把履约担保退还给承包人。</w:t>
      </w:r>
    </w:p>
    <w:p w14:paraId="5FED710F">
      <w:pPr>
        <w:kinsoku w:val="0"/>
        <w:autoSpaceDE w:val="0"/>
        <w:autoSpaceDN w:val="0"/>
        <w:adjustRightInd w:val="0"/>
        <w:snapToGrid w:val="0"/>
        <w:spacing w:before="2"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4.3</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分包</w:t>
      </w:r>
    </w:p>
    <w:p w14:paraId="68EA2F22">
      <w:pPr>
        <w:kinsoku w:val="0"/>
        <w:autoSpaceDE w:val="0"/>
        <w:autoSpaceDN w:val="0"/>
        <w:adjustRightInd w:val="0"/>
        <w:snapToGrid w:val="0"/>
        <w:spacing w:before="178" w:line="240" w:lineRule="auto"/>
        <w:ind w:left="3" w:right="134" w:firstLine="41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4.3.1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承包人不得将其承包的全部工程转包给第三人，或将其承</w:t>
      </w:r>
      <w:r>
        <w:rPr>
          <w:rFonts w:ascii="宋体" w:hAnsi="宋体" w:eastAsia="宋体" w:cs="宋体"/>
          <w:snapToGrid w:val="0"/>
          <w:color w:val="000000"/>
          <w:spacing w:val="8"/>
          <w:kern w:val="0"/>
          <w:sz w:val="20"/>
          <w:szCs w:val="20"/>
          <w:lang w:val="en-US" w:eastAsia="en-US" w:bidi="ar-SA"/>
        </w:rPr>
        <w:t>包的全部工程肢解后以分包的名</w:t>
      </w:r>
      <w:r>
        <w:rPr>
          <w:rFonts w:ascii="宋体" w:hAnsi="宋体" w:eastAsia="宋体" w:cs="宋体"/>
          <w:snapToGrid w:val="0"/>
          <w:color w:val="000000"/>
          <w:spacing w:val="7"/>
          <w:kern w:val="0"/>
          <w:sz w:val="20"/>
          <w:szCs w:val="20"/>
          <w:lang w:val="en-US" w:eastAsia="en-US" w:bidi="ar-SA"/>
        </w:rPr>
        <w:t>义转包给第三人。</w:t>
      </w:r>
    </w:p>
    <w:p w14:paraId="65F322A3">
      <w:pPr>
        <w:kinsoku w:val="0"/>
        <w:autoSpaceDE w:val="0"/>
        <w:autoSpaceDN w:val="0"/>
        <w:adjustRightInd w:val="0"/>
        <w:snapToGrid w:val="0"/>
        <w:spacing w:before="162" w:line="240" w:lineRule="auto"/>
        <w:ind w:right="134"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4.3.2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承包人不得将工程主体、关键性工作分包给第三人。除专</w:t>
      </w:r>
      <w:r>
        <w:rPr>
          <w:rFonts w:ascii="宋体" w:hAnsi="宋体" w:eastAsia="宋体" w:cs="宋体"/>
          <w:snapToGrid w:val="0"/>
          <w:color w:val="000000"/>
          <w:spacing w:val="8"/>
          <w:kern w:val="0"/>
          <w:sz w:val="20"/>
          <w:szCs w:val="20"/>
          <w:lang w:val="en-US" w:eastAsia="en-US" w:bidi="ar-SA"/>
        </w:rPr>
        <w:t>用合同条款另有约定外，未经发</w:t>
      </w:r>
      <w:r>
        <w:rPr>
          <w:rFonts w:ascii="宋体" w:hAnsi="宋体" w:eastAsia="宋体" w:cs="宋体"/>
          <w:snapToGrid w:val="0"/>
          <w:color w:val="000000"/>
          <w:spacing w:val="9"/>
          <w:kern w:val="0"/>
          <w:sz w:val="20"/>
          <w:szCs w:val="20"/>
          <w:lang w:val="en-US" w:eastAsia="en-US" w:bidi="ar-SA"/>
        </w:rPr>
        <w:t>包人同意，承包人不得将工程的其他部分或工作分包给第三人。</w:t>
      </w:r>
    </w:p>
    <w:p w14:paraId="79165C95">
      <w:pPr>
        <w:kinsoku w:val="0"/>
        <w:autoSpaceDE w:val="0"/>
        <w:autoSpaceDN w:val="0"/>
        <w:adjustRightInd w:val="0"/>
        <w:snapToGrid w:val="0"/>
        <w:spacing w:before="161"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4.3.3</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分包人的资格能力应与其分包工</w:t>
      </w:r>
      <w:r>
        <w:rPr>
          <w:rFonts w:ascii="宋体" w:hAnsi="宋体" w:eastAsia="宋体" w:cs="宋体"/>
          <w:snapToGrid w:val="0"/>
          <w:color w:val="000000"/>
          <w:spacing w:val="7"/>
          <w:kern w:val="0"/>
          <w:sz w:val="20"/>
          <w:szCs w:val="20"/>
          <w:lang w:val="en-US" w:eastAsia="en-US" w:bidi="ar-SA"/>
        </w:rPr>
        <w:t>程的标准和规模相适应。</w:t>
      </w:r>
    </w:p>
    <w:p w14:paraId="2004DDD2">
      <w:pPr>
        <w:kinsoku w:val="0"/>
        <w:autoSpaceDE w:val="0"/>
        <w:autoSpaceDN w:val="0"/>
        <w:adjustRightInd w:val="0"/>
        <w:snapToGrid w:val="0"/>
        <w:spacing w:before="161"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4.3.4</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按投标函附录约定分包工程的，承包人应向发包人和监理人提交分包合同副本。</w:t>
      </w:r>
    </w:p>
    <w:p w14:paraId="0D3B3946">
      <w:pPr>
        <w:kinsoku w:val="0"/>
        <w:autoSpaceDE w:val="0"/>
        <w:autoSpaceDN w:val="0"/>
        <w:adjustRightInd w:val="0"/>
        <w:snapToGrid w:val="0"/>
        <w:spacing w:before="162"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4.3.5</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承包人应与分包人就分包工程向</w:t>
      </w:r>
      <w:r>
        <w:rPr>
          <w:rFonts w:ascii="宋体" w:hAnsi="宋体" w:eastAsia="宋体" w:cs="宋体"/>
          <w:snapToGrid w:val="0"/>
          <w:color w:val="000000"/>
          <w:spacing w:val="7"/>
          <w:kern w:val="0"/>
          <w:sz w:val="20"/>
          <w:szCs w:val="20"/>
          <w:lang w:val="en-US" w:eastAsia="en-US" w:bidi="ar-SA"/>
        </w:rPr>
        <w:t>发包人承担连带责任。</w:t>
      </w:r>
    </w:p>
    <w:p w14:paraId="3B72AE10">
      <w:pPr>
        <w:kinsoku w:val="0"/>
        <w:autoSpaceDE w:val="0"/>
        <w:autoSpaceDN w:val="0"/>
        <w:adjustRightInd w:val="0"/>
        <w:snapToGrid w:val="0"/>
        <w:spacing w:before="165"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4.4</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联合体</w:t>
      </w:r>
    </w:p>
    <w:p w14:paraId="29133952">
      <w:pPr>
        <w:kinsoku w:val="0"/>
        <w:autoSpaceDE w:val="0"/>
        <w:autoSpaceDN w:val="0"/>
        <w:adjustRightInd w:val="0"/>
        <w:snapToGrid w:val="0"/>
        <w:spacing w:before="177"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4.4.1</w:t>
      </w:r>
      <w:r>
        <w:rPr>
          <w:rFonts w:ascii="宋体" w:hAnsi="宋体" w:eastAsia="宋体" w:cs="宋体"/>
          <w:snapToGrid w:val="0"/>
          <w:color w:val="000000"/>
          <w:spacing w:val="37"/>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联合体各方应共同与发包人签订合同协议书。联合体各方应为履行合同承担连带责任。</w:t>
      </w:r>
    </w:p>
    <w:p w14:paraId="62D6B29C">
      <w:pPr>
        <w:kinsoku w:val="0"/>
        <w:autoSpaceDE w:val="0"/>
        <w:autoSpaceDN w:val="0"/>
        <w:adjustRightInd w:val="0"/>
        <w:snapToGrid w:val="0"/>
        <w:spacing w:before="162"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4.4.2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联合体协议经发包人确认后作为合同附件。在履行合同</w:t>
      </w:r>
      <w:r>
        <w:rPr>
          <w:rFonts w:ascii="宋体" w:hAnsi="宋体" w:eastAsia="宋体" w:cs="宋体"/>
          <w:snapToGrid w:val="0"/>
          <w:color w:val="000000"/>
          <w:spacing w:val="8"/>
          <w:kern w:val="0"/>
          <w:sz w:val="20"/>
          <w:szCs w:val="20"/>
          <w:lang w:val="en-US" w:eastAsia="en-US" w:bidi="ar-SA"/>
        </w:rPr>
        <w:t>过程中，未经发包人同意，不得修</w:t>
      </w:r>
    </w:p>
    <w:p w14:paraId="2FAD4AA7">
      <w:pPr>
        <w:kinsoku w:val="0"/>
        <w:autoSpaceDE w:val="0"/>
        <w:autoSpaceDN w:val="0"/>
        <w:adjustRightInd w:val="0"/>
        <w:snapToGrid w:val="0"/>
        <w:spacing w:before="41" w:line="240" w:lineRule="auto"/>
        <w:ind w:left="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改联合体协议。</w:t>
      </w:r>
    </w:p>
    <w:p w14:paraId="0E60F823">
      <w:pPr>
        <w:kinsoku w:val="0"/>
        <w:autoSpaceDE w:val="0"/>
        <w:autoSpaceDN w:val="0"/>
        <w:adjustRightInd w:val="0"/>
        <w:snapToGrid w:val="0"/>
        <w:spacing w:before="160" w:line="240" w:lineRule="auto"/>
        <w:ind w:left="1" w:right="137"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4.4.3</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联合体牵头人负责与发包人和监理人联系，并接受指示</w:t>
      </w:r>
      <w:r>
        <w:rPr>
          <w:rFonts w:ascii="宋体" w:hAnsi="宋体" w:eastAsia="宋体" w:cs="宋体"/>
          <w:snapToGrid w:val="0"/>
          <w:color w:val="000000"/>
          <w:spacing w:val="8"/>
          <w:kern w:val="0"/>
          <w:sz w:val="20"/>
          <w:szCs w:val="20"/>
          <w:lang w:val="en-US" w:eastAsia="en-US" w:bidi="ar-SA"/>
        </w:rPr>
        <w:t>，负责组织联合体各成员全面履行</w:t>
      </w:r>
      <w:r>
        <w:rPr>
          <w:rFonts w:ascii="宋体" w:hAnsi="宋体" w:eastAsia="宋体" w:cs="宋体"/>
          <w:snapToGrid w:val="0"/>
          <w:color w:val="000000"/>
          <w:spacing w:val="2"/>
          <w:kern w:val="0"/>
          <w:sz w:val="20"/>
          <w:szCs w:val="20"/>
          <w:lang w:val="en-US" w:eastAsia="en-US" w:bidi="ar-SA"/>
        </w:rPr>
        <w:t>合同。</w:t>
      </w:r>
    </w:p>
    <w:p w14:paraId="3B5D8D49">
      <w:pPr>
        <w:kinsoku w:val="0"/>
        <w:autoSpaceDE w:val="0"/>
        <w:autoSpaceDN w:val="0"/>
        <w:adjustRightInd w:val="0"/>
        <w:snapToGrid w:val="0"/>
        <w:spacing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4.5</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承包人项目经理</w:t>
      </w:r>
    </w:p>
    <w:p w14:paraId="00625ED5">
      <w:pPr>
        <w:kinsoku w:val="0"/>
        <w:autoSpaceDE w:val="0"/>
        <w:autoSpaceDN w:val="0"/>
        <w:adjustRightInd w:val="0"/>
        <w:snapToGrid w:val="0"/>
        <w:spacing w:before="178" w:line="240" w:lineRule="auto"/>
        <w:ind w:left="3" w:right="88" w:firstLine="41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4.5.1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承包人应按合同约定指派项目经理，并在约定的期限内到</w:t>
      </w:r>
      <w:r>
        <w:rPr>
          <w:rFonts w:ascii="宋体" w:hAnsi="宋体" w:eastAsia="宋体" w:cs="宋体"/>
          <w:snapToGrid w:val="0"/>
          <w:color w:val="000000"/>
          <w:spacing w:val="8"/>
          <w:kern w:val="0"/>
          <w:sz w:val="20"/>
          <w:szCs w:val="20"/>
          <w:lang w:val="en-US" w:eastAsia="en-US" w:bidi="ar-SA"/>
        </w:rPr>
        <w:t>职。承包人更换项目经理应事先</w:t>
      </w:r>
      <w:r>
        <w:rPr>
          <w:rFonts w:ascii="宋体" w:hAnsi="宋体" w:eastAsia="宋体" w:cs="宋体"/>
          <w:snapToGrid w:val="0"/>
          <w:color w:val="000000"/>
          <w:spacing w:val="9"/>
          <w:kern w:val="0"/>
          <w:sz w:val="20"/>
          <w:szCs w:val="20"/>
          <w:lang w:val="en-US" w:eastAsia="en-US" w:bidi="ar-SA"/>
        </w:rPr>
        <w:t>征得发包人同意，并应在更换</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14 天前通知发包人和监理人。承包人项目经理</w:t>
      </w:r>
      <w:r>
        <w:rPr>
          <w:rFonts w:ascii="宋体" w:hAnsi="宋体" w:eastAsia="宋体" w:cs="宋体"/>
          <w:snapToGrid w:val="0"/>
          <w:color w:val="000000"/>
          <w:spacing w:val="8"/>
          <w:kern w:val="0"/>
          <w:sz w:val="20"/>
          <w:szCs w:val="20"/>
          <w:lang w:val="en-US" w:eastAsia="en-US" w:bidi="ar-SA"/>
        </w:rPr>
        <w:t>短期离开施工场地， 应事先征得监理人同意，并委派代表代行其职责。</w:t>
      </w:r>
    </w:p>
    <w:p w14:paraId="66D71E79">
      <w:pPr>
        <w:kinsoku w:val="0"/>
        <w:autoSpaceDE w:val="0"/>
        <w:autoSpaceDN w:val="0"/>
        <w:adjustRightInd w:val="0"/>
        <w:snapToGrid w:val="0"/>
        <w:spacing w:before="162" w:line="240" w:lineRule="auto"/>
        <w:ind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4.5.2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承包人项目经理应按合同约定以及监理人按第 3.4 款作出的指示，负责组织</w:t>
      </w:r>
      <w:r>
        <w:rPr>
          <w:rFonts w:ascii="宋体" w:hAnsi="宋体" w:eastAsia="宋体" w:cs="宋体"/>
          <w:snapToGrid w:val="0"/>
          <w:color w:val="000000"/>
          <w:spacing w:val="8"/>
          <w:kern w:val="0"/>
          <w:sz w:val="20"/>
          <w:szCs w:val="20"/>
          <w:lang w:val="en-US" w:eastAsia="en-US" w:bidi="ar-SA"/>
        </w:rPr>
        <w:t>合同工程的实</w:t>
      </w:r>
      <w:r>
        <w:rPr>
          <w:rFonts w:ascii="宋体" w:hAnsi="宋体" w:eastAsia="宋体" w:cs="宋体"/>
          <w:snapToGrid w:val="0"/>
          <w:color w:val="000000"/>
          <w:spacing w:val="12"/>
          <w:kern w:val="0"/>
          <w:sz w:val="20"/>
          <w:szCs w:val="20"/>
          <w:lang w:val="en-US" w:eastAsia="en-US" w:bidi="ar-SA"/>
        </w:rPr>
        <w:t>施。在情况紧急且无法与监理人取得联系时，可采取保证工程和人</w:t>
      </w:r>
      <w:r>
        <w:rPr>
          <w:rFonts w:ascii="宋体" w:hAnsi="宋体" w:eastAsia="宋体" w:cs="宋体"/>
          <w:snapToGrid w:val="0"/>
          <w:color w:val="000000"/>
          <w:spacing w:val="11"/>
          <w:kern w:val="0"/>
          <w:sz w:val="20"/>
          <w:szCs w:val="20"/>
          <w:lang w:val="en-US" w:eastAsia="en-US" w:bidi="ar-SA"/>
        </w:rPr>
        <w:t>员生命财产安全的紧急措施， 并在采</w:t>
      </w:r>
      <w:r>
        <w:rPr>
          <w:rFonts w:ascii="宋体" w:hAnsi="宋体" w:eastAsia="宋体" w:cs="宋体"/>
          <w:snapToGrid w:val="0"/>
          <w:color w:val="000000"/>
          <w:spacing w:val="8"/>
          <w:kern w:val="0"/>
          <w:sz w:val="20"/>
          <w:szCs w:val="20"/>
          <w:lang w:val="en-US" w:eastAsia="en-US" w:bidi="ar-SA"/>
        </w:rPr>
        <w:t>取措施后 24 小时内向监理人提交书面报告。</w:t>
      </w:r>
    </w:p>
    <w:p w14:paraId="7807BE0C">
      <w:pPr>
        <w:kinsoku w:val="0"/>
        <w:autoSpaceDE w:val="0"/>
        <w:autoSpaceDN w:val="0"/>
        <w:adjustRightInd w:val="0"/>
        <w:snapToGrid w:val="0"/>
        <w:spacing w:before="163" w:line="240" w:lineRule="auto"/>
        <w:ind w:left="2" w:right="2"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4.5.3   承包人为履行合同发出的一切函件均应盖有承包人授权的施工场地管理机构章，并由承包</w:t>
      </w:r>
      <w:r>
        <w:rPr>
          <w:rFonts w:ascii="宋体" w:hAnsi="宋体" w:eastAsia="宋体" w:cs="宋体"/>
          <w:snapToGrid w:val="0"/>
          <w:color w:val="000000"/>
          <w:spacing w:val="8"/>
          <w:kern w:val="0"/>
          <w:sz w:val="20"/>
          <w:szCs w:val="20"/>
          <w:lang w:val="en-US" w:eastAsia="en-US" w:bidi="ar-SA"/>
        </w:rPr>
        <w:t>人项目经理或其授权代表签字。</w:t>
      </w:r>
    </w:p>
    <w:p w14:paraId="54754033">
      <w:pPr>
        <w:kinsoku w:val="0"/>
        <w:autoSpaceDE w:val="0"/>
        <w:autoSpaceDN w:val="0"/>
        <w:adjustRightInd w:val="0"/>
        <w:snapToGrid w:val="0"/>
        <w:spacing w:before="162" w:line="240" w:lineRule="auto"/>
        <w:ind w:left="5" w:right="2" w:firstLine="4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4.5.4   承包人项目经理可以授权其下属人员履行其某项职责，但事先应将这些人员的姓名和授权</w:t>
      </w:r>
      <w:r>
        <w:rPr>
          <w:rFonts w:ascii="宋体" w:hAnsi="宋体" w:eastAsia="宋体" w:cs="宋体"/>
          <w:snapToGrid w:val="0"/>
          <w:color w:val="000000"/>
          <w:spacing w:val="6"/>
          <w:kern w:val="0"/>
          <w:sz w:val="20"/>
          <w:szCs w:val="20"/>
          <w:lang w:val="en-US" w:eastAsia="en-US" w:bidi="ar-SA"/>
        </w:rPr>
        <w:t>范围通知监理人。</w:t>
      </w:r>
    </w:p>
    <w:p w14:paraId="732CECC8">
      <w:pPr>
        <w:kinsoku w:val="0"/>
        <w:autoSpaceDE w:val="0"/>
        <w:autoSpaceDN w:val="0"/>
        <w:adjustRightInd w:val="0"/>
        <w:snapToGrid w:val="0"/>
        <w:spacing w:before="166"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4.6</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承包人人员的管理</w:t>
      </w:r>
    </w:p>
    <w:p w14:paraId="37AB62CF">
      <w:pPr>
        <w:kinsoku w:val="0"/>
        <w:autoSpaceDE w:val="0"/>
        <w:autoSpaceDN w:val="0"/>
        <w:adjustRightInd w:val="0"/>
        <w:snapToGrid w:val="0"/>
        <w:spacing w:before="180" w:line="240" w:lineRule="auto"/>
        <w:ind w:right="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4.6.1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承包人应在接到开工通知后 2</w:t>
      </w:r>
      <w:r>
        <w:rPr>
          <w:rFonts w:ascii="宋体" w:hAnsi="宋体" w:eastAsia="宋体" w:cs="宋体"/>
          <w:snapToGrid w:val="0"/>
          <w:color w:val="000000"/>
          <w:spacing w:val="10"/>
          <w:kern w:val="0"/>
          <w:sz w:val="20"/>
          <w:szCs w:val="20"/>
          <w:lang w:val="en-US" w:eastAsia="en-US" w:bidi="ar-SA"/>
        </w:rPr>
        <w:t>8 天内，</w:t>
      </w:r>
      <w:r>
        <w:rPr>
          <w:rFonts w:ascii="宋体" w:hAnsi="宋体" w:eastAsia="宋体" w:cs="宋体"/>
          <w:snapToGrid w:val="0"/>
          <w:color w:val="000000"/>
          <w:spacing w:val="-60"/>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向监理人提交承包人在施工场地的管理机构以及人</w:t>
      </w:r>
      <w:r>
        <w:rPr>
          <w:rFonts w:ascii="宋体" w:hAnsi="宋体" w:eastAsia="宋体" w:cs="宋体"/>
          <w:snapToGrid w:val="0"/>
          <w:color w:val="000000"/>
          <w:spacing w:val="13"/>
          <w:kern w:val="0"/>
          <w:sz w:val="20"/>
          <w:szCs w:val="20"/>
          <w:lang w:val="en-US" w:eastAsia="en-US" w:bidi="ar-SA"/>
        </w:rPr>
        <w:t>员安排的报告，其内容应包括管理机构的设置、各主要岗位的技术和管理人员名单及其资格，</w:t>
      </w:r>
      <w:r>
        <w:rPr>
          <w:rFonts w:ascii="宋体" w:hAnsi="宋体" w:eastAsia="宋体" w:cs="宋体"/>
          <w:snapToGrid w:val="0"/>
          <w:color w:val="000000"/>
          <w:spacing w:val="-54"/>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以及各工</w:t>
      </w:r>
      <w:r>
        <w:rPr>
          <w:rFonts w:ascii="宋体" w:hAnsi="宋体" w:eastAsia="宋体" w:cs="宋体"/>
          <w:snapToGrid w:val="0"/>
          <w:color w:val="000000"/>
          <w:spacing w:val="9"/>
          <w:kern w:val="0"/>
          <w:sz w:val="20"/>
          <w:szCs w:val="20"/>
          <w:lang w:val="en-US" w:eastAsia="en-US" w:bidi="ar-SA"/>
        </w:rPr>
        <w:t>种技术工人的安排状况。承包人应向监理人提交施工场地人员变动情况的报告。</w:t>
      </w:r>
    </w:p>
    <w:p w14:paraId="2BE4E8E4">
      <w:pPr>
        <w:kinsoku w:val="0"/>
        <w:autoSpaceDE w:val="0"/>
        <w:autoSpaceDN w:val="0"/>
        <w:adjustRightInd w:val="0"/>
        <w:snapToGrid w:val="0"/>
        <w:spacing w:before="165"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4.6.2</w:t>
      </w:r>
      <w:r>
        <w:rPr>
          <w:rFonts w:ascii="宋体" w:hAnsi="宋体" w:eastAsia="宋体" w:cs="宋体"/>
          <w:snapToGrid w:val="0"/>
          <w:color w:val="000000"/>
          <w:spacing w:val="36"/>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为完成合同约定的各项工作，承包人应向施工场地派遣或雇佣足够数量的下列人员：</w:t>
      </w:r>
    </w:p>
    <w:p w14:paraId="6818CFEB">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（1）    </w:t>
      </w:r>
      <w:r>
        <w:rPr>
          <w:rFonts w:ascii="宋体" w:hAnsi="宋体" w:eastAsia="宋体" w:cs="宋体"/>
          <w:snapToGrid w:val="0"/>
          <w:color w:val="000000"/>
          <w:spacing w:val="7"/>
          <w:kern w:val="0"/>
          <w:sz w:val="20"/>
          <w:szCs w:val="20"/>
          <w:lang w:val="en-US" w:eastAsia="en-US" w:bidi="ar-SA"/>
        </w:rPr>
        <w:t>具有相应资格的专业技工和合格的普工；</w:t>
      </w:r>
    </w:p>
    <w:p w14:paraId="750719A7">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（2）    </w:t>
      </w:r>
      <w:r>
        <w:rPr>
          <w:rFonts w:ascii="宋体" w:hAnsi="宋体" w:eastAsia="宋体" w:cs="宋体"/>
          <w:snapToGrid w:val="0"/>
          <w:color w:val="000000"/>
          <w:spacing w:val="7"/>
          <w:kern w:val="0"/>
          <w:sz w:val="20"/>
          <w:szCs w:val="20"/>
          <w:lang w:val="en-US" w:eastAsia="en-US" w:bidi="ar-SA"/>
        </w:rPr>
        <w:t>具有相应施工经验的技术人员；</w:t>
      </w:r>
    </w:p>
    <w:p w14:paraId="2E9F2164">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（3）    </w:t>
      </w:r>
      <w:r>
        <w:rPr>
          <w:rFonts w:ascii="宋体" w:hAnsi="宋体" w:eastAsia="宋体" w:cs="宋体"/>
          <w:snapToGrid w:val="0"/>
          <w:color w:val="000000"/>
          <w:spacing w:val="7"/>
          <w:kern w:val="0"/>
          <w:sz w:val="20"/>
          <w:szCs w:val="20"/>
          <w:lang w:val="en-US" w:eastAsia="en-US" w:bidi="ar-SA"/>
        </w:rPr>
        <w:t>具有相应岗位资格的各级管理人员。</w:t>
      </w:r>
    </w:p>
    <w:p w14:paraId="727A4A8F">
      <w:pPr>
        <w:kinsoku w:val="0"/>
        <w:autoSpaceDE w:val="0"/>
        <w:autoSpaceDN w:val="0"/>
        <w:adjustRightInd w:val="0"/>
        <w:snapToGrid w:val="0"/>
        <w:spacing w:before="161" w:line="240" w:lineRule="auto"/>
        <w:ind w:left="1" w:right="137"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4.6.3</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承包人安排在施工场地的主要管理人员和技术骨干应相对</w:t>
      </w:r>
      <w:r>
        <w:rPr>
          <w:rFonts w:ascii="宋体" w:hAnsi="宋体" w:eastAsia="宋体" w:cs="宋体"/>
          <w:snapToGrid w:val="0"/>
          <w:color w:val="000000"/>
          <w:spacing w:val="8"/>
          <w:kern w:val="0"/>
          <w:sz w:val="20"/>
          <w:szCs w:val="20"/>
          <w:lang w:val="en-US" w:eastAsia="en-US" w:bidi="ar-SA"/>
        </w:rPr>
        <w:t>稳定。承包人更换主要管理人员和技术骨干时，应取得监理人的同意。</w:t>
      </w:r>
    </w:p>
    <w:p w14:paraId="593BF448">
      <w:pPr>
        <w:kinsoku w:val="0"/>
        <w:autoSpaceDE w:val="0"/>
        <w:autoSpaceDN w:val="0"/>
        <w:adjustRightInd w:val="0"/>
        <w:snapToGrid w:val="0"/>
        <w:spacing w:before="164" w:line="240" w:lineRule="auto"/>
        <w:ind w:left="10" w:right="137" w:firstLine="40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4.6.4</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特殊岗位的工作人员均应持有相应的资格证明，监理人有</w:t>
      </w:r>
      <w:r>
        <w:rPr>
          <w:rFonts w:ascii="宋体" w:hAnsi="宋体" w:eastAsia="宋体" w:cs="宋体"/>
          <w:snapToGrid w:val="0"/>
          <w:color w:val="000000"/>
          <w:spacing w:val="8"/>
          <w:kern w:val="0"/>
          <w:sz w:val="20"/>
          <w:szCs w:val="20"/>
          <w:lang w:val="en-US" w:eastAsia="en-US" w:bidi="ar-SA"/>
        </w:rPr>
        <w:t>权随时检查。监理人认为有必要</w:t>
      </w:r>
      <w:r>
        <w:rPr>
          <w:rFonts w:ascii="宋体" w:hAnsi="宋体" w:eastAsia="宋体" w:cs="宋体"/>
          <w:snapToGrid w:val="0"/>
          <w:color w:val="000000"/>
          <w:spacing w:val="7"/>
          <w:kern w:val="0"/>
          <w:sz w:val="20"/>
          <w:szCs w:val="20"/>
          <w:lang w:val="en-US" w:eastAsia="en-US" w:bidi="ar-SA"/>
        </w:rPr>
        <w:t>时，可进行现场考核。</w:t>
      </w:r>
    </w:p>
    <w:p w14:paraId="4AEBAADC">
      <w:pPr>
        <w:kinsoku w:val="0"/>
        <w:autoSpaceDE w:val="0"/>
        <w:autoSpaceDN w:val="0"/>
        <w:adjustRightInd w:val="0"/>
        <w:snapToGrid w:val="0"/>
        <w:spacing w:before="167"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4.7</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撤换承包人项目经理和其他人员</w:t>
      </w:r>
    </w:p>
    <w:p w14:paraId="6ABF0E29">
      <w:pPr>
        <w:kinsoku w:val="0"/>
        <w:autoSpaceDE w:val="0"/>
        <w:autoSpaceDN w:val="0"/>
        <w:adjustRightInd w:val="0"/>
        <w:snapToGrid w:val="0"/>
        <w:spacing w:before="178" w:line="240" w:lineRule="auto"/>
        <w:ind w:right="194"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承包人应对其项目经理和其他人员进行有效管理。监理人要求撤换不能胜</w:t>
      </w:r>
      <w:r>
        <w:rPr>
          <w:rFonts w:ascii="宋体" w:hAnsi="宋体" w:eastAsia="宋体" w:cs="宋体"/>
          <w:snapToGrid w:val="0"/>
          <w:color w:val="000000"/>
          <w:spacing w:val="9"/>
          <w:kern w:val="0"/>
          <w:sz w:val="20"/>
          <w:szCs w:val="20"/>
          <w:lang w:val="en-US" w:eastAsia="en-US" w:bidi="ar-SA"/>
        </w:rPr>
        <w:t>任本职工作、行为不端或玩忽职守的承包人项目经理和其他人员的，承包人应予以撤换。</w:t>
      </w:r>
    </w:p>
    <w:p w14:paraId="0DE1851F">
      <w:pPr>
        <w:kinsoku w:val="0"/>
        <w:autoSpaceDE w:val="0"/>
        <w:autoSpaceDN w:val="0"/>
        <w:adjustRightInd w:val="0"/>
        <w:snapToGrid w:val="0"/>
        <w:spacing w:before="2"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4.8</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保障承包人人员的合法权益</w:t>
      </w:r>
    </w:p>
    <w:p w14:paraId="558907A1">
      <w:pPr>
        <w:kinsoku w:val="0"/>
        <w:autoSpaceDE w:val="0"/>
        <w:autoSpaceDN w:val="0"/>
        <w:adjustRightInd w:val="0"/>
        <w:snapToGrid w:val="0"/>
        <w:spacing w:before="176"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4.8.1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承包人应与其雇佣的人员签订劳动合同，并按</w:t>
      </w:r>
      <w:r>
        <w:rPr>
          <w:rFonts w:ascii="宋体" w:hAnsi="宋体" w:eastAsia="宋体" w:cs="宋体"/>
          <w:snapToGrid w:val="0"/>
          <w:color w:val="000000"/>
          <w:spacing w:val="7"/>
          <w:kern w:val="0"/>
          <w:sz w:val="20"/>
          <w:szCs w:val="20"/>
          <w:lang w:val="en-US" w:eastAsia="en-US" w:bidi="ar-SA"/>
        </w:rPr>
        <w:t>时发放工资。</w:t>
      </w:r>
    </w:p>
    <w:p w14:paraId="433CBD5A">
      <w:pPr>
        <w:kinsoku w:val="0"/>
        <w:autoSpaceDE w:val="0"/>
        <w:autoSpaceDN w:val="0"/>
        <w:adjustRightInd w:val="0"/>
        <w:snapToGrid w:val="0"/>
        <w:spacing w:before="163" w:line="240" w:lineRule="auto"/>
        <w:ind w:right="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4.8.2   承包人应按劳动法的规定安排工作时间，保证其雇佣人员享有休息和休假的权利。因工程</w:t>
      </w:r>
      <w:r>
        <w:rPr>
          <w:rFonts w:ascii="宋体" w:hAnsi="宋体" w:eastAsia="宋体" w:cs="宋体"/>
          <w:snapToGrid w:val="0"/>
          <w:color w:val="000000"/>
          <w:spacing w:val="14"/>
          <w:kern w:val="0"/>
          <w:sz w:val="20"/>
          <w:szCs w:val="20"/>
          <w:lang w:val="en-US" w:eastAsia="en-US" w:bidi="ar-SA"/>
        </w:rPr>
        <w:t>施工的特殊需要占用休假日或延长工作时间的，应不超过法律规定的限度，并按法律规定给予补休或付</w:t>
      </w:r>
      <w:r>
        <w:rPr>
          <w:rFonts w:ascii="宋体" w:hAnsi="宋体" w:eastAsia="宋体" w:cs="宋体"/>
          <w:snapToGrid w:val="0"/>
          <w:color w:val="000000"/>
          <w:kern w:val="0"/>
          <w:sz w:val="20"/>
          <w:szCs w:val="20"/>
          <w:lang w:val="en-US" w:eastAsia="en-US" w:bidi="ar-SA"/>
        </w:rPr>
        <w:t>酬。</w:t>
      </w:r>
    </w:p>
    <w:p w14:paraId="0641A0A5">
      <w:pPr>
        <w:kinsoku w:val="0"/>
        <w:autoSpaceDE w:val="0"/>
        <w:autoSpaceDN w:val="0"/>
        <w:adjustRightInd w:val="0"/>
        <w:snapToGrid w:val="0"/>
        <w:spacing w:before="162" w:line="240" w:lineRule="auto"/>
        <w:ind w:right="16"/>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4.8.3   承包人应为其雇佣人员提供必要的食宿条件，</w:t>
      </w:r>
      <w:r>
        <w:rPr>
          <w:rFonts w:ascii="宋体" w:hAnsi="宋体" w:eastAsia="宋体" w:cs="宋体"/>
          <w:snapToGrid w:val="0"/>
          <w:color w:val="000000"/>
          <w:spacing w:val="-57"/>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以及符合环境保护和卫生</w:t>
      </w:r>
      <w:r>
        <w:rPr>
          <w:rFonts w:ascii="宋体" w:hAnsi="宋体" w:eastAsia="宋体" w:cs="宋体"/>
          <w:snapToGrid w:val="0"/>
          <w:color w:val="000000"/>
          <w:spacing w:val="11"/>
          <w:kern w:val="0"/>
          <w:sz w:val="20"/>
          <w:szCs w:val="20"/>
          <w:lang w:val="en-US" w:eastAsia="en-US" w:bidi="ar-SA"/>
        </w:rPr>
        <w:t>要求的生活环境，</w:t>
      </w:r>
    </w:p>
    <w:p w14:paraId="27FB4F1B">
      <w:pPr>
        <w:kinsoku w:val="0"/>
        <w:autoSpaceDE w:val="0"/>
        <w:autoSpaceDN w:val="0"/>
        <w:adjustRightInd w:val="0"/>
        <w:snapToGrid w:val="0"/>
        <w:spacing w:before="41" w:line="240" w:lineRule="auto"/>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在远离城镇的施工场地，还应配备必要的伤病防治和急救的医务人员与医疗设施。</w:t>
      </w:r>
    </w:p>
    <w:p w14:paraId="3A57DB04">
      <w:pPr>
        <w:kinsoku w:val="0"/>
        <w:autoSpaceDE w:val="0"/>
        <w:autoSpaceDN w:val="0"/>
        <w:adjustRightInd w:val="0"/>
        <w:snapToGrid w:val="0"/>
        <w:spacing w:before="161" w:line="240" w:lineRule="auto"/>
        <w:ind w:left="1" w:right="2"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4.8.4   承包人应按国家有关劳动保护的规定，采取有效的防止粉尘、降低噪声、控制有害气体和</w:t>
      </w:r>
      <w:r>
        <w:rPr>
          <w:rFonts w:ascii="宋体" w:hAnsi="宋体" w:eastAsia="宋体" w:cs="宋体"/>
          <w:snapToGrid w:val="0"/>
          <w:color w:val="000000"/>
          <w:spacing w:val="14"/>
          <w:kern w:val="0"/>
          <w:sz w:val="20"/>
          <w:szCs w:val="20"/>
          <w:lang w:val="en-US" w:eastAsia="en-US" w:bidi="ar-SA"/>
        </w:rPr>
        <w:t>保障高温、高寒、高空作业安全等劳动保护措施。其雇佣人员在施工中受到伤害的，承包人应立即采取</w:t>
      </w:r>
      <w:r>
        <w:rPr>
          <w:rFonts w:ascii="宋体" w:hAnsi="宋体" w:eastAsia="宋体" w:cs="宋体"/>
          <w:snapToGrid w:val="0"/>
          <w:color w:val="000000"/>
          <w:spacing w:val="8"/>
          <w:kern w:val="0"/>
          <w:sz w:val="20"/>
          <w:szCs w:val="20"/>
          <w:lang w:val="en-US" w:eastAsia="en-US" w:bidi="ar-SA"/>
        </w:rPr>
        <w:t>有效措施进行抢救和治疗。</w:t>
      </w:r>
    </w:p>
    <w:p w14:paraId="5EA0CF06">
      <w:pPr>
        <w:kinsoku w:val="0"/>
        <w:autoSpaceDE w:val="0"/>
        <w:autoSpaceDN w:val="0"/>
        <w:adjustRightInd w:val="0"/>
        <w:snapToGrid w:val="0"/>
        <w:spacing w:before="163"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4.8.5</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承包人应按有关法律规定和合同约定，为其雇佣人员办理保</w:t>
      </w:r>
      <w:r>
        <w:rPr>
          <w:rFonts w:ascii="宋体" w:hAnsi="宋体" w:eastAsia="宋体" w:cs="宋体"/>
          <w:snapToGrid w:val="0"/>
          <w:color w:val="000000"/>
          <w:spacing w:val="7"/>
          <w:kern w:val="0"/>
          <w:sz w:val="20"/>
          <w:szCs w:val="20"/>
          <w:lang w:val="en-US" w:eastAsia="en-US" w:bidi="ar-SA"/>
        </w:rPr>
        <w:t>险。</w:t>
      </w:r>
    </w:p>
    <w:p w14:paraId="16A2F645">
      <w:pPr>
        <w:kinsoku w:val="0"/>
        <w:autoSpaceDE w:val="0"/>
        <w:autoSpaceDN w:val="0"/>
        <w:adjustRightInd w:val="0"/>
        <w:snapToGrid w:val="0"/>
        <w:spacing w:before="160"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4.8.6</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承包人应负责处理其雇佣人员因工伤</w:t>
      </w:r>
      <w:r>
        <w:rPr>
          <w:rFonts w:ascii="宋体" w:hAnsi="宋体" w:eastAsia="宋体" w:cs="宋体"/>
          <w:snapToGrid w:val="0"/>
          <w:color w:val="000000"/>
          <w:spacing w:val="7"/>
          <w:kern w:val="0"/>
          <w:sz w:val="20"/>
          <w:szCs w:val="20"/>
          <w:lang w:val="en-US" w:eastAsia="en-US" w:bidi="ar-SA"/>
        </w:rPr>
        <w:t>亡事故的善后事宜。</w:t>
      </w:r>
    </w:p>
    <w:p w14:paraId="7C3851C2">
      <w:pPr>
        <w:kinsoku w:val="0"/>
        <w:autoSpaceDE w:val="0"/>
        <w:autoSpaceDN w:val="0"/>
        <w:adjustRightInd w:val="0"/>
        <w:snapToGrid w:val="0"/>
        <w:spacing w:before="165"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4.9</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工程价款应专款专用</w:t>
      </w:r>
    </w:p>
    <w:p w14:paraId="4148FFD3">
      <w:pPr>
        <w:kinsoku w:val="0"/>
        <w:autoSpaceDE w:val="0"/>
        <w:autoSpaceDN w:val="0"/>
        <w:adjustRightInd w:val="0"/>
        <w:snapToGrid w:val="0"/>
        <w:spacing w:before="178"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发包人按合同约定支付给承包人的各项价款应专用于合同工程。</w:t>
      </w:r>
    </w:p>
    <w:p w14:paraId="3B6AC1CB">
      <w:pPr>
        <w:kinsoku w:val="0"/>
        <w:autoSpaceDE w:val="0"/>
        <w:autoSpaceDN w:val="0"/>
        <w:adjustRightInd w:val="0"/>
        <w:snapToGrid w:val="0"/>
        <w:spacing w:before="171"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4.10</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承包人现场查勘</w:t>
      </w:r>
    </w:p>
    <w:p w14:paraId="6ABBFB4C">
      <w:pPr>
        <w:kinsoku w:val="0"/>
        <w:autoSpaceDE w:val="0"/>
        <w:autoSpaceDN w:val="0"/>
        <w:adjustRightInd w:val="0"/>
        <w:snapToGrid w:val="0"/>
        <w:spacing w:before="176" w:line="240" w:lineRule="auto"/>
        <w:ind w:left="8" w:right="2" w:firstLine="41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4.10.1   发包人应将其持有的现场地质勘探资料、水文气象资料提供给承包人，并对其准确性负</w:t>
      </w:r>
      <w:r>
        <w:rPr>
          <w:rFonts w:ascii="宋体" w:hAnsi="宋体" w:eastAsia="宋体" w:cs="宋体"/>
          <w:snapToGrid w:val="0"/>
          <w:color w:val="000000"/>
          <w:spacing w:val="9"/>
          <w:kern w:val="0"/>
          <w:sz w:val="20"/>
          <w:szCs w:val="20"/>
          <w:lang w:val="en-US" w:eastAsia="en-US" w:bidi="ar-SA"/>
        </w:rPr>
        <w:t>责。但承包人应对其阅读上述有关资料后所作出的解释和推断负责。</w:t>
      </w:r>
    </w:p>
    <w:p w14:paraId="35D9E328">
      <w:pPr>
        <w:kinsoku w:val="0"/>
        <w:autoSpaceDE w:val="0"/>
        <w:autoSpaceDN w:val="0"/>
        <w:adjustRightInd w:val="0"/>
        <w:snapToGrid w:val="0"/>
        <w:spacing w:before="163" w:line="240" w:lineRule="auto"/>
        <w:ind w:right="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4.10.2   承包人应对施工场地和周围环境进行查勘，并收集有关地质、水文、气象条件、交通条</w:t>
      </w:r>
      <w:r>
        <w:rPr>
          <w:rFonts w:ascii="宋体" w:hAnsi="宋体" w:eastAsia="宋体" w:cs="宋体"/>
          <w:snapToGrid w:val="0"/>
          <w:color w:val="000000"/>
          <w:spacing w:val="14"/>
          <w:kern w:val="0"/>
          <w:sz w:val="20"/>
          <w:szCs w:val="20"/>
          <w:lang w:val="en-US" w:eastAsia="en-US" w:bidi="ar-SA"/>
        </w:rPr>
        <w:t>件、风俗习惯以及其他为完成合同工作有关的当地资料。在全部合同工作中，应视为承包人已充分估计</w:t>
      </w:r>
      <w:r>
        <w:rPr>
          <w:rFonts w:ascii="宋体" w:hAnsi="宋体" w:eastAsia="宋体" w:cs="宋体"/>
          <w:snapToGrid w:val="0"/>
          <w:color w:val="000000"/>
          <w:spacing w:val="8"/>
          <w:kern w:val="0"/>
          <w:sz w:val="20"/>
          <w:szCs w:val="20"/>
          <w:lang w:val="en-US" w:eastAsia="en-US" w:bidi="ar-SA"/>
        </w:rPr>
        <w:t>了应承担的责任和风险。</w:t>
      </w:r>
    </w:p>
    <w:p w14:paraId="08DA6EA7">
      <w:pPr>
        <w:kinsoku w:val="0"/>
        <w:autoSpaceDE w:val="0"/>
        <w:autoSpaceDN w:val="0"/>
        <w:adjustRightInd w:val="0"/>
        <w:snapToGrid w:val="0"/>
        <w:spacing w:before="167" w:line="240" w:lineRule="auto"/>
        <w:ind w:left="48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4.11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不利物质条件</w:t>
      </w:r>
    </w:p>
    <w:p w14:paraId="250031F7">
      <w:pPr>
        <w:kinsoku w:val="0"/>
        <w:autoSpaceDE w:val="0"/>
        <w:autoSpaceDN w:val="0"/>
        <w:adjustRightInd w:val="0"/>
        <w:snapToGrid w:val="0"/>
        <w:spacing w:before="178" w:line="240" w:lineRule="auto"/>
        <w:ind w:left="35" w:right="2" w:firstLine="38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4.11.1   不利物质条件，除专用合同条款另有约定外，是指承包人在施工场地遇到的不可预见的</w:t>
      </w:r>
      <w:r>
        <w:rPr>
          <w:rFonts w:ascii="宋体" w:hAnsi="宋体" w:eastAsia="宋体" w:cs="宋体"/>
          <w:snapToGrid w:val="0"/>
          <w:color w:val="000000"/>
          <w:spacing w:val="9"/>
          <w:kern w:val="0"/>
          <w:sz w:val="20"/>
          <w:szCs w:val="20"/>
          <w:lang w:val="en-US" w:eastAsia="en-US" w:bidi="ar-SA"/>
        </w:rPr>
        <w:t>自然物质条件、非自然的物质障碍和污染物，包括</w:t>
      </w:r>
      <w:r>
        <w:rPr>
          <w:rFonts w:ascii="宋体" w:hAnsi="宋体" w:eastAsia="宋体" w:cs="宋体"/>
          <w:snapToGrid w:val="0"/>
          <w:color w:val="000000"/>
          <w:spacing w:val="8"/>
          <w:kern w:val="0"/>
          <w:sz w:val="20"/>
          <w:szCs w:val="20"/>
          <w:lang w:val="en-US" w:eastAsia="en-US" w:bidi="ar-SA"/>
        </w:rPr>
        <w:t>地下和水文条件，但不包括气候条件。</w:t>
      </w:r>
    </w:p>
    <w:p w14:paraId="4D467E6D">
      <w:pPr>
        <w:kinsoku w:val="0"/>
        <w:autoSpaceDE w:val="0"/>
        <w:autoSpaceDN w:val="0"/>
        <w:adjustRightInd w:val="0"/>
        <w:snapToGrid w:val="0"/>
        <w:spacing w:before="163" w:line="240" w:lineRule="auto"/>
        <w:ind w:right="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4.11.2</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承包人遇到不利物质条件时，应采取适应不利物质条件的合理措施继续施工，并及时通知</w:t>
      </w:r>
      <w:r>
        <w:rPr>
          <w:rFonts w:ascii="宋体" w:hAnsi="宋体" w:eastAsia="宋体" w:cs="宋体"/>
          <w:snapToGrid w:val="0"/>
          <w:color w:val="000000"/>
          <w:spacing w:val="13"/>
          <w:kern w:val="0"/>
          <w:sz w:val="20"/>
          <w:szCs w:val="20"/>
          <w:lang w:val="en-US" w:eastAsia="en-US" w:bidi="ar-SA"/>
        </w:rPr>
        <w:t>监理人。监理人应当及时发出指示，指示构成变更的，按第</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15 条约定办理。监理人没有</w:t>
      </w:r>
      <w:r>
        <w:rPr>
          <w:rFonts w:ascii="宋体" w:hAnsi="宋体" w:eastAsia="宋体" w:cs="宋体"/>
          <w:snapToGrid w:val="0"/>
          <w:color w:val="000000"/>
          <w:spacing w:val="12"/>
          <w:kern w:val="0"/>
          <w:sz w:val="20"/>
          <w:szCs w:val="20"/>
          <w:lang w:val="en-US" w:eastAsia="en-US" w:bidi="ar-SA"/>
        </w:rPr>
        <w:t>发出指示的，</w:t>
      </w:r>
      <w:r>
        <w:rPr>
          <w:rFonts w:ascii="宋体" w:hAnsi="宋体" w:eastAsia="宋体" w:cs="宋体"/>
          <w:snapToGrid w:val="0"/>
          <w:color w:val="000000"/>
          <w:spacing w:val="9"/>
          <w:kern w:val="0"/>
          <w:sz w:val="20"/>
          <w:szCs w:val="20"/>
          <w:lang w:val="en-US" w:eastAsia="en-US" w:bidi="ar-SA"/>
        </w:rPr>
        <w:t>承包人因采取合理措施而增加的费用和（或）工期延误，由发包人承担。</w:t>
      </w:r>
    </w:p>
    <w:p w14:paraId="7AC20968">
      <w:pPr>
        <w:kinsoku w:val="0"/>
        <w:autoSpaceDE w:val="0"/>
        <w:autoSpaceDN w:val="0"/>
        <w:adjustRightInd w:val="0"/>
        <w:snapToGrid w:val="0"/>
        <w:spacing w:before="170" w:line="240" w:lineRule="auto"/>
        <w:ind w:left="3746"/>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5"/>
          <w:szCs w:val="25"/>
          <w:lang w:val="en-US" w:eastAsia="en-US" w:bidi="ar-SA"/>
        </w:rPr>
        <w:t>5.</w:t>
      </w:r>
      <w:r>
        <w:rPr>
          <w:rFonts w:ascii="宋体" w:hAnsi="宋体" w:eastAsia="宋体" w:cs="宋体"/>
          <w:snapToGrid w:val="0"/>
          <w:color w:val="000000"/>
          <w:spacing w:val="17"/>
          <w:kern w:val="0"/>
          <w:sz w:val="25"/>
          <w:szCs w:val="25"/>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材料和工程设备</w:t>
      </w:r>
    </w:p>
    <w:p w14:paraId="2D183F2E">
      <w:pPr>
        <w:kinsoku w:val="0"/>
        <w:autoSpaceDE w:val="0"/>
        <w:autoSpaceDN w:val="0"/>
        <w:adjustRightInd w:val="0"/>
        <w:snapToGrid w:val="0"/>
        <w:spacing w:before="178"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5.1</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承包人提供的材料和工程</w:t>
      </w:r>
      <w:r>
        <w:rPr>
          <w:rFonts w:ascii="宋体" w:hAnsi="宋体" w:eastAsia="宋体" w:cs="宋体"/>
          <w:b/>
          <w:bCs/>
          <w:snapToGrid w:val="0"/>
          <w:color w:val="000000"/>
          <w:spacing w:val="-3"/>
          <w:kern w:val="0"/>
          <w:sz w:val="24"/>
          <w:szCs w:val="24"/>
          <w:lang w:val="en-US" w:eastAsia="en-US" w:bidi="ar-SA"/>
        </w:rPr>
        <w:t>设备</w:t>
      </w:r>
    </w:p>
    <w:p w14:paraId="37FA637E">
      <w:pPr>
        <w:kinsoku w:val="0"/>
        <w:autoSpaceDE w:val="0"/>
        <w:autoSpaceDN w:val="0"/>
        <w:adjustRightInd w:val="0"/>
        <w:snapToGrid w:val="0"/>
        <w:spacing w:before="178" w:line="240" w:lineRule="auto"/>
        <w:ind w:left="1" w:right="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5.1.1</w:t>
      </w:r>
      <w:r>
        <w:rPr>
          <w:rFonts w:ascii="宋体" w:hAnsi="宋体" w:eastAsia="宋体" w:cs="宋体"/>
          <w:snapToGrid w:val="0"/>
          <w:color w:val="000000"/>
          <w:spacing w:val="5"/>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除专用合同条款另有约定外，承包人提供的材料和工程设备均由承包人负责采购、运输和</w:t>
      </w:r>
      <w:r>
        <w:rPr>
          <w:rFonts w:ascii="宋体" w:hAnsi="宋体" w:eastAsia="宋体" w:cs="宋体"/>
          <w:snapToGrid w:val="0"/>
          <w:color w:val="000000"/>
          <w:spacing w:val="9"/>
          <w:kern w:val="0"/>
          <w:sz w:val="20"/>
          <w:szCs w:val="20"/>
          <w:lang w:val="en-US" w:eastAsia="en-US" w:bidi="ar-SA"/>
        </w:rPr>
        <w:t>保管。承包人应对其采购的材料和工程设备负责。</w:t>
      </w:r>
    </w:p>
    <w:p w14:paraId="0718EF1D">
      <w:pPr>
        <w:kinsoku w:val="0"/>
        <w:autoSpaceDE w:val="0"/>
        <w:autoSpaceDN w:val="0"/>
        <w:adjustRightInd w:val="0"/>
        <w:snapToGrid w:val="0"/>
        <w:spacing w:before="162" w:line="240" w:lineRule="auto"/>
        <w:ind w:right="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5.1.2   承包人应按专用合同条款的约定，将各项材料和工程设备的供货人及品种、规格</w:t>
      </w:r>
      <w:r>
        <w:rPr>
          <w:rFonts w:ascii="宋体" w:hAnsi="宋体" w:eastAsia="宋体" w:cs="宋体"/>
          <w:snapToGrid w:val="0"/>
          <w:color w:val="000000"/>
          <w:spacing w:val="12"/>
          <w:kern w:val="0"/>
          <w:sz w:val="20"/>
          <w:szCs w:val="20"/>
          <w:lang w:val="en-US" w:eastAsia="en-US" w:bidi="ar-SA"/>
        </w:rPr>
        <w:t>、数量和</w:t>
      </w:r>
      <w:r>
        <w:rPr>
          <w:rFonts w:ascii="宋体" w:hAnsi="宋体" w:eastAsia="宋体" w:cs="宋体"/>
          <w:snapToGrid w:val="0"/>
          <w:color w:val="000000"/>
          <w:spacing w:val="14"/>
          <w:kern w:val="0"/>
          <w:sz w:val="20"/>
          <w:szCs w:val="20"/>
          <w:lang w:val="en-US" w:eastAsia="en-US" w:bidi="ar-SA"/>
        </w:rPr>
        <w:t>供货时间等报送监理人审批。承包人应向监理人提交其负责提供的材料和工程设备的质量证明文件，并</w:t>
      </w:r>
      <w:r>
        <w:rPr>
          <w:rFonts w:ascii="宋体" w:hAnsi="宋体" w:eastAsia="宋体" w:cs="宋体"/>
          <w:snapToGrid w:val="0"/>
          <w:color w:val="000000"/>
          <w:spacing w:val="8"/>
          <w:kern w:val="0"/>
          <w:sz w:val="20"/>
          <w:szCs w:val="20"/>
          <w:lang w:val="en-US" w:eastAsia="en-US" w:bidi="ar-SA"/>
        </w:rPr>
        <w:t>满足合同约定的质量标准。</w:t>
      </w:r>
    </w:p>
    <w:p w14:paraId="0BDDAD33">
      <w:pPr>
        <w:kinsoku w:val="0"/>
        <w:autoSpaceDE w:val="0"/>
        <w:autoSpaceDN w:val="0"/>
        <w:adjustRightInd w:val="0"/>
        <w:snapToGrid w:val="0"/>
        <w:spacing w:before="164" w:line="240" w:lineRule="auto"/>
        <w:ind w:left="1" w:firstLine="423"/>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13"/>
          <w:kern w:val="0"/>
          <w:sz w:val="20"/>
          <w:szCs w:val="20"/>
          <w:lang w:val="en-US" w:eastAsia="en-US" w:bidi="ar-SA"/>
        </w:rPr>
        <w:t>5.1.3   对承包人提供的材料和工程设备，承包人</w:t>
      </w:r>
      <w:r>
        <w:rPr>
          <w:rFonts w:ascii="宋体" w:hAnsi="宋体" w:eastAsia="宋体" w:cs="宋体"/>
          <w:snapToGrid w:val="0"/>
          <w:color w:val="000000"/>
          <w:spacing w:val="12"/>
          <w:kern w:val="0"/>
          <w:sz w:val="20"/>
          <w:szCs w:val="20"/>
          <w:lang w:val="en-US" w:eastAsia="en-US" w:bidi="ar-SA"/>
        </w:rPr>
        <w:t>应会同监理人进行检验和交货验收，查验材料</w:t>
      </w:r>
      <w:r>
        <w:rPr>
          <w:rFonts w:ascii="宋体" w:hAnsi="宋体" w:eastAsia="宋体" w:cs="宋体"/>
          <w:snapToGrid w:val="0"/>
          <w:color w:val="000000"/>
          <w:spacing w:val="12"/>
          <w:kern w:val="0"/>
          <w:sz w:val="22"/>
          <w:szCs w:val="22"/>
          <w:lang w:val="en-US" w:eastAsia="en-US" w:bidi="ar-SA"/>
        </w:rPr>
        <w:t>合</w:t>
      </w:r>
      <w:r>
        <w:rPr>
          <w:rFonts w:ascii="宋体" w:hAnsi="宋体" w:eastAsia="宋体" w:cs="宋体"/>
          <w:snapToGrid w:val="0"/>
          <w:color w:val="000000"/>
          <w:spacing w:val="9"/>
          <w:kern w:val="0"/>
          <w:sz w:val="22"/>
          <w:szCs w:val="22"/>
          <w:lang w:val="en-US" w:eastAsia="en-US" w:bidi="ar-SA"/>
        </w:rPr>
        <w:t>格证明和产品合格证书，并按合同约定和监理人指示，进行材料的抽样检验和工程设备的检验测</w:t>
      </w:r>
      <w:r>
        <w:rPr>
          <w:rFonts w:ascii="宋体" w:hAnsi="宋体" w:eastAsia="宋体" w:cs="宋体"/>
          <w:snapToGrid w:val="0"/>
          <w:color w:val="000000"/>
          <w:kern w:val="0"/>
          <w:sz w:val="22"/>
          <w:szCs w:val="22"/>
          <w:lang w:val="en-US" w:eastAsia="en-US" w:bidi="ar-SA"/>
        </w:rPr>
        <w:t>试，检验和测试结果应提交监理人，所需费</w:t>
      </w:r>
      <w:r>
        <w:rPr>
          <w:rFonts w:ascii="宋体" w:hAnsi="宋体" w:eastAsia="宋体" w:cs="宋体"/>
          <w:snapToGrid w:val="0"/>
          <w:color w:val="000000"/>
          <w:spacing w:val="-1"/>
          <w:kern w:val="0"/>
          <w:sz w:val="22"/>
          <w:szCs w:val="22"/>
          <w:lang w:val="en-US" w:eastAsia="en-US" w:bidi="ar-SA"/>
        </w:rPr>
        <w:t>用由承包人承担。</w:t>
      </w:r>
    </w:p>
    <w:p w14:paraId="208F3DA9">
      <w:pPr>
        <w:kinsoku w:val="0"/>
        <w:autoSpaceDE w:val="0"/>
        <w:autoSpaceDN w:val="0"/>
        <w:adjustRightInd w:val="0"/>
        <w:snapToGrid w:val="0"/>
        <w:spacing w:before="167"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5.2</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发包人提供的材料和工程</w:t>
      </w:r>
      <w:r>
        <w:rPr>
          <w:rFonts w:ascii="宋体" w:hAnsi="宋体" w:eastAsia="宋体" w:cs="宋体"/>
          <w:b/>
          <w:bCs/>
          <w:snapToGrid w:val="0"/>
          <w:color w:val="000000"/>
          <w:spacing w:val="-3"/>
          <w:kern w:val="0"/>
          <w:sz w:val="24"/>
          <w:szCs w:val="24"/>
          <w:lang w:val="en-US" w:eastAsia="en-US" w:bidi="ar-SA"/>
        </w:rPr>
        <w:t>设备</w:t>
      </w:r>
    </w:p>
    <w:p w14:paraId="5E297003">
      <w:pPr>
        <w:kinsoku w:val="0"/>
        <w:autoSpaceDE w:val="0"/>
        <w:autoSpaceDN w:val="0"/>
        <w:adjustRightInd w:val="0"/>
        <w:snapToGrid w:val="0"/>
        <w:spacing w:before="180" w:line="240" w:lineRule="auto"/>
        <w:ind w:left="2" w:right="174"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5.2.1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发包人提供的材料和工程设备，应在专用合同条款中写明材</w:t>
      </w:r>
      <w:r>
        <w:rPr>
          <w:rFonts w:ascii="宋体" w:hAnsi="宋体" w:eastAsia="宋体" w:cs="宋体"/>
          <w:snapToGrid w:val="0"/>
          <w:color w:val="000000"/>
          <w:spacing w:val="7"/>
          <w:kern w:val="0"/>
          <w:sz w:val="20"/>
          <w:szCs w:val="20"/>
          <w:lang w:val="en-US" w:eastAsia="en-US" w:bidi="ar-SA"/>
        </w:rPr>
        <w:t>料和工程设备的名称、规格、</w:t>
      </w:r>
      <w:r>
        <w:rPr>
          <w:rFonts w:ascii="宋体" w:hAnsi="宋体" w:eastAsia="宋体" w:cs="宋体"/>
          <w:snapToGrid w:val="0"/>
          <w:color w:val="000000"/>
          <w:spacing w:val="9"/>
          <w:kern w:val="0"/>
          <w:sz w:val="20"/>
          <w:szCs w:val="20"/>
          <w:lang w:val="en-US" w:eastAsia="en-US" w:bidi="ar-SA"/>
        </w:rPr>
        <w:t>数量、价格、交货方式、交货地点和计划交货日期等。</w:t>
      </w:r>
    </w:p>
    <w:p w14:paraId="374D031B">
      <w:pPr>
        <w:kinsoku w:val="0"/>
        <w:autoSpaceDE w:val="0"/>
        <w:autoSpaceDN w:val="0"/>
        <w:adjustRightInd w:val="0"/>
        <w:snapToGrid w:val="0"/>
        <w:spacing w:before="163"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5.2.2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承包人应根据合同进度计划的安排，向监理人</w:t>
      </w:r>
      <w:r>
        <w:rPr>
          <w:rFonts w:ascii="宋体" w:hAnsi="宋体" w:eastAsia="宋体" w:cs="宋体"/>
          <w:snapToGrid w:val="0"/>
          <w:color w:val="000000"/>
          <w:spacing w:val="8"/>
          <w:kern w:val="0"/>
          <w:sz w:val="20"/>
          <w:szCs w:val="20"/>
          <w:lang w:val="en-US" w:eastAsia="en-US" w:bidi="ar-SA"/>
        </w:rPr>
        <w:t>报送要求发包人交货的日期计划。发包人应</w:t>
      </w:r>
    </w:p>
    <w:p w14:paraId="2AD88CA0">
      <w:pPr>
        <w:kinsoku w:val="0"/>
        <w:autoSpaceDE w:val="0"/>
        <w:autoSpaceDN w:val="0"/>
        <w:adjustRightInd w:val="0"/>
        <w:snapToGrid w:val="0"/>
        <w:spacing w:before="41" w:line="240" w:lineRule="auto"/>
        <w:ind w:left="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按照监理人与合同双方当事人商定的交货日期，向承包人提交材料和工程设备。</w:t>
      </w:r>
    </w:p>
    <w:p w14:paraId="6B37D9A4">
      <w:pPr>
        <w:kinsoku w:val="0"/>
        <w:autoSpaceDE w:val="0"/>
        <w:autoSpaceDN w:val="0"/>
        <w:adjustRightInd w:val="0"/>
        <w:snapToGrid w:val="0"/>
        <w:spacing w:before="162" w:line="240" w:lineRule="auto"/>
        <w:ind w:right="19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5.2.3</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发包人应在材料和工程设备到货 7 天前通知承包人，承包人应会同监理人在约定的时间</w:t>
      </w:r>
      <w:r>
        <w:rPr>
          <w:rFonts w:ascii="宋体" w:hAnsi="宋体" w:eastAsia="宋体" w:cs="宋体"/>
          <w:snapToGrid w:val="0"/>
          <w:color w:val="000000"/>
          <w:spacing w:val="9"/>
          <w:kern w:val="0"/>
          <w:sz w:val="20"/>
          <w:szCs w:val="20"/>
          <w:lang w:val="en-US" w:eastAsia="en-US" w:bidi="ar-SA"/>
        </w:rPr>
        <w:t>内，赴交货地点共同进行验收。除专用合同条款另有约定外，发包人提供的材料和工</w:t>
      </w:r>
      <w:r>
        <w:rPr>
          <w:rFonts w:ascii="宋体" w:hAnsi="宋体" w:eastAsia="宋体" w:cs="宋体"/>
          <w:snapToGrid w:val="0"/>
          <w:color w:val="000000"/>
          <w:spacing w:val="8"/>
          <w:kern w:val="0"/>
          <w:sz w:val="20"/>
          <w:szCs w:val="20"/>
          <w:lang w:val="en-US" w:eastAsia="en-US" w:bidi="ar-SA"/>
        </w:rPr>
        <w:t>程设备验收后，</w:t>
      </w:r>
      <w:r>
        <w:rPr>
          <w:rFonts w:ascii="宋体" w:hAnsi="宋体" w:eastAsia="宋体" w:cs="宋体"/>
          <w:snapToGrid w:val="0"/>
          <w:color w:val="000000"/>
          <w:spacing w:val="-58"/>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由承包人负责接收、运输和保管。</w:t>
      </w:r>
    </w:p>
    <w:p w14:paraId="692AD064">
      <w:pPr>
        <w:kinsoku w:val="0"/>
        <w:autoSpaceDE w:val="0"/>
        <w:autoSpaceDN w:val="0"/>
        <w:adjustRightInd w:val="0"/>
        <w:snapToGrid w:val="0"/>
        <w:spacing w:before="163" w:line="240" w:lineRule="auto"/>
        <w:ind w:left="1" w:right="134"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5.2.4</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发包人要求向承包人提前交货的，承包</w:t>
      </w:r>
      <w:r>
        <w:rPr>
          <w:rFonts w:ascii="宋体" w:hAnsi="宋体" w:eastAsia="宋体" w:cs="宋体"/>
          <w:snapToGrid w:val="0"/>
          <w:color w:val="000000"/>
          <w:spacing w:val="8"/>
          <w:kern w:val="0"/>
          <w:sz w:val="20"/>
          <w:szCs w:val="20"/>
          <w:lang w:val="en-US" w:eastAsia="en-US" w:bidi="ar-SA"/>
        </w:rPr>
        <w:t>人不得拒绝，但发包人应承担承包人由此增加的费</w:t>
      </w:r>
      <w:r>
        <w:rPr>
          <w:rFonts w:ascii="宋体" w:hAnsi="宋体" w:eastAsia="宋体" w:cs="宋体"/>
          <w:snapToGrid w:val="0"/>
          <w:color w:val="000000"/>
          <w:spacing w:val="-1"/>
          <w:kern w:val="0"/>
          <w:sz w:val="20"/>
          <w:szCs w:val="20"/>
          <w:lang w:val="en-US" w:eastAsia="en-US" w:bidi="ar-SA"/>
        </w:rPr>
        <w:t>用。</w:t>
      </w:r>
    </w:p>
    <w:p w14:paraId="78221449">
      <w:pPr>
        <w:kinsoku w:val="0"/>
        <w:autoSpaceDE w:val="0"/>
        <w:autoSpaceDN w:val="0"/>
        <w:adjustRightInd w:val="0"/>
        <w:snapToGrid w:val="0"/>
        <w:spacing w:before="160" w:line="240" w:lineRule="auto"/>
        <w:ind w:left="16" w:right="134" w:firstLine="40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5.2.5</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承包人要求更改交货日期或地点的，应事先报</w:t>
      </w:r>
      <w:r>
        <w:rPr>
          <w:rFonts w:ascii="宋体" w:hAnsi="宋体" w:eastAsia="宋体" w:cs="宋体"/>
          <w:snapToGrid w:val="0"/>
          <w:color w:val="000000"/>
          <w:spacing w:val="8"/>
          <w:kern w:val="0"/>
          <w:sz w:val="20"/>
          <w:szCs w:val="20"/>
          <w:lang w:val="en-US" w:eastAsia="en-US" w:bidi="ar-SA"/>
        </w:rPr>
        <w:t>请监理人批准。由于承包人要求更改交货时间或地点所增加的费用和（或）工期延误由承包人承担。</w:t>
      </w:r>
    </w:p>
    <w:p w14:paraId="7F2234ED">
      <w:pPr>
        <w:kinsoku w:val="0"/>
        <w:autoSpaceDE w:val="0"/>
        <w:autoSpaceDN w:val="0"/>
        <w:adjustRightInd w:val="0"/>
        <w:snapToGrid w:val="0"/>
        <w:spacing w:before="163" w:line="240" w:lineRule="auto"/>
        <w:ind w:left="1"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5.2.6</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发包人提供的材料和工程设备的规格、数量</w:t>
      </w:r>
      <w:r>
        <w:rPr>
          <w:rFonts w:ascii="宋体" w:hAnsi="宋体" w:eastAsia="宋体" w:cs="宋体"/>
          <w:snapToGrid w:val="0"/>
          <w:color w:val="000000"/>
          <w:spacing w:val="11"/>
          <w:kern w:val="0"/>
          <w:sz w:val="20"/>
          <w:szCs w:val="20"/>
          <w:lang w:val="en-US" w:eastAsia="en-US" w:bidi="ar-SA"/>
        </w:rPr>
        <w:t>或质量不符合合同要求，或由于发包人原因发</w:t>
      </w:r>
      <w:r>
        <w:rPr>
          <w:rFonts w:ascii="宋体" w:hAnsi="宋体" w:eastAsia="宋体" w:cs="宋体"/>
          <w:snapToGrid w:val="0"/>
          <w:color w:val="000000"/>
          <w:spacing w:val="14"/>
          <w:kern w:val="0"/>
          <w:sz w:val="20"/>
          <w:szCs w:val="20"/>
          <w:lang w:val="en-US" w:eastAsia="en-US" w:bidi="ar-SA"/>
        </w:rPr>
        <w:t>生交货日期延误及交货地点变更等情况的，发包人应承担由此增加的费用和（或）工期延误，并向承包</w:t>
      </w:r>
      <w:r>
        <w:rPr>
          <w:rFonts w:ascii="宋体" w:hAnsi="宋体" w:eastAsia="宋体" w:cs="宋体"/>
          <w:snapToGrid w:val="0"/>
          <w:color w:val="000000"/>
          <w:spacing w:val="7"/>
          <w:kern w:val="0"/>
          <w:sz w:val="20"/>
          <w:szCs w:val="20"/>
          <w:lang w:val="en-US" w:eastAsia="en-US" w:bidi="ar-SA"/>
        </w:rPr>
        <w:t>人支付合理利润。</w:t>
      </w:r>
    </w:p>
    <w:p w14:paraId="07CE57AD">
      <w:pPr>
        <w:kinsoku w:val="0"/>
        <w:autoSpaceDE w:val="0"/>
        <w:autoSpaceDN w:val="0"/>
        <w:adjustRightInd w:val="0"/>
        <w:snapToGrid w:val="0"/>
        <w:spacing w:before="165" w:line="240" w:lineRule="auto"/>
        <w:ind w:left="485"/>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5.3</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材料和工程设备专用于合同</w:t>
      </w:r>
      <w:r>
        <w:rPr>
          <w:rFonts w:ascii="宋体" w:hAnsi="宋体" w:eastAsia="宋体" w:cs="宋体"/>
          <w:b/>
          <w:bCs/>
          <w:snapToGrid w:val="0"/>
          <w:color w:val="000000"/>
          <w:spacing w:val="-3"/>
          <w:kern w:val="0"/>
          <w:sz w:val="24"/>
          <w:szCs w:val="24"/>
          <w:lang w:val="en-US" w:eastAsia="en-US" w:bidi="ar-SA"/>
        </w:rPr>
        <w:t>工程</w:t>
      </w:r>
    </w:p>
    <w:p w14:paraId="7739CE87">
      <w:pPr>
        <w:kinsoku w:val="0"/>
        <w:autoSpaceDE w:val="0"/>
        <w:autoSpaceDN w:val="0"/>
        <w:adjustRightInd w:val="0"/>
        <w:snapToGrid w:val="0"/>
        <w:spacing w:before="179" w:line="240" w:lineRule="auto"/>
        <w:ind w:left="3"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5.3.1   运入施工场地的材料、工程设备，包括备品备件、安装专用工器具与随机资料，</w:t>
      </w:r>
      <w:r>
        <w:rPr>
          <w:rFonts w:ascii="宋体" w:hAnsi="宋体" w:eastAsia="宋体" w:cs="宋体"/>
          <w:snapToGrid w:val="0"/>
          <w:color w:val="000000"/>
          <w:spacing w:val="12"/>
          <w:kern w:val="0"/>
          <w:sz w:val="20"/>
          <w:szCs w:val="20"/>
          <w:lang w:val="en-US" w:eastAsia="en-US" w:bidi="ar-SA"/>
        </w:rPr>
        <w:t>必须专用</w:t>
      </w:r>
      <w:r>
        <w:rPr>
          <w:rFonts w:ascii="宋体" w:hAnsi="宋体" w:eastAsia="宋体" w:cs="宋体"/>
          <w:snapToGrid w:val="0"/>
          <w:color w:val="000000"/>
          <w:spacing w:val="9"/>
          <w:kern w:val="0"/>
          <w:sz w:val="20"/>
          <w:szCs w:val="20"/>
          <w:lang w:val="en-US" w:eastAsia="en-US" w:bidi="ar-SA"/>
        </w:rPr>
        <w:t>于合同工程，未经监理人同意，承包人不得运出施工场地或挪作他用。</w:t>
      </w:r>
    </w:p>
    <w:p w14:paraId="3C0BDD55">
      <w:pPr>
        <w:kinsoku w:val="0"/>
        <w:autoSpaceDE w:val="0"/>
        <w:autoSpaceDN w:val="0"/>
        <w:adjustRightInd w:val="0"/>
        <w:snapToGrid w:val="0"/>
        <w:spacing w:before="161" w:line="240" w:lineRule="auto"/>
        <w:ind w:left="1"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5.3.2</w:t>
      </w:r>
      <w:r>
        <w:rPr>
          <w:rFonts w:ascii="宋体" w:hAnsi="宋体" w:eastAsia="宋体" w:cs="宋体"/>
          <w:snapToGrid w:val="0"/>
          <w:color w:val="000000"/>
          <w:spacing w:val="5"/>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随同工程设备运入施工场地的备品备件、专用工器具与随机资料，应由承包人会同监理人</w:t>
      </w:r>
      <w:r>
        <w:rPr>
          <w:rFonts w:ascii="宋体" w:hAnsi="宋体" w:eastAsia="宋体" w:cs="宋体"/>
          <w:snapToGrid w:val="0"/>
          <w:color w:val="000000"/>
          <w:spacing w:val="18"/>
          <w:kern w:val="0"/>
          <w:sz w:val="20"/>
          <w:szCs w:val="20"/>
          <w:lang w:val="en-US" w:eastAsia="en-US" w:bidi="ar-SA"/>
        </w:rPr>
        <w:t>按供货人的装箱单清点后共同封存，未经监理人同意不得启用</w:t>
      </w:r>
      <w:r>
        <w:rPr>
          <w:rFonts w:ascii="宋体" w:hAnsi="宋体" w:eastAsia="宋体" w:cs="宋体"/>
          <w:snapToGrid w:val="0"/>
          <w:color w:val="000000"/>
          <w:spacing w:val="-60"/>
          <w:kern w:val="0"/>
          <w:sz w:val="20"/>
          <w:szCs w:val="20"/>
          <w:lang w:val="en-US" w:eastAsia="en-US" w:bidi="ar-SA"/>
        </w:rPr>
        <w:t xml:space="preserve"> </w:t>
      </w:r>
      <w:r>
        <w:rPr>
          <w:rFonts w:ascii="宋体" w:hAnsi="宋体" w:eastAsia="宋体" w:cs="宋体"/>
          <w:snapToGrid w:val="0"/>
          <w:color w:val="000000"/>
          <w:spacing w:val="18"/>
          <w:kern w:val="0"/>
          <w:sz w:val="20"/>
          <w:szCs w:val="20"/>
          <w:lang w:val="en-US" w:eastAsia="en-US" w:bidi="ar-SA"/>
        </w:rPr>
        <w:t>。承包人因合同工作需要使用上</w:t>
      </w:r>
      <w:r>
        <w:rPr>
          <w:rFonts w:ascii="宋体" w:hAnsi="宋体" w:eastAsia="宋体" w:cs="宋体"/>
          <w:snapToGrid w:val="0"/>
          <w:color w:val="000000"/>
          <w:spacing w:val="17"/>
          <w:kern w:val="0"/>
          <w:sz w:val="20"/>
          <w:szCs w:val="20"/>
          <w:lang w:val="en-US" w:eastAsia="en-US" w:bidi="ar-SA"/>
        </w:rPr>
        <w:t>述物品</w:t>
      </w:r>
      <w:r>
        <w:rPr>
          <w:rFonts w:ascii="宋体" w:hAnsi="宋体" w:eastAsia="宋体" w:cs="宋体"/>
          <w:snapToGrid w:val="0"/>
          <w:color w:val="000000"/>
          <w:spacing w:val="8"/>
          <w:kern w:val="0"/>
          <w:sz w:val="20"/>
          <w:szCs w:val="20"/>
          <w:lang w:val="en-US" w:eastAsia="en-US" w:bidi="ar-SA"/>
        </w:rPr>
        <w:t>时，应向监理人提出申请。</w:t>
      </w:r>
    </w:p>
    <w:p w14:paraId="622EED62">
      <w:pPr>
        <w:kinsoku w:val="0"/>
        <w:autoSpaceDE w:val="0"/>
        <w:autoSpaceDN w:val="0"/>
        <w:adjustRightInd w:val="0"/>
        <w:snapToGrid w:val="0"/>
        <w:spacing w:before="165" w:line="240" w:lineRule="auto"/>
        <w:ind w:left="485"/>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5.4</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禁止使用不合格的材料和工</w:t>
      </w:r>
      <w:r>
        <w:rPr>
          <w:rFonts w:ascii="宋体" w:hAnsi="宋体" w:eastAsia="宋体" w:cs="宋体"/>
          <w:b/>
          <w:bCs/>
          <w:snapToGrid w:val="0"/>
          <w:color w:val="000000"/>
          <w:spacing w:val="-3"/>
          <w:kern w:val="0"/>
          <w:sz w:val="24"/>
          <w:szCs w:val="24"/>
          <w:lang w:val="en-US" w:eastAsia="en-US" w:bidi="ar-SA"/>
        </w:rPr>
        <w:t>程设备</w:t>
      </w:r>
    </w:p>
    <w:p w14:paraId="73E4EBCE">
      <w:pPr>
        <w:kinsoku w:val="0"/>
        <w:autoSpaceDE w:val="0"/>
        <w:autoSpaceDN w:val="0"/>
        <w:adjustRightInd w:val="0"/>
        <w:snapToGrid w:val="0"/>
        <w:spacing w:before="180" w:line="240" w:lineRule="auto"/>
        <w:ind w:left="1" w:right="134"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5.4.1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监理人有权拒绝承包人提供的不合格材料或工</w:t>
      </w:r>
      <w:r>
        <w:rPr>
          <w:rFonts w:ascii="宋体" w:hAnsi="宋体" w:eastAsia="宋体" w:cs="宋体"/>
          <w:snapToGrid w:val="0"/>
          <w:color w:val="000000"/>
          <w:spacing w:val="8"/>
          <w:kern w:val="0"/>
          <w:sz w:val="20"/>
          <w:szCs w:val="20"/>
          <w:lang w:val="en-US" w:eastAsia="en-US" w:bidi="ar-SA"/>
        </w:rPr>
        <w:t>程设备，并要求承包人立即进行更换。监理人应在更换后再次进行检查和检验，</w:t>
      </w:r>
      <w:r>
        <w:rPr>
          <w:rFonts w:ascii="宋体" w:hAnsi="宋体" w:eastAsia="宋体" w:cs="宋体"/>
          <w:snapToGrid w:val="0"/>
          <w:color w:val="000000"/>
          <w:spacing w:val="-47"/>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由此增加的费用和（或）工期延误由承包人承担。</w:t>
      </w:r>
    </w:p>
    <w:p w14:paraId="7A72C401">
      <w:pPr>
        <w:kinsoku w:val="0"/>
        <w:autoSpaceDE w:val="0"/>
        <w:autoSpaceDN w:val="0"/>
        <w:adjustRightInd w:val="0"/>
        <w:snapToGrid w:val="0"/>
        <w:spacing w:before="161" w:line="240" w:lineRule="auto"/>
        <w:ind w:left="4" w:right="345"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5.4.2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监理人发现承包人使用了不合格的材</w:t>
      </w:r>
      <w:r>
        <w:rPr>
          <w:rFonts w:ascii="宋体" w:hAnsi="宋体" w:eastAsia="宋体" w:cs="宋体"/>
          <w:snapToGrid w:val="0"/>
          <w:color w:val="000000"/>
          <w:spacing w:val="8"/>
          <w:kern w:val="0"/>
          <w:sz w:val="20"/>
          <w:szCs w:val="20"/>
          <w:lang w:val="en-US" w:eastAsia="en-US" w:bidi="ar-SA"/>
        </w:rPr>
        <w:t>料和工程设备，应即时发出指示要求承包人立即改</w:t>
      </w:r>
      <w:r>
        <w:rPr>
          <w:rFonts w:ascii="宋体" w:hAnsi="宋体" w:eastAsia="宋体" w:cs="宋体"/>
          <w:snapToGrid w:val="0"/>
          <w:color w:val="000000"/>
          <w:spacing w:val="9"/>
          <w:kern w:val="0"/>
          <w:sz w:val="20"/>
          <w:szCs w:val="20"/>
          <w:lang w:val="en-US" w:eastAsia="en-US" w:bidi="ar-SA"/>
        </w:rPr>
        <w:t>正，并禁止在工程中继续使用不合格的材料和工程设备。</w:t>
      </w:r>
    </w:p>
    <w:p w14:paraId="02D2D5BD">
      <w:pPr>
        <w:kinsoku w:val="0"/>
        <w:autoSpaceDE w:val="0"/>
        <w:autoSpaceDN w:val="0"/>
        <w:adjustRightInd w:val="0"/>
        <w:snapToGrid w:val="0"/>
        <w:spacing w:before="162" w:line="240" w:lineRule="auto"/>
        <w:ind w:left="1" w:right="345"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5.4.3</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发包人提供的材料或工程设备不</w:t>
      </w:r>
      <w:r>
        <w:rPr>
          <w:rFonts w:ascii="宋体" w:hAnsi="宋体" w:eastAsia="宋体" w:cs="宋体"/>
          <w:snapToGrid w:val="0"/>
          <w:color w:val="000000"/>
          <w:spacing w:val="8"/>
          <w:kern w:val="0"/>
          <w:sz w:val="20"/>
          <w:szCs w:val="20"/>
          <w:lang w:val="en-US" w:eastAsia="en-US" w:bidi="ar-SA"/>
        </w:rPr>
        <w:t>符合合同要求的，承包人有权拒绝，并可要求发包人更</w:t>
      </w:r>
      <w:r>
        <w:rPr>
          <w:rFonts w:ascii="宋体" w:hAnsi="宋体" w:eastAsia="宋体" w:cs="宋体"/>
          <w:snapToGrid w:val="0"/>
          <w:color w:val="000000"/>
          <w:spacing w:val="7"/>
          <w:kern w:val="0"/>
          <w:sz w:val="20"/>
          <w:szCs w:val="20"/>
          <w:lang w:val="en-US" w:eastAsia="en-US" w:bidi="ar-SA"/>
        </w:rPr>
        <w:t>换，</w:t>
      </w:r>
      <w:r>
        <w:rPr>
          <w:rFonts w:ascii="宋体" w:hAnsi="宋体" w:eastAsia="宋体" w:cs="宋体"/>
          <w:snapToGrid w:val="0"/>
          <w:color w:val="000000"/>
          <w:spacing w:val="-50"/>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由此增加的费用和（或）工期延误由发包人承担。</w:t>
      </w:r>
    </w:p>
    <w:p w14:paraId="7CE37BD1">
      <w:pPr>
        <w:kinsoku w:val="0"/>
        <w:autoSpaceDE w:val="0"/>
        <w:autoSpaceDN w:val="0"/>
        <w:adjustRightInd w:val="0"/>
        <w:snapToGrid w:val="0"/>
        <w:spacing w:before="171" w:line="240" w:lineRule="auto"/>
        <w:ind w:left="3502"/>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5"/>
          <w:szCs w:val="25"/>
          <w:lang w:val="en-US" w:eastAsia="en-US" w:bidi="ar-SA"/>
        </w:rPr>
        <w:t>6.</w:t>
      </w:r>
      <w:r>
        <w:rPr>
          <w:rFonts w:ascii="宋体" w:hAnsi="宋体" w:eastAsia="宋体" w:cs="宋体"/>
          <w:snapToGrid w:val="0"/>
          <w:color w:val="000000"/>
          <w:spacing w:val="18"/>
          <w:kern w:val="0"/>
          <w:sz w:val="25"/>
          <w:szCs w:val="25"/>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施工设备和临时设施</w:t>
      </w:r>
    </w:p>
    <w:p w14:paraId="10878C40">
      <w:pPr>
        <w:kinsoku w:val="0"/>
        <w:autoSpaceDE w:val="0"/>
        <w:autoSpaceDN w:val="0"/>
        <w:adjustRightInd w:val="0"/>
        <w:snapToGrid w:val="0"/>
        <w:spacing w:before="177" w:line="240" w:lineRule="auto"/>
        <w:ind w:left="482"/>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6.1</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承包人提供的施工设备和临时设施</w:t>
      </w:r>
    </w:p>
    <w:p w14:paraId="6E7E02EF">
      <w:pPr>
        <w:kinsoku w:val="0"/>
        <w:autoSpaceDE w:val="0"/>
        <w:autoSpaceDN w:val="0"/>
        <w:adjustRightInd w:val="0"/>
        <w:snapToGrid w:val="0"/>
        <w:spacing w:before="176" w:line="240" w:lineRule="auto"/>
        <w:ind w:right="134" w:firstLine="421"/>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9"/>
          <w:kern w:val="0"/>
          <w:sz w:val="20"/>
          <w:szCs w:val="20"/>
          <w:lang w:val="en-US" w:eastAsia="en-US" w:bidi="ar-SA"/>
        </w:rPr>
        <w:t>6.1.1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承包人应按合同进度计划的要求，及时配置施工设备</w:t>
      </w:r>
      <w:r>
        <w:rPr>
          <w:rFonts w:ascii="宋体" w:hAnsi="宋体" w:eastAsia="宋体" w:cs="宋体"/>
          <w:snapToGrid w:val="0"/>
          <w:color w:val="000000"/>
          <w:spacing w:val="8"/>
          <w:kern w:val="0"/>
          <w:sz w:val="20"/>
          <w:szCs w:val="20"/>
          <w:lang w:val="en-US" w:eastAsia="en-US" w:bidi="ar-SA"/>
        </w:rPr>
        <w:t>和修建临时设施。进入施工场地的承</w:t>
      </w:r>
      <w:r>
        <w:rPr>
          <w:rFonts w:ascii="宋体" w:hAnsi="宋体" w:eastAsia="宋体" w:cs="宋体"/>
          <w:snapToGrid w:val="0"/>
          <w:color w:val="000000"/>
          <w:spacing w:val="9"/>
          <w:kern w:val="0"/>
          <w:sz w:val="20"/>
          <w:szCs w:val="20"/>
          <w:lang w:val="en-US" w:eastAsia="en-US" w:bidi="ar-SA"/>
        </w:rPr>
        <w:t>包人设备需经监理人核查后才能投入使用。承包人更换合同约定的承包人设备的，应报监理人批</w:t>
      </w:r>
      <w:r>
        <w:rPr>
          <w:rFonts w:ascii="宋体" w:hAnsi="宋体" w:eastAsia="宋体" w:cs="宋体"/>
          <w:snapToGrid w:val="0"/>
          <w:color w:val="000000"/>
          <w:spacing w:val="9"/>
          <w:kern w:val="0"/>
          <w:sz w:val="22"/>
          <w:szCs w:val="22"/>
          <w:lang w:val="en-US" w:eastAsia="en-US" w:bidi="ar-SA"/>
        </w:rPr>
        <w:t>准。</w:t>
      </w:r>
    </w:p>
    <w:p w14:paraId="7967D326">
      <w:pPr>
        <w:kinsoku w:val="0"/>
        <w:autoSpaceDE w:val="0"/>
        <w:autoSpaceDN w:val="0"/>
        <w:adjustRightInd w:val="0"/>
        <w:snapToGrid w:val="0"/>
        <w:spacing w:before="165" w:line="240" w:lineRule="auto"/>
        <w:ind w:left="419" w:right="188" w:firstLine="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6.1.2</w:t>
      </w:r>
      <w:r>
        <w:rPr>
          <w:rFonts w:ascii="宋体" w:hAnsi="宋体" w:eastAsia="宋体" w:cs="宋体"/>
          <w:snapToGrid w:val="0"/>
          <w:color w:val="000000"/>
          <w:spacing w:val="3"/>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除专用合同条款另有约定外，承包人应自行承担修建临时设施的费用，需要临时占地的，</w:t>
      </w:r>
      <w:r>
        <w:rPr>
          <w:rFonts w:ascii="宋体" w:hAnsi="宋体" w:eastAsia="宋体" w:cs="宋体"/>
          <w:snapToGrid w:val="0"/>
          <w:color w:val="000000"/>
          <w:spacing w:val="8"/>
          <w:kern w:val="0"/>
          <w:sz w:val="20"/>
          <w:szCs w:val="20"/>
          <w:lang w:val="en-US" w:eastAsia="en-US" w:bidi="ar-SA"/>
        </w:rPr>
        <w:t>应由发包人办理申请手续并承担相应费用。</w:t>
      </w:r>
    </w:p>
    <w:p w14:paraId="34000335">
      <w:pPr>
        <w:kinsoku w:val="0"/>
        <w:autoSpaceDE w:val="0"/>
        <w:autoSpaceDN w:val="0"/>
        <w:adjustRightInd w:val="0"/>
        <w:snapToGrid w:val="0"/>
        <w:spacing w:before="166" w:line="240" w:lineRule="auto"/>
        <w:ind w:left="482"/>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6.2</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发包人提供的施工设备和临时设施</w:t>
      </w:r>
    </w:p>
    <w:p w14:paraId="72A428CC">
      <w:pPr>
        <w:kinsoku w:val="0"/>
        <w:autoSpaceDE w:val="0"/>
        <w:autoSpaceDN w:val="0"/>
        <w:adjustRightInd w:val="0"/>
        <w:snapToGrid w:val="0"/>
        <w:spacing w:before="179" w:line="240" w:lineRule="auto"/>
        <w:ind w:left="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发包人提供的施工设备或临时设施在专用合同条款中约定。</w:t>
      </w:r>
    </w:p>
    <w:p w14:paraId="43F56621">
      <w:pPr>
        <w:kinsoku w:val="0"/>
        <w:autoSpaceDE w:val="0"/>
        <w:autoSpaceDN w:val="0"/>
        <w:adjustRightInd w:val="0"/>
        <w:snapToGrid w:val="0"/>
        <w:spacing w:before="167" w:line="240" w:lineRule="auto"/>
        <w:ind w:left="482"/>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6.3</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要求承包人增加或更换施工设备</w:t>
      </w:r>
    </w:p>
    <w:p w14:paraId="02F76958">
      <w:pPr>
        <w:kinsoku w:val="0"/>
        <w:autoSpaceDE w:val="0"/>
        <w:autoSpaceDN w:val="0"/>
        <w:adjustRightInd w:val="0"/>
        <w:snapToGrid w:val="0"/>
        <w:spacing w:before="176" w:line="240" w:lineRule="auto"/>
        <w:ind w:left="2" w:right="192"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承包人使用的施工设备不能满足合同进度计划和（或）质量要求时，监理</w:t>
      </w:r>
      <w:r>
        <w:rPr>
          <w:rFonts w:ascii="宋体" w:hAnsi="宋体" w:eastAsia="宋体" w:cs="宋体"/>
          <w:snapToGrid w:val="0"/>
          <w:color w:val="000000"/>
          <w:spacing w:val="9"/>
          <w:kern w:val="0"/>
          <w:sz w:val="20"/>
          <w:szCs w:val="20"/>
          <w:lang w:val="en-US" w:eastAsia="en-US" w:bidi="ar-SA"/>
        </w:rPr>
        <w:t>人有权要求承包人增加或更换施工设备，承包人应及时增加或更换，由此增加的费用和（或）工期延误由承包人承担。</w:t>
      </w:r>
    </w:p>
    <w:p w14:paraId="7A057EC1">
      <w:pPr>
        <w:kinsoku w:val="0"/>
        <w:autoSpaceDE w:val="0"/>
        <w:autoSpaceDN w:val="0"/>
        <w:adjustRightInd w:val="0"/>
        <w:snapToGrid w:val="0"/>
        <w:spacing w:before="48" w:line="240" w:lineRule="auto"/>
        <w:ind w:left="482"/>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6.4</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施工设备和临时设施专用于合同工程</w:t>
      </w:r>
    </w:p>
    <w:p w14:paraId="7C94E18E">
      <w:pPr>
        <w:kinsoku w:val="0"/>
        <w:autoSpaceDE w:val="0"/>
        <w:autoSpaceDN w:val="0"/>
        <w:adjustRightInd w:val="0"/>
        <w:snapToGrid w:val="0"/>
        <w:spacing w:before="176" w:line="240" w:lineRule="auto"/>
        <w:ind w:left="1" w:right="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6.4.1</w:t>
      </w:r>
      <w:r>
        <w:rPr>
          <w:rFonts w:ascii="宋体" w:hAnsi="宋体" w:eastAsia="宋体" w:cs="宋体"/>
          <w:snapToGrid w:val="0"/>
          <w:color w:val="000000"/>
          <w:spacing w:val="6"/>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除合同另有约定外，运入施工场地的所有施工设备以及在施工场地建设的临时设施应专用</w:t>
      </w:r>
      <w:r>
        <w:rPr>
          <w:rFonts w:ascii="宋体" w:hAnsi="宋体" w:eastAsia="宋体" w:cs="宋体"/>
          <w:snapToGrid w:val="0"/>
          <w:color w:val="000000"/>
          <w:spacing w:val="19"/>
          <w:kern w:val="0"/>
          <w:sz w:val="20"/>
          <w:szCs w:val="20"/>
          <w:lang w:val="en-US" w:eastAsia="en-US" w:bidi="ar-SA"/>
        </w:rPr>
        <w:t>于合同工程。未经监理人同意，不得将上述施工设备和临时设施中的任何部分运出施</w:t>
      </w:r>
      <w:r>
        <w:rPr>
          <w:rFonts w:ascii="宋体" w:hAnsi="宋体" w:eastAsia="宋体" w:cs="宋体"/>
          <w:snapToGrid w:val="0"/>
          <w:color w:val="000000"/>
          <w:spacing w:val="18"/>
          <w:kern w:val="0"/>
          <w:sz w:val="20"/>
          <w:szCs w:val="20"/>
          <w:lang w:val="en-US" w:eastAsia="en-US" w:bidi="ar-SA"/>
        </w:rPr>
        <w:t>工场地或挪作他</w:t>
      </w:r>
      <w:r>
        <w:rPr>
          <w:rFonts w:ascii="宋体" w:hAnsi="宋体" w:eastAsia="宋体" w:cs="宋体"/>
          <w:snapToGrid w:val="0"/>
          <w:color w:val="000000"/>
          <w:spacing w:val="-1"/>
          <w:kern w:val="0"/>
          <w:sz w:val="20"/>
          <w:szCs w:val="20"/>
          <w:lang w:val="en-US" w:eastAsia="en-US" w:bidi="ar-SA"/>
        </w:rPr>
        <w:t>用。</w:t>
      </w:r>
    </w:p>
    <w:p w14:paraId="2713558F">
      <w:pPr>
        <w:kinsoku w:val="0"/>
        <w:autoSpaceDE w:val="0"/>
        <w:autoSpaceDN w:val="0"/>
        <w:adjustRightInd w:val="0"/>
        <w:snapToGrid w:val="0"/>
        <w:spacing w:before="159" w:line="240" w:lineRule="auto"/>
        <w:ind w:left="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6.4.2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经监理人同意，承包人可根据合同进度计划撤走闲置的</w:t>
      </w:r>
      <w:r>
        <w:rPr>
          <w:rFonts w:ascii="宋体" w:hAnsi="宋体" w:eastAsia="宋体" w:cs="宋体"/>
          <w:snapToGrid w:val="0"/>
          <w:color w:val="000000"/>
          <w:spacing w:val="7"/>
          <w:kern w:val="0"/>
          <w:sz w:val="20"/>
          <w:szCs w:val="20"/>
          <w:lang w:val="en-US" w:eastAsia="en-US" w:bidi="ar-SA"/>
        </w:rPr>
        <w:t>施工设备。</w:t>
      </w:r>
    </w:p>
    <w:p w14:paraId="0C294790">
      <w:pPr>
        <w:kinsoku w:val="0"/>
        <w:autoSpaceDE w:val="0"/>
        <w:autoSpaceDN w:val="0"/>
        <w:adjustRightInd w:val="0"/>
        <w:snapToGrid w:val="0"/>
        <w:spacing w:before="168" w:line="240" w:lineRule="auto"/>
        <w:ind w:left="4109"/>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5"/>
          <w:szCs w:val="25"/>
          <w:lang w:val="en-US" w:eastAsia="en-US" w:bidi="ar-SA"/>
        </w:rPr>
        <w:t>7.</w:t>
      </w:r>
      <w:r>
        <w:rPr>
          <w:rFonts w:ascii="宋体" w:hAnsi="宋体" w:eastAsia="宋体" w:cs="宋体"/>
          <w:snapToGrid w:val="0"/>
          <w:color w:val="000000"/>
          <w:spacing w:val="18"/>
          <w:kern w:val="0"/>
          <w:sz w:val="25"/>
          <w:szCs w:val="25"/>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交通运输</w:t>
      </w:r>
    </w:p>
    <w:p w14:paraId="1CA4571D">
      <w:pPr>
        <w:kinsoku w:val="0"/>
        <w:autoSpaceDE w:val="0"/>
        <w:autoSpaceDN w:val="0"/>
        <w:adjustRightInd w:val="0"/>
        <w:snapToGrid w:val="0"/>
        <w:spacing w:before="177"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7.1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道路通行权和场外设施</w:t>
      </w:r>
    </w:p>
    <w:p w14:paraId="1E56E389">
      <w:pPr>
        <w:kinsoku w:val="0"/>
        <w:autoSpaceDE w:val="0"/>
        <w:autoSpaceDN w:val="0"/>
        <w:adjustRightInd w:val="0"/>
        <w:snapToGrid w:val="0"/>
        <w:spacing w:before="177" w:line="240" w:lineRule="auto"/>
        <w:ind w:right="2" w:firstLine="432"/>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除专用合同条款另有约定外，发包人应根据合同工程的施工需要，负责办理取得出入施工场</w:t>
      </w:r>
      <w:r>
        <w:rPr>
          <w:rFonts w:ascii="宋体" w:hAnsi="宋体" w:eastAsia="宋体" w:cs="宋体"/>
          <w:snapToGrid w:val="0"/>
          <w:color w:val="000000"/>
          <w:spacing w:val="13"/>
          <w:kern w:val="0"/>
          <w:sz w:val="20"/>
          <w:szCs w:val="20"/>
          <w:lang w:val="en-US" w:eastAsia="en-US" w:bidi="ar-SA"/>
        </w:rPr>
        <w:t>地的专用和临时道路的通行权，</w:t>
      </w:r>
      <w:r>
        <w:rPr>
          <w:rFonts w:ascii="宋体" w:hAnsi="宋体" w:eastAsia="宋体" w:cs="宋体"/>
          <w:snapToGrid w:val="0"/>
          <w:color w:val="000000"/>
          <w:spacing w:val="-54"/>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以及取得为工程建设所需修建场外设施的权利，并承担有关费用。承包人应协</w:t>
      </w:r>
      <w:r>
        <w:rPr>
          <w:rFonts w:ascii="宋体" w:hAnsi="宋体" w:eastAsia="宋体" w:cs="宋体"/>
          <w:snapToGrid w:val="0"/>
          <w:color w:val="000000"/>
          <w:spacing w:val="8"/>
          <w:kern w:val="0"/>
          <w:sz w:val="20"/>
          <w:szCs w:val="20"/>
          <w:lang w:val="en-US" w:eastAsia="en-US" w:bidi="ar-SA"/>
        </w:rPr>
        <w:t>助发包人办理上述手续。</w:t>
      </w:r>
    </w:p>
    <w:p w14:paraId="4EA94AE6">
      <w:pPr>
        <w:kinsoku w:val="0"/>
        <w:autoSpaceDE w:val="0"/>
        <w:autoSpaceDN w:val="0"/>
        <w:adjustRightInd w:val="0"/>
        <w:snapToGrid w:val="0"/>
        <w:spacing w:before="2"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7.2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场内施工道路</w:t>
      </w:r>
    </w:p>
    <w:p w14:paraId="0F2ED2AB">
      <w:pPr>
        <w:kinsoku w:val="0"/>
        <w:autoSpaceDE w:val="0"/>
        <w:autoSpaceDN w:val="0"/>
        <w:adjustRightInd w:val="0"/>
        <w:snapToGrid w:val="0"/>
        <w:spacing w:before="178" w:line="240" w:lineRule="auto"/>
        <w:ind w:right="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7.2.1</w:t>
      </w:r>
      <w:r>
        <w:rPr>
          <w:rFonts w:ascii="宋体" w:hAnsi="宋体" w:eastAsia="宋体" w:cs="宋体"/>
          <w:snapToGrid w:val="0"/>
          <w:color w:val="000000"/>
          <w:spacing w:val="5"/>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除专用合同条款另有约定外，承包人应负责修建、维修、养护和管理施工所需的临时道路</w:t>
      </w:r>
      <w:r>
        <w:rPr>
          <w:rFonts w:ascii="宋体" w:hAnsi="宋体" w:eastAsia="宋体" w:cs="宋体"/>
          <w:snapToGrid w:val="0"/>
          <w:color w:val="000000"/>
          <w:spacing w:val="9"/>
          <w:kern w:val="0"/>
          <w:sz w:val="20"/>
          <w:szCs w:val="20"/>
          <w:lang w:val="en-US" w:eastAsia="en-US" w:bidi="ar-SA"/>
        </w:rPr>
        <w:t>和交通设施，包括维修、养护和管理发包人提供的道路和交通设施，并承担相应费用。</w:t>
      </w:r>
    </w:p>
    <w:p w14:paraId="6945C412">
      <w:pPr>
        <w:kinsoku w:val="0"/>
        <w:autoSpaceDE w:val="0"/>
        <w:autoSpaceDN w:val="0"/>
        <w:adjustRightInd w:val="0"/>
        <w:snapToGrid w:val="0"/>
        <w:spacing w:before="162" w:line="240" w:lineRule="auto"/>
        <w:ind w:left="1" w:right="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7.2.2</w:t>
      </w:r>
      <w:r>
        <w:rPr>
          <w:rFonts w:ascii="宋体" w:hAnsi="宋体" w:eastAsia="宋体" w:cs="宋体"/>
          <w:snapToGrid w:val="0"/>
          <w:color w:val="000000"/>
          <w:spacing w:val="5"/>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除专用合同条款另有约定外，承包人修建的临时道路和交通设施应免费提供发包人和监理</w:t>
      </w:r>
      <w:r>
        <w:rPr>
          <w:rFonts w:ascii="宋体" w:hAnsi="宋体" w:eastAsia="宋体" w:cs="宋体"/>
          <w:snapToGrid w:val="0"/>
          <w:color w:val="000000"/>
          <w:spacing w:val="4"/>
          <w:kern w:val="0"/>
          <w:sz w:val="20"/>
          <w:szCs w:val="20"/>
          <w:lang w:val="en-US" w:eastAsia="en-US" w:bidi="ar-SA"/>
        </w:rPr>
        <w:t>人使用。</w:t>
      </w:r>
    </w:p>
    <w:p w14:paraId="377F5D5B">
      <w:pPr>
        <w:kinsoku w:val="0"/>
        <w:autoSpaceDE w:val="0"/>
        <w:autoSpaceDN w:val="0"/>
        <w:adjustRightInd w:val="0"/>
        <w:snapToGrid w:val="0"/>
        <w:spacing w:before="168"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7.3</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场外交通</w:t>
      </w:r>
    </w:p>
    <w:p w14:paraId="56902B3C">
      <w:pPr>
        <w:kinsoku w:val="0"/>
        <w:autoSpaceDE w:val="0"/>
        <w:autoSpaceDN w:val="0"/>
        <w:adjustRightInd w:val="0"/>
        <w:snapToGrid w:val="0"/>
        <w:spacing w:before="175" w:line="240" w:lineRule="auto"/>
        <w:ind w:left="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7.3.1</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承包人车辆外出行驶所需的场外公共道路的通行费、养路费和税款等由承包人承担。</w:t>
      </w:r>
    </w:p>
    <w:p w14:paraId="5C1B878F">
      <w:pPr>
        <w:kinsoku w:val="0"/>
        <w:autoSpaceDE w:val="0"/>
        <w:autoSpaceDN w:val="0"/>
        <w:adjustRightInd w:val="0"/>
        <w:snapToGrid w:val="0"/>
        <w:spacing w:before="162" w:line="240" w:lineRule="auto"/>
        <w:ind w:left="2" w:right="2"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7.3.2   承包人应遵守有关交通法规，严格按照道路和桥梁的限制荷重安全行驶，并服</w:t>
      </w:r>
      <w:r>
        <w:rPr>
          <w:rFonts w:ascii="宋体" w:hAnsi="宋体" w:eastAsia="宋体" w:cs="宋体"/>
          <w:snapToGrid w:val="0"/>
          <w:color w:val="000000"/>
          <w:spacing w:val="12"/>
          <w:kern w:val="0"/>
          <w:sz w:val="20"/>
          <w:szCs w:val="20"/>
          <w:lang w:val="en-US" w:eastAsia="en-US" w:bidi="ar-SA"/>
        </w:rPr>
        <w:t>从交通管理</w:t>
      </w:r>
      <w:r>
        <w:rPr>
          <w:rFonts w:ascii="宋体" w:hAnsi="宋体" w:eastAsia="宋体" w:cs="宋体"/>
          <w:snapToGrid w:val="0"/>
          <w:color w:val="000000"/>
          <w:spacing w:val="7"/>
          <w:kern w:val="0"/>
          <w:sz w:val="20"/>
          <w:szCs w:val="20"/>
          <w:lang w:val="en-US" w:eastAsia="en-US" w:bidi="ar-SA"/>
        </w:rPr>
        <w:t>部门的检查和监督。</w:t>
      </w:r>
    </w:p>
    <w:p w14:paraId="6B635053">
      <w:pPr>
        <w:kinsoku w:val="0"/>
        <w:autoSpaceDE w:val="0"/>
        <w:autoSpaceDN w:val="0"/>
        <w:adjustRightInd w:val="0"/>
        <w:snapToGrid w:val="0"/>
        <w:spacing w:before="166"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7.4</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超大件和超重件的运输</w:t>
      </w:r>
    </w:p>
    <w:p w14:paraId="10BAA441">
      <w:pPr>
        <w:kinsoku w:val="0"/>
        <w:autoSpaceDE w:val="0"/>
        <w:autoSpaceDN w:val="0"/>
        <w:adjustRightInd w:val="0"/>
        <w:snapToGrid w:val="0"/>
        <w:spacing w:before="175" w:line="240" w:lineRule="auto"/>
        <w:ind w:right="2" w:firstLine="444"/>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由承包人负责运输的超大件或超重件，应由承包人负责向交通</w:t>
      </w:r>
      <w:r>
        <w:rPr>
          <w:rFonts w:ascii="宋体" w:hAnsi="宋体" w:eastAsia="宋体" w:cs="宋体"/>
          <w:snapToGrid w:val="0"/>
          <w:color w:val="000000"/>
          <w:spacing w:val="13"/>
          <w:kern w:val="0"/>
          <w:sz w:val="20"/>
          <w:szCs w:val="20"/>
          <w:lang w:val="en-US" w:eastAsia="en-US" w:bidi="ar-SA"/>
        </w:rPr>
        <w:t>管理部门办理申请手续，发包人给予协助。运输超大件或超重件所需的道路和桥梁临时加固改造费用和其他有关费用，</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由承包人承担，但专</w:t>
      </w:r>
      <w:r>
        <w:rPr>
          <w:rFonts w:ascii="宋体" w:hAnsi="宋体" w:eastAsia="宋体" w:cs="宋体"/>
          <w:snapToGrid w:val="0"/>
          <w:color w:val="000000"/>
          <w:spacing w:val="8"/>
          <w:kern w:val="0"/>
          <w:sz w:val="20"/>
          <w:szCs w:val="20"/>
          <w:lang w:val="en-US" w:eastAsia="en-US" w:bidi="ar-SA"/>
        </w:rPr>
        <w:t>用合同条款另有约定除外。</w:t>
      </w:r>
    </w:p>
    <w:p w14:paraId="64B99196">
      <w:pPr>
        <w:kinsoku w:val="0"/>
        <w:autoSpaceDE w:val="0"/>
        <w:autoSpaceDN w:val="0"/>
        <w:adjustRightInd w:val="0"/>
        <w:snapToGrid w:val="0"/>
        <w:spacing w:before="1"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7.5</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道路和桥梁的损坏责任</w:t>
      </w:r>
    </w:p>
    <w:p w14:paraId="653EAE43">
      <w:pPr>
        <w:kinsoku w:val="0"/>
        <w:autoSpaceDE w:val="0"/>
        <w:autoSpaceDN w:val="0"/>
        <w:adjustRightInd w:val="0"/>
        <w:snapToGrid w:val="0"/>
        <w:spacing w:before="178" w:line="240" w:lineRule="auto"/>
        <w:ind w:left="15" w:right="194"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因承包人运输造成施工场地内外公共道路和桥梁损坏的，由承包人承担修复损坏的全部费用和可能</w:t>
      </w:r>
      <w:r>
        <w:rPr>
          <w:rFonts w:ascii="宋体" w:hAnsi="宋体" w:eastAsia="宋体" w:cs="宋体"/>
          <w:snapToGrid w:val="0"/>
          <w:color w:val="000000"/>
          <w:spacing w:val="4"/>
          <w:kern w:val="0"/>
          <w:sz w:val="20"/>
          <w:szCs w:val="20"/>
          <w:lang w:val="en-US" w:eastAsia="en-US" w:bidi="ar-SA"/>
        </w:rPr>
        <w:t>引起的赔偿。</w:t>
      </w:r>
    </w:p>
    <w:p w14:paraId="6C32589E">
      <w:pPr>
        <w:kinsoku w:val="0"/>
        <w:autoSpaceDE w:val="0"/>
        <w:autoSpaceDN w:val="0"/>
        <w:adjustRightInd w:val="0"/>
        <w:snapToGrid w:val="0"/>
        <w:spacing w:before="2" w:line="240" w:lineRule="auto"/>
        <w:ind w:left="486"/>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7.6</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水路和航空运输</w:t>
      </w:r>
    </w:p>
    <w:p w14:paraId="7B5C45EE">
      <w:pPr>
        <w:kinsoku w:val="0"/>
        <w:autoSpaceDE w:val="0"/>
        <w:autoSpaceDN w:val="0"/>
        <w:adjustRightInd w:val="0"/>
        <w:snapToGrid w:val="0"/>
        <w:spacing w:before="175" w:line="240" w:lineRule="auto"/>
        <w:ind w:left="1" w:firstLine="419"/>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9"/>
          <w:kern w:val="0"/>
          <w:sz w:val="20"/>
          <w:szCs w:val="20"/>
          <w:lang w:val="en-US" w:eastAsia="en-US" w:bidi="ar-SA"/>
        </w:rPr>
        <w:t>本条上述各款的内容适用于水路运输和航空运</w:t>
      </w:r>
      <w:r>
        <w:rPr>
          <w:rFonts w:ascii="宋体" w:hAnsi="宋体" w:eastAsia="宋体" w:cs="宋体"/>
          <w:snapToGrid w:val="0"/>
          <w:color w:val="000000"/>
          <w:spacing w:val="18"/>
          <w:kern w:val="0"/>
          <w:sz w:val="20"/>
          <w:szCs w:val="20"/>
          <w:lang w:val="en-US" w:eastAsia="en-US" w:bidi="ar-SA"/>
        </w:rPr>
        <w:t>输，其中“道路</w:t>
      </w:r>
      <w:r>
        <w:rPr>
          <w:rFonts w:ascii="宋体" w:hAnsi="宋体" w:eastAsia="宋体" w:cs="宋体"/>
          <w:snapToGrid w:val="0"/>
          <w:color w:val="000000"/>
          <w:spacing w:val="-63"/>
          <w:kern w:val="0"/>
          <w:sz w:val="20"/>
          <w:szCs w:val="20"/>
          <w:lang w:val="en-US" w:eastAsia="en-US" w:bidi="ar-SA"/>
        </w:rPr>
        <w:t xml:space="preserve"> </w:t>
      </w:r>
      <w:r>
        <w:rPr>
          <w:rFonts w:ascii="宋体" w:hAnsi="宋体" w:eastAsia="宋体" w:cs="宋体"/>
          <w:snapToGrid w:val="0"/>
          <w:color w:val="000000"/>
          <w:spacing w:val="18"/>
          <w:kern w:val="0"/>
          <w:sz w:val="20"/>
          <w:szCs w:val="20"/>
          <w:lang w:val="en-US" w:eastAsia="en-US" w:bidi="ar-SA"/>
        </w:rPr>
        <w:t>”一词的涵义包括河道、航线、船</w:t>
      </w:r>
      <w:r>
        <w:rPr>
          <w:rFonts w:ascii="宋体" w:hAnsi="宋体" w:eastAsia="宋体" w:cs="宋体"/>
          <w:snapToGrid w:val="0"/>
          <w:color w:val="000000"/>
          <w:spacing w:val="17"/>
          <w:kern w:val="0"/>
          <w:sz w:val="20"/>
          <w:szCs w:val="20"/>
          <w:lang w:val="en-US" w:eastAsia="en-US" w:bidi="ar-SA"/>
        </w:rPr>
        <w:t>闸、机场、码头、堤防以及水路或航空运输中其他相似结构物；</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17"/>
          <w:kern w:val="0"/>
          <w:sz w:val="20"/>
          <w:szCs w:val="20"/>
          <w:lang w:val="en-US" w:eastAsia="en-US" w:bidi="ar-SA"/>
        </w:rPr>
        <w:t>“车辆</w:t>
      </w:r>
      <w:r>
        <w:rPr>
          <w:rFonts w:ascii="宋体" w:hAnsi="宋体" w:eastAsia="宋体" w:cs="宋体"/>
          <w:snapToGrid w:val="0"/>
          <w:color w:val="000000"/>
          <w:spacing w:val="-62"/>
          <w:kern w:val="0"/>
          <w:sz w:val="20"/>
          <w:szCs w:val="20"/>
          <w:lang w:val="en-US" w:eastAsia="en-US" w:bidi="ar-SA"/>
        </w:rPr>
        <w:t xml:space="preserve"> </w:t>
      </w:r>
      <w:r>
        <w:rPr>
          <w:rFonts w:ascii="宋体" w:hAnsi="宋体" w:eastAsia="宋体" w:cs="宋体"/>
          <w:snapToGrid w:val="0"/>
          <w:color w:val="000000"/>
          <w:spacing w:val="17"/>
          <w:kern w:val="0"/>
          <w:sz w:val="20"/>
          <w:szCs w:val="20"/>
          <w:lang w:val="en-US" w:eastAsia="en-US" w:bidi="ar-SA"/>
        </w:rPr>
        <w:t>”一词的涵义包括船舶和飞机</w:t>
      </w:r>
      <w:r>
        <w:rPr>
          <w:rFonts w:ascii="宋体" w:hAnsi="宋体" w:eastAsia="宋体" w:cs="宋体"/>
          <w:snapToGrid w:val="0"/>
          <w:color w:val="000000"/>
          <w:spacing w:val="-1"/>
          <w:kern w:val="0"/>
          <w:sz w:val="20"/>
          <w:szCs w:val="20"/>
          <w:lang w:val="en-US" w:eastAsia="en-US" w:bidi="ar-SA"/>
        </w:rPr>
        <w:t>等。</w:t>
      </w:r>
    </w:p>
    <w:p w14:paraId="4836EE02">
      <w:pPr>
        <w:kinsoku w:val="0"/>
        <w:autoSpaceDE w:val="0"/>
        <w:autoSpaceDN w:val="0"/>
        <w:adjustRightInd w:val="0"/>
        <w:snapToGrid w:val="0"/>
        <w:spacing w:before="4" w:line="240" w:lineRule="auto"/>
        <w:ind w:left="4104"/>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5"/>
          <w:szCs w:val="25"/>
          <w:lang w:val="en-US" w:eastAsia="en-US" w:bidi="ar-SA"/>
        </w:rPr>
        <w:t>8.</w:t>
      </w:r>
      <w:r>
        <w:rPr>
          <w:rFonts w:ascii="宋体" w:hAnsi="宋体" w:eastAsia="宋体" w:cs="宋体"/>
          <w:snapToGrid w:val="0"/>
          <w:color w:val="000000"/>
          <w:spacing w:val="17"/>
          <w:kern w:val="0"/>
          <w:sz w:val="25"/>
          <w:szCs w:val="25"/>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测量放线</w:t>
      </w:r>
    </w:p>
    <w:p w14:paraId="64C732A1">
      <w:pPr>
        <w:kinsoku w:val="0"/>
        <w:autoSpaceDE w:val="0"/>
        <w:autoSpaceDN w:val="0"/>
        <w:adjustRightInd w:val="0"/>
        <w:snapToGrid w:val="0"/>
        <w:spacing w:before="176"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8.1</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施工控制网</w:t>
      </w:r>
    </w:p>
    <w:p w14:paraId="0707E024">
      <w:pPr>
        <w:kinsoku w:val="0"/>
        <w:autoSpaceDE w:val="0"/>
        <w:autoSpaceDN w:val="0"/>
        <w:adjustRightInd w:val="0"/>
        <w:snapToGrid w:val="0"/>
        <w:spacing w:before="177" w:line="240" w:lineRule="auto"/>
        <w:ind w:left="2" w:right="2"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8.1.1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发包人应在专用合同条款约定的期限内，通过监理人</w:t>
      </w:r>
      <w:r>
        <w:rPr>
          <w:rFonts w:ascii="宋体" w:hAnsi="宋体" w:eastAsia="宋体" w:cs="宋体"/>
          <w:snapToGrid w:val="0"/>
          <w:color w:val="000000"/>
          <w:spacing w:val="11"/>
          <w:kern w:val="0"/>
          <w:sz w:val="20"/>
          <w:szCs w:val="20"/>
          <w:lang w:val="en-US" w:eastAsia="en-US" w:bidi="ar-SA"/>
        </w:rPr>
        <w:t>向承包人提供测量基准点、基准线和</w:t>
      </w:r>
      <w:r>
        <w:rPr>
          <w:rFonts w:ascii="宋体" w:hAnsi="宋体" w:eastAsia="宋体" w:cs="宋体"/>
          <w:snapToGrid w:val="0"/>
          <w:color w:val="000000"/>
          <w:spacing w:val="14"/>
          <w:kern w:val="0"/>
          <w:sz w:val="20"/>
          <w:szCs w:val="20"/>
          <w:lang w:val="en-US" w:eastAsia="en-US" w:bidi="ar-SA"/>
        </w:rPr>
        <w:t>水准点及其书面资料。除专用合同条款另有约定外，承包人应根据国家测绘基准、测绘系统和工程测量</w:t>
      </w:r>
    </w:p>
    <w:p w14:paraId="4E54D18B">
      <w:pPr>
        <w:kinsoku w:val="0"/>
        <w:autoSpaceDE w:val="0"/>
        <w:autoSpaceDN w:val="0"/>
        <w:adjustRightInd w:val="0"/>
        <w:snapToGrid w:val="0"/>
        <w:spacing w:before="40" w:line="240" w:lineRule="auto"/>
        <w:ind w:left="13" w:right="2" w:hanging="1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技术规范，按上述基准点（线）</w:t>
      </w:r>
      <w:r>
        <w:rPr>
          <w:rFonts w:ascii="宋体" w:hAnsi="宋体" w:eastAsia="宋体" w:cs="宋体"/>
          <w:snapToGrid w:val="0"/>
          <w:color w:val="000000"/>
          <w:spacing w:val="-50"/>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以及合同工程精度要求，测设施工控制网，并在专用合同条</w:t>
      </w:r>
      <w:r>
        <w:rPr>
          <w:rFonts w:ascii="宋体" w:hAnsi="宋体" w:eastAsia="宋体" w:cs="宋体"/>
          <w:snapToGrid w:val="0"/>
          <w:color w:val="000000"/>
          <w:spacing w:val="12"/>
          <w:kern w:val="0"/>
          <w:sz w:val="20"/>
          <w:szCs w:val="20"/>
          <w:lang w:val="en-US" w:eastAsia="en-US" w:bidi="ar-SA"/>
        </w:rPr>
        <w:t>款约定的期</w:t>
      </w:r>
      <w:r>
        <w:rPr>
          <w:rFonts w:ascii="宋体" w:hAnsi="宋体" w:eastAsia="宋体" w:cs="宋体"/>
          <w:snapToGrid w:val="0"/>
          <w:color w:val="000000"/>
          <w:spacing w:val="8"/>
          <w:kern w:val="0"/>
          <w:sz w:val="20"/>
          <w:szCs w:val="20"/>
          <w:lang w:val="en-US" w:eastAsia="en-US" w:bidi="ar-SA"/>
        </w:rPr>
        <w:t>限内，将施工控制网资料报送监理人审批。</w:t>
      </w:r>
    </w:p>
    <w:p w14:paraId="4CD851E5">
      <w:pPr>
        <w:kinsoku w:val="0"/>
        <w:autoSpaceDE w:val="0"/>
        <w:autoSpaceDN w:val="0"/>
        <w:adjustRightInd w:val="0"/>
        <w:snapToGrid w:val="0"/>
        <w:spacing w:line="240" w:lineRule="auto"/>
        <w:ind w:left="1" w:right="2"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8.1.2   承包人应负责管理施工控制网点。施工控制网点丢失或损坏的，承包人应及时修复。承包</w:t>
      </w:r>
      <w:r>
        <w:rPr>
          <w:rFonts w:ascii="宋体" w:hAnsi="宋体" w:eastAsia="宋体" w:cs="宋体"/>
          <w:snapToGrid w:val="0"/>
          <w:color w:val="000000"/>
          <w:spacing w:val="9"/>
          <w:kern w:val="0"/>
          <w:sz w:val="20"/>
          <w:szCs w:val="20"/>
          <w:lang w:val="en-US" w:eastAsia="en-US" w:bidi="ar-SA"/>
        </w:rPr>
        <w:t>人应承担施工控制网点的管理与修复费用，并在工程竣工后将施工控制网点移交发包人。</w:t>
      </w:r>
    </w:p>
    <w:p w14:paraId="1BACF003">
      <w:pPr>
        <w:kinsoku w:val="0"/>
        <w:autoSpaceDE w:val="0"/>
        <w:autoSpaceDN w:val="0"/>
        <w:adjustRightInd w:val="0"/>
        <w:snapToGrid w:val="0"/>
        <w:spacing w:before="3"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8.2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施工测量</w:t>
      </w:r>
    </w:p>
    <w:p w14:paraId="1C18B144">
      <w:pPr>
        <w:kinsoku w:val="0"/>
        <w:autoSpaceDE w:val="0"/>
        <w:autoSpaceDN w:val="0"/>
        <w:adjustRightInd w:val="0"/>
        <w:snapToGrid w:val="0"/>
        <w:spacing w:before="175" w:line="240" w:lineRule="auto"/>
        <w:ind w:right="137"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8.2.1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承包人应负责施工过程中的全部施工测量放线工作，并</w:t>
      </w:r>
      <w:r>
        <w:rPr>
          <w:rFonts w:ascii="宋体" w:hAnsi="宋体" w:eastAsia="宋体" w:cs="宋体"/>
          <w:snapToGrid w:val="0"/>
          <w:color w:val="000000"/>
          <w:spacing w:val="8"/>
          <w:kern w:val="0"/>
          <w:sz w:val="20"/>
          <w:szCs w:val="20"/>
          <w:lang w:val="en-US" w:eastAsia="en-US" w:bidi="ar-SA"/>
        </w:rPr>
        <w:t>配置合格的人员、仪器、设备和其</w:t>
      </w:r>
      <w:r>
        <w:rPr>
          <w:rFonts w:ascii="宋体" w:hAnsi="宋体" w:eastAsia="宋体" w:cs="宋体"/>
          <w:snapToGrid w:val="0"/>
          <w:color w:val="000000"/>
          <w:spacing w:val="5"/>
          <w:kern w:val="0"/>
          <w:sz w:val="20"/>
          <w:szCs w:val="20"/>
          <w:lang w:val="en-US" w:eastAsia="en-US" w:bidi="ar-SA"/>
        </w:rPr>
        <w:t>他物品。</w:t>
      </w:r>
    </w:p>
    <w:p w14:paraId="6F3B8E93">
      <w:pPr>
        <w:kinsoku w:val="0"/>
        <w:autoSpaceDE w:val="0"/>
        <w:autoSpaceDN w:val="0"/>
        <w:adjustRightInd w:val="0"/>
        <w:snapToGrid w:val="0"/>
        <w:spacing w:before="161" w:line="240" w:lineRule="auto"/>
        <w:ind w:right="190"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8.2.2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监理人可以指示承包人进行抽样复测</w:t>
      </w:r>
      <w:r>
        <w:rPr>
          <w:rFonts w:ascii="宋体" w:hAnsi="宋体" w:eastAsia="宋体" w:cs="宋体"/>
          <w:snapToGrid w:val="0"/>
          <w:color w:val="000000"/>
          <w:spacing w:val="7"/>
          <w:kern w:val="0"/>
          <w:sz w:val="20"/>
          <w:szCs w:val="20"/>
          <w:lang w:val="en-US" w:eastAsia="en-US" w:bidi="ar-SA"/>
        </w:rPr>
        <w:t>，当复测中发现错误或出现超过合同约定的误差时，</w:t>
      </w:r>
      <w:r>
        <w:rPr>
          <w:rFonts w:ascii="宋体" w:hAnsi="宋体" w:eastAsia="宋体" w:cs="宋体"/>
          <w:snapToGrid w:val="0"/>
          <w:color w:val="000000"/>
          <w:spacing w:val="9"/>
          <w:kern w:val="0"/>
          <w:sz w:val="20"/>
          <w:szCs w:val="20"/>
          <w:lang w:val="en-US" w:eastAsia="en-US" w:bidi="ar-SA"/>
        </w:rPr>
        <w:t>承包人应按监理人指示进行修正或补测，并承担相应的复测费用。</w:t>
      </w:r>
    </w:p>
    <w:p w14:paraId="5F143500">
      <w:pPr>
        <w:kinsoku w:val="0"/>
        <w:autoSpaceDE w:val="0"/>
        <w:autoSpaceDN w:val="0"/>
        <w:adjustRightInd w:val="0"/>
        <w:snapToGrid w:val="0"/>
        <w:spacing w:before="166"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8.3</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基准资料错误的责任</w:t>
      </w:r>
    </w:p>
    <w:p w14:paraId="390667C7">
      <w:pPr>
        <w:kinsoku w:val="0"/>
        <w:autoSpaceDE w:val="0"/>
        <w:autoSpaceDN w:val="0"/>
        <w:adjustRightInd w:val="0"/>
        <w:snapToGrid w:val="0"/>
        <w:spacing w:before="176" w:line="240" w:lineRule="auto"/>
        <w:ind w:right="2"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w:t>
      </w:r>
      <w:r>
        <w:rPr>
          <w:rFonts w:ascii="宋体" w:hAnsi="宋体" w:eastAsia="宋体" w:cs="宋体"/>
          <w:snapToGrid w:val="0"/>
          <w:color w:val="000000"/>
          <w:spacing w:val="8"/>
          <w:kern w:val="0"/>
          <w:sz w:val="20"/>
          <w:szCs w:val="20"/>
          <w:lang w:val="en-US" w:eastAsia="en-US" w:bidi="ar-SA"/>
        </w:rPr>
        <w:t>明显错误或疏忽的，应及时通知监理人。</w:t>
      </w:r>
    </w:p>
    <w:p w14:paraId="50E01D7C">
      <w:pPr>
        <w:kinsoku w:val="0"/>
        <w:autoSpaceDE w:val="0"/>
        <w:autoSpaceDN w:val="0"/>
        <w:adjustRightInd w:val="0"/>
        <w:snapToGrid w:val="0"/>
        <w:spacing w:before="1"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8.4</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监理人使用施工控制网</w:t>
      </w:r>
    </w:p>
    <w:p w14:paraId="5575FF43">
      <w:pPr>
        <w:kinsoku w:val="0"/>
        <w:autoSpaceDE w:val="0"/>
        <w:autoSpaceDN w:val="0"/>
        <w:adjustRightInd w:val="0"/>
        <w:snapToGrid w:val="0"/>
        <w:spacing w:before="178"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监理人需要使用施工控制网的，承包人应提供必要的协助，发包人不再为此支付费用。</w:t>
      </w:r>
    </w:p>
    <w:p w14:paraId="642D2F43">
      <w:pPr>
        <w:kinsoku w:val="0"/>
        <w:autoSpaceDE w:val="0"/>
        <w:autoSpaceDN w:val="0"/>
        <w:adjustRightInd w:val="0"/>
        <w:snapToGrid w:val="0"/>
        <w:spacing w:before="173" w:line="240" w:lineRule="auto"/>
        <w:ind w:left="2899"/>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5"/>
          <w:szCs w:val="25"/>
          <w:lang w:val="en-US" w:eastAsia="en-US" w:bidi="ar-SA"/>
        </w:rPr>
        <w:t>9.</w:t>
      </w:r>
      <w:r>
        <w:rPr>
          <w:rFonts w:ascii="宋体" w:hAnsi="宋体" w:eastAsia="宋体" w:cs="宋体"/>
          <w:snapToGrid w:val="0"/>
          <w:color w:val="000000"/>
          <w:spacing w:val="18"/>
          <w:kern w:val="0"/>
          <w:sz w:val="25"/>
          <w:szCs w:val="25"/>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施工安全、治安保卫和环境保护</w:t>
      </w:r>
    </w:p>
    <w:p w14:paraId="5022FE98">
      <w:pPr>
        <w:kinsoku w:val="0"/>
        <w:autoSpaceDE w:val="0"/>
        <w:autoSpaceDN w:val="0"/>
        <w:adjustRightInd w:val="0"/>
        <w:snapToGrid w:val="0"/>
        <w:spacing w:before="174"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9.1</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发包人的施工安全责任</w:t>
      </w:r>
    </w:p>
    <w:p w14:paraId="364EAF8B">
      <w:pPr>
        <w:kinsoku w:val="0"/>
        <w:autoSpaceDE w:val="0"/>
        <w:autoSpaceDN w:val="0"/>
        <w:adjustRightInd w:val="0"/>
        <w:snapToGrid w:val="0"/>
        <w:spacing w:before="179" w:line="240" w:lineRule="auto"/>
        <w:ind w:right="137"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9.1.1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发包人应按合同约定履行安全职责，授权监理</w:t>
      </w:r>
      <w:r>
        <w:rPr>
          <w:rFonts w:ascii="宋体" w:hAnsi="宋体" w:eastAsia="宋体" w:cs="宋体"/>
          <w:snapToGrid w:val="0"/>
          <w:color w:val="000000"/>
          <w:spacing w:val="8"/>
          <w:kern w:val="0"/>
          <w:sz w:val="20"/>
          <w:szCs w:val="20"/>
          <w:lang w:val="en-US" w:eastAsia="en-US" w:bidi="ar-SA"/>
        </w:rPr>
        <w:t>人按合同约定的安全工作内容监督、检查承</w:t>
      </w:r>
      <w:r>
        <w:rPr>
          <w:rFonts w:ascii="宋体" w:hAnsi="宋体" w:eastAsia="宋体" w:cs="宋体"/>
          <w:snapToGrid w:val="0"/>
          <w:color w:val="000000"/>
          <w:spacing w:val="9"/>
          <w:kern w:val="0"/>
          <w:sz w:val="20"/>
          <w:szCs w:val="20"/>
          <w:lang w:val="en-US" w:eastAsia="en-US" w:bidi="ar-SA"/>
        </w:rPr>
        <w:t>包人安全工作的实施，组织承包人和有关单位进行安全检查。</w:t>
      </w:r>
    </w:p>
    <w:p w14:paraId="00F3FD83">
      <w:pPr>
        <w:kinsoku w:val="0"/>
        <w:autoSpaceDE w:val="0"/>
        <w:autoSpaceDN w:val="0"/>
        <w:adjustRightInd w:val="0"/>
        <w:snapToGrid w:val="0"/>
        <w:spacing w:before="161" w:line="240" w:lineRule="auto"/>
        <w:ind w:left="1" w:right="137"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9.1.2</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发包人应对其现场机构雇佣的全部人员的工伤</w:t>
      </w:r>
      <w:r>
        <w:rPr>
          <w:rFonts w:ascii="宋体" w:hAnsi="宋体" w:eastAsia="宋体" w:cs="宋体"/>
          <w:snapToGrid w:val="0"/>
          <w:color w:val="000000"/>
          <w:spacing w:val="8"/>
          <w:kern w:val="0"/>
          <w:sz w:val="20"/>
          <w:szCs w:val="20"/>
          <w:lang w:val="en-US" w:eastAsia="en-US" w:bidi="ar-SA"/>
        </w:rPr>
        <w:t>事故承担责任，但由于承包人原因造成发包人人员工伤的，应由承包人承担责任。</w:t>
      </w:r>
    </w:p>
    <w:p w14:paraId="52B6F316">
      <w:pPr>
        <w:kinsoku w:val="0"/>
        <w:autoSpaceDE w:val="0"/>
        <w:autoSpaceDN w:val="0"/>
        <w:adjustRightInd w:val="0"/>
        <w:snapToGrid w:val="0"/>
        <w:spacing w:before="164"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9.1.3</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发包人应负责赔偿以下各种情况造成的第三者人身伤亡和财产</w:t>
      </w:r>
      <w:r>
        <w:rPr>
          <w:rFonts w:ascii="宋体" w:hAnsi="宋体" w:eastAsia="宋体" w:cs="宋体"/>
          <w:snapToGrid w:val="0"/>
          <w:color w:val="000000"/>
          <w:spacing w:val="7"/>
          <w:kern w:val="0"/>
          <w:sz w:val="20"/>
          <w:szCs w:val="20"/>
          <w:lang w:val="en-US" w:eastAsia="en-US" w:bidi="ar-SA"/>
        </w:rPr>
        <w:t>损失：</w:t>
      </w:r>
    </w:p>
    <w:p w14:paraId="5A0529DF">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（1）    </w:t>
      </w:r>
      <w:r>
        <w:rPr>
          <w:rFonts w:ascii="宋体" w:hAnsi="宋体" w:eastAsia="宋体" w:cs="宋体"/>
          <w:snapToGrid w:val="0"/>
          <w:color w:val="000000"/>
          <w:spacing w:val="8"/>
          <w:kern w:val="0"/>
          <w:sz w:val="20"/>
          <w:szCs w:val="20"/>
          <w:lang w:val="en-US" w:eastAsia="en-US" w:bidi="ar-SA"/>
        </w:rPr>
        <w:t>工程或工程的任何部分对土地的占用所造成的第三者财产损失；</w:t>
      </w:r>
    </w:p>
    <w:p w14:paraId="06A9C608">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（2）    </w:t>
      </w:r>
      <w:r>
        <w:rPr>
          <w:rFonts w:ascii="宋体" w:hAnsi="宋体" w:eastAsia="宋体" w:cs="宋体"/>
          <w:snapToGrid w:val="0"/>
          <w:color w:val="000000"/>
          <w:spacing w:val="9"/>
          <w:kern w:val="0"/>
          <w:sz w:val="20"/>
          <w:szCs w:val="20"/>
          <w:lang w:val="en-US" w:eastAsia="en-US" w:bidi="ar-SA"/>
        </w:rPr>
        <w:t>由于发包人原因在施工场地</w:t>
      </w:r>
      <w:r>
        <w:rPr>
          <w:rFonts w:ascii="宋体" w:hAnsi="宋体" w:eastAsia="宋体" w:cs="宋体"/>
          <w:snapToGrid w:val="0"/>
          <w:color w:val="000000"/>
          <w:spacing w:val="8"/>
          <w:kern w:val="0"/>
          <w:sz w:val="20"/>
          <w:szCs w:val="20"/>
          <w:lang w:val="en-US" w:eastAsia="en-US" w:bidi="ar-SA"/>
        </w:rPr>
        <w:t>及其毗邻地带造成的第三者人身伤亡和财产损失。</w:t>
      </w:r>
    </w:p>
    <w:p w14:paraId="47F5ED98">
      <w:pPr>
        <w:kinsoku w:val="0"/>
        <w:autoSpaceDE w:val="0"/>
        <w:autoSpaceDN w:val="0"/>
        <w:adjustRightInd w:val="0"/>
        <w:snapToGrid w:val="0"/>
        <w:spacing w:before="166"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2"/>
          <w:kern w:val="0"/>
          <w:sz w:val="24"/>
          <w:szCs w:val="24"/>
          <w:lang w:val="en-US" w:eastAsia="en-US" w:bidi="ar-SA"/>
        </w:rPr>
        <w:t>9.2</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2"/>
          <w:kern w:val="0"/>
          <w:sz w:val="24"/>
          <w:szCs w:val="24"/>
          <w:lang w:val="en-US" w:eastAsia="en-US" w:bidi="ar-SA"/>
        </w:rPr>
        <w:t>承包人的施工安全责任</w:t>
      </w:r>
    </w:p>
    <w:p w14:paraId="7A8F5E9A">
      <w:pPr>
        <w:kinsoku w:val="0"/>
        <w:autoSpaceDE w:val="0"/>
        <w:autoSpaceDN w:val="0"/>
        <w:adjustRightInd w:val="0"/>
        <w:snapToGrid w:val="0"/>
        <w:spacing w:before="179" w:line="240" w:lineRule="auto"/>
        <w:ind w:left="5" w:firstLine="4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9.2.1   承包人应按合同约定履行安全职责</w:t>
      </w:r>
      <w:r>
        <w:rPr>
          <w:rFonts w:hint="eastAsia" w:ascii="宋体" w:hAnsi="宋体" w:cs="宋体"/>
          <w:snapToGrid w:val="0"/>
          <w:color w:val="000000"/>
          <w:spacing w:val="13"/>
          <w:kern w:val="0"/>
          <w:sz w:val="20"/>
          <w:szCs w:val="20"/>
          <w:lang w:val="en-US" w:eastAsia="zh-CN" w:bidi="ar-SA"/>
        </w:rPr>
        <w:t>，</w:t>
      </w:r>
      <w:r>
        <w:rPr>
          <w:rFonts w:ascii="宋体" w:hAnsi="宋体" w:eastAsia="宋体" w:cs="宋体"/>
          <w:snapToGrid w:val="0"/>
          <w:color w:val="000000"/>
          <w:spacing w:val="13"/>
          <w:kern w:val="0"/>
          <w:sz w:val="20"/>
          <w:szCs w:val="20"/>
          <w:lang w:val="en-US" w:eastAsia="en-US" w:bidi="ar-SA"/>
        </w:rPr>
        <w:t>执行监理人有关安全工作的指</w:t>
      </w:r>
      <w:r>
        <w:rPr>
          <w:rFonts w:ascii="宋体" w:hAnsi="宋体" w:eastAsia="宋体" w:cs="宋体"/>
          <w:snapToGrid w:val="0"/>
          <w:color w:val="000000"/>
          <w:spacing w:val="12"/>
          <w:kern w:val="0"/>
          <w:sz w:val="20"/>
          <w:szCs w:val="20"/>
          <w:lang w:val="en-US" w:eastAsia="en-US" w:bidi="ar-SA"/>
        </w:rPr>
        <w:t>示</w:t>
      </w:r>
      <w:r>
        <w:rPr>
          <w:rFonts w:hint="eastAsia" w:ascii="宋体" w:hAnsi="宋体" w:cs="宋体"/>
          <w:snapToGrid w:val="0"/>
          <w:color w:val="000000"/>
          <w:spacing w:val="12"/>
          <w:kern w:val="0"/>
          <w:sz w:val="20"/>
          <w:szCs w:val="20"/>
          <w:lang w:val="en-US" w:eastAsia="zh-CN" w:bidi="ar-SA"/>
        </w:rPr>
        <w:t>，</w:t>
      </w:r>
      <w:r>
        <w:rPr>
          <w:rFonts w:ascii="宋体" w:hAnsi="宋体" w:eastAsia="宋体" w:cs="宋体"/>
          <w:snapToGrid w:val="0"/>
          <w:color w:val="000000"/>
          <w:spacing w:val="12"/>
          <w:kern w:val="0"/>
          <w:sz w:val="20"/>
          <w:szCs w:val="20"/>
          <w:lang w:val="en-US" w:eastAsia="en-US" w:bidi="ar-SA"/>
        </w:rPr>
        <w:t>并在专用合同条款约</w:t>
      </w:r>
      <w:r>
        <w:rPr>
          <w:rFonts w:ascii="宋体" w:hAnsi="宋体" w:eastAsia="宋体" w:cs="宋体"/>
          <w:snapToGrid w:val="0"/>
          <w:color w:val="000000"/>
          <w:spacing w:val="9"/>
          <w:kern w:val="0"/>
          <w:sz w:val="20"/>
          <w:szCs w:val="20"/>
          <w:lang w:val="en-US" w:eastAsia="en-US" w:bidi="ar-SA"/>
        </w:rPr>
        <w:t>定的期限内，按合同约定的安全工作内容，编制施工安全措施计划报送监理人审批。</w:t>
      </w:r>
    </w:p>
    <w:p w14:paraId="1CCCC5FA">
      <w:pPr>
        <w:kinsoku w:val="0"/>
        <w:autoSpaceDE w:val="0"/>
        <w:autoSpaceDN w:val="0"/>
        <w:adjustRightInd w:val="0"/>
        <w:snapToGrid w:val="0"/>
        <w:spacing w:before="162" w:line="240" w:lineRule="auto"/>
        <w:ind w:righ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9.2.2   承包人应加强施工作业安全管理，特别应加强易燃、易爆材料、火工器材、有毒与腐蚀性</w:t>
      </w:r>
      <w:r>
        <w:rPr>
          <w:rFonts w:ascii="宋体" w:hAnsi="宋体" w:eastAsia="宋体" w:cs="宋体"/>
          <w:snapToGrid w:val="0"/>
          <w:color w:val="000000"/>
          <w:spacing w:val="8"/>
          <w:kern w:val="0"/>
          <w:sz w:val="20"/>
          <w:szCs w:val="20"/>
          <w:lang w:val="en-US" w:eastAsia="en-US" w:bidi="ar-SA"/>
        </w:rPr>
        <w:t>材料和其他危险品的管理，</w:t>
      </w:r>
      <w:r>
        <w:rPr>
          <w:rFonts w:ascii="宋体" w:hAnsi="宋体" w:eastAsia="宋体" w:cs="宋体"/>
          <w:snapToGrid w:val="0"/>
          <w:color w:val="000000"/>
          <w:spacing w:val="-5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以及对爆破作业和地下工程施工等危险作业的管理。</w:t>
      </w:r>
    </w:p>
    <w:p w14:paraId="56C55434">
      <w:pPr>
        <w:kinsoku w:val="0"/>
        <w:autoSpaceDE w:val="0"/>
        <w:autoSpaceDN w:val="0"/>
        <w:adjustRightInd w:val="0"/>
        <w:snapToGrid w:val="0"/>
        <w:spacing w:before="163" w:line="240" w:lineRule="auto"/>
        <w:ind w:left="3" w:right="2"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9.2.3   承包人应严格按照国家安全标准制定施工安全操作规程，配备必要的安全生产和劳动保护</w:t>
      </w:r>
      <w:r>
        <w:rPr>
          <w:rFonts w:ascii="宋体" w:hAnsi="宋体" w:eastAsia="宋体" w:cs="宋体"/>
          <w:snapToGrid w:val="0"/>
          <w:color w:val="000000"/>
          <w:spacing w:val="9"/>
          <w:kern w:val="0"/>
          <w:sz w:val="20"/>
          <w:szCs w:val="20"/>
          <w:lang w:val="en-US" w:eastAsia="en-US" w:bidi="ar-SA"/>
        </w:rPr>
        <w:t>设施，加强对承包人人员的安全教育，并发放安全工作手册和劳动保护用具。</w:t>
      </w:r>
    </w:p>
    <w:p w14:paraId="20337AB6">
      <w:pPr>
        <w:kinsoku w:val="0"/>
        <w:autoSpaceDE w:val="0"/>
        <w:autoSpaceDN w:val="0"/>
        <w:adjustRightInd w:val="0"/>
        <w:snapToGrid w:val="0"/>
        <w:spacing w:before="161" w:line="240" w:lineRule="auto"/>
        <w:ind w:righ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9.2.4   承包人应按监理人的指示制定应对灾害的紧急预案，报送监理人审批。承包人还应按预案</w:t>
      </w:r>
      <w:r>
        <w:rPr>
          <w:rFonts w:ascii="宋体" w:hAnsi="宋体" w:eastAsia="宋体" w:cs="宋体"/>
          <w:snapToGrid w:val="0"/>
          <w:color w:val="000000"/>
          <w:spacing w:val="9"/>
          <w:kern w:val="0"/>
          <w:sz w:val="20"/>
          <w:szCs w:val="20"/>
          <w:lang w:val="en-US" w:eastAsia="en-US" w:bidi="ar-SA"/>
        </w:rPr>
        <w:t>做好安全检查，配置必要的救助物资和器材，切实保护好有关人员的人身和财产安全。</w:t>
      </w:r>
    </w:p>
    <w:p w14:paraId="086340E3">
      <w:pPr>
        <w:kinsoku w:val="0"/>
        <w:autoSpaceDE w:val="0"/>
        <w:autoSpaceDN w:val="0"/>
        <w:adjustRightInd w:val="0"/>
        <w:snapToGrid w:val="0"/>
        <w:spacing w:before="162" w:line="240" w:lineRule="auto"/>
        <w:ind w:right="2"/>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9.2.5</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合同约定的安全作业环境及安全施工措施所需费用应遵守</w:t>
      </w:r>
      <w:r>
        <w:rPr>
          <w:rFonts w:ascii="宋体" w:hAnsi="宋体" w:eastAsia="宋体" w:cs="宋体"/>
          <w:snapToGrid w:val="0"/>
          <w:color w:val="000000"/>
          <w:spacing w:val="11"/>
          <w:kern w:val="0"/>
          <w:sz w:val="20"/>
          <w:szCs w:val="20"/>
          <w:lang w:val="en-US" w:eastAsia="en-US" w:bidi="ar-SA"/>
        </w:rPr>
        <w:t>有关规定，并包括在相关工作的</w:t>
      </w:r>
    </w:p>
    <w:p w14:paraId="6B03111B">
      <w:pPr>
        <w:kinsoku w:val="0"/>
        <w:autoSpaceDE w:val="0"/>
        <w:autoSpaceDN w:val="0"/>
        <w:adjustRightInd w:val="0"/>
        <w:snapToGrid w:val="0"/>
        <w:spacing w:before="40" w:line="240" w:lineRule="auto"/>
        <w:ind w:left="1" w:hanging="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合同价格中。因采取合同未约定的安全作业环境及安全施工措施增加的费用，</w:t>
      </w:r>
      <w:r>
        <w:rPr>
          <w:rFonts w:ascii="宋体" w:hAnsi="宋体" w:eastAsia="宋体" w:cs="宋体"/>
          <w:snapToGrid w:val="0"/>
          <w:color w:val="000000"/>
          <w:spacing w:val="-47"/>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由监理人按第 3.5 款商定</w:t>
      </w:r>
      <w:r>
        <w:rPr>
          <w:rFonts w:ascii="宋体" w:hAnsi="宋体" w:eastAsia="宋体" w:cs="宋体"/>
          <w:snapToGrid w:val="0"/>
          <w:color w:val="000000"/>
          <w:spacing w:val="4"/>
          <w:kern w:val="0"/>
          <w:sz w:val="20"/>
          <w:szCs w:val="20"/>
          <w:lang w:val="en-US" w:eastAsia="en-US" w:bidi="ar-SA"/>
        </w:rPr>
        <w:t>或确定。</w:t>
      </w:r>
    </w:p>
    <w:p w14:paraId="5EC6E560">
      <w:pPr>
        <w:kinsoku w:val="0"/>
        <w:autoSpaceDE w:val="0"/>
        <w:autoSpaceDN w:val="0"/>
        <w:adjustRightInd w:val="0"/>
        <w:snapToGrid w:val="0"/>
        <w:spacing w:line="240" w:lineRule="auto"/>
        <w:ind w:left="3" w:right="2"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9.2.6   承包人应对其履行合同所雇佣的全部人员，包括分包人人员的工伤事故承担责任，但由于</w:t>
      </w:r>
      <w:r>
        <w:rPr>
          <w:rFonts w:ascii="宋体" w:hAnsi="宋体" w:eastAsia="宋体" w:cs="宋体"/>
          <w:snapToGrid w:val="0"/>
          <w:color w:val="000000"/>
          <w:spacing w:val="9"/>
          <w:kern w:val="0"/>
          <w:sz w:val="20"/>
          <w:szCs w:val="20"/>
          <w:lang w:val="en-US" w:eastAsia="en-US" w:bidi="ar-SA"/>
        </w:rPr>
        <w:t>发包人原因造成承包人人员工伤事故的，应由发包人承担责任。</w:t>
      </w:r>
    </w:p>
    <w:p w14:paraId="574509F1">
      <w:pPr>
        <w:kinsoku w:val="0"/>
        <w:autoSpaceDE w:val="0"/>
        <w:autoSpaceDN w:val="0"/>
        <w:adjustRightInd w:val="0"/>
        <w:snapToGrid w:val="0"/>
        <w:spacing w:before="164" w:line="240" w:lineRule="auto"/>
        <w:ind w:left="8" w:right="2" w:firstLine="41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9.2.7</w:t>
      </w:r>
      <w:r>
        <w:rPr>
          <w:rFonts w:ascii="宋体" w:hAnsi="宋体" w:eastAsia="宋体" w:cs="宋体"/>
          <w:snapToGrid w:val="0"/>
          <w:color w:val="000000"/>
          <w:spacing w:val="6"/>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由于承包人原因在施工场地内及其毗邻地带造成的第三者人员伤亡和财产损失，</w:t>
      </w:r>
      <w:r>
        <w:rPr>
          <w:rFonts w:ascii="宋体" w:hAnsi="宋体" w:eastAsia="宋体" w:cs="宋体"/>
          <w:snapToGrid w:val="0"/>
          <w:color w:val="000000"/>
          <w:spacing w:val="-54"/>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由承包人</w:t>
      </w:r>
      <w:r>
        <w:rPr>
          <w:rFonts w:ascii="宋体" w:hAnsi="宋体" w:eastAsia="宋体" w:cs="宋体"/>
          <w:snapToGrid w:val="0"/>
          <w:color w:val="000000"/>
          <w:spacing w:val="4"/>
          <w:kern w:val="0"/>
          <w:sz w:val="20"/>
          <w:szCs w:val="20"/>
          <w:lang w:val="en-US" w:eastAsia="en-US" w:bidi="ar-SA"/>
        </w:rPr>
        <w:t>负责赔偿。</w:t>
      </w:r>
    </w:p>
    <w:p w14:paraId="59300A39">
      <w:pPr>
        <w:kinsoku w:val="0"/>
        <w:autoSpaceDE w:val="0"/>
        <w:autoSpaceDN w:val="0"/>
        <w:adjustRightInd w:val="0"/>
        <w:snapToGrid w:val="0"/>
        <w:spacing w:before="166"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9.3</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治安保卫</w:t>
      </w:r>
    </w:p>
    <w:p w14:paraId="4A6B0642">
      <w:pPr>
        <w:kinsoku w:val="0"/>
        <w:autoSpaceDE w:val="0"/>
        <w:autoSpaceDN w:val="0"/>
        <w:adjustRightInd w:val="0"/>
        <w:snapToGrid w:val="0"/>
        <w:spacing w:before="175" w:line="240" w:lineRule="auto"/>
        <w:ind w:left="3" w:right="348"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9.3.1</w:t>
      </w:r>
      <w:r>
        <w:rPr>
          <w:rFonts w:ascii="宋体" w:hAnsi="宋体" w:eastAsia="宋体" w:cs="宋体"/>
          <w:snapToGrid w:val="0"/>
          <w:color w:val="000000"/>
          <w:spacing w:val="5"/>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除合同另有约定外，发包人应与当地公安部门协商，在现场建立治安管理机构或联防组</w:t>
      </w:r>
      <w:r>
        <w:rPr>
          <w:rFonts w:ascii="宋体" w:hAnsi="宋体" w:eastAsia="宋体" w:cs="宋体"/>
          <w:snapToGrid w:val="0"/>
          <w:color w:val="000000"/>
          <w:spacing w:val="9"/>
          <w:kern w:val="0"/>
          <w:sz w:val="20"/>
          <w:szCs w:val="20"/>
          <w:lang w:val="en-US" w:eastAsia="en-US" w:bidi="ar-SA"/>
        </w:rPr>
        <w:t>织，统一管理施工场地的治安保卫事项，履行合同工程的治安保卫职责。</w:t>
      </w:r>
    </w:p>
    <w:p w14:paraId="4E689C1C">
      <w:pPr>
        <w:kinsoku w:val="0"/>
        <w:autoSpaceDE w:val="0"/>
        <w:autoSpaceDN w:val="0"/>
        <w:adjustRightInd w:val="0"/>
        <w:snapToGrid w:val="0"/>
        <w:spacing w:before="160" w:line="240" w:lineRule="auto"/>
        <w:ind w:right="137"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9.3.2</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发包人和承包人除应协助现场治安管理机构或</w:t>
      </w:r>
      <w:r>
        <w:rPr>
          <w:rFonts w:ascii="宋体" w:hAnsi="宋体" w:eastAsia="宋体" w:cs="宋体"/>
          <w:snapToGrid w:val="0"/>
          <w:color w:val="000000"/>
          <w:spacing w:val="8"/>
          <w:kern w:val="0"/>
          <w:sz w:val="20"/>
          <w:szCs w:val="20"/>
          <w:lang w:val="en-US" w:eastAsia="en-US" w:bidi="ar-SA"/>
        </w:rPr>
        <w:t>联防组织维护施工场地的社会治安外，还应</w:t>
      </w:r>
      <w:r>
        <w:rPr>
          <w:rFonts w:ascii="宋体" w:hAnsi="宋体" w:eastAsia="宋体" w:cs="宋体"/>
          <w:snapToGrid w:val="0"/>
          <w:color w:val="000000"/>
          <w:spacing w:val="9"/>
          <w:kern w:val="0"/>
          <w:sz w:val="20"/>
          <w:szCs w:val="20"/>
          <w:lang w:val="en-US" w:eastAsia="en-US" w:bidi="ar-SA"/>
        </w:rPr>
        <w:t>做好包括生活区在内的各自管辖区的治安保卫工作。</w:t>
      </w:r>
    </w:p>
    <w:p w14:paraId="48D09EBC">
      <w:pPr>
        <w:kinsoku w:val="0"/>
        <w:autoSpaceDE w:val="0"/>
        <w:autoSpaceDN w:val="0"/>
        <w:adjustRightInd w:val="0"/>
        <w:snapToGrid w:val="0"/>
        <w:spacing w:before="166" w:line="240" w:lineRule="auto"/>
        <w:ind w:right="190"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9.3.3</w:t>
      </w:r>
      <w:r>
        <w:rPr>
          <w:rFonts w:ascii="宋体" w:hAnsi="宋体" w:eastAsia="宋体" w:cs="宋体"/>
          <w:snapToGrid w:val="0"/>
          <w:color w:val="000000"/>
          <w:spacing w:val="3"/>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除合同另有约定外，发包人和承包人应在工程开工后，共同编制施工场地治安管理计划，</w:t>
      </w:r>
      <w:r>
        <w:rPr>
          <w:rFonts w:ascii="宋体" w:hAnsi="宋体" w:eastAsia="宋体" w:cs="宋体"/>
          <w:snapToGrid w:val="0"/>
          <w:color w:val="000000"/>
          <w:spacing w:val="10"/>
          <w:kern w:val="0"/>
          <w:sz w:val="20"/>
          <w:szCs w:val="20"/>
          <w:lang w:val="en-US" w:eastAsia="en-US" w:bidi="ar-SA"/>
        </w:rPr>
        <w:t>并制定应对突发治安事件的紧急预案。在工程施工过程中，发生暴乱、爆炸</w:t>
      </w:r>
      <w:r>
        <w:rPr>
          <w:rFonts w:ascii="宋体" w:hAnsi="宋体" w:eastAsia="宋体" w:cs="宋体"/>
          <w:snapToGrid w:val="0"/>
          <w:color w:val="000000"/>
          <w:spacing w:val="9"/>
          <w:kern w:val="0"/>
          <w:sz w:val="20"/>
          <w:szCs w:val="20"/>
          <w:lang w:val="en-US" w:eastAsia="en-US" w:bidi="ar-SA"/>
        </w:rPr>
        <w:t>等恐怖事件，以及群殴、械</w:t>
      </w:r>
      <w:r>
        <w:rPr>
          <w:rFonts w:ascii="宋体" w:hAnsi="宋体" w:eastAsia="宋体" w:cs="宋体"/>
          <w:snapToGrid w:val="0"/>
          <w:color w:val="000000"/>
          <w:spacing w:val="10"/>
          <w:kern w:val="0"/>
          <w:sz w:val="20"/>
          <w:szCs w:val="20"/>
          <w:lang w:val="en-US" w:eastAsia="en-US" w:bidi="ar-SA"/>
        </w:rPr>
        <w:t>斗等群体性突发治安事件的，发包人和承包人应立即向当地政府报告。发包</w:t>
      </w:r>
      <w:r>
        <w:rPr>
          <w:rFonts w:ascii="宋体" w:hAnsi="宋体" w:eastAsia="宋体" w:cs="宋体"/>
          <w:snapToGrid w:val="0"/>
          <w:color w:val="000000"/>
          <w:spacing w:val="9"/>
          <w:kern w:val="0"/>
          <w:sz w:val="20"/>
          <w:szCs w:val="20"/>
          <w:lang w:val="en-US" w:eastAsia="en-US" w:bidi="ar-SA"/>
        </w:rPr>
        <w:t>人和承包人应积极协助当地有关部门采取措施平息事态，防止事态扩大，尽量减少财产损失和避免人员伤亡。</w:t>
      </w:r>
    </w:p>
    <w:p w14:paraId="0BB9BD59">
      <w:pPr>
        <w:kinsoku w:val="0"/>
        <w:autoSpaceDE w:val="0"/>
        <w:autoSpaceDN w:val="0"/>
        <w:adjustRightInd w:val="0"/>
        <w:snapToGrid w:val="0"/>
        <w:spacing w:before="166"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9.4</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环境保护</w:t>
      </w:r>
    </w:p>
    <w:p w14:paraId="45DF0FD1">
      <w:pPr>
        <w:kinsoku w:val="0"/>
        <w:autoSpaceDE w:val="0"/>
        <w:autoSpaceDN w:val="0"/>
        <w:adjustRightInd w:val="0"/>
        <w:snapToGrid w:val="0"/>
        <w:spacing w:before="178" w:line="240" w:lineRule="auto"/>
        <w:ind w:righ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9.4.1   承包人在施工过程中，应遵守有关环境保护的法律，履行合同约定的环境保护义务，并对</w:t>
      </w:r>
      <w:r>
        <w:rPr>
          <w:rFonts w:ascii="宋体" w:hAnsi="宋体" w:eastAsia="宋体" w:cs="宋体"/>
          <w:snapToGrid w:val="0"/>
          <w:color w:val="000000"/>
          <w:spacing w:val="9"/>
          <w:kern w:val="0"/>
          <w:sz w:val="20"/>
          <w:szCs w:val="20"/>
          <w:lang w:val="en-US" w:eastAsia="en-US" w:bidi="ar-SA"/>
        </w:rPr>
        <w:t>违反法律和合同约定义务所造成的环境破坏、人身伤害和财产损失负责。</w:t>
      </w:r>
    </w:p>
    <w:p w14:paraId="790E487F">
      <w:pPr>
        <w:kinsoku w:val="0"/>
        <w:autoSpaceDE w:val="0"/>
        <w:autoSpaceDN w:val="0"/>
        <w:adjustRightInd w:val="0"/>
        <w:snapToGrid w:val="0"/>
        <w:spacing w:before="163"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9.4.2</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承包人应按合同约定的环保工作内容，编制施工环保措施计划，报送监理人审批。</w:t>
      </w:r>
    </w:p>
    <w:p w14:paraId="228283BE">
      <w:pPr>
        <w:kinsoku w:val="0"/>
        <w:autoSpaceDE w:val="0"/>
        <w:autoSpaceDN w:val="0"/>
        <w:adjustRightInd w:val="0"/>
        <w:snapToGrid w:val="0"/>
        <w:spacing w:before="162" w:line="240" w:lineRule="auto"/>
        <w:ind w:righ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9.4.3   承包人应按照批准的施工环保措施计划有序地堆放和处理施工废弃物，避免对环境造成破</w:t>
      </w:r>
      <w:r>
        <w:rPr>
          <w:rFonts w:ascii="宋体" w:hAnsi="宋体" w:eastAsia="宋体" w:cs="宋体"/>
          <w:snapToGrid w:val="0"/>
          <w:color w:val="000000"/>
          <w:spacing w:val="14"/>
          <w:kern w:val="0"/>
          <w:sz w:val="20"/>
          <w:szCs w:val="20"/>
          <w:lang w:val="en-US" w:eastAsia="en-US" w:bidi="ar-SA"/>
        </w:rPr>
        <w:t>坏。因承包人任意堆放或弃置施工废弃物造成妨碍公共交通、影响城镇居民生活、降低河流行洪能力、</w:t>
      </w:r>
      <w:r>
        <w:rPr>
          <w:rFonts w:ascii="宋体" w:hAnsi="宋体" w:eastAsia="宋体" w:cs="宋体"/>
          <w:snapToGrid w:val="0"/>
          <w:color w:val="000000"/>
          <w:spacing w:val="9"/>
          <w:kern w:val="0"/>
          <w:sz w:val="20"/>
          <w:szCs w:val="20"/>
          <w:lang w:val="en-US" w:eastAsia="en-US" w:bidi="ar-SA"/>
        </w:rPr>
        <w:t>危及居民安全、破坏周边环境，或者影响其他承包人施工等后果的，承包人应承担责任。</w:t>
      </w:r>
    </w:p>
    <w:p w14:paraId="4A7C230E">
      <w:pPr>
        <w:kinsoku w:val="0"/>
        <w:autoSpaceDE w:val="0"/>
        <w:autoSpaceDN w:val="0"/>
        <w:adjustRightInd w:val="0"/>
        <w:snapToGrid w:val="0"/>
        <w:spacing w:before="161" w:line="240" w:lineRule="auto"/>
        <w:ind w:left="3"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9.4.4   承包人应按合同约定采取有效措施，对施工开挖的边坡及</w:t>
      </w:r>
      <w:r>
        <w:rPr>
          <w:rFonts w:ascii="宋体" w:hAnsi="宋体" w:eastAsia="宋体" w:cs="宋体"/>
          <w:snapToGrid w:val="0"/>
          <w:color w:val="000000"/>
          <w:spacing w:val="10"/>
          <w:kern w:val="0"/>
          <w:sz w:val="20"/>
          <w:szCs w:val="20"/>
          <w:lang w:val="en-US" w:eastAsia="en-US" w:bidi="ar-SA"/>
        </w:rPr>
        <w:t>时进行支护</w:t>
      </w:r>
      <w:r>
        <w:rPr>
          <w:rFonts w:hint="eastAsia" w:ascii="宋体" w:hAnsi="宋体" w:cs="宋体"/>
          <w:snapToGrid w:val="0"/>
          <w:color w:val="000000"/>
          <w:spacing w:val="10"/>
          <w:kern w:val="0"/>
          <w:sz w:val="20"/>
          <w:szCs w:val="20"/>
          <w:lang w:val="en-US" w:eastAsia="zh-CN" w:bidi="ar-SA"/>
        </w:rPr>
        <w:t>，</w:t>
      </w:r>
      <w:r>
        <w:rPr>
          <w:rFonts w:ascii="宋体" w:hAnsi="宋体" w:eastAsia="宋体" w:cs="宋体"/>
          <w:snapToGrid w:val="0"/>
          <w:color w:val="000000"/>
          <w:spacing w:val="10"/>
          <w:kern w:val="0"/>
          <w:sz w:val="20"/>
          <w:szCs w:val="20"/>
          <w:lang w:val="en-US" w:eastAsia="en-US" w:bidi="ar-SA"/>
        </w:rPr>
        <w:t>维护排水设施，并进</w:t>
      </w:r>
      <w:r>
        <w:rPr>
          <w:rFonts w:ascii="宋体" w:hAnsi="宋体" w:eastAsia="宋体" w:cs="宋体"/>
          <w:snapToGrid w:val="0"/>
          <w:color w:val="000000"/>
          <w:spacing w:val="8"/>
          <w:kern w:val="0"/>
          <w:sz w:val="20"/>
          <w:szCs w:val="20"/>
          <w:lang w:val="en-US" w:eastAsia="en-US" w:bidi="ar-SA"/>
        </w:rPr>
        <w:t>行水土保护，避免因施工造成的地质灾害。</w:t>
      </w:r>
    </w:p>
    <w:p w14:paraId="735AB272">
      <w:pPr>
        <w:kinsoku w:val="0"/>
        <w:autoSpaceDE w:val="0"/>
        <w:autoSpaceDN w:val="0"/>
        <w:adjustRightInd w:val="0"/>
        <w:snapToGrid w:val="0"/>
        <w:spacing w:before="164"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9.4.5</w:t>
      </w:r>
      <w:r>
        <w:rPr>
          <w:rFonts w:ascii="宋体" w:hAnsi="宋体" w:eastAsia="宋体" w:cs="宋体"/>
          <w:snapToGrid w:val="0"/>
          <w:color w:val="000000"/>
          <w:spacing w:val="36"/>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承包人应按国家饮用水管理标准定期对饮用水源进行监测，防止施工活动污染饮用水源。</w:t>
      </w:r>
    </w:p>
    <w:p w14:paraId="4C14CAEE">
      <w:pPr>
        <w:kinsoku w:val="0"/>
        <w:autoSpaceDE w:val="0"/>
        <w:autoSpaceDN w:val="0"/>
        <w:adjustRightInd w:val="0"/>
        <w:snapToGrid w:val="0"/>
        <w:spacing w:before="161" w:line="240" w:lineRule="auto"/>
        <w:ind w:right="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9.4.6</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承包人应按合同约定，加强对噪声、粉尘、废气、废水和废油的控制，努力降低噪声， 控制粉尘和废气浓度，做好废水和废油的治理和排放。</w:t>
      </w:r>
    </w:p>
    <w:p w14:paraId="1DDF1DA2">
      <w:pPr>
        <w:kinsoku w:val="0"/>
        <w:autoSpaceDE w:val="0"/>
        <w:autoSpaceDN w:val="0"/>
        <w:adjustRightInd w:val="0"/>
        <w:snapToGrid w:val="0"/>
        <w:spacing w:before="166" w:line="240" w:lineRule="auto"/>
        <w:ind w:left="481"/>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9.5</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事故处理</w:t>
      </w:r>
    </w:p>
    <w:p w14:paraId="6133FB4B">
      <w:pPr>
        <w:kinsoku w:val="0"/>
        <w:autoSpaceDE w:val="0"/>
        <w:autoSpaceDN w:val="0"/>
        <w:adjustRightInd w:val="0"/>
        <w:snapToGrid w:val="0"/>
        <w:spacing w:before="176" w:line="240" w:lineRule="auto"/>
        <w:ind w:left="1" w:right="2" w:firstLine="420"/>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w:t>
      </w:r>
      <w:r>
        <w:rPr>
          <w:rFonts w:ascii="宋体" w:hAnsi="宋体" w:eastAsia="宋体" w:cs="宋体"/>
          <w:snapToGrid w:val="0"/>
          <w:color w:val="000000"/>
          <w:spacing w:val="8"/>
          <w:kern w:val="0"/>
          <w:sz w:val="20"/>
          <w:szCs w:val="20"/>
          <w:lang w:val="en-US" w:eastAsia="en-US" w:bidi="ar-SA"/>
        </w:rPr>
        <w:t>关规定，及时如实地向有关部门报告事故发生的情况，</w:t>
      </w:r>
      <w:r>
        <w:rPr>
          <w:rFonts w:ascii="宋体" w:hAnsi="宋体" w:eastAsia="宋体" w:cs="宋体"/>
          <w:snapToGrid w:val="0"/>
          <w:color w:val="000000"/>
          <w:spacing w:val="-50"/>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以及正在采取的紧急措施等。</w:t>
      </w:r>
    </w:p>
    <w:p w14:paraId="54B4DBB6">
      <w:pPr>
        <w:kinsoku w:val="0"/>
        <w:autoSpaceDE w:val="0"/>
        <w:autoSpaceDN w:val="0"/>
        <w:adjustRightInd w:val="0"/>
        <w:snapToGrid w:val="0"/>
        <w:spacing w:before="6" w:line="240" w:lineRule="auto"/>
        <w:ind w:left="4122"/>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5"/>
          <w:szCs w:val="25"/>
          <w:lang w:val="en-US" w:eastAsia="en-US" w:bidi="ar-SA"/>
        </w:rPr>
        <w:t>10.</w:t>
      </w:r>
      <w:r>
        <w:rPr>
          <w:rFonts w:ascii="宋体" w:hAnsi="宋体" w:eastAsia="宋体" w:cs="宋体"/>
          <w:snapToGrid w:val="0"/>
          <w:color w:val="000000"/>
          <w:spacing w:val="19"/>
          <w:kern w:val="0"/>
          <w:sz w:val="25"/>
          <w:szCs w:val="25"/>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进度计划</w:t>
      </w:r>
    </w:p>
    <w:p w14:paraId="6055EC7C">
      <w:pPr>
        <w:kinsoku w:val="0"/>
        <w:autoSpaceDE w:val="0"/>
        <w:autoSpaceDN w:val="0"/>
        <w:adjustRightInd w:val="0"/>
        <w:snapToGrid w:val="0"/>
        <w:spacing w:before="174"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10.1</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合同进度计划</w:t>
      </w:r>
    </w:p>
    <w:p w14:paraId="543EFC4E">
      <w:pPr>
        <w:kinsoku w:val="0"/>
        <w:autoSpaceDE w:val="0"/>
        <w:autoSpaceDN w:val="0"/>
        <w:adjustRightInd w:val="0"/>
        <w:snapToGrid w:val="0"/>
        <w:spacing w:before="177" w:line="240" w:lineRule="auto"/>
        <w:ind w:right="2"/>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9"/>
          <w:kern w:val="0"/>
          <w:sz w:val="20"/>
          <w:szCs w:val="20"/>
          <w:lang w:val="en-US" w:eastAsia="en-US" w:bidi="ar-SA"/>
        </w:rPr>
        <w:t>承包人应按专用合同条款约定的内容和期限，编制详细的施工进度计划和施工方案说明报送监理</w:t>
      </w:r>
    </w:p>
    <w:p w14:paraId="5C2F0616">
      <w:pPr>
        <w:kinsoku w:val="0"/>
        <w:autoSpaceDE w:val="0"/>
        <w:autoSpaceDN w:val="0"/>
        <w:adjustRightInd w:val="0"/>
        <w:snapToGrid w:val="0"/>
        <w:spacing w:before="40" w:line="240" w:lineRule="auto"/>
        <w:ind w:firstLine="2"/>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人。监理人应在专用合同条款约定的期限内批复或提出修改意见，否则该进度计划视为已得到批准。经监理人批准的施工进度计划称合同进度计划，是控制合同工程进度的依据。承包人还应根据合同进度计</w:t>
      </w:r>
      <w:r>
        <w:rPr>
          <w:rFonts w:ascii="宋体" w:hAnsi="宋体" w:eastAsia="宋体" w:cs="宋体"/>
          <w:snapToGrid w:val="0"/>
          <w:color w:val="000000"/>
          <w:spacing w:val="9"/>
          <w:kern w:val="0"/>
          <w:sz w:val="20"/>
          <w:szCs w:val="20"/>
          <w:lang w:val="en-US" w:eastAsia="en-US" w:bidi="ar-SA"/>
        </w:rPr>
        <w:t>划，编制更为详细的分阶段或分项进度计划，报监理人审批。</w:t>
      </w:r>
    </w:p>
    <w:p w14:paraId="787F96AD">
      <w:pPr>
        <w:kinsoku w:val="0"/>
        <w:autoSpaceDE w:val="0"/>
        <w:autoSpaceDN w:val="0"/>
        <w:adjustRightInd w:val="0"/>
        <w:snapToGrid w:val="0"/>
        <w:spacing w:before="1" w:line="240" w:lineRule="auto"/>
        <w:ind w:left="50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10.2</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合同进度计划的修订</w:t>
      </w:r>
    </w:p>
    <w:p w14:paraId="47C03D87">
      <w:pPr>
        <w:kinsoku w:val="0"/>
        <w:autoSpaceDE w:val="0"/>
        <w:autoSpaceDN w:val="0"/>
        <w:adjustRightInd w:val="0"/>
        <w:snapToGrid w:val="0"/>
        <w:spacing w:before="179" w:line="240" w:lineRule="auto"/>
        <w:ind w:firstLine="425"/>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不论何种原因造成工程的实际进度与第</w:t>
      </w:r>
      <w:r>
        <w:rPr>
          <w:rFonts w:ascii="宋体" w:hAnsi="宋体" w:eastAsia="宋体" w:cs="宋体"/>
          <w:snapToGrid w:val="0"/>
          <w:color w:val="000000"/>
          <w:spacing w:val="41"/>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10.1 款的合同进</w:t>
      </w:r>
      <w:r>
        <w:rPr>
          <w:rFonts w:ascii="宋体" w:hAnsi="宋体" w:eastAsia="宋体" w:cs="宋体"/>
          <w:snapToGrid w:val="0"/>
          <w:color w:val="000000"/>
          <w:spacing w:val="12"/>
          <w:kern w:val="0"/>
          <w:sz w:val="20"/>
          <w:szCs w:val="20"/>
          <w:lang w:val="en-US" w:eastAsia="en-US" w:bidi="ar-SA"/>
        </w:rPr>
        <w:t>度计划不符时，承包人可以在专用合同条</w:t>
      </w:r>
      <w:r>
        <w:rPr>
          <w:rFonts w:ascii="宋体" w:hAnsi="宋体" w:eastAsia="宋体" w:cs="宋体"/>
          <w:snapToGrid w:val="0"/>
          <w:color w:val="000000"/>
          <w:spacing w:val="19"/>
          <w:kern w:val="0"/>
          <w:sz w:val="20"/>
          <w:szCs w:val="20"/>
          <w:lang w:val="en-US" w:eastAsia="en-US" w:bidi="ar-SA"/>
        </w:rPr>
        <w:t>款约定的期限内向监理人提交修订合同进度计划的申请报告，并附有关措施和相关资料，报监</w:t>
      </w:r>
      <w:r>
        <w:rPr>
          <w:rFonts w:ascii="宋体" w:hAnsi="宋体" w:eastAsia="宋体" w:cs="宋体"/>
          <w:snapToGrid w:val="0"/>
          <w:color w:val="000000"/>
          <w:spacing w:val="18"/>
          <w:kern w:val="0"/>
          <w:sz w:val="20"/>
          <w:szCs w:val="20"/>
          <w:lang w:val="en-US" w:eastAsia="en-US" w:bidi="ar-SA"/>
        </w:rPr>
        <w:t>理人审</w:t>
      </w:r>
      <w:r>
        <w:rPr>
          <w:rFonts w:ascii="宋体" w:hAnsi="宋体" w:eastAsia="宋体" w:cs="宋体"/>
          <w:snapToGrid w:val="0"/>
          <w:color w:val="000000"/>
          <w:spacing w:val="14"/>
          <w:kern w:val="0"/>
          <w:sz w:val="20"/>
          <w:szCs w:val="20"/>
          <w:lang w:val="en-US" w:eastAsia="en-US" w:bidi="ar-SA"/>
        </w:rPr>
        <w:t>批；监理人也可以直接向承包人作出修订合同进度计划的指示，承包人应按该指示修订合同进度计划，</w:t>
      </w:r>
      <w:r>
        <w:rPr>
          <w:rFonts w:ascii="宋体" w:hAnsi="宋体" w:eastAsia="宋体" w:cs="宋体"/>
          <w:snapToGrid w:val="0"/>
          <w:color w:val="000000"/>
          <w:spacing w:val="10"/>
          <w:kern w:val="0"/>
          <w:sz w:val="20"/>
          <w:szCs w:val="20"/>
          <w:lang w:val="en-US" w:eastAsia="en-US" w:bidi="ar-SA"/>
        </w:rPr>
        <w:t>报监理人审批。监理人应在专用合同条款约定的期限</w:t>
      </w:r>
      <w:r>
        <w:rPr>
          <w:rFonts w:ascii="宋体" w:hAnsi="宋体" w:eastAsia="宋体" w:cs="宋体"/>
          <w:snapToGrid w:val="0"/>
          <w:color w:val="000000"/>
          <w:spacing w:val="9"/>
          <w:kern w:val="0"/>
          <w:sz w:val="20"/>
          <w:szCs w:val="20"/>
          <w:lang w:val="en-US" w:eastAsia="en-US" w:bidi="ar-SA"/>
        </w:rPr>
        <w:t>内批复。监理人在批复前应获得发包人同意。</w:t>
      </w:r>
    </w:p>
    <w:p w14:paraId="5F4CD330">
      <w:pPr>
        <w:kinsoku w:val="0"/>
        <w:autoSpaceDE w:val="0"/>
        <w:autoSpaceDN w:val="0"/>
        <w:adjustRightInd w:val="0"/>
        <w:snapToGrid w:val="0"/>
        <w:spacing w:before="6" w:line="240" w:lineRule="auto"/>
        <w:ind w:left="4001"/>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5"/>
          <w:szCs w:val="25"/>
          <w:lang w:val="en-US" w:eastAsia="en-US" w:bidi="ar-SA"/>
        </w:rPr>
        <w:t>11.</w:t>
      </w:r>
      <w:r>
        <w:rPr>
          <w:rFonts w:ascii="宋体" w:hAnsi="宋体" w:eastAsia="宋体" w:cs="宋体"/>
          <w:snapToGrid w:val="0"/>
          <w:color w:val="000000"/>
          <w:spacing w:val="21"/>
          <w:kern w:val="0"/>
          <w:sz w:val="25"/>
          <w:szCs w:val="25"/>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开工和竣工</w:t>
      </w:r>
    </w:p>
    <w:p w14:paraId="72B041DE">
      <w:pPr>
        <w:kinsoku w:val="0"/>
        <w:autoSpaceDE w:val="0"/>
        <w:autoSpaceDN w:val="0"/>
        <w:adjustRightInd w:val="0"/>
        <w:snapToGrid w:val="0"/>
        <w:spacing w:before="177" w:line="240" w:lineRule="auto"/>
        <w:ind w:left="50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10"/>
          <w:kern w:val="0"/>
          <w:sz w:val="24"/>
          <w:szCs w:val="24"/>
          <w:lang w:val="en-US" w:eastAsia="en-US" w:bidi="ar-SA"/>
        </w:rPr>
        <w:t>11.1</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10"/>
          <w:kern w:val="0"/>
          <w:sz w:val="24"/>
          <w:szCs w:val="24"/>
          <w:lang w:val="en-US" w:eastAsia="en-US" w:bidi="ar-SA"/>
        </w:rPr>
        <w:t>开工</w:t>
      </w:r>
    </w:p>
    <w:p w14:paraId="44BE6162">
      <w:pPr>
        <w:kinsoku w:val="0"/>
        <w:autoSpaceDE w:val="0"/>
        <w:autoSpaceDN w:val="0"/>
        <w:adjustRightInd w:val="0"/>
        <w:snapToGrid w:val="0"/>
        <w:spacing w:before="174" w:line="240" w:lineRule="auto"/>
        <w:ind w:left="1"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11.1.1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监理人应在开工日期 7 天前向承包人发出开工通知。监理人在发出开工通</w:t>
      </w:r>
      <w:r>
        <w:rPr>
          <w:rFonts w:ascii="宋体" w:hAnsi="宋体" w:eastAsia="宋体" w:cs="宋体"/>
          <w:snapToGrid w:val="0"/>
          <w:color w:val="000000"/>
          <w:spacing w:val="10"/>
          <w:kern w:val="0"/>
          <w:sz w:val="20"/>
          <w:szCs w:val="20"/>
          <w:lang w:val="en-US" w:eastAsia="en-US" w:bidi="ar-SA"/>
        </w:rPr>
        <w:t>知前应获得发包人同意。工期自监理人发出的开工通知中载明的开</w:t>
      </w:r>
      <w:r>
        <w:rPr>
          <w:rFonts w:ascii="宋体" w:hAnsi="宋体" w:eastAsia="宋体" w:cs="宋体"/>
          <w:snapToGrid w:val="0"/>
          <w:color w:val="000000"/>
          <w:spacing w:val="9"/>
          <w:kern w:val="0"/>
          <w:sz w:val="20"/>
          <w:szCs w:val="20"/>
          <w:lang w:val="en-US" w:eastAsia="en-US" w:bidi="ar-SA"/>
        </w:rPr>
        <w:t>工日期起计算。承包人应在开工日期后尽快施工。</w:t>
      </w:r>
    </w:p>
    <w:p w14:paraId="55FCBADB">
      <w:pPr>
        <w:kinsoku w:val="0"/>
        <w:autoSpaceDE w:val="0"/>
        <w:autoSpaceDN w:val="0"/>
        <w:adjustRightInd w:val="0"/>
        <w:snapToGrid w:val="0"/>
        <w:spacing w:before="164" w:line="240" w:lineRule="auto"/>
        <w:ind w:firstLine="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11.1.2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承包人应按第</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10.1 款约定的合同进度计划，向监理人提交工程开工</w:t>
      </w:r>
      <w:r>
        <w:rPr>
          <w:rFonts w:ascii="宋体" w:hAnsi="宋体" w:eastAsia="宋体" w:cs="宋体"/>
          <w:snapToGrid w:val="0"/>
          <w:color w:val="000000"/>
          <w:spacing w:val="7"/>
          <w:kern w:val="0"/>
          <w:sz w:val="20"/>
          <w:szCs w:val="20"/>
          <w:lang w:val="en-US" w:eastAsia="en-US" w:bidi="ar-SA"/>
        </w:rPr>
        <w:t>报审表，经监理人审</w:t>
      </w:r>
      <w:r>
        <w:rPr>
          <w:rFonts w:ascii="宋体" w:hAnsi="宋体" w:eastAsia="宋体" w:cs="宋体"/>
          <w:snapToGrid w:val="0"/>
          <w:color w:val="000000"/>
          <w:spacing w:val="14"/>
          <w:kern w:val="0"/>
          <w:sz w:val="20"/>
          <w:szCs w:val="20"/>
          <w:lang w:val="en-US" w:eastAsia="en-US" w:bidi="ar-SA"/>
        </w:rPr>
        <w:t>批后执行。开工报审表应详细说明按合同进度计划正常施工所需的施工道路、临时设施、材料设备、施</w:t>
      </w:r>
      <w:r>
        <w:rPr>
          <w:rFonts w:ascii="宋体" w:hAnsi="宋体" w:eastAsia="宋体" w:cs="宋体"/>
          <w:snapToGrid w:val="0"/>
          <w:color w:val="000000"/>
          <w:spacing w:val="9"/>
          <w:kern w:val="0"/>
          <w:sz w:val="20"/>
          <w:szCs w:val="20"/>
          <w:lang w:val="en-US" w:eastAsia="en-US" w:bidi="ar-SA"/>
        </w:rPr>
        <w:t>工人员等施工组织措施的落实情况以及工程的进度安排。</w:t>
      </w:r>
    </w:p>
    <w:p w14:paraId="18039DE8">
      <w:pPr>
        <w:kinsoku w:val="0"/>
        <w:autoSpaceDE w:val="0"/>
        <w:autoSpaceDN w:val="0"/>
        <w:adjustRightInd w:val="0"/>
        <w:snapToGrid w:val="0"/>
        <w:spacing w:before="166" w:line="240" w:lineRule="auto"/>
        <w:ind w:left="50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10"/>
          <w:kern w:val="0"/>
          <w:sz w:val="24"/>
          <w:szCs w:val="24"/>
          <w:lang w:val="en-US" w:eastAsia="en-US" w:bidi="ar-SA"/>
        </w:rPr>
        <w:t>11.2</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10"/>
          <w:kern w:val="0"/>
          <w:sz w:val="24"/>
          <w:szCs w:val="24"/>
          <w:lang w:val="en-US" w:eastAsia="en-US" w:bidi="ar-SA"/>
        </w:rPr>
        <w:t>竣工</w:t>
      </w:r>
    </w:p>
    <w:p w14:paraId="5270A292">
      <w:pPr>
        <w:kinsoku w:val="0"/>
        <w:autoSpaceDE w:val="0"/>
        <w:autoSpaceDN w:val="0"/>
        <w:adjustRightInd w:val="0"/>
        <w:snapToGrid w:val="0"/>
        <w:spacing w:before="178" w:line="240" w:lineRule="auto"/>
        <w:ind w:left="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承包人应在第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1.1.4.3</w:t>
      </w:r>
      <w:r>
        <w:rPr>
          <w:rFonts w:ascii="宋体" w:hAnsi="宋体" w:eastAsia="宋体" w:cs="宋体"/>
          <w:snapToGrid w:val="0"/>
          <w:color w:val="000000"/>
          <w:spacing w:val="53"/>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目约定的期限内完成合同工程。实际竣工日期在接收证书</w:t>
      </w:r>
      <w:r>
        <w:rPr>
          <w:rFonts w:ascii="宋体" w:hAnsi="宋体" w:eastAsia="宋体" w:cs="宋体"/>
          <w:snapToGrid w:val="0"/>
          <w:color w:val="000000"/>
          <w:spacing w:val="6"/>
          <w:kern w:val="0"/>
          <w:sz w:val="20"/>
          <w:szCs w:val="20"/>
          <w:lang w:val="en-US" w:eastAsia="en-US" w:bidi="ar-SA"/>
        </w:rPr>
        <w:t>中写明。</w:t>
      </w:r>
    </w:p>
    <w:p w14:paraId="6213E019">
      <w:pPr>
        <w:kinsoku w:val="0"/>
        <w:autoSpaceDE w:val="0"/>
        <w:autoSpaceDN w:val="0"/>
        <w:adjustRightInd w:val="0"/>
        <w:snapToGrid w:val="0"/>
        <w:spacing w:before="167" w:line="240" w:lineRule="auto"/>
        <w:ind w:left="50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11.3</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发包人的工期延误</w:t>
      </w:r>
    </w:p>
    <w:p w14:paraId="11C88FBF">
      <w:pPr>
        <w:kinsoku w:val="0"/>
        <w:autoSpaceDE w:val="0"/>
        <w:autoSpaceDN w:val="0"/>
        <w:adjustRightInd w:val="0"/>
        <w:snapToGrid w:val="0"/>
        <w:spacing w:before="177" w:line="240" w:lineRule="auto"/>
        <w:ind w:left="11" w:right="403" w:firstLine="40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在履行合同过程中，由于发包人的下列原因造成工期延误的，承包人有</w:t>
      </w:r>
      <w:r>
        <w:rPr>
          <w:rFonts w:ascii="宋体" w:hAnsi="宋体" w:eastAsia="宋体" w:cs="宋体"/>
          <w:snapToGrid w:val="0"/>
          <w:color w:val="000000"/>
          <w:spacing w:val="9"/>
          <w:kern w:val="0"/>
          <w:sz w:val="20"/>
          <w:szCs w:val="20"/>
          <w:lang w:val="en-US" w:eastAsia="en-US" w:bidi="ar-SA"/>
        </w:rPr>
        <w:t>权要求发包人延长工期和</w:t>
      </w:r>
      <w:r>
        <w:rPr>
          <w:rFonts w:ascii="宋体" w:hAnsi="宋体" w:eastAsia="宋体" w:cs="宋体"/>
          <w:snapToGrid w:val="0"/>
          <w:color w:val="000000"/>
          <w:spacing w:val="8"/>
          <w:kern w:val="0"/>
          <w:sz w:val="20"/>
          <w:szCs w:val="20"/>
          <w:lang w:val="en-US" w:eastAsia="en-US" w:bidi="ar-SA"/>
        </w:rPr>
        <w:t>（或）增加费用，并支付合理利润。需要修订合同进度计划的，按照第</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10.2 款的约定办理。</w:t>
      </w:r>
    </w:p>
    <w:p w14:paraId="6A6E0E37">
      <w:pPr>
        <w:kinsoku w:val="0"/>
        <w:autoSpaceDE w:val="0"/>
        <w:autoSpaceDN w:val="0"/>
        <w:adjustRightInd w:val="0"/>
        <w:snapToGrid w:val="0"/>
        <w:spacing w:line="240" w:lineRule="auto"/>
        <w:ind w:left="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（1）</w:t>
      </w:r>
      <w:r>
        <w:rPr>
          <w:rFonts w:ascii="宋体" w:hAnsi="宋体" w:eastAsia="宋体" w:cs="宋体"/>
          <w:snapToGrid w:val="0"/>
          <w:color w:val="000000"/>
          <w:spacing w:val="42"/>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增加合同工作内容；</w:t>
      </w:r>
    </w:p>
    <w:p w14:paraId="5E40B190">
      <w:pPr>
        <w:kinsoku w:val="0"/>
        <w:autoSpaceDE w:val="0"/>
        <w:autoSpaceDN w:val="0"/>
        <w:adjustRightInd w:val="0"/>
        <w:snapToGrid w:val="0"/>
        <w:spacing w:before="161" w:line="240" w:lineRule="auto"/>
        <w:ind w:left="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（2）</w:t>
      </w:r>
      <w:r>
        <w:rPr>
          <w:rFonts w:ascii="宋体" w:hAnsi="宋体" w:eastAsia="宋体" w:cs="宋体"/>
          <w:snapToGrid w:val="0"/>
          <w:color w:val="000000"/>
          <w:spacing w:val="50"/>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改变合同中任何一项工作的质量要求或其他特性；</w:t>
      </w:r>
    </w:p>
    <w:p w14:paraId="7EC468B8">
      <w:pPr>
        <w:kinsoku w:val="0"/>
        <w:autoSpaceDE w:val="0"/>
        <w:autoSpaceDN w:val="0"/>
        <w:adjustRightInd w:val="0"/>
        <w:snapToGrid w:val="0"/>
        <w:spacing w:before="164" w:line="240" w:lineRule="auto"/>
        <w:ind w:left="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（3）</w:t>
      </w:r>
      <w:r>
        <w:rPr>
          <w:rFonts w:ascii="宋体" w:hAnsi="宋体" w:eastAsia="宋体" w:cs="宋体"/>
          <w:snapToGrid w:val="0"/>
          <w:color w:val="000000"/>
          <w:spacing w:val="5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发包人迟延提供材料、工程设备或变更交货地点的；</w:t>
      </w:r>
    </w:p>
    <w:p w14:paraId="35E08771">
      <w:pPr>
        <w:kinsoku w:val="0"/>
        <w:autoSpaceDE w:val="0"/>
        <w:autoSpaceDN w:val="0"/>
        <w:adjustRightInd w:val="0"/>
        <w:snapToGrid w:val="0"/>
        <w:spacing w:before="163" w:line="240" w:lineRule="auto"/>
        <w:ind w:left="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（4）</w:t>
      </w:r>
      <w:r>
        <w:rPr>
          <w:rFonts w:ascii="宋体" w:hAnsi="宋体" w:eastAsia="宋体" w:cs="宋体"/>
          <w:snapToGrid w:val="0"/>
          <w:color w:val="000000"/>
          <w:spacing w:val="3"/>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因发包人原因导致的暂停施工；</w:t>
      </w:r>
    </w:p>
    <w:p w14:paraId="4B3071C1">
      <w:pPr>
        <w:kinsoku w:val="0"/>
        <w:autoSpaceDE w:val="0"/>
        <w:autoSpaceDN w:val="0"/>
        <w:adjustRightInd w:val="0"/>
        <w:snapToGrid w:val="0"/>
        <w:spacing w:before="160" w:line="240" w:lineRule="auto"/>
        <w:ind w:left="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20"/>
          <w:szCs w:val="20"/>
          <w:lang w:val="en-US" w:eastAsia="en-US" w:bidi="ar-SA"/>
        </w:rPr>
        <w:t>（5）</w:t>
      </w:r>
      <w:r>
        <w:rPr>
          <w:rFonts w:ascii="宋体" w:hAnsi="宋体" w:eastAsia="宋体" w:cs="宋体"/>
          <w:snapToGrid w:val="0"/>
          <w:color w:val="000000"/>
          <w:spacing w:val="42"/>
          <w:kern w:val="0"/>
          <w:sz w:val="20"/>
          <w:szCs w:val="20"/>
          <w:lang w:val="en-US" w:eastAsia="en-US" w:bidi="ar-SA"/>
        </w:rPr>
        <w:t xml:space="preserve">  </w:t>
      </w:r>
      <w:r>
        <w:rPr>
          <w:rFonts w:ascii="宋体" w:hAnsi="宋体" w:eastAsia="宋体" w:cs="宋体"/>
          <w:snapToGrid w:val="0"/>
          <w:color w:val="000000"/>
          <w:spacing w:val="4"/>
          <w:kern w:val="0"/>
          <w:sz w:val="20"/>
          <w:szCs w:val="20"/>
          <w:lang w:val="en-US" w:eastAsia="en-US" w:bidi="ar-SA"/>
        </w:rPr>
        <w:t>提供图纸延误；</w:t>
      </w:r>
    </w:p>
    <w:p w14:paraId="1BC0A855">
      <w:pPr>
        <w:kinsoku w:val="0"/>
        <w:autoSpaceDE w:val="0"/>
        <w:autoSpaceDN w:val="0"/>
        <w:adjustRightInd w:val="0"/>
        <w:snapToGrid w:val="0"/>
        <w:spacing w:before="162" w:line="240" w:lineRule="auto"/>
        <w:ind w:left="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（6）</w:t>
      </w:r>
      <w:r>
        <w:rPr>
          <w:rFonts w:ascii="宋体" w:hAnsi="宋体" w:eastAsia="宋体" w:cs="宋体"/>
          <w:snapToGrid w:val="0"/>
          <w:color w:val="000000"/>
          <w:spacing w:val="44"/>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未按合同约定及时支付预付款、进度款；</w:t>
      </w:r>
    </w:p>
    <w:p w14:paraId="695FD777">
      <w:pPr>
        <w:kinsoku w:val="0"/>
        <w:autoSpaceDE w:val="0"/>
        <w:autoSpaceDN w:val="0"/>
        <w:adjustRightInd w:val="0"/>
        <w:snapToGrid w:val="0"/>
        <w:spacing w:before="162" w:line="240" w:lineRule="auto"/>
        <w:ind w:left="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（7）</w:t>
      </w:r>
      <w:r>
        <w:rPr>
          <w:rFonts w:ascii="宋体" w:hAnsi="宋体" w:eastAsia="宋体" w:cs="宋体"/>
          <w:snapToGrid w:val="0"/>
          <w:color w:val="000000"/>
          <w:spacing w:val="48"/>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发包人造成工期延误的其他原因。</w:t>
      </w:r>
    </w:p>
    <w:p w14:paraId="2EDE2C55">
      <w:pPr>
        <w:kinsoku w:val="0"/>
        <w:autoSpaceDE w:val="0"/>
        <w:autoSpaceDN w:val="0"/>
        <w:adjustRightInd w:val="0"/>
        <w:snapToGrid w:val="0"/>
        <w:spacing w:before="165" w:line="240" w:lineRule="auto"/>
        <w:ind w:left="50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11.4</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异常恶劣的气候条件</w:t>
      </w:r>
    </w:p>
    <w:p w14:paraId="6A3248C6">
      <w:pPr>
        <w:kinsoku w:val="0"/>
        <w:autoSpaceDE w:val="0"/>
        <w:autoSpaceDN w:val="0"/>
        <w:adjustRightInd w:val="0"/>
        <w:snapToGrid w:val="0"/>
        <w:spacing w:before="180" w:line="240" w:lineRule="auto"/>
        <w:ind w:left="4" w:right="192" w:firstLine="44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由于出现专用合同条款规定的异常恶劣气候的条件导致工期延误的，承包人有权要求发包人延长工</w:t>
      </w:r>
      <w:r>
        <w:rPr>
          <w:rFonts w:ascii="宋体" w:hAnsi="宋体" w:eastAsia="宋体" w:cs="宋体"/>
          <w:snapToGrid w:val="0"/>
          <w:color w:val="000000"/>
          <w:spacing w:val="-1"/>
          <w:kern w:val="0"/>
          <w:sz w:val="20"/>
          <w:szCs w:val="20"/>
          <w:lang w:val="en-US" w:eastAsia="en-US" w:bidi="ar-SA"/>
        </w:rPr>
        <w:t>期。</w:t>
      </w:r>
    </w:p>
    <w:p w14:paraId="2F2AA9E9">
      <w:pPr>
        <w:kinsoku w:val="0"/>
        <w:autoSpaceDE w:val="0"/>
        <w:autoSpaceDN w:val="0"/>
        <w:adjustRightInd w:val="0"/>
        <w:snapToGrid w:val="0"/>
        <w:spacing w:before="1" w:line="240" w:lineRule="auto"/>
        <w:ind w:left="50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11.5</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承包人的工期延误</w:t>
      </w:r>
    </w:p>
    <w:p w14:paraId="5D7F548C">
      <w:pPr>
        <w:kinsoku w:val="0"/>
        <w:autoSpaceDE w:val="0"/>
        <w:autoSpaceDN w:val="0"/>
        <w:adjustRightInd w:val="0"/>
        <w:snapToGrid w:val="0"/>
        <w:spacing w:before="177" w:line="240" w:lineRule="auto"/>
        <w:ind w:left="1" w:firstLine="445"/>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由于承包人原因，未能按合同进度计划完成工作，或监理人认</w:t>
      </w:r>
      <w:r>
        <w:rPr>
          <w:rFonts w:ascii="宋体" w:hAnsi="宋体" w:eastAsia="宋体" w:cs="宋体"/>
          <w:snapToGrid w:val="0"/>
          <w:color w:val="000000"/>
          <w:spacing w:val="13"/>
          <w:kern w:val="0"/>
          <w:sz w:val="20"/>
          <w:szCs w:val="20"/>
          <w:lang w:val="en-US" w:eastAsia="en-US" w:bidi="ar-SA"/>
        </w:rPr>
        <w:t>为承包人施工进度不能满足合同工期要求的，承包人应采取措施加快进度，并承担加快进度所增加的费用。</w:t>
      </w:r>
      <w:r>
        <w:rPr>
          <w:rFonts w:ascii="宋体" w:hAnsi="宋体" w:eastAsia="宋体" w:cs="宋体"/>
          <w:snapToGrid w:val="0"/>
          <w:color w:val="000000"/>
          <w:spacing w:val="-54"/>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由于承包人原因造成工期延误，</w:t>
      </w:r>
      <w:r>
        <w:rPr>
          <w:rFonts w:ascii="宋体" w:hAnsi="宋体" w:eastAsia="宋体" w:cs="宋体"/>
          <w:snapToGrid w:val="0"/>
          <w:color w:val="000000"/>
          <w:spacing w:val="14"/>
          <w:kern w:val="0"/>
          <w:sz w:val="20"/>
          <w:szCs w:val="20"/>
          <w:lang w:val="en-US" w:eastAsia="en-US" w:bidi="ar-SA"/>
        </w:rPr>
        <w:t>承包人应支付逾期竣工违约金。逾期竣工违约金的计算方法在专用合同条款中约定。承包人支付逾期竣</w:t>
      </w:r>
    </w:p>
    <w:p w14:paraId="364114D2">
      <w:pPr>
        <w:kinsoku w:val="0"/>
        <w:autoSpaceDE w:val="0"/>
        <w:autoSpaceDN w:val="0"/>
        <w:adjustRightInd w:val="0"/>
        <w:snapToGrid w:val="0"/>
        <w:spacing w:before="41" w:line="240" w:lineRule="auto"/>
        <w:ind w:left="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工违约金，不免除承包人完成工程及修补缺陷的义务。</w:t>
      </w:r>
    </w:p>
    <w:p w14:paraId="21D0BF31">
      <w:pPr>
        <w:kinsoku w:val="0"/>
        <w:autoSpaceDE w:val="0"/>
        <w:autoSpaceDN w:val="0"/>
        <w:adjustRightInd w:val="0"/>
        <w:snapToGrid w:val="0"/>
        <w:spacing w:before="166"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11.6</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工期提前</w:t>
      </w:r>
    </w:p>
    <w:p w14:paraId="64AF2D5C">
      <w:pPr>
        <w:kinsoku w:val="0"/>
        <w:autoSpaceDE w:val="0"/>
        <w:autoSpaceDN w:val="0"/>
        <w:adjustRightInd w:val="0"/>
        <w:snapToGrid w:val="0"/>
        <w:spacing w:before="175" w:line="240" w:lineRule="auto"/>
        <w:ind w:left="2" w:firstLine="421"/>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发包人要求承包人提前竣工，或承包人提出提前竣工的建议能够给发包人带来效益的，应由监理人</w:t>
      </w:r>
      <w:r>
        <w:rPr>
          <w:rFonts w:ascii="宋体" w:hAnsi="宋体" w:eastAsia="宋体" w:cs="宋体"/>
          <w:snapToGrid w:val="0"/>
          <w:color w:val="000000"/>
          <w:spacing w:val="19"/>
          <w:kern w:val="0"/>
          <w:sz w:val="20"/>
          <w:szCs w:val="20"/>
          <w:lang w:val="en-US" w:eastAsia="en-US" w:bidi="ar-SA"/>
        </w:rPr>
        <w:t>与承包人共同协商采取加快工程进度的措施和修订合同进度计划。发包人应承担承包</w:t>
      </w:r>
      <w:r>
        <w:rPr>
          <w:rFonts w:ascii="宋体" w:hAnsi="宋体" w:eastAsia="宋体" w:cs="宋体"/>
          <w:snapToGrid w:val="0"/>
          <w:color w:val="000000"/>
          <w:spacing w:val="18"/>
          <w:kern w:val="0"/>
          <w:sz w:val="20"/>
          <w:szCs w:val="20"/>
          <w:lang w:val="en-US" w:eastAsia="en-US" w:bidi="ar-SA"/>
        </w:rPr>
        <w:t>人由此增加的费</w:t>
      </w:r>
      <w:r>
        <w:rPr>
          <w:rFonts w:ascii="宋体" w:hAnsi="宋体" w:eastAsia="宋体" w:cs="宋体"/>
          <w:snapToGrid w:val="0"/>
          <w:color w:val="000000"/>
          <w:spacing w:val="9"/>
          <w:kern w:val="0"/>
          <w:sz w:val="20"/>
          <w:szCs w:val="20"/>
          <w:lang w:val="en-US" w:eastAsia="en-US" w:bidi="ar-SA"/>
        </w:rPr>
        <w:t>用，并向承包人支付专用合同条款约定的相应奖金。</w:t>
      </w:r>
    </w:p>
    <w:p w14:paraId="67A911F3">
      <w:pPr>
        <w:kinsoku w:val="0"/>
        <w:autoSpaceDE w:val="0"/>
        <w:autoSpaceDN w:val="0"/>
        <w:adjustRightInd w:val="0"/>
        <w:snapToGrid w:val="0"/>
        <w:spacing w:before="4" w:line="240" w:lineRule="auto"/>
        <w:ind w:left="4122"/>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5"/>
          <w:szCs w:val="25"/>
          <w:lang w:val="en-US" w:eastAsia="en-US" w:bidi="ar-SA"/>
        </w:rPr>
        <w:t>12.</w:t>
      </w:r>
      <w:r>
        <w:rPr>
          <w:rFonts w:ascii="宋体" w:hAnsi="宋体" w:eastAsia="宋体" w:cs="宋体"/>
          <w:snapToGrid w:val="0"/>
          <w:color w:val="000000"/>
          <w:spacing w:val="23"/>
          <w:kern w:val="0"/>
          <w:sz w:val="25"/>
          <w:szCs w:val="25"/>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暂停施工</w:t>
      </w:r>
    </w:p>
    <w:p w14:paraId="1448D513">
      <w:pPr>
        <w:kinsoku w:val="0"/>
        <w:autoSpaceDE w:val="0"/>
        <w:autoSpaceDN w:val="0"/>
        <w:adjustRightInd w:val="0"/>
        <w:snapToGrid w:val="0"/>
        <w:spacing w:before="177"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12.1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承包人暂停施工的责任</w:t>
      </w:r>
    </w:p>
    <w:p w14:paraId="6A09AE0E">
      <w:pPr>
        <w:kinsoku w:val="0"/>
        <w:autoSpaceDE w:val="0"/>
        <w:autoSpaceDN w:val="0"/>
        <w:adjustRightInd w:val="0"/>
        <w:snapToGrid w:val="0"/>
        <w:spacing w:before="177" w:line="240" w:lineRule="auto"/>
        <w:ind w:left="43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因下列暂停施工增加的费用和（或）工期延误由承包人承担：</w:t>
      </w:r>
    </w:p>
    <w:p w14:paraId="7A07A709">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w:t>
      </w:r>
      <w:r>
        <w:rPr>
          <w:rFonts w:ascii="宋体" w:hAnsi="宋体" w:eastAsia="宋体" w:cs="宋体"/>
          <w:snapToGrid w:val="0"/>
          <w:color w:val="000000"/>
          <w:spacing w:val="44"/>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承包人违约引起的暂停施工；</w:t>
      </w:r>
    </w:p>
    <w:p w14:paraId="413D948A">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（2）</w:t>
      </w:r>
      <w:r>
        <w:rPr>
          <w:rFonts w:ascii="宋体" w:hAnsi="宋体" w:eastAsia="宋体" w:cs="宋体"/>
          <w:snapToGrid w:val="0"/>
          <w:color w:val="000000"/>
          <w:spacing w:val="6"/>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由于承包人原因为工程合理施工和安全保障所必需的暂停施工；</w:t>
      </w:r>
    </w:p>
    <w:p w14:paraId="62A1D59C">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（3）</w:t>
      </w:r>
      <w:r>
        <w:rPr>
          <w:rFonts w:ascii="宋体" w:hAnsi="宋体" w:eastAsia="宋体" w:cs="宋体"/>
          <w:snapToGrid w:val="0"/>
          <w:color w:val="000000"/>
          <w:spacing w:val="45"/>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承包人擅自暂停施工；</w:t>
      </w:r>
    </w:p>
    <w:p w14:paraId="23009268">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（4）</w:t>
      </w:r>
      <w:r>
        <w:rPr>
          <w:rFonts w:ascii="宋体" w:hAnsi="宋体" w:eastAsia="宋体" w:cs="宋体"/>
          <w:snapToGrid w:val="0"/>
          <w:color w:val="000000"/>
          <w:spacing w:val="48"/>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承包人其他原因引起的暂停施工；</w:t>
      </w:r>
    </w:p>
    <w:p w14:paraId="00A865AB">
      <w:pPr>
        <w:kinsoku w:val="0"/>
        <w:autoSpaceDE w:val="0"/>
        <w:autoSpaceDN w:val="0"/>
        <w:adjustRightInd w:val="0"/>
        <w:snapToGrid w:val="0"/>
        <w:spacing w:before="164"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（5）</w:t>
      </w:r>
      <w:r>
        <w:rPr>
          <w:rFonts w:ascii="宋体" w:hAnsi="宋体" w:eastAsia="宋体" w:cs="宋体"/>
          <w:snapToGrid w:val="0"/>
          <w:color w:val="000000"/>
          <w:spacing w:val="50"/>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专用合同条款约定由承包人承担的其他暂停施工。</w:t>
      </w:r>
    </w:p>
    <w:p w14:paraId="6DF101B4">
      <w:pPr>
        <w:kinsoku w:val="0"/>
        <w:autoSpaceDE w:val="0"/>
        <w:autoSpaceDN w:val="0"/>
        <w:adjustRightInd w:val="0"/>
        <w:snapToGrid w:val="0"/>
        <w:spacing w:before="166"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12.2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发包人暂停施工的责任</w:t>
      </w:r>
    </w:p>
    <w:p w14:paraId="7F1F5248">
      <w:pPr>
        <w:kinsoku w:val="0"/>
        <w:autoSpaceDE w:val="0"/>
        <w:autoSpaceDN w:val="0"/>
        <w:adjustRightInd w:val="0"/>
        <w:snapToGrid w:val="0"/>
        <w:spacing w:before="176" w:line="240" w:lineRule="auto"/>
        <w:ind w:left="2" w:right="192" w:firstLine="44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由于发包人原因引起的暂停施工造成工期延误的，承包人有权要求发包人延长工期和（或）增加费</w:t>
      </w:r>
      <w:r>
        <w:rPr>
          <w:rFonts w:ascii="宋体" w:hAnsi="宋体" w:eastAsia="宋体" w:cs="宋体"/>
          <w:snapToGrid w:val="0"/>
          <w:color w:val="000000"/>
          <w:spacing w:val="7"/>
          <w:kern w:val="0"/>
          <w:sz w:val="20"/>
          <w:szCs w:val="20"/>
          <w:lang w:val="en-US" w:eastAsia="en-US" w:bidi="ar-SA"/>
        </w:rPr>
        <w:t>用，并支付合理利润。</w:t>
      </w:r>
    </w:p>
    <w:p w14:paraId="490E66B3">
      <w:pPr>
        <w:kinsoku w:val="0"/>
        <w:autoSpaceDE w:val="0"/>
        <w:autoSpaceDN w:val="0"/>
        <w:adjustRightInd w:val="0"/>
        <w:snapToGrid w:val="0"/>
        <w:spacing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12.3</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监理人暂停施工指示</w:t>
      </w:r>
    </w:p>
    <w:p w14:paraId="6B74784D">
      <w:pPr>
        <w:kinsoku w:val="0"/>
        <w:autoSpaceDE w:val="0"/>
        <w:autoSpaceDN w:val="0"/>
        <w:adjustRightInd w:val="0"/>
        <w:snapToGrid w:val="0"/>
        <w:spacing w:before="175" w:line="240" w:lineRule="auto"/>
        <w:ind w:left="3" w:firstLine="4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12.3.1   监理人认为有必要时，可向承包人作出暂停施工的指示，承包人应</w:t>
      </w:r>
      <w:r>
        <w:rPr>
          <w:rFonts w:ascii="宋体" w:hAnsi="宋体" w:eastAsia="宋体" w:cs="宋体"/>
          <w:snapToGrid w:val="0"/>
          <w:color w:val="000000"/>
          <w:spacing w:val="14"/>
          <w:kern w:val="0"/>
          <w:sz w:val="20"/>
          <w:szCs w:val="20"/>
          <w:lang w:val="en-US" w:eastAsia="en-US" w:bidi="ar-SA"/>
        </w:rPr>
        <w:t>按监理人指示暂停施</w:t>
      </w:r>
      <w:r>
        <w:rPr>
          <w:rFonts w:ascii="宋体" w:hAnsi="宋体" w:eastAsia="宋体" w:cs="宋体"/>
          <w:snapToGrid w:val="0"/>
          <w:color w:val="000000"/>
          <w:spacing w:val="10"/>
          <w:kern w:val="0"/>
          <w:sz w:val="20"/>
          <w:szCs w:val="20"/>
          <w:lang w:val="en-US" w:eastAsia="en-US" w:bidi="ar-SA"/>
        </w:rPr>
        <w:t>工。不论由于何种原因引起的暂停施工，暂停施</w:t>
      </w:r>
      <w:r>
        <w:rPr>
          <w:rFonts w:ascii="宋体" w:hAnsi="宋体" w:eastAsia="宋体" w:cs="宋体"/>
          <w:snapToGrid w:val="0"/>
          <w:color w:val="000000"/>
          <w:spacing w:val="9"/>
          <w:kern w:val="0"/>
          <w:sz w:val="20"/>
          <w:szCs w:val="20"/>
          <w:lang w:val="en-US" w:eastAsia="en-US" w:bidi="ar-SA"/>
        </w:rPr>
        <w:t>工期间承包人应负责妥善保护工程并提供安全保障。</w:t>
      </w:r>
    </w:p>
    <w:p w14:paraId="473ADE09">
      <w:pPr>
        <w:kinsoku w:val="0"/>
        <w:autoSpaceDE w:val="0"/>
        <w:autoSpaceDN w:val="0"/>
        <w:adjustRightInd w:val="0"/>
        <w:snapToGrid w:val="0"/>
        <w:spacing w:before="162" w:line="240" w:lineRule="auto"/>
        <w:ind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12.3.2</w:t>
      </w:r>
      <w:r>
        <w:rPr>
          <w:rFonts w:ascii="宋体" w:hAnsi="宋体" w:eastAsia="宋体" w:cs="宋体"/>
          <w:snapToGrid w:val="0"/>
          <w:color w:val="000000"/>
          <w:spacing w:val="6"/>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由于发包人的原因发生暂停施工的紧急情况，且监理人未及时下达暂停施工指示的，承</w:t>
      </w:r>
      <w:r>
        <w:rPr>
          <w:rFonts w:ascii="宋体" w:hAnsi="宋体" w:eastAsia="宋体" w:cs="宋体"/>
          <w:snapToGrid w:val="0"/>
          <w:color w:val="000000"/>
          <w:spacing w:val="14"/>
          <w:kern w:val="0"/>
          <w:sz w:val="20"/>
          <w:szCs w:val="20"/>
          <w:lang w:val="en-US" w:eastAsia="en-US" w:bidi="ar-SA"/>
        </w:rPr>
        <w:t>包人可先暂停施工，并及时向监理人提出暂停</w:t>
      </w:r>
      <w:r>
        <w:rPr>
          <w:rFonts w:ascii="宋体" w:hAnsi="宋体" w:eastAsia="宋体" w:cs="宋体"/>
          <w:snapToGrid w:val="0"/>
          <w:color w:val="000000"/>
          <w:spacing w:val="13"/>
          <w:kern w:val="0"/>
          <w:sz w:val="20"/>
          <w:szCs w:val="20"/>
          <w:lang w:val="en-US" w:eastAsia="en-US" w:bidi="ar-SA"/>
        </w:rPr>
        <w:t>施工的书面请求。监理人应在接到书面请求后的 24 小时</w:t>
      </w:r>
      <w:r>
        <w:rPr>
          <w:rFonts w:ascii="宋体" w:hAnsi="宋体" w:eastAsia="宋体" w:cs="宋体"/>
          <w:snapToGrid w:val="0"/>
          <w:color w:val="000000"/>
          <w:spacing w:val="9"/>
          <w:kern w:val="0"/>
          <w:sz w:val="20"/>
          <w:szCs w:val="20"/>
          <w:lang w:val="en-US" w:eastAsia="en-US" w:bidi="ar-SA"/>
        </w:rPr>
        <w:t>内予以答复，逾期未答复的，视为同意承包人的暂停施工请求。</w:t>
      </w:r>
    </w:p>
    <w:p w14:paraId="7EDB9A8D">
      <w:pPr>
        <w:kinsoku w:val="0"/>
        <w:autoSpaceDE w:val="0"/>
        <w:autoSpaceDN w:val="0"/>
        <w:adjustRightInd w:val="0"/>
        <w:snapToGrid w:val="0"/>
        <w:spacing w:before="168"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12.4</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暂停施工后的复工</w:t>
      </w:r>
    </w:p>
    <w:p w14:paraId="304A16C6">
      <w:pPr>
        <w:kinsoku w:val="0"/>
        <w:autoSpaceDE w:val="0"/>
        <w:autoSpaceDN w:val="0"/>
        <w:adjustRightInd w:val="0"/>
        <w:snapToGrid w:val="0"/>
        <w:spacing w:before="174" w:line="240" w:lineRule="auto"/>
        <w:ind w:left="5" w:right="66" w:firstLine="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12.4.1</w:t>
      </w:r>
      <w:r>
        <w:rPr>
          <w:rFonts w:ascii="宋体" w:hAnsi="宋体" w:eastAsia="宋体" w:cs="宋体"/>
          <w:snapToGrid w:val="0"/>
          <w:color w:val="000000"/>
          <w:spacing w:val="3"/>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暂停施工后，监理人应与发包人和承包人协商，采取有效措施积极消除暂停施工的影响。</w:t>
      </w:r>
      <w:r>
        <w:rPr>
          <w:rFonts w:ascii="宋体" w:hAnsi="宋体" w:eastAsia="宋体" w:cs="宋体"/>
          <w:snapToGrid w:val="0"/>
          <w:color w:val="000000"/>
          <w:spacing w:val="10"/>
          <w:kern w:val="0"/>
          <w:sz w:val="20"/>
          <w:szCs w:val="20"/>
          <w:lang w:val="en-US" w:eastAsia="en-US" w:bidi="ar-SA"/>
        </w:rPr>
        <w:t>当工程具备复工条件时，监理人应立即向承包人发出复工通知。承</w:t>
      </w:r>
      <w:r>
        <w:rPr>
          <w:rFonts w:ascii="宋体" w:hAnsi="宋体" w:eastAsia="宋体" w:cs="宋体"/>
          <w:snapToGrid w:val="0"/>
          <w:color w:val="000000"/>
          <w:spacing w:val="9"/>
          <w:kern w:val="0"/>
          <w:sz w:val="20"/>
          <w:szCs w:val="20"/>
          <w:lang w:val="en-US" w:eastAsia="en-US" w:bidi="ar-SA"/>
        </w:rPr>
        <w:t>包人收到复工通知后，应在监理人指</w:t>
      </w:r>
      <w:r>
        <w:rPr>
          <w:rFonts w:ascii="宋体" w:hAnsi="宋体" w:eastAsia="宋体" w:cs="宋体"/>
          <w:snapToGrid w:val="0"/>
          <w:color w:val="000000"/>
          <w:spacing w:val="6"/>
          <w:kern w:val="0"/>
          <w:sz w:val="20"/>
          <w:szCs w:val="20"/>
          <w:lang w:val="en-US" w:eastAsia="en-US" w:bidi="ar-SA"/>
        </w:rPr>
        <w:t>定的期限内复工。</w:t>
      </w:r>
    </w:p>
    <w:p w14:paraId="5358A632">
      <w:pPr>
        <w:kinsoku w:val="0"/>
        <w:autoSpaceDE w:val="0"/>
        <w:autoSpaceDN w:val="0"/>
        <w:adjustRightInd w:val="0"/>
        <w:snapToGrid w:val="0"/>
        <w:spacing w:before="162" w:line="240" w:lineRule="auto"/>
        <w:ind w:left="17" w:right="242"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12.4.2</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承包人无故拖延和拒绝复工的，</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由此增加的费用和工期延误由承包人承担；因发包人原</w:t>
      </w:r>
      <w:r>
        <w:rPr>
          <w:rFonts w:ascii="宋体" w:hAnsi="宋体" w:eastAsia="宋体" w:cs="宋体"/>
          <w:snapToGrid w:val="0"/>
          <w:color w:val="000000"/>
          <w:spacing w:val="9"/>
          <w:kern w:val="0"/>
          <w:sz w:val="20"/>
          <w:szCs w:val="20"/>
          <w:lang w:val="en-US" w:eastAsia="en-US" w:bidi="ar-SA"/>
        </w:rPr>
        <w:t>因无法按时复工的，承包人有权要求发包人延长工期和（或）增加费用，并支付合理利润。</w:t>
      </w:r>
    </w:p>
    <w:p w14:paraId="5665D98B">
      <w:pPr>
        <w:kinsoku w:val="0"/>
        <w:autoSpaceDE w:val="0"/>
        <w:autoSpaceDN w:val="0"/>
        <w:adjustRightInd w:val="0"/>
        <w:snapToGrid w:val="0"/>
        <w:spacing w:before="166"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4"/>
          <w:szCs w:val="24"/>
          <w:lang w:val="en-US" w:eastAsia="en-US" w:bidi="ar-SA"/>
        </w:rPr>
        <w:t>12.5</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暂停施工持续</w:t>
      </w:r>
      <w:r>
        <w:rPr>
          <w:rFonts w:ascii="宋体" w:hAnsi="宋体" w:eastAsia="宋体" w:cs="宋体"/>
          <w:snapToGrid w:val="0"/>
          <w:color w:val="000000"/>
          <w:spacing w:val="25"/>
          <w:kern w:val="0"/>
          <w:sz w:val="24"/>
          <w:szCs w:val="24"/>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56</w:t>
      </w:r>
      <w:r>
        <w:rPr>
          <w:rFonts w:ascii="宋体" w:hAnsi="宋体" w:eastAsia="宋体" w:cs="宋体"/>
          <w:snapToGrid w:val="0"/>
          <w:color w:val="000000"/>
          <w:spacing w:val="14"/>
          <w:kern w:val="0"/>
          <w:sz w:val="24"/>
          <w:szCs w:val="24"/>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天以上</w:t>
      </w:r>
    </w:p>
    <w:p w14:paraId="43F4E3EE">
      <w:pPr>
        <w:kinsoku w:val="0"/>
        <w:autoSpaceDE w:val="0"/>
        <w:autoSpaceDN w:val="0"/>
        <w:adjustRightInd w:val="0"/>
        <w:snapToGrid w:val="0"/>
        <w:spacing w:before="178" w:line="240" w:lineRule="auto"/>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7"/>
          <w:kern w:val="0"/>
          <w:sz w:val="20"/>
          <w:szCs w:val="20"/>
          <w:lang w:val="en-US" w:eastAsia="en-US" w:bidi="ar-SA"/>
        </w:rPr>
        <w:t>12.5.1   监理人发出暂停施工指示后</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17"/>
          <w:kern w:val="0"/>
          <w:sz w:val="20"/>
          <w:szCs w:val="20"/>
          <w:lang w:val="en-US" w:eastAsia="en-US" w:bidi="ar-SA"/>
        </w:rPr>
        <w:t>56 天内未向承包人发出复工通知，</w:t>
      </w:r>
      <w:r>
        <w:rPr>
          <w:rFonts w:ascii="宋体" w:hAnsi="宋体" w:eastAsia="宋体" w:cs="宋体"/>
          <w:snapToGrid w:val="0"/>
          <w:color w:val="000000"/>
          <w:spacing w:val="-59"/>
          <w:kern w:val="0"/>
          <w:sz w:val="20"/>
          <w:szCs w:val="20"/>
          <w:lang w:val="en-US" w:eastAsia="en-US" w:bidi="ar-SA"/>
        </w:rPr>
        <w:t xml:space="preserve"> </w:t>
      </w:r>
      <w:r>
        <w:rPr>
          <w:rFonts w:ascii="宋体" w:hAnsi="宋体" w:eastAsia="宋体" w:cs="宋体"/>
          <w:snapToGrid w:val="0"/>
          <w:color w:val="000000"/>
          <w:spacing w:val="17"/>
          <w:kern w:val="0"/>
          <w:sz w:val="20"/>
          <w:szCs w:val="20"/>
          <w:lang w:val="en-US" w:eastAsia="en-US" w:bidi="ar-SA"/>
        </w:rPr>
        <w:t>除了该项停工属于第</w:t>
      </w:r>
    </w:p>
    <w:p w14:paraId="781391E7">
      <w:pPr>
        <w:kinsoku w:val="0"/>
        <w:autoSpaceDE w:val="0"/>
        <w:autoSpaceDN w:val="0"/>
        <w:adjustRightInd w:val="0"/>
        <w:snapToGrid w:val="0"/>
        <w:spacing w:before="163" w:line="240" w:lineRule="auto"/>
        <w:ind w:firstLine="16"/>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12.1 款的情况外，承包人可向监理人提交书面通知，要求监理人在收到书面通知后 28 天内准许已暂停</w:t>
      </w:r>
      <w:r>
        <w:rPr>
          <w:rFonts w:ascii="宋体" w:hAnsi="宋体" w:eastAsia="宋体" w:cs="宋体"/>
          <w:snapToGrid w:val="0"/>
          <w:color w:val="000000"/>
          <w:spacing w:val="14"/>
          <w:kern w:val="0"/>
          <w:sz w:val="20"/>
          <w:szCs w:val="20"/>
          <w:lang w:val="en-US" w:eastAsia="en-US" w:bidi="ar-SA"/>
        </w:rPr>
        <w:t>施工的工程或其中一部分工程继续施工。如监理人逾期不予批准，则承包人可以通知监理人，将工程受</w:t>
      </w:r>
      <w:r>
        <w:rPr>
          <w:rFonts w:ascii="宋体" w:hAnsi="宋体" w:eastAsia="宋体" w:cs="宋体"/>
          <w:snapToGrid w:val="0"/>
          <w:color w:val="000000"/>
          <w:spacing w:val="13"/>
          <w:kern w:val="0"/>
          <w:sz w:val="20"/>
          <w:szCs w:val="20"/>
          <w:lang w:val="en-US" w:eastAsia="en-US" w:bidi="ar-SA"/>
        </w:rPr>
        <w:t>影响的部分视为按第</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15.1（1）项的可取消工作。如暂停施工</w:t>
      </w:r>
      <w:r>
        <w:rPr>
          <w:rFonts w:ascii="宋体" w:hAnsi="宋体" w:eastAsia="宋体" w:cs="宋体"/>
          <w:snapToGrid w:val="0"/>
          <w:color w:val="000000"/>
          <w:spacing w:val="12"/>
          <w:kern w:val="0"/>
          <w:sz w:val="20"/>
          <w:szCs w:val="20"/>
          <w:lang w:val="en-US" w:eastAsia="en-US" w:bidi="ar-SA"/>
        </w:rPr>
        <w:t>影响到整个工程，可视为发包人违约，应</w:t>
      </w:r>
      <w:r>
        <w:rPr>
          <w:rFonts w:ascii="宋体" w:hAnsi="宋体" w:eastAsia="宋体" w:cs="宋体"/>
          <w:snapToGrid w:val="0"/>
          <w:color w:val="000000"/>
          <w:spacing w:val="6"/>
          <w:kern w:val="0"/>
          <w:sz w:val="20"/>
          <w:szCs w:val="20"/>
          <w:lang w:val="en-US" w:eastAsia="en-US" w:bidi="ar-SA"/>
        </w:rPr>
        <w:t>按第 22.2</w:t>
      </w:r>
      <w:r>
        <w:rPr>
          <w:rFonts w:ascii="宋体" w:hAnsi="宋体" w:eastAsia="宋体" w:cs="宋体"/>
          <w:snapToGrid w:val="0"/>
          <w:color w:val="000000"/>
          <w:spacing w:val="16"/>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款的规定办理。</w:t>
      </w:r>
    </w:p>
    <w:p w14:paraId="3562C465">
      <w:pPr>
        <w:kinsoku w:val="0"/>
        <w:autoSpaceDE w:val="0"/>
        <w:autoSpaceDN w:val="0"/>
        <w:adjustRightInd w:val="0"/>
        <w:snapToGrid w:val="0"/>
        <w:spacing w:before="40" w:line="240" w:lineRule="auto"/>
        <w:ind w:firstLine="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12.5.2    由于承包人责任引起的暂停施工，如承包人在收到监理人暂停施工</w:t>
      </w:r>
      <w:r>
        <w:rPr>
          <w:rFonts w:ascii="宋体" w:hAnsi="宋体" w:eastAsia="宋体" w:cs="宋体"/>
          <w:snapToGrid w:val="0"/>
          <w:color w:val="000000"/>
          <w:spacing w:val="7"/>
          <w:kern w:val="0"/>
          <w:sz w:val="20"/>
          <w:szCs w:val="20"/>
          <w:lang w:val="en-US" w:eastAsia="en-US" w:bidi="ar-SA"/>
        </w:rPr>
        <w:t>指示后 56 天内不认真</w:t>
      </w:r>
      <w:r>
        <w:rPr>
          <w:rFonts w:ascii="宋体" w:hAnsi="宋体" w:eastAsia="宋体" w:cs="宋体"/>
          <w:snapToGrid w:val="0"/>
          <w:color w:val="000000"/>
          <w:spacing w:val="9"/>
          <w:kern w:val="0"/>
          <w:sz w:val="20"/>
          <w:szCs w:val="20"/>
          <w:lang w:val="en-US" w:eastAsia="en-US" w:bidi="ar-SA"/>
        </w:rPr>
        <w:t>采取有效的复工措施，造成工期延误，可视为承包人违约，应按第 22.</w:t>
      </w:r>
      <w:r>
        <w:rPr>
          <w:rFonts w:ascii="宋体" w:hAnsi="宋体" w:eastAsia="宋体" w:cs="宋体"/>
          <w:snapToGrid w:val="0"/>
          <w:color w:val="000000"/>
          <w:spacing w:val="8"/>
          <w:kern w:val="0"/>
          <w:sz w:val="20"/>
          <w:szCs w:val="20"/>
          <w:lang w:val="en-US" w:eastAsia="en-US" w:bidi="ar-SA"/>
        </w:rPr>
        <w:t>1 款的规定办理。</w:t>
      </w:r>
    </w:p>
    <w:p w14:paraId="3CB470F8">
      <w:pPr>
        <w:kinsoku w:val="0"/>
        <w:autoSpaceDE w:val="0"/>
        <w:autoSpaceDN w:val="0"/>
        <w:adjustRightInd w:val="0"/>
        <w:snapToGrid w:val="0"/>
        <w:spacing w:before="8" w:line="240" w:lineRule="auto"/>
        <w:ind w:left="4122"/>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5"/>
          <w:szCs w:val="25"/>
          <w:lang w:val="en-US" w:eastAsia="en-US" w:bidi="ar-SA"/>
        </w:rPr>
        <w:t>13.</w:t>
      </w:r>
      <w:r>
        <w:rPr>
          <w:rFonts w:ascii="宋体" w:hAnsi="宋体" w:eastAsia="宋体" w:cs="宋体"/>
          <w:snapToGrid w:val="0"/>
          <w:color w:val="000000"/>
          <w:spacing w:val="21"/>
          <w:kern w:val="0"/>
          <w:sz w:val="25"/>
          <w:szCs w:val="25"/>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工程质量</w:t>
      </w:r>
    </w:p>
    <w:p w14:paraId="26450012">
      <w:pPr>
        <w:kinsoku w:val="0"/>
        <w:autoSpaceDE w:val="0"/>
        <w:autoSpaceDN w:val="0"/>
        <w:adjustRightInd w:val="0"/>
        <w:snapToGrid w:val="0"/>
        <w:spacing w:before="174"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13.1</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工程质量要求</w:t>
      </w:r>
    </w:p>
    <w:p w14:paraId="3A2B90E4">
      <w:pPr>
        <w:kinsoku w:val="0"/>
        <w:autoSpaceDE w:val="0"/>
        <w:autoSpaceDN w:val="0"/>
        <w:adjustRightInd w:val="0"/>
        <w:snapToGrid w:val="0"/>
        <w:spacing w:before="176"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13.1.1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工程质量验收按合同约定验收标准执行。</w:t>
      </w:r>
    </w:p>
    <w:p w14:paraId="0FFA2A8C">
      <w:pPr>
        <w:kinsoku w:val="0"/>
        <w:autoSpaceDE w:val="0"/>
        <w:autoSpaceDN w:val="0"/>
        <w:adjustRightInd w:val="0"/>
        <w:snapToGrid w:val="0"/>
        <w:spacing w:before="161" w:line="240" w:lineRule="auto"/>
        <w:ind w:left="2" w:right="242"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13.1.2</w:t>
      </w:r>
      <w:r>
        <w:rPr>
          <w:rFonts w:ascii="宋体" w:hAnsi="宋体" w:eastAsia="宋体" w:cs="宋体"/>
          <w:snapToGrid w:val="0"/>
          <w:color w:val="000000"/>
          <w:spacing w:val="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因承包人原因造成工程质量达不到合同约定验收标准的，监理人</w:t>
      </w:r>
      <w:r>
        <w:rPr>
          <w:rFonts w:ascii="宋体" w:hAnsi="宋体" w:eastAsia="宋体" w:cs="宋体"/>
          <w:snapToGrid w:val="0"/>
          <w:color w:val="000000"/>
          <w:spacing w:val="7"/>
          <w:kern w:val="0"/>
          <w:sz w:val="20"/>
          <w:szCs w:val="20"/>
          <w:lang w:val="en-US" w:eastAsia="en-US" w:bidi="ar-SA"/>
        </w:rPr>
        <w:t>有权要求承包人返工直</w:t>
      </w:r>
      <w:r>
        <w:rPr>
          <w:rFonts w:ascii="宋体" w:hAnsi="宋体" w:eastAsia="宋体" w:cs="宋体"/>
          <w:snapToGrid w:val="0"/>
          <w:color w:val="000000"/>
          <w:spacing w:val="8"/>
          <w:kern w:val="0"/>
          <w:sz w:val="20"/>
          <w:szCs w:val="20"/>
          <w:lang w:val="en-US" w:eastAsia="en-US" w:bidi="ar-SA"/>
        </w:rPr>
        <w:t>至符合合同要求为止，</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由此造成的费用增加和（或）工期延误由承包人承担。</w:t>
      </w:r>
    </w:p>
    <w:p w14:paraId="20DB78DA">
      <w:pPr>
        <w:kinsoku w:val="0"/>
        <w:autoSpaceDE w:val="0"/>
        <w:autoSpaceDN w:val="0"/>
        <w:adjustRightInd w:val="0"/>
        <w:snapToGrid w:val="0"/>
        <w:spacing w:before="162" w:line="240" w:lineRule="auto"/>
        <w:ind w:right="242" w:firstLine="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13.1.3</w:t>
      </w:r>
      <w:r>
        <w:rPr>
          <w:rFonts w:ascii="宋体" w:hAnsi="宋体" w:eastAsia="宋体" w:cs="宋体"/>
          <w:snapToGrid w:val="0"/>
          <w:color w:val="000000"/>
          <w:spacing w:val="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因发包人原因造成工程质量达不到合同约定验收标准的，发包人</w:t>
      </w:r>
      <w:r>
        <w:rPr>
          <w:rFonts w:ascii="宋体" w:hAnsi="宋体" w:eastAsia="宋体" w:cs="宋体"/>
          <w:snapToGrid w:val="0"/>
          <w:color w:val="000000"/>
          <w:spacing w:val="7"/>
          <w:kern w:val="0"/>
          <w:sz w:val="20"/>
          <w:szCs w:val="20"/>
          <w:lang w:val="en-US" w:eastAsia="en-US" w:bidi="ar-SA"/>
        </w:rPr>
        <w:t>应承担由于承包人返工</w:t>
      </w:r>
      <w:r>
        <w:rPr>
          <w:rFonts w:ascii="宋体" w:hAnsi="宋体" w:eastAsia="宋体" w:cs="宋体"/>
          <w:snapToGrid w:val="0"/>
          <w:color w:val="000000"/>
          <w:spacing w:val="9"/>
          <w:kern w:val="0"/>
          <w:sz w:val="20"/>
          <w:szCs w:val="20"/>
          <w:lang w:val="en-US" w:eastAsia="en-US" w:bidi="ar-SA"/>
        </w:rPr>
        <w:t>造成的费用增加和（或）工期延误，并支付承包人合理利润。</w:t>
      </w:r>
    </w:p>
    <w:p w14:paraId="13E739EB">
      <w:pPr>
        <w:kinsoku w:val="0"/>
        <w:autoSpaceDE w:val="0"/>
        <w:autoSpaceDN w:val="0"/>
        <w:adjustRightInd w:val="0"/>
        <w:snapToGrid w:val="0"/>
        <w:spacing w:before="167"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13.2</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承包人的质量管理</w:t>
      </w:r>
    </w:p>
    <w:p w14:paraId="25D6640E">
      <w:pPr>
        <w:kinsoku w:val="0"/>
        <w:autoSpaceDE w:val="0"/>
        <w:autoSpaceDN w:val="0"/>
        <w:adjustRightInd w:val="0"/>
        <w:snapToGrid w:val="0"/>
        <w:spacing w:before="175" w:line="240" w:lineRule="auto"/>
        <w:ind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13.2.1   承包人应在施工场地设置专门的质量检查机构，配备专职质量检查</w:t>
      </w:r>
      <w:r>
        <w:rPr>
          <w:rFonts w:ascii="宋体" w:hAnsi="宋体" w:eastAsia="宋体" w:cs="宋体"/>
          <w:snapToGrid w:val="0"/>
          <w:color w:val="000000"/>
          <w:spacing w:val="14"/>
          <w:kern w:val="0"/>
          <w:sz w:val="20"/>
          <w:szCs w:val="20"/>
          <w:lang w:val="en-US" w:eastAsia="en-US" w:bidi="ar-SA"/>
        </w:rPr>
        <w:t>人员，建立完善的质量检查制度。承包人应在合同约定的期限内，提交工程质量保证措施文件，包括质量检查机构的组织和</w:t>
      </w:r>
      <w:r>
        <w:rPr>
          <w:rFonts w:ascii="宋体" w:hAnsi="宋体" w:eastAsia="宋体" w:cs="宋体"/>
          <w:snapToGrid w:val="0"/>
          <w:color w:val="000000"/>
          <w:spacing w:val="9"/>
          <w:kern w:val="0"/>
          <w:sz w:val="20"/>
          <w:szCs w:val="20"/>
          <w:lang w:val="en-US" w:eastAsia="en-US" w:bidi="ar-SA"/>
        </w:rPr>
        <w:t>岗位责任、质检人员的组成、质量检查程序和实施细则等，报送监理人审批。</w:t>
      </w:r>
    </w:p>
    <w:p w14:paraId="3CB37625">
      <w:pPr>
        <w:kinsoku w:val="0"/>
        <w:autoSpaceDE w:val="0"/>
        <w:autoSpaceDN w:val="0"/>
        <w:adjustRightInd w:val="0"/>
        <w:snapToGrid w:val="0"/>
        <w:spacing w:before="161" w:line="240" w:lineRule="auto"/>
        <w:ind w:left="4" w:firstLine="43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13.2.2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承包人应加强对施工人员的质量教育和技术培训，定期考核施工人员的劳动技能</w:t>
      </w:r>
      <w:r>
        <w:rPr>
          <w:rFonts w:ascii="宋体" w:hAnsi="宋体" w:eastAsia="宋体" w:cs="宋体"/>
          <w:snapToGrid w:val="0"/>
          <w:color w:val="000000"/>
          <w:spacing w:val="8"/>
          <w:kern w:val="0"/>
          <w:sz w:val="20"/>
          <w:szCs w:val="20"/>
          <w:lang w:val="en-US" w:eastAsia="en-US" w:bidi="ar-SA"/>
        </w:rPr>
        <w:t>，严格执</w:t>
      </w:r>
      <w:r>
        <w:rPr>
          <w:rFonts w:ascii="宋体" w:hAnsi="宋体" w:eastAsia="宋体" w:cs="宋体"/>
          <w:snapToGrid w:val="0"/>
          <w:color w:val="000000"/>
          <w:spacing w:val="7"/>
          <w:kern w:val="0"/>
          <w:sz w:val="20"/>
          <w:szCs w:val="20"/>
          <w:lang w:val="en-US" w:eastAsia="en-US" w:bidi="ar-SA"/>
        </w:rPr>
        <w:t>行规范和操作规程。</w:t>
      </w:r>
    </w:p>
    <w:p w14:paraId="7132A889">
      <w:pPr>
        <w:kinsoku w:val="0"/>
        <w:autoSpaceDE w:val="0"/>
        <w:autoSpaceDN w:val="0"/>
        <w:adjustRightInd w:val="0"/>
        <w:snapToGrid w:val="0"/>
        <w:spacing w:before="167"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13.3</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承包人的质量检查</w:t>
      </w:r>
    </w:p>
    <w:p w14:paraId="572ACF39">
      <w:pPr>
        <w:kinsoku w:val="0"/>
        <w:autoSpaceDE w:val="0"/>
        <w:autoSpaceDN w:val="0"/>
        <w:adjustRightInd w:val="0"/>
        <w:snapToGrid w:val="0"/>
        <w:spacing w:before="178" w:line="240" w:lineRule="auto"/>
        <w:ind w:right="19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承包人应按合同约定对材料、工程设备以及工程的所有部位及其施工工艺</w:t>
      </w:r>
      <w:r>
        <w:rPr>
          <w:rFonts w:ascii="宋体" w:hAnsi="宋体" w:eastAsia="宋体" w:cs="宋体"/>
          <w:snapToGrid w:val="0"/>
          <w:color w:val="000000"/>
          <w:spacing w:val="9"/>
          <w:kern w:val="0"/>
          <w:sz w:val="20"/>
          <w:szCs w:val="20"/>
          <w:lang w:val="en-US" w:eastAsia="en-US" w:bidi="ar-SA"/>
        </w:rPr>
        <w:t>进行全过程的质量检查和检验，并作详细记录，编制工程质量报表，报送监理人审查。</w:t>
      </w:r>
    </w:p>
    <w:p w14:paraId="1F760F70">
      <w:pPr>
        <w:kinsoku w:val="0"/>
        <w:autoSpaceDE w:val="0"/>
        <w:autoSpaceDN w:val="0"/>
        <w:adjustRightInd w:val="0"/>
        <w:snapToGrid w:val="0"/>
        <w:spacing w:before="2"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13.4</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监理人的质量检查</w:t>
      </w:r>
    </w:p>
    <w:p w14:paraId="163B2D96">
      <w:pPr>
        <w:kinsoku w:val="0"/>
        <w:autoSpaceDE w:val="0"/>
        <w:autoSpaceDN w:val="0"/>
        <w:adjustRightInd w:val="0"/>
        <w:snapToGrid w:val="0"/>
        <w:spacing w:before="177" w:line="240" w:lineRule="auto"/>
        <w:ind w:left="1" w:firstLine="420"/>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w:t>
      </w:r>
      <w:r>
        <w:rPr>
          <w:rFonts w:ascii="宋体" w:hAnsi="宋体" w:eastAsia="宋体" w:cs="宋体"/>
          <w:snapToGrid w:val="0"/>
          <w:color w:val="000000"/>
          <w:spacing w:val="8"/>
          <w:kern w:val="0"/>
          <w:sz w:val="20"/>
          <w:szCs w:val="20"/>
          <w:lang w:val="en-US" w:eastAsia="en-US" w:bidi="ar-SA"/>
        </w:rPr>
        <w:t>不免除承包人按合同约定应负的责任。</w:t>
      </w:r>
    </w:p>
    <w:p w14:paraId="4BC9C520">
      <w:pPr>
        <w:kinsoku w:val="0"/>
        <w:autoSpaceDE w:val="0"/>
        <w:autoSpaceDN w:val="0"/>
        <w:adjustRightInd w:val="0"/>
        <w:snapToGrid w:val="0"/>
        <w:spacing w:before="1"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13.5</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工程隐蔽部位覆盖前的检查</w:t>
      </w:r>
    </w:p>
    <w:p w14:paraId="4AAECF6E">
      <w:pPr>
        <w:kinsoku w:val="0"/>
        <w:autoSpaceDE w:val="0"/>
        <w:autoSpaceDN w:val="0"/>
        <w:adjustRightInd w:val="0"/>
        <w:snapToGrid w:val="0"/>
        <w:spacing w:before="178"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13.5.1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通知监理人检查</w:t>
      </w:r>
    </w:p>
    <w:p w14:paraId="01894CE2">
      <w:pPr>
        <w:kinsoku w:val="0"/>
        <w:autoSpaceDE w:val="0"/>
        <w:autoSpaceDN w:val="0"/>
        <w:adjustRightInd w:val="0"/>
        <w:snapToGrid w:val="0"/>
        <w:spacing w:before="161" w:line="240" w:lineRule="auto"/>
        <w:ind w:left="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经承包人自检确认的工程隐蔽部位具备覆盖</w:t>
      </w:r>
      <w:r>
        <w:rPr>
          <w:rFonts w:ascii="宋体" w:hAnsi="宋体" w:eastAsia="宋体" w:cs="宋体"/>
          <w:snapToGrid w:val="0"/>
          <w:color w:val="000000"/>
          <w:spacing w:val="9"/>
          <w:kern w:val="0"/>
          <w:sz w:val="20"/>
          <w:szCs w:val="20"/>
          <w:lang w:val="en-US" w:eastAsia="en-US" w:bidi="ar-SA"/>
        </w:rPr>
        <w:t>条件后，承包人应通知监理人在约定的期限内检查。</w:t>
      </w:r>
    </w:p>
    <w:p w14:paraId="00DC66A4">
      <w:pPr>
        <w:kinsoku w:val="0"/>
        <w:autoSpaceDE w:val="0"/>
        <w:autoSpaceDN w:val="0"/>
        <w:adjustRightInd w:val="0"/>
        <w:snapToGrid w:val="0"/>
        <w:spacing w:before="160" w:line="240" w:lineRule="auto"/>
        <w:ind w:right="19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承包人的通知应附有自检记录和必要的检查资料。监理人应按时到场检查。经</w:t>
      </w:r>
      <w:r>
        <w:rPr>
          <w:rFonts w:ascii="宋体" w:hAnsi="宋体" w:eastAsia="宋体" w:cs="宋体"/>
          <w:snapToGrid w:val="0"/>
          <w:color w:val="000000"/>
          <w:spacing w:val="9"/>
          <w:kern w:val="0"/>
          <w:sz w:val="20"/>
          <w:szCs w:val="20"/>
          <w:lang w:val="en-US" w:eastAsia="en-US" w:bidi="ar-SA"/>
        </w:rPr>
        <w:t>监理人检查确认质量符合</w:t>
      </w:r>
      <w:r>
        <w:rPr>
          <w:rFonts w:ascii="宋体" w:hAnsi="宋体" w:eastAsia="宋体" w:cs="宋体"/>
          <w:snapToGrid w:val="0"/>
          <w:color w:val="000000"/>
          <w:spacing w:val="10"/>
          <w:kern w:val="0"/>
          <w:sz w:val="20"/>
          <w:szCs w:val="20"/>
          <w:lang w:val="en-US" w:eastAsia="en-US" w:bidi="ar-SA"/>
        </w:rPr>
        <w:t>隐蔽要求，并在检查记录上签字后，承包人才能进行覆盖。监理人检查确认</w:t>
      </w:r>
      <w:r>
        <w:rPr>
          <w:rFonts w:ascii="宋体" w:hAnsi="宋体" w:eastAsia="宋体" w:cs="宋体"/>
          <w:snapToGrid w:val="0"/>
          <w:color w:val="000000"/>
          <w:spacing w:val="9"/>
          <w:kern w:val="0"/>
          <w:sz w:val="20"/>
          <w:szCs w:val="20"/>
          <w:lang w:val="en-US" w:eastAsia="en-US" w:bidi="ar-SA"/>
        </w:rPr>
        <w:t>质量不合格的，承包人应在监理人指示的时间内修整返工后，由监理人重新检查。</w:t>
      </w:r>
    </w:p>
    <w:p w14:paraId="46E1BA15">
      <w:pPr>
        <w:kinsoku w:val="0"/>
        <w:autoSpaceDE w:val="0"/>
        <w:autoSpaceDN w:val="0"/>
        <w:adjustRightInd w:val="0"/>
        <w:snapToGrid w:val="0"/>
        <w:spacing w:before="1"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13.5.2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监理人未到场检查</w:t>
      </w:r>
    </w:p>
    <w:p w14:paraId="5E5C61D0">
      <w:pPr>
        <w:kinsoku w:val="0"/>
        <w:autoSpaceDE w:val="0"/>
        <w:autoSpaceDN w:val="0"/>
        <w:adjustRightInd w:val="0"/>
        <w:snapToGrid w:val="0"/>
        <w:spacing w:before="163" w:line="240" w:lineRule="auto"/>
        <w:ind w:left="422" w:right="403" w:hanging="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监理人未按第</w:t>
      </w:r>
      <w:r>
        <w:rPr>
          <w:rFonts w:ascii="宋体" w:hAnsi="宋体" w:eastAsia="宋体" w:cs="宋体"/>
          <w:snapToGrid w:val="0"/>
          <w:color w:val="000000"/>
          <w:spacing w:val="47"/>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13.5.1 项约定的时间进行检查的，除监理人另有指示外，承包人可自行完成覆盖</w:t>
      </w:r>
      <w:r>
        <w:rPr>
          <w:rFonts w:ascii="宋体" w:hAnsi="宋体" w:eastAsia="宋体" w:cs="宋体"/>
          <w:snapToGrid w:val="0"/>
          <w:color w:val="000000"/>
          <w:spacing w:val="10"/>
          <w:kern w:val="0"/>
          <w:sz w:val="20"/>
          <w:szCs w:val="20"/>
          <w:lang w:val="en-US" w:eastAsia="en-US" w:bidi="ar-SA"/>
        </w:rPr>
        <w:t>工作，并作相应记录报送监理人，监理人应签字确认。监理人</w:t>
      </w:r>
      <w:r>
        <w:rPr>
          <w:rFonts w:ascii="宋体" w:hAnsi="宋体" w:eastAsia="宋体" w:cs="宋体"/>
          <w:snapToGrid w:val="0"/>
          <w:color w:val="000000"/>
          <w:spacing w:val="9"/>
          <w:kern w:val="0"/>
          <w:sz w:val="20"/>
          <w:szCs w:val="20"/>
          <w:lang w:val="en-US" w:eastAsia="en-US" w:bidi="ar-SA"/>
        </w:rPr>
        <w:t>事后对检查记录有疑问的，可按第</w:t>
      </w:r>
    </w:p>
    <w:p w14:paraId="020EA990">
      <w:pPr>
        <w:kinsoku w:val="0"/>
        <w:autoSpaceDE w:val="0"/>
        <w:autoSpaceDN w:val="0"/>
        <w:adjustRightInd w:val="0"/>
        <w:snapToGrid w:val="0"/>
        <w:spacing w:line="240" w:lineRule="auto"/>
        <w:ind w:left="1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13.5.3 项的约定重新检查。</w:t>
      </w:r>
    </w:p>
    <w:p w14:paraId="777190C5">
      <w:pPr>
        <w:kinsoku w:val="0"/>
        <w:autoSpaceDE w:val="0"/>
        <w:autoSpaceDN w:val="0"/>
        <w:adjustRightInd w:val="0"/>
        <w:snapToGrid w:val="0"/>
        <w:spacing w:before="161"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13.5.3</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监理人重新检查</w:t>
      </w:r>
    </w:p>
    <w:p w14:paraId="59CE3E0B">
      <w:pPr>
        <w:kinsoku w:val="0"/>
        <w:autoSpaceDE w:val="0"/>
        <w:autoSpaceDN w:val="0"/>
        <w:adjustRightInd w:val="0"/>
        <w:snapToGrid w:val="0"/>
        <w:spacing w:before="42" w:line="240" w:lineRule="auto"/>
        <w:ind w:left="1"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承包人按第</w:t>
      </w:r>
      <w:r>
        <w:rPr>
          <w:rFonts w:ascii="宋体" w:hAnsi="宋体" w:eastAsia="宋体" w:cs="宋体"/>
          <w:snapToGrid w:val="0"/>
          <w:color w:val="000000"/>
          <w:spacing w:val="41"/>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13.5.1 项或第</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13.5.2 项覆盖工程隐蔽部位后，监理人对质量有疑问</w:t>
      </w:r>
      <w:r>
        <w:rPr>
          <w:rFonts w:ascii="宋体" w:hAnsi="宋体" w:eastAsia="宋体" w:cs="宋体"/>
          <w:snapToGrid w:val="0"/>
          <w:color w:val="000000"/>
          <w:spacing w:val="10"/>
          <w:kern w:val="0"/>
          <w:sz w:val="20"/>
          <w:szCs w:val="20"/>
          <w:lang w:val="en-US" w:eastAsia="en-US" w:bidi="ar-SA"/>
        </w:rPr>
        <w:t>的，可要求承包</w:t>
      </w:r>
      <w:r>
        <w:rPr>
          <w:rFonts w:ascii="宋体" w:hAnsi="宋体" w:eastAsia="宋体" w:cs="宋体"/>
          <w:snapToGrid w:val="0"/>
          <w:color w:val="000000"/>
          <w:spacing w:val="14"/>
          <w:kern w:val="0"/>
          <w:sz w:val="20"/>
          <w:szCs w:val="20"/>
          <w:lang w:val="en-US" w:eastAsia="en-US" w:bidi="ar-SA"/>
        </w:rPr>
        <w:t>人对已覆盖的部位进行钻孔探测或揭开重新检验，承包人应遵照执行，并在检验后重新覆盖恢复原状。</w:t>
      </w:r>
      <w:r>
        <w:rPr>
          <w:rFonts w:ascii="宋体" w:hAnsi="宋体" w:eastAsia="宋体" w:cs="宋体"/>
          <w:snapToGrid w:val="0"/>
          <w:color w:val="000000"/>
          <w:spacing w:val="13"/>
          <w:kern w:val="0"/>
          <w:sz w:val="20"/>
          <w:szCs w:val="20"/>
          <w:lang w:val="en-US" w:eastAsia="en-US" w:bidi="ar-SA"/>
        </w:rPr>
        <w:t>经检验证明工程质量符合合同要求的，</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由发包人承担由此增加的费用和（或）工期延误，并支付承包人</w:t>
      </w:r>
      <w:r>
        <w:rPr>
          <w:rFonts w:ascii="宋体" w:hAnsi="宋体" w:eastAsia="宋体" w:cs="宋体"/>
          <w:snapToGrid w:val="0"/>
          <w:color w:val="000000"/>
          <w:spacing w:val="10"/>
          <w:kern w:val="0"/>
          <w:sz w:val="20"/>
          <w:szCs w:val="20"/>
          <w:lang w:val="en-US" w:eastAsia="en-US" w:bidi="ar-SA"/>
        </w:rPr>
        <w:t>合理利润；经检验证明工程质量不符合合同要求的</w:t>
      </w:r>
      <w:r>
        <w:rPr>
          <w:rFonts w:ascii="宋体" w:hAnsi="宋体" w:eastAsia="宋体" w:cs="宋体"/>
          <w:snapToGrid w:val="0"/>
          <w:color w:val="000000"/>
          <w:spacing w:val="9"/>
          <w:kern w:val="0"/>
          <w:sz w:val="20"/>
          <w:szCs w:val="20"/>
          <w:lang w:val="en-US" w:eastAsia="en-US" w:bidi="ar-SA"/>
        </w:rPr>
        <w:t>，由此增加的费用和（或）工期延误由承包人承担。</w:t>
      </w:r>
    </w:p>
    <w:p w14:paraId="788C487B">
      <w:pPr>
        <w:kinsoku w:val="0"/>
        <w:autoSpaceDE w:val="0"/>
        <w:autoSpaceDN w:val="0"/>
        <w:adjustRightInd w:val="0"/>
        <w:snapToGrid w:val="0"/>
        <w:spacing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13.5.4</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承包人私自覆盖</w:t>
      </w:r>
    </w:p>
    <w:p w14:paraId="2AA9A48C">
      <w:pPr>
        <w:kinsoku w:val="0"/>
        <w:autoSpaceDE w:val="0"/>
        <w:autoSpaceDN w:val="0"/>
        <w:adjustRightInd w:val="0"/>
        <w:snapToGrid w:val="0"/>
        <w:spacing w:before="161" w:line="240" w:lineRule="auto"/>
        <w:ind w:left="1" w:right="19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承包人未通知监理人到场检查，私自将工程隐蔽部位覆盖的，监理人有权</w:t>
      </w:r>
      <w:r>
        <w:rPr>
          <w:rFonts w:ascii="宋体" w:hAnsi="宋体" w:eastAsia="宋体" w:cs="宋体"/>
          <w:snapToGrid w:val="0"/>
          <w:color w:val="000000"/>
          <w:spacing w:val="9"/>
          <w:kern w:val="0"/>
          <w:sz w:val="20"/>
          <w:szCs w:val="20"/>
          <w:lang w:val="en-US" w:eastAsia="en-US" w:bidi="ar-SA"/>
        </w:rPr>
        <w:t>指示承包人钻孔探测或揭</w:t>
      </w:r>
      <w:r>
        <w:rPr>
          <w:rFonts w:ascii="宋体" w:hAnsi="宋体" w:eastAsia="宋体" w:cs="宋体"/>
          <w:snapToGrid w:val="0"/>
          <w:color w:val="000000"/>
          <w:spacing w:val="7"/>
          <w:kern w:val="0"/>
          <w:sz w:val="20"/>
          <w:szCs w:val="20"/>
          <w:lang w:val="en-US" w:eastAsia="en-US" w:bidi="ar-SA"/>
        </w:rPr>
        <w:t>开检查，</w:t>
      </w:r>
      <w:r>
        <w:rPr>
          <w:rFonts w:ascii="宋体" w:hAnsi="宋体" w:eastAsia="宋体" w:cs="宋体"/>
          <w:snapToGrid w:val="0"/>
          <w:color w:val="000000"/>
          <w:spacing w:val="-44"/>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由此增加的费用和（或）工期延误由承包人承担。</w:t>
      </w:r>
    </w:p>
    <w:p w14:paraId="23BD3972">
      <w:pPr>
        <w:kinsoku w:val="0"/>
        <w:autoSpaceDE w:val="0"/>
        <w:autoSpaceDN w:val="0"/>
        <w:adjustRightInd w:val="0"/>
        <w:snapToGrid w:val="0"/>
        <w:spacing w:before="2"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13.6</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清除不合格工程</w:t>
      </w:r>
    </w:p>
    <w:p w14:paraId="7083750A">
      <w:pPr>
        <w:kinsoku w:val="0"/>
        <w:autoSpaceDE w:val="0"/>
        <w:autoSpaceDN w:val="0"/>
        <w:adjustRightInd w:val="0"/>
        <w:snapToGrid w:val="0"/>
        <w:spacing w:before="178" w:line="240" w:lineRule="auto"/>
        <w:ind w:left="2"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13.6.1   承包人使用不合格材料、工程设备，或采用不适当的施工工艺，或</w:t>
      </w:r>
      <w:r>
        <w:rPr>
          <w:rFonts w:ascii="宋体" w:hAnsi="宋体" w:eastAsia="宋体" w:cs="宋体"/>
          <w:snapToGrid w:val="0"/>
          <w:color w:val="000000"/>
          <w:spacing w:val="14"/>
          <w:kern w:val="0"/>
          <w:sz w:val="20"/>
          <w:szCs w:val="20"/>
          <w:lang w:val="en-US" w:eastAsia="en-US" w:bidi="ar-SA"/>
        </w:rPr>
        <w:t>施工不当，造成工程不合格的，监理人可以随时发出指示，要求承包人立即采取措施进行补救，直至达到合同要求的质量标</w:t>
      </w:r>
      <w:r>
        <w:rPr>
          <w:rFonts w:ascii="宋体" w:hAnsi="宋体" w:eastAsia="宋体" w:cs="宋体"/>
          <w:snapToGrid w:val="0"/>
          <w:color w:val="000000"/>
          <w:spacing w:val="7"/>
          <w:kern w:val="0"/>
          <w:sz w:val="20"/>
          <w:szCs w:val="20"/>
          <w:lang w:val="en-US" w:eastAsia="en-US" w:bidi="ar-SA"/>
        </w:rPr>
        <w:t>准，</w:t>
      </w:r>
      <w:r>
        <w:rPr>
          <w:rFonts w:ascii="宋体" w:hAnsi="宋体" w:eastAsia="宋体" w:cs="宋体"/>
          <w:snapToGrid w:val="0"/>
          <w:color w:val="000000"/>
          <w:spacing w:val="-50"/>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由此增加的费用和（或）工期延误由承包人承担。</w:t>
      </w:r>
    </w:p>
    <w:p w14:paraId="38246179">
      <w:pPr>
        <w:kinsoku w:val="0"/>
        <w:autoSpaceDE w:val="0"/>
        <w:autoSpaceDN w:val="0"/>
        <w:adjustRightInd w:val="0"/>
        <w:snapToGrid w:val="0"/>
        <w:spacing w:before="164" w:line="240" w:lineRule="auto"/>
        <w:ind w:left="17"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13.6.2</w:t>
      </w:r>
      <w:r>
        <w:rPr>
          <w:rFonts w:ascii="宋体" w:hAnsi="宋体" w:eastAsia="宋体" w:cs="宋体"/>
          <w:snapToGrid w:val="0"/>
          <w:color w:val="000000"/>
          <w:spacing w:val="6"/>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由于发包人提供的材料或工程设备不合格造成的工程不合格，需要承包人采取措施补救</w:t>
      </w:r>
      <w:r>
        <w:rPr>
          <w:rFonts w:ascii="宋体" w:hAnsi="宋体" w:eastAsia="宋体" w:cs="宋体"/>
          <w:snapToGrid w:val="0"/>
          <w:color w:val="000000"/>
          <w:spacing w:val="9"/>
          <w:kern w:val="0"/>
          <w:sz w:val="20"/>
          <w:szCs w:val="20"/>
          <w:lang w:val="en-US" w:eastAsia="en-US" w:bidi="ar-SA"/>
        </w:rPr>
        <w:t>的，发包人应承担由此增加的费用和（或）工期延误，并支付承包人合</w:t>
      </w:r>
      <w:r>
        <w:rPr>
          <w:rFonts w:ascii="宋体" w:hAnsi="宋体" w:eastAsia="宋体" w:cs="宋体"/>
          <w:snapToGrid w:val="0"/>
          <w:color w:val="000000"/>
          <w:spacing w:val="8"/>
          <w:kern w:val="0"/>
          <w:sz w:val="20"/>
          <w:szCs w:val="20"/>
          <w:lang w:val="en-US" w:eastAsia="en-US" w:bidi="ar-SA"/>
        </w:rPr>
        <w:t>理利润。</w:t>
      </w:r>
    </w:p>
    <w:p w14:paraId="2FC974BC">
      <w:pPr>
        <w:kinsoku w:val="0"/>
        <w:autoSpaceDE w:val="0"/>
        <w:autoSpaceDN w:val="0"/>
        <w:adjustRightInd w:val="0"/>
        <w:snapToGrid w:val="0"/>
        <w:spacing w:before="168" w:line="240" w:lineRule="auto"/>
        <w:ind w:left="4000"/>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5"/>
          <w:szCs w:val="25"/>
          <w:lang w:val="en-US" w:eastAsia="en-US" w:bidi="ar-SA"/>
        </w:rPr>
        <w:t>14.</w:t>
      </w:r>
      <w:r>
        <w:rPr>
          <w:rFonts w:ascii="宋体" w:hAnsi="宋体" w:eastAsia="宋体" w:cs="宋体"/>
          <w:snapToGrid w:val="0"/>
          <w:color w:val="000000"/>
          <w:spacing w:val="21"/>
          <w:kern w:val="0"/>
          <w:sz w:val="25"/>
          <w:szCs w:val="25"/>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试验和检验</w:t>
      </w:r>
    </w:p>
    <w:p w14:paraId="1B48A710">
      <w:pPr>
        <w:kinsoku w:val="0"/>
        <w:autoSpaceDE w:val="0"/>
        <w:autoSpaceDN w:val="0"/>
        <w:adjustRightInd w:val="0"/>
        <w:snapToGrid w:val="0"/>
        <w:spacing w:before="177"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14.1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材料、工程设备和工程的试验和检验</w:t>
      </w:r>
    </w:p>
    <w:p w14:paraId="4BE03691">
      <w:pPr>
        <w:kinsoku w:val="0"/>
        <w:autoSpaceDE w:val="0"/>
        <w:autoSpaceDN w:val="0"/>
        <w:adjustRightInd w:val="0"/>
        <w:snapToGrid w:val="0"/>
        <w:spacing w:before="178" w:line="240" w:lineRule="auto"/>
        <w:ind w:right="66"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14.1.1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承包人应按合同约定进行材料、</w:t>
      </w:r>
      <w:r>
        <w:rPr>
          <w:rFonts w:ascii="宋体" w:hAnsi="宋体" w:eastAsia="宋体" w:cs="宋体"/>
          <w:snapToGrid w:val="0"/>
          <w:color w:val="000000"/>
          <w:spacing w:val="7"/>
          <w:kern w:val="0"/>
          <w:sz w:val="20"/>
          <w:szCs w:val="20"/>
          <w:lang w:val="en-US" w:eastAsia="en-US" w:bidi="ar-SA"/>
        </w:rPr>
        <w:t>工程设备和工程的试验和检验，并为监理人对上述材料、</w:t>
      </w:r>
      <w:r>
        <w:rPr>
          <w:rFonts w:ascii="宋体" w:hAnsi="宋体" w:eastAsia="宋体" w:cs="宋体"/>
          <w:snapToGrid w:val="0"/>
          <w:color w:val="000000"/>
          <w:spacing w:val="10"/>
          <w:kern w:val="0"/>
          <w:sz w:val="20"/>
          <w:szCs w:val="20"/>
          <w:lang w:val="en-US" w:eastAsia="en-US" w:bidi="ar-SA"/>
        </w:rPr>
        <w:t>工程设备和工程的质量检查提供必要的试验资料和原始记录。按合同约定应由</w:t>
      </w:r>
      <w:r>
        <w:rPr>
          <w:rFonts w:ascii="宋体" w:hAnsi="宋体" w:eastAsia="宋体" w:cs="宋体"/>
          <w:snapToGrid w:val="0"/>
          <w:color w:val="000000"/>
          <w:spacing w:val="9"/>
          <w:kern w:val="0"/>
          <w:sz w:val="20"/>
          <w:szCs w:val="20"/>
          <w:lang w:val="en-US" w:eastAsia="en-US" w:bidi="ar-SA"/>
        </w:rPr>
        <w:t>监理人与承包人共同进行试验和检验的，由承包人负责提供必要的试验资料和原始记录。</w:t>
      </w:r>
    </w:p>
    <w:p w14:paraId="71BB5A20">
      <w:pPr>
        <w:kinsoku w:val="0"/>
        <w:autoSpaceDE w:val="0"/>
        <w:autoSpaceDN w:val="0"/>
        <w:adjustRightInd w:val="0"/>
        <w:snapToGrid w:val="0"/>
        <w:spacing w:before="162" w:line="240" w:lineRule="auto"/>
        <w:ind w:left="1" w:right="24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14.1.2</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监理人未按合同约定派员参加试验和检验的，除监理人另有指示外，承包人可自行试验</w:t>
      </w:r>
      <w:r>
        <w:rPr>
          <w:rFonts w:ascii="宋体" w:hAnsi="宋体" w:eastAsia="宋体" w:cs="宋体"/>
          <w:snapToGrid w:val="0"/>
          <w:color w:val="000000"/>
          <w:spacing w:val="9"/>
          <w:kern w:val="0"/>
          <w:sz w:val="20"/>
          <w:szCs w:val="20"/>
          <w:lang w:val="en-US" w:eastAsia="en-US" w:bidi="ar-SA"/>
        </w:rPr>
        <w:t>和检验，并应立即将试验和检验结果报送监理人，监理人应签字确认。</w:t>
      </w:r>
    </w:p>
    <w:p w14:paraId="55ED02CE">
      <w:pPr>
        <w:kinsoku w:val="0"/>
        <w:autoSpaceDE w:val="0"/>
        <w:autoSpaceDN w:val="0"/>
        <w:adjustRightInd w:val="0"/>
        <w:snapToGrid w:val="0"/>
        <w:spacing w:before="163" w:line="240" w:lineRule="auto"/>
        <w:ind w:left="1"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14.1.3   监理人对承包人的试验和检验结果有疑问的，或为查清承包人试验</w:t>
      </w:r>
      <w:r>
        <w:rPr>
          <w:rFonts w:ascii="宋体" w:hAnsi="宋体" w:eastAsia="宋体" w:cs="宋体"/>
          <w:snapToGrid w:val="0"/>
          <w:color w:val="000000"/>
          <w:spacing w:val="14"/>
          <w:kern w:val="0"/>
          <w:sz w:val="20"/>
          <w:szCs w:val="20"/>
          <w:lang w:val="en-US" w:eastAsia="en-US" w:bidi="ar-SA"/>
        </w:rPr>
        <w:t>和检验成果的可靠性要求承包人重新试验和检验的，可按合同约定由监理人与承包人共同进行。重新试验和检验的结果证明</w:t>
      </w:r>
      <w:r>
        <w:rPr>
          <w:rFonts w:ascii="宋体" w:hAnsi="宋体" w:eastAsia="宋体" w:cs="宋体"/>
          <w:snapToGrid w:val="0"/>
          <w:color w:val="000000"/>
          <w:spacing w:val="17"/>
          <w:kern w:val="0"/>
          <w:sz w:val="20"/>
          <w:szCs w:val="20"/>
          <w:lang w:val="en-US" w:eastAsia="en-US" w:bidi="ar-SA"/>
        </w:rPr>
        <w:t>该项材料、工程设备或工程的质量不符合合同要求的，</w:t>
      </w:r>
      <w:r>
        <w:rPr>
          <w:rFonts w:ascii="宋体" w:hAnsi="宋体" w:eastAsia="宋体" w:cs="宋体"/>
          <w:snapToGrid w:val="0"/>
          <w:color w:val="000000"/>
          <w:spacing w:val="-51"/>
          <w:kern w:val="0"/>
          <w:sz w:val="20"/>
          <w:szCs w:val="20"/>
          <w:lang w:val="en-US" w:eastAsia="en-US" w:bidi="ar-SA"/>
        </w:rPr>
        <w:t xml:space="preserve"> </w:t>
      </w:r>
      <w:r>
        <w:rPr>
          <w:rFonts w:ascii="宋体" w:hAnsi="宋体" w:eastAsia="宋体" w:cs="宋体"/>
          <w:snapToGrid w:val="0"/>
          <w:color w:val="000000"/>
          <w:spacing w:val="17"/>
          <w:kern w:val="0"/>
          <w:sz w:val="20"/>
          <w:szCs w:val="20"/>
          <w:lang w:val="en-US" w:eastAsia="en-US" w:bidi="ar-SA"/>
        </w:rPr>
        <w:t>由此增加的费用和（或）</w:t>
      </w:r>
      <w:r>
        <w:rPr>
          <w:rFonts w:ascii="宋体" w:hAnsi="宋体" w:eastAsia="宋体" w:cs="宋体"/>
          <w:snapToGrid w:val="0"/>
          <w:color w:val="000000"/>
          <w:spacing w:val="-59"/>
          <w:kern w:val="0"/>
          <w:sz w:val="20"/>
          <w:szCs w:val="20"/>
          <w:lang w:val="en-US" w:eastAsia="en-US" w:bidi="ar-SA"/>
        </w:rPr>
        <w:t xml:space="preserve"> </w:t>
      </w:r>
      <w:r>
        <w:rPr>
          <w:rFonts w:ascii="宋体" w:hAnsi="宋体" w:eastAsia="宋体" w:cs="宋体"/>
          <w:snapToGrid w:val="0"/>
          <w:color w:val="000000"/>
          <w:spacing w:val="17"/>
          <w:kern w:val="0"/>
          <w:sz w:val="20"/>
          <w:szCs w:val="20"/>
          <w:lang w:val="en-US" w:eastAsia="en-US" w:bidi="ar-SA"/>
        </w:rPr>
        <w:t>工</w:t>
      </w:r>
      <w:r>
        <w:rPr>
          <w:rFonts w:ascii="宋体" w:hAnsi="宋体" w:eastAsia="宋体" w:cs="宋体"/>
          <w:snapToGrid w:val="0"/>
          <w:color w:val="000000"/>
          <w:spacing w:val="16"/>
          <w:kern w:val="0"/>
          <w:sz w:val="20"/>
          <w:szCs w:val="20"/>
          <w:lang w:val="en-US" w:eastAsia="en-US" w:bidi="ar-SA"/>
        </w:rPr>
        <w:t>期延误由承包人承</w:t>
      </w:r>
      <w:r>
        <w:rPr>
          <w:rFonts w:ascii="宋体" w:hAnsi="宋体" w:eastAsia="宋体" w:cs="宋体"/>
          <w:snapToGrid w:val="0"/>
          <w:color w:val="000000"/>
          <w:spacing w:val="13"/>
          <w:kern w:val="0"/>
          <w:sz w:val="20"/>
          <w:szCs w:val="20"/>
          <w:lang w:val="en-US" w:eastAsia="en-US" w:bidi="ar-SA"/>
        </w:rPr>
        <w:t>担；重新试验和检验结果证明该项材料、工程设备和工程符合合同要求，</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由发包人承担由此增加的费用</w:t>
      </w:r>
      <w:r>
        <w:rPr>
          <w:rFonts w:ascii="宋体" w:hAnsi="宋体" w:eastAsia="宋体" w:cs="宋体"/>
          <w:snapToGrid w:val="0"/>
          <w:color w:val="000000"/>
          <w:spacing w:val="8"/>
          <w:kern w:val="0"/>
          <w:sz w:val="20"/>
          <w:szCs w:val="20"/>
          <w:lang w:val="en-US" w:eastAsia="en-US" w:bidi="ar-SA"/>
        </w:rPr>
        <w:t>和（或）工期延误，并支付承包人合理利润。</w:t>
      </w:r>
    </w:p>
    <w:p w14:paraId="374FEF62">
      <w:pPr>
        <w:kinsoku w:val="0"/>
        <w:autoSpaceDE w:val="0"/>
        <w:autoSpaceDN w:val="0"/>
        <w:adjustRightInd w:val="0"/>
        <w:snapToGrid w:val="0"/>
        <w:spacing w:before="168"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14.2</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现场材料试验</w:t>
      </w:r>
    </w:p>
    <w:p w14:paraId="6D0E31FF">
      <w:pPr>
        <w:kinsoku w:val="0"/>
        <w:autoSpaceDE w:val="0"/>
        <w:autoSpaceDN w:val="0"/>
        <w:adjustRightInd w:val="0"/>
        <w:snapToGrid w:val="0"/>
        <w:spacing w:before="176" w:line="240" w:lineRule="auto"/>
        <w:ind w:firstLine="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14.2.1   承包人根据合同约定或监理人指示进行的现场材料试验，应由承包</w:t>
      </w:r>
      <w:r>
        <w:rPr>
          <w:rFonts w:ascii="宋体" w:hAnsi="宋体" w:eastAsia="宋体" w:cs="宋体"/>
          <w:snapToGrid w:val="0"/>
          <w:color w:val="000000"/>
          <w:spacing w:val="14"/>
          <w:kern w:val="0"/>
          <w:sz w:val="20"/>
          <w:szCs w:val="20"/>
          <w:lang w:val="en-US" w:eastAsia="en-US" w:bidi="ar-SA"/>
        </w:rPr>
        <w:t>人提供试验场所、试</w:t>
      </w:r>
      <w:r>
        <w:rPr>
          <w:rFonts w:ascii="宋体" w:hAnsi="宋体" w:eastAsia="宋体" w:cs="宋体"/>
          <w:snapToGrid w:val="0"/>
          <w:color w:val="000000"/>
          <w:spacing w:val="9"/>
          <w:kern w:val="0"/>
          <w:sz w:val="20"/>
          <w:szCs w:val="20"/>
          <w:lang w:val="en-US" w:eastAsia="en-US" w:bidi="ar-SA"/>
        </w:rPr>
        <w:t>验人员、试验设备器材以及其他必要的试验条件。</w:t>
      </w:r>
    </w:p>
    <w:p w14:paraId="41ABCBC8">
      <w:pPr>
        <w:kinsoku w:val="0"/>
        <w:autoSpaceDE w:val="0"/>
        <w:autoSpaceDN w:val="0"/>
        <w:adjustRightInd w:val="0"/>
        <w:snapToGrid w:val="0"/>
        <w:spacing w:before="164" w:line="240" w:lineRule="auto"/>
        <w:ind w:left="3" w:firstLine="4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14.2.2   监理人在必要时可以使用承包人的试验场所、试验设备器材以及其</w:t>
      </w:r>
      <w:r>
        <w:rPr>
          <w:rFonts w:ascii="宋体" w:hAnsi="宋体" w:eastAsia="宋体" w:cs="宋体"/>
          <w:snapToGrid w:val="0"/>
          <w:color w:val="000000"/>
          <w:spacing w:val="14"/>
          <w:kern w:val="0"/>
          <w:sz w:val="20"/>
          <w:szCs w:val="20"/>
          <w:lang w:val="en-US" w:eastAsia="en-US" w:bidi="ar-SA"/>
        </w:rPr>
        <w:t>他试验条件，进行以</w:t>
      </w:r>
      <w:r>
        <w:rPr>
          <w:rFonts w:ascii="宋体" w:hAnsi="宋体" w:eastAsia="宋体" w:cs="宋体"/>
          <w:snapToGrid w:val="0"/>
          <w:color w:val="000000"/>
          <w:spacing w:val="9"/>
          <w:kern w:val="0"/>
          <w:sz w:val="20"/>
          <w:szCs w:val="20"/>
          <w:lang w:val="en-US" w:eastAsia="en-US" w:bidi="ar-SA"/>
        </w:rPr>
        <w:t>工程质量检查为目的的复核性材料试验，承包人应予以协助。</w:t>
      </w:r>
    </w:p>
    <w:p w14:paraId="03E7CA5E">
      <w:pPr>
        <w:kinsoku w:val="0"/>
        <w:autoSpaceDE w:val="0"/>
        <w:autoSpaceDN w:val="0"/>
        <w:adjustRightInd w:val="0"/>
        <w:snapToGrid w:val="0"/>
        <w:spacing w:before="167"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14.3</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现场工艺试验</w:t>
      </w:r>
    </w:p>
    <w:p w14:paraId="123C7848">
      <w:pPr>
        <w:kinsoku w:val="0"/>
        <w:autoSpaceDE w:val="0"/>
        <w:autoSpaceDN w:val="0"/>
        <w:adjustRightInd w:val="0"/>
        <w:snapToGrid w:val="0"/>
        <w:spacing w:before="176" w:line="240" w:lineRule="auto"/>
        <w:ind w:left="10" w:right="403" w:firstLine="4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承包人应按合同约定或监理人指示进行现场工艺试验。对大型的现场</w:t>
      </w:r>
      <w:r>
        <w:rPr>
          <w:rFonts w:ascii="宋体" w:hAnsi="宋体" w:eastAsia="宋体" w:cs="宋体"/>
          <w:snapToGrid w:val="0"/>
          <w:color w:val="000000"/>
          <w:spacing w:val="9"/>
          <w:kern w:val="0"/>
          <w:sz w:val="20"/>
          <w:szCs w:val="20"/>
          <w:lang w:val="en-US" w:eastAsia="en-US" w:bidi="ar-SA"/>
        </w:rPr>
        <w:t>工艺试验，监理人认为必要时，应由承包人根据监理人提出的工艺试验要求，编制工艺试验措施计划，报送监理人审批。</w:t>
      </w:r>
    </w:p>
    <w:p w14:paraId="5C188851">
      <w:pPr>
        <w:kinsoku w:val="0"/>
        <w:autoSpaceDE w:val="0"/>
        <w:autoSpaceDN w:val="0"/>
        <w:adjustRightInd w:val="0"/>
        <w:snapToGrid w:val="0"/>
        <w:spacing w:before="2" w:line="240" w:lineRule="auto"/>
        <w:ind w:left="4362"/>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5"/>
          <w:szCs w:val="25"/>
          <w:lang w:val="en-US" w:eastAsia="en-US" w:bidi="ar-SA"/>
        </w:rPr>
        <w:t>15.</w:t>
      </w:r>
      <w:r>
        <w:rPr>
          <w:rFonts w:ascii="宋体" w:hAnsi="宋体" w:eastAsia="宋体" w:cs="宋体"/>
          <w:snapToGrid w:val="0"/>
          <w:color w:val="000000"/>
          <w:spacing w:val="20"/>
          <w:kern w:val="0"/>
          <w:sz w:val="25"/>
          <w:szCs w:val="25"/>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变更</w:t>
      </w:r>
    </w:p>
    <w:p w14:paraId="3B1D652B">
      <w:pPr>
        <w:kinsoku w:val="0"/>
        <w:autoSpaceDE w:val="0"/>
        <w:autoSpaceDN w:val="0"/>
        <w:adjustRightInd w:val="0"/>
        <w:snapToGrid w:val="0"/>
        <w:spacing w:before="48"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15.1</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变更的范围和内容</w:t>
      </w:r>
    </w:p>
    <w:p w14:paraId="6A721C16">
      <w:pPr>
        <w:kinsoku w:val="0"/>
        <w:autoSpaceDE w:val="0"/>
        <w:autoSpaceDN w:val="0"/>
        <w:adjustRightInd w:val="0"/>
        <w:snapToGrid w:val="0"/>
        <w:spacing w:before="175" w:line="240" w:lineRule="auto"/>
        <w:ind w:left="4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除专用合同条款另有约定外，在履行合同中发生以下情形之一，应按照本条规定进行变更。</w:t>
      </w:r>
    </w:p>
    <w:p w14:paraId="74253068">
      <w:pPr>
        <w:kinsoku w:val="0"/>
        <w:autoSpaceDE w:val="0"/>
        <w:autoSpaceDN w:val="0"/>
        <w:adjustRightInd w:val="0"/>
        <w:snapToGrid w:val="0"/>
        <w:spacing w:before="164"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（1）   </w:t>
      </w:r>
      <w:r>
        <w:rPr>
          <w:rFonts w:ascii="宋体" w:hAnsi="宋体" w:eastAsia="宋体" w:cs="宋体"/>
          <w:snapToGrid w:val="0"/>
          <w:color w:val="000000"/>
          <w:spacing w:val="9"/>
          <w:kern w:val="0"/>
          <w:sz w:val="20"/>
          <w:szCs w:val="20"/>
          <w:lang w:val="en-US" w:eastAsia="en-US" w:bidi="ar-SA"/>
        </w:rPr>
        <w:t>取消合同中任何一项工作，但被取消的工作不能转由发包人或其他人实施；</w:t>
      </w:r>
    </w:p>
    <w:p w14:paraId="4D51B561">
      <w:pPr>
        <w:kinsoku w:val="0"/>
        <w:autoSpaceDE w:val="0"/>
        <w:autoSpaceDN w:val="0"/>
        <w:adjustRightInd w:val="0"/>
        <w:snapToGrid w:val="0"/>
        <w:spacing w:before="160"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（2）</w:t>
      </w:r>
      <w:r>
        <w:rPr>
          <w:rFonts w:ascii="宋体" w:hAnsi="宋体" w:eastAsia="宋体" w:cs="宋体"/>
          <w:snapToGrid w:val="0"/>
          <w:color w:val="000000"/>
          <w:spacing w:val="25"/>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改变合同中任何一项工作的质量或其他特性；</w:t>
      </w:r>
    </w:p>
    <w:p w14:paraId="0B053213">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（3）</w:t>
      </w:r>
      <w:r>
        <w:rPr>
          <w:rFonts w:ascii="宋体" w:hAnsi="宋体" w:eastAsia="宋体" w:cs="宋体"/>
          <w:snapToGrid w:val="0"/>
          <w:color w:val="000000"/>
          <w:spacing w:val="24"/>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改变合同工程的基线、标高、位置或尺寸；</w:t>
      </w:r>
    </w:p>
    <w:p w14:paraId="3D86E301">
      <w:pPr>
        <w:kinsoku w:val="0"/>
        <w:autoSpaceDE w:val="0"/>
        <w:autoSpaceDN w:val="0"/>
        <w:adjustRightInd w:val="0"/>
        <w:snapToGrid w:val="0"/>
        <w:spacing w:before="162"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（4）   </w:t>
      </w:r>
      <w:r>
        <w:rPr>
          <w:rFonts w:ascii="宋体" w:hAnsi="宋体" w:eastAsia="宋体" w:cs="宋体"/>
          <w:snapToGrid w:val="0"/>
          <w:color w:val="000000"/>
          <w:spacing w:val="9"/>
          <w:kern w:val="0"/>
          <w:sz w:val="20"/>
          <w:szCs w:val="20"/>
          <w:lang w:val="en-US" w:eastAsia="en-US" w:bidi="ar-SA"/>
        </w:rPr>
        <w:t>改变合同中任何一项工作的施工时间或改变已批准的施工工艺或顺序；</w:t>
      </w:r>
    </w:p>
    <w:p w14:paraId="2EB0CB13">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18"/>
          <w:szCs w:val="18"/>
          <w:lang w:val="en-US" w:eastAsia="en-US" w:bidi="ar-SA"/>
        </w:rPr>
        <w:t>（5）</w:t>
      </w:r>
      <w:r>
        <w:rPr>
          <w:rFonts w:ascii="宋体" w:hAnsi="宋体" w:eastAsia="宋体" w:cs="宋体"/>
          <w:snapToGrid w:val="0"/>
          <w:color w:val="000000"/>
          <w:spacing w:val="26"/>
          <w:kern w:val="0"/>
          <w:sz w:val="18"/>
          <w:szCs w:val="18"/>
          <w:lang w:val="en-US" w:eastAsia="en-US" w:bidi="ar-SA"/>
        </w:rPr>
        <w:t xml:space="preserve">   </w:t>
      </w:r>
      <w:r>
        <w:rPr>
          <w:rFonts w:ascii="宋体" w:hAnsi="宋体" w:eastAsia="宋体" w:cs="宋体"/>
          <w:snapToGrid w:val="0"/>
          <w:color w:val="000000"/>
          <w:spacing w:val="6"/>
          <w:kern w:val="0"/>
          <w:sz w:val="20"/>
          <w:szCs w:val="20"/>
          <w:lang w:val="en-US" w:eastAsia="en-US" w:bidi="ar-SA"/>
        </w:rPr>
        <w:t>为完成工程需要追加的额外工作。</w:t>
      </w:r>
    </w:p>
    <w:p w14:paraId="01FABAFB">
      <w:pPr>
        <w:kinsoku w:val="0"/>
        <w:autoSpaceDE w:val="0"/>
        <w:autoSpaceDN w:val="0"/>
        <w:adjustRightInd w:val="0"/>
        <w:snapToGrid w:val="0"/>
        <w:spacing w:before="166"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15.2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变更权</w:t>
      </w:r>
    </w:p>
    <w:p w14:paraId="68646FB9">
      <w:pPr>
        <w:kinsoku w:val="0"/>
        <w:autoSpaceDE w:val="0"/>
        <w:autoSpaceDN w:val="0"/>
        <w:adjustRightInd w:val="0"/>
        <w:snapToGrid w:val="0"/>
        <w:spacing w:before="179" w:line="240" w:lineRule="auto"/>
        <w:ind w:right="220"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在履行合同过程中，经发包人同意，监理人可按第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15.3 款</w:t>
      </w:r>
      <w:r>
        <w:rPr>
          <w:rFonts w:ascii="宋体" w:hAnsi="宋体" w:eastAsia="宋体" w:cs="宋体"/>
          <w:snapToGrid w:val="0"/>
          <w:color w:val="000000"/>
          <w:spacing w:val="8"/>
          <w:kern w:val="0"/>
          <w:sz w:val="20"/>
          <w:szCs w:val="20"/>
          <w:lang w:val="en-US" w:eastAsia="en-US" w:bidi="ar-SA"/>
        </w:rPr>
        <w:t>约定的变更程序向承包人作出变更指</w:t>
      </w:r>
      <w:r>
        <w:rPr>
          <w:rFonts w:ascii="宋体" w:hAnsi="宋体" w:eastAsia="宋体" w:cs="宋体"/>
          <w:snapToGrid w:val="0"/>
          <w:color w:val="000000"/>
          <w:spacing w:val="9"/>
          <w:kern w:val="0"/>
          <w:sz w:val="20"/>
          <w:szCs w:val="20"/>
          <w:lang w:val="en-US" w:eastAsia="en-US" w:bidi="ar-SA"/>
        </w:rPr>
        <w:t>示，承包人应遵照执行。没有监理人的变更指示，承包人不得擅自变更。</w:t>
      </w:r>
    </w:p>
    <w:p w14:paraId="01A677C4">
      <w:pPr>
        <w:kinsoku w:val="0"/>
        <w:autoSpaceDE w:val="0"/>
        <w:autoSpaceDN w:val="0"/>
        <w:adjustRightInd w:val="0"/>
        <w:snapToGrid w:val="0"/>
        <w:spacing w:before="1"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15.3</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变更程序</w:t>
      </w:r>
    </w:p>
    <w:p w14:paraId="3B2743EB">
      <w:pPr>
        <w:kinsoku w:val="0"/>
        <w:autoSpaceDE w:val="0"/>
        <w:autoSpaceDN w:val="0"/>
        <w:adjustRightInd w:val="0"/>
        <w:snapToGrid w:val="0"/>
        <w:spacing w:before="178"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15.3.1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变更的提出</w:t>
      </w:r>
    </w:p>
    <w:p w14:paraId="59F7F9E6">
      <w:pPr>
        <w:kinsoku w:val="0"/>
        <w:autoSpaceDE w:val="0"/>
        <w:autoSpaceDN w:val="0"/>
        <w:adjustRightInd w:val="0"/>
        <w:snapToGrid w:val="0"/>
        <w:spacing w:before="160"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（1）    </w:t>
      </w:r>
      <w:r>
        <w:rPr>
          <w:rFonts w:ascii="宋体" w:hAnsi="宋体" w:eastAsia="宋体" w:cs="宋体"/>
          <w:snapToGrid w:val="0"/>
          <w:color w:val="000000"/>
          <w:spacing w:val="8"/>
          <w:kern w:val="0"/>
          <w:sz w:val="20"/>
          <w:szCs w:val="20"/>
          <w:lang w:val="en-US" w:eastAsia="en-US" w:bidi="ar-SA"/>
        </w:rPr>
        <w:t>在合同履行过程中，可能发生第</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15.1 款约定情形的，监理人可</w:t>
      </w:r>
      <w:r>
        <w:rPr>
          <w:rFonts w:ascii="宋体" w:hAnsi="宋体" w:eastAsia="宋体" w:cs="宋体"/>
          <w:snapToGrid w:val="0"/>
          <w:color w:val="000000"/>
          <w:spacing w:val="7"/>
          <w:kern w:val="0"/>
          <w:sz w:val="20"/>
          <w:szCs w:val="20"/>
          <w:lang w:val="en-US" w:eastAsia="en-US" w:bidi="ar-SA"/>
        </w:rPr>
        <w:t>向承包人发出变更意向</w:t>
      </w:r>
    </w:p>
    <w:p w14:paraId="3A539571">
      <w:pPr>
        <w:kinsoku w:val="0"/>
        <w:autoSpaceDE w:val="0"/>
        <w:autoSpaceDN w:val="0"/>
        <w:adjustRightInd w:val="0"/>
        <w:snapToGrid w:val="0"/>
        <w:spacing w:before="163" w:line="240" w:lineRule="auto"/>
        <w:ind w:right="12" w:firstLine="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书。变更意向书应说明变更的具体内容和发包人对变更的时间要求，</w:t>
      </w:r>
      <w:r>
        <w:rPr>
          <w:rFonts w:ascii="宋体" w:hAnsi="宋体" w:eastAsia="宋体" w:cs="宋体"/>
          <w:snapToGrid w:val="0"/>
          <w:color w:val="000000"/>
          <w:spacing w:val="9"/>
          <w:kern w:val="0"/>
          <w:sz w:val="20"/>
          <w:szCs w:val="20"/>
          <w:lang w:val="en-US" w:eastAsia="en-US" w:bidi="ar-SA"/>
        </w:rPr>
        <w:t>并附必要的图纸和相关资料。变更</w:t>
      </w:r>
      <w:r>
        <w:rPr>
          <w:rFonts w:ascii="宋体" w:hAnsi="宋体" w:eastAsia="宋体" w:cs="宋体"/>
          <w:snapToGrid w:val="0"/>
          <w:color w:val="000000"/>
          <w:spacing w:val="10"/>
          <w:kern w:val="0"/>
          <w:sz w:val="20"/>
          <w:szCs w:val="20"/>
          <w:lang w:val="en-US" w:eastAsia="en-US" w:bidi="ar-SA"/>
        </w:rPr>
        <w:t>意向书应要求承包人提交包括拟实施变更工作的计划、措施和竣工时间等内容</w:t>
      </w:r>
      <w:r>
        <w:rPr>
          <w:rFonts w:ascii="宋体" w:hAnsi="宋体" w:eastAsia="宋体" w:cs="宋体"/>
          <w:snapToGrid w:val="0"/>
          <w:color w:val="000000"/>
          <w:spacing w:val="9"/>
          <w:kern w:val="0"/>
          <w:sz w:val="20"/>
          <w:szCs w:val="20"/>
          <w:lang w:val="en-US" w:eastAsia="en-US" w:bidi="ar-SA"/>
        </w:rPr>
        <w:t>的实施方案。发包人同意</w:t>
      </w:r>
      <w:r>
        <w:rPr>
          <w:rFonts w:ascii="宋体" w:hAnsi="宋体" w:eastAsia="宋体" w:cs="宋体"/>
          <w:snapToGrid w:val="0"/>
          <w:color w:val="000000"/>
          <w:spacing w:val="8"/>
          <w:kern w:val="0"/>
          <w:sz w:val="20"/>
          <w:szCs w:val="20"/>
          <w:lang w:val="en-US" w:eastAsia="en-US" w:bidi="ar-SA"/>
        </w:rPr>
        <w:t>承包人根据变更意向书要求提交的变更实施方案的，由监理人按第</w:t>
      </w:r>
      <w:r>
        <w:rPr>
          <w:rFonts w:ascii="宋体" w:hAnsi="宋体" w:eastAsia="宋体" w:cs="宋体"/>
          <w:snapToGrid w:val="0"/>
          <w:color w:val="000000"/>
          <w:spacing w:val="4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15.3.3 项约定发出变更指示。</w:t>
      </w:r>
    </w:p>
    <w:p w14:paraId="130DEF4E">
      <w:pPr>
        <w:kinsoku w:val="0"/>
        <w:autoSpaceDE w:val="0"/>
        <w:autoSpaceDN w:val="0"/>
        <w:adjustRightInd w:val="0"/>
        <w:snapToGrid w:val="0"/>
        <w:spacing w:before="163" w:line="240" w:lineRule="auto"/>
        <w:ind w:left="1" w:right="9"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（2）    </w:t>
      </w:r>
      <w:r>
        <w:rPr>
          <w:rFonts w:ascii="宋体" w:hAnsi="宋体" w:eastAsia="宋体" w:cs="宋体"/>
          <w:snapToGrid w:val="0"/>
          <w:color w:val="000000"/>
          <w:spacing w:val="7"/>
          <w:kern w:val="0"/>
          <w:sz w:val="20"/>
          <w:szCs w:val="20"/>
          <w:lang w:val="en-US" w:eastAsia="en-US" w:bidi="ar-SA"/>
        </w:rPr>
        <w:t>在合同履行过程中，发生第</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15.1 款约定情</w:t>
      </w:r>
      <w:r>
        <w:rPr>
          <w:rFonts w:ascii="宋体" w:hAnsi="宋体" w:eastAsia="宋体" w:cs="宋体"/>
          <w:snapToGrid w:val="0"/>
          <w:color w:val="000000"/>
          <w:spacing w:val="6"/>
          <w:kern w:val="0"/>
          <w:sz w:val="20"/>
          <w:szCs w:val="20"/>
          <w:lang w:val="en-US" w:eastAsia="en-US" w:bidi="ar-SA"/>
        </w:rPr>
        <w:t>形的，监理人应按照第</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15.3.3</w:t>
      </w:r>
      <w:r>
        <w:rPr>
          <w:rFonts w:ascii="宋体" w:hAnsi="宋体" w:eastAsia="宋体" w:cs="宋体"/>
          <w:snapToGrid w:val="0"/>
          <w:color w:val="000000"/>
          <w:spacing w:val="15"/>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项约定向承包</w:t>
      </w:r>
      <w:r>
        <w:rPr>
          <w:rFonts w:ascii="宋体" w:hAnsi="宋体" w:eastAsia="宋体" w:cs="宋体"/>
          <w:snapToGrid w:val="0"/>
          <w:color w:val="000000"/>
          <w:spacing w:val="7"/>
          <w:kern w:val="0"/>
          <w:sz w:val="20"/>
          <w:szCs w:val="20"/>
          <w:lang w:val="en-US" w:eastAsia="en-US" w:bidi="ar-SA"/>
        </w:rPr>
        <w:t>人发出变更指示。</w:t>
      </w:r>
    </w:p>
    <w:p w14:paraId="4942D744">
      <w:pPr>
        <w:kinsoku w:val="0"/>
        <w:autoSpaceDE w:val="0"/>
        <w:autoSpaceDN w:val="0"/>
        <w:adjustRightInd w:val="0"/>
        <w:snapToGrid w:val="0"/>
        <w:spacing w:before="161" w:line="240" w:lineRule="auto"/>
        <w:ind w:left="1" w:firstLine="425"/>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8"/>
          <w:kern w:val="0"/>
          <w:sz w:val="18"/>
          <w:szCs w:val="18"/>
          <w:lang w:val="en-US" w:eastAsia="en-US" w:bidi="ar-SA"/>
        </w:rPr>
        <w:t xml:space="preserve">（3）    </w:t>
      </w:r>
      <w:r>
        <w:rPr>
          <w:rFonts w:ascii="宋体" w:hAnsi="宋体" w:eastAsia="宋体" w:cs="宋体"/>
          <w:snapToGrid w:val="0"/>
          <w:color w:val="000000"/>
          <w:spacing w:val="8"/>
          <w:kern w:val="0"/>
          <w:sz w:val="20"/>
          <w:szCs w:val="20"/>
          <w:lang w:val="en-US" w:eastAsia="en-US" w:bidi="ar-SA"/>
        </w:rPr>
        <w:t>承包人收到监理人按合同约定发出的图纸和文件，经检查认为其中存在第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15.</w:t>
      </w:r>
      <w:r>
        <w:rPr>
          <w:rFonts w:ascii="宋体" w:hAnsi="宋体" w:eastAsia="宋体" w:cs="宋体"/>
          <w:snapToGrid w:val="0"/>
          <w:color w:val="000000"/>
          <w:spacing w:val="7"/>
          <w:kern w:val="0"/>
          <w:sz w:val="20"/>
          <w:szCs w:val="20"/>
          <w:lang w:val="en-US" w:eastAsia="en-US" w:bidi="ar-SA"/>
        </w:rPr>
        <w:t>1 款约定情</w:t>
      </w:r>
      <w:r>
        <w:rPr>
          <w:rFonts w:ascii="宋体" w:hAnsi="宋体" w:eastAsia="宋体" w:cs="宋体"/>
          <w:snapToGrid w:val="0"/>
          <w:color w:val="000000"/>
          <w:kern w:val="0"/>
          <w:sz w:val="22"/>
          <w:szCs w:val="22"/>
          <w:lang w:val="en-US" w:eastAsia="en-US" w:bidi="ar-SA"/>
        </w:rPr>
        <w:t>形的，可向监理人提出书面变更建议。变更建议应阐明要求变更的依据，并</w:t>
      </w:r>
      <w:r>
        <w:rPr>
          <w:rFonts w:ascii="宋体" w:hAnsi="宋体" w:eastAsia="宋体" w:cs="宋体"/>
          <w:snapToGrid w:val="0"/>
          <w:color w:val="000000"/>
          <w:spacing w:val="-1"/>
          <w:kern w:val="0"/>
          <w:sz w:val="22"/>
          <w:szCs w:val="22"/>
          <w:lang w:val="en-US" w:eastAsia="en-US" w:bidi="ar-SA"/>
        </w:rPr>
        <w:t>附必要的图纸和说明。</w:t>
      </w:r>
      <w:r>
        <w:rPr>
          <w:rFonts w:ascii="宋体" w:hAnsi="宋体" w:eastAsia="宋体" w:cs="宋体"/>
          <w:snapToGrid w:val="0"/>
          <w:color w:val="000000"/>
          <w:kern w:val="0"/>
          <w:sz w:val="22"/>
          <w:szCs w:val="22"/>
          <w:lang w:val="en-US" w:eastAsia="en-US" w:bidi="ar-SA"/>
        </w:rPr>
        <w:t>监理人收到承包人书面建议后，应与发包人共同研究，确认存在变更的，应</w:t>
      </w:r>
      <w:r>
        <w:rPr>
          <w:rFonts w:ascii="宋体" w:hAnsi="宋体" w:eastAsia="宋体" w:cs="宋体"/>
          <w:snapToGrid w:val="0"/>
          <w:color w:val="000000"/>
          <w:spacing w:val="-1"/>
          <w:kern w:val="0"/>
          <w:sz w:val="22"/>
          <w:szCs w:val="22"/>
          <w:lang w:val="en-US" w:eastAsia="en-US" w:bidi="ar-SA"/>
        </w:rPr>
        <w:t>在收到承包人书面建议</w:t>
      </w:r>
      <w:r>
        <w:rPr>
          <w:rFonts w:ascii="宋体" w:hAnsi="宋体" w:eastAsia="宋体" w:cs="宋体"/>
          <w:snapToGrid w:val="0"/>
          <w:color w:val="000000"/>
          <w:kern w:val="0"/>
          <w:sz w:val="22"/>
          <w:szCs w:val="22"/>
          <w:lang w:val="en-US" w:eastAsia="en-US" w:bidi="ar-SA"/>
        </w:rPr>
        <w:t>后的 14 天内作出变更指示。经研究后不同意作为变更的，应由监理</w:t>
      </w:r>
      <w:r>
        <w:rPr>
          <w:rFonts w:ascii="宋体" w:hAnsi="宋体" w:eastAsia="宋体" w:cs="宋体"/>
          <w:snapToGrid w:val="0"/>
          <w:color w:val="000000"/>
          <w:spacing w:val="-1"/>
          <w:kern w:val="0"/>
          <w:sz w:val="22"/>
          <w:szCs w:val="22"/>
          <w:lang w:val="en-US" w:eastAsia="en-US" w:bidi="ar-SA"/>
        </w:rPr>
        <w:t>人书面答复承包人。</w:t>
      </w:r>
    </w:p>
    <w:p w14:paraId="73003F75">
      <w:pPr>
        <w:kinsoku w:val="0"/>
        <w:autoSpaceDE w:val="0"/>
        <w:autoSpaceDN w:val="0"/>
        <w:adjustRightInd w:val="0"/>
        <w:snapToGrid w:val="0"/>
        <w:spacing w:before="166" w:line="240" w:lineRule="auto"/>
        <w:ind w:left="16" w:right="7" w:firstLine="4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（4）    </w:t>
      </w:r>
      <w:r>
        <w:rPr>
          <w:rFonts w:ascii="宋体" w:hAnsi="宋体" w:eastAsia="宋体" w:cs="宋体"/>
          <w:snapToGrid w:val="0"/>
          <w:color w:val="000000"/>
          <w:spacing w:val="9"/>
          <w:kern w:val="0"/>
          <w:sz w:val="20"/>
          <w:szCs w:val="20"/>
          <w:lang w:val="en-US" w:eastAsia="en-US" w:bidi="ar-SA"/>
        </w:rPr>
        <w:t>若承包人收到监理人的变更意向书后认为难以实施此项变更，应立即通知</w:t>
      </w:r>
      <w:r>
        <w:rPr>
          <w:rFonts w:ascii="宋体" w:hAnsi="宋体" w:eastAsia="宋体" w:cs="宋体"/>
          <w:snapToGrid w:val="0"/>
          <w:color w:val="000000"/>
          <w:spacing w:val="8"/>
          <w:kern w:val="0"/>
          <w:sz w:val="20"/>
          <w:szCs w:val="20"/>
          <w:lang w:val="en-US" w:eastAsia="en-US" w:bidi="ar-SA"/>
        </w:rPr>
        <w:t>监理人，说明原</w:t>
      </w:r>
      <w:r>
        <w:rPr>
          <w:rFonts w:ascii="宋体" w:hAnsi="宋体" w:eastAsia="宋体" w:cs="宋体"/>
          <w:snapToGrid w:val="0"/>
          <w:color w:val="000000"/>
          <w:spacing w:val="9"/>
          <w:kern w:val="0"/>
          <w:sz w:val="20"/>
          <w:szCs w:val="20"/>
          <w:lang w:val="en-US" w:eastAsia="en-US" w:bidi="ar-SA"/>
        </w:rPr>
        <w:t>因并附详细依据。监理人与承包人和发包人协商后确定撤销、改变或不改变原变更意向书。</w:t>
      </w:r>
    </w:p>
    <w:p w14:paraId="314C1A2D">
      <w:pPr>
        <w:kinsoku w:val="0"/>
        <w:autoSpaceDE w:val="0"/>
        <w:autoSpaceDN w:val="0"/>
        <w:adjustRightInd w:val="0"/>
        <w:snapToGrid w:val="0"/>
        <w:spacing w:before="162"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15.3.2</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变更估价</w:t>
      </w:r>
    </w:p>
    <w:p w14:paraId="74CDD256">
      <w:pPr>
        <w:kinsoku w:val="0"/>
        <w:autoSpaceDE w:val="0"/>
        <w:autoSpaceDN w:val="0"/>
        <w:adjustRightInd w:val="0"/>
        <w:snapToGrid w:val="0"/>
        <w:spacing w:before="165" w:line="240" w:lineRule="auto"/>
        <w:ind w:left="25" w:right="218" w:firstLine="40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（1）</w:t>
      </w:r>
      <w:r>
        <w:rPr>
          <w:rFonts w:ascii="宋体" w:hAnsi="宋体" w:eastAsia="宋体" w:cs="宋体"/>
          <w:snapToGrid w:val="0"/>
          <w:color w:val="000000"/>
          <w:spacing w:val="2"/>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除专用合同条款对期限另有约定外，承包人应在收到变更指示或变更意</w:t>
      </w:r>
      <w:r>
        <w:rPr>
          <w:rFonts w:ascii="宋体" w:hAnsi="宋体" w:eastAsia="宋体" w:cs="宋体"/>
          <w:snapToGrid w:val="0"/>
          <w:color w:val="000000"/>
          <w:spacing w:val="6"/>
          <w:kern w:val="0"/>
          <w:sz w:val="20"/>
          <w:szCs w:val="20"/>
          <w:lang w:val="en-US" w:eastAsia="en-US" w:bidi="ar-SA"/>
        </w:rPr>
        <w:t>向书后的 14 天</w:t>
      </w:r>
      <w:r>
        <w:rPr>
          <w:rFonts w:ascii="宋体" w:hAnsi="宋体" w:eastAsia="宋体" w:cs="宋体"/>
          <w:snapToGrid w:val="0"/>
          <w:color w:val="000000"/>
          <w:spacing w:val="-13"/>
          <w:kern w:val="0"/>
          <w:sz w:val="20"/>
          <w:szCs w:val="20"/>
          <w:lang w:val="en-US" w:eastAsia="en-US" w:bidi="ar-SA"/>
        </w:rPr>
        <w:t>内，</w:t>
      </w:r>
    </w:p>
    <w:p w14:paraId="3B4D07E7">
      <w:pPr>
        <w:kinsoku w:val="0"/>
        <w:autoSpaceDE w:val="0"/>
        <w:autoSpaceDN w:val="0"/>
        <w:adjustRightInd w:val="0"/>
        <w:snapToGrid w:val="0"/>
        <w:spacing w:before="1" w:line="240" w:lineRule="auto"/>
        <w:ind w:left="2" w:right="11" w:firstLine="43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向监理人提交变更报价书，报价内容应根据第</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15.4 款约定的估价原则，详细开列变更工作的价格</w:t>
      </w:r>
      <w:r>
        <w:rPr>
          <w:rFonts w:ascii="宋体" w:hAnsi="宋体" w:eastAsia="宋体" w:cs="宋体"/>
          <w:snapToGrid w:val="0"/>
          <w:color w:val="000000"/>
          <w:spacing w:val="9"/>
          <w:kern w:val="0"/>
          <w:sz w:val="20"/>
          <w:szCs w:val="20"/>
          <w:lang w:val="en-US" w:eastAsia="en-US" w:bidi="ar-SA"/>
        </w:rPr>
        <w:t>组成及其依据，并附必要的施工方法说明和有关图纸。</w:t>
      </w:r>
    </w:p>
    <w:p w14:paraId="3F4FD043">
      <w:pPr>
        <w:kinsoku w:val="0"/>
        <w:autoSpaceDE w:val="0"/>
        <w:autoSpaceDN w:val="0"/>
        <w:adjustRightInd w:val="0"/>
        <w:snapToGrid w:val="0"/>
        <w:spacing w:line="240" w:lineRule="auto"/>
        <w:ind w:right="7"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（2）</w:t>
      </w:r>
      <w:r>
        <w:rPr>
          <w:rFonts w:ascii="宋体" w:hAnsi="宋体" w:eastAsia="宋体" w:cs="宋体"/>
          <w:snapToGrid w:val="0"/>
          <w:color w:val="000000"/>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变更工作影响工期的，承包人应提出调整</w:t>
      </w:r>
      <w:r>
        <w:rPr>
          <w:rFonts w:ascii="宋体" w:hAnsi="宋体" w:eastAsia="宋体" w:cs="宋体"/>
          <w:snapToGrid w:val="0"/>
          <w:color w:val="000000"/>
          <w:spacing w:val="7"/>
          <w:kern w:val="0"/>
          <w:sz w:val="20"/>
          <w:szCs w:val="20"/>
          <w:lang w:val="en-US" w:eastAsia="en-US" w:bidi="ar-SA"/>
        </w:rPr>
        <w:t>工期的具体细节。监理人认为有必要时，可要求</w:t>
      </w:r>
      <w:r>
        <w:rPr>
          <w:rFonts w:ascii="宋体" w:hAnsi="宋体" w:eastAsia="宋体" w:cs="宋体"/>
          <w:snapToGrid w:val="0"/>
          <w:color w:val="000000"/>
          <w:spacing w:val="9"/>
          <w:kern w:val="0"/>
          <w:sz w:val="20"/>
          <w:szCs w:val="20"/>
          <w:lang w:val="en-US" w:eastAsia="en-US" w:bidi="ar-SA"/>
        </w:rPr>
        <w:t>承包人提交要求提前或延长工期的施工进度计划及相应施工措施等详细资料。</w:t>
      </w:r>
    </w:p>
    <w:p w14:paraId="43A4B2A8">
      <w:pPr>
        <w:kinsoku w:val="0"/>
        <w:autoSpaceDE w:val="0"/>
        <w:autoSpaceDN w:val="0"/>
        <w:adjustRightInd w:val="0"/>
        <w:snapToGrid w:val="0"/>
        <w:spacing w:before="165" w:line="240" w:lineRule="auto"/>
        <w:ind w:left="435" w:right="7" w:hanging="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（3）</w:t>
      </w:r>
      <w:r>
        <w:rPr>
          <w:rFonts w:ascii="宋体" w:hAnsi="宋体" w:eastAsia="宋体" w:cs="宋体"/>
          <w:snapToGrid w:val="0"/>
          <w:color w:val="000000"/>
          <w:spacing w:val="2"/>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除专用合同条款对期限另有约定外，监理人收到承包人变更报价书后的 14 天</w:t>
      </w:r>
      <w:r>
        <w:rPr>
          <w:rFonts w:ascii="宋体" w:hAnsi="宋体" w:eastAsia="宋体" w:cs="宋体"/>
          <w:snapToGrid w:val="0"/>
          <w:color w:val="000000"/>
          <w:spacing w:val="6"/>
          <w:kern w:val="0"/>
          <w:sz w:val="20"/>
          <w:szCs w:val="20"/>
          <w:lang w:val="en-US" w:eastAsia="en-US" w:bidi="ar-SA"/>
        </w:rPr>
        <w:t>内，根据第</w:t>
      </w:r>
      <w:r>
        <w:rPr>
          <w:rFonts w:ascii="宋体" w:hAnsi="宋体" w:eastAsia="宋体" w:cs="宋体"/>
          <w:b/>
          <w:bCs/>
          <w:snapToGrid w:val="0"/>
          <w:color w:val="000000"/>
          <w:spacing w:val="7"/>
          <w:kern w:val="0"/>
          <w:sz w:val="20"/>
          <w:szCs w:val="20"/>
          <w:lang w:val="en-US" w:eastAsia="en-US" w:bidi="ar-SA"/>
        </w:rPr>
        <w:t>15.4</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款约定的估价原则，按照第 3.5 款商定或确定变</w:t>
      </w:r>
      <w:r>
        <w:rPr>
          <w:rFonts w:ascii="宋体" w:hAnsi="宋体" w:eastAsia="宋体" w:cs="宋体"/>
          <w:snapToGrid w:val="0"/>
          <w:color w:val="000000"/>
          <w:spacing w:val="6"/>
          <w:kern w:val="0"/>
          <w:sz w:val="20"/>
          <w:szCs w:val="20"/>
          <w:lang w:val="en-US" w:eastAsia="en-US" w:bidi="ar-SA"/>
        </w:rPr>
        <w:t>更价格。</w:t>
      </w:r>
    </w:p>
    <w:p w14:paraId="4F8E2D37">
      <w:pPr>
        <w:kinsoku w:val="0"/>
        <w:autoSpaceDE w:val="0"/>
        <w:autoSpaceDN w:val="0"/>
        <w:adjustRightInd w:val="0"/>
        <w:snapToGrid w:val="0"/>
        <w:spacing w:before="163"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15.3.3</w:t>
      </w:r>
      <w:r>
        <w:rPr>
          <w:rFonts w:ascii="宋体" w:hAnsi="宋体" w:eastAsia="宋体" w:cs="宋体"/>
          <w:snapToGrid w:val="0"/>
          <w:color w:val="000000"/>
          <w:spacing w:val="3"/>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变更指示</w:t>
      </w:r>
    </w:p>
    <w:p w14:paraId="0E5204B6">
      <w:pPr>
        <w:kinsoku w:val="0"/>
        <w:autoSpaceDE w:val="0"/>
        <w:autoSpaceDN w:val="0"/>
        <w:adjustRightInd w:val="0"/>
        <w:snapToGrid w:val="0"/>
        <w:spacing w:before="160"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18"/>
          <w:szCs w:val="18"/>
          <w:lang w:val="en-US" w:eastAsia="en-US" w:bidi="ar-SA"/>
        </w:rPr>
        <w:t xml:space="preserve">（1）    </w:t>
      </w:r>
      <w:r>
        <w:rPr>
          <w:rFonts w:ascii="宋体" w:hAnsi="宋体" w:eastAsia="宋体" w:cs="宋体"/>
          <w:snapToGrid w:val="0"/>
          <w:color w:val="000000"/>
          <w:spacing w:val="6"/>
          <w:kern w:val="0"/>
          <w:sz w:val="20"/>
          <w:szCs w:val="20"/>
          <w:lang w:val="en-US" w:eastAsia="en-US" w:bidi="ar-SA"/>
        </w:rPr>
        <w:t>变更指示只能由监理人发出。</w:t>
      </w:r>
    </w:p>
    <w:p w14:paraId="55C91FF7">
      <w:pPr>
        <w:kinsoku w:val="0"/>
        <w:autoSpaceDE w:val="0"/>
        <w:autoSpaceDN w:val="0"/>
        <w:adjustRightInd w:val="0"/>
        <w:snapToGrid w:val="0"/>
        <w:spacing w:before="40" w:line="240" w:lineRule="auto"/>
        <w:ind w:left="17" w:right="189" w:firstLine="4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（2）    </w:t>
      </w:r>
      <w:r>
        <w:rPr>
          <w:rFonts w:ascii="宋体" w:hAnsi="宋体" w:eastAsia="宋体" w:cs="宋体"/>
          <w:snapToGrid w:val="0"/>
          <w:color w:val="000000"/>
          <w:spacing w:val="9"/>
          <w:kern w:val="0"/>
          <w:sz w:val="20"/>
          <w:szCs w:val="20"/>
          <w:lang w:val="en-US" w:eastAsia="en-US" w:bidi="ar-SA"/>
        </w:rPr>
        <w:t>变更指示应说明变更的目的、范围、变更内容以及变更的工程量及其进度</w:t>
      </w:r>
      <w:r>
        <w:rPr>
          <w:rFonts w:ascii="宋体" w:hAnsi="宋体" w:eastAsia="宋体" w:cs="宋体"/>
          <w:snapToGrid w:val="0"/>
          <w:color w:val="000000"/>
          <w:spacing w:val="8"/>
          <w:kern w:val="0"/>
          <w:sz w:val="20"/>
          <w:szCs w:val="20"/>
          <w:lang w:val="en-US" w:eastAsia="en-US" w:bidi="ar-SA"/>
        </w:rPr>
        <w:t>和技术要求，并</w:t>
      </w:r>
      <w:r>
        <w:rPr>
          <w:rFonts w:ascii="宋体" w:hAnsi="宋体" w:eastAsia="宋体" w:cs="宋体"/>
          <w:snapToGrid w:val="0"/>
          <w:color w:val="000000"/>
          <w:spacing w:val="9"/>
          <w:kern w:val="0"/>
          <w:sz w:val="20"/>
          <w:szCs w:val="20"/>
          <w:lang w:val="en-US" w:eastAsia="en-US" w:bidi="ar-SA"/>
        </w:rPr>
        <w:t>附有关图纸和文件。承包人收到变更指示后，应按变更指示进行</w:t>
      </w:r>
      <w:r>
        <w:rPr>
          <w:rFonts w:ascii="宋体" w:hAnsi="宋体" w:eastAsia="宋体" w:cs="宋体"/>
          <w:snapToGrid w:val="0"/>
          <w:color w:val="000000"/>
          <w:spacing w:val="8"/>
          <w:kern w:val="0"/>
          <w:sz w:val="20"/>
          <w:szCs w:val="20"/>
          <w:lang w:val="en-US" w:eastAsia="en-US" w:bidi="ar-SA"/>
        </w:rPr>
        <w:t>变更工作。</w:t>
      </w:r>
    </w:p>
    <w:p w14:paraId="1FA2C233">
      <w:pPr>
        <w:kinsoku w:val="0"/>
        <w:autoSpaceDE w:val="0"/>
        <w:autoSpaceDN w:val="0"/>
        <w:adjustRightInd w:val="0"/>
        <w:snapToGrid w:val="0"/>
        <w:spacing w:before="2"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15.4</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变更的估价原则</w:t>
      </w:r>
    </w:p>
    <w:p w14:paraId="585F9633">
      <w:pPr>
        <w:kinsoku w:val="0"/>
        <w:autoSpaceDE w:val="0"/>
        <w:autoSpaceDN w:val="0"/>
        <w:adjustRightInd w:val="0"/>
        <w:snapToGrid w:val="0"/>
        <w:spacing w:before="180" w:line="240" w:lineRule="auto"/>
        <w:ind w:left="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除专用合同条款另有约定外，因变更引起的价格调整按照本款约定处理。</w:t>
      </w:r>
    </w:p>
    <w:p w14:paraId="6F680DDB">
      <w:pPr>
        <w:kinsoku w:val="0"/>
        <w:autoSpaceDE w:val="0"/>
        <w:autoSpaceDN w:val="0"/>
        <w:adjustRightInd w:val="0"/>
        <w:snapToGrid w:val="0"/>
        <w:spacing w:before="163" w:line="240" w:lineRule="auto"/>
        <w:ind w:left="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15.4.1    已标价工程量清单中有适用于变更工作的</w:t>
      </w:r>
      <w:r>
        <w:rPr>
          <w:rFonts w:ascii="宋体" w:hAnsi="宋体" w:eastAsia="宋体" w:cs="宋体"/>
          <w:snapToGrid w:val="0"/>
          <w:color w:val="000000"/>
          <w:spacing w:val="6"/>
          <w:kern w:val="0"/>
          <w:sz w:val="20"/>
          <w:szCs w:val="20"/>
          <w:lang w:val="en-US" w:eastAsia="en-US" w:bidi="ar-SA"/>
        </w:rPr>
        <w:t>子目的，采用该子目的单价。</w:t>
      </w:r>
    </w:p>
    <w:p w14:paraId="2C49AA8B">
      <w:pPr>
        <w:kinsoku w:val="0"/>
        <w:autoSpaceDE w:val="0"/>
        <w:autoSpaceDN w:val="0"/>
        <w:adjustRightInd w:val="0"/>
        <w:snapToGrid w:val="0"/>
        <w:spacing w:before="163" w:line="240" w:lineRule="auto"/>
        <w:ind w:right="244"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15.4.2    已标价工程量清单中无适用于变更工作的子目，但有类似子目的，可在合理范围内参照类似子目的单价，</w:t>
      </w:r>
      <w:r>
        <w:rPr>
          <w:rFonts w:ascii="宋体" w:hAnsi="宋体" w:eastAsia="宋体" w:cs="宋体"/>
          <w:snapToGrid w:val="0"/>
          <w:color w:val="000000"/>
          <w:spacing w:val="-46"/>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由监理人按第 3.5 款商定或确定变更工作的单价。</w:t>
      </w:r>
    </w:p>
    <w:p w14:paraId="07082675">
      <w:pPr>
        <w:kinsoku w:val="0"/>
        <w:autoSpaceDE w:val="0"/>
        <w:autoSpaceDN w:val="0"/>
        <w:adjustRightInd w:val="0"/>
        <w:snapToGrid w:val="0"/>
        <w:spacing w:before="162" w:line="240" w:lineRule="auto"/>
        <w:ind w:right="244"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15.4.3    已标价工程量清单中无适用或类似子目的单价，可按照成本加利润的原则，由监理人按第 3.5 款商定或确定变更工作的单价。</w:t>
      </w:r>
    </w:p>
    <w:p w14:paraId="1FC758EA">
      <w:pPr>
        <w:kinsoku w:val="0"/>
        <w:autoSpaceDE w:val="0"/>
        <w:autoSpaceDN w:val="0"/>
        <w:adjustRightInd w:val="0"/>
        <w:snapToGrid w:val="0"/>
        <w:spacing w:before="168"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15.5</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承包人的合理化建议</w:t>
      </w:r>
    </w:p>
    <w:p w14:paraId="64EEA7E1">
      <w:pPr>
        <w:kinsoku w:val="0"/>
        <w:autoSpaceDE w:val="0"/>
        <w:autoSpaceDN w:val="0"/>
        <w:adjustRightInd w:val="0"/>
        <w:snapToGrid w:val="0"/>
        <w:spacing w:before="175" w:line="240" w:lineRule="auto"/>
        <w:ind w:left="3" w:right="2" w:firstLine="4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15.5.1   在履行合同过程中，承包人对发包人提供的图纸、技术要求以及其</w:t>
      </w:r>
      <w:r>
        <w:rPr>
          <w:rFonts w:ascii="宋体" w:hAnsi="宋体" w:eastAsia="宋体" w:cs="宋体"/>
          <w:snapToGrid w:val="0"/>
          <w:color w:val="000000"/>
          <w:spacing w:val="14"/>
          <w:kern w:val="0"/>
          <w:sz w:val="20"/>
          <w:szCs w:val="20"/>
          <w:lang w:val="en-US" w:eastAsia="en-US" w:bidi="ar-SA"/>
        </w:rPr>
        <w:t>他方面提出的合理化建议，均应以书面形式提交监理人。合理化建议书的内容应包括建议工作的详细说明、进度计划和效益以及与其他工作的协调等，并附必要的设计文件。监理人应与发包人协商是否采纳建议。建议被采纳并</w:t>
      </w:r>
      <w:r>
        <w:rPr>
          <w:rFonts w:ascii="宋体" w:hAnsi="宋体" w:eastAsia="宋体" w:cs="宋体"/>
          <w:snapToGrid w:val="0"/>
          <w:color w:val="000000"/>
          <w:spacing w:val="7"/>
          <w:kern w:val="0"/>
          <w:sz w:val="20"/>
          <w:szCs w:val="20"/>
          <w:lang w:val="en-US" w:eastAsia="en-US" w:bidi="ar-SA"/>
        </w:rPr>
        <w:t>构成变更的，应按第</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15.3.3 项约定向承包人发出变更指示。</w:t>
      </w:r>
    </w:p>
    <w:p w14:paraId="7D2B837F">
      <w:pPr>
        <w:kinsoku w:val="0"/>
        <w:autoSpaceDE w:val="0"/>
        <w:autoSpaceDN w:val="0"/>
        <w:adjustRightInd w:val="0"/>
        <w:snapToGrid w:val="0"/>
        <w:spacing w:before="162" w:line="240" w:lineRule="auto"/>
        <w:ind w:left="2" w:right="2"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15.5.2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承包人提出的合理化建议降低了合同价格、缩短了工期或者提高了工程经济效益</w:t>
      </w:r>
      <w:r>
        <w:rPr>
          <w:rFonts w:ascii="宋体" w:hAnsi="宋体" w:eastAsia="宋体" w:cs="宋体"/>
          <w:snapToGrid w:val="0"/>
          <w:color w:val="000000"/>
          <w:spacing w:val="8"/>
          <w:kern w:val="0"/>
          <w:sz w:val="20"/>
          <w:szCs w:val="20"/>
          <w:lang w:val="en-US" w:eastAsia="en-US" w:bidi="ar-SA"/>
        </w:rPr>
        <w:t>的，发包</w:t>
      </w:r>
      <w:r>
        <w:rPr>
          <w:rFonts w:ascii="宋体" w:hAnsi="宋体" w:eastAsia="宋体" w:cs="宋体"/>
          <w:snapToGrid w:val="0"/>
          <w:color w:val="000000"/>
          <w:spacing w:val="9"/>
          <w:kern w:val="0"/>
          <w:sz w:val="20"/>
          <w:szCs w:val="20"/>
          <w:lang w:val="en-US" w:eastAsia="en-US" w:bidi="ar-SA"/>
        </w:rPr>
        <w:t>人可按国家有关规定在专用合同条款中约定给予奖励。</w:t>
      </w:r>
    </w:p>
    <w:p w14:paraId="1918548B">
      <w:pPr>
        <w:kinsoku w:val="0"/>
        <w:autoSpaceDE w:val="0"/>
        <w:autoSpaceDN w:val="0"/>
        <w:adjustRightInd w:val="0"/>
        <w:snapToGrid w:val="0"/>
        <w:spacing w:before="167"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15.6</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暂列金额</w:t>
      </w:r>
    </w:p>
    <w:p w14:paraId="3312A6D3">
      <w:pPr>
        <w:kinsoku w:val="0"/>
        <w:autoSpaceDE w:val="0"/>
        <w:autoSpaceDN w:val="0"/>
        <w:adjustRightInd w:val="0"/>
        <w:snapToGrid w:val="0"/>
        <w:spacing w:before="176"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暂列金额只能按照监理人的指示使用，并对合同价格进行相应调整。</w:t>
      </w:r>
    </w:p>
    <w:p w14:paraId="19FCCA08">
      <w:pPr>
        <w:kinsoku w:val="0"/>
        <w:autoSpaceDE w:val="0"/>
        <w:autoSpaceDN w:val="0"/>
        <w:adjustRightInd w:val="0"/>
        <w:snapToGrid w:val="0"/>
        <w:spacing w:before="170"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15.7</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计日工</w:t>
      </w:r>
    </w:p>
    <w:p w14:paraId="1486E196">
      <w:pPr>
        <w:kinsoku w:val="0"/>
        <w:autoSpaceDE w:val="0"/>
        <w:autoSpaceDN w:val="0"/>
        <w:adjustRightInd w:val="0"/>
        <w:snapToGrid w:val="0"/>
        <w:spacing w:before="174" w:line="240" w:lineRule="auto"/>
        <w:ind w:left="5" w:right="21" w:firstLine="430"/>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7"/>
          <w:kern w:val="0"/>
          <w:sz w:val="20"/>
          <w:szCs w:val="20"/>
          <w:lang w:val="en-US" w:eastAsia="en-US" w:bidi="ar-SA"/>
        </w:rPr>
        <w:t>15.7.1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发包人认为有必要时，</w:t>
      </w:r>
      <w:r>
        <w:rPr>
          <w:rFonts w:ascii="宋体" w:hAnsi="宋体" w:eastAsia="宋体" w:cs="宋体"/>
          <w:snapToGrid w:val="0"/>
          <w:color w:val="000000"/>
          <w:spacing w:val="-57"/>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由监理人通知承包人以计日工方式实施变更的零星工作。其价款</w:t>
      </w:r>
      <w:r>
        <w:rPr>
          <w:rFonts w:ascii="宋体" w:hAnsi="宋体" w:eastAsia="宋体" w:cs="宋体"/>
          <w:snapToGrid w:val="0"/>
          <w:color w:val="000000"/>
          <w:spacing w:val="7"/>
          <w:kern w:val="0"/>
          <w:sz w:val="22"/>
          <w:szCs w:val="22"/>
          <w:lang w:val="en-US" w:eastAsia="en-US" w:bidi="ar-SA"/>
        </w:rPr>
        <w:t>按</w:t>
      </w:r>
      <w:r>
        <w:rPr>
          <w:rFonts w:ascii="宋体" w:hAnsi="宋体" w:eastAsia="宋体" w:cs="宋体"/>
          <w:snapToGrid w:val="0"/>
          <w:color w:val="000000"/>
          <w:spacing w:val="-1"/>
          <w:kern w:val="0"/>
          <w:sz w:val="22"/>
          <w:szCs w:val="22"/>
          <w:lang w:val="en-US" w:eastAsia="en-US" w:bidi="ar-SA"/>
        </w:rPr>
        <w:t>列入已标价工程量清单中的计日工计价子目及其单价进行计算。</w:t>
      </w:r>
    </w:p>
    <w:p w14:paraId="1057C528">
      <w:pPr>
        <w:kinsoku w:val="0"/>
        <w:autoSpaceDE w:val="0"/>
        <w:autoSpaceDN w:val="0"/>
        <w:adjustRightInd w:val="0"/>
        <w:snapToGrid w:val="0"/>
        <w:spacing w:before="168" w:line="240" w:lineRule="auto"/>
        <w:ind w:right="244" w:firstLine="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15.7.2</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采用计日工计价的任何一项变更工作，应从暂列金额中支付，承包人应在该项变更的实</w:t>
      </w:r>
      <w:r>
        <w:rPr>
          <w:rFonts w:ascii="宋体" w:hAnsi="宋体" w:eastAsia="宋体" w:cs="宋体"/>
          <w:snapToGrid w:val="0"/>
          <w:color w:val="000000"/>
          <w:spacing w:val="9"/>
          <w:kern w:val="0"/>
          <w:sz w:val="20"/>
          <w:szCs w:val="20"/>
          <w:lang w:val="en-US" w:eastAsia="en-US" w:bidi="ar-SA"/>
        </w:rPr>
        <w:t>施过程中，每天提交以下报表和有关凭证报送监理人审批：</w:t>
      </w:r>
    </w:p>
    <w:p w14:paraId="7C33A22D">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（1）</w:t>
      </w:r>
      <w:r>
        <w:rPr>
          <w:rFonts w:ascii="宋体" w:hAnsi="宋体" w:eastAsia="宋体" w:cs="宋体"/>
          <w:snapToGrid w:val="0"/>
          <w:color w:val="000000"/>
          <w:spacing w:val="20"/>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工作名称、内容和数量；</w:t>
      </w:r>
    </w:p>
    <w:p w14:paraId="215812B8">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   投入该工作所有人员的姓名、工种</w:t>
      </w:r>
      <w:r>
        <w:rPr>
          <w:rFonts w:ascii="宋体" w:hAnsi="宋体" w:eastAsia="宋体" w:cs="宋体"/>
          <w:snapToGrid w:val="0"/>
          <w:color w:val="000000"/>
          <w:spacing w:val="8"/>
          <w:kern w:val="0"/>
          <w:sz w:val="20"/>
          <w:szCs w:val="20"/>
          <w:lang w:val="en-US" w:eastAsia="en-US" w:bidi="ar-SA"/>
        </w:rPr>
        <w:t>、级别和耗用工时；</w:t>
      </w:r>
    </w:p>
    <w:p w14:paraId="1B2131D7">
      <w:pPr>
        <w:kinsoku w:val="0"/>
        <w:autoSpaceDE w:val="0"/>
        <w:autoSpaceDN w:val="0"/>
        <w:adjustRightInd w:val="0"/>
        <w:snapToGrid w:val="0"/>
        <w:spacing w:before="164"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（3）</w:t>
      </w:r>
      <w:r>
        <w:rPr>
          <w:rFonts w:ascii="宋体" w:hAnsi="宋体" w:eastAsia="宋体" w:cs="宋体"/>
          <w:snapToGrid w:val="0"/>
          <w:color w:val="000000"/>
          <w:spacing w:val="19"/>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投入该工作的材料类别和数量；</w:t>
      </w:r>
    </w:p>
    <w:p w14:paraId="3337DE81">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（4）   投入该工作的施工设备型号、台数和耗用台时；</w:t>
      </w:r>
    </w:p>
    <w:p w14:paraId="11382BE0">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（5）</w:t>
      </w:r>
      <w:r>
        <w:rPr>
          <w:rFonts w:ascii="宋体" w:hAnsi="宋体" w:eastAsia="宋体" w:cs="宋体"/>
          <w:snapToGrid w:val="0"/>
          <w:color w:val="000000"/>
          <w:spacing w:val="2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监理人要求提交的其他资料和凭证。</w:t>
      </w:r>
    </w:p>
    <w:p w14:paraId="1AAB1D8F">
      <w:pPr>
        <w:kinsoku w:val="0"/>
        <w:autoSpaceDE w:val="0"/>
        <w:autoSpaceDN w:val="0"/>
        <w:adjustRightInd w:val="0"/>
        <w:snapToGrid w:val="0"/>
        <w:spacing w:before="161" w:line="240" w:lineRule="auto"/>
        <w:ind w:left="4" w:right="31" w:firstLine="43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20"/>
          <w:szCs w:val="20"/>
          <w:lang w:val="en-US" w:eastAsia="en-US" w:bidi="ar-SA"/>
        </w:rPr>
        <w:t>15.7.3</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计日工由承包人汇总后，按第</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17.3.2 项的约定列入进度付款申请单，</w:t>
      </w:r>
      <w:r>
        <w:rPr>
          <w:rFonts w:ascii="宋体" w:hAnsi="宋体" w:eastAsia="宋体" w:cs="宋体"/>
          <w:snapToGrid w:val="0"/>
          <w:color w:val="000000"/>
          <w:spacing w:val="-58"/>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由监理人复核并经</w:t>
      </w:r>
      <w:r>
        <w:rPr>
          <w:rFonts w:ascii="宋体" w:hAnsi="宋体" w:eastAsia="宋体" w:cs="宋体"/>
          <w:snapToGrid w:val="0"/>
          <w:color w:val="000000"/>
          <w:spacing w:val="8"/>
          <w:kern w:val="0"/>
          <w:sz w:val="20"/>
          <w:szCs w:val="20"/>
          <w:lang w:val="en-US" w:eastAsia="en-US" w:bidi="ar-SA"/>
        </w:rPr>
        <w:t>发包人同意后列入进度付款。</w:t>
      </w:r>
    </w:p>
    <w:p w14:paraId="2E1E211C">
      <w:pPr>
        <w:kinsoku w:val="0"/>
        <w:autoSpaceDE w:val="0"/>
        <w:autoSpaceDN w:val="0"/>
        <w:adjustRightInd w:val="0"/>
        <w:snapToGrid w:val="0"/>
        <w:spacing w:before="2"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9"/>
          <w:kern w:val="0"/>
          <w:sz w:val="24"/>
          <w:szCs w:val="24"/>
          <w:lang w:val="en-US" w:eastAsia="en-US" w:bidi="ar-SA"/>
        </w:rPr>
        <w:t>15.8</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9"/>
          <w:kern w:val="0"/>
          <w:sz w:val="24"/>
          <w:szCs w:val="24"/>
          <w:lang w:val="en-US" w:eastAsia="en-US" w:bidi="ar-SA"/>
        </w:rPr>
        <w:t>暂估价</w:t>
      </w:r>
    </w:p>
    <w:p w14:paraId="7ED69844">
      <w:pPr>
        <w:kinsoku w:val="0"/>
        <w:autoSpaceDE w:val="0"/>
        <w:autoSpaceDN w:val="0"/>
        <w:adjustRightInd w:val="0"/>
        <w:snapToGrid w:val="0"/>
        <w:spacing w:before="176" w:line="240" w:lineRule="auto"/>
        <w:ind w:firstLine="435"/>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15.8.1</w:t>
      </w:r>
      <w:r>
        <w:rPr>
          <w:rFonts w:ascii="宋体" w:hAnsi="宋体" w:eastAsia="宋体" w:cs="宋体"/>
          <w:snapToGrid w:val="0"/>
          <w:color w:val="000000"/>
          <w:spacing w:val="4"/>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发包人在工程量清单中给定暂估</w:t>
      </w:r>
      <w:r>
        <w:rPr>
          <w:rFonts w:ascii="宋体" w:hAnsi="宋体" w:eastAsia="宋体" w:cs="宋体"/>
          <w:snapToGrid w:val="0"/>
          <w:color w:val="000000"/>
          <w:spacing w:val="8"/>
          <w:kern w:val="0"/>
          <w:sz w:val="20"/>
          <w:szCs w:val="20"/>
          <w:lang w:val="en-US" w:eastAsia="en-US" w:bidi="ar-SA"/>
        </w:rPr>
        <w:t>价的材料、工程设备和专业工程属于依法必须招标的范围</w:t>
      </w:r>
      <w:r>
        <w:rPr>
          <w:rFonts w:ascii="宋体" w:hAnsi="宋体" w:eastAsia="宋体" w:cs="宋体"/>
          <w:snapToGrid w:val="0"/>
          <w:color w:val="000000"/>
          <w:spacing w:val="11"/>
          <w:kern w:val="0"/>
          <w:sz w:val="20"/>
          <w:szCs w:val="20"/>
          <w:lang w:val="en-US" w:eastAsia="en-US" w:bidi="ar-SA"/>
        </w:rPr>
        <w:t>并   达到规定的规模标准的，</w:t>
      </w:r>
      <w:r>
        <w:rPr>
          <w:rFonts w:ascii="宋体" w:hAnsi="宋体" w:eastAsia="宋体" w:cs="宋体"/>
          <w:snapToGrid w:val="0"/>
          <w:color w:val="000000"/>
          <w:spacing w:val="-58"/>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由发包人和</w:t>
      </w:r>
      <w:r>
        <w:rPr>
          <w:rFonts w:ascii="宋体" w:hAnsi="宋体" w:eastAsia="宋体" w:cs="宋体"/>
          <w:snapToGrid w:val="0"/>
          <w:color w:val="000000"/>
          <w:spacing w:val="10"/>
          <w:kern w:val="0"/>
          <w:sz w:val="20"/>
          <w:szCs w:val="20"/>
          <w:lang w:val="en-US" w:eastAsia="en-US" w:bidi="ar-SA"/>
        </w:rPr>
        <w:t>承包人以招标的方式选择供应商或分包人。发包人和承包人的</w:t>
      </w:r>
      <w:r>
        <w:rPr>
          <w:rFonts w:ascii="宋体" w:hAnsi="宋体" w:eastAsia="宋体" w:cs="宋体"/>
          <w:snapToGrid w:val="0"/>
          <w:color w:val="000000"/>
          <w:spacing w:val="14"/>
          <w:kern w:val="0"/>
          <w:sz w:val="20"/>
          <w:szCs w:val="20"/>
          <w:lang w:val="en-US" w:eastAsia="en-US" w:bidi="ar-SA"/>
        </w:rPr>
        <w:t>权利义务关系在专用合同条款中约定。中标金额与工程量清单中所列的暂估价的金额差以及相应的税金</w:t>
      </w:r>
      <w:r>
        <w:rPr>
          <w:rFonts w:ascii="宋体" w:hAnsi="宋体" w:eastAsia="宋体" w:cs="宋体"/>
          <w:snapToGrid w:val="0"/>
          <w:color w:val="000000"/>
          <w:spacing w:val="8"/>
          <w:kern w:val="0"/>
          <w:sz w:val="20"/>
          <w:szCs w:val="20"/>
          <w:lang w:val="en-US" w:eastAsia="en-US" w:bidi="ar-SA"/>
        </w:rPr>
        <w:t>等其他费用列入合同价格。</w:t>
      </w:r>
    </w:p>
    <w:p w14:paraId="3F2D073A">
      <w:pPr>
        <w:kinsoku w:val="0"/>
        <w:autoSpaceDE w:val="0"/>
        <w:autoSpaceDN w:val="0"/>
        <w:adjustRightInd w:val="0"/>
        <w:snapToGrid w:val="0"/>
        <w:spacing w:before="43" w:line="240" w:lineRule="auto"/>
        <w:ind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15.8.2   发包人在工程量清单中给定暂估价的材料和工程设备不属于依法必须招标的范围或未达到</w:t>
      </w:r>
      <w:r>
        <w:rPr>
          <w:rFonts w:ascii="宋体" w:hAnsi="宋体" w:eastAsia="宋体" w:cs="宋体"/>
          <w:snapToGrid w:val="0"/>
          <w:color w:val="000000"/>
          <w:spacing w:val="11"/>
          <w:kern w:val="0"/>
          <w:sz w:val="20"/>
          <w:szCs w:val="20"/>
          <w:lang w:val="en-US" w:eastAsia="en-US" w:bidi="ar-SA"/>
        </w:rPr>
        <w:t>规定的规模标准的，应由承包人按第 5.1 款的约定提供。经监理人确认的材料、工程设备的价格与工程</w:t>
      </w:r>
      <w:r>
        <w:rPr>
          <w:rFonts w:ascii="宋体" w:hAnsi="宋体" w:eastAsia="宋体" w:cs="宋体"/>
          <w:snapToGrid w:val="0"/>
          <w:color w:val="000000"/>
          <w:spacing w:val="9"/>
          <w:kern w:val="0"/>
          <w:sz w:val="20"/>
          <w:szCs w:val="20"/>
          <w:lang w:val="en-US" w:eastAsia="en-US" w:bidi="ar-SA"/>
        </w:rPr>
        <w:t>量清单中所列的暂估价的金额差以及相应的税金等其他费用列入合同价格。</w:t>
      </w:r>
    </w:p>
    <w:p w14:paraId="353AF30C">
      <w:pPr>
        <w:kinsoku w:val="0"/>
        <w:autoSpaceDE w:val="0"/>
        <w:autoSpaceDN w:val="0"/>
        <w:adjustRightInd w:val="0"/>
        <w:snapToGrid w:val="0"/>
        <w:spacing w:before="163" w:line="240" w:lineRule="auto"/>
        <w:ind w:left="1"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15.8.3   发包人在工程量清单中给定暂估价的专业工程不属于依法必须招标的范围或未达到规定的</w:t>
      </w:r>
      <w:r>
        <w:rPr>
          <w:rFonts w:ascii="宋体" w:hAnsi="宋体" w:eastAsia="宋体" w:cs="宋体"/>
          <w:snapToGrid w:val="0"/>
          <w:color w:val="000000"/>
          <w:spacing w:val="12"/>
          <w:kern w:val="0"/>
          <w:sz w:val="20"/>
          <w:szCs w:val="20"/>
          <w:lang w:val="en-US" w:eastAsia="en-US" w:bidi="ar-SA"/>
        </w:rPr>
        <w:t>规模标准的，</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由监理人按照第</w:t>
      </w:r>
      <w:r>
        <w:rPr>
          <w:rFonts w:ascii="宋体" w:hAnsi="宋体" w:eastAsia="宋体" w:cs="宋体"/>
          <w:snapToGrid w:val="0"/>
          <w:color w:val="000000"/>
          <w:spacing w:val="41"/>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15.4 款进行估价，但专用合</w:t>
      </w:r>
      <w:r>
        <w:rPr>
          <w:rFonts w:ascii="宋体" w:hAnsi="宋体" w:eastAsia="宋体" w:cs="宋体"/>
          <w:snapToGrid w:val="0"/>
          <w:color w:val="000000"/>
          <w:spacing w:val="11"/>
          <w:kern w:val="0"/>
          <w:sz w:val="20"/>
          <w:szCs w:val="20"/>
          <w:lang w:val="en-US" w:eastAsia="en-US" w:bidi="ar-SA"/>
        </w:rPr>
        <w:t>同条款另有约定的除外。经估价的专业工程</w:t>
      </w:r>
      <w:r>
        <w:rPr>
          <w:rFonts w:ascii="宋体" w:hAnsi="宋体" w:eastAsia="宋体" w:cs="宋体"/>
          <w:snapToGrid w:val="0"/>
          <w:color w:val="000000"/>
          <w:spacing w:val="9"/>
          <w:kern w:val="0"/>
          <w:sz w:val="20"/>
          <w:szCs w:val="20"/>
          <w:lang w:val="en-US" w:eastAsia="en-US" w:bidi="ar-SA"/>
        </w:rPr>
        <w:t>与工程量清单中所列的暂估价的金额差以及相应的税金等其他费用列入合同价格。</w:t>
      </w:r>
    </w:p>
    <w:p w14:paraId="1D4EBDE5">
      <w:pPr>
        <w:kinsoku w:val="0"/>
        <w:autoSpaceDE w:val="0"/>
        <w:autoSpaceDN w:val="0"/>
        <w:adjustRightInd w:val="0"/>
        <w:snapToGrid w:val="0"/>
        <w:spacing w:before="173" w:line="240" w:lineRule="auto"/>
        <w:ind w:left="4122"/>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5"/>
          <w:szCs w:val="25"/>
          <w:lang w:val="en-US" w:eastAsia="en-US" w:bidi="ar-SA"/>
        </w:rPr>
        <w:t>16.</w:t>
      </w:r>
      <w:r>
        <w:rPr>
          <w:rFonts w:ascii="宋体" w:hAnsi="宋体" w:eastAsia="宋体" w:cs="宋体"/>
          <w:snapToGrid w:val="0"/>
          <w:color w:val="000000"/>
          <w:spacing w:val="21"/>
          <w:kern w:val="0"/>
          <w:sz w:val="25"/>
          <w:szCs w:val="25"/>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价格调整</w:t>
      </w:r>
    </w:p>
    <w:p w14:paraId="06FFCCD0">
      <w:pPr>
        <w:kinsoku w:val="0"/>
        <w:autoSpaceDE w:val="0"/>
        <w:autoSpaceDN w:val="0"/>
        <w:adjustRightInd w:val="0"/>
        <w:snapToGrid w:val="0"/>
        <w:spacing w:before="176"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16.1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物价波动引起的价格调整</w:t>
      </w:r>
    </w:p>
    <w:p w14:paraId="1D65B34A">
      <w:pPr>
        <w:kinsoku w:val="0"/>
        <w:autoSpaceDE w:val="0"/>
        <w:autoSpaceDN w:val="0"/>
        <w:adjustRightInd w:val="0"/>
        <w:snapToGrid w:val="0"/>
        <w:spacing w:before="180" w:line="240" w:lineRule="auto"/>
        <w:ind w:left="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除专用合同条款另有约定外，因物价波动引起的价格调整按照本款约定处理。</w:t>
      </w:r>
    </w:p>
    <w:p w14:paraId="59B65EB7">
      <w:pPr>
        <w:kinsoku w:val="0"/>
        <w:autoSpaceDE w:val="0"/>
        <w:autoSpaceDN w:val="0"/>
        <w:adjustRightInd w:val="0"/>
        <w:snapToGrid w:val="0"/>
        <w:spacing w:before="163"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16.1.1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采用价格指数调整价格差额</w:t>
      </w:r>
    </w:p>
    <w:p w14:paraId="7B08B0D2">
      <w:pPr>
        <w:kinsoku w:val="0"/>
        <w:autoSpaceDE w:val="0"/>
        <w:autoSpaceDN w:val="0"/>
        <w:adjustRightInd w:val="0"/>
        <w:snapToGrid w:val="0"/>
        <w:spacing w:before="163" w:line="240" w:lineRule="auto"/>
        <w:ind w:left="43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16.1.1.1</w:t>
      </w:r>
      <w:r>
        <w:rPr>
          <w:rFonts w:ascii="宋体" w:hAnsi="宋体" w:eastAsia="宋体" w:cs="宋体"/>
          <w:snapToGrid w:val="0"/>
          <w:color w:val="000000"/>
          <w:spacing w:val="37"/>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价格调整公式</w:t>
      </w:r>
    </w:p>
    <w:p w14:paraId="618E382B">
      <w:pPr>
        <w:kinsoku w:val="0"/>
        <w:autoSpaceDE w:val="0"/>
        <w:autoSpaceDN w:val="0"/>
        <w:adjustRightInd w:val="0"/>
        <w:snapToGrid w:val="0"/>
        <w:spacing w:before="162" w:line="240" w:lineRule="auto"/>
        <w:ind w:right="192" w:firstLine="43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因人工、材料和设备等价格波动影响合同价格时，根据投标函附录中的价格指数和权重表约定的数</w:t>
      </w:r>
      <w:r>
        <w:rPr>
          <w:rFonts w:ascii="宋体" w:hAnsi="宋体" w:eastAsia="宋体" w:cs="宋体"/>
          <w:snapToGrid w:val="0"/>
          <w:color w:val="000000"/>
          <w:spacing w:val="8"/>
          <w:kern w:val="0"/>
          <w:sz w:val="20"/>
          <w:szCs w:val="20"/>
          <w:lang w:val="en-US" w:eastAsia="en-US" w:bidi="ar-SA"/>
        </w:rPr>
        <w:t>据，按以下公式计算差额并调整合同价格。</w:t>
      </w:r>
    </w:p>
    <w:p w14:paraId="45FB9AB8">
      <w:pPr>
        <w:spacing w:line="240" w:lineRule="auto"/>
        <w:ind w:firstLine="1879"/>
      </w:pPr>
      <w:r>
        <w:rPr>
          <w:position w:val="-15"/>
        </w:rPr>
        <w:drawing>
          <wp:inline distT="0" distB="0" distL="0" distR="0">
            <wp:extent cx="3995420" cy="504190"/>
            <wp:effectExtent l="0" t="0" r="5080" b="10160"/>
            <wp:docPr id="8" name="IM 2"/>
            <wp:cNvGraphicFramePr/>
            <a:graphic xmlns:a="http://schemas.openxmlformats.org/drawingml/2006/main">
              <a:graphicData uri="http://schemas.openxmlformats.org/drawingml/2006/picture">
                <pic:pic xmlns:pic="http://schemas.openxmlformats.org/drawingml/2006/picture">
                  <pic:nvPicPr>
                    <pic:cNvPr id="8" name="IM 2"/>
                    <pic:cNvPicPr/>
                  </pic:nvPicPr>
                  <pic:blipFill>
                    <a:blip r:embed="rId226"/>
                    <a:stretch>
                      <a:fillRect/>
                    </a:stretch>
                  </pic:blipFill>
                  <pic:spPr>
                    <a:xfrm>
                      <a:off x="0" y="0"/>
                      <a:ext cx="3995928" cy="504444"/>
                    </a:xfrm>
                    <a:prstGeom prst="rect">
                      <a:avLst/>
                    </a:prstGeom>
                  </pic:spPr>
                </pic:pic>
              </a:graphicData>
            </a:graphic>
          </wp:inline>
        </w:drawing>
      </w:r>
    </w:p>
    <w:p w14:paraId="52EDA59F">
      <w:pPr>
        <w:kinsoku w:val="0"/>
        <w:autoSpaceDE w:val="0"/>
        <w:autoSpaceDN w:val="0"/>
        <w:adjustRightInd w:val="0"/>
        <w:snapToGrid w:val="0"/>
        <w:spacing w:before="169" w:line="240" w:lineRule="auto"/>
        <w:ind w:left="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20"/>
          <w:szCs w:val="20"/>
          <w:lang w:val="en-US" w:eastAsia="en-US" w:bidi="ar-SA"/>
        </w:rPr>
        <w:t>式中：</w:t>
      </w:r>
      <w:r>
        <w:rPr>
          <w:rFonts w:ascii="宋体" w:hAnsi="宋体" w:eastAsia="宋体" w:cs="宋体"/>
          <w:snapToGrid w:val="0"/>
          <w:color w:val="000000"/>
          <w:spacing w:val="-59"/>
          <w:kern w:val="0"/>
          <w:sz w:val="20"/>
          <w:szCs w:val="20"/>
          <w:lang w:val="en-US" w:eastAsia="en-US" w:bidi="ar-SA"/>
        </w:rPr>
        <w:t xml:space="preserve"> </w:t>
      </w:r>
      <w:r>
        <w:rPr>
          <w:rFonts w:ascii="宋体" w:hAnsi="宋体" w:eastAsia="宋体" w:cs="宋体"/>
          <w:snapToGrid w:val="0"/>
          <w:color w:val="000000"/>
          <w:spacing w:val="5"/>
          <w:kern w:val="0"/>
          <w:sz w:val="20"/>
          <w:szCs w:val="20"/>
          <w:lang w:val="en-US" w:eastAsia="en-US" w:bidi="ar-SA"/>
        </w:rPr>
        <w:t>△P--需调整的价格差额；</w:t>
      </w:r>
    </w:p>
    <w:p w14:paraId="42C2EE09">
      <w:pPr>
        <w:kinsoku w:val="0"/>
        <w:autoSpaceDE w:val="0"/>
        <w:autoSpaceDN w:val="0"/>
        <w:adjustRightInd w:val="0"/>
        <w:snapToGrid w:val="0"/>
        <w:spacing w:before="162" w:line="240" w:lineRule="auto"/>
        <w:ind w:left="2" w:right="36" w:firstLine="4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P</w:t>
      </w:r>
      <w:r>
        <w:rPr>
          <w:rFonts w:ascii="宋体" w:hAnsi="宋体" w:eastAsia="宋体" w:cs="宋体"/>
          <w:snapToGrid w:val="0"/>
          <w:color w:val="000000"/>
          <w:spacing w:val="7"/>
          <w:kern w:val="0"/>
          <w:sz w:val="10"/>
          <w:szCs w:val="10"/>
          <w:lang w:val="en-US" w:eastAsia="en-US" w:bidi="ar-SA"/>
        </w:rPr>
        <w:t>0</w:t>
      </w:r>
      <w:r>
        <w:rPr>
          <w:rFonts w:ascii="宋体" w:hAnsi="宋体" w:eastAsia="宋体" w:cs="宋体"/>
          <w:snapToGrid w:val="0"/>
          <w:color w:val="000000"/>
          <w:spacing w:val="7"/>
          <w:kern w:val="0"/>
          <w:sz w:val="20"/>
          <w:szCs w:val="20"/>
          <w:lang w:val="en-US" w:eastAsia="en-US" w:bidi="ar-SA"/>
        </w:rPr>
        <w:t>--第 17.3.3 项、第 17.5.2</w:t>
      </w:r>
      <w:r>
        <w:rPr>
          <w:rFonts w:ascii="宋体" w:hAnsi="宋体" w:eastAsia="宋体" w:cs="宋体"/>
          <w:snapToGrid w:val="0"/>
          <w:color w:val="000000"/>
          <w:spacing w:val="18"/>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项和第</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17.6.2 项约定的付款证书中承包人</w:t>
      </w:r>
      <w:r>
        <w:rPr>
          <w:rFonts w:ascii="宋体" w:hAnsi="宋体" w:eastAsia="宋体" w:cs="宋体"/>
          <w:snapToGrid w:val="0"/>
          <w:color w:val="000000"/>
          <w:spacing w:val="6"/>
          <w:kern w:val="0"/>
          <w:sz w:val="20"/>
          <w:szCs w:val="20"/>
          <w:lang w:val="en-US" w:eastAsia="en-US" w:bidi="ar-SA"/>
        </w:rPr>
        <w:t>应得到的已完成工程量的</w:t>
      </w:r>
      <w:r>
        <w:rPr>
          <w:rFonts w:ascii="宋体" w:hAnsi="宋体" w:eastAsia="宋体" w:cs="宋体"/>
          <w:snapToGrid w:val="0"/>
          <w:color w:val="000000"/>
          <w:spacing w:val="9"/>
          <w:kern w:val="0"/>
          <w:sz w:val="20"/>
          <w:szCs w:val="20"/>
          <w:lang w:val="en-US" w:eastAsia="en-US" w:bidi="ar-SA"/>
        </w:rPr>
        <w:t>金额。此项金额应不包括价格调整、不计质量保证金的扣留和支付、预付款的支付和扣</w:t>
      </w:r>
      <w:r>
        <w:rPr>
          <w:rFonts w:ascii="宋体" w:hAnsi="宋体" w:eastAsia="宋体" w:cs="宋体"/>
          <w:snapToGrid w:val="0"/>
          <w:color w:val="000000"/>
          <w:spacing w:val="8"/>
          <w:kern w:val="0"/>
          <w:sz w:val="20"/>
          <w:szCs w:val="20"/>
          <w:lang w:val="en-US" w:eastAsia="en-US" w:bidi="ar-SA"/>
        </w:rPr>
        <w:t>回。第</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15 条约</w:t>
      </w:r>
      <w:r>
        <w:rPr>
          <w:rFonts w:ascii="宋体" w:hAnsi="宋体" w:eastAsia="宋体" w:cs="宋体"/>
          <w:snapToGrid w:val="0"/>
          <w:color w:val="000000"/>
          <w:spacing w:val="9"/>
          <w:kern w:val="0"/>
          <w:sz w:val="20"/>
          <w:szCs w:val="20"/>
          <w:lang w:val="en-US" w:eastAsia="en-US" w:bidi="ar-SA"/>
        </w:rPr>
        <w:t>定的变更及其他金额已按现行价格计价的，也不计在内；</w:t>
      </w:r>
    </w:p>
    <w:p w14:paraId="33D41553">
      <w:pPr>
        <w:kinsoku w:val="0"/>
        <w:autoSpaceDE w:val="0"/>
        <w:autoSpaceDN w:val="0"/>
        <w:adjustRightInd w:val="0"/>
        <w:snapToGrid w:val="0"/>
        <w:spacing w:before="1" w:line="240" w:lineRule="auto"/>
        <w:ind w:left="4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A--定值权重（即不调部分的权重</w:t>
      </w:r>
      <w:r>
        <w:rPr>
          <w:rFonts w:ascii="宋体" w:hAnsi="宋体" w:eastAsia="宋体" w:cs="宋体"/>
          <w:snapToGrid w:val="0"/>
          <w:color w:val="000000"/>
          <w:kern w:val="0"/>
          <w:sz w:val="20"/>
          <w:szCs w:val="20"/>
          <w:lang w:val="en-US" w:eastAsia="en-US" w:bidi="ar-SA"/>
        </w:rPr>
        <w:t>）；</w:t>
      </w:r>
    </w:p>
    <w:p w14:paraId="038B1878">
      <w:pPr>
        <w:kinsoku w:val="0"/>
        <w:autoSpaceDE w:val="0"/>
        <w:autoSpaceDN w:val="0"/>
        <w:adjustRightInd w:val="0"/>
        <w:snapToGrid w:val="0"/>
        <w:spacing w:before="163" w:line="240" w:lineRule="auto"/>
        <w:ind w:left="419" w:right="235" w:hanging="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B</w:t>
      </w:r>
      <w:r>
        <w:rPr>
          <w:rFonts w:ascii="宋体" w:hAnsi="宋体" w:eastAsia="宋体" w:cs="宋体"/>
          <w:snapToGrid w:val="0"/>
          <w:color w:val="000000"/>
          <w:spacing w:val="-8"/>
          <w:kern w:val="0"/>
          <w:sz w:val="10"/>
          <w:szCs w:val="10"/>
          <w:lang w:val="en-US" w:eastAsia="en-US" w:bidi="ar-SA"/>
        </w:rPr>
        <w:t>1</w:t>
      </w:r>
      <w:r>
        <w:rPr>
          <w:rFonts w:ascii="宋体" w:hAnsi="宋体" w:eastAsia="宋体" w:cs="宋体"/>
          <w:snapToGrid w:val="0"/>
          <w:color w:val="000000"/>
          <w:spacing w:val="-4"/>
          <w:kern w:val="0"/>
          <w:sz w:val="10"/>
          <w:szCs w:val="10"/>
          <w:lang w:val="en-US" w:eastAsia="en-US" w:bidi="ar-SA"/>
        </w:rPr>
        <w:t xml:space="preserve"> </w:t>
      </w:r>
      <w:r>
        <w:rPr>
          <w:rFonts w:ascii="宋体" w:hAnsi="宋体" w:eastAsia="宋体" w:cs="宋体"/>
          <w:snapToGrid w:val="0"/>
          <w:color w:val="000000"/>
          <w:spacing w:val="-8"/>
          <w:kern w:val="0"/>
          <w:sz w:val="14"/>
          <w:szCs w:val="14"/>
          <w:lang w:val="en-US" w:eastAsia="en-US" w:bidi="ar-SA"/>
        </w:rPr>
        <w:t>;</w:t>
      </w:r>
      <w:r>
        <w:rPr>
          <w:rFonts w:ascii="宋体" w:hAnsi="宋体" w:eastAsia="宋体" w:cs="宋体"/>
          <w:snapToGrid w:val="0"/>
          <w:color w:val="000000"/>
          <w:spacing w:val="3"/>
          <w:kern w:val="0"/>
          <w:sz w:val="20"/>
          <w:szCs w:val="20"/>
          <w:lang w:val="en-US" w:eastAsia="en-US" w:bidi="ar-SA"/>
        </w:rPr>
        <w:t>B</w:t>
      </w:r>
      <w:r>
        <w:rPr>
          <w:rFonts w:ascii="宋体" w:hAnsi="宋体" w:eastAsia="宋体" w:cs="宋体"/>
          <w:snapToGrid w:val="0"/>
          <w:color w:val="000000"/>
          <w:spacing w:val="3"/>
          <w:kern w:val="0"/>
          <w:sz w:val="10"/>
          <w:szCs w:val="10"/>
          <w:lang w:val="en-US" w:eastAsia="en-US" w:bidi="ar-SA"/>
        </w:rPr>
        <w:t>2</w:t>
      </w:r>
      <w:r>
        <w:rPr>
          <w:rFonts w:ascii="宋体" w:hAnsi="宋体" w:eastAsia="宋体" w:cs="宋体"/>
          <w:snapToGrid w:val="0"/>
          <w:color w:val="000000"/>
          <w:spacing w:val="-9"/>
          <w:kern w:val="0"/>
          <w:sz w:val="10"/>
          <w:szCs w:val="10"/>
          <w:lang w:val="en-US" w:eastAsia="en-US" w:bidi="ar-SA"/>
        </w:rPr>
        <w:t xml:space="preserve"> </w:t>
      </w:r>
      <w:r>
        <w:rPr>
          <w:rFonts w:ascii="宋体" w:hAnsi="宋体" w:eastAsia="宋体" w:cs="宋体"/>
          <w:snapToGrid w:val="0"/>
          <w:color w:val="000000"/>
          <w:spacing w:val="-16"/>
          <w:kern w:val="0"/>
          <w:sz w:val="20"/>
          <w:szCs w:val="20"/>
          <w:lang w:val="en-US" w:eastAsia="en-US" w:bidi="ar-SA"/>
        </w:rPr>
        <w:t>;B</w:t>
      </w:r>
      <w:r>
        <w:rPr>
          <w:rFonts w:ascii="宋体" w:hAnsi="宋体" w:eastAsia="宋体" w:cs="宋体"/>
          <w:snapToGrid w:val="0"/>
          <w:color w:val="000000"/>
          <w:spacing w:val="9"/>
          <w:kern w:val="0"/>
          <w:sz w:val="10"/>
          <w:szCs w:val="10"/>
          <w:lang w:val="en-US" w:eastAsia="en-US" w:bidi="ar-SA"/>
        </w:rPr>
        <w:t>3</w:t>
      </w:r>
      <w:r>
        <w:rPr>
          <w:rFonts w:ascii="宋体" w:hAnsi="宋体" w:eastAsia="宋体" w:cs="宋体"/>
          <w:snapToGrid w:val="0"/>
          <w:color w:val="000000"/>
          <w:spacing w:val="-40"/>
          <w:kern w:val="0"/>
          <w:sz w:val="10"/>
          <w:szCs w:val="10"/>
          <w:lang w:val="en-US" w:eastAsia="en-US" w:bidi="ar-SA"/>
        </w:rPr>
        <w:t xml:space="preserve"> </w:t>
      </w:r>
      <w:r>
        <w:rPr>
          <w:rFonts w:ascii="宋体" w:hAnsi="宋体" w:eastAsia="宋体" w:cs="宋体"/>
          <w:snapToGrid w:val="0"/>
          <w:color w:val="000000"/>
          <w:kern w:val="0"/>
          <w:sz w:val="10"/>
          <w:szCs w:val="10"/>
          <w:u w:val="dotted" w:color="auto"/>
          <w:lang w:val="en-US" w:eastAsia="en-US" w:bidi="ar-SA"/>
        </w:rPr>
        <w:t xml:space="preserve">                    </w:t>
      </w:r>
      <w:r>
        <w:rPr>
          <w:rFonts w:ascii="宋体" w:hAnsi="宋体" w:eastAsia="宋体" w:cs="宋体"/>
          <w:snapToGrid w:val="0"/>
          <w:color w:val="000000"/>
          <w:spacing w:val="-10"/>
          <w:kern w:val="0"/>
          <w:sz w:val="10"/>
          <w:szCs w:val="10"/>
          <w:lang w:val="en-US" w:eastAsia="en-US" w:bidi="ar-SA"/>
        </w:rPr>
        <w:t xml:space="preserve"> </w:t>
      </w:r>
      <w:r>
        <w:rPr>
          <w:rFonts w:ascii="宋体" w:hAnsi="宋体" w:eastAsia="宋体" w:cs="宋体"/>
          <w:snapToGrid w:val="0"/>
          <w:color w:val="000000"/>
          <w:kern w:val="0"/>
          <w:sz w:val="20"/>
          <w:szCs w:val="20"/>
          <w:lang w:val="en-US" w:eastAsia="en-US" w:bidi="ar-SA"/>
        </w:rPr>
        <w:t>B</w:t>
      </w:r>
      <w:r>
        <w:rPr>
          <w:rFonts w:ascii="宋体" w:hAnsi="宋体" w:eastAsia="宋体" w:cs="宋体"/>
          <w:snapToGrid w:val="0"/>
          <w:color w:val="000000"/>
          <w:kern w:val="0"/>
          <w:sz w:val="10"/>
          <w:szCs w:val="10"/>
          <w:lang w:val="en-US" w:eastAsia="en-US" w:bidi="ar-SA"/>
        </w:rPr>
        <w:t>n</w:t>
      </w:r>
      <w:r>
        <w:rPr>
          <w:rFonts w:ascii="宋体" w:hAnsi="宋体" w:eastAsia="宋体" w:cs="宋体"/>
          <w:snapToGrid w:val="0"/>
          <w:color w:val="000000"/>
          <w:spacing w:val="9"/>
          <w:kern w:val="0"/>
          <w:sz w:val="20"/>
          <w:szCs w:val="20"/>
          <w:lang w:val="en-US" w:eastAsia="en-US" w:bidi="ar-SA"/>
        </w:rPr>
        <w:t>--各可调因子的变值权重（即可调部分的权重）为各可调因子在投标函投标总</w:t>
      </w:r>
      <w:r>
        <w:rPr>
          <w:rFonts w:ascii="宋体" w:hAnsi="宋体" w:eastAsia="宋体" w:cs="宋体"/>
          <w:snapToGrid w:val="0"/>
          <w:color w:val="000000"/>
          <w:spacing w:val="7"/>
          <w:kern w:val="0"/>
          <w:sz w:val="20"/>
          <w:szCs w:val="20"/>
          <w:lang w:val="en-US" w:eastAsia="en-US" w:bidi="ar-SA"/>
        </w:rPr>
        <w:t>报价中所占的比例；</w:t>
      </w:r>
    </w:p>
    <w:p w14:paraId="7FD1B16A">
      <w:pPr>
        <w:kinsoku w:val="0"/>
        <w:autoSpaceDE w:val="0"/>
        <w:autoSpaceDN w:val="0"/>
        <w:adjustRightInd w:val="0"/>
        <w:snapToGrid w:val="0"/>
        <w:spacing w:line="240" w:lineRule="auto"/>
        <w:ind w:left="423" w:right="510" w:hanging="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kern w:val="0"/>
          <w:sz w:val="20"/>
          <w:szCs w:val="20"/>
          <w:lang w:val="en-US" w:eastAsia="en-US" w:bidi="ar-SA"/>
        </w:rPr>
        <w:t>F</w:t>
      </w:r>
      <w:r>
        <w:rPr>
          <w:rFonts w:ascii="宋体" w:hAnsi="宋体" w:eastAsia="宋体" w:cs="宋体"/>
          <w:snapToGrid w:val="0"/>
          <w:color w:val="000000"/>
          <w:kern w:val="0"/>
          <w:sz w:val="10"/>
          <w:szCs w:val="10"/>
          <w:lang w:val="en-US" w:eastAsia="en-US" w:bidi="ar-SA"/>
        </w:rPr>
        <w:t>t</w:t>
      </w:r>
      <w:r>
        <w:rPr>
          <w:rFonts w:ascii="宋体" w:hAnsi="宋体" w:eastAsia="宋体" w:cs="宋体"/>
          <w:snapToGrid w:val="0"/>
          <w:color w:val="000000"/>
          <w:spacing w:val="1"/>
          <w:kern w:val="0"/>
          <w:sz w:val="10"/>
          <w:szCs w:val="10"/>
          <w:lang w:val="en-US" w:eastAsia="en-US" w:bidi="ar-SA"/>
        </w:rPr>
        <w:t>1</w:t>
      </w:r>
      <w:r>
        <w:rPr>
          <w:rFonts w:ascii="宋体" w:hAnsi="宋体" w:eastAsia="宋体" w:cs="宋体"/>
          <w:snapToGrid w:val="0"/>
          <w:color w:val="000000"/>
          <w:spacing w:val="-8"/>
          <w:kern w:val="0"/>
          <w:sz w:val="10"/>
          <w:szCs w:val="10"/>
          <w:lang w:val="en-US" w:eastAsia="en-US" w:bidi="ar-SA"/>
        </w:rPr>
        <w:t xml:space="preserve"> </w:t>
      </w:r>
      <w:r>
        <w:rPr>
          <w:rFonts w:ascii="宋体" w:hAnsi="宋体" w:eastAsia="宋体" w:cs="宋体"/>
          <w:snapToGrid w:val="0"/>
          <w:color w:val="000000"/>
          <w:spacing w:val="-16"/>
          <w:kern w:val="0"/>
          <w:sz w:val="20"/>
          <w:szCs w:val="20"/>
          <w:lang w:val="en-US" w:eastAsia="en-US" w:bidi="ar-SA"/>
        </w:rPr>
        <w:t>;F</w:t>
      </w:r>
      <w:r>
        <w:rPr>
          <w:rFonts w:ascii="宋体" w:hAnsi="宋体" w:eastAsia="宋体" w:cs="宋体"/>
          <w:snapToGrid w:val="0"/>
          <w:color w:val="000000"/>
          <w:spacing w:val="-1"/>
          <w:kern w:val="0"/>
          <w:sz w:val="10"/>
          <w:szCs w:val="10"/>
          <w:lang w:val="en-US" w:eastAsia="en-US" w:bidi="ar-SA"/>
        </w:rPr>
        <w:t>t2</w:t>
      </w:r>
      <w:r>
        <w:rPr>
          <w:rFonts w:ascii="宋体" w:hAnsi="宋体" w:eastAsia="宋体" w:cs="宋体"/>
          <w:snapToGrid w:val="0"/>
          <w:color w:val="000000"/>
          <w:spacing w:val="-8"/>
          <w:kern w:val="0"/>
          <w:sz w:val="10"/>
          <w:szCs w:val="10"/>
          <w:lang w:val="en-US" w:eastAsia="en-US" w:bidi="ar-SA"/>
        </w:rPr>
        <w:t xml:space="preserve"> </w:t>
      </w:r>
      <w:r>
        <w:rPr>
          <w:rFonts w:ascii="宋体" w:hAnsi="宋体" w:eastAsia="宋体" w:cs="宋体"/>
          <w:snapToGrid w:val="0"/>
          <w:color w:val="000000"/>
          <w:spacing w:val="-15"/>
          <w:kern w:val="0"/>
          <w:sz w:val="20"/>
          <w:szCs w:val="20"/>
          <w:lang w:val="en-US" w:eastAsia="en-US" w:bidi="ar-SA"/>
        </w:rPr>
        <w:t>;F</w:t>
      </w:r>
      <w:r>
        <w:rPr>
          <w:rFonts w:ascii="宋体" w:hAnsi="宋体" w:eastAsia="宋体" w:cs="宋体"/>
          <w:snapToGrid w:val="0"/>
          <w:color w:val="000000"/>
          <w:spacing w:val="-32"/>
          <w:kern w:val="0"/>
          <w:sz w:val="10"/>
          <w:szCs w:val="10"/>
          <w:lang w:val="en-US" w:eastAsia="en-US" w:bidi="ar-SA"/>
        </w:rPr>
        <w:t>t3</w:t>
      </w:r>
      <w:r>
        <w:rPr>
          <w:rFonts w:ascii="宋体" w:hAnsi="宋体" w:eastAsia="宋体" w:cs="宋体"/>
          <w:snapToGrid w:val="0"/>
          <w:color w:val="000000"/>
          <w:spacing w:val="4"/>
          <w:kern w:val="0"/>
          <w:sz w:val="10"/>
          <w:szCs w:val="10"/>
          <w:lang w:val="en-US" w:eastAsia="en-US" w:bidi="ar-SA"/>
        </w:rPr>
        <w:t xml:space="preserve"> </w:t>
      </w:r>
      <w:r>
        <w:rPr>
          <w:rFonts w:ascii="宋体" w:hAnsi="宋体" w:eastAsia="宋体" w:cs="宋体"/>
          <w:snapToGrid w:val="0"/>
          <w:color w:val="000000"/>
          <w:spacing w:val="-32"/>
          <w:kern w:val="0"/>
          <w:sz w:val="14"/>
          <w:szCs w:val="14"/>
          <w:lang w:val="en-US" w:eastAsia="en-US" w:bidi="ar-SA"/>
        </w:rPr>
        <w:t>· ·</w:t>
      </w:r>
      <w:r>
        <w:rPr>
          <w:rFonts w:ascii="宋体" w:hAnsi="宋体" w:eastAsia="宋体" w:cs="宋体"/>
          <w:snapToGrid w:val="0"/>
          <w:color w:val="000000"/>
          <w:spacing w:val="-13"/>
          <w:kern w:val="0"/>
          <w:sz w:val="14"/>
          <w:szCs w:val="14"/>
          <w:lang w:val="en-US" w:eastAsia="en-US" w:bidi="ar-SA"/>
        </w:rPr>
        <w:t xml:space="preserve"> </w:t>
      </w:r>
      <w:r>
        <w:rPr>
          <w:rFonts w:ascii="宋体" w:hAnsi="宋体" w:eastAsia="宋体" w:cs="宋体"/>
          <w:snapToGrid w:val="0"/>
          <w:color w:val="000000"/>
          <w:spacing w:val="-32"/>
          <w:kern w:val="0"/>
          <w:sz w:val="14"/>
          <w:szCs w:val="14"/>
          <w:lang w:val="en-US" w:eastAsia="en-US" w:bidi="ar-SA"/>
        </w:rPr>
        <w:t>·</w:t>
      </w:r>
      <w:r>
        <w:rPr>
          <w:rFonts w:ascii="宋体" w:hAnsi="宋体" w:eastAsia="宋体" w:cs="宋体"/>
          <w:snapToGrid w:val="0"/>
          <w:color w:val="000000"/>
          <w:spacing w:val="-10"/>
          <w:kern w:val="0"/>
          <w:sz w:val="14"/>
          <w:szCs w:val="14"/>
          <w:lang w:val="en-US" w:eastAsia="en-US" w:bidi="ar-SA"/>
        </w:rPr>
        <w:t xml:space="preserve"> </w:t>
      </w:r>
      <w:r>
        <w:rPr>
          <w:rFonts w:ascii="宋体" w:hAnsi="宋体" w:eastAsia="宋体" w:cs="宋体"/>
          <w:snapToGrid w:val="0"/>
          <w:color w:val="000000"/>
          <w:spacing w:val="-32"/>
          <w:kern w:val="0"/>
          <w:sz w:val="14"/>
          <w:szCs w:val="14"/>
          <w:lang w:val="en-US" w:eastAsia="en-US" w:bidi="ar-SA"/>
        </w:rPr>
        <w:t>·</w:t>
      </w:r>
      <w:r>
        <w:rPr>
          <w:rFonts w:ascii="宋体" w:hAnsi="宋体" w:eastAsia="宋体" w:cs="宋体"/>
          <w:snapToGrid w:val="0"/>
          <w:color w:val="000000"/>
          <w:spacing w:val="-14"/>
          <w:kern w:val="0"/>
          <w:sz w:val="14"/>
          <w:szCs w:val="14"/>
          <w:lang w:val="en-US" w:eastAsia="en-US" w:bidi="ar-SA"/>
        </w:rPr>
        <w:t xml:space="preserve"> </w:t>
      </w:r>
      <w:r>
        <w:rPr>
          <w:rFonts w:ascii="宋体" w:hAnsi="宋体" w:eastAsia="宋体" w:cs="宋体"/>
          <w:snapToGrid w:val="0"/>
          <w:color w:val="000000"/>
          <w:spacing w:val="-32"/>
          <w:kern w:val="0"/>
          <w:sz w:val="14"/>
          <w:szCs w:val="14"/>
          <w:lang w:val="en-US" w:eastAsia="en-US" w:bidi="ar-SA"/>
        </w:rPr>
        <w:t>·</w:t>
      </w:r>
      <w:r>
        <w:rPr>
          <w:rFonts w:ascii="宋体" w:hAnsi="宋体" w:eastAsia="宋体" w:cs="宋体"/>
          <w:snapToGrid w:val="0"/>
          <w:color w:val="000000"/>
          <w:kern w:val="0"/>
          <w:sz w:val="20"/>
          <w:szCs w:val="20"/>
          <w:lang w:val="en-US" w:eastAsia="en-US" w:bidi="ar-SA"/>
        </w:rPr>
        <w:t>F</w:t>
      </w:r>
      <w:r>
        <w:rPr>
          <w:rFonts w:ascii="宋体" w:hAnsi="宋体" w:eastAsia="宋体" w:cs="宋体"/>
          <w:snapToGrid w:val="0"/>
          <w:color w:val="000000"/>
          <w:kern w:val="0"/>
          <w:sz w:val="10"/>
          <w:szCs w:val="10"/>
          <w:lang w:val="en-US" w:eastAsia="en-US" w:bidi="ar-SA"/>
        </w:rPr>
        <w:t>tn</w:t>
      </w:r>
      <w:r>
        <w:rPr>
          <w:rFonts w:ascii="宋体" w:hAnsi="宋体" w:eastAsia="宋体" w:cs="宋体"/>
          <w:snapToGrid w:val="0"/>
          <w:color w:val="000000"/>
          <w:spacing w:val="7"/>
          <w:kern w:val="0"/>
          <w:sz w:val="20"/>
          <w:szCs w:val="20"/>
          <w:lang w:val="en-US" w:eastAsia="en-US" w:bidi="ar-SA"/>
        </w:rPr>
        <w:t>--各可调因子的现行价格指数，指第 17.3.3 项</w:t>
      </w:r>
      <w:r>
        <w:rPr>
          <w:rFonts w:ascii="宋体" w:hAnsi="宋体" w:eastAsia="宋体" w:cs="宋体"/>
          <w:snapToGrid w:val="0"/>
          <w:color w:val="000000"/>
          <w:spacing w:val="6"/>
          <w:kern w:val="0"/>
          <w:sz w:val="20"/>
          <w:szCs w:val="20"/>
          <w:lang w:val="en-US" w:eastAsia="en-US" w:bidi="ar-SA"/>
        </w:rPr>
        <w:t>、第</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175.2 项和第</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17.6.2</w:t>
      </w:r>
      <w:r>
        <w:rPr>
          <w:rFonts w:ascii="宋体" w:hAnsi="宋体" w:eastAsia="宋体" w:cs="宋体"/>
          <w:snapToGrid w:val="0"/>
          <w:color w:val="000000"/>
          <w:spacing w:val="9"/>
          <w:kern w:val="0"/>
          <w:sz w:val="20"/>
          <w:szCs w:val="20"/>
          <w:lang w:val="en-US" w:eastAsia="en-US" w:bidi="ar-SA"/>
        </w:rPr>
        <w:t>项约定的付款证书相关周期最后一天的前 42 天的各</w:t>
      </w:r>
      <w:r>
        <w:rPr>
          <w:rFonts w:ascii="宋体" w:hAnsi="宋体" w:eastAsia="宋体" w:cs="宋体"/>
          <w:snapToGrid w:val="0"/>
          <w:color w:val="000000"/>
          <w:spacing w:val="8"/>
          <w:kern w:val="0"/>
          <w:sz w:val="20"/>
          <w:szCs w:val="20"/>
          <w:lang w:val="en-US" w:eastAsia="en-US" w:bidi="ar-SA"/>
        </w:rPr>
        <w:t>可调因子的价格指数；</w:t>
      </w:r>
    </w:p>
    <w:p w14:paraId="57DEDE8C">
      <w:pPr>
        <w:kinsoku w:val="0"/>
        <w:autoSpaceDE w:val="0"/>
        <w:autoSpaceDN w:val="0"/>
        <w:adjustRightInd w:val="0"/>
        <w:snapToGrid w:val="0"/>
        <w:spacing w:before="1" w:line="240" w:lineRule="auto"/>
        <w:ind w:left="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kern w:val="0"/>
          <w:sz w:val="20"/>
          <w:szCs w:val="20"/>
          <w:lang w:val="en-US" w:eastAsia="en-US" w:bidi="ar-SA"/>
        </w:rPr>
        <w:t>F</w:t>
      </w:r>
      <w:r>
        <w:rPr>
          <w:rFonts w:ascii="宋体" w:hAnsi="宋体" w:eastAsia="宋体" w:cs="宋体"/>
          <w:snapToGrid w:val="0"/>
          <w:color w:val="000000"/>
          <w:kern w:val="0"/>
          <w:sz w:val="10"/>
          <w:szCs w:val="10"/>
          <w:lang w:val="en-US" w:eastAsia="en-US" w:bidi="ar-SA"/>
        </w:rPr>
        <w:t>o</w:t>
      </w:r>
      <w:r>
        <w:rPr>
          <w:rFonts w:ascii="宋体" w:hAnsi="宋体" w:eastAsia="宋体" w:cs="宋体"/>
          <w:snapToGrid w:val="0"/>
          <w:color w:val="000000"/>
          <w:spacing w:val="1"/>
          <w:kern w:val="0"/>
          <w:sz w:val="10"/>
          <w:szCs w:val="10"/>
          <w:lang w:val="en-US" w:eastAsia="en-US" w:bidi="ar-SA"/>
        </w:rPr>
        <w:t>1</w:t>
      </w:r>
      <w:r>
        <w:rPr>
          <w:rFonts w:ascii="宋体" w:hAnsi="宋体" w:eastAsia="宋体" w:cs="宋体"/>
          <w:snapToGrid w:val="0"/>
          <w:color w:val="000000"/>
          <w:spacing w:val="-7"/>
          <w:kern w:val="0"/>
          <w:sz w:val="10"/>
          <w:szCs w:val="10"/>
          <w:lang w:val="en-US" w:eastAsia="en-US" w:bidi="ar-SA"/>
        </w:rPr>
        <w:t xml:space="preserve"> </w:t>
      </w:r>
      <w:r>
        <w:rPr>
          <w:rFonts w:ascii="宋体" w:hAnsi="宋体" w:eastAsia="宋体" w:cs="宋体"/>
          <w:snapToGrid w:val="0"/>
          <w:color w:val="000000"/>
          <w:spacing w:val="-16"/>
          <w:kern w:val="0"/>
          <w:sz w:val="20"/>
          <w:szCs w:val="20"/>
          <w:lang w:val="en-US" w:eastAsia="en-US" w:bidi="ar-SA"/>
        </w:rPr>
        <w:t>;F</w:t>
      </w:r>
      <w:r>
        <w:rPr>
          <w:rFonts w:ascii="宋体" w:hAnsi="宋体" w:eastAsia="宋体" w:cs="宋体"/>
          <w:snapToGrid w:val="0"/>
          <w:color w:val="000000"/>
          <w:spacing w:val="-9"/>
          <w:kern w:val="0"/>
          <w:sz w:val="10"/>
          <w:szCs w:val="10"/>
          <w:lang w:val="en-US" w:eastAsia="en-US" w:bidi="ar-SA"/>
        </w:rPr>
        <w:t>o2</w:t>
      </w:r>
      <w:r>
        <w:rPr>
          <w:rFonts w:ascii="宋体" w:hAnsi="宋体" w:eastAsia="宋体" w:cs="宋体"/>
          <w:snapToGrid w:val="0"/>
          <w:color w:val="000000"/>
          <w:spacing w:val="-21"/>
          <w:kern w:val="0"/>
          <w:sz w:val="10"/>
          <w:szCs w:val="10"/>
          <w:lang w:val="en-US" w:eastAsia="en-US" w:bidi="ar-SA"/>
        </w:rPr>
        <w:t xml:space="preserve"> </w:t>
      </w:r>
      <w:r>
        <w:rPr>
          <w:rFonts w:ascii="宋体" w:hAnsi="宋体" w:eastAsia="宋体" w:cs="宋体"/>
          <w:snapToGrid w:val="0"/>
          <w:color w:val="000000"/>
          <w:spacing w:val="-9"/>
          <w:kern w:val="0"/>
          <w:sz w:val="14"/>
          <w:szCs w:val="14"/>
          <w:lang w:val="en-US" w:eastAsia="en-US" w:bidi="ar-SA"/>
        </w:rPr>
        <w:t>;</w:t>
      </w:r>
      <w:r>
        <w:rPr>
          <w:rFonts w:ascii="宋体" w:hAnsi="宋体" w:eastAsia="宋体" w:cs="宋体"/>
          <w:snapToGrid w:val="0"/>
          <w:color w:val="000000"/>
          <w:spacing w:val="-28"/>
          <w:kern w:val="0"/>
          <w:sz w:val="20"/>
          <w:szCs w:val="20"/>
          <w:lang w:val="en-US" w:eastAsia="en-US" w:bidi="ar-SA"/>
        </w:rPr>
        <w:t>F</w:t>
      </w:r>
      <w:r>
        <w:rPr>
          <w:rFonts w:ascii="宋体" w:hAnsi="宋体" w:eastAsia="宋体" w:cs="宋体"/>
          <w:snapToGrid w:val="0"/>
          <w:color w:val="000000"/>
          <w:spacing w:val="-28"/>
          <w:kern w:val="0"/>
          <w:sz w:val="10"/>
          <w:szCs w:val="10"/>
          <w:lang w:val="en-US" w:eastAsia="en-US" w:bidi="ar-SA"/>
        </w:rPr>
        <w:t>o3</w:t>
      </w:r>
      <w:r>
        <w:rPr>
          <w:rFonts w:ascii="宋体" w:hAnsi="宋体" w:eastAsia="宋体" w:cs="宋体"/>
          <w:snapToGrid w:val="0"/>
          <w:color w:val="000000"/>
          <w:spacing w:val="7"/>
          <w:kern w:val="0"/>
          <w:sz w:val="10"/>
          <w:szCs w:val="10"/>
          <w:lang w:val="en-US" w:eastAsia="en-US" w:bidi="ar-SA"/>
        </w:rPr>
        <w:t xml:space="preserve"> </w:t>
      </w:r>
      <w:r>
        <w:rPr>
          <w:rFonts w:ascii="宋体" w:hAnsi="宋体" w:eastAsia="宋体" w:cs="宋体"/>
          <w:snapToGrid w:val="0"/>
          <w:color w:val="000000"/>
          <w:spacing w:val="-28"/>
          <w:kern w:val="0"/>
          <w:sz w:val="14"/>
          <w:szCs w:val="14"/>
          <w:lang w:val="en-US" w:eastAsia="en-US" w:bidi="ar-SA"/>
        </w:rPr>
        <w:t>· ·</w:t>
      </w:r>
      <w:r>
        <w:rPr>
          <w:rFonts w:ascii="宋体" w:hAnsi="宋体" w:eastAsia="宋体" w:cs="宋体"/>
          <w:snapToGrid w:val="0"/>
          <w:color w:val="000000"/>
          <w:spacing w:val="-13"/>
          <w:kern w:val="0"/>
          <w:sz w:val="14"/>
          <w:szCs w:val="14"/>
          <w:lang w:val="en-US" w:eastAsia="en-US" w:bidi="ar-SA"/>
        </w:rPr>
        <w:t xml:space="preserve"> </w:t>
      </w:r>
      <w:r>
        <w:rPr>
          <w:rFonts w:ascii="宋体" w:hAnsi="宋体" w:eastAsia="宋体" w:cs="宋体"/>
          <w:snapToGrid w:val="0"/>
          <w:color w:val="000000"/>
          <w:spacing w:val="-28"/>
          <w:kern w:val="0"/>
          <w:sz w:val="14"/>
          <w:szCs w:val="14"/>
          <w:lang w:val="en-US" w:eastAsia="en-US" w:bidi="ar-SA"/>
        </w:rPr>
        <w:t>·</w:t>
      </w:r>
      <w:r>
        <w:rPr>
          <w:rFonts w:ascii="宋体" w:hAnsi="宋体" w:eastAsia="宋体" w:cs="宋体"/>
          <w:snapToGrid w:val="0"/>
          <w:color w:val="000000"/>
          <w:spacing w:val="-11"/>
          <w:kern w:val="0"/>
          <w:sz w:val="14"/>
          <w:szCs w:val="14"/>
          <w:lang w:val="en-US" w:eastAsia="en-US" w:bidi="ar-SA"/>
        </w:rPr>
        <w:t xml:space="preserve"> </w:t>
      </w:r>
      <w:r>
        <w:rPr>
          <w:rFonts w:ascii="宋体" w:hAnsi="宋体" w:eastAsia="宋体" w:cs="宋体"/>
          <w:snapToGrid w:val="0"/>
          <w:color w:val="000000"/>
          <w:spacing w:val="-28"/>
          <w:kern w:val="0"/>
          <w:sz w:val="14"/>
          <w:szCs w:val="14"/>
          <w:lang w:val="en-US" w:eastAsia="en-US" w:bidi="ar-SA"/>
        </w:rPr>
        <w:t>·</w:t>
      </w:r>
      <w:r>
        <w:rPr>
          <w:rFonts w:ascii="宋体" w:hAnsi="宋体" w:eastAsia="宋体" w:cs="宋体"/>
          <w:snapToGrid w:val="0"/>
          <w:color w:val="000000"/>
          <w:spacing w:val="-13"/>
          <w:kern w:val="0"/>
          <w:sz w:val="14"/>
          <w:szCs w:val="14"/>
          <w:lang w:val="en-US" w:eastAsia="en-US" w:bidi="ar-SA"/>
        </w:rPr>
        <w:t xml:space="preserve"> </w:t>
      </w:r>
      <w:r>
        <w:rPr>
          <w:rFonts w:ascii="宋体" w:hAnsi="宋体" w:eastAsia="宋体" w:cs="宋体"/>
          <w:snapToGrid w:val="0"/>
          <w:color w:val="000000"/>
          <w:spacing w:val="-28"/>
          <w:kern w:val="0"/>
          <w:sz w:val="14"/>
          <w:szCs w:val="14"/>
          <w:lang w:val="en-US" w:eastAsia="en-US" w:bidi="ar-SA"/>
        </w:rPr>
        <w:t>·</w:t>
      </w:r>
      <w:r>
        <w:rPr>
          <w:rFonts w:ascii="宋体" w:hAnsi="宋体" w:eastAsia="宋体" w:cs="宋体"/>
          <w:snapToGrid w:val="0"/>
          <w:color w:val="000000"/>
          <w:kern w:val="0"/>
          <w:sz w:val="20"/>
          <w:szCs w:val="20"/>
          <w:lang w:val="en-US" w:eastAsia="en-US" w:bidi="ar-SA"/>
        </w:rPr>
        <w:t>F</w:t>
      </w:r>
      <w:r>
        <w:rPr>
          <w:rFonts w:ascii="宋体" w:hAnsi="宋体" w:eastAsia="宋体" w:cs="宋体"/>
          <w:snapToGrid w:val="0"/>
          <w:color w:val="000000"/>
          <w:kern w:val="0"/>
          <w:sz w:val="10"/>
          <w:szCs w:val="10"/>
          <w:lang w:val="en-US" w:eastAsia="en-US" w:bidi="ar-SA"/>
        </w:rPr>
        <w:t>on</w:t>
      </w:r>
      <w:r>
        <w:rPr>
          <w:rFonts w:ascii="宋体" w:hAnsi="宋体" w:eastAsia="宋体" w:cs="宋体"/>
          <w:snapToGrid w:val="0"/>
          <w:color w:val="000000"/>
          <w:spacing w:val="10"/>
          <w:kern w:val="0"/>
          <w:sz w:val="20"/>
          <w:szCs w:val="20"/>
          <w:lang w:val="en-US" w:eastAsia="en-US" w:bidi="ar-SA"/>
        </w:rPr>
        <w:t>-</w:t>
      </w:r>
      <w:r>
        <w:rPr>
          <w:rFonts w:hint="eastAsia" w:ascii="宋体" w:hAnsi="宋体" w:cs="宋体"/>
          <w:snapToGrid w:val="0"/>
          <w:color w:val="000000"/>
          <w:spacing w:val="10"/>
          <w:kern w:val="0"/>
          <w:sz w:val="20"/>
          <w:szCs w:val="20"/>
          <w:lang w:val="en-US" w:eastAsia="zh-CN" w:bidi="ar-SA"/>
        </w:rPr>
        <w:t>－</w:t>
      </w:r>
      <w:r>
        <w:rPr>
          <w:rFonts w:ascii="宋体" w:hAnsi="宋体" w:eastAsia="宋体" w:cs="宋体"/>
          <w:snapToGrid w:val="0"/>
          <w:color w:val="000000"/>
          <w:spacing w:val="10"/>
          <w:kern w:val="0"/>
          <w:sz w:val="20"/>
          <w:szCs w:val="20"/>
          <w:lang w:val="en-US" w:eastAsia="en-US" w:bidi="ar-SA"/>
        </w:rPr>
        <w:t>各可调因子的基本价格指数，指基准日期的各可</w:t>
      </w:r>
      <w:r>
        <w:rPr>
          <w:rFonts w:ascii="宋体" w:hAnsi="宋体" w:eastAsia="宋体" w:cs="宋体"/>
          <w:snapToGrid w:val="0"/>
          <w:color w:val="000000"/>
          <w:spacing w:val="9"/>
          <w:kern w:val="0"/>
          <w:sz w:val="20"/>
          <w:szCs w:val="20"/>
          <w:lang w:val="en-US" w:eastAsia="en-US" w:bidi="ar-SA"/>
        </w:rPr>
        <w:t>调因子的价格指数。</w:t>
      </w:r>
    </w:p>
    <w:p w14:paraId="606ACC0C">
      <w:pPr>
        <w:kinsoku w:val="0"/>
        <w:autoSpaceDE w:val="0"/>
        <w:autoSpaceDN w:val="0"/>
        <w:adjustRightInd w:val="0"/>
        <w:snapToGrid w:val="0"/>
        <w:spacing w:before="162" w:line="240" w:lineRule="auto"/>
        <w:ind w:right="192" w:firstLine="44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以上价格调整公式中的各可调因子、定值和变值权重，</w:t>
      </w:r>
      <w:r>
        <w:rPr>
          <w:rFonts w:ascii="宋体" w:hAnsi="宋体" w:eastAsia="宋体" w:cs="宋体"/>
          <w:snapToGrid w:val="0"/>
          <w:color w:val="000000"/>
          <w:spacing w:val="-49"/>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以及基本价格指数及其来源在投标函附录价</w:t>
      </w:r>
      <w:r>
        <w:rPr>
          <w:rFonts w:ascii="宋体" w:hAnsi="宋体" w:eastAsia="宋体" w:cs="宋体"/>
          <w:snapToGrid w:val="0"/>
          <w:color w:val="000000"/>
          <w:spacing w:val="10"/>
          <w:kern w:val="0"/>
          <w:sz w:val="20"/>
          <w:szCs w:val="20"/>
          <w:lang w:val="en-US" w:eastAsia="en-US" w:bidi="ar-SA"/>
        </w:rPr>
        <w:t>格指数和权重表中约定。价格指数应首先采用有关部门提供的价格指数，缺乏</w:t>
      </w:r>
      <w:r>
        <w:rPr>
          <w:rFonts w:ascii="宋体" w:hAnsi="宋体" w:eastAsia="宋体" w:cs="宋体"/>
          <w:snapToGrid w:val="0"/>
          <w:color w:val="000000"/>
          <w:spacing w:val="9"/>
          <w:kern w:val="0"/>
          <w:sz w:val="20"/>
          <w:szCs w:val="20"/>
          <w:lang w:val="en-US" w:eastAsia="en-US" w:bidi="ar-SA"/>
        </w:rPr>
        <w:t>上述价格指数时，可采用</w:t>
      </w:r>
      <w:r>
        <w:rPr>
          <w:rFonts w:ascii="宋体" w:hAnsi="宋体" w:eastAsia="宋体" w:cs="宋体"/>
          <w:snapToGrid w:val="0"/>
          <w:color w:val="000000"/>
          <w:spacing w:val="8"/>
          <w:kern w:val="0"/>
          <w:sz w:val="20"/>
          <w:szCs w:val="20"/>
          <w:lang w:val="en-US" w:eastAsia="en-US" w:bidi="ar-SA"/>
        </w:rPr>
        <w:t>有关部门提供的价格代替。</w:t>
      </w:r>
    </w:p>
    <w:p w14:paraId="2FE9240D">
      <w:pPr>
        <w:kinsoku w:val="0"/>
        <w:autoSpaceDE w:val="0"/>
        <w:autoSpaceDN w:val="0"/>
        <w:adjustRightInd w:val="0"/>
        <w:snapToGrid w:val="0"/>
        <w:spacing w:before="1"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16.1.1.2</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暂时确定调整差额</w:t>
      </w:r>
    </w:p>
    <w:p w14:paraId="5F39038D">
      <w:pPr>
        <w:kinsoku w:val="0"/>
        <w:autoSpaceDE w:val="0"/>
        <w:autoSpaceDN w:val="0"/>
        <w:adjustRightInd w:val="0"/>
        <w:snapToGrid w:val="0"/>
        <w:spacing w:before="161" w:line="240" w:lineRule="auto"/>
        <w:ind w:left="15" w:right="192" w:firstLine="40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在计算调整差额时得不到现行价格指数的，可暂用上一次价格指数计算，并</w:t>
      </w:r>
      <w:r>
        <w:rPr>
          <w:rFonts w:ascii="宋体" w:hAnsi="宋体" w:eastAsia="宋体" w:cs="宋体"/>
          <w:snapToGrid w:val="0"/>
          <w:color w:val="000000"/>
          <w:spacing w:val="9"/>
          <w:kern w:val="0"/>
          <w:sz w:val="20"/>
          <w:szCs w:val="20"/>
          <w:lang w:val="en-US" w:eastAsia="en-US" w:bidi="ar-SA"/>
        </w:rPr>
        <w:t>在以后的付款中再按实</w:t>
      </w:r>
      <w:r>
        <w:rPr>
          <w:rFonts w:ascii="宋体" w:hAnsi="宋体" w:eastAsia="宋体" w:cs="宋体"/>
          <w:snapToGrid w:val="0"/>
          <w:color w:val="000000"/>
          <w:spacing w:val="6"/>
          <w:kern w:val="0"/>
          <w:sz w:val="20"/>
          <w:szCs w:val="20"/>
          <w:lang w:val="en-US" w:eastAsia="en-US" w:bidi="ar-SA"/>
        </w:rPr>
        <w:t>际价格指数进行调整。</w:t>
      </w:r>
    </w:p>
    <w:p w14:paraId="7C50B562">
      <w:pPr>
        <w:kinsoku w:val="0"/>
        <w:autoSpaceDE w:val="0"/>
        <w:autoSpaceDN w:val="0"/>
        <w:adjustRightInd w:val="0"/>
        <w:snapToGrid w:val="0"/>
        <w:spacing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16.1.1.3</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权重的调整</w:t>
      </w:r>
    </w:p>
    <w:p w14:paraId="0CD7A450">
      <w:pPr>
        <w:kinsoku w:val="0"/>
        <w:autoSpaceDE w:val="0"/>
        <w:autoSpaceDN w:val="0"/>
        <w:adjustRightInd w:val="0"/>
        <w:snapToGrid w:val="0"/>
        <w:spacing w:before="161" w:line="240" w:lineRule="auto"/>
        <w:ind w:left="2" w:right="19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按第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15.1 款约定的变更导致原定合同中的权重不合理</w:t>
      </w:r>
      <w:r>
        <w:rPr>
          <w:rFonts w:ascii="宋体" w:hAnsi="宋体" w:eastAsia="宋体" w:cs="宋体"/>
          <w:snapToGrid w:val="0"/>
          <w:color w:val="000000"/>
          <w:spacing w:val="8"/>
          <w:kern w:val="0"/>
          <w:sz w:val="20"/>
          <w:szCs w:val="20"/>
          <w:lang w:val="en-US" w:eastAsia="en-US" w:bidi="ar-SA"/>
        </w:rPr>
        <w:t>时，由监理人与承包人和发包人协商后进行</w:t>
      </w:r>
      <w:r>
        <w:rPr>
          <w:rFonts w:ascii="宋体" w:hAnsi="宋体" w:eastAsia="宋体" w:cs="宋体"/>
          <w:snapToGrid w:val="0"/>
          <w:color w:val="000000"/>
          <w:spacing w:val="2"/>
          <w:kern w:val="0"/>
          <w:sz w:val="20"/>
          <w:szCs w:val="20"/>
          <w:lang w:val="en-US" w:eastAsia="en-US" w:bidi="ar-SA"/>
        </w:rPr>
        <w:t>调整。</w:t>
      </w:r>
    </w:p>
    <w:p w14:paraId="563934CB">
      <w:pPr>
        <w:kinsoku w:val="0"/>
        <w:autoSpaceDE w:val="0"/>
        <w:autoSpaceDN w:val="0"/>
        <w:adjustRightInd w:val="0"/>
        <w:snapToGrid w:val="0"/>
        <w:spacing w:line="240" w:lineRule="auto"/>
        <w:ind w:left="436"/>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16.1.1.4</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承包人工期延误后的价格调整</w:t>
      </w:r>
    </w:p>
    <w:p w14:paraId="7639D852">
      <w:pPr>
        <w:kinsoku w:val="0"/>
        <w:autoSpaceDE w:val="0"/>
        <w:autoSpaceDN w:val="0"/>
        <w:adjustRightInd w:val="0"/>
        <w:snapToGrid w:val="0"/>
        <w:spacing w:before="41" w:line="240" w:lineRule="auto"/>
        <w:ind w:left="44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由于承包人原因未在约定的工期内竣工的，则对原约定竣工日期后继续施工的工程，在使用第</w:t>
      </w:r>
    </w:p>
    <w:p w14:paraId="31DB1805">
      <w:pPr>
        <w:kinsoku w:val="0"/>
        <w:autoSpaceDE w:val="0"/>
        <w:autoSpaceDN w:val="0"/>
        <w:adjustRightInd w:val="0"/>
        <w:snapToGrid w:val="0"/>
        <w:spacing w:before="160" w:line="240" w:lineRule="auto"/>
        <w:ind w:right="88"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16.1.1.1</w:t>
      </w:r>
      <w:r>
        <w:rPr>
          <w:rFonts w:ascii="宋体" w:hAnsi="宋体" w:eastAsia="宋体" w:cs="宋体"/>
          <w:snapToGrid w:val="0"/>
          <w:color w:val="000000"/>
          <w:spacing w:val="5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目价格调整公式时，应采用原约定竣工日期与</w:t>
      </w:r>
      <w:r>
        <w:rPr>
          <w:rFonts w:ascii="宋体" w:hAnsi="宋体" w:eastAsia="宋体" w:cs="宋体"/>
          <w:snapToGrid w:val="0"/>
          <w:color w:val="000000"/>
          <w:spacing w:val="7"/>
          <w:kern w:val="0"/>
          <w:sz w:val="20"/>
          <w:szCs w:val="20"/>
          <w:lang w:val="en-US" w:eastAsia="en-US" w:bidi="ar-SA"/>
        </w:rPr>
        <w:t>实际竣工日期的两个价格指数中较低的一个作为现行价格指数。</w:t>
      </w:r>
    </w:p>
    <w:p w14:paraId="471A3090">
      <w:pPr>
        <w:kinsoku w:val="0"/>
        <w:autoSpaceDE w:val="0"/>
        <w:autoSpaceDN w:val="0"/>
        <w:adjustRightInd w:val="0"/>
        <w:snapToGrid w:val="0"/>
        <w:spacing w:line="240" w:lineRule="auto"/>
        <w:ind w:left="434"/>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16.1.2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采用造价信息调整价格差额</w:t>
      </w:r>
    </w:p>
    <w:p w14:paraId="766324E6">
      <w:pPr>
        <w:kinsoku w:val="0"/>
        <w:autoSpaceDE w:val="0"/>
        <w:autoSpaceDN w:val="0"/>
        <w:adjustRightInd w:val="0"/>
        <w:snapToGrid w:val="0"/>
        <w:spacing w:before="165" w:line="240" w:lineRule="auto"/>
        <w:ind w:right="2" w:firstLine="418"/>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施工期内，因人工、材料、设备和机械台班价格波动影响合同价格时，人工、机械使用费按照国家</w:t>
      </w:r>
      <w:r>
        <w:rPr>
          <w:rFonts w:ascii="宋体" w:hAnsi="宋体" w:eastAsia="宋体" w:cs="宋体"/>
          <w:snapToGrid w:val="0"/>
          <w:color w:val="000000"/>
          <w:spacing w:val="13"/>
          <w:kern w:val="0"/>
          <w:sz w:val="20"/>
          <w:szCs w:val="20"/>
          <w:lang w:val="en-US" w:eastAsia="en-US" w:bidi="ar-SA"/>
        </w:rPr>
        <w:t>或省、</w:t>
      </w:r>
      <w:r>
        <w:rPr>
          <w:rFonts w:ascii="宋体" w:hAnsi="宋体" w:eastAsia="宋体" w:cs="宋体"/>
          <w:snapToGrid w:val="0"/>
          <w:color w:val="000000"/>
          <w:spacing w:val="-47"/>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自治区、直辖市建设行政管理部门、行业建设管理部门或其授权的工程造价管</w:t>
      </w:r>
      <w:r>
        <w:rPr>
          <w:rFonts w:ascii="宋体" w:hAnsi="宋体" w:eastAsia="宋体" w:cs="宋体"/>
          <w:snapToGrid w:val="0"/>
          <w:color w:val="000000"/>
          <w:spacing w:val="12"/>
          <w:kern w:val="0"/>
          <w:sz w:val="20"/>
          <w:szCs w:val="20"/>
          <w:lang w:val="en-US" w:eastAsia="en-US" w:bidi="ar-SA"/>
        </w:rPr>
        <w:t>理机构发布的人工</w:t>
      </w:r>
      <w:r>
        <w:rPr>
          <w:rFonts w:ascii="宋体" w:hAnsi="宋体" w:eastAsia="宋体" w:cs="宋体"/>
          <w:snapToGrid w:val="0"/>
          <w:color w:val="000000"/>
          <w:spacing w:val="13"/>
          <w:kern w:val="0"/>
          <w:sz w:val="20"/>
          <w:szCs w:val="20"/>
          <w:lang w:val="en-US" w:eastAsia="en-US" w:bidi="ar-SA"/>
        </w:rPr>
        <w:t>成本信息、机械台班单价或机械使用费系数进行调整；</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需要进行价格调整的材料，其单价和采购数应由</w:t>
      </w:r>
      <w:r>
        <w:rPr>
          <w:rFonts w:ascii="宋体" w:hAnsi="宋体" w:eastAsia="宋体" w:cs="宋体"/>
          <w:snapToGrid w:val="0"/>
          <w:color w:val="000000"/>
          <w:spacing w:val="9"/>
          <w:kern w:val="0"/>
          <w:sz w:val="20"/>
          <w:szCs w:val="20"/>
          <w:lang w:val="en-US" w:eastAsia="en-US" w:bidi="ar-SA"/>
        </w:rPr>
        <w:t>监理人复核，监理人确认需调整的材料单价及数量，作为调整工程合同价格差额的依据。</w:t>
      </w:r>
    </w:p>
    <w:p w14:paraId="7881239B">
      <w:pPr>
        <w:kinsoku w:val="0"/>
        <w:autoSpaceDE w:val="0"/>
        <w:autoSpaceDN w:val="0"/>
        <w:adjustRightInd w:val="0"/>
        <w:snapToGrid w:val="0"/>
        <w:spacing w:before="5" w:line="240" w:lineRule="auto"/>
        <w:ind w:left="497"/>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16.2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法律变化引起的价格调整</w:t>
      </w:r>
    </w:p>
    <w:p w14:paraId="57AEF00B">
      <w:pPr>
        <w:kinsoku w:val="0"/>
        <w:autoSpaceDE w:val="0"/>
        <w:autoSpaceDN w:val="0"/>
        <w:adjustRightInd w:val="0"/>
        <w:snapToGrid w:val="0"/>
        <w:spacing w:before="177" w:line="240" w:lineRule="auto"/>
        <w:ind w:left="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在基准日后，因法律变化导致承包人在合同履行中所需要的工程</w:t>
      </w:r>
      <w:r>
        <w:rPr>
          <w:rFonts w:ascii="宋体" w:hAnsi="宋体" w:eastAsia="宋体" w:cs="宋体"/>
          <w:snapToGrid w:val="0"/>
          <w:color w:val="000000"/>
          <w:spacing w:val="8"/>
          <w:kern w:val="0"/>
          <w:sz w:val="20"/>
          <w:szCs w:val="20"/>
          <w:lang w:val="en-US" w:eastAsia="en-US" w:bidi="ar-SA"/>
        </w:rPr>
        <w:t>费用发生除第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16.1 款约定以外</w:t>
      </w:r>
    </w:p>
    <w:p w14:paraId="67266F25">
      <w:pPr>
        <w:kinsoku w:val="0"/>
        <w:autoSpaceDE w:val="0"/>
        <w:autoSpaceDN w:val="0"/>
        <w:adjustRightInd w:val="0"/>
        <w:snapToGrid w:val="0"/>
        <w:spacing w:before="160" w:line="240" w:lineRule="auto"/>
        <w:ind w:left="4" w:right="2" w:firstLine="4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的增减时，监理人应根据法律、国家或省、</w:t>
      </w:r>
      <w:r>
        <w:rPr>
          <w:rFonts w:ascii="宋体" w:hAnsi="宋体" w:eastAsia="宋体" w:cs="宋体"/>
          <w:snapToGrid w:val="0"/>
          <w:color w:val="000000"/>
          <w:spacing w:val="-50"/>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自治区、直辖市有关部门</w:t>
      </w:r>
      <w:r>
        <w:rPr>
          <w:rFonts w:ascii="宋体" w:hAnsi="宋体" w:eastAsia="宋体" w:cs="宋体"/>
          <w:snapToGrid w:val="0"/>
          <w:color w:val="000000"/>
          <w:spacing w:val="9"/>
          <w:kern w:val="0"/>
          <w:sz w:val="20"/>
          <w:szCs w:val="20"/>
          <w:lang w:val="en-US" w:eastAsia="en-US" w:bidi="ar-SA"/>
        </w:rPr>
        <w:t>的规定，按第 3.5 款商定或确</w:t>
      </w:r>
      <w:r>
        <w:rPr>
          <w:rFonts w:ascii="宋体" w:hAnsi="宋体" w:eastAsia="宋体" w:cs="宋体"/>
          <w:snapToGrid w:val="0"/>
          <w:color w:val="000000"/>
          <w:spacing w:val="7"/>
          <w:kern w:val="0"/>
          <w:sz w:val="20"/>
          <w:szCs w:val="20"/>
          <w:lang w:val="en-US" w:eastAsia="en-US" w:bidi="ar-SA"/>
        </w:rPr>
        <w:t>定需调整的合同价款。</w:t>
      </w:r>
    </w:p>
    <w:p w14:paraId="26BC3E4A">
      <w:pPr>
        <w:kinsoku w:val="0"/>
        <w:autoSpaceDE w:val="0"/>
        <w:autoSpaceDN w:val="0"/>
        <w:adjustRightInd w:val="0"/>
        <w:snapToGrid w:val="0"/>
        <w:spacing w:before="3" w:line="240" w:lineRule="auto"/>
        <w:ind w:left="3998"/>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5"/>
          <w:szCs w:val="25"/>
          <w:lang w:val="en-US" w:eastAsia="en-US" w:bidi="ar-SA"/>
        </w:rPr>
        <w:t>17.</w:t>
      </w:r>
      <w:r>
        <w:rPr>
          <w:rFonts w:ascii="宋体" w:hAnsi="宋体" w:eastAsia="宋体" w:cs="宋体"/>
          <w:snapToGrid w:val="0"/>
          <w:color w:val="000000"/>
          <w:spacing w:val="21"/>
          <w:kern w:val="0"/>
          <w:sz w:val="25"/>
          <w:szCs w:val="25"/>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计量与支付</w:t>
      </w:r>
    </w:p>
    <w:p w14:paraId="58EBC738">
      <w:pPr>
        <w:kinsoku w:val="0"/>
        <w:autoSpaceDE w:val="0"/>
        <w:autoSpaceDN w:val="0"/>
        <w:adjustRightInd w:val="0"/>
        <w:snapToGrid w:val="0"/>
        <w:spacing w:before="177" w:line="240" w:lineRule="auto"/>
        <w:ind w:left="497"/>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9"/>
          <w:kern w:val="0"/>
          <w:sz w:val="24"/>
          <w:szCs w:val="24"/>
          <w:lang w:val="en-US" w:eastAsia="en-US" w:bidi="ar-SA"/>
        </w:rPr>
        <w:t>17.1</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9"/>
          <w:kern w:val="0"/>
          <w:sz w:val="24"/>
          <w:szCs w:val="24"/>
          <w:lang w:val="en-US" w:eastAsia="en-US" w:bidi="ar-SA"/>
        </w:rPr>
        <w:t>计量</w:t>
      </w:r>
    </w:p>
    <w:p w14:paraId="142C2372">
      <w:pPr>
        <w:kinsoku w:val="0"/>
        <w:autoSpaceDE w:val="0"/>
        <w:autoSpaceDN w:val="0"/>
        <w:adjustRightInd w:val="0"/>
        <w:snapToGrid w:val="0"/>
        <w:spacing w:before="174" w:line="240" w:lineRule="auto"/>
        <w:ind w:left="434"/>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17.1.1</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计量单位</w:t>
      </w:r>
    </w:p>
    <w:p w14:paraId="5500C81C">
      <w:pPr>
        <w:kinsoku w:val="0"/>
        <w:autoSpaceDE w:val="0"/>
        <w:autoSpaceDN w:val="0"/>
        <w:adjustRightInd w:val="0"/>
        <w:snapToGrid w:val="0"/>
        <w:spacing w:before="161"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计量采用国家法定的计量单位。</w:t>
      </w:r>
    </w:p>
    <w:p w14:paraId="59B86379">
      <w:pPr>
        <w:kinsoku w:val="0"/>
        <w:autoSpaceDE w:val="0"/>
        <w:autoSpaceDN w:val="0"/>
        <w:adjustRightInd w:val="0"/>
        <w:snapToGrid w:val="0"/>
        <w:spacing w:before="165" w:line="240" w:lineRule="auto"/>
        <w:ind w:left="434"/>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17.1.2</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计量方法</w:t>
      </w:r>
    </w:p>
    <w:p w14:paraId="09349C94">
      <w:pPr>
        <w:kinsoku w:val="0"/>
        <w:autoSpaceDE w:val="0"/>
        <w:autoSpaceDN w:val="0"/>
        <w:adjustRightInd w:val="0"/>
        <w:snapToGrid w:val="0"/>
        <w:spacing w:before="159" w:line="240" w:lineRule="auto"/>
        <w:ind w:left="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工程量清单中的工程量计算规则应按有关国家标准、行业标准的规定，并在合同中约定执行。</w:t>
      </w:r>
    </w:p>
    <w:p w14:paraId="6621329C">
      <w:pPr>
        <w:kinsoku w:val="0"/>
        <w:autoSpaceDE w:val="0"/>
        <w:autoSpaceDN w:val="0"/>
        <w:adjustRightInd w:val="0"/>
        <w:snapToGrid w:val="0"/>
        <w:spacing w:before="162" w:line="240" w:lineRule="auto"/>
        <w:ind w:left="434"/>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17.1.3</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计量周期</w:t>
      </w:r>
    </w:p>
    <w:p w14:paraId="4CB843D2">
      <w:pPr>
        <w:kinsoku w:val="0"/>
        <w:autoSpaceDE w:val="0"/>
        <w:autoSpaceDN w:val="0"/>
        <w:adjustRightInd w:val="0"/>
        <w:snapToGrid w:val="0"/>
        <w:spacing w:before="161" w:line="240" w:lineRule="auto"/>
        <w:ind w:left="1" w:right="194" w:firstLine="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除专用合同条款另有约定外，单价子目已完成</w:t>
      </w:r>
      <w:r>
        <w:rPr>
          <w:rFonts w:ascii="宋体" w:hAnsi="宋体" w:eastAsia="宋体" w:cs="宋体"/>
          <w:snapToGrid w:val="0"/>
          <w:color w:val="000000"/>
          <w:spacing w:val="9"/>
          <w:kern w:val="0"/>
          <w:sz w:val="20"/>
          <w:szCs w:val="20"/>
          <w:lang w:val="en-US" w:eastAsia="en-US" w:bidi="ar-SA"/>
        </w:rPr>
        <w:t>工程量按月计量，总价子目的计量周期按批准的支付</w:t>
      </w:r>
      <w:r>
        <w:rPr>
          <w:rFonts w:ascii="宋体" w:hAnsi="宋体" w:eastAsia="宋体" w:cs="宋体"/>
          <w:snapToGrid w:val="0"/>
          <w:color w:val="000000"/>
          <w:spacing w:val="6"/>
          <w:kern w:val="0"/>
          <w:sz w:val="20"/>
          <w:szCs w:val="20"/>
          <w:lang w:val="en-US" w:eastAsia="en-US" w:bidi="ar-SA"/>
        </w:rPr>
        <w:t>分解报告确定。</w:t>
      </w:r>
    </w:p>
    <w:p w14:paraId="69FA45D5">
      <w:pPr>
        <w:kinsoku w:val="0"/>
        <w:autoSpaceDE w:val="0"/>
        <w:autoSpaceDN w:val="0"/>
        <w:adjustRightInd w:val="0"/>
        <w:snapToGrid w:val="0"/>
        <w:spacing w:before="1" w:line="240" w:lineRule="auto"/>
        <w:ind w:left="434"/>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17.1.4</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单价子目的计量</w:t>
      </w:r>
    </w:p>
    <w:p w14:paraId="319ED53E">
      <w:pPr>
        <w:kinsoku w:val="0"/>
        <w:autoSpaceDE w:val="0"/>
        <w:autoSpaceDN w:val="0"/>
        <w:adjustRightInd w:val="0"/>
        <w:snapToGrid w:val="0"/>
        <w:spacing w:before="163" w:line="240" w:lineRule="auto"/>
        <w:ind w:left="4" w:right="236"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（1）    </w:t>
      </w:r>
      <w:r>
        <w:rPr>
          <w:rFonts w:ascii="宋体" w:hAnsi="宋体" w:eastAsia="宋体" w:cs="宋体"/>
          <w:snapToGrid w:val="0"/>
          <w:color w:val="000000"/>
          <w:spacing w:val="8"/>
          <w:kern w:val="0"/>
          <w:sz w:val="20"/>
          <w:szCs w:val="20"/>
          <w:lang w:val="en-US" w:eastAsia="en-US" w:bidi="ar-SA"/>
        </w:rPr>
        <w:t>已标价工程量清单中的单价子目工程量为估算工程量。结算工程量是承</w:t>
      </w:r>
      <w:r>
        <w:rPr>
          <w:rFonts w:ascii="宋体" w:hAnsi="宋体" w:eastAsia="宋体" w:cs="宋体"/>
          <w:snapToGrid w:val="0"/>
          <w:color w:val="000000"/>
          <w:spacing w:val="7"/>
          <w:kern w:val="0"/>
          <w:sz w:val="20"/>
          <w:szCs w:val="20"/>
          <w:lang w:val="en-US" w:eastAsia="en-US" w:bidi="ar-SA"/>
        </w:rPr>
        <w:t>包人实际完成的，</w:t>
      </w:r>
      <w:r>
        <w:rPr>
          <w:rFonts w:ascii="宋体" w:hAnsi="宋体" w:eastAsia="宋体" w:cs="宋体"/>
          <w:snapToGrid w:val="0"/>
          <w:color w:val="000000"/>
          <w:spacing w:val="8"/>
          <w:kern w:val="0"/>
          <w:sz w:val="20"/>
          <w:szCs w:val="20"/>
          <w:lang w:val="en-US" w:eastAsia="en-US" w:bidi="ar-SA"/>
        </w:rPr>
        <w:t>并按合同约定的计量方法进行计量的工程量。</w:t>
      </w:r>
    </w:p>
    <w:p w14:paraId="5283C4AE">
      <w:pPr>
        <w:kinsoku w:val="0"/>
        <w:autoSpaceDE w:val="0"/>
        <w:autoSpaceDN w:val="0"/>
        <w:adjustRightInd w:val="0"/>
        <w:snapToGrid w:val="0"/>
        <w:spacing w:before="161" w:line="240" w:lineRule="auto"/>
        <w:ind w:left="2" w:right="184"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（2）    </w:t>
      </w:r>
      <w:r>
        <w:rPr>
          <w:rFonts w:ascii="宋体" w:hAnsi="宋体" w:eastAsia="宋体" w:cs="宋体"/>
          <w:snapToGrid w:val="0"/>
          <w:color w:val="000000"/>
          <w:spacing w:val="9"/>
          <w:kern w:val="0"/>
          <w:sz w:val="20"/>
          <w:szCs w:val="20"/>
          <w:lang w:val="en-US" w:eastAsia="en-US" w:bidi="ar-SA"/>
        </w:rPr>
        <w:t>承包人对已完成的工程进行计量，向监理人提交进度付款申请单、已完成工程量报</w:t>
      </w:r>
      <w:r>
        <w:rPr>
          <w:rFonts w:ascii="宋体" w:hAnsi="宋体" w:eastAsia="宋体" w:cs="宋体"/>
          <w:snapToGrid w:val="0"/>
          <w:color w:val="000000"/>
          <w:spacing w:val="8"/>
          <w:kern w:val="0"/>
          <w:sz w:val="20"/>
          <w:szCs w:val="20"/>
          <w:lang w:val="en-US" w:eastAsia="en-US" w:bidi="ar-SA"/>
        </w:rPr>
        <w:t>表和有</w:t>
      </w:r>
      <w:r>
        <w:rPr>
          <w:rFonts w:ascii="宋体" w:hAnsi="宋体" w:eastAsia="宋体" w:cs="宋体"/>
          <w:snapToGrid w:val="0"/>
          <w:color w:val="000000"/>
          <w:spacing w:val="6"/>
          <w:kern w:val="0"/>
          <w:sz w:val="20"/>
          <w:szCs w:val="20"/>
          <w:lang w:val="en-US" w:eastAsia="en-US" w:bidi="ar-SA"/>
        </w:rPr>
        <w:t>关计量资料。</w:t>
      </w:r>
    </w:p>
    <w:p w14:paraId="70269A8D">
      <w:pPr>
        <w:kinsoku w:val="0"/>
        <w:autoSpaceDE w:val="0"/>
        <w:autoSpaceDN w:val="0"/>
        <w:adjustRightInd w:val="0"/>
        <w:snapToGrid w:val="0"/>
        <w:spacing w:before="160" w:line="240" w:lineRule="auto"/>
        <w:ind w:left="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（3）    </w:t>
      </w:r>
      <w:r>
        <w:rPr>
          <w:rFonts w:ascii="宋体" w:hAnsi="宋体" w:eastAsia="宋体" w:cs="宋体"/>
          <w:snapToGrid w:val="0"/>
          <w:color w:val="000000"/>
          <w:spacing w:val="8"/>
          <w:kern w:val="0"/>
          <w:sz w:val="20"/>
          <w:szCs w:val="20"/>
          <w:lang w:val="en-US" w:eastAsia="en-US" w:bidi="ar-SA"/>
        </w:rPr>
        <w:t>监理人对承包人提交的工程量报表进行复核，</w:t>
      </w:r>
      <w:r>
        <w:rPr>
          <w:rFonts w:ascii="宋体" w:hAnsi="宋体" w:eastAsia="宋体" w:cs="宋体"/>
          <w:snapToGrid w:val="0"/>
          <w:color w:val="000000"/>
          <w:spacing w:val="-60"/>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以确定实际完成的工程量。对数量有异议</w:t>
      </w:r>
    </w:p>
    <w:p w14:paraId="404E9DCD">
      <w:pPr>
        <w:kinsoku w:val="0"/>
        <w:autoSpaceDE w:val="0"/>
        <w:autoSpaceDN w:val="0"/>
        <w:adjustRightInd w:val="0"/>
        <w:snapToGrid w:val="0"/>
        <w:spacing w:before="161" w:line="240" w:lineRule="auto"/>
        <w:ind w:right="88" w:firstLine="1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的，可要求承包人按第 8.2 款约定进行共同复核和抽样复测。承包人应协助监理人进行复核并</w:t>
      </w:r>
      <w:r>
        <w:rPr>
          <w:rFonts w:ascii="宋体" w:hAnsi="宋体" w:eastAsia="宋体" w:cs="宋体"/>
          <w:snapToGrid w:val="0"/>
          <w:color w:val="000000"/>
          <w:spacing w:val="8"/>
          <w:kern w:val="0"/>
          <w:sz w:val="20"/>
          <w:szCs w:val="20"/>
          <w:lang w:val="en-US" w:eastAsia="en-US" w:bidi="ar-SA"/>
        </w:rPr>
        <w:t>按监理人</w:t>
      </w:r>
      <w:r>
        <w:rPr>
          <w:rFonts w:ascii="宋体" w:hAnsi="宋体" w:eastAsia="宋体" w:cs="宋体"/>
          <w:snapToGrid w:val="0"/>
          <w:color w:val="000000"/>
          <w:spacing w:val="10"/>
          <w:kern w:val="0"/>
          <w:sz w:val="20"/>
          <w:szCs w:val="20"/>
          <w:lang w:val="en-US" w:eastAsia="en-US" w:bidi="ar-SA"/>
        </w:rPr>
        <w:t>要求提供补充计量资料。承包人未按监理人要求参加复核，监理人复核或修</w:t>
      </w:r>
      <w:r>
        <w:rPr>
          <w:rFonts w:ascii="宋体" w:hAnsi="宋体" w:eastAsia="宋体" w:cs="宋体"/>
          <w:snapToGrid w:val="0"/>
          <w:color w:val="000000"/>
          <w:spacing w:val="9"/>
          <w:kern w:val="0"/>
          <w:sz w:val="20"/>
          <w:szCs w:val="20"/>
          <w:lang w:val="en-US" w:eastAsia="en-US" w:bidi="ar-SA"/>
        </w:rPr>
        <w:t>正的工程量视为承包人实际</w:t>
      </w:r>
      <w:r>
        <w:rPr>
          <w:rFonts w:ascii="宋体" w:hAnsi="宋体" w:eastAsia="宋体" w:cs="宋体"/>
          <w:snapToGrid w:val="0"/>
          <w:color w:val="000000"/>
          <w:spacing w:val="6"/>
          <w:kern w:val="0"/>
          <w:sz w:val="20"/>
          <w:szCs w:val="20"/>
          <w:lang w:val="en-US" w:eastAsia="en-US" w:bidi="ar-SA"/>
        </w:rPr>
        <w:t>完成的工程量。</w:t>
      </w:r>
    </w:p>
    <w:p w14:paraId="7AE6A659">
      <w:pPr>
        <w:kinsoku w:val="0"/>
        <w:autoSpaceDE w:val="0"/>
        <w:autoSpaceDN w:val="0"/>
        <w:adjustRightInd w:val="0"/>
        <w:snapToGrid w:val="0"/>
        <w:spacing w:before="161" w:line="240" w:lineRule="auto"/>
        <w:ind w:left="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（4）    </w:t>
      </w:r>
      <w:r>
        <w:rPr>
          <w:rFonts w:ascii="宋体" w:hAnsi="宋体" w:eastAsia="宋体" w:cs="宋体"/>
          <w:snapToGrid w:val="0"/>
          <w:color w:val="000000"/>
          <w:spacing w:val="9"/>
          <w:kern w:val="0"/>
          <w:sz w:val="20"/>
          <w:szCs w:val="20"/>
          <w:lang w:val="en-US" w:eastAsia="en-US" w:bidi="ar-SA"/>
        </w:rPr>
        <w:t>监理人认为有必要时，可通知承包人共同进行联</w:t>
      </w:r>
      <w:r>
        <w:rPr>
          <w:rFonts w:ascii="宋体" w:hAnsi="宋体" w:eastAsia="宋体" w:cs="宋体"/>
          <w:snapToGrid w:val="0"/>
          <w:color w:val="000000"/>
          <w:spacing w:val="8"/>
          <w:kern w:val="0"/>
          <w:sz w:val="20"/>
          <w:szCs w:val="20"/>
          <w:lang w:val="en-US" w:eastAsia="en-US" w:bidi="ar-SA"/>
        </w:rPr>
        <w:t>合测量、计量，承包人应遵照执行。</w:t>
      </w:r>
    </w:p>
    <w:p w14:paraId="5A1EDA4B">
      <w:pPr>
        <w:kinsoku w:val="0"/>
        <w:autoSpaceDE w:val="0"/>
        <w:autoSpaceDN w:val="0"/>
        <w:adjustRightInd w:val="0"/>
        <w:snapToGrid w:val="0"/>
        <w:spacing w:before="163" w:line="240" w:lineRule="auto"/>
        <w:ind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18"/>
          <w:szCs w:val="18"/>
          <w:lang w:val="en-US" w:eastAsia="en-US" w:bidi="ar-SA"/>
        </w:rPr>
        <w:t xml:space="preserve">（5）    </w:t>
      </w:r>
      <w:r>
        <w:rPr>
          <w:rFonts w:ascii="宋体" w:hAnsi="宋体" w:eastAsia="宋体" w:cs="宋体"/>
          <w:snapToGrid w:val="0"/>
          <w:color w:val="000000"/>
          <w:spacing w:val="13"/>
          <w:kern w:val="0"/>
          <w:sz w:val="20"/>
          <w:szCs w:val="20"/>
          <w:lang w:val="en-US" w:eastAsia="en-US" w:bidi="ar-SA"/>
        </w:rPr>
        <w:t>承包人完成工程量清单中每个子目的工程量后，监理人应要求承包人派员共同对每个</w:t>
      </w:r>
      <w:r>
        <w:rPr>
          <w:rFonts w:ascii="宋体" w:hAnsi="宋体" w:eastAsia="宋体" w:cs="宋体"/>
          <w:snapToGrid w:val="0"/>
          <w:color w:val="000000"/>
          <w:spacing w:val="12"/>
          <w:kern w:val="0"/>
          <w:sz w:val="20"/>
          <w:szCs w:val="20"/>
          <w:lang w:val="en-US" w:eastAsia="en-US" w:bidi="ar-SA"/>
        </w:rPr>
        <w:t>子目的历次计量报表进行汇总，</w:t>
      </w:r>
      <w:r>
        <w:rPr>
          <w:rFonts w:ascii="宋体" w:hAnsi="宋体" w:eastAsia="宋体" w:cs="宋体"/>
          <w:snapToGrid w:val="0"/>
          <w:color w:val="000000"/>
          <w:spacing w:val="-53"/>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以核实最终结算工程量。监理人可要求承包人提供补充计量资料，</w:t>
      </w:r>
      <w:r>
        <w:rPr>
          <w:rFonts w:ascii="宋体" w:hAnsi="宋体" w:eastAsia="宋体" w:cs="宋体"/>
          <w:snapToGrid w:val="0"/>
          <w:color w:val="000000"/>
          <w:spacing w:val="-58"/>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以确定最</w:t>
      </w:r>
      <w:r>
        <w:rPr>
          <w:rFonts w:ascii="宋体" w:hAnsi="宋体" w:eastAsia="宋体" w:cs="宋体"/>
          <w:snapToGrid w:val="0"/>
          <w:color w:val="000000"/>
          <w:spacing w:val="14"/>
          <w:kern w:val="0"/>
          <w:sz w:val="20"/>
          <w:szCs w:val="20"/>
          <w:lang w:val="en-US" w:eastAsia="en-US" w:bidi="ar-SA"/>
        </w:rPr>
        <w:t>后一次进度付款的准确工程量。承包人未按监理人要求派员参加的，监理人最终核实的工程量视为承包</w:t>
      </w:r>
      <w:r>
        <w:rPr>
          <w:rFonts w:ascii="宋体" w:hAnsi="宋体" w:eastAsia="宋体" w:cs="宋体"/>
          <w:snapToGrid w:val="0"/>
          <w:color w:val="000000"/>
          <w:spacing w:val="8"/>
          <w:kern w:val="0"/>
          <w:sz w:val="20"/>
          <w:szCs w:val="20"/>
          <w:lang w:val="en-US" w:eastAsia="en-US" w:bidi="ar-SA"/>
        </w:rPr>
        <w:t>人完成该子目的准确工程量。</w:t>
      </w:r>
    </w:p>
    <w:p w14:paraId="25C6D61E">
      <w:pPr>
        <w:kinsoku w:val="0"/>
        <w:autoSpaceDE w:val="0"/>
        <w:autoSpaceDN w:val="0"/>
        <w:adjustRightInd w:val="0"/>
        <w:snapToGrid w:val="0"/>
        <w:spacing w:before="40" w:line="240" w:lineRule="auto"/>
        <w:ind w:left="4" w:right="2" w:firstLine="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18"/>
          <w:szCs w:val="18"/>
          <w:lang w:val="en-US" w:eastAsia="en-US" w:bidi="ar-SA"/>
        </w:rPr>
        <w:t xml:space="preserve">（6）    </w:t>
      </w:r>
      <w:r>
        <w:rPr>
          <w:rFonts w:ascii="宋体" w:hAnsi="宋体" w:eastAsia="宋体" w:cs="宋体"/>
          <w:snapToGrid w:val="0"/>
          <w:color w:val="000000"/>
          <w:spacing w:val="10"/>
          <w:kern w:val="0"/>
          <w:sz w:val="20"/>
          <w:szCs w:val="20"/>
          <w:lang w:val="en-US" w:eastAsia="en-US" w:bidi="ar-SA"/>
        </w:rPr>
        <w:t>监理人应在收到承包人提交的工程量报表后的 7 天内进行复核，监理人未在约定时间内复核的，承包人提交的工程量报表中的工程量</w:t>
      </w:r>
      <w:r>
        <w:rPr>
          <w:rFonts w:ascii="宋体" w:hAnsi="宋体" w:eastAsia="宋体" w:cs="宋体"/>
          <w:snapToGrid w:val="0"/>
          <w:color w:val="000000"/>
          <w:spacing w:val="9"/>
          <w:kern w:val="0"/>
          <w:sz w:val="20"/>
          <w:szCs w:val="20"/>
          <w:lang w:val="en-US" w:eastAsia="en-US" w:bidi="ar-SA"/>
        </w:rPr>
        <w:t>视为承包人实际完成的工程量，据此计算工程价款。</w:t>
      </w:r>
    </w:p>
    <w:p w14:paraId="32D09867">
      <w:pPr>
        <w:kinsoku w:val="0"/>
        <w:autoSpaceDE w:val="0"/>
        <w:autoSpaceDN w:val="0"/>
        <w:adjustRightInd w:val="0"/>
        <w:snapToGrid w:val="0"/>
        <w:spacing w:line="240" w:lineRule="auto"/>
        <w:ind w:left="437"/>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17.1.5</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总价子目的计量</w:t>
      </w:r>
    </w:p>
    <w:p w14:paraId="320C2B49">
      <w:pPr>
        <w:kinsoku w:val="0"/>
        <w:autoSpaceDE w:val="0"/>
        <w:autoSpaceDN w:val="0"/>
        <w:adjustRightInd w:val="0"/>
        <w:snapToGrid w:val="0"/>
        <w:spacing w:before="163"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除专用合同条款另有约定外，总价子目的分解和计量按照下述约定进行。</w:t>
      </w:r>
    </w:p>
    <w:p w14:paraId="698F7C00">
      <w:pPr>
        <w:kinsoku w:val="0"/>
        <w:autoSpaceDE w:val="0"/>
        <w:autoSpaceDN w:val="0"/>
        <w:adjustRightInd w:val="0"/>
        <w:snapToGrid w:val="0"/>
        <w:spacing w:before="164" w:line="240" w:lineRule="auto"/>
        <w:ind w:left="16" w:right="2" w:firstLine="41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18"/>
          <w:szCs w:val="18"/>
          <w:lang w:val="en-US" w:eastAsia="en-US" w:bidi="ar-SA"/>
        </w:rPr>
        <w:t xml:space="preserve">（1）    </w:t>
      </w:r>
      <w:r>
        <w:rPr>
          <w:rFonts w:ascii="宋体" w:hAnsi="宋体" w:eastAsia="宋体" w:cs="宋体"/>
          <w:snapToGrid w:val="0"/>
          <w:color w:val="000000"/>
          <w:spacing w:val="12"/>
          <w:kern w:val="0"/>
          <w:sz w:val="20"/>
          <w:szCs w:val="20"/>
          <w:lang w:val="en-US" w:eastAsia="en-US" w:bidi="ar-SA"/>
        </w:rPr>
        <w:t>总价子目的计量和支付应以总价为基础，不因</w:t>
      </w:r>
      <w:r>
        <w:rPr>
          <w:rFonts w:ascii="宋体" w:hAnsi="宋体" w:eastAsia="宋体" w:cs="宋体"/>
          <w:snapToGrid w:val="0"/>
          <w:color w:val="000000"/>
          <w:spacing w:val="11"/>
          <w:kern w:val="0"/>
          <w:sz w:val="20"/>
          <w:szCs w:val="20"/>
          <w:lang w:val="en-US" w:eastAsia="en-US" w:bidi="ar-SA"/>
        </w:rPr>
        <w:t>第</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16.1 款中的因素而进行调整。承包人实</w:t>
      </w:r>
      <w:r>
        <w:rPr>
          <w:rFonts w:ascii="宋体" w:hAnsi="宋体" w:eastAsia="宋体" w:cs="宋体"/>
          <w:snapToGrid w:val="0"/>
          <w:color w:val="000000"/>
          <w:spacing w:val="9"/>
          <w:kern w:val="0"/>
          <w:sz w:val="20"/>
          <w:szCs w:val="20"/>
          <w:lang w:val="en-US" w:eastAsia="en-US" w:bidi="ar-SA"/>
        </w:rPr>
        <w:t>际完成的工程量，是进行工程目标管理和控制进</w:t>
      </w:r>
      <w:r>
        <w:rPr>
          <w:rFonts w:ascii="宋体" w:hAnsi="宋体" w:eastAsia="宋体" w:cs="宋体"/>
          <w:snapToGrid w:val="0"/>
          <w:color w:val="000000"/>
          <w:spacing w:val="8"/>
          <w:kern w:val="0"/>
          <w:sz w:val="20"/>
          <w:szCs w:val="20"/>
          <w:lang w:val="en-US" w:eastAsia="en-US" w:bidi="ar-SA"/>
        </w:rPr>
        <w:t>度支付的依据。</w:t>
      </w:r>
    </w:p>
    <w:p w14:paraId="6EB46669">
      <w:pPr>
        <w:kinsoku w:val="0"/>
        <w:autoSpaceDE w:val="0"/>
        <w:autoSpaceDN w:val="0"/>
        <w:adjustRightInd w:val="0"/>
        <w:snapToGrid w:val="0"/>
        <w:spacing w:before="161" w:line="240" w:lineRule="auto"/>
        <w:ind w:firstLine="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18"/>
          <w:szCs w:val="18"/>
          <w:lang w:val="en-US" w:eastAsia="en-US" w:bidi="ar-SA"/>
        </w:rPr>
        <w:t xml:space="preserve">（2）    </w:t>
      </w:r>
      <w:r>
        <w:rPr>
          <w:rFonts w:ascii="宋体" w:hAnsi="宋体" w:eastAsia="宋体" w:cs="宋体"/>
          <w:snapToGrid w:val="0"/>
          <w:color w:val="000000"/>
          <w:spacing w:val="13"/>
          <w:kern w:val="0"/>
          <w:sz w:val="20"/>
          <w:szCs w:val="20"/>
          <w:lang w:val="en-US" w:eastAsia="en-US" w:bidi="ar-SA"/>
        </w:rPr>
        <w:t>承包人在合同约定的每个计量周期内，对已完成的工程进行计量，并向监理人提交进</w:t>
      </w:r>
      <w:r>
        <w:rPr>
          <w:rFonts w:ascii="宋体" w:hAnsi="宋体" w:eastAsia="宋体" w:cs="宋体"/>
          <w:snapToGrid w:val="0"/>
          <w:color w:val="000000"/>
          <w:spacing w:val="12"/>
          <w:kern w:val="0"/>
          <w:sz w:val="20"/>
          <w:szCs w:val="20"/>
          <w:lang w:val="en-US" w:eastAsia="en-US" w:bidi="ar-SA"/>
        </w:rPr>
        <w:t>度付</w:t>
      </w:r>
      <w:r>
        <w:rPr>
          <w:rFonts w:ascii="宋体" w:hAnsi="宋体" w:eastAsia="宋体" w:cs="宋体"/>
          <w:snapToGrid w:val="0"/>
          <w:color w:val="000000"/>
          <w:spacing w:val="13"/>
          <w:kern w:val="0"/>
          <w:sz w:val="20"/>
          <w:szCs w:val="20"/>
          <w:lang w:val="en-US" w:eastAsia="en-US" w:bidi="ar-SA"/>
        </w:rPr>
        <w:t>款申请单、专用合同条款约定的合同总价支付分解表所表示的阶段性或分项计量的支持性资料，</w:t>
      </w:r>
      <w:r>
        <w:rPr>
          <w:rFonts w:ascii="宋体" w:hAnsi="宋体" w:eastAsia="宋体" w:cs="宋体"/>
          <w:snapToGrid w:val="0"/>
          <w:color w:val="000000"/>
          <w:spacing w:val="-53"/>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以及所</w:t>
      </w:r>
      <w:r>
        <w:rPr>
          <w:rFonts w:ascii="宋体" w:hAnsi="宋体" w:eastAsia="宋体" w:cs="宋体"/>
          <w:snapToGrid w:val="0"/>
          <w:color w:val="000000"/>
          <w:spacing w:val="9"/>
          <w:kern w:val="0"/>
          <w:sz w:val="20"/>
          <w:szCs w:val="20"/>
          <w:lang w:val="en-US" w:eastAsia="en-US" w:bidi="ar-SA"/>
        </w:rPr>
        <w:t>达到工程形象目标或分阶段需完成的工程量和有关计量资料。</w:t>
      </w:r>
    </w:p>
    <w:p w14:paraId="1B41B050">
      <w:pPr>
        <w:kinsoku w:val="0"/>
        <w:autoSpaceDE w:val="0"/>
        <w:autoSpaceDN w:val="0"/>
        <w:adjustRightInd w:val="0"/>
        <w:snapToGrid w:val="0"/>
        <w:spacing w:before="161" w:line="240" w:lineRule="auto"/>
        <w:ind w:left="2" w:firstLine="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18"/>
          <w:szCs w:val="18"/>
          <w:lang w:val="en-US" w:eastAsia="en-US" w:bidi="ar-SA"/>
        </w:rPr>
        <w:t xml:space="preserve">（3）    </w:t>
      </w:r>
      <w:r>
        <w:rPr>
          <w:rFonts w:ascii="宋体" w:hAnsi="宋体" w:eastAsia="宋体" w:cs="宋体"/>
          <w:snapToGrid w:val="0"/>
          <w:color w:val="000000"/>
          <w:spacing w:val="12"/>
          <w:kern w:val="0"/>
          <w:sz w:val="20"/>
          <w:szCs w:val="20"/>
          <w:lang w:val="en-US" w:eastAsia="en-US" w:bidi="ar-SA"/>
        </w:rPr>
        <w:t>监理人对承包人提交的上述资料进行复核，</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以确定分阶段实际完成的工程量和工程形象目</w:t>
      </w:r>
      <w:r>
        <w:rPr>
          <w:rFonts w:ascii="宋体" w:hAnsi="宋体" w:eastAsia="宋体" w:cs="宋体"/>
          <w:snapToGrid w:val="0"/>
          <w:color w:val="000000"/>
          <w:spacing w:val="9"/>
          <w:kern w:val="0"/>
          <w:sz w:val="20"/>
          <w:szCs w:val="20"/>
          <w:lang w:val="en-US" w:eastAsia="en-US" w:bidi="ar-SA"/>
        </w:rPr>
        <w:t>标。对其有异议的，可要求承包人按第 8.2 款约定进行共</w:t>
      </w:r>
      <w:r>
        <w:rPr>
          <w:rFonts w:ascii="宋体" w:hAnsi="宋体" w:eastAsia="宋体" w:cs="宋体"/>
          <w:snapToGrid w:val="0"/>
          <w:color w:val="000000"/>
          <w:spacing w:val="8"/>
          <w:kern w:val="0"/>
          <w:sz w:val="20"/>
          <w:szCs w:val="20"/>
          <w:lang w:val="en-US" w:eastAsia="en-US" w:bidi="ar-SA"/>
        </w:rPr>
        <w:t>同复核和抽样复测。</w:t>
      </w:r>
    </w:p>
    <w:p w14:paraId="2B43038F">
      <w:pPr>
        <w:kinsoku w:val="0"/>
        <w:autoSpaceDE w:val="0"/>
        <w:autoSpaceDN w:val="0"/>
        <w:adjustRightInd w:val="0"/>
        <w:snapToGrid w:val="0"/>
        <w:spacing w:before="162"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（4）    </w:t>
      </w:r>
      <w:r>
        <w:rPr>
          <w:rFonts w:ascii="宋体" w:hAnsi="宋体" w:eastAsia="宋体" w:cs="宋体"/>
          <w:snapToGrid w:val="0"/>
          <w:color w:val="000000"/>
          <w:spacing w:val="8"/>
          <w:kern w:val="0"/>
          <w:sz w:val="20"/>
          <w:szCs w:val="20"/>
          <w:lang w:val="en-US" w:eastAsia="en-US" w:bidi="ar-SA"/>
        </w:rPr>
        <w:t>除按照第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15 条约定的变更外，总价子目的工程量是承包人</w:t>
      </w:r>
      <w:r>
        <w:rPr>
          <w:rFonts w:ascii="宋体" w:hAnsi="宋体" w:eastAsia="宋体" w:cs="宋体"/>
          <w:snapToGrid w:val="0"/>
          <w:color w:val="000000"/>
          <w:spacing w:val="7"/>
          <w:kern w:val="0"/>
          <w:sz w:val="20"/>
          <w:szCs w:val="20"/>
          <w:lang w:val="en-US" w:eastAsia="en-US" w:bidi="ar-SA"/>
        </w:rPr>
        <w:t>用于结算的最终工程量。</w:t>
      </w:r>
    </w:p>
    <w:p w14:paraId="46C76389">
      <w:pPr>
        <w:kinsoku w:val="0"/>
        <w:autoSpaceDE w:val="0"/>
        <w:autoSpaceDN w:val="0"/>
        <w:adjustRightInd w:val="0"/>
        <w:snapToGrid w:val="0"/>
        <w:spacing w:before="168" w:line="240" w:lineRule="auto"/>
        <w:ind w:left="50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17.2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预付款</w:t>
      </w:r>
    </w:p>
    <w:p w14:paraId="002E6376">
      <w:pPr>
        <w:kinsoku w:val="0"/>
        <w:autoSpaceDE w:val="0"/>
        <w:autoSpaceDN w:val="0"/>
        <w:adjustRightInd w:val="0"/>
        <w:snapToGrid w:val="0"/>
        <w:spacing w:before="178" w:line="240" w:lineRule="auto"/>
        <w:ind w:left="437"/>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kern w:val="0"/>
          <w:sz w:val="20"/>
          <w:szCs w:val="20"/>
          <w:lang w:val="en-US" w:eastAsia="en-US" w:bidi="ar-SA"/>
        </w:rPr>
        <w:t>17.2.1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kern w:val="0"/>
          <w:sz w:val="20"/>
          <w:szCs w:val="20"/>
          <w:lang w:val="en-US" w:eastAsia="en-US" w:bidi="ar-SA"/>
        </w:rPr>
        <w:t>预付款</w:t>
      </w:r>
    </w:p>
    <w:p w14:paraId="22E517E9">
      <w:pPr>
        <w:kinsoku w:val="0"/>
        <w:autoSpaceDE w:val="0"/>
        <w:autoSpaceDN w:val="0"/>
        <w:adjustRightInd w:val="0"/>
        <w:snapToGrid w:val="0"/>
        <w:spacing w:before="161" w:line="240" w:lineRule="auto"/>
        <w:ind w:right="194"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预付款用于承包人为合同工程施工购置材料、工程设备、施工设备、</w:t>
      </w:r>
      <w:r>
        <w:rPr>
          <w:rFonts w:ascii="宋体" w:hAnsi="宋体" w:eastAsia="宋体" w:cs="宋体"/>
          <w:snapToGrid w:val="0"/>
          <w:color w:val="000000"/>
          <w:spacing w:val="9"/>
          <w:kern w:val="0"/>
          <w:sz w:val="20"/>
          <w:szCs w:val="20"/>
          <w:lang w:val="en-US" w:eastAsia="en-US" w:bidi="ar-SA"/>
        </w:rPr>
        <w:t>修建临时设施以及组织施队伍</w:t>
      </w:r>
      <w:r>
        <w:rPr>
          <w:rFonts w:ascii="宋体" w:hAnsi="宋体" w:eastAsia="宋体" w:cs="宋体"/>
          <w:snapToGrid w:val="0"/>
          <w:color w:val="000000"/>
          <w:spacing w:val="10"/>
          <w:kern w:val="0"/>
          <w:sz w:val="20"/>
          <w:szCs w:val="20"/>
          <w:lang w:val="en-US" w:eastAsia="en-US" w:bidi="ar-SA"/>
        </w:rPr>
        <w:t>进场等。预付款的额度和预付办法在专用合</w:t>
      </w:r>
      <w:r>
        <w:rPr>
          <w:rFonts w:ascii="宋体" w:hAnsi="宋体" w:eastAsia="宋体" w:cs="宋体"/>
          <w:snapToGrid w:val="0"/>
          <w:color w:val="000000"/>
          <w:spacing w:val="9"/>
          <w:kern w:val="0"/>
          <w:sz w:val="20"/>
          <w:szCs w:val="20"/>
          <w:lang w:val="en-US" w:eastAsia="en-US" w:bidi="ar-SA"/>
        </w:rPr>
        <w:t>同条款中约定。预付款必须专用于合同工程。</w:t>
      </w:r>
    </w:p>
    <w:p w14:paraId="6EA1B503">
      <w:pPr>
        <w:kinsoku w:val="0"/>
        <w:autoSpaceDE w:val="0"/>
        <w:autoSpaceDN w:val="0"/>
        <w:adjustRightInd w:val="0"/>
        <w:snapToGrid w:val="0"/>
        <w:spacing w:line="240" w:lineRule="auto"/>
        <w:ind w:left="437"/>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17.2.2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预付款保函</w:t>
      </w:r>
    </w:p>
    <w:p w14:paraId="0E70155F">
      <w:pPr>
        <w:kinsoku w:val="0"/>
        <w:autoSpaceDE w:val="0"/>
        <w:autoSpaceDN w:val="0"/>
        <w:adjustRightInd w:val="0"/>
        <w:snapToGrid w:val="0"/>
        <w:spacing w:before="161" w:line="240" w:lineRule="auto"/>
        <w:ind w:left="18" w:right="194" w:firstLine="4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除专用合同条款另有约定外，承包人应在收到</w:t>
      </w:r>
      <w:r>
        <w:rPr>
          <w:rFonts w:ascii="宋体" w:hAnsi="宋体" w:eastAsia="宋体" w:cs="宋体"/>
          <w:snapToGrid w:val="0"/>
          <w:color w:val="000000"/>
          <w:spacing w:val="9"/>
          <w:kern w:val="0"/>
          <w:sz w:val="20"/>
          <w:szCs w:val="20"/>
          <w:lang w:val="en-US" w:eastAsia="en-US" w:bidi="ar-SA"/>
        </w:rPr>
        <w:t>预付款的同时向发包人提交预付款保函，预付款保函的担保金额应与预付款金额相同。保函的担保金额可根据预付款扣回的金额相应递减。</w:t>
      </w:r>
    </w:p>
    <w:p w14:paraId="393DE5D0">
      <w:pPr>
        <w:kinsoku w:val="0"/>
        <w:autoSpaceDE w:val="0"/>
        <w:autoSpaceDN w:val="0"/>
        <w:adjustRightInd w:val="0"/>
        <w:snapToGrid w:val="0"/>
        <w:spacing w:before="1" w:line="240" w:lineRule="auto"/>
        <w:ind w:left="437"/>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17.2.3</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预付款的扣回与还清</w:t>
      </w:r>
    </w:p>
    <w:p w14:paraId="545F2BB8">
      <w:pPr>
        <w:kinsoku w:val="0"/>
        <w:autoSpaceDE w:val="0"/>
        <w:autoSpaceDN w:val="0"/>
        <w:adjustRightInd w:val="0"/>
        <w:snapToGrid w:val="0"/>
        <w:spacing w:before="161" w:line="240" w:lineRule="auto"/>
        <w:ind w:left="5" w:right="2"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预付款在进度付款中扣回，扣回办法在专用合同条款中约定。在颁发工程接收证书前，</w:t>
      </w:r>
      <w:r>
        <w:rPr>
          <w:rFonts w:ascii="宋体" w:hAnsi="宋体" w:eastAsia="宋体" w:cs="宋体"/>
          <w:snapToGrid w:val="0"/>
          <w:color w:val="000000"/>
          <w:spacing w:val="-49"/>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由于不可抗</w:t>
      </w:r>
      <w:r>
        <w:rPr>
          <w:rFonts w:ascii="宋体" w:hAnsi="宋体" w:eastAsia="宋体" w:cs="宋体"/>
          <w:snapToGrid w:val="0"/>
          <w:color w:val="000000"/>
          <w:spacing w:val="10"/>
          <w:kern w:val="0"/>
          <w:sz w:val="20"/>
          <w:szCs w:val="20"/>
          <w:lang w:val="en-US" w:eastAsia="en-US" w:bidi="ar-SA"/>
        </w:rPr>
        <w:t>力或其他原因解除合同时，预付款尚未扣清的</w:t>
      </w:r>
      <w:r>
        <w:rPr>
          <w:rFonts w:ascii="宋体" w:hAnsi="宋体" w:eastAsia="宋体" w:cs="宋体"/>
          <w:snapToGrid w:val="0"/>
          <w:color w:val="000000"/>
          <w:spacing w:val="9"/>
          <w:kern w:val="0"/>
          <w:sz w:val="20"/>
          <w:szCs w:val="20"/>
          <w:lang w:val="en-US" w:eastAsia="en-US" w:bidi="ar-SA"/>
        </w:rPr>
        <w:t>，尚未扣清的预付款余额应作为承包人的到期应付款。</w:t>
      </w:r>
    </w:p>
    <w:p w14:paraId="3B747123">
      <w:pPr>
        <w:kinsoku w:val="0"/>
        <w:autoSpaceDE w:val="0"/>
        <w:autoSpaceDN w:val="0"/>
        <w:adjustRightInd w:val="0"/>
        <w:snapToGrid w:val="0"/>
        <w:spacing w:line="240" w:lineRule="auto"/>
        <w:ind w:left="500"/>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17.3</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工程进度付款</w:t>
      </w:r>
    </w:p>
    <w:p w14:paraId="7F8D71F5">
      <w:pPr>
        <w:kinsoku w:val="0"/>
        <w:autoSpaceDE w:val="0"/>
        <w:autoSpaceDN w:val="0"/>
        <w:adjustRightInd w:val="0"/>
        <w:snapToGrid w:val="0"/>
        <w:spacing w:before="176" w:line="240" w:lineRule="auto"/>
        <w:ind w:left="437"/>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1"/>
          <w:kern w:val="0"/>
          <w:sz w:val="20"/>
          <w:szCs w:val="20"/>
          <w:lang w:val="en-US" w:eastAsia="en-US" w:bidi="ar-SA"/>
        </w:rPr>
        <w:t>17.3.1</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b/>
          <w:bCs/>
          <w:snapToGrid w:val="0"/>
          <w:color w:val="000000"/>
          <w:spacing w:val="1"/>
          <w:kern w:val="0"/>
          <w:sz w:val="20"/>
          <w:szCs w:val="20"/>
          <w:lang w:val="en-US" w:eastAsia="en-US" w:bidi="ar-SA"/>
        </w:rPr>
        <w:t>付款周期</w:t>
      </w:r>
    </w:p>
    <w:p w14:paraId="69B5607E">
      <w:pPr>
        <w:kinsoku w:val="0"/>
        <w:autoSpaceDE w:val="0"/>
        <w:autoSpaceDN w:val="0"/>
        <w:adjustRightInd w:val="0"/>
        <w:snapToGrid w:val="0"/>
        <w:spacing w:before="163" w:line="240" w:lineRule="auto"/>
        <w:ind w:left="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付款周期同计量周期。</w:t>
      </w:r>
    </w:p>
    <w:p w14:paraId="4C6692DD">
      <w:pPr>
        <w:kinsoku w:val="0"/>
        <w:autoSpaceDE w:val="0"/>
        <w:autoSpaceDN w:val="0"/>
        <w:adjustRightInd w:val="0"/>
        <w:snapToGrid w:val="0"/>
        <w:spacing w:before="161" w:line="240" w:lineRule="auto"/>
        <w:ind w:left="437"/>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17.3.2</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进度付款申请单</w:t>
      </w:r>
    </w:p>
    <w:p w14:paraId="3762D043">
      <w:pPr>
        <w:kinsoku w:val="0"/>
        <w:autoSpaceDE w:val="0"/>
        <w:autoSpaceDN w:val="0"/>
        <w:adjustRightInd w:val="0"/>
        <w:snapToGrid w:val="0"/>
        <w:spacing w:before="163" w:line="240" w:lineRule="auto"/>
        <w:ind w:left="1" w:right="2" w:firstLine="419"/>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承包人应在每个付款周期末，按监理人批准的格式和专用合同条款约定的份数，</w:t>
      </w:r>
      <w:r>
        <w:rPr>
          <w:rFonts w:ascii="宋体" w:hAnsi="宋体" w:eastAsia="宋体" w:cs="宋体"/>
          <w:snapToGrid w:val="0"/>
          <w:color w:val="000000"/>
          <w:spacing w:val="-48"/>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向监理人提交进度</w:t>
      </w:r>
      <w:r>
        <w:rPr>
          <w:rFonts w:ascii="宋体" w:hAnsi="宋体" w:eastAsia="宋体" w:cs="宋体"/>
          <w:snapToGrid w:val="0"/>
          <w:color w:val="000000"/>
          <w:spacing w:val="14"/>
          <w:kern w:val="0"/>
          <w:sz w:val="20"/>
          <w:szCs w:val="20"/>
          <w:lang w:val="en-US" w:eastAsia="en-US" w:bidi="ar-SA"/>
        </w:rPr>
        <w:t>付款申请单，并附相应的支持性证明文件。除专用合同条款另有约定外，进度付款申请单应包括下列内</w:t>
      </w:r>
      <w:r>
        <w:rPr>
          <w:rFonts w:ascii="宋体" w:hAnsi="宋体" w:eastAsia="宋体" w:cs="宋体"/>
          <w:snapToGrid w:val="0"/>
          <w:color w:val="000000"/>
          <w:kern w:val="0"/>
          <w:sz w:val="20"/>
          <w:szCs w:val="20"/>
          <w:lang w:val="en-US" w:eastAsia="en-US" w:bidi="ar-SA"/>
        </w:rPr>
        <w:t>容：</w:t>
      </w:r>
    </w:p>
    <w:p w14:paraId="669B8F98">
      <w:pPr>
        <w:kinsoku w:val="0"/>
        <w:autoSpaceDE w:val="0"/>
        <w:autoSpaceDN w:val="0"/>
        <w:adjustRightInd w:val="0"/>
        <w:snapToGrid w:val="0"/>
        <w:spacing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（1）    </w:t>
      </w:r>
      <w:r>
        <w:rPr>
          <w:rFonts w:ascii="宋体" w:hAnsi="宋体" w:eastAsia="宋体" w:cs="宋体"/>
          <w:snapToGrid w:val="0"/>
          <w:color w:val="000000"/>
          <w:spacing w:val="7"/>
          <w:kern w:val="0"/>
          <w:sz w:val="20"/>
          <w:szCs w:val="20"/>
          <w:lang w:val="en-US" w:eastAsia="en-US" w:bidi="ar-SA"/>
        </w:rPr>
        <w:t>截至本次付款周期末已实施工程的价款；</w:t>
      </w:r>
    </w:p>
    <w:p w14:paraId="5BA2155C">
      <w:pPr>
        <w:kinsoku w:val="0"/>
        <w:autoSpaceDE w:val="0"/>
        <w:autoSpaceDN w:val="0"/>
        <w:adjustRightInd w:val="0"/>
        <w:snapToGrid w:val="0"/>
        <w:spacing w:before="162"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18"/>
          <w:szCs w:val="18"/>
          <w:lang w:val="en-US" w:eastAsia="en-US" w:bidi="ar-SA"/>
        </w:rPr>
        <w:t xml:space="preserve">（2）    </w:t>
      </w:r>
      <w:r>
        <w:rPr>
          <w:rFonts w:ascii="宋体" w:hAnsi="宋体" w:eastAsia="宋体" w:cs="宋体"/>
          <w:snapToGrid w:val="0"/>
          <w:color w:val="000000"/>
          <w:spacing w:val="6"/>
          <w:kern w:val="0"/>
          <w:sz w:val="20"/>
          <w:szCs w:val="20"/>
          <w:lang w:val="en-US" w:eastAsia="en-US" w:bidi="ar-SA"/>
        </w:rPr>
        <w:t>根据第</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15 条应增加和扣减的变更金额；</w:t>
      </w:r>
    </w:p>
    <w:p w14:paraId="0B168E47">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18"/>
          <w:szCs w:val="18"/>
          <w:lang w:val="en-US" w:eastAsia="en-US" w:bidi="ar-SA"/>
        </w:rPr>
        <w:t xml:space="preserve">（3）    </w:t>
      </w:r>
      <w:r>
        <w:rPr>
          <w:rFonts w:ascii="宋体" w:hAnsi="宋体" w:eastAsia="宋体" w:cs="宋体"/>
          <w:snapToGrid w:val="0"/>
          <w:color w:val="000000"/>
          <w:spacing w:val="6"/>
          <w:kern w:val="0"/>
          <w:sz w:val="20"/>
          <w:szCs w:val="20"/>
          <w:lang w:val="en-US" w:eastAsia="en-US" w:bidi="ar-SA"/>
        </w:rPr>
        <w:t>根据第 23</w:t>
      </w:r>
      <w:r>
        <w:rPr>
          <w:rFonts w:ascii="宋体" w:hAnsi="宋体" w:eastAsia="宋体" w:cs="宋体"/>
          <w:snapToGrid w:val="0"/>
          <w:color w:val="000000"/>
          <w:spacing w:val="28"/>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条应增加和扣减的索赔金额；</w:t>
      </w:r>
    </w:p>
    <w:p w14:paraId="3D33A9C5">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（4）    </w:t>
      </w:r>
      <w:r>
        <w:rPr>
          <w:rFonts w:ascii="宋体" w:hAnsi="宋体" w:eastAsia="宋体" w:cs="宋体"/>
          <w:snapToGrid w:val="0"/>
          <w:color w:val="000000"/>
          <w:spacing w:val="7"/>
          <w:kern w:val="0"/>
          <w:sz w:val="20"/>
          <w:szCs w:val="20"/>
          <w:lang w:val="en-US" w:eastAsia="en-US" w:bidi="ar-SA"/>
        </w:rPr>
        <w:t>根据第 17.2</w:t>
      </w:r>
      <w:r>
        <w:rPr>
          <w:rFonts w:ascii="宋体" w:hAnsi="宋体" w:eastAsia="宋体" w:cs="宋体"/>
          <w:snapToGrid w:val="0"/>
          <w:color w:val="000000"/>
          <w:spacing w:val="22"/>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款约定应支付的预付款和扣减的返还预付款；</w:t>
      </w:r>
    </w:p>
    <w:p w14:paraId="39485114">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18"/>
          <w:szCs w:val="18"/>
          <w:lang w:val="en-US" w:eastAsia="en-US" w:bidi="ar-SA"/>
        </w:rPr>
        <w:t xml:space="preserve">（5）    </w:t>
      </w:r>
      <w:r>
        <w:rPr>
          <w:rFonts w:ascii="宋体" w:hAnsi="宋体" w:eastAsia="宋体" w:cs="宋体"/>
          <w:snapToGrid w:val="0"/>
          <w:color w:val="000000"/>
          <w:spacing w:val="6"/>
          <w:kern w:val="0"/>
          <w:sz w:val="20"/>
          <w:szCs w:val="20"/>
          <w:lang w:val="en-US" w:eastAsia="en-US" w:bidi="ar-SA"/>
        </w:rPr>
        <w:t>根据第</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17.4.1 项约定应扣减的质</w:t>
      </w:r>
      <w:r>
        <w:rPr>
          <w:rFonts w:ascii="宋体" w:hAnsi="宋体" w:eastAsia="宋体" w:cs="宋体"/>
          <w:snapToGrid w:val="0"/>
          <w:color w:val="000000"/>
          <w:spacing w:val="5"/>
          <w:kern w:val="0"/>
          <w:sz w:val="20"/>
          <w:szCs w:val="20"/>
          <w:lang w:val="en-US" w:eastAsia="en-US" w:bidi="ar-SA"/>
        </w:rPr>
        <w:t>量保证金；</w:t>
      </w:r>
    </w:p>
    <w:p w14:paraId="69251459">
      <w:pPr>
        <w:kinsoku w:val="0"/>
        <w:autoSpaceDE w:val="0"/>
        <w:autoSpaceDN w:val="0"/>
        <w:adjustRightInd w:val="0"/>
        <w:snapToGrid w:val="0"/>
        <w:spacing w:before="164"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（6）    </w:t>
      </w:r>
      <w:r>
        <w:rPr>
          <w:rFonts w:ascii="宋体" w:hAnsi="宋体" w:eastAsia="宋体" w:cs="宋体"/>
          <w:snapToGrid w:val="0"/>
          <w:color w:val="000000"/>
          <w:spacing w:val="7"/>
          <w:kern w:val="0"/>
          <w:sz w:val="20"/>
          <w:szCs w:val="20"/>
          <w:lang w:val="en-US" w:eastAsia="en-US" w:bidi="ar-SA"/>
        </w:rPr>
        <w:t>根据合同应增加和扣减的其他金额。</w:t>
      </w:r>
    </w:p>
    <w:p w14:paraId="6531F8F1">
      <w:pPr>
        <w:kinsoku w:val="0"/>
        <w:autoSpaceDE w:val="0"/>
        <w:autoSpaceDN w:val="0"/>
        <w:adjustRightInd w:val="0"/>
        <w:snapToGrid w:val="0"/>
        <w:spacing w:before="41"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17.3.3</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进度付款证书和支付时间</w:t>
      </w:r>
    </w:p>
    <w:p w14:paraId="2235B9D9">
      <w:pPr>
        <w:kinsoku w:val="0"/>
        <w:autoSpaceDE w:val="0"/>
        <w:autoSpaceDN w:val="0"/>
        <w:adjustRightInd w:val="0"/>
        <w:snapToGrid w:val="0"/>
        <w:spacing w:before="161" w:line="240" w:lineRule="auto"/>
        <w:ind w:right="2"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18"/>
          <w:szCs w:val="18"/>
          <w:lang w:val="en-US" w:eastAsia="en-US" w:bidi="ar-SA"/>
        </w:rPr>
        <w:t xml:space="preserve">（1）    </w:t>
      </w:r>
      <w:r>
        <w:rPr>
          <w:rFonts w:ascii="宋体" w:hAnsi="宋体" w:eastAsia="宋体" w:cs="宋体"/>
          <w:snapToGrid w:val="0"/>
          <w:color w:val="000000"/>
          <w:spacing w:val="12"/>
          <w:kern w:val="0"/>
          <w:sz w:val="20"/>
          <w:szCs w:val="20"/>
          <w:lang w:val="en-US" w:eastAsia="en-US" w:bidi="ar-SA"/>
        </w:rPr>
        <w:t>监理人在收到承包人进度付款申请单以及相应的支持性证明文件后的</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w:t>
      </w:r>
      <w:r>
        <w:rPr>
          <w:rFonts w:ascii="宋体" w:hAnsi="宋体" w:eastAsia="宋体" w:cs="宋体"/>
          <w:snapToGrid w:val="0"/>
          <w:color w:val="000000"/>
          <w:spacing w:val="11"/>
          <w:kern w:val="0"/>
          <w:sz w:val="20"/>
          <w:szCs w:val="20"/>
          <w:lang w:val="en-US" w:eastAsia="en-US" w:bidi="ar-SA"/>
        </w:rPr>
        <w:t>4 天内完成核查，</w:t>
      </w:r>
      <w:r>
        <w:rPr>
          <w:rFonts w:ascii="宋体" w:hAnsi="宋体" w:eastAsia="宋体" w:cs="宋体"/>
          <w:snapToGrid w:val="0"/>
          <w:color w:val="000000"/>
          <w:spacing w:val="13"/>
          <w:kern w:val="0"/>
          <w:sz w:val="20"/>
          <w:szCs w:val="20"/>
          <w:lang w:val="en-US" w:eastAsia="en-US" w:bidi="ar-SA"/>
        </w:rPr>
        <w:t>提出发包人到期应支付给承包人的金额以及相应的支持性材料，经发包人审查同意后，</w:t>
      </w:r>
      <w:r>
        <w:rPr>
          <w:rFonts w:ascii="宋体" w:hAnsi="宋体" w:eastAsia="宋体" w:cs="宋体"/>
          <w:snapToGrid w:val="0"/>
          <w:color w:val="000000"/>
          <w:spacing w:val="-54"/>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由监理人向承包</w:t>
      </w:r>
      <w:r>
        <w:rPr>
          <w:rFonts w:ascii="宋体" w:hAnsi="宋体" w:eastAsia="宋体" w:cs="宋体"/>
          <w:snapToGrid w:val="0"/>
          <w:color w:val="000000"/>
          <w:spacing w:val="14"/>
          <w:kern w:val="0"/>
          <w:sz w:val="20"/>
          <w:szCs w:val="20"/>
          <w:lang w:val="en-US" w:eastAsia="en-US" w:bidi="ar-SA"/>
        </w:rPr>
        <w:t>人出具经发包人签认的进度付款证书。监理人有权扣发承包人未能按照合同要求履行任何工作或义务的</w:t>
      </w:r>
      <w:r>
        <w:rPr>
          <w:rFonts w:ascii="宋体" w:hAnsi="宋体" w:eastAsia="宋体" w:cs="宋体"/>
          <w:snapToGrid w:val="0"/>
          <w:color w:val="000000"/>
          <w:spacing w:val="5"/>
          <w:kern w:val="0"/>
          <w:sz w:val="20"/>
          <w:szCs w:val="20"/>
          <w:lang w:val="en-US" w:eastAsia="en-US" w:bidi="ar-SA"/>
        </w:rPr>
        <w:t>相应金额。</w:t>
      </w:r>
    </w:p>
    <w:p w14:paraId="6FA9E4B0">
      <w:pPr>
        <w:kinsoku w:val="0"/>
        <w:autoSpaceDE w:val="0"/>
        <w:autoSpaceDN w:val="0"/>
        <w:adjustRightInd w:val="0"/>
        <w:snapToGrid w:val="0"/>
        <w:spacing w:before="161" w:line="240" w:lineRule="auto"/>
        <w:ind w:left="1"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18"/>
          <w:szCs w:val="18"/>
          <w:lang w:val="en-US" w:eastAsia="en-US" w:bidi="ar-SA"/>
        </w:rPr>
        <w:t xml:space="preserve">（2）    </w:t>
      </w:r>
      <w:r>
        <w:rPr>
          <w:rFonts w:ascii="宋体" w:hAnsi="宋体" w:eastAsia="宋体" w:cs="宋体"/>
          <w:snapToGrid w:val="0"/>
          <w:color w:val="000000"/>
          <w:spacing w:val="13"/>
          <w:kern w:val="0"/>
          <w:sz w:val="20"/>
          <w:szCs w:val="20"/>
          <w:lang w:val="en-US" w:eastAsia="en-US" w:bidi="ar-SA"/>
        </w:rPr>
        <w:t>发包人应在监理人收到进度付</w:t>
      </w:r>
      <w:r>
        <w:rPr>
          <w:rFonts w:ascii="宋体" w:hAnsi="宋体" w:eastAsia="宋体" w:cs="宋体"/>
          <w:snapToGrid w:val="0"/>
          <w:color w:val="000000"/>
          <w:spacing w:val="12"/>
          <w:kern w:val="0"/>
          <w:sz w:val="20"/>
          <w:szCs w:val="20"/>
          <w:lang w:val="en-US" w:eastAsia="en-US" w:bidi="ar-SA"/>
        </w:rPr>
        <w:t>款申请单后的 28 天内，将进度应付款支付给承包人。发包</w:t>
      </w:r>
      <w:r>
        <w:rPr>
          <w:rFonts w:ascii="宋体" w:hAnsi="宋体" w:eastAsia="宋体" w:cs="宋体"/>
          <w:snapToGrid w:val="0"/>
          <w:color w:val="000000"/>
          <w:spacing w:val="9"/>
          <w:kern w:val="0"/>
          <w:sz w:val="20"/>
          <w:szCs w:val="20"/>
          <w:lang w:val="en-US" w:eastAsia="en-US" w:bidi="ar-SA"/>
        </w:rPr>
        <w:t>人不按期支付的，按专用合同条款的约定支付逾期付款违约金。</w:t>
      </w:r>
    </w:p>
    <w:p w14:paraId="151DF5E5">
      <w:pPr>
        <w:kinsoku w:val="0"/>
        <w:autoSpaceDE w:val="0"/>
        <w:autoSpaceDN w:val="0"/>
        <w:adjustRightInd w:val="0"/>
        <w:snapToGrid w:val="0"/>
        <w:spacing w:before="160" w:line="240" w:lineRule="auto"/>
        <w:ind w:left="420" w:right="185" w:firstLine="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（3）    </w:t>
      </w:r>
      <w:r>
        <w:rPr>
          <w:rFonts w:ascii="宋体" w:hAnsi="宋体" w:eastAsia="宋体" w:cs="宋体"/>
          <w:snapToGrid w:val="0"/>
          <w:color w:val="000000"/>
          <w:spacing w:val="9"/>
          <w:kern w:val="0"/>
          <w:sz w:val="20"/>
          <w:szCs w:val="20"/>
          <w:lang w:val="en-US" w:eastAsia="en-US" w:bidi="ar-SA"/>
        </w:rPr>
        <w:t>监理人出具进度付款证书，不应视为监理人已同意、批准或接受了承包人完成的该</w:t>
      </w:r>
      <w:r>
        <w:rPr>
          <w:rFonts w:ascii="宋体" w:hAnsi="宋体" w:eastAsia="宋体" w:cs="宋体"/>
          <w:snapToGrid w:val="0"/>
          <w:color w:val="000000"/>
          <w:spacing w:val="8"/>
          <w:kern w:val="0"/>
          <w:sz w:val="20"/>
          <w:szCs w:val="20"/>
          <w:lang w:val="en-US" w:eastAsia="en-US" w:bidi="ar-SA"/>
        </w:rPr>
        <w:t>部分工</w:t>
      </w:r>
      <w:r>
        <w:rPr>
          <w:rFonts w:ascii="宋体" w:hAnsi="宋体" w:eastAsia="宋体" w:cs="宋体"/>
          <w:snapToGrid w:val="0"/>
          <w:color w:val="000000"/>
          <w:kern w:val="0"/>
          <w:sz w:val="20"/>
          <w:szCs w:val="20"/>
          <w:lang w:val="en-US" w:eastAsia="en-US" w:bidi="ar-SA"/>
        </w:rPr>
        <w:t>作。</w:t>
      </w:r>
    </w:p>
    <w:p w14:paraId="2CEDCABA">
      <w:pPr>
        <w:kinsoku w:val="0"/>
        <w:autoSpaceDE w:val="0"/>
        <w:autoSpaceDN w:val="0"/>
        <w:adjustRightInd w:val="0"/>
        <w:snapToGrid w:val="0"/>
        <w:spacing w:before="161" w:line="240" w:lineRule="auto"/>
        <w:ind w:left="424" w:right="185" w:firstLine="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（4）    </w:t>
      </w:r>
      <w:r>
        <w:rPr>
          <w:rFonts w:ascii="宋体" w:hAnsi="宋体" w:eastAsia="宋体" w:cs="宋体"/>
          <w:snapToGrid w:val="0"/>
          <w:color w:val="000000"/>
          <w:spacing w:val="9"/>
          <w:kern w:val="0"/>
          <w:sz w:val="20"/>
          <w:szCs w:val="20"/>
          <w:lang w:val="en-US" w:eastAsia="en-US" w:bidi="ar-SA"/>
        </w:rPr>
        <w:t>进度付款涉及政府投资资金的，按照国库集中支付等国家相关规定和专用合同条款</w:t>
      </w:r>
      <w:r>
        <w:rPr>
          <w:rFonts w:ascii="宋体" w:hAnsi="宋体" w:eastAsia="宋体" w:cs="宋体"/>
          <w:snapToGrid w:val="0"/>
          <w:color w:val="000000"/>
          <w:spacing w:val="8"/>
          <w:kern w:val="0"/>
          <w:sz w:val="20"/>
          <w:szCs w:val="20"/>
          <w:lang w:val="en-US" w:eastAsia="en-US" w:bidi="ar-SA"/>
        </w:rPr>
        <w:t>的约定</w:t>
      </w:r>
      <w:r>
        <w:rPr>
          <w:rFonts w:ascii="宋体" w:hAnsi="宋体" w:eastAsia="宋体" w:cs="宋体"/>
          <w:snapToGrid w:val="0"/>
          <w:color w:val="000000"/>
          <w:spacing w:val="1"/>
          <w:kern w:val="0"/>
          <w:sz w:val="20"/>
          <w:szCs w:val="20"/>
          <w:lang w:val="en-US" w:eastAsia="en-US" w:bidi="ar-SA"/>
        </w:rPr>
        <w:t>办理。</w:t>
      </w:r>
    </w:p>
    <w:p w14:paraId="008FF76D">
      <w:pPr>
        <w:kinsoku w:val="0"/>
        <w:autoSpaceDE w:val="0"/>
        <w:autoSpaceDN w:val="0"/>
        <w:adjustRightInd w:val="0"/>
        <w:snapToGrid w:val="0"/>
        <w:spacing w:before="161"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17.3.4</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工程进度付款的修正</w:t>
      </w:r>
    </w:p>
    <w:p w14:paraId="3345E008">
      <w:pPr>
        <w:kinsoku w:val="0"/>
        <w:autoSpaceDE w:val="0"/>
        <w:autoSpaceDN w:val="0"/>
        <w:adjustRightInd w:val="0"/>
        <w:snapToGrid w:val="0"/>
        <w:spacing w:before="163" w:line="240" w:lineRule="auto"/>
        <w:ind w:left="4" w:right="405" w:firstLine="4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在对以往历次已签发的进度付款证书进行汇总和复核中发现错、漏或重</w:t>
      </w:r>
      <w:r>
        <w:rPr>
          <w:rFonts w:ascii="宋体" w:hAnsi="宋体" w:eastAsia="宋体" w:cs="宋体"/>
          <w:snapToGrid w:val="0"/>
          <w:color w:val="000000"/>
          <w:spacing w:val="9"/>
          <w:kern w:val="0"/>
          <w:sz w:val="20"/>
          <w:szCs w:val="20"/>
          <w:lang w:val="en-US" w:eastAsia="en-US" w:bidi="ar-SA"/>
        </w:rPr>
        <w:t>复的，监理人有权予以修正，承包人也有权提出修正申请。经双方复核同意的修正，应在本次进度付款中支付或扣除。</w:t>
      </w:r>
    </w:p>
    <w:p w14:paraId="1DE4B460">
      <w:pPr>
        <w:kinsoku w:val="0"/>
        <w:autoSpaceDE w:val="0"/>
        <w:autoSpaceDN w:val="0"/>
        <w:adjustRightInd w:val="0"/>
        <w:snapToGrid w:val="0"/>
        <w:spacing w:before="2"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17.4</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质量保证金</w:t>
      </w:r>
    </w:p>
    <w:p w14:paraId="097F1D33">
      <w:pPr>
        <w:kinsoku w:val="0"/>
        <w:autoSpaceDE w:val="0"/>
        <w:autoSpaceDN w:val="0"/>
        <w:adjustRightInd w:val="0"/>
        <w:snapToGrid w:val="0"/>
        <w:spacing w:before="179"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17.4.1   监理人应从第一个付款周期开始，在发包人的进度付款中，按专用</w:t>
      </w:r>
      <w:r>
        <w:rPr>
          <w:rFonts w:ascii="宋体" w:hAnsi="宋体" w:eastAsia="宋体" w:cs="宋体"/>
          <w:snapToGrid w:val="0"/>
          <w:color w:val="000000"/>
          <w:spacing w:val="14"/>
          <w:kern w:val="0"/>
          <w:sz w:val="20"/>
          <w:szCs w:val="20"/>
          <w:lang w:val="en-US" w:eastAsia="en-US" w:bidi="ar-SA"/>
        </w:rPr>
        <w:t>合同条款的约定扣留质量保证金，直至扣留的质量保证金总额达到专用合同条款约定的金额或比例为止。质量保证金的计算</w:t>
      </w:r>
      <w:r>
        <w:rPr>
          <w:rFonts w:ascii="宋体" w:hAnsi="宋体" w:eastAsia="宋体" w:cs="宋体"/>
          <w:snapToGrid w:val="0"/>
          <w:color w:val="000000"/>
          <w:spacing w:val="9"/>
          <w:kern w:val="0"/>
          <w:sz w:val="20"/>
          <w:szCs w:val="20"/>
          <w:lang w:val="en-US" w:eastAsia="en-US" w:bidi="ar-SA"/>
        </w:rPr>
        <w:t>额度不包括预付款的支付、扣回以及价格调整的金额。</w:t>
      </w:r>
    </w:p>
    <w:p w14:paraId="4456994A">
      <w:pPr>
        <w:kinsoku w:val="0"/>
        <w:autoSpaceDE w:val="0"/>
        <w:autoSpaceDN w:val="0"/>
        <w:adjustRightInd w:val="0"/>
        <w:snapToGrid w:val="0"/>
        <w:spacing w:before="163"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17.4.2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在第</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1.1.4.5</w:t>
      </w:r>
      <w:r>
        <w:rPr>
          <w:rFonts w:ascii="宋体" w:hAnsi="宋体" w:eastAsia="宋体" w:cs="宋体"/>
          <w:snapToGrid w:val="0"/>
          <w:color w:val="000000"/>
          <w:spacing w:val="57"/>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目约定的缺陷责任期满时，承包人向发</w:t>
      </w:r>
      <w:r>
        <w:rPr>
          <w:rFonts w:ascii="宋体" w:hAnsi="宋体" w:eastAsia="宋体" w:cs="宋体"/>
          <w:snapToGrid w:val="0"/>
          <w:color w:val="000000"/>
          <w:spacing w:val="8"/>
          <w:kern w:val="0"/>
          <w:sz w:val="20"/>
          <w:szCs w:val="20"/>
          <w:lang w:val="en-US" w:eastAsia="en-US" w:bidi="ar-SA"/>
        </w:rPr>
        <w:t>包人申请到期应返还承包人剩余的</w:t>
      </w:r>
      <w:r>
        <w:rPr>
          <w:rFonts w:ascii="宋体" w:hAnsi="宋体" w:eastAsia="宋体" w:cs="宋体"/>
          <w:snapToGrid w:val="0"/>
          <w:color w:val="000000"/>
          <w:spacing w:val="13"/>
          <w:kern w:val="0"/>
          <w:sz w:val="20"/>
          <w:szCs w:val="20"/>
          <w:lang w:val="en-US" w:eastAsia="en-US" w:bidi="ar-SA"/>
        </w:rPr>
        <w:t>质量保证金金额，发包人应在</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14 天内会同承包人按照合同约定的内容核实承包人是否完</w:t>
      </w:r>
      <w:r>
        <w:rPr>
          <w:rFonts w:ascii="宋体" w:hAnsi="宋体" w:eastAsia="宋体" w:cs="宋体"/>
          <w:snapToGrid w:val="0"/>
          <w:color w:val="000000"/>
          <w:spacing w:val="12"/>
          <w:kern w:val="0"/>
          <w:sz w:val="20"/>
          <w:szCs w:val="20"/>
          <w:lang w:val="en-US" w:eastAsia="en-US" w:bidi="ar-SA"/>
        </w:rPr>
        <w:t>成缺陷责任。</w:t>
      </w:r>
      <w:r>
        <w:rPr>
          <w:rFonts w:ascii="宋体" w:hAnsi="宋体" w:eastAsia="宋体" w:cs="宋体"/>
          <w:snapToGrid w:val="0"/>
          <w:color w:val="000000"/>
          <w:spacing w:val="9"/>
          <w:kern w:val="0"/>
          <w:sz w:val="20"/>
          <w:szCs w:val="20"/>
          <w:lang w:val="en-US" w:eastAsia="en-US" w:bidi="ar-SA"/>
        </w:rPr>
        <w:t>如无异议，发包人应当在核实后将剩余保证金返还承包人。</w:t>
      </w:r>
    </w:p>
    <w:p w14:paraId="3D78A94E">
      <w:pPr>
        <w:kinsoku w:val="0"/>
        <w:autoSpaceDE w:val="0"/>
        <w:autoSpaceDN w:val="0"/>
        <w:adjustRightInd w:val="0"/>
        <w:snapToGrid w:val="0"/>
        <w:spacing w:before="164" w:line="240" w:lineRule="auto"/>
        <w:ind w:left="2" w:firstLine="43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17.4.3</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在第</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1.1.4.5</w:t>
      </w:r>
      <w:r>
        <w:rPr>
          <w:rFonts w:ascii="宋体" w:hAnsi="宋体" w:eastAsia="宋体" w:cs="宋体"/>
          <w:snapToGrid w:val="0"/>
          <w:color w:val="000000"/>
          <w:spacing w:val="57"/>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目约定的缺陷责任期满时，承包人没有</w:t>
      </w:r>
      <w:r>
        <w:rPr>
          <w:rFonts w:ascii="宋体" w:hAnsi="宋体" w:eastAsia="宋体" w:cs="宋体"/>
          <w:snapToGrid w:val="0"/>
          <w:color w:val="000000"/>
          <w:spacing w:val="8"/>
          <w:kern w:val="0"/>
          <w:sz w:val="20"/>
          <w:szCs w:val="20"/>
          <w:lang w:val="en-US" w:eastAsia="en-US" w:bidi="ar-SA"/>
        </w:rPr>
        <w:t>完成缺陷责任的，发包人有权扣留</w:t>
      </w:r>
      <w:r>
        <w:rPr>
          <w:rFonts w:ascii="宋体" w:hAnsi="宋体" w:eastAsia="宋体" w:cs="宋体"/>
          <w:snapToGrid w:val="0"/>
          <w:color w:val="000000"/>
          <w:spacing w:val="13"/>
          <w:kern w:val="0"/>
          <w:sz w:val="20"/>
          <w:szCs w:val="20"/>
          <w:lang w:val="en-US" w:eastAsia="en-US" w:bidi="ar-SA"/>
        </w:rPr>
        <w:t>与未履行责任剩余工作所需金额相应的质量保证金余额，并有权</w:t>
      </w:r>
      <w:r>
        <w:rPr>
          <w:rFonts w:ascii="宋体" w:hAnsi="宋体" w:eastAsia="宋体" w:cs="宋体"/>
          <w:snapToGrid w:val="0"/>
          <w:color w:val="000000"/>
          <w:spacing w:val="12"/>
          <w:kern w:val="0"/>
          <w:sz w:val="20"/>
          <w:szCs w:val="20"/>
          <w:lang w:val="en-US" w:eastAsia="en-US" w:bidi="ar-SA"/>
        </w:rPr>
        <w:t>根据第</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19.3 款约定要求延长缺陷责任</w:t>
      </w:r>
      <w:r>
        <w:rPr>
          <w:rFonts w:ascii="宋体" w:hAnsi="宋体" w:eastAsia="宋体" w:cs="宋体"/>
          <w:snapToGrid w:val="0"/>
          <w:color w:val="000000"/>
          <w:spacing w:val="8"/>
          <w:kern w:val="0"/>
          <w:sz w:val="20"/>
          <w:szCs w:val="20"/>
          <w:lang w:val="en-US" w:eastAsia="en-US" w:bidi="ar-SA"/>
        </w:rPr>
        <w:t>期，直至完成剩余工作为止。</w:t>
      </w:r>
    </w:p>
    <w:p w14:paraId="419F5E83">
      <w:pPr>
        <w:kinsoku w:val="0"/>
        <w:autoSpaceDE w:val="0"/>
        <w:autoSpaceDN w:val="0"/>
        <w:adjustRightInd w:val="0"/>
        <w:snapToGrid w:val="0"/>
        <w:spacing w:before="166"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17.5</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竣工结算</w:t>
      </w:r>
    </w:p>
    <w:p w14:paraId="4B0AD097">
      <w:pPr>
        <w:kinsoku w:val="0"/>
        <w:autoSpaceDE w:val="0"/>
        <w:autoSpaceDN w:val="0"/>
        <w:adjustRightInd w:val="0"/>
        <w:snapToGrid w:val="0"/>
        <w:spacing w:before="178"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17.5.1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竣工付款申请单</w:t>
      </w:r>
    </w:p>
    <w:p w14:paraId="0E03E16B">
      <w:pPr>
        <w:kinsoku w:val="0"/>
        <w:autoSpaceDE w:val="0"/>
        <w:autoSpaceDN w:val="0"/>
        <w:adjustRightInd w:val="0"/>
        <w:snapToGrid w:val="0"/>
        <w:spacing w:before="162" w:line="240" w:lineRule="auto"/>
        <w:ind w:left="1"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18"/>
          <w:szCs w:val="18"/>
          <w:lang w:val="en-US" w:eastAsia="en-US" w:bidi="ar-SA"/>
        </w:rPr>
        <w:t>（1）</w:t>
      </w:r>
      <w:r>
        <w:rPr>
          <w:rFonts w:ascii="宋体" w:hAnsi="宋体" w:eastAsia="宋体" w:cs="宋体"/>
          <w:snapToGrid w:val="0"/>
          <w:color w:val="000000"/>
          <w:spacing w:val="2"/>
          <w:kern w:val="0"/>
          <w:sz w:val="18"/>
          <w:szCs w:val="18"/>
          <w:lang w:val="en-US" w:eastAsia="en-US" w:bidi="ar-SA"/>
        </w:rPr>
        <w:t xml:space="preserve">     </w:t>
      </w:r>
      <w:r>
        <w:rPr>
          <w:rFonts w:ascii="宋体" w:hAnsi="宋体" w:eastAsia="宋体" w:cs="宋体"/>
          <w:snapToGrid w:val="0"/>
          <w:color w:val="000000"/>
          <w:spacing w:val="12"/>
          <w:kern w:val="0"/>
          <w:sz w:val="20"/>
          <w:szCs w:val="20"/>
          <w:lang w:val="en-US" w:eastAsia="en-US" w:bidi="ar-SA"/>
        </w:rPr>
        <w:t>工程接收证书颁发后，承包人应按专用合同条款约定的份数和期限向</w:t>
      </w:r>
      <w:r>
        <w:rPr>
          <w:rFonts w:ascii="宋体" w:hAnsi="宋体" w:eastAsia="宋体" w:cs="宋体"/>
          <w:snapToGrid w:val="0"/>
          <w:color w:val="000000"/>
          <w:spacing w:val="11"/>
          <w:kern w:val="0"/>
          <w:sz w:val="20"/>
          <w:szCs w:val="20"/>
          <w:lang w:val="en-US" w:eastAsia="en-US" w:bidi="ar-SA"/>
        </w:rPr>
        <w:t>监理人提交竣工付款</w:t>
      </w:r>
      <w:r>
        <w:rPr>
          <w:rFonts w:ascii="宋体" w:hAnsi="宋体" w:eastAsia="宋体" w:cs="宋体"/>
          <w:snapToGrid w:val="0"/>
          <w:color w:val="000000"/>
          <w:spacing w:val="14"/>
          <w:kern w:val="0"/>
          <w:sz w:val="20"/>
          <w:szCs w:val="20"/>
          <w:lang w:val="en-US" w:eastAsia="en-US" w:bidi="ar-SA"/>
        </w:rPr>
        <w:t>申请单，并提供相关证明材料。除专用合同条款另有约定外，竣工付款申请单应包括下列内容：竣工结</w:t>
      </w:r>
      <w:r>
        <w:rPr>
          <w:rFonts w:ascii="宋体" w:hAnsi="宋体" w:eastAsia="宋体" w:cs="宋体"/>
          <w:snapToGrid w:val="0"/>
          <w:color w:val="000000"/>
          <w:spacing w:val="10"/>
          <w:kern w:val="0"/>
          <w:sz w:val="20"/>
          <w:szCs w:val="20"/>
          <w:lang w:val="en-US" w:eastAsia="en-US" w:bidi="ar-SA"/>
        </w:rPr>
        <w:t>算合同总价、发包人已支付承包人的工程价</w:t>
      </w:r>
      <w:r>
        <w:rPr>
          <w:rFonts w:ascii="宋体" w:hAnsi="宋体" w:eastAsia="宋体" w:cs="宋体"/>
          <w:snapToGrid w:val="0"/>
          <w:color w:val="000000"/>
          <w:spacing w:val="9"/>
          <w:kern w:val="0"/>
          <w:sz w:val="20"/>
          <w:szCs w:val="20"/>
          <w:lang w:val="en-US" w:eastAsia="en-US" w:bidi="ar-SA"/>
        </w:rPr>
        <w:t>款、应扣留的质量保证金、应支付的竣工付款金额。</w:t>
      </w:r>
    </w:p>
    <w:p w14:paraId="6B4EF324">
      <w:pPr>
        <w:kinsoku w:val="0"/>
        <w:autoSpaceDE w:val="0"/>
        <w:autoSpaceDN w:val="0"/>
        <w:adjustRightInd w:val="0"/>
        <w:snapToGrid w:val="0"/>
        <w:spacing w:before="163" w:line="240" w:lineRule="auto"/>
        <w:ind w:right="185" w:firstLine="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（2）</w:t>
      </w:r>
      <w:r>
        <w:rPr>
          <w:rFonts w:ascii="宋体" w:hAnsi="宋体" w:eastAsia="宋体" w:cs="宋体"/>
          <w:snapToGrid w:val="0"/>
          <w:color w:val="000000"/>
          <w:spacing w:val="5"/>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监理人对竣工付款申请单有异议的，有权要求承包人进行修正和提供补充资料。经监理人</w:t>
      </w:r>
      <w:r>
        <w:rPr>
          <w:rFonts w:ascii="宋体" w:hAnsi="宋体" w:eastAsia="宋体" w:cs="宋体"/>
          <w:snapToGrid w:val="0"/>
          <w:color w:val="000000"/>
          <w:spacing w:val="8"/>
          <w:kern w:val="0"/>
          <w:sz w:val="20"/>
          <w:szCs w:val="20"/>
          <w:lang w:val="en-US" w:eastAsia="en-US" w:bidi="ar-SA"/>
        </w:rPr>
        <w:t>和承包人协商后，</w:t>
      </w:r>
      <w:r>
        <w:rPr>
          <w:rFonts w:ascii="宋体" w:hAnsi="宋体" w:eastAsia="宋体" w:cs="宋体"/>
          <w:snapToGrid w:val="0"/>
          <w:color w:val="000000"/>
          <w:spacing w:val="-58"/>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由承包人向监理人提交修正后的竣工付款</w:t>
      </w:r>
      <w:r>
        <w:rPr>
          <w:rFonts w:ascii="宋体" w:hAnsi="宋体" w:eastAsia="宋体" w:cs="宋体"/>
          <w:snapToGrid w:val="0"/>
          <w:color w:val="000000"/>
          <w:spacing w:val="7"/>
          <w:kern w:val="0"/>
          <w:sz w:val="20"/>
          <w:szCs w:val="20"/>
          <w:lang w:val="en-US" w:eastAsia="en-US" w:bidi="ar-SA"/>
        </w:rPr>
        <w:t>申请单。</w:t>
      </w:r>
    </w:p>
    <w:p w14:paraId="7004B584">
      <w:pPr>
        <w:kinsoku w:val="0"/>
        <w:autoSpaceDE w:val="0"/>
        <w:autoSpaceDN w:val="0"/>
        <w:adjustRightInd w:val="0"/>
        <w:snapToGrid w:val="0"/>
        <w:spacing w:before="162"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17.5.2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竣工付款证书及支付时间</w:t>
      </w:r>
    </w:p>
    <w:p w14:paraId="2A687AA5">
      <w:pPr>
        <w:kinsoku w:val="0"/>
        <w:autoSpaceDE w:val="0"/>
        <w:autoSpaceDN w:val="0"/>
        <w:adjustRightInd w:val="0"/>
        <w:snapToGrid w:val="0"/>
        <w:spacing w:before="162"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（1）    </w:t>
      </w:r>
      <w:r>
        <w:rPr>
          <w:rFonts w:ascii="宋体" w:hAnsi="宋体" w:eastAsia="宋体" w:cs="宋体"/>
          <w:snapToGrid w:val="0"/>
          <w:color w:val="000000"/>
          <w:spacing w:val="9"/>
          <w:kern w:val="0"/>
          <w:sz w:val="20"/>
          <w:szCs w:val="20"/>
          <w:lang w:val="en-US" w:eastAsia="en-US" w:bidi="ar-SA"/>
        </w:rPr>
        <w:t>监理人在收到承包人提交的竣工付款申请单后的</w:t>
      </w:r>
      <w:r>
        <w:rPr>
          <w:rFonts w:ascii="宋体" w:hAnsi="宋体" w:eastAsia="宋体" w:cs="宋体"/>
          <w:snapToGrid w:val="0"/>
          <w:color w:val="000000"/>
          <w:spacing w:val="8"/>
          <w:kern w:val="0"/>
          <w:sz w:val="20"/>
          <w:szCs w:val="20"/>
          <w:lang w:val="en-US" w:eastAsia="en-US" w:bidi="ar-SA"/>
        </w:rPr>
        <w:t xml:space="preserve"> 14 天内完成核查，提出发包人到期应支</w:t>
      </w:r>
    </w:p>
    <w:p w14:paraId="548D867F">
      <w:pPr>
        <w:kinsoku w:val="0"/>
        <w:autoSpaceDE w:val="0"/>
        <w:autoSpaceDN w:val="0"/>
        <w:adjustRightInd w:val="0"/>
        <w:snapToGrid w:val="0"/>
        <w:spacing w:before="161" w:line="240" w:lineRule="auto"/>
        <w:ind w:right="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付给承包人的价款送发包人审核并抄送承包人。发包人应在收到后</w:t>
      </w:r>
      <w:r>
        <w:rPr>
          <w:rFonts w:ascii="宋体" w:hAnsi="宋体" w:eastAsia="宋体" w:cs="宋体"/>
          <w:snapToGrid w:val="0"/>
          <w:color w:val="000000"/>
          <w:spacing w:val="41"/>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14 天内审核完毕，</w:t>
      </w:r>
      <w:r>
        <w:rPr>
          <w:rFonts w:ascii="宋体" w:hAnsi="宋体" w:eastAsia="宋体" w:cs="宋体"/>
          <w:snapToGrid w:val="0"/>
          <w:color w:val="000000"/>
          <w:spacing w:val="-53"/>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由监理人向</w:t>
      </w:r>
      <w:r>
        <w:rPr>
          <w:rFonts w:ascii="宋体" w:hAnsi="宋体" w:eastAsia="宋体" w:cs="宋体"/>
          <w:snapToGrid w:val="0"/>
          <w:color w:val="000000"/>
          <w:spacing w:val="14"/>
          <w:kern w:val="0"/>
          <w:sz w:val="20"/>
          <w:szCs w:val="20"/>
          <w:lang w:val="en-US" w:eastAsia="en-US" w:bidi="ar-SA"/>
        </w:rPr>
        <w:t>承包人出具经发包人签认的竣工付款证书。监理人未在约定时间内核查，又未提出具体意见的，视为承</w:t>
      </w:r>
    </w:p>
    <w:p w14:paraId="7A6E041F">
      <w:pPr>
        <w:kinsoku w:val="0"/>
        <w:autoSpaceDE w:val="0"/>
        <w:autoSpaceDN w:val="0"/>
        <w:adjustRightInd w:val="0"/>
        <w:snapToGrid w:val="0"/>
        <w:spacing w:before="40" w:line="240" w:lineRule="auto"/>
        <w:ind w:left="2" w:right="2" w:hanging="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包人提交的竣工付款申请单已经监理人核查同意；发包人未在约定时间内审核又未提出具体意见的，监</w:t>
      </w:r>
      <w:r>
        <w:rPr>
          <w:rFonts w:ascii="宋体" w:hAnsi="宋体" w:eastAsia="宋体" w:cs="宋体"/>
          <w:snapToGrid w:val="0"/>
          <w:color w:val="000000"/>
          <w:spacing w:val="9"/>
          <w:kern w:val="0"/>
          <w:sz w:val="20"/>
          <w:szCs w:val="20"/>
          <w:lang w:val="en-US" w:eastAsia="en-US" w:bidi="ar-SA"/>
        </w:rPr>
        <w:t>理人提出发包人到期应支付给承包人的价款视为已经发包人同意。</w:t>
      </w:r>
    </w:p>
    <w:p w14:paraId="69FF1667">
      <w:pPr>
        <w:kinsoku w:val="0"/>
        <w:autoSpaceDE w:val="0"/>
        <w:autoSpaceDN w:val="0"/>
        <w:adjustRightInd w:val="0"/>
        <w:snapToGrid w:val="0"/>
        <w:spacing w:line="240" w:lineRule="auto"/>
        <w:ind w:left="1" w:right="2"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18"/>
          <w:szCs w:val="18"/>
          <w:lang w:val="en-US" w:eastAsia="en-US" w:bidi="ar-SA"/>
        </w:rPr>
        <w:t xml:space="preserve">（2）    </w:t>
      </w:r>
      <w:r>
        <w:rPr>
          <w:rFonts w:ascii="宋体" w:hAnsi="宋体" w:eastAsia="宋体" w:cs="宋体"/>
          <w:snapToGrid w:val="0"/>
          <w:color w:val="000000"/>
          <w:spacing w:val="12"/>
          <w:kern w:val="0"/>
          <w:sz w:val="20"/>
          <w:szCs w:val="20"/>
          <w:lang w:val="en-US" w:eastAsia="en-US" w:bidi="ar-SA"/>
        </w:rPr>
        <w:t>发包人应在监理人出具竣工付款证书后的</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14 天内，将应支付款支付</w:t>
      </w:r>
      <w:r>
        <w:rPr>
          <w:rFonts w:ascii="宋体" w:hAnsi="宋体" w:eastAsia="宋体" w:cs="宋体"/>
          <w:snapToGrid w:val="0"/>
          <w:color w:val="000000"/>
          <w:spacing w:val="11"/>
          <w:kern w:val="0"/>
          <w:sz w:val="20"/>
          <w:szCs w:val="20"/>
          <w:lang w:val="en-US" w:eastAsia="en-US" w:bidi="ar-SA"/>
        </w:rPr>
        <w:t>给承包人。发包人不</w:t>
      </w:r>
      <w:r>
        <w:rPr>
          <w:rFonts w:ascii="宋体" w:hAnsi="宋体" w:eastAsia="宋体" w:cs="宋体"/>
          <w:snapToGrid w:val="0"/>
          <w:color w:val="000000"/>
          <w:spacing w:val="6"/>
          <w:kern w:val="0"/>
          <w:sz w:val="20"/>
          <w:szCs w:val="20"/>
          <w:lang w:val="en-US" w:eastAsia="en-US" w:bidi="ar-SA"/>
        </w:rPr>
        <w:t>按期支付的，按第</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17.3.3（2）</w:t>
      </w:r>
      <w:r>
        <w:rPr>
          <w:rFonts w:ascii="宋体" w:hAnsi="宋体" w:eastAsia="宋体" w:cs="宋体"/>
          <w:snapToGrid w:val="0"/>
          <w:color w:val="000000"/>
          <w:spacing w:val="-4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目的约定，将逾期付款违约金支付给承包人。</w:t>
      </w:r>
    </w:p>
    <w:p w14:paraId="026FEF6C">
      <w:pPr>
        <w:kinsoku w:val="0"/>
        <w:autoSpaceDE w:val="0"/>
        <w:autoSpaceDN w:val="0"/>
        <w:adjustRightInd w:val="0"/>
        <w:snapToGrid w:val="0"/>
        <w:spacing w:before="163" w:line="240" w:lineRule="auto"/>
        <w:ind w:left="20" w:firstLine="40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18"/>
          <w:szCs w:val="18"/>
          <w:lang w:val="en-US" w:eastAsia="en-US" w:bidi="ar-SA"/>
        </w:rPr>
        <w:t xml:space="preserve">（3）    </w:t>
      </w:r>
      <w:r>
        <w:rPr>
          <w:rFonts w:ascii="宋体" w:hAnsi="宋体" w:eastAsia="宋体" w:cs="宋体"/>
          <w:snapToGrid w:val="0"/>
          <w:color w:val="000000"/>
          <w:spacing w:val="13"/>
          <w:kern w:val="0"/>
          <w:sz w:val="20"/>
          <w:szCs w:val="20"/>
          <w:lang w:val="en-US" w:eastAsia="en-US" w:bidi="ar-SA"/>
        </w:rPr>
        <w:t>承包人对发包人签认的竣工付款证书有异议的，发包人可出具竣工付款申请单中承包</w:t>
      </w:r>
      <w:r>
        <w:rPr>
          <w:rFonts w:ascii="宋体" w:hAnsi="宋体" w:eastAsia="宋体" w:cs="宋体"/>
          <w:snapToGrid w:val="0"/>
          <w:color w:val="000000"/>
          <w:spacing w:val="12"/>
          <w:kern w:val="0"/>
          <w:sz w:val="20"/>
          <w:szCs w:val="20"/>
          <w:lang w:val="en-US" w:eastAsia="en-US" w:bidi="ar-SA"/>
        </w:rPr>
        <w:t>人已</w:t>
      </w:r>
      <w:r>
        <w:rPr>
          <w:rFonts w:ascii="宋体" w:hAnsi="宋体" w:eastAsia="宋体" w:cs="宋体"/>
          <w:snapToGrid w:val="0"/>
          <w:color w:val="000000"/>
          <w:spacing w:val="8"/>
          <w:kern w:val="0"/>
          <w:sz w:val="20"/>
          <w:szCs w:val="20"/>
          <w:lang w:val="en-US" w:eastAsia="en-US" w:bidi="ar-SA"/>
        </w:rPr>
        <w:t>同意部分的临时付款证书。存在争议的部分，按第 24 条的约定办理。</w:t>
      </w:r>
    </w:p>
    <w:p w14:paraId="27F0C14A">
      <w:pPr>
        <w:kinsoku w:val="0"/>
        <w:autoSpaceDE w:val="0"/>
        <w:autoSpaceDN w:val="0"/>
        <w:adjustRightInd w:val="0"/>
        <w:snapToGrid w:val="0"/>
        <w:spacing w:before="162"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3"/>
          <w:kern w:val="0"/>
          <w:sz w:val="18"/>
          <w:szCs w:val="18"/>
          <w:lang w:val="en-US" w:eastAsia="en-US" w:bidi="ar-SA"/>
        </w:rPr>
        <w:t xml:space="preserve">（4）    </w:t>
      </w:r>
      <w:r>
        <w:rPr>
          <w:rFonts w:ascii="宋体" w:hAnsi="宋体" w:eastAsia="宋体" w:cs="宋体"/>
          <w:snapToGrid w:val="0"/>
          <w:color w:val="000000"/>
          <w:spacing w:val="3"/>
          <w:kern w:val="0"/>
          <w:sz w:val="20"/>
          <w:szCs w:val="20"/>
          <w:lang w:val="en-US" w:eastAsia="en-US" w:bidi="ar-SA"/>
        </w:rPr>
        <w:t>竣工付款涉及政府投资资金的，按第</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3"/>
          <w:kern w:val="0"/>
          <w:sz w:val="20"/>
          <w:szCs w:val="20"/>
          <w:lang w:val="en-US" w:eastAsia="en-US" w:bidi="ar-SA"/>
        </w:rPr>
        <w:t>17.3.3 (</w:t>
      </w:r>
      <w:r>
        <w:rPr>
          <w:rFonts w:ascii="宋体" w:hAnsi="宋体" w:eastAsia="宋体" w:cs="宋体"/>
          <w:snapToGrid w:val="0"/>
          <w:color w:val="000000"/>
          <w:spacing w:val="-17"/>
          <w:kern w:val="0"/>
          <w:sz w:val="20"/>
          <w:szCs w:val="20"/>
          <w:lang w:val="en-US" w:eastAsia="en-US" w:bidi="ar-SA"/>
        </w:rPr>
        <w:t xml:space="preserve"> </w:t>
      </w:r>
      <w:r>
        <w:rPr>
          <w:rFonts w:ascii="宋体" w:hAnsi="宋体" w:eastAsia="宋体" w:cs="宋体"/>
          <w:snapToGrid w:val="0"/>
          <w:color w:val="000000"/>
          <w:spacing w:val="3"/>
          <w:kern w:val="0"/>
          <w:sz w:val="20"/>
          <w:szCs w:val="20"/>
          <w:lang w:val="en-US" w:eastAsia="en-US" w:bidi="ar-SA"/>
        </w:rPr>
        <w:t>4 )</w:t>
      </w:r>
      <w:r>
        <w:rPr>
          <w:rFonts w:ascii="宋体" w:hAnsi="宋体" w:eastAsia="宋体" w:cs="宋体"/>
          <w:snapToGrid w:val="0"/>
          <w:color w:val="000000"/>
          <w:spacing w:val="66"/>
          <w:kern w:val="0"/>
          <w:sz w:val="20"/>
          <w:szCs w:val="20"/>
          <w:lang w:val="en-US" w:eastAsia="en-US" w:bidi="ar-SA"/>
        </w:rPr>
        <w:t xml:space="preserve"> </w:t>
      </w:r>
      <w:r>
        <w:rPr>
          <w:rFonts w:ascii="宋体" w:hAnsi="宋体" w:eastAsia="宋体" w:cs="宋体"/>
          <w:snapToGrid w:val="0"/>
          <w:color w:val="000000"/>
          <w:spacing w:val="3"/>
          <w:kern w:val="0"/>
          <w:sz w:val="20"/>
          <w:szCs w:val="20"/>
          <w:lang w:val="en-US" w:eastAsia="en-US" w:bidi="ar-SA"/>
        </w:rPr>
        <w:t>目的约定办理。</w:t>
      </w:r>
    </w:p>
    <w:p w14:paraId="1E46FC9C">
      <w:pPr>
        <w:kinsoku w:val="0"/>
        <w:autoSpaceDE w:val="0"/>
        <w:autoSpaceDN w:val="0"/>
        <w:adjustRightInd w:val="0"/>
        <w:snapToGrid w:val="0"/>
        <w:spacing w:before="167"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17.6</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最终结清</w:t>
      </w:r>
    </w:p>
    <w:p w14:paraId="3476AA4F">
      <w:pPr>
        <w:kinsoku w:val="0"/>
        <w:autoSpaceDE w:val="0"/>
        <w:autoSpaceDN w:val="0"/>
        <w:adjustRightInd w:val="0"/>
        <w:snapToGrid w:val="0"/>
        <w:spacing w:before="177"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17.6.1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最终结清申请单</w:t>
      </w:r>
    </w:p>
    <w:p w14:paraId="3CAA111B">
      <w:pPr>
        <w:kinsoku w:val="0"/>
        <w:autoSpaceDE w:val="0"/>
        <w:autoSpaceDN w:val="0"/>
        <w:adjustRightInd w:val="0"/>
        <w:snapToGrid w:val="0"/>
        <w:spacing w:before="161" w:line="240" w:lineRule="auto"/>
        <w:ind w:left="3" w:right="184"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（1）</w:t>
      </w:r>
      <w:r>
        <w:rPr>
          <w:rFonts w:ascii="宋体" w:hAnsi="宋体" w:eastAsia="宋体" w:cs="宋体"/>
          <w:snapToGrid w:val="0"/>
          <w:color w:val="000000"/>
          <w:spacing w:val="5"/>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缺陷责任期终止证书签发后，承包人可按专用合同条款约定的份数和期限向监理人提交最</w:t>
      </w:r>
      <w:r>
        <w:rPr>
          <w:rFonts w:ascii="宋体" w:hAnsi="宋体" w:eastAsia="宋体" w:cs="宋体"/>
          <w:snapToGrid w:val="0"/>
          <w:color w:val="000000"/>
          <w:spacing w:val="8"/>
          <w:kern w:val="0"/>
          <w:sz w:val="20"/>
          <w:szCs w:val="20"/>
          <w:lang w:val="en-US" w:eastAsia="en-US" w:bidi="ar-SA"/>
        </w:rPr>
        <w:t>终结清申请单，并提供相关证明材料。</w:t>
      </w:r>
    </w:p>
    <w:p w14:paraId="720FA56F">
      <w:pPr>
        <w:kinsoku w:val="0"/>
        <w:autoSpaceDE w:val="0"/>
        <w:autoSpaceDN w:val="0"/>
        <w:adjustRightInd w:val="0"/>
        <w:snapToGrid w:val="0"/>
        <w:spacing w:before="165" w:line="240" w:lineRule="auto"/>
        <w:ind w:right="184"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（2）</w:t>
      </w:r>
      <w:r>
        <w:rPr>
          <w:rFonts w:ascii="宋体" w:hAnsi="宋体" w:eastAsia="宋体" w:cs="宋体"/>
          <w:snapToGrid w:val="0"/>
          <w:color w:val="000000"/>
          <w:spacing w:val="5"/>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发包人对最终结清申请单内容有异议的，有权要求承包人进行修正和提供补充资料，由承</w:t>
      </w:r>
      <w:r>
        <w:rPr>
          <w:rFonts w:ascii="宋体" w:hAnsi="宋体" w:eastAsia="宋体" w:cs="宋体"/>
          <w:snapToGrid w:val="0"/>
          <w:color w:val="000000"/>
          <w:spacing w:val="9"/>
          <w:kern w:val="0"/>
          <w:sz w:val="20"/>
          <w:szCs w:val="20"/>
          <w:lang w:val="en-US" w:eastAsia="en-US" w:bidi="ar-SA"/>
        </w:rPr>
        <w:t>包人向监理人提交修正后的最终结清申请单。</w:t>
      </w:r>
    </w:p>
    <w:p w14:paraId="2732859C">
      <w:pPr>
        <w:kinsoku w:val="0"/>
        <w:autoSpaceDE w:val="0"/>
        <w:autoSpaceDN w:val="0"/>
        <w:adjustRightInd w:val="0"/>
        <w:snapToGrid w:val="0"/>
        <w:spacing w:before="161" w:line="240" w:lineRule="auto"/>
        <w:ind w:left="435"/>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17.6.2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最终结清证书和支付时间</w:t>
      </w:r>
    </w:p>
    <w:p w14:paraId="1007A4BD">
      <w:pPr>
        <w:kinsoku w:val="0"/>
        <w:autoSpaceDE w:val="0"/>
        <w:autoSpaceDN w:val="0"/>
        <w:adjustRightInd w:val="0"/>
        <w:snapToGrid w:val="0"/>
        <w:spacing w:before="163"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（1）    </w:t>
      </w:r>
      <w:r>
        <w:rPr>
          <w:rFonts w:ascii="宋体" w:hAnsi="宋体" w:eastAsia="宋体" w:cs="宋体"/>
          <w:snapToGrid w:val="0"/>
          <w:color w:val="000000"/>
          <w:spacing w:val="8"/>
          <w:kern w:val="0"/>
          <w:sz w:val="20"/>
          <w:szCs w:val="20"/>
          <w:lang w:val="en-US" w:eastAsia="en-US" w:bidi="ar-SA"/>
        </w:rPr>
        <w:t>监理人收到承包人提交的最终结清申请单后的</w:t>
      </w:r>
      <w:r>
        <w:rPr>
          <w:rFonts w:ascii="宋体" w:hAnsi="宋体" w:eastAsia="宋体" w:cs="宋体"/>
          <w:snapToGrid w:val="0"/>
          <w:color w:val="000000"/>
          <w:spacing w:val="36"/>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14 天内，提出发包人应支付给承包人的价</w:t>
      </w:r>
    </w:p>
    <w:p w14:paraId="0EC61820">
      <w:pPr>
        <w:kinsoku w:val="0"/>
        <w:autoSpaceDE w:val="0"/>
        <w:autoSpaceDN w:val="0"/>
        <w:adjustRightInd w:val="0"/>
        <w:snapToGrid w:val="0"/>
        <w:spacing w:before="163" w:line="240" w:lineRule="auto"/>
        <w:ind w:righ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款送发包人审核并抄送承包人。发包人应在收到后</w:t>
      </w:r>
      <w:r>
        <w:rPr>
          <w:rFonts w:ascii="宋体" w:hAnsi="宋体" w:eastAsia="宋体" w:cs="宋体"/>
          <w:snapToGrid w:val="0"/>
          <w:color w:val="000000"/>
          <w:spacing w:val="41"/>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14 天内审核完毕，</w:t>
      </w:r>
      <w:r>
        <w:rPr>
          <w:rFonts w:ascii="宋体" w:hAnsi="宋体" w:eastAsia="宋体" w:cs="宋体"/>
          <w:snapToGrid w:val="0"/>
          <w:color w:val="000000"/>
          <w:spacing w:val="-53"/>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由监理人向承</w:t>
      </w:r>
      <w:r>
        <w:rPr>
          <w:rFonts w:ascii="宋体" w:hAnsi="宋体" w:eastAsia="宋体" w:cs="宋体"/>
          <w:snapToGrid w:val="0"/>
          <w:color w:val="000000"/>
          <w:spacing w:val="11"/>
          <w:kern w:val="0"/>
          <w:sz w:val="20"/>
          <w:szCs w:val="20"/>
          <w:lang w:val="en-US" w:eastAsia="en-US" w:bidi="ar-SA"/>
        </w:rPr>
        <w:t>包人出具经发</w:t>
      </w:r>
      <w:r>
        <w:rPr>
          <w:rFonts w:ascii="宋体" w:hAnsi="宋体" w:eastAsia="宋体" w:cs="宋体"/>
          <w:snapToGrid w:val="0"/>
          <w:color w:val="000000"/>
          <w:spacing w:val="14"/>
          <w:kern w:val="0"/>
          <w:sz w:val="20"/>
          <w:szCs w:val="20"/>
          <w:lang w:val="en-US" w:eastAsia="en-US" w:bidi="ar-SA"/>
        </w:rPr>
        <w:t>包人签认的最终结清证书。监理人未在约定时间内核查，又未提出具体意见的，视为承包人提交的最终结清申请已经监理人核查同意；发包人未在约定时间内审核又未提出具体意见的，监理人提出应支付给</w:t>
      </w:r>
      <w:r>
        <w:rPr>
          <w:rFonts w:ascii="宋体" w:hAnsi="宋体" w:eastAsia="宋体" w:cs="宋体"/>
          <w:snapToGrid w:val="0"/>
          <w:color w:val="000000"/>
          <w:spacing w:val="8"/>
          <w:kern w:val="0"/>
          <w:sz w:val="20"/>
          <w:szCs w:val="20"/>
          <w:lang w:val="en-US" w:eastAsia="en-US" w:bidi="ar-SA"/>
        </w:rPr>
        <w:t>承包人的价款视为已经发包人同意。</w:t>
      </w:r>
    </w:p>
    <w:p w14:paraId="628BC0EB">
      <w:pPr>
        <w:kinsoku w:val="0"/>
        <w:autoSpaceDE w:val="0"/>
        <w:autoSpaceDN w:val="0"/>
        <w:adjustRightInd w:val="0"/>
        <w:snapToGrid w:val="0"/>
        <w:spacing w:before="1" w:line="240" w:lineRule="auto"/>
        <w:ind w:left="1" w:right="2"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18"/>
          <w:szCs w:val="18"/>
          <w:lang w:val="en-US" w:eastAsia="en-US" w:bidi="ar-SA"/>
        </w:rPr>
        <w:t xml:space="preserve">（2）    </w:t>
      </w:r>
      <w:r>
        <w:rPr>
          <w:rFonts w:ascii="宋体" w:hAnsi="宋体" w:eastAsia="宋体" w:cs="宋体"/>
          <w:snapToGrid w:val="0"/>
          <w:color w:val="000000"/>
          <w:spacing w:val="12"/>
          <w:kern w:val="0"/>
          <w:sz w:val="20"/>
          <w:szCs w:val="20"/>
          <w:lang w:val="en-US" w:eastAsia="en-US" w:bidi="ar-SA"/>
        </w:rPr>
        <w:t>发包人应在监理人出具最终结清证书后的</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14 天内，将应支付款支付</w:t>
      </w:r>
      <w:r>
        <w:rPr>
          <w:rFonts w:ascii="宋体" w:hAnsi="宋体" w:eastAsia="宋体" w:cs="宋体"/>
          <w:snapToGrid w:val="0"/>
          <w:color w:val="000000"/>
          <w:spacing w:val="11"/>
          <w:kern w:val="0"/>
          <w:sz w:val="20"/>
          <w:szCs w:val="20"/>
          <w:lang w:val="en-US" w:eastAsia="en-US" w:bidi="ar-SA"/>
        </w:rPr>
        <w:t>给承包人。发包人不</w:t>
      </w:r>
      <w:r>
        <w:rPr>
          <w:rFonts w:ascii="宋体" w:hAnsi="宋体" w:eastAsia="宋体" w:cs="宋体"/>
          <w:snapToGrid w:val="0"/>
          <w:color w:val="000000"/>
          <w:spacing w:val="6"/>
          <w:kern w:val="0"/>
          <w:sz w:val="20"/>
          <w:szCs w:val="20"/>
          <w:lang w:val="en-US" w:eastAsia="en-US" w:bidi="ar-SA"/>
        </w:rPr>
        <w:t>按期支付的，按第</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17.3.3（2）</w:t>
      </w:r>
      <w:r>
        <w:rPr>
          <w:rFonts w:ascii="宋体" w:hAnsi="宋体" w:eastAsia="宋体" w:cs="宋体"/>
          <w:snapToGrid w:val="0"/>
          <w:color w:val="000000"/>
          <w:spacing w:val="-4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目的约定，将逾期付款违约金支付给承包人。</w:t>
      </w:r>
    </w:p>
    <w:p w14:paraId="4CFF5BCF">
      <w:pPr>
        <w:kinsoku w:val="0"/>
        <w:autoSpaceDE w:val="0"/>
        <w:autoSpaceDN w:val="0"/>
        <w:adjustRightInd w:val="0"/>
        <w:snapToGrid w:val="0"/>
        <w:spacing w:before="163"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（3）    </w:t>
      </w:r>
      <w:r>
        <w:rPr>
          <w:rFonts w:ascii="宋体" w:hAnsi="宋体" w:eastAsia="宋体" w:cs="宋体"/>
          <w:snapToGrid w:val="0"/>
          <w:color w:val="000000"/>
          <w:spacing w:val="8"/>
          <w:kern w:val="0"/>
          <w:sz w:val="20"/>
          <w:szCs w:val="20"/>
          <w:lang w:val="en-US" w:eastAsia="en-US" w:bidi="ar-SA"/>
        </w:rPr>
        <w:t>承包人对发包人签认的最终结清证书有异议的，按第 24 条的约定办理。</w:t>
      </w:r>
    </w:p>
    <w:p w14:paraId="0C5B4F26">
      <w:pPr>
        <w:kinsoku w:val="0"/>
        <w:autoSpaceDE w:val="0"/>
        <w:autoSpaceDN w:val="0"/>
        <w:adjustRightInd w:val="0"/>
        <w:snapToGrid w:val="0"/>
        <w:spacing w:before="162"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3"/>
          <w:kern w:val="0"/>
          <w:sz w:val="18"/>
          <w:szCs w:val="18"/>
          <w:lang w:val="en-US" w:eastAsia="en-US" w:bidi="ar-SA"/>
        </w:rPr>
        <w:t xml:space="preserve">（4）    </w:t>
      </w:r>
      <w:r>
        <w:rPr>
          <w:rFonts w:ascii="宋体" w:hAnsi="宋体" w:eastAsia="宋体" w:cs="宋体"/>
          <w:snapToGrid w:val="0"/>
          <w:color w:val="000000"/>
          <w:spacing w:val="3"/>
          <w:kern w:val="0"/>
          <w:sz w:val="20"/>
          <w:szCs w:val="20"/>
          <w:lang w:val="en-US" w:eastAsia="en-US" w:bidi="ar-SA"/>
        </w:rPr>
        <w:t>最终结清付款涉及政府投资资金的，按第</w:t>
      </w:r>
      <w:r>
        <w:rPr>
          <w:rFonts w:ascii="宋体" w:hAnsi="宋体" w:eastAsia="宋体" w:cs="宋体"/>
          <w:snapToGrid w:val="0"/>
          <w:color w:val="000000"/>
          <w:spacing w:val="48"/>
          <w:kern w:val="0"/>
          <w:sz w:val="20"/>
          <w:szCs w:val="20"/>
          <w:lang w:val="en-US" w:eastAsia="en-US" w:bidi="ar-SA"/>
        </w:rPr>
        <w:t xml:space="preserve"> </w:t>
      </w:r>
      <w:r>
        <w:rPr>
          <w:rFonts w:ascii="宋体" w:hAnsi="宋体" w:eastAsia="宋体" w:cs="宋体"/>
          <w:snapToGrid w:val="0"/>
          <w:color w:val="000000"/>
          <w:spacing w:val="3"/>
          <w:kern w:val="0"/>
          <w:sz w:val="20"/>
          <w:szCs w:val="20"/>
          <w:lang w:val="en-US" w:eastAsia="en-US" w:bidi="ar-SA"/>
        </w:rPr>
        <w:t>17.3.3 (</w:t>
      </w:r>
      <w:r>
        <w:rPr>
          <w:rFonts w:ascii="宋体" w:hAnsi="宋体" w:eastAsia="宋体" w:cs="宋体"/>
          <w:snapToGrid w:val="0"/>
          <w:color w:val="000000"/>
          <w:spacing w:val="-17"/>
          <w:kern w:val="0"/>
          <w:sz w:val="20"/>
          <w:szCs w:val="20"/>
          <w:lang w:val="en-US" w:eastAsia="en-US" w:bidi="ar-SA"/>
        </w:rPr>
        <w:t xml:space="preserve"> </w:t>
      </w:r>
      <w:r>
        <w:rPr>
          <w:rFonts w:ascii="宋体" w:hAnsi="宋体" w:eastAsia="宋体" w:cs="宋体"/>
          <w:snapToGrid w:val="0"/>
          <w:color w:val="000000"/>
          <w:spacing w:val="3"/>
          <w:kern w:val="0"/>
          <w:sz w:val="20"/>
          <w:szCs w:val="20"/>
          <w:lang w:val="en-US" w:eastAsia="en-US" w:bidi="ar-SA"/>
        </w:rPr>
        <w:t>4 )</w:t>
      </w:r>
      <w:r>
        <w:rPr>
          <w:rFonts w:ascii="宋体" w:hAnsi="宋体" w:eastAsia="宋体" w:cs="宋体"/>
          <w:snapToGrid w:val="0"/>
          <w:color w:val="000000"/>
          <w:spacing w:val="66"/>
          <w:kern w:val="0"/>
          <w:sz w:val="20"/>
          <w:szCs w:val="20"/>
          <w:lang w:val="en-US" w:eastAsia="en-US" w:bidi="ar-SA"/>
        </w:rPr>
        <w:t xml:space="preserve"> </w:t>
      </w:r>
      <w:r>
        <w:rPr>
          <w:rFonts w:ascii="宋体" w:hAnsi="宋体" w:eastAsia="宋体" w:cs="宋体"/>
          <w:snapToGrid w:val="0"/>
          <w:color w:val="000000"/>
          <w:spacing w:val="3"/>
          <w:kern w:val="0"/>
          <w:sz w:val="20"/>
          <w:szCs w:val="20"/>
          <w:lang w:val="en-US" w:eastAsia="en-US" w:bidi="ar-SA"/>
        </w:rPr>
        <w:t>目的约定办理。</w:t>
      </w:r>
    </w:p>
    <w:p w14:paraId="4AD58340">
      <w:pPr>
        <w:kinsoku w:val="0"/>
        <w:autoSpaceDE w:val="0"/>
        <w:autoSpaceDN w:val="0"/>
        <w:adjustRightInd w:val="0"/>
        <w:snapToGrid w:val="0"/>
        <w:spacing w:before="170" w:line="240" w:lineRule="auto"/>
        <w:ind w:left="4122"/>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5"/>
          <w:szCs w:val="25"/>
          <w:lang w:val="en-US" w:eastAsia="en-US" w:bidi="ar-SA"/>
        </w:rPr>
        <w:t>18.</w:t>
      </w:r>
      <w:r>
        <w:rPr>
          <w:rFonts w:ascii="宋体" w:hAnsi="宋体" w:eastAsia="宋体" w:cs="宋体"/>
          <w:snapToGrid w:val="0"/>
          <w:color w:val="000000"/>
          <w:spacing w:val="21"/>
          <w:kern w:val="0"/>
          <w:sz w:val="25"/>
          <w:szCs w:val="25"/>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竣工验收</w:t>
      </w:r>
    </w:p>
    <w:p w14:paraId="34B30CF4">
      <w:pPr>
        <w:kinsoku w:val="0"/>
        <w:autoSpaceDE w:val="0"/>
        <w:autoSpaceDN w:val="0"/>
        <w:adjustRightInd w:val="0"/>
        <w:snapToGrid w:val="0"/>
        <w:spacing w:before="177"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18.1</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竣工验收的含义</w:t>
      </w:r>
    </w:p>
    <w:p w14:paraId="32D35FAF">
      <w:pPr>
        <w:kinsoku w:val="0"/>
        <w:autoSpaceDE w:val="0"/>
        <w:autoSpaceDN w:val="0"/>
        <w:adjustRightInd w:val="0"/>
        <w:snapToGrid w:val="0"/>
        <w:spacing w:before="178"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18.1.1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竣工验收指承包人完成了全部合同工作后，</w:t>
      </w:r>
      <w:r>
        <w:rPr>
          <w:rFonts w:ascii="宋体" w:hAnsi="宋体" w:eastAsia="宋体" w:cs="宋体"/>
          <w:snapToGrid w:val="0"/>
          <w:color w:val="000000"/>
          <w:spacing w:val="7"/>
          <w:kern w:val="0"/>
          <w:sz w:val="20"/>
          <w:szCs w:val="20"/>
          <w:lang w:val="en-US" w:eastAsia="en-US" w:bidi="ar-SA"/>
        </w:rPr>
        <w:t>发包人按合同要求进行的验收。</w:t>
      </w:r>
    </w:p>
    <w:p w14:paraId="2788F75C">
      <w:pPr>
        <w:kinsoku w:val="0"/>
        <w:autoSpaceDE w:val="0"/>
        <w:autoSpaceDN w:val="0"/>
        <w:adjustRightInd w:val="0"/>
        <w:snapToGrid w:val="0"/>
        <w:spacing w:before="162" w:line="240" w:lineRule="auto"/>
        <w:ind w:left="17" w:right="2"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18.1.2</w:t>
      </w:r>
      <w:r>
        <w:rPr>
          <w:rFonts w:ascii="宋体" w:hAnsi="宋体" w:eastAsia="宋体" w:cs="宋体"/>
          <w:snapToGrid w:val="0"/>
          <w:color w:val="000000"/>
          <w:spacing w:val="6"/>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国家验收是政府有关部门根据法律、规范、规程和政策要求，针对发包人全面组织实施</w:t>
      </w:r>
      <w:r>
        <w:rPr>
          <w:rFonts w:ascii="宋体" w:hAnsi="宋体" w:eastAsia="宋体" w:cs="宋体"/>
          <w:snapToGrid w:val="0"/>
          <w:color w:val="000000"/>
          <w:spacing w:val="7"/>
          <w:kern w:val="0"/>
          <w:sz w:val="20"/>
          <w:szCs w:val="20"/>
          <w:lang w:val="en-US" w:eastAsia="en-US" w:bidi="ar-SA"/>
        </w:rPr>
        <w:t>的整个工程正式交付投运前的验收。</w:t>
      </w:r>
    </w:p>
    <w:p w14:paraId="108329A9">
      <w:pPr>
        <w:kinsoku w:val="0"/>
        <w:autoSpaceDE w:val="0"/>
        <w:autoSpaceDN w:val="0"/>
        <w:adjustRightInd w:val="0"/>
        <w:snapToGrid w:val="0"/>
        <w:spacing w:before="162"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18.1.3</w:t>
      </w:r>
      <w:r>
        <w:rPr>
          <w:rFonts w:ascii="宋体" w:hAnsi="宋体" w:eastAsia="宋体" w:cs="宋体"/>
          <w:snapToGrid w:val="0"/>
          <w:color w:val="000000"/>
          <w:spacing w:val="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需要进行国家验收的，竣工验收是国家验收的一部分</w:t>
      </w:r>
      <w:r>
        <w:rPr>
          <w:rFonts w:ascii="宋体" w:hAnsi="宋体" w:eastAsia="宋体" w:cs="宋体"/>
          <w:snapToGrid w:val="0"/>
          <w:color w:val="000000"/>
          <w:spacing w:val="8"/>
          <w:kern w:val="0"/>
          <w:sz w:val="20"/>
          <w:szCs w:val="20"/>
          <w:lang w:val="en-US" w:eastAsia="en-US" w:bidi="ar-SA"/>
        </w:rPr>
        <w:t>。竣工验收所采用的各项验收和评定</w:t>
      </w:r>
      <w:r>
        <w:rPr>
          <w:rFonts w:ascii="宋体" w:hAnsi="宋体" w:eastAsia="宋体" w:cs="宋体"/>
          <w:snapToGrid w:val="0"/>
          <w:color w:val="000000"/>
          <w:spacing w:val="19"/>
          <w:kern w:val="0"/>
          <w:sz w:val="20"/>
          <w:szCs w:val="20"/>
          <w:lang w:val="en-US" w:eastAsia="en-US" w:bidi="ar-SA"/>
        </w:rPr>
        <w:t>标准应符合国家验收标准。发包人和承包人为竣工验收提供的各项竣工验收资料应符合</w:t>
      </w:r>
      <w:r>
        <w:rPr>
          <w:rFonts w:ascii="宋体" w:hAnsi="宋体" w:eastAsia="宋体" w:cs="宋体"/>
          <w:snapToGrid w:val="0"/>
          <w:color w:val="000000"/>
          <w:spacing w:val="18"/>
          <w:kern w:val="0"/>
          <w:sz w:val="20"/>
          <w:szCs w:val="20"/>
          <w:lang w:val="en-US" w:eastAsia="en-US" w:bidi="ar-SA"/>
        </w:rPr>
        <w:t>国家验收的要</w:t>
      </w:r>
      <w:r>
        <w:rPr>
          <w:rFonts w:ascii="宋体" w:hAnsi="宋体" w:eastAsia="宋体" w:cs="宋体"/>
          <w:snapToGrid w:val="0"/>
          <w:color w:val="000000"/>
          <w:kern w:val="0"/>
          <w:sz w:val="20"/>
          <w:szCs w:val="20"/>
          <w:lang w:val="en-US" w:eastAsia="en-US" w:bidi="ar-SA"/>
        </w:rPr>
        <w:t>求。</w:t>
      </w:r>
    </w:p>
    <w:p w14:paraId="5612CCED">
      <w:pPr>
        <w:kinsoku w:val="0"/>
        <w:autoSpaceDE w:val="0"/>
        <w:autoSpaceDN w:val="0"/>
        <w:adjustRightInd w:val="0"/>
        <w:snapToGrid w:val="0"/>
        <w:spacing w:before="164"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18.2</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竣工验收申请报告</w:t>
      </w:r>
    </w:p>
    <w:p w14:paraId="6DD70F8D">
      <w:pPr>
        <w:kinsoku w:val="0"/>
        <w:autoSpaceDE w:val="0"/>
        <w:autoSpaceDN w:val="0"/>
        <w:adjustRightInd w:val="0"/>
        <w:snapToGrid w:val="0"/>
        <w:spacing w:before="180" w:line="240" w:lineRule="auto"/>
        <w:ind w:left="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当工程具备以下条件时，承包人即可向监理人报送竣工验收申</w:t>
      </w:r>
      <w:r>
        <w:rPr>
          <w:rFonts w:ascii="宋体" w:hAnsi="宋体" w:eastAsia="宋体" w:cs="宋体"/>
          <w:snapToGrid w:val="0"/>
          <w:color w:val="000000"/>
          <w:spacing w:val="8"/>
          <w:kern w:val="0"/>
          <w:sz w:val="20"/>
          <w:szCs w:val="20"/>
          <w:lang w:val="en-US" w:eastAsia="en-US" w:bidi="ar-SA"/>
        </w:rPr>
        <w:t>请报告：</w:t>
      </w:r>
    </w:p>
    <w:p w14:paraId="322D627F">
      <w:pPr>
        <w:kinsoku w:val="0"/>
        <w:autoSpaceDE w:val="0"/>
        <w:autoSpaceDN w:val="0"/>
        <w:adjustRightInd w:val="0"/>
        <w:snapToGrid w:val="0"/>
        <w:spacing w:before="163" w:line="240" w:lineRule="auto"/>
        <w:ind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18"/>
          <w:szCs w:val="18"/>
          <w:lang w:val="en-US" w:eastAsia="en-US" w:bidi="ar-SA"/>
        </w:rPr>
        <w:t xml:space="preserve">（1）   </w:t>
      </w:r>
      <w:r>
        <w:rPr>
          <w:rFonts w:ascii="宋体" w:hAnsi="宋体" w:eastAsia="宋体" w:cs="宋体"/>
          <w:snapToGrid w:val="0"/>
          <w:color w:val="000000"/>
          <w:spacing w:val="11"/>
          <w:kern w:val="0"/>
          <w:sz w:val="20"/>
          <w:szCs w:val="20"/>
          <w:lang w:val="en-US" w:eastAsia="en-US" w:bidi="ar-SA"/>
        </w:rPr>
        <w:t>除监理人同意列入缺陷责任期内完成的尾工（</w:t>
      </w:r>
      <w:r>
        <w:rPr>
          <w:rFonts w:ascii="宋体" w:hAnsi="宋体" w:eastAsia="宋体" w:cs="宋体"/>
          <w:snapToGrid w:val="0"/>
          <w:color w:val="000000"/>
          <w:spacing w:val="10"/>
          <w:kern w:val="0"/>
          <w:sz w:val="20"/>
          <w:szCs w:val="20"/>
          <w:lang w:val="en-US" w:eastAsia="en-US" w:bidi="ar-SA"/>
        </w:rPr>
        <w:t>甩项）工程和缺陷修补工作外，合同范围内的</w:t>
      </w:r>
      <w:r>
        <w:rPr>
          <w:rFonts w:ascii="宋体" w:hAnsi="宋体" w:eastAsia="宋体" w:cs="宋体"/>
          <w:snapToGrid w:val="0"/>
          <w:color w:val="000000"/>
          <w:spacing w:val="19"/>
          <w:kern w:val="0"/>
          <w:sz w:val="20"/>
          <w:szCs w:val="20"/>
          <w:lang w:val="en-US" w:eastAsia="en-US" w:bidi="ar-SA"/>
        </w:rPr>
        <w:t>全部单位工程以及有关工作，包括合同要求的试验、试运行以及检验和验收均已完成，并</w:t>
      </w:r>
      <w:r>
        <w:rPr>
          <w:rFonts w:ascii="宋体" w:hAnsi="宋体" w:eastAsia="宋体" w:cs="宋体"/>
          <w:snapToGrid w:val="0"/>
          <w:color w:val="000000"/>
          <w:spacing w:val="18"/>
          <w:kern w:val="0"/>
          <w:sz w:val="20"/>
          <w:szCs w:val="20"/>
          <w:lang w:val="en-US" w:eastAsia="en-US" w:bidi="ar-SA"/>
        </w:rPr>
        <w:t>符合合同要</w:t>
      </w:r>
    </w:p>
    <w:p w14:paraId="40A9ABE0">
      <w:pPr>
        <w:kinsoku w:val="0"/>
        <w:autoSpaceDE w:val="0"/>
        <w:autoSpaceDN w:val="0"/>
        <w:adjustRightInd w:val="0"/>
        <w:snapToGrid w:val="0"/>
        <w:spacing w:before="41" w:line="240" w:lineRule="auto"/>
        <w:ind w:left="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
          <w:kern w:val="0"/>
          <w:sz w:val="20"/>
          <w:szCs w:val="20"/>
          <w:lang w:val="en-US" w:eastAsia="en-US" w:bidi="ar-SA"/>
        </w:rPr>
        <w:t>求；</w:t>
      </w:r>
    </w:p>
    <w:p w14:paraId="75BCC7FC">
      <w:pPr>
        <w:kinsoku w:val="0"/>
        <w:autoSpaceDE w:val="0"/>
        <w:autoSpaceDN w:val="0"/>
        <w:adjustRightInd w:val="0"/>
        <w:snapToGrid w:val="0"/>
        <w:spacing w:before="159"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（2）</w:t>
      </w:r>
      <w:r>
        <w:rPr>
          <w:rFonts w:ascii="宋体" w:hAnsi="宋体" w:eastAsia="宋体" w:cs="宋体"/>
          <w:snapToGrid w:val="0"/>
          <w:color w:val="000000"/>
          <w:spacing w:val="30"/>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已按合同约定的内容和份数备齐了符合要求的竣工资料；</w:t>
      </w:r>
    </w:p>
    <w:p w14:paraId="3462179D">
      <w:pPr>
        <w:kinsoku w:val="0"/>
        <w:autoSpaceDE w:val="0"/>
        <w:autoSpaceDN w:val="0"/>
        <w:adjustRightInd w:val="0"/>
        <w:snapToGrid w:val="0"/>
        <w:spacing w:before="161" w:line="240" w:lineRule="auto"/>
        <w:ind w:right="41"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（3）</w:t>
      </w:r>
      <w:r>
        <w:rPr>
          <w:rFonts w:ascii="宋体" w:hAnsi="宋体" w:eastAsia="宋体" w:cs="宋体"/>
          <w:snapToGrid w:val="0"/>
          <w:color w:val="000000"/>
          <w:spacing w:val="33"/>
          <w:w w:val="101"/>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已按监理人的要求编制了在缺陷责任期内完成的尾工（甩项）工程和缺陷修补工作清单以及</w:t>
      </w:r>
      <w:r>
        <w:rPr>
          <w:rFonts w:ascii="宋体" w:hAnsi="宋体" w:eastAsia="宋体" w:cs="宋体"/>
          <w:snapToGrid w:val="0"/>
          <w:color w:val="000000"/>
          <w:spacing w:val="7"/>
          <w:kern w:val="0"/>
          <w:sz w:val="20"/>
          <w:szCs w:val="20"/>
          <w:lang w:val="en-US" w:eastAsia="en-US" w:bidi="ar-SA"/>
        </w:rPr>
        <w:t>相应施工计划；</w:t>
      </w:r>
    </w:p>
    <w:p w14:paraId="5C77B9EB">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（4）</w:t>
      </w:r>
      <w:r>
        <w:rPr>
          <w:rFonts w:ascii="宋体" w:hAnsi="宋体" w:eastAsia="宋体" w:cs="宋体"/>
          <w:snapToGrid w:val="0"/>
          <w:color w:val="000000"/>
          <w:spacing w:val="25"/>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监理人要求在竣工验收前应完成的其他工作；</w:t>
      </w:r>
    </w:p>
    <w:p w14:paraId="5B7B8634">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（5）</w:t>
      </w:r>
      <w:r>
        <w:rPr>
          <w:rFonts w:ascii="宋体" w:hAnsi="宋体" w:eastAsia="宋体" w:cs="宋体"/>
          <w:snapToGrid w:val="0"/>
          <w:color w:val="000000"/>
          <w:spacing w:val="22"/>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监理人要求提交的竣工验收资料清单。</w:t>
      </w:r>
    </w:p>
    <w:p w14:paraId="55A79DCD">
      <w:pPr>
        <w:kinsoku w:val="0"/>
        <w:autoSpaceDE w:val="0"/>
        <w:autoSpaceDN w:val="0"/>
        <w:adjustRightInd w:val="0"/>
        <w:snapToGrid w:val="0"/>
        <w:spacing w:before="166"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9"/>
          <w:kern w:val="0"/>
          <w:sz w:val="24"/>
          <w:szCs w:val="24"/>
          <w:lang w:val="en-US" w:eastAsia="en-US" w:bidi="ar-SA"/>
        </w:rPr>
        <w:t>18.3</w:t>
      </w:r>
      <w:r>
        <w:rPr>
          <w:rFonts w:ascii="宋体" w:hAnsi="宋体" w:eastAsia="宋体" w:cs="宋体"/>
          <w:snapToGrid w:val="0"/>
          <w:color w:val="000000"/>
          <w:spacing w:val="2"/>
          <w:kern w:val="0"/>
          <w:sz w:val="24"/>
          <w:szCs w:val="24"/>
          <w:lang w:val="en-US" w:eastAsia="en-US" w:bidi="ar-SA"/>
        </w:rPr>
        <w:t xml:space="preserve">    </w:t>
      </w:r>
      <w:r>
        <w:rPr>
          <w:rFonts w:ascii="宋体" w:hAnsi="宋体" w:eastAsia="宋体" w:cs="宋体"/>
          <w:b/>
          <w:bCs/>
          <w:snapToGrid w:val="0"/>
          <w:color w:val="000000"/>
          <w:spacing w:val="-9"/>
          <w:kern w:val="0"/>
          <w:sz w:val="24"/>
          <w:szCs w:val="24"/>
          <w:lang w:val="en-US" w:eastAsia="en-US" w:bidi="ar-SA"/>
        </w:rPr>
        <w:t>验收</w:t>
      </w:r>
    </w:p>
    <w:p w14:paraId="40011F9F">
      <w:pPr>
        <w:kinsoku w:val="0"/>
        <w:autoSpaceDE w:val="0"/>
        <w:autoSpaceDN w:val="0"/>
        <w:adjustRightInd w:val="0"/>
        <w:snapToGrid w:val="0"/>
        <w:spacing w:before="175" w:line="240" w:lineRule="auto"/>
        <w:ind w:left="2" w:right="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监理人收到承包人按第</w:t>
      </w:r>
      <w:r>
        <w:rPr>
          <w:rFonts w:ascii="宋体" w:hAnsi="宋体" w:eastAsia="宋体" w:cs="宋体"/>
          <w:snapToGrid w:val="0"/>
          <w:color w:val="000000"/>
          <w:spacing w:val="51"/>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18.2 款约定提交的竣工验收申请报告后，应审查申请报告的各项内容， 并</w:t>
      </w:r>
      <w:r>
        <w:rPr>
          <w:rFonts w:ascii="宋体" w:hAnsi="宋体" w:eastAsia="宋体" w:cs="宋体"/>
          <w:snapToGrid w:val="0"/>
          <w:color w:val="000000"/>
          <w:spacing w:val="8"/>
          <w:kern w:val="0"/>
          <w:sz w:val="20"/>
          <w:szCs w:val="20"/>
          <w:lang w:val="en-US" w:eastAsia="en-US" w:bidi="ar-SA"/>
        </w:rPr>
        <w:t>按以下不同情况进行处理。</w:t>
      </w:r>
    </w:p>
    <w:p w14:paraId="3243495F">
      <w:pPr>
        <w:kinsoku w:val="0"/>
        <w:autoSpaceDE w:val="0"/>
        <w:autoSpaceDN w:val="0"/>
        <w:adjustRightInd w:val="0"/>
        <w:snapToGrid w:val="0"/>
        <w:spacing w:before="1" w:line="240" w:lineRule="auto"/>
        <w:ind w:left="2"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18.3.1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监理人审查后认为尚不具备竣工验收条件</w:t>
      </w:r>
      <w:r>
        <w:rPr>
          <w:rFonts w:ascii="宋体" w:hAnsi="宋体" w:eastAsia="宋体" w:cs="宋体"/>
          <w:snapToGrid w:val="0"/>
          <w:color w:val="000000"/>
          <w:spacing w:val="8"/>
          <w:kern w:val="0"/>
          <w:sz w:val="20"/>
          <w:szCs w:val="20"/>
          <w:lang w:val="en-US" w:eastAsia="en-US" w:bidi="ar-SA"/>
        </w:rPr>
        <w:t>的，应在收到竣工验收申请报告后的 28 天内通</w:t>
      </w:r>
      <w:r>
        <w:rPr>
          <w:rFonts w:ascii="宋体" w:hAnsi="宋体" w:eastAsia="宋体" w:cs="宋体"/>
          <w:snapToGrid w:val="0"/>
          <w:color w:val="000000"/>
          <w:spacing w:val="14"/>
          <w:kern w:val="0"/>
          <w:sz w:val="20"/>
          <w:szCs w:val="20"/>
          <w:lang w:val="en-US" w:eastAsia="en-US" w:bidi="ar-SA"/>
        </w:rPr>
        <w:t>知承包人，指出在颁发接收证书前承包人还需进行的工作内容。承包人完成监理人通知的全部工作内容</w:t>
      </w:r>
      <w:r>
        <w:rPr>
          <w:rFonts w:ascii="宋体" w:hAnsi="宋体" w:eastAsia="宋体" w:cs="宋体"/>
          <w:snapToGrid w:val="0"/>
          <w:color w:val="000000"/>
          <w:spacing w:val="9"/>
          <w:kern w:val="0"/>
          <w:sz w:val="20"/>
          <w:szCs w:val="20"/>
          <w:lang w:val="en-US" w:eastAsia="en-US" w:bidi="ar-SA"/>
        </w:rPr>
        <w:t>后，应再次提交竣工验收申请报告，直至监理人同意为止。</w:t>
      </w:r>
    </w:p>
    <w:p w14:paraId="41E8F62F">
      <w:pPr>
        <w:kinsoku w:val="0"/>
        <w:autoSpaceDE w:val="0"/>
        <w:autoSpaceDN w:val="0"/>
        <w:adjustRightInd w:val="0"/>
        <w:snapToGrid w:val="0"/>
        <w:spacing w:before="163" w:line="240" w:lineRule="auto"/>
        <w:ind w:left="4" w:firstLine="430"/>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8"/>
          <w:kern w:val="0"/>
          <w:sz w:val="20"/>
          <w:szCs w:val="20"/>
          <w:lang w:val="en-US" w:eastAsia="en-US" w:bidi="ar-SA"/>
        </w:rPr>
        <w:t>18.3.2</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监理人审查后认为已具备竣工验收条件的，应在收到竣工验收申请报告后的 28 天内提</w:t>
      </w:r>
      <w:r>
        <w:rPr>
          <w:rFonts w:ascii="宋体" w:hAnsi="宋体" w:eastAsia="宋体" w:cs="宋体"/>
          <w:snapToGrid w:val="0"/>
          <w:color w:val="000000"/>
          <w:spacing w:val="8"/>
          <w:kern w:val="0"/>
          <w:sz w:val="22"/>
          <w:szCs w:val="22"/>
          <w:lang w:val="en-US" w:eastAsia="en-US" w:bidi="ar-SA"/>
        </w:rPr>
        <w:t>请</w:t>
      </w:r>
      <w:r>
        <w:rPr>
          <w:rFonts w:ascii="宋体" w:hAnsi="宋体" w:eastAsia="宋体" w:cs="宋体"/>
          <w:snapToGrid w:val="0"/>
          <w:color w:val="000000"/>
          <w:spacing w:val="-2"/>
          <w:kern w:val="0"/>
          <w:sz w:val="22"/>
          <w:szCs w:val="22"/>
          <w:lang w:val="en-US" w:eastAsia="en-US" w:bidi="ar-SA"/>
        </w:rPr>
        <w:t>发包人进行工程验收。</w:t>
      </w:r>
    </w:p>
    <w:p w14:paraId="7F1A1A4B">
      <w:pPr>
        <w:kinsoku w:val="0"/>
        <w:autoSpaceDE w:val="0"/>
        <w:autoSpaceDN w:val="0"/>
        <w:adjustRightInd w:val="0"/>
        <w:snapToGrid w:val="0"/>
        <w:spacing w:before="162" w:line="240" w:lineRule="auto"/>
        <w:ind w:left="2" w:right="2"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18.3.3</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 xml:space="preserve">发包人经过验收后同意接受工程的，应在监理人收到竣工验收申请报告后的 56 </w:t>
      </w:r>
      <w:r>
        <w:rPr>
          <w:rFonts w:ascii="宋体" w:hAnsi="宋体" w:eastAsia="宋体" w:cs="宋体"/>
          <w:snapToGrid w:val="0"/>
          <w:color w:val="000000"/>
          <w:spacing w:val="12"/>
          <w:kern w:val="0"/>
          <w:sz w:val="20"/>
          <w:szCs w:val="20"/>
          <w:lang w:val="en-US" w:eastAsia="en-US" w:bidi="ar-SA"/>
        </w:rPr>
        <w:t>天内，</w:t>
      </w:r>
      <w:r>
        <w:rPr>
          <w:rFonts w:ascii="宋体" w:hAnsi="宋体" w:eastAsia="宋体" w:cs="宋体"/>
          <w:snapToGrid w:val="0"/>
          <w:color w:val="000000"/>
          <w:spacing w:val="14"/>
          <w:kern w:val="0"/>
          <w:sz w:val="20"/>
          <w:szCs w:val="20"/>
          <w:lang w:val="en-US" w:eastAsia="en-US" w:bidi="ar-SA"/>
        </w:rPr>
        <w:t>由监理人向承包人出具经发包人签认的工程接收证书。发包人验收后同意接收工程但提出整修和完善要求的，限期修好，并缓发工程接收证书。整修和完善工作完成后，监理人复查达到要求的，经发包人同</w:t>
      </w:r>
      <w:r>
        <w:rPr>
          <w:rFonts w:ascii="宋体" w:hAnsi="宋体" w:eastAsia="宋体" w:cs="宋体"/>
          <w:snapToGrid w:val="0"/>
          <w:color w:val="000000"/>
          <w:spacing w:val="8"/>
          <w:kern w:val="0"/>
          <w:sz w:val="20"/>
          <w:szCs w:val="20"/>
          <w:lang w:val="en-US" w:eastAsia="en-US" w:bidi="ar-SA"/>
        </w:rPr>
        <w:t>意后，再向承包人出具工程接收证书。</w:t>
      </w:r>
    </w:p>
    <w:p w14:paraId="00EF0283">
      <w:pPr>
        <w:kinsoku w:val="0"/>
        <w:autoSpaceDE w:val="0"/>
        <w:autoSpaceDN w:val="0"/>
        <w:adjustRightInd w:val="0"/>
        <w:snapToGrid w:val="0"/>
        <w:spacing w:before="163" w:line="240" w:lineRule="auto"/>
        <w:ind w:right="2" w:firstLine="43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18.3.4</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发包人验收后不同意接收工程的，监理人应按照发包人的验收意见发出</w:t>
      </w:r>
      <w:r>
        <w:rPr>
          <w:rFonts w:ascii="宋体" w:hAnsi="宋体" w:eastAsia="宋体" w:cs="宋体"/>
          <w:snapToGrid w:val="0"/>
          <w:color w:val="000000"/>
          <w:spacing w:val="8"/>
          <w:kern w:val="0"/>
          <w:sz w:val="20"/>
          <w:szCs w:val="20"/>
          <w:lang w:val="en-US" w:eastAsia="en-US" w:bidi="ar-SA"/>
        </w:rPr>
        <w:t>指示，要求承包人</w:t>
      </w:r>
      <w:r>
        <w:rPr>
          <w:rFonts w:ascii="宋体" w:hAnsi="宋体" w:eastAsia="宋体" w:cs="宋体"/>
          <w:snapToGrid w:val="0"/>
          <w:color w:val="000000"/>
          <w:spacing w:val="14"/>
          <w:kern w:val="0"/>
          <w:sz w:val="20"/>
          <w:szCs w:val="20"/>
          <w:lang w:val="en-US" w:eastAsia="en-US" w:bidi="ar-SA"/>
        </w:rPr>
        <w:t>对不合格工程认真返工重作或进行补救处理，并承担由此产生的费用。承包人在完成不合格工程的返工</w:t>
      </w:r>
      <w:r>
        <w:rPr>
          <w:rFonts w:ascii="宋体" w:hAnsi="宋体" w:eastAsia="宋体" w:cs="宋体"/>
          <w:snapToGrid w:val="0"/>
          <w:color w:val="000000"/>
          <w:spacing w:val="10"/>
          <w:kern w:val="0"/>
          <w:sz w:val="20"/>
          <w:szCs w:val="20"/>
          <w:lang w:val="en-US" w:eastAsia="en-US" w:bidi="ar-SA"/>
        </w:rPr>
        <w:t>重作或补救工作后，应重新提交竣工验收申请报告，按第</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18.3.</w:t>
      </w:r>
      <w:r>
        <w:rPr>
          <w:rFonts w:ascii="宋体" w:hAnsi="宋体" w:eastAsia="宋体" w:cs="宋体"/>
          <w:snapToGrid w:val="0"/>
          <w:color w:val="000000"/>
          <w:spacing w:val="9"/>
          <w:kern w:val="0"/>
          <w:sz w:val="20"/>
          <w:szCs w:val="20"/>
          <w:lang w:val="en-US" w:eastAsia="en-US" w:bidi="ar-SA"/>
        </w:rPr>
        <w:t>1 项、第</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18.3.2 项和第</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18.3.3 项的</w:t>
      </w:r>
      <w:r>
        <w:rPr>
          <w:rFonts w:ascii="宋体" w:hAnsi="宋体" w:eastAsia="宋体" w:cs="宋体"/>
          <w:snapToGrid w:val="0"/>
          <w:color w:val="000000"/>
          <w:spacing w:val="6"/>
          <w:kern w:val="0"/>
          <w:sz w:val="20"/>
          <w:szCs w:val="20"/>
          <w:lang w:val="en-US" w:eastAsia="en-US" w:bidi="ar-SA"/>
        </w:rPr>
        <w:t>约定进行。</w:t>
      </w:r>
    </w:p>
    <w:p w14:paraId="73CCB03A">
      <w:pPr>
        <w:kinsoku w:val="0"/>
        <w:autoSpaceDE w:val="0"/>
        <w:autoSpaceDN w:val="0"/>
        <w:adjustRightInd w:val="0"/>
        <w:snapToGrid w:val="0"/>
        <w:spacing w:before="161" w:line="240" w:lineRule="auto"/>
        <w:ind w:left="5" w:right="2" w:firstLine="42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18.3.5</w:t>
      </w:r>
      <w:r>
        <w:rPr>
          <w:rFonts w:ascii="宋体" w:hAnsi="宋体" w:eastAsia="宋体" w:cs="宋体"/>
          <w:snapToGrid w:val="0"/>
          <w:color w:val="000000"/>
          <w:spacing w:val="5"/>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除专用合同条款另有约定外，经验收合格工程的实际竣工日期，</w:t>
      </w:r>
      <w:r>
        <w:rPr>
          <w:rFonts w:ascii="宋体" w:hAnsi="宋体" w:eastAsia="宋体" w:cs="宋体"/>
          <w:snapToGrid w:val="0"/>
          <w:color w:val="000000"/>
          <w:spacing w:val="-52"/>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以提交竣工验收申请报</w:t>
      </w:r>
      <w:r>
        <w:rPr>
          <w:rFonts w:ascii="宋体" w:hAnsi="宋体" w:eastAsia="宋体" w:cs="宋体"/>
          <w:snapToGrid w:val="0"/>
          <w:color w:val="000000"/>
          <w:spacing w:val="8"/>
          <w:kern w:val="0"/>
          <w:sz w:val="20"/>
          <w:szCs w:val="20"/>
          <w:lang w:val="en-US" w:eastAsia="en-US" w:bidi="ar-SA"/>
        </w:rPr>
        <w:t>告的日期为准，并在工程接收证书中写明。</w:t>
      </w:r>
    </w:p>
    <w:p w14:paraId="7FC13CAC">
      <w:pPr>
        <w:kinsoku w:val="0"/>
        <w:autoSpaceDE w:val="0"/>
        <w:autoSpaceDN w:val="0"/>
        <w:adjustRightInd w:val="0"/>
        <w:snapToGrid w:val="0"/>
        <w:spacing w:before="162" w:line="240" w:lineRule="auto"/>
        <w:ind w:left="36" w:firstLine="39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18.3.6</w:t>
      </w:r>
      <w:r>
        <w:rPr>
          <w:rFonts w:ascii="宋体" w:hAnsi="宋体" w:eastAsia="宋体" w:cs="宋体"/>
          <w:snapToGrid w:val="0"/>
          <w:color w:val="000000"/>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发包人在收到承包人竣工验收申请</w:t>
      </w:r>
      <w:r>
        <w:rPr>
          <w:rFonts w:ascii="宋体" w:hAnsi="宋体" w:eastAsia="宋体" w:cs="宋体"/>
          <w:snapToGrid w:val="0"/>
          <w:color w:val="000000"/>
          <w:spacing w:val="8"/>
          <w:kern w:val="0"/>
          <w:sz w:val="20"/>
          <w:szCs w:val="20"/>
          <w:lang w:val="en-US" w:eastAsia="en-US" w:bidi="ar-SA"/>
        </w:rPr>
        <w:t>报告 56 天后未进行验收的，视为验收合格，实际竣工</w:t>
      </w:r>
      <w:r>
        <w:rPr>
          <w:rFonts w:ascii="宋体" w:hAnsi="宋体" w:eastAsia="宋体" w:cs="宋体"/>
          <w:snapToGrid w:val="0"/>
          <w:color w:val="000000"/>
          <w:spacing w:val="9"/>
          <w:kern w:val="0"/>
          <w:sz w:val="20"/>
          <w:szCs w:val="20"/>
          <w:lang w:val="en-US" w:eastAsia="en-US" w:bidi="ar-SA"/>
        </w:rPr>
        <w:t>日期以提交竣工验收申请报告的日期为准，但</w:t>
      </w:r>
      <w:r>
        <w:rPr>
          <w:rFonts w:ascii="宋体" w:hAnsi="宋体" w:eastAsia="宋体" w:cs="宋体"/>
          <w:snapToGrid w:val="0"/>
          <w:color w:val="000000"/>
          <w:spacing w:val="8"/>
          <w:kern w:val="0"/>
          <w:sz w:val="20"/>
          <w:szCs w:val="20"/>
          <w:lang w:val="en-US" w:eastAsia="en-US" w:bidi="ar-SA"/>
        </w:rPr>
        <w:t>发包人由于不可抗力不能进行验收的除外。</w:t>
      </w:r>
    </w:p>
    <w:p w14:paraId="125B7AFA">
      <w:pPr>
        <w:kinsoku w:val="0"/>
        <w:autoSpaceDE w:val="0"/>
        <w:autoSpaceDN w:val="0"/>
        <w:adjustRightInd w:val="0"/>
        <w:snapToGrid w:val="0"/>
        <w:spacing w:before="168"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18.4</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单位工程验收</w:t>
      </w:r>
    </w:p>
    <w:p w14:paraId="4909BBAF">
      <w:pPr>
        <w:kinsoku w:val="0"/>
        <w:autoSpaceDE w:val="0"/>
        <w:autoSpaceDN w:val="0"/>
        <w:adjustRightInd w:val="0"/>
        <w:snapToGrid w:val="0"/>
        <w:spacing w:before="174" w:line="240" w:lineRule="auto"/>
        <w:ind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18.4.1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发包人根据合同进度计划安排，在全部工程竣工前需要使用已经竣工的</w:t>
      </w:r>
      <w:r>
        <w:rPr>
          <w:rFonts w:ascii="宋体" w:hAnsi="宋体" w:eastAsia="宋体" w:cs="宋体"/>
          <w:snapToGrid w:val="0"/>
          <w:color w:val="000000"/>
          <w:spacing w:val="8"/>
          <w:kern w:val="0"/>
          <w:sz w:val="20"/>
          <w:szCs w:val="20"/>
          <w:lang w:val="en-US" w:eastAsia="en-US" w:bidi="ar-SA"/>
        </w:rPr>
        <w:t>单位工程时，或承</w:t>
      </w:r>
      <w:r>
        <w:rPr>
          <w:rFonts w:ascii="宋体" w:hAnsi="宋体" w:eastAsia="宋体" w:cs="宋体"/>
          <w:snapToGrid w:val="0"/>
          <w:color w:val="000000"/>
          <w:spacing w:val="11"/>
          <w:kern w:val="0"/>
          <w:sz w:val="20"/>
          <w:szCs w:val="20"/>
          <w:lang w:val="en-US" w:eastAsia="en-US" w:bidi="ar-SA"/>
        </w:rPr>
        <w:t>包人提出经发包人同意时，可进行单位工程验收。验收的程序可参照第</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18.2 款与第</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18.3 款的约定进</w:t>
      </w:r>
      <w:r>
        <w:rPr>
          <w:rFonts w:ascii="宋体" w:hAnsi="宋体" w:eastAsia="宋体" w:cs="宋体"/>
          <w:snapToGrid w:val="0"/>
          <w:color w:val="000000"/>
          <w:spacing w:val="12"/>
          <w:kern w:val="0"/>
          <w:sz w:val="20"/>
          <w:szCs w:val="20"/>
          <w:lang w:val="en-US" w:eastAsia="en-US" w:bidi="ar-SA"/>
        </w:rPr>
        <w:t>行。验收合格后，</w:t>
      </w:r>
      <w:r>
        <w:rPr>
          <w:rFonts w:ascii="宋体" w:hAnsi="宋体" w:eastAsia="宋体" w:cs="宋体"/>
          <w:snapToGrid w:val="0"/>
          <w:color w:val="000000"/>
          <w:spacing w:val="-53"/>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由监理人向承包人出具经发包人签认的单位工程验收证书。</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已签发单位工程接收证书</w:t>
      </w:r>
      <w:r>
        <w:rPr>
          <w:rFonts w:ascii="宋体" w:hAnsi="宋体" w:eastAsia="宋体" w:cs="宋体"/>
          <w:snapToGrid w:val="0"/>
          <w:color w:val="000000"/>
          <w:spacing w:val="10"/>
          <w:kern w:val="0"/>
          <w:sz w:val="20"/>
          <w:szCs w:val="20"/>
          <w:lang w:val="en-US" w:eastAsia="en-US" w:bidi="ar-SA"/>
        </w:rPr>
        <w:t>的单位工程由发包人负责照管。单位工程的验收成果</w:t>
      </w:r>
      <w:r>
        <w:rPr>
          <w:rFonts w:ascii="宋体" w:hAnsi="宋体" w:eastAsia="宋体" w:cs="宋体"/>
          <w:snapToGrid w:val="0"/>
          <w:color w:val="000000"/>
          <w:spacing w:val="9"/>
          <w:kern w:val="0"/>
          <w:sz w:val="20"/>
          <w:szCs w:val="20"/>
          <w:lang w:val="en-US" w:eastAsia="en-US" w:bidi="ar-SA"/>
        </w:rPr>
        <w:t>和结论作为全部工程竣工验收申请报告的附件。</w:t>
      </w:r>
    </w:p>
    <w:p w14:paraId="26CB2F57">
      <w:pPr>
        <w:kinsoku w:val="0"/>
        <w:autoSpaceDE w:val="0"/>
        <w:autoSpaceDN w:val="0"/>
        <w:adjustRightInd w:val="0"/>
        <w:snapToGrid w:val="0"/>
        <w:spacing w:before="164" w:line="240" w:lineRule="auto"/>
        <w:ind w:left="26" w:right="2" w:firstLine="40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18.4.2</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发包人在全部工程竣工前，使用已接收的单位工程导致承包人费用增加</w:t>
      </w:r>
      <w:r>
        <w:rPr>
          <w:rFonts w:ascii="宋体" w:hAnsi="宋体" w:eastAsia="宋体" w:cs="宋体"/>
          <w:snapToGrid w:val="0"/>
          <w:color w:val="000000"/>
          <w:spacing w:val="8"/>
          <w:kern w:val="0"/>
          <w:sz w:val="20"/>
          <w:szCs w:val="20"/>
          <w:lang w:val="en-US" w:eastAsia="en-US" w:bidi="ar-SA"/>
        </w:rPr>
        <w:t>的，发包人应承担由此增加的费用和（或）工期延误，并支付承包人合理利润。</w:t>
      </w:r>
    </w:p>
    <w:p w14:paraId="1544C82B">
      <w:pPr>
        <w:kinsoku w:val="0"/>
        <w:autoSpaceDE w:val="0"/>
        <w:autoSpaceDN w:val="0"/>
        <w:adjustRightInd w:val="0"/>
        <w:snapToGrid w:val="0"/>
        <w:spacing w:before="166" w:line="240" w:lineRule="auto"/>
        <w:ind w:left="499"/>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7"/>
          <w:kern w:val="0"/>
          <w:sz w:val="24"/>
          <w:szCs w:val="24"/>
          <w:lang w:val="en-US" w:eastAsia="en-US" w:bidi="ar-SA"/>
        </w:rPr>
        <w:t>18.5</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7"/>
          <w:kern w:val="0"/>
          <w:sz w:val="24"/>
          <w:szCs w:val="24"/>
          <w:lang w:val="en-US" w:eastAsia="en-US" w:bidi="ar-SA"/>
        </w:rPr>
        <w:t>施工期运行</w:t>
      </w:r>
    </w:p>
    <w:p w14:paraId="2BDF912C">
      <w:pPr>
        <w:kinsoku w:val="0"/>
        <w:autoSpaceDE w:val="0"/>
        <w:autoSpaceDN w:val="0"/>
        <w:adjustRightInd w:val="0"/>
        <w:snapToGrid w:val="0"/>
        <w:spacing w:before="174" w:line="240" w:lineRule="auto"/>
        <w:ind w:right="2"/>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18.5.1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施工期运行是指合同工程尚未全部竣工，其中某项或某几项单位工程或工程设备</w:t>
      </w:r>
      <w:r>
        <w:rPr>
          <w:rFonts w:ascii="宋体" w:hAnsi="宋体" w:eastAsia="宋体" w:cs="宋体"/>
          <w:snapToGrid w:val="0"/>
          <w:color w:val="000000"/>
          <w:spacing w:val="8"/>
          <w:kern w:val="0"/>
          <w:sz w:val="20"/>
          <w:szCs w:val="20"/>
          <w:lang w:val="en-US" w:eastAsia="en-US" w:bidi="ar-SA"/>
        </w:rPr>
        <w:t>安装已竣</w:t>
      </w:r>
    </w:p>
    <w:p w14:paraId="4F6C66D7">
      <w:pPr>
        <w:kinsoku w:val="0"/>
        <w:autoSpaceDE w:val="0"/>
        <w:autoSpaceDN w:val="0"/>
        <w:adjustRightInd w:val="0"/>
        <w:snapToGrid w:val="0"/>
        <w:spacing w:before="40" w:line="240" w:lineRule="auto"/>
        <w:ind w:right="2" w:firstLine="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工，根据专用合同条款约定，需要投入施工期运行的，</w:t>
      </w:r>
      <w:r>
        <w:rPr>
          <w:rFonts w:ascii="宋体" w:hAnsi="宋体" w:eastAsia="宋体" w:cs="宋体"/>
          <w:snapToGrid w:val="0"/>
          <w:color w:val="000000"/>
          <w:spacing w:val="12"/>
          <w:kern w:val="0"/>
          <w:sz w:val="20"/>
          <w:szCs w:val="20"/>
          <w:lang w:val="en-US" w:eastAsia="en-US" w:bidi="ar-SA"/>
        </w:rPr>
        <w:t>经发包人按第</w:t>
      </w:r>
      <w:r>
        <w:rPr>
          <w:rFonts w:ascii="宋体" w:hAnsi="宋体" w:eastAsia="宋体" w:cs="宋体"/>
          <w:snapToGrid w:val="0"/>
          <w:color w:val="000000"/>
          <w:spacing w:val="41"/>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18.4 款的约定验收合格，证明能</w:t>
      </w:r>
      <w:r>
        <w:rPr>
          <w:rFonts w:ascii="宋体" w:hAnsi="宋体" w:eastAsia="宋体" w:cs="宋体"/>
          <w:snapToGrid w:val="0"/>
          <w:color w:val="000000"/>
          <w:spacing w:val="8"/>
          <w:kern w:val="0"/>
          <w:sz w:val="20"/>
          <w:szCs w:val="20"/>
          <w:lang w:val="en-US" w:eastAsia="en-US" w:bidi="ar-SA"/>
        </w:rPr>
        <w:t>确保安全后，才能在施工期投入运行。</w:t>
      </w:r>
    </w:p>
    <w:p w14:paraId="41915A8F">
      <w:pPr>
        <w:kinsoku w:val="0"/>
        <w:autoSpaceDE w:val="0"/>
        <w:autoSpaceDN w:val="0"/>
        <w:adjustRightInd w:val="0"/>
        <w:snapToGrid w:val="0"/>
        <w:spacing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18.5.2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在施工期运行中发现工程或工程设备损坏或存在缺陷的，</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由承包人按第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19.2 款</w:t>
      </w:r>
      <w:r>
        <w:rPr>
          <w:rFonts w:ascii="宋体" w:hAnsi="宋体" w:eastAsia="宋体" w:cs="宋体"/>
          <w:snapToGrid w:val="0"/>
          <w:color w:val="000000"/>
          <w:spacing w:val="6"/>
          <w:kern w:val="0"/>
          <w:sz w:val="20"/>
          <w:szCs w:val="20"/>
          <w:lang w:val="en-US" w:eastAsia="en-US" w:bidi="ar-SA"/>
        </w:rPr>
        <w:t>约定进行</w:t>
      </w:r>
      <w:r>
        <w:rPr>
          <w:rFonts w:ascii="宋体" w:hAnsi="宋体" w:eastAsia="宋体" w:cs="宋体"/>
          <w:snapToGrid w:val="0"/>
          <w:color w:val="000000"/>
          <w:spacing w:val="3"/>
          <w:kern w:val="0"/>
          <w:sz w:val="20"/>
          <w:szCs w:val="20"/>
          <w:lang w:val="en-US" w:eastAsia="en-US" w:bidi="ar-SA"/>
        </w:rPr>
        <w:t>修复。</w:t>
      </w:r>
    </w:p>
    <w:p w14:paraId="748AA7B4">
      <w:pPr>
        <w:kinsoku w:val="0"/>
        <w:autoSpaceDE w:val="0"/>
        <w:autoSpaceDN w:val="0"/>
        <w:adjustRightInd w:val="0"/>
        <w:snapToGrid w:val="0"/>
        <w:spacing w:before="4"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18.6</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试运行</w:t>
      </w:r>
    </w:p>
    <w:p w14:paraId="6E2120B5">
      <w:pPr>
        <w:kinsoku w:val="0"/>
        <w:autoSpaceDE w:val="0"/>
        <w:autoSpaceDN w:val="0"/>
        <w:adjustRightInd w:val="0"/>
        <w:snapToGrid w:val="0"/>
        <w:spacing w:before="174" w:line="240" w:lineRule="auto"/>
        <w:ind w:left="8" w:right="53" w:firstLine="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18.6.1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除专用合同条款另有约定外，承包人应按专用合同条款约定进行</w:t>
      </w:r>
      <w:r>
        <w:rPr>
          <w:rFonts w:ascii="宋体" w:hAnsi="宋体" w:eastAsia="宋体" w:cs="宋体"/>
          <w:snapToGrid w:val="0"/>
          <w:color w:val="000000"/>
          <w:spacing w:val="7"/>
          <w:kern w:val="0"/>
          <w:sz w:val="20"/>
          <w:szCs w:val="20"/>
          <w:lang w:val="en-US" w:eastAsia="en-US" w:bidi="ar-SA"/>
        </w:rPr>
        <w:t>工程及工程设备试运行，</w:t>
      </w:r>
      <w:r>
        <w:rPr>
          <w:rFonts w:ascii="宋体" w:hAnsi="宋体" w:eastAsia="宋体" w:cs="宋体"/>
          <w:snapToGrid w:val="0"/>
          <w:color w:val="000000"/>
          <w:spacing w:val="9"/>
          <w:kern w:val="0"/>
          <w:sz w:val="20"/>
          <w:szCs w:val="20"/>
          <w:lang w:val="en-US" w:eastAsia="en-US" w:bidi="ar-SA"/>
        </w:rPr>
        <w:t>负责提供试运行所需的人员、器材和必要的条件，并承担全部试运行费用。</w:t>
      </w:r>
    </w:p>
    <w:p w14:paraId="63ED64E5">
      <w:pPr>
        <w:kinsoku w:val="0"/>
        <w:autoSpaceDE w:val="0"/>
        <w:autoSpaceDN w:val="0"/>
        <w:adjustRightInd w:val="0"/>
        <w:snapToGrid w:val="0"/>
        <w:spacing w:before="161" w:line="240" w:lineRule="auto"/>
        <w:ind w:left="1" w:right="2"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18.6.2    由于承包人的原因导致试运行失败的，承包人应采取措施保证试运行合格，并承担相应费</w:t>
      </w:r>
      <w:r>
        <w:rPr>
          <w:rFonts w:ascii="宋体" w:hAnsi="宋体" w:eastAsia="宋体" w:cs="宋体"/>
          <w:snapToGrid w:val="0"/>
          <w:color w:val="000000"/>
          <w:spacing w:val="13"/>
          <w:kern w:val="0"/>
          <w:sz w:val="20"/>
          <w:szCs w:val="20"/>
          <w:lang w:val="en-US" w:eastAsia="en-US" w:bidi="ar-SA"/>
        </w:rPr>
        <w:t>用。</w:t>
      </w:r>
      <w:r>
        <w:rPr>
          <w:rFonts w:ascii="宋体" w:hAnsi="宋体" w:eastAsia="宋体" w:cs="宋体"/>
          <w:snapToGrid w:val="0"/>
          <w:color w:val="000000"/>
          <w:spacing w:val="-54"/>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由于发包人的原因导致试运行失败的，承包人应当采取措施保证试运行合格，发包人应承担由</w:t>
      </w:r>
      <w:r>
        <w:rPr>
          <w:rFonts w:ascii="宋体" w:hAnsi="宋体" w:eastAsia="宋体" w:cs="宋体"/>
          <w:snapToGrid w:val="0"/>
          <w:color w:val="000000"/>
          <w:spacing w:val="12"/>
          <w:kern w:val="0"/>
          <w:sz w:val="20"/>
          <w:szCs w:val="20"/>
          <w:lang w:val="en-US" w:eastAsia="en-US" w:bidi="ar-SA"/>
        </w:rPr>
        <w:t>此产</w:t>
      </w:r>
      <w:r>
        <w:rPr>
          <w:rFonts w:ascii="宋体" w:hAnsi="宋体" w:eastAsia="宋体" w:cs="宋体"/>
          <w:snapToGrid w:val="0"/>
          <w:color w:val="000000"/>
          <w:spacing w:val="8"/>
          <w:kern w:val="0"/>
          <w:sz w:val="20"/>
          <w:szCs w:val="20"/>
          <w:lang w:val="en-US" w:eastAsia="en-US" w:bidi="ar-SA"/>
        </w:rPr>
        <w:t>生的费用，并支付承包人合理利润。</w:t>
      </w:r>
    </w:p>
    <w:p w14:paraId="4EC2C6D0">
      <w:pPr>
        <w:kinsoku w:val="0"/>
        <w:autoSpaceDE w:val="0"/>
        <w:autoSpaceDN w:val="0"/>
        <w:adjustRightInd w:val="0"/>
        <w:snapToGrid w:val="0"/>
        <w:spacing w:before="166"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18.7</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竣工清场</w:t>
      </w:r>
    </w:p>
    <w:p w14:paraId="18DC5276">
      <w:pPr>
        <w:kinsoku w:val="0"/>
        <w:autoSpaceDE w:val="0"/>
        <w:autoSpaceDN w:val="0"/>
        <w:adjustRightInd w:val="0"/>
        <w:snapToGrid w:val="0"/>
        <w:spacing w:before="177" w:line="240" w:lineRule="auto"/>
        <w:ind w:left="2" w:firstLine="432"/>
        <w:jc w:val="left"/>
        <w:textAlignment w:val="baseline"/>
        <w:rPr>
          <w:rFonts w:ascii="宋体" w:hAnsi="宋体" w:eastAsia="宋体" w:cs="宋体"/>
          <w:snapToGrid w:val="0"/>
          <w:color w:val="000000"/>
          <w:kern w:val="0"/>
          <w:sz w:val="22"/>
          <w:szCs w:val="22"/>
          <w:lang w:val="en-US" w:eastAsia="en-US" w:bidi="ar-SA"/>
        </w:rPr>
      </w:pPr>
      <w:r>
        <w:rPr>
          <w:rFonts w:ascii="宋体" w:hAnsi="宋体" w:eastAsia="宋体" w:cs="宋体"/>
          <w:snapToGrid w:val="0"/>
          <w:color w:val="000000"/>
          <w:spacing w:val="8"/>
          <w:kern w:val="0"/>
          <w:sz w:val="20"/>
          <w:szCs w:val="20"/>
          <w:lang w:val="en-US" w:eastAsia="en-US" w:bidi="ar-SA"/>
        </w:rPr>
        <w:t>18.7.1</w:t>
      </w:r>
      <w:r>
        <w:rPr>
          <w:rFonts w:ascii="宋体" w:hAnsi="宋体" w:eastAsia="宋体" w:cs="宋体"/>
          <w:snapToGrid w:val="0"/>
          <w:color w:val="000000"/>
          <w:spacing w:val="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除合同另有约定外，工程接收证书颁发后，承包人应按以下要求对施工场地进行清理，</w:t>
      </w:r>
      <w:r>
        <w:rPr>
          <w:rFonts w:ascii="宋体" w:hAnsi="宋体" w:eastAsia="宋体" w:cs="宋体"/>
          <w:snapToGrid w:val="0"/>
          <w:color w:val="000000"/>
          <w:spacing w:val="8"/>
          <w:kern w:val="0"/>
          <w:sz w:val="22"/>
          <w:szCs w:val="22"/>
          <w:lang w:val="en-US" w:eastAsia="en-US" w:bidi="ar-SA"/>
        </w:rPr>
        <w:t>直</w:t>
      </w:r>
      <w:r>
        <w:rPr>
          <w:rFonts w:ascii="宋体" w:hAnsi="宋体" w:eastAsia="宋体" w:cs="宋体"/>
          <w:snapToGrid w:val="0"/>
          <w:color w:val="000000"/>
          <w:spacing w:val="-1"/>
          <w:kern w:val="0"/>
          <w:sz w:val="22"/>
          <w:szCs w:val="22"/>
          <w:lang w:val="en-US" w:eastAsia="en-US" w:bidi="ar-SA"/>
        </w:rPr>
        <w:t>至监理人检验合格为止。竣工清场费用由承包人承担。</w:t>
      </w:r>
    </w:p>
    <w:p w14:paraId="35F06865">
      <w:pPr>
        <w:kinsoku w:val="0"/>
        <w:autoSpaceDE w:val="0"/>
        <w:autoSpaceDN w:val="0"/>
        <w:adjustRightInd w:val="0"/>
        <w:snapToGrid w:val="0"/>
        <w:spacing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（1）    </w:t>
      </w:r>
      <w:r>
        <w:rPr>
          <w:rFonts w:ascii="宋体" w:hAnsi="宋体" w:eastAsia="宋体" w:cs="宋体"/>
          <w:snapToGrid w:val="0"/>
          <w:color w:val="000000"/>
          <w:spacing w:val="7"/>
          <w:kern w:val="0"/>
          <w:sz w:val="20"/>
          <w:szCs w:val="20"/>
          <w:lang w:val="en-US" w:eastAsia="en-US" w:bidi="ar-SA"/>
        </w:rPr>
        <w:t>施工场地内残留的垃圾已全部清除出场；</w:t>
      </w:r>
    </w:p>
    <w:p w14:paraId="6818AEA9">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（2）    </w:t>
      </w:r>
      <w:r>
        <w:rPr>
          <w:rFonts w:ascii="宋体" w:hAnsi="宋体" w:eastAsia="宋体" w:cs="宋体"/>
          <w:snapToGrid w:val="0"/>
          <w:color w:val="000000"/>
          <w:spacing w:val="8"/>
          <w:kern w:val="0"/>
          <w:sz w:val="20"/>
          <w:szCs w:val="20"/>
          <w:lang w:val="en-US" w:eastAsia="en-US" w:bidi="ar-SA"/>
        </w:rPr>
        <w:t>临时工程已拆除，场地已按合同要求进行清理、平整或复原；</w:t>
      </w:r>
    </w:p>
    <w:p w14:paraId="5E30DCC6">
      <w:pPr>
        <w:kinsoku w:val="0"/>
        <w:autoSpaceDE w:val="0"/>
        <w:autoSpaceDN w:val="0"/>
        <w:adjustRightInd w:val="0"/>
        <w:snapToGrid w:val="0"/>
        <w:spacing w:before="163" w:line="240" w:lineRule="auto"/>
        <w:ind w:left="3" w:right="185"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（3）    </w:t>
      </w:r>
      <w:r>
        <w:rPr>
          <w:rFonts w:ascii="宋体" w:hAnsi="宋体" w:eastAsia="宋体" w:cs="宋体"/>
          <w:snapToGrid w:val="0"/>
          <w:color w:val="000000"/>
          <w:spacing w:val="9"/>
          <w:kern w:val="0"/>
          <w:sz w:val="20"/>
          <w:szCs w:val="20"/>
          <w:lang w:val="en-US" w:eastAsia="en-US" w:bidi="ar-SA"/>
        </w:rPr>
        <w:t>按合同约定应撤离的承包人设备和剩余的材料，包括废弃的施工设备和材料，已按</w:t>
      </w:r>
      <w:r>
        <w:rPr>
          <w:rFonts w:ascii="宋体" w:hAnsi="宋体" w:eastAsia="宋体" w:cs="宋体"/>
          <w:snapToGrid w:val="0"/>
          <w:color w:val="000000"/>
          <w:spacing w:val="8"/>
          <w:kern w:val="0"/>
          <w:sz w:val="20"/>
          <w:szCs w:val="20"/>
          <w:lang w:val="en-US" w:eastAsia="en-US" w:bidi="ar-SA"/>
        </w:rPr>
        <w:t>计划撤</w:t>
      </w:r>
      <w:r>
        <w:rPr>
          <w:rFonts w:ascii="宋体" w:hAnsi="宋体" w:eastAsia="宋体" w:cs="宋体"/>
          <w:snapToGrid w:val="0"/>
          <w:color w:val="000000"/>
          <w:spacing w:val="6"/>
          <w:kern w:val="0"/>
          <w:sz w:val="20"/>
          <w:szCs w:val="20"/>
          <w:lang w:val="en-US" w:eastAsia="en-US" w:bidi="ar-SA"/>
        </w:rPr>
        <w:t>离施工场地；</w:t>
      </w:r>
    </w:p>
    <w:p w14:paraId="5B0DD749">
      <w:pPr>
        <w:kinsoku w:val="0"/>
        <w:autoSpaceDE w:val="0"/>
        <w:autoSpaceDN w:val="0"/>
        <w:adjustRightInd w:val="0"/>
        <w:snapToGrid w:val="0"/>
        <w:spacing w:before="160"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（4）    </w:t>
      </w:r>
      <w:r>
        <w:rPr>
          <w:rFonts w:ascii="宋体" w:hAnsi="宋体" w:eastAsia="宋体" w:cs="宋体"/>
          <w:snapToGrid w:val="0"/>
          <w:color w:val="000000"/>
          <w:spacing w:val="9"/>
          <w:kern w:val="0"/>
          <w:sz w:val="20"/>
          <w:szCs w:val="20"/>
          <w:lang w:val="en-US" w:eastAsia="en-US" w:bidi="ar-SA"/>
        </w:rPr>
        <w:t>工程建筑物周边及其附近道路、河道的</w:t>
      </w:r>
      <w:r>
        <w:rPr>
          <w:rFonts w:ascii="宋体" w:hAnsi="宋体" w:eastAsia="宋体" w:cs="宋体"/>
          <w:snapToGrid w:val="0"/>
          <w:color w:val="000000"/>
          <w:spacing w:val="8"/>
          <w:kern w:val="0"/>
          <w:sz w:val="20"/>
          <w:szCs w:val="20"/>
          <w:lang w:val="en-US" w:eastAsia="en-US" w:bidi="ar-SA"/>
        </w:rPr>
        <w:t>施工堆积物，已按监理人指示全部清理；</w:t>
      </w:r>
    </w:p>
    <w:p w14:paraId="3B8A11C9">
      <w:pPr>
        <w:kinsoku w:val="0"/>
        <w:autoSpaceDE w:val="0"/>
        <w:autoSpaceDN w:val="0"/>
        <w:adjustRightInd w:val="0"/>
        <w:snapToGrid w:val="0"/>
        <w:spacing w:before="162"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（5）    </w:t>
      </w:r>
      <w:r>
        <w:rPr>
          <w:rFonts w:ascii="宋体" w:hAnsi="宋体" w:eastAsia="宋体" w:cs="宋体"/>
          <w:snapToGrid w:val="0"/>
          <w:color w:val="000000"/>
          <w:spacing w:val="8"/>
          <w:kern w:val="0"/>
          <w:sz w:val="20"/>
          <w:szCs w:val="20"/>
          <w:lang w:val="en-US" w:eastAsia="en-US" w:bidi="ar-SA"/>
        </w:rPr>
        <w:t>监理人指示的其他场地清理工作已全</w:t>
      </w:r>
      <w:r>
        <w:rPr>
          <w:rFonts w:ascii="宋体" w:hAnsi="宋体" w:eastAsia="宋体" w:cs="宋体"/>
          <w:snapToGrid w:val="0"/>
          <w:color w:val="000000"/>
          <w:spacing w:val="7"/>
          <w:kern w:val="0"/>
          <w:sz w:val="20"/>
          <w:szCs w:val="20"/>
          <w:lang w:val="en-US" w:eastAsia="en-US" w:bidi="ar-SA"/>
        </w:rPr>
        <w:t>部完成。</w:t>
      </w:r>
    </w:p>
    <w:p w14:paraId="72414869">
      <w:pPr>
        <w:kinsoku w:val="0"/>
        <w:autoSpaceDE w:val="0"/>
        <w:autoSpaceDN w:val="0"/>
        <w:adjustRightInd w:val="0"/>
        <w:snapToGrid w:val="0"/>
        <w:spacing w:before="163" w:line="240" w:lineRule="auto"/>
        <w:ind w:right="33"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18.7.2</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承包人未按监理人的要求恢复临时占地，或者场地清理未达到合同约定的，发包人有权委</w:t>
      </w:r>
      <w:r>
        <w:rPr>
          <w:rFonts w:ascii="宋体" w:hAnsi="宋体" w:eastAsia="宋体" w:cs="宋体"/>
          <w:snapToGrid w:val="0"/>
          <w:color w:val="000000"/>
          <w:spacing w:val="9"/>
          <w:kern w:val="0"/>
          <w:sz w:val="20"/>
          <w:szCs w:val="20"/>
          <w:lang w:val="en-US" w:eastAsia="en-US" w:bidi="ar-SA"/>
        </w:rPr>
        <w:t>托其他人恢复或清理，所发生的金额从拟支付给承包人的款项中扣除。</w:t>
      </w:r>
    </w:p>
    <w:p w14:paraId="7B981796">
      <w:pPr>
        <w:kinsoku w:val="0"/>
        <w:autoSpaceDE w:val="0"/>
        <w:autoSpaceDN w:val="0"/>
        <w:adjustRightInd w:val="0"/>
        <w:snapToGrid w:val="0"/>
        <w:spacing w:before="2"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18.8</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施工队伍的撤离</w:t>
      </w:r>
    </w:p>
    <w:p w14:paraId="6FE73085">
      <w:pPr>
        <w:kinsoku w:val="0"/>
        <w:autoSpaceDE w:val="0"/>
        <w:autoSpaceDN w:val="0"/>
        <w:adjustRightInd w:val="0"/>
        <w:snapToGrid w:val="0"/>
        <w:spacing w:before="176" w:line="240" w:lineRule="auto"/>
        <w:ind w:left="2" w:right="2" w:firstLine="420"/>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工程接收证书颁发后的 56 天内，除了经监理人同</w:t>
      </w:r>
      <w:r>
        <w:rPr>
          <w:rFonts w:ascii="宋体" w:hAnsi="宋体" w:eastAsia="宋体" w:cs="宋体"/>
          <w:snapToGrid w:val="0"/>
          <w:color w:val="000000"/>
          <w:spacing w:val="13"/>
          <w:kern w:val="0"/>
          <w:sz w:val="20"/>
          <w:szCs w:val="20"/>
          <w:lang w:val="en-US" w:eastAsia="en-US" w:bidi="ar-SA"/>
        </w:rPr>
        <w:t>意需在缺陷责任期内继续工作和使用的人员、施</w:t>
      </w:r>
      <w:r>
        <w:rPr>
          <w:rFonts w:ascii="宋体" w:hAnsi="宋体" w:eastAsia="宋体" w:cs="宋体"/>
          <w:snapToGrid w:val="0"/>
          <w:color w:val="000000"/>
          <w:spacing w:val="19"/>
          <w:kern w:val="0"/>
          <w:sz w:val="20"/>
          <w:szCs w:val="20"/>
          <w:lang w:val="en-US" w:eastAsia="en-US" w:bidi="ar-SA"/>
        </w:rPr>
        <w:t>工设备和临时工程外，其余的人员、施工设备和临时工程均应撤离施工场地或拆除。</w:t>
      </w:r>
      <w:r>
        <w:rPr>
          <w:rFonts w:ascii="宋体" w:hAnsi="宋体" w:eastAsia="宋体" w:cs="宋体"/>
          <w:snapToGrid w:val="0"/>
          <w:color w:val="000000"/>
          <w:spacing w:val="18"/>
          <w:kern w:val="0"/>
          <w:sz w:val="20"/>
          <w:szCs w:val="20"/>
          <w:lang w:val="en-US" w:eastAsia="en-US" w:bidi="ar-SA"/>
        </w:rPr>
        <w:t>除合同另有约定</w:t>
      </w:r>
      <w:r>
        <w:rPr>
          <w:rFonts w:ascii="宋体" w:hAnsi="宋体" w:eastAsia="宋体" w:cs="宋体"/>
          <w:snapToGrid w:val="0"/>
          <w:color w:val="000000"/>
          <w:spacing w:val="9"/>
          <w:kern w:val="0"/>
          <w:sz w:val="20"/>
          <w:szCs w:val="20"/>
          <w:lang w:val="en-US" w:eastAsia="en-US" w:bidi="ar-SA"/>
        </w:rPr>
        <w:t>外，缺陷责任期满时，承包人的人员和施工设备应全部撤离施工场地。</w:t>
      </w:r>
    </w:p>
    <w:p w14:paraId="28E88EC0">
      <w:pPr>
        <w:kinsoku w:val="0"/>
        <w:autoSpaceDE w:val="0"/>
        <w:autoSpaceDN w:val="0"/>
        <w:adjustRightInd w:val="0"/>
        <w:snapToGrid w:val="0"/>
        <w:spacing w:before="4" w:line="240" w:lineRule="auto"/>
        <w:ind w:left="3519"/>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5"/>
          <w:szCs w:val="25"/>
          <w:lang w:val="en-US" w:eastAsia="en-US" w:bidi="ar-SA"/>
        </w:rPr>
        <w:t>19.</w:t>
      </w:r>
      <w:r>
        <w:rPr>
          <w:rFonts w:ascii="宋体" w:hAnsi="宋体" w:eastAsia="宋体" w:cs="宋体"/>
          <w:snapToGrid w:val="0"/>
          <w:color w:val="000000"/>
          <w:spacing w:val="22"/>
          <w:kern w:val="0"/>
          <w:sz w:val="25"/>
          <w:szCs w:val="25"/>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缺陷责任与保修责任</w:t>
      </w:r>
    </w:p>
    <w:p w14:paraId="4A6CCDBD">
      <w:pPr>
        <w:kinsoku w:val="0"/>
        <w:autoSpaceDE w:val="0"/>
        <w:autoSpaceDN w:val="0"/>
        <w:adjustRightInd w:val="0"/>
        <w:snapToGrid w:val="0"/>
        <w:spacing w:before="178"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19.1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缺陷责任期的起算时间</w:t>
      </w:r>
    </w:p>
    <w:p w14:paraId="3D60DC80">
      <w:pPr>
        <w:kinsoku w:val="0"/>
        <w:autoSpaceDE w:val="0"/>
        <w:autoSpaceDN w:val="0"/>
        <w:adjustRightInd w:val="0"/>
        <w:snapToGrid w:val="0"/>
        <w:spacing w:before="178" w:line="240" w:lineRule="auto"/>
        <w:ind w:right="194"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缺陷责任期自实际竣工日期起计算。在全部工程竣工验收前，已经发包人</w:t>
      </w:r>
      <w:r>
        <w:rPr>
          <w:rFonts w:ascii="宋体" w:hAnsi="宋体" w:eastAsia="宋体" w:cs="宋体"/>
          <w:snapToGrid w:val="0"/>
          <w:color w:val="000000"/>
          <w:spacing w:val="9"/>
          <w:kern w:val="0"/>
          <w:sz w:val="20"/>
          <w:szCs w:val="20"/>
          <w:lang w:val="en-US" w:eastAsia="en-US" w:bidi="ar-SA"/>
        </w:rPr>
        <w:t>提前验收的单位工程，其</w:t>
      </w:r>
      <w:r>
        <w:rPr>
          <w:rFonts w:ascii="宋体" w:hAnsi="宋体" w:eastAsia="宋体" w:cs="宋体"/>
          <w:snapToGrid w:val="0"/>
          <w:color w:val="000000"/>
          <w:spacing w:val="8"/>
          <w:kern w:val="0"/>
          <w:sz w:val="20"/>
          <w:szCs w:val="20"/>
          <w:lang w:val="en-US" w:eastAsia="en-US" w:bidi="ar-SA"/>
        </w:rPr>
        <w:t>缺陷责任期的起算日期相应提前。</w:t>
      </w:r>
    </w:p>
    <w:p w14:paraId="768BC893">
      <w:pPr>
        <w:kinsoku w:val="0"/>
        <w:autoSpaceDE w:val="0"/>
        <w:autoSpaceDN w:val="0"/>
        <w:adjustRightInd w:val="0"/>
        <w:snapToGrid w:val="0"/>
        <w:spacing w:before="2"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19.2</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缺陷责任</w:t>
      </w:r>
    </w:p>
    <w:p w14:paraId="32294768">
      <w:pPr>
        <w:kinsoku w:val="0"/>
        <w:autoSpaceDE w:val="0"/>
        <w:autoSpaceDN w:val="0"/>
        <w:adjustRightInd w:val="0"/>
        <w:snapToGrid w:val="0"/>
        <w:spacing w:before="178"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19.2.1</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承包人应在缺陷责任期内对已交付使用的工程承担缺陷责任。</w:t>
      </w:r>
    </w:p>
    <w:p w14:paraId="23D61AA5">
      <w:pPr>
        <w:kinsoku w:val="0"/>
        <w:autoSpaceDE w:val="0"/>
        <w:autoSpaceDN w:val="0"/>
        <w:adjustRightInd w:val="0"/>
        <w:snapToGrid w:val="0"/>
        <w:spacing w:before="161"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19.2.2</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缺陷责任期内，发包人对已接收使用的工程负责日常维护工作。发包人在使用过</w:t>
      </w:r>
      <w:r>
        <w:rPr>
          <w:rFonts w:ascii="宋体" w:hAnsi="宋体" w:eastAsia="宋体" w:cs="宋体"/>
          <w:snapToGrid w:val="0"/>
          <w:color w:val="000000"/>
          <w:spacing w:val="8"/>
          <w:kern w:val="0"/>
          <w:sz w:val="20"/>
          <w:szCs w:val="20"/>
          <w:lang w:val="en-US" w:eastAsia="en-US" w:bidi="ar-SA"/>
        </w:rPr>
        <w:t>程中，发</w:t>
      </w:r>
      <w:r>
        <w:rPr>
          <w:rFonts w:ascii="宋体" w:hAnsi="宋体" w:eastAsia="宋体" w:cs="宋体"/>
          <w:snapToGrid w:val="0"/>
          <w:color w:val="000000"/>
          <w:spacing w:val="14"/>
          <w:kern w:val="0"/>
          <w:sz w:val="20"/>
          <w:szCs w:val="20"/>
          <w:lang w:val="en-US" w:eastAsia="en-US" w:bidi="ar-SA"/>
        </w:rPr>
        <w:t>现已接收的工程存在新的缺陷或已修复的缺陷部位或部件又遭损坏的，承包人应负责修复，直至检验合</w:t>
      </w:r>
      <w:r>
        <w:rPr>
          <w:rFonts w:ascii="宋体" w:hAnsi="宋体" w:eastAsia="宋体" w:cs="宋体"/>
          <w:snapToGrid w:val="0"/>
          <w:color w:val="000000"/>
          <w:spacing w:val="5"/>
          <w:kern w:val="0"/>
          <w:sz w:val="20"/>
          <w:szCs w:val="20"/>
          <w:lang w:val="en-US" w:eastAsia="en-US" w:bidi="ar-SA"/>
        </w:rPr>
        <w:t>格为止。</w:t>
      </w:r>
    </w:p>
    <w:p w14:paraId="6F75CD7D">
      <w:pPr>
        <w:kinsoku w:val="0"/>
        <w:autoSpaceDE w:val="0"/>
        <w:autoSpaceDN w:val="0"/>
        <w:adjustRightInd w:val="0"/>
        <w:snapToGrid w:val="0"/>
        <w:spacing w:before="41" w:line="240" w:lineRule="auto"/>
        <w:ind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19.2.3</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监理人和承包人应共同查清缺陷和（或）损坏的原因。经查明属承包人原因造</w:t>
      </w:r>
      <w:r>
        <w:rPr>
          <w:rFonts w:ascii="宋体" w:hAnsi="宋体" w:eastAsia="宋体" w:cs="宋体"/>
          <w:snapToGrid w:val="0"/>
          <w:color w:val="000000"/>
          <w:spacing w:val="8"/>
          <w:kern w:val="0"/>
          <w:sz w:val="20"/>
          <w:szCs w:val="20"/>
          <w:lang w:val="en-US" w:eastAsia="en-US" w:bidi="ar-SA"/>
        </w:rPr>
        <w:t>成的，应由</w:t>
      </w:r>
      <w:r>
        <w:rPr>
          <w:rFonts w:ascii="宋体" w:hAnsi="宋体" w:eastAsia="宋体" w:cs="宋体"/>
          <w:snapToGrid w:val="0"/>
          <w:color w:val="000000"/>
          <w:spacing w:val="12"/>
          <w:kern w:val="0"/>
          <w:sz w:val="20"/>
          <w:szCs w:val="20"/>
          <w:lang w:val="en-US" w:eastAsia="en-US" w:bidi="ar-SA"/>
        </w:rPr>
        <w:t>承包人承担修复和查验的费用。经查验属发包人原因造成的，发</w:t>
      </w:r>
      <w:r>
        <w:rPr>
          <w:rFonts w:ascii="宋体" w:hAnsi="宋体" w:eastAsia="宋体" w:cs="宋体"/>
          <w:snapToGrid w:val="0"/>
          <w:color w:val="000000"/>
          <w:spacing w:val="11"/>
          <w:kern w:val="0"/>
          <w:sz w:val="20"/>
          <w:szCs w:val="20"/>
          <w:lang w:val="en-US" w:eastAsia="en-US" w:bidi="ar-SA"/>
        </w:rPr>
        <w:t>包人应承担修复和查验的费用， 并支付</w:t>
      </w:r>
      <w:r>
        <w:rPr>
          <w:rFonts w:ascii="宋体" w:hAnsi="宋体" w:eastAsia="宋体" w:cs="宋体"/>
          <w:snapToGrid w:val="0"/>
          <w:color w:val="000000"/>
          <w:spacing w:val="7"/>
          <w:kern w:val="0"/>
          <w:sz w:val="20"/>
          <w:szCs w:val="20"/>
          <w:lang w:val="en-US" w:eastAsia="en-US" w:bidi="ar-SA"/>
        </w:rPr>
        <w:t>承包人合理利润。</w:t>
      </w:r>
    </w:p>
    <w:p w14:paraId="06C7ADF4">
      <w:pPr>
        <w:kinsoku w:val="0"/>
        <w:autoSpaceDE w:val="0"/>
        <w:autoSpaceDN w:val="0"/>
        <w:adjustRightInd w:val="0"/>
        <w:snapToGrid w:val="0"/>
        <w:spacing w:before="161" w:line="240" w:lineRule="auto"/>
        <w:ind w:right="2" w:firstLine="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19.2.4</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承包人不能在合理时间内修复缺陷的，发包人可自行修复或委托其他人修复，所</w:t>
      </w:r>
      <w:r>
        <w:rPr>
          <w:rFonts w:ascii="宋体" w:hAnsi="宋体" w:eastAsia="宋体" w:cs="宋体"/>
          <w:snapToGrid w:val="0"/>
          <w:color w:val="000000"/>
          <w:spacing w:val="8"/>
          <w:kern w:val="0"/>
          <w:sz w:val="20"/>
          <w:szCs w:val="20"/>
          <w:lang w:val="en-US" w:eastAsia="en-US" w:bidi="ar-SA"/>
        </w:rPr>
        <w:t>需费用和</w:t>
      </w:r>
      <w:r>
        <w:rPr>
          <w:rFonts w:ascii="宋体" w:hAnsi="宋体" w:eastAsia="宋体" w:cs="宋体"/>
          <w:snapToGrid w:val="0"/>
          <w:color w:val="000000"/>
          <w:spacing w:val="6"/>
          <w:kern w:val="0"/>
          <w:sz w:val="20"/>
          <w:szCs w:val="20"/>
          <w:lang w:val="en-US" w:eastAsia="en-US" w:bidi="ar-SA"/>
        </w:rPr>
        <w:t>利润的承担，按第</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19.2.3 项约定办理。</w:t>
      </w:r>
    </w:p>
    <w:p w14:paraId="6D7F41BC">
      <w:pPr>
        <w:kinsoku w:val="0"/>
        <w:autoSpaceDE w:val="0"/>
        <w:autoSpaceDN w:val="0"/>
        <w:adjustRightInd w:val="0"/>
        <w:snapToGrid w:val="0"/>
        <w:spacing w:before="166"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19.3</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缺陷责任期的延长</w:t>
      </w:r>
    </w:p>
    <w:p w14:paraId="73C155A9">
      <w:pPr>
        <w:kinsoku w:val="0"/>
        <w:autoSpaceDE w:val="0"/>
        <w:autoSpaceDN w:val="0"/>
        <w:adjustRightInd w:val="0"/>
        <w:snapToGrid w:val="0"/>
        <w:spacing w:before="175" w:line="240" w:lineRule="auto"/>
        <w:ind w:right="229" w:firstLine="44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由于承包人原因造成某项缺陷或损坏使某项工程或工程设备不能按原定目标使用而需要再次检查、</w:t>
      </w:r>
      <w:r>
        <w:rPr>
          <w:rFonts w:ascii="宋体" w:hAnsi="宋体" w:eastAsia="宋体" w:cs="宋体"/>
          <w:snapToGrid w:val="0"/>
          <w:color w:val="000000"/>
          <w:spacing w:val="9"/>
          <w:kern w:val="0"/>
          <w:sz w:val="20"/>
          <w:szCs w:val="20"/>
          <w:lang w:val="en-US" w:eastAsia="en-US" w:bidi="ar-SA"/>
        </w:rPr>
        <w:t>检验和修复的，发包人有权要求承包人相应延长缺陷责任期，但缺陷责任期最长不超过 2 年。</w:t>
      </w:r>
    </w:p>
    <w:p w14:paraId="1C1419EE">
      <w:pPr>
        <w:kinsoku w:val="0"/>
        <w:autoSpaceDE w:val="0"/>
        <w:autoSpaceDN w:val="0"/>
        <w:adjustRightInd w:val="0"/>
        <w:snapToGrid w:val="0"/>
        <w:spacing w:before="5"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19.4</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进一步试验和试运行</w:t>
      </w:r>
    </w:p>
    <w:p w14:paraId="28C3588A">
      <w:pPr>
        <w:kinsoku w:val="0"/>
        <w:autoSpaceDE w:val="0"/>
        <w:autoSpaceDN w:val="0"/>
        <w:adjustRightInd w:val="0"/>
        <w:snapToGrid w:val="0"/>
        <w:spacing w:before="176" w:line="240" w:lineRule="auto"/>
        <w:ind w:right="194"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任何一项缺陷或损坏修复后，经检查证明其影响了工程或工程设备的使用性</w:t>
      </w:r>
      <w:r>
        <w:rPr>
          <w:rFonts w:ascii="宋体" w:hAnsi="宋体" w:eastAsia="宋体" w:cs="宋体"/>
          <w:snapToGrid w:val="0"/>
          <w:color w:val="000000"/>
          <w:spacing w:val="9"/>
          <w:kern w:val="0"/>
          <w:sz w:val="20"/>
          <w:szCs w:val="20"/>
          <w:lang w:val="en-US" w:eastAsia="en-US" w:bidi="ar-SA"/>
        </w:rPr>
        <w:t>能，承包人应重新进行合同约定的试验和试运行，试验和试运行的全部费用应由责任方承担。</w:t>
      </w:r>
    </w:p>
    <w:p w14:paraId="7AB8E8D9">
      <w:pPr>
        <w:kinsoku w:val="0"/>
        <w:autoSpaceDE w:val="0"/>
        <w:autoSpaceDN w:val="0"/>
        <w:adjustRightInd w:val="0"/>
        <w:snapToGrid w:val="0"/>
        <w:spacing w:before="4" w:line="240" w:lineRule="auto"/>
        <w:ind w:left="498"/>
        <w:jc w:val="left"/>
        <w:textAlignment w:val="baseline"/>
        <w:outlineLvl w:val="3"/>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19.5</w:t>
      </w:r>
      <w:r>
        <w:rPr>
          <w:rFonts w:ascii="宋体" w:hAnsi="宋体" w:eastAsia="宋体" w:cs="宋体"/>
          <w:snapToGrid w:val="0"/>
          <w:color w:val="000000"/>
          <w:spacing w:val="-3"/>
          <w:kern w:val="0"/>
          <w:sz w:val="24"/>
          <w:szCs w:val="24"/>
          <w:lang w:val="en-US" w:eastAsia="en-US" w:bidi="ar-SA"/>
        </w:rPr>
        <w:t xml:space="preserve">    承包人的进入权</w:t>
      </w:r>
    </w:p>
    <w:p w14:paraId="6D518C75">
      <w:pPr>
        <w:kinsoku w:val="0"/>
        <w:autoSpaceDE w:val="0"/>
        <w:autoSpaceDN w:val="0"/>
        <w:adjustRightInd w:val="0"/>
        <w:snapToGrid w:val="0"/>
        <w:spacing w:before="177" w:line="240" w:lineRule="auto"/>
        <w:ind w:left="5" w:right="405" w:firstLine="4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缺陷责任期内承包人为缺陷修复工作需要，有权进入工程现场，但应</w:t>
      </w:r>
      <w:r>
        <w:rPr>
          <w:rFonts w:ascii="宋体" w:hAnsi="宋体" w:eastAsia="宋体" w:cs="宋体"/>
          <w:snapToGrid w:val="0"/>
          <w:color w:val="000000"/>
          <w:spacing w:val="9"/>
          <w:kern w:val="0"/>
          <w:sz w:val="20"/>
          <w:szCs w:val="20"/>
          <w:lang w:val="en-US" w:eastAsia="en-US" w:bidi="ar-SA"/>
        </w:rPr>
        <w:t>遵守发包人的保安和保密规</w:t>
      </w:r>
      <w:r>
        <w:rPr>
          <w:rFonts w:ascii="宋体" w:hAnsi="宋体" w:eastAsia="宋体" w:cs="宋体"/>
          <w:snapToGrid w:val="0"/>
          <w:color w:val="000000"/>
          <w:spacing w:val="-3"/>
          <w:kern w:val="0"/>
          <w:sz w:val="20"/>
          <w:szCs w:val="20"/>
          <w:lang w:val="en-US" w:eastAsia="en-US" w:bidi="ar-SA"/>
        </w:rPr>
        <w:t>定。</w:t>
      </w:r>
    </w:p>
    <w:p w14:paraId="715D5B26">
      <w:pPr>
        <w:kinsoku w:val="0"/>
        <w:autoSpaceDE w:val="0"/>
        <w:autoSpaceDN w:val="0"/>
        <w:adjustRightInd w:val="0"/>
        <w:snapToGrid w:val="0"/>
        <w:spacing w:before="2"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4"/>
          <w:szCs w:val="24"/>
          <w:lang w:val="en-US" w:eastAsia="en-US" w:bidi="ar-SA"/>
        </w:rPr>
        <w:t>19.6</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缺陷责任期终止证书</w:t>
      </w:r>
    </w:p>
    <w:p w14:paraId="42EB61D5">
      <w:pPr>
        <w:kinsoku w:val="0"/>
        <w:autoSpaceDE w:val="0"/>
        <w:autoSpaceDN w:val="0"/>
        <w:adjustRightInd w:val="0"/>
        <w:snapToGrid w:val="0"/>
        <w:spacing w:before="176" w:line="240" w:lineRule="auto"/>
        <w:ind w:right="88"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在第</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1.1.4.5</w:t>
      </w:r>
      <w:r>
        <w:rPr>
          <w:rFonts w:ascii="宋体" w:hAnsi="宋体" w:eastAsia="宋体" w:cs="宋体"/>
          <w:snapToGrid w:val="0"/>
          <w:color w:val="000000"/>
          <w:spacing w:val="53"/>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目约定的缺陷责任期，包括根据</w:t>
      </w:r>
      <w:r>
        <w:rPr>
          <w:rFonts w:ascii="宋体" w:hAnsi="宋体" w:eastAsia="宋体" w:cs="宋体"/>
          <w:snapToGrid w:val="0"/>
          <w:color w:val="000000"/>
          <w:spacing w:val="6"/>
          <w:kern w:val="0"/>
          <w:sz w:val="20"/>
          <w:szCs w:val="20"/>
          <w:lang w:val="en-US" w:eastAsia="en-US" w:bidi="ar-SA"/>
        </w:rPr>
        <w:t>第 19.3 款延长的期限终止后 14</w:t>
      </w:r>
      <w:r>
        <w:rPr>
          <w:rFonts w:ascii="宋体" w:hAnsi="宋体" w:eastAsia="宋体" w:cs="宋体"/>
          <w:snapToGrid w:val="0"/>
          <w:color w:val="000000"/>
          <w:spacing w:val="19"/>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天内，由监理人向</w:t>
      </w:r>
      <w:r>
        <w:rPr>
          <w:rFonts w:ascii="宋体" w:hAnsi="宋体" w:eastAsia="宋体" w:cs="宋体"/>
          <w:snapToGrid w:val="0"/>
          <w:color w:val="000000"/>
          <w:spacing w:val="9"/>
          <w:kern w:val="0"/>
          <w:sz w:val="20"/>
          <w:szCs w:val="20"/>
          <w:lang w:val="en-US" w:eastAsia="en-US" w:bidi="ar-SA"/>
        </w:rPr>
        <w:t>承包人出具经发包人签认的缺陷责任期终止证书，并退还剩余的质量保证金。</w:t>
      </w:r>
    </w:p>
    <w:p w14:paraId="39E1535F">
      <w:pPr>
        <w:kinsoku w:val="0"/>
        <w:autoSpaceDE w:val="0"/>
        <w:autoSpaceDN w:val="0"/>
        <w:adjustRightInd w:val="0"/>
        <w:snapToGrid w:val="0"/>
        <w:spacing w:before="6" w:line="240" w:lineRule="auto"/>
        <w:ind w:left="498"/>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8"/>
          <w:kern w:val="0"/>
          <w:sz w:val="24"/>
          <w:szCs w:val="24"/>
          <w:lang w:val="en-US" w:eastAsia="en-US" w:bidi="ar-SA"/>
        </w:rPr>
        <w:t>19.7</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8"/>
          <w:kern w:val="0"/>
          <w:sz w:val="24"/>
          <w:szCs w:val="24"/>
          <w:lang w:val="en-US" w:eastAsia="en-US" w:bidi="ar-SA"/>
        </w:rPr>
        <w:t>保修责任</w:t>
      </w:r>
    </w:p>
    <w:p w14:paraId="28022A54">
      <w:pPr>
        <w:kinsoku w:val="0"/>
        <w:autoSpaceDE w:val="0"/>
        <w:autoSpaceDN w:val="0"/>
        <w:adjustRightInd w:val="0"/>
        <w:snapToGrid w:val="0"/>
        <w:spacing w:before="175" w:line="240" w:lineRule="auto"/>
        <w:ind w:right="2" w:firstLine="420"/>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合同当事人根据有关法律规定，在专用合同条款中约定工程质量保修范围、期限和责任。保修期自</w:t>
      </w:r>
      <w:r>
        <w:rPr>
          <w:rFonts w:ascii="宋体" w:hAnsi="宋体" w:eastAsia="宋体" w:cs="宋体"/>
          <w:snapToGrid w:val="0"/>
          <w:color w:val="000000"/>
          <w:spacing w:val="13"/>
          <w:kern w:val="0"/>
          <w:sz w:val="20"/>
          <w:szCs w:val="20"/>
          <w:lang w:val="en-US" w:eastAsia="en-US" w:bidi="ar-SA"/>
        </w:rPr>
        <w:t>实际竣工日期起计算。在全部工程竣工验收前，</w:t>
      </w:r>
      <w:r>
        <w:rPr>
          <w:rFonts w:ascii="宋体" w:hAnsi="宋体" w:eastAsia="宋体" w:cs="宋体"/>
          <w:snapToGrid w:val="0"/>
          <w:color w:val="000000"/>
          <w:spacing w:val="-54"/>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已经发包人提前验收的单位工程，其保修期的起算日期</w:t>
      </w:r>
      <w:r>
        <w:rPr>
          <w:rFonts w:ascii="宋体" w:hAnsi="宋体" w:eastAsia="宋体" w:cs="宋体"/>
          <w:snapToGrid w:val="0"/>
          <w:color w:val="000000"/>
          <w:spacing w:val="5"/>
          <w:kern w:val="0"/>
          <w:sz w:val="20"/>
          <w:szCs w:val="20"/>
          <w:lang w:val="en-US" w:eastAsia="en-US" w:bidi="ar-SA"/>
        </w:rPr>
        <w:t>相应提前。</w:t>
      </w:r>
    </w:p>
    <w:p w14:paraId="7F17F2FE">
      <w:pPr>
        <w:kinsoku w:val="0"/>
        <w:autoSpaceDE w:val="0"/>
        <w:autoSpaceDN w:val="0"/>
        <w:adjustRightInd w:val="0"/>
        <w:snapToGrid w:val="0"/>
        <w:spacing w:before="3" w:line="240" w:lineRule="auto"/>
        <w:ind w:left="4346"/>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5"/>
          <w:szCs w:val="25"/>
          <w:lang w:val="en-US" w:eastAsia="en-US" w:bidi="ar-SA"/>
        </w:rPr>
        <w:t>20.</w:t>
      </w:r>
      <w:r>
        <w:rPr>
          <w:rFonts w:ascii="宋体" w:hAnsi="宋体" w:eastAsia="宋体" w:cs="宋体"/>
          <w:snapToGrid w:val="0"/>
          <w:color w:val="000000"/>
          <w:spacing w:val="21"/>
          <w:kern w:val="0"/>
          <w:sz w:val="25"/>
          <w:szCs w:val="25"/>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保险</w:t>
      </w:r>
    </w:p>
    <w:p w14:paraId="19E67A66">
      <w:pPr>
        <w:kinsoku w:val="0"/>
        <w:autoSpaceDE w:val="0"/>
        <w:autoSpaceDN w:val="0"/>
        <w:adjustRightInd w:val="0"/>
        <w:snapToGrid w:val="0"/>
        <w:spacing w:before="177"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20.1</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工程保险</w:t>
      </w:r>
    </w:p>
    <w:p w14:paraId="7BB59CAF">
      <w:pPr>
        <w:kinsoku w:val="0"/>
        <w:autoSpaceDE w:val="0"/>
        <w:autoSpaceDN w:val="0"/>
        <w:adjustRightInd w:val="0"/>
        <w:snapToGrid w:val="0"/>
        <w:spacing w:before="173" w:line="240" w:lineRule="auto"/>
        <w:ind w:right="2" w:firstLine="431"/>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除专用合同条款另有约定外，承包人应以发包人和承包人的共同名义向双方同意的保险人投</w:t>
      </w:r>
      <w:r>
        <w:rPr>
          <w:rFonts w:ascii="宋体" w:hAnsi="宋体" w:eastAsia="宋体" w:cs="宋体"/>
          <w:snapToGrid w:val="0"/>
          <w:color w:val="000000"/>
          <w:spacing w:val="13"/>
          <w:kern w:val="0"/>
          <w:sz w:val="20"/>
          <w:szCs w:val="20"/>
          <w:lang w:val="en-US" w:eastAsia="en-US" w:bidi="ar-SA"/>
        </w:rPr>
        <w:t>保建筑</w:t>
      </w:r>
      <w:r>
        <w:rPr>
          <w:rFonts w:ascii="宋体" w:hAnsi="宋体" w:eastAsia="宋体" w:cs="宋体"/>
          <w:snapToGrid w:val="0"/>
          <w:color w:val="000000"/>
          <w:spacing w:val="14"/>
          <w:kern w:val="0"/>
          <w:sz w:val="20"/>
          <w:szCs w:val="20"/>
          <w:lang w:val="en-US" w:eastAsia="en-US" w:bidi="ar-SA"/>
        </w:rPr>
        <w:t>工程一切险、安装工程一切险。其具体的投保内容、保险金额、保险费率、保险期限等有关内容在专用</w:t>
      </w:r>
      <w:r>
        <w:rPr>
          <w:rFonts w:ascii="宋体" w:hAnsi="宋体" w:eastAsia="宋体" w:cs="宋体"/>
          <w:snapToGrid w:val="0"/>
          <w:color w:val="000000"/>
          <w:spacing w:val="7"/>
          <w:kern w:val="0"/>
          <w:sz w:val="20"/>
          <w:szCs w:val="20"/>
          <w:lang w:val="en-US" w:eastAsia="en-US" w:bidi="ar-SA"/>
        </w:rPr>
        <w:t>合同条款中约定。</w:t>
      </w:r>
    </w:p>
    <w:p w14:paraId="2132DB68">
      <w:pPr>
        <w:kinsoku w:val="0"/>
        <w:autoSpaceDE w:val="0"/>
        <w:autoSpaceDN w:val="0"/>
        <w:adjustRightInd w:val="0"/>
        <w:snapToGrid w:val="0"/>
        <w:spacing w:before="1"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20.2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人员工伤事故的保险</w:t>
      </w:r>
    </w:p>
    <w:p w14:paraId="227E64F4">
      <w:pPr>
        <w:kinsoku w:val="0"/>
        <w:autoSpaceDE w:val="0"/>
        <w:autoSpaceDN w:val="0"/>
        <w:adjustRightInd w:val="0"/>
        <w:snapToGrid w:val="0"/>
        <w:spacing w:before="176"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20.2.1</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承包人员工伤事故的保险</w:t>
      </w:r>
    </w:p>
    <w:p w14:paraId="5670D7EE">
      <w:pPr>
        <w:kinsoku w:val="0"/>
        <w:autoSpaceDE w:val="0"/>
        <w:autoSpaceDN w:val="0"/>
        <w:adjustRightInd w:val="0"/>
        <w:snapToGrid w:val="0"/>
        <w:spacing w:before="163" w:line="240" w:lineRule="auto"/>
        <w:ind w:right="194"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承包人应依照有关法律规定参加工伤保险，为其履行合同所雇佣的全部人</w:t>
      </w:r>
      <w:r>
        <w:rPr>
          <w:rFonts w:ascii="宋体" w:hAnsi="宋体" w:eastAsia="宋体" w:cs="宋体"/>
          <w:snapToGrid w:val="0"/>
          <w:color w:val="000000"/>
          <w:spacing w:val="9"/>
          <w:kern w:val="0"/>
          <w:sz w:val="20"/>
          <w:szCs w:val="20"/>
          <w:lang w:val="en-US" w:eastAsia="en-US" w:bidi="ar-SA"/>
        </w:rPr>
        <w:t>员，缴纳工伤保险费，并</w:t>
      </w:r>
      <w:r>
        <w:rPr>
          <w:rFonts w:ascii="宋体" w:hAnsi="宋体" w:eastAsia="宋体" w:cs="宋体"/>
          <w:snapToGrid w:val="0"/>
          <w:color w:val="000000"/>
          <w:spacing w:val="8"/>
          <w:kern w:val="0"/>
          <w:sz w:val="20"/>
          <w:szCs w:val="20"/>
          <w:lang w:val="en-US" w:eastAsia="en-US" w:bidi="ar-SA"/>
        </w:rPr>
        <w:t>要求其分包人也进行此项保险。</w:t>
      </w:r>
    </w:p>
    <w:p w14:paraId="6DC6F898">
      <w:pPr>
        <w:kinsoku w:val="0"/>
        <w:autoSpaceDE w:val="0"/>
        <w:autoSpaceDN w:val="0"/>
        <w:adjustRightInd w:val="0"/>
        <w:snapToGrid w:val="0"/>
        <w:spacing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20.2.2</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发包人员工伤事故的保险</w:t>
      </w:r>
    </w:p>
    <w:p w14:paraId="7C8B2C88">
      <w:pPr>
        <w:kinsoku w:val="0"/>
        <w:autoSpaceDE w:val="0"/>
        <w:autoSpaceDN w:val="0"/>
        <w:adjustRightInd w:val="0"/>
        <w:snapToGrid w:val="0"/>
        <w:spacing w:before="165" w:line="240" w:lineRule="auto"/>
        <w:ind w:left="1" w:right="194" w:firstLine="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发包人应依照有关法律规定参加工伤保险，为其现场机构雇佣的全</w:t>
      </w:r>
      <w:r>
        <w:rPr>
          <w:rFonts w:ascii="宋体" w:hAnsi="宋体" w:eastAsia="宋体" w:cs="宋体"/>
          <w:snapToGrid w:val="0"/>
          <w:color w:val="000000"/>
          <w:spacing w:val="9"/>
          <w:kern w:val="0"/>
          <w:sz w:val="20"/>
          <w:szCs w:val="20"/>
          <w:lang w:val="en-US" w:eastAsia="en-US" w:bidi="ar-SA"/>
        </w:rPr>
        <w:t>部人员，缴纳工伤保险费，并要</w:t>
      </w:r>
      <w:r>
        <w:rPr>
          <w:rFonts w:ascii="宋体" w:hAnsi="宋体" w:eastAsia="宋体" w:cs="宋体"/>
          <w:snapToGrid w:val="0"/>
          <w:color w:val="000000"/>
          <w:spacing w:val="8"/>
          <w:kern w:val="0"/>
          <w:sz w:val="20"/>
          <w:szCs w:val="20"/>
          <w:lang w:val="en-US" w:eastAsia="en-US" w:bidi="ar-SA"/>
        </w:rPr>
        <w:t>求其监理人也进行此项保险。</w:t>
      </w:r>
    </w:p>
    <w:p w14:paraId="61E19A34">
      <w:pPr>
        <w:kinsoku w:val="0"/>
        <w:autoSpaceDE w:val="0"/>
        <w:autoSpaceDN w:val="0"/>
        <w:adjustRightInd w:val="0"/>
        <w:snapToGrid w:val="0"/>
        <w:spacing w:before="1"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20.3</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人身意外伤害险</w:t>
      </w:r>
    </w:p>
    <w:p w14:paraId="04E5D96D">
      <w:pPr>
        <w:kinsoku w:val="0"/>
        <w:autoSpaceDE w:val="0"/>
        <w:autoSpaceDN w:val="0"/>
        <w:adjustRightInd w:val="0"/>
        <w:snapToGrid w:val="0"/>
        <w:spacing w:before="42" w:line="240" w:lineRule="auto"/>
        <w:ind w:left="12" w:right="32" w:firstLine="4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20.3.1</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发包人应在整个施工期间为其</w:t>
      </w:r>
      <w:r>
        <w:rPr>
          <w:rFonts w:ascii="宋体" w:hAnsi="宋体" w:eastAsia="宋体" w:cs="宋体"/>
          <w:snapToGrid w:val="0"/>
          <w:color w:val="000000"/>
          <w:spacing w:val="8"/>
          <w:kern w:val="0"/>
          <w:sz w:val="20"/>
          <w:szCs w:val="20"/>
          <w:lang w:val="en-US" w:eastAsia="en-US" w:bidi="ar-SA"/>
        </w:rPr>
        <w:t>现场机构雇用的全部人员，投保人身意外伤害险，缴纳保险费，并要求其监理人也进行此项保险。</w:t>
      </w:r>
    </w:p>
    <w:p w14:paraId="6941F349">
      <w:pPr>
        <w:kinsoku w:val="0"/>
        <w:autoSpaceDE w:val="0"/>
        <w:autoSpaceDN w:val="0"/>
        <w:adjustRightInd w:val="0"/>
        <w:snapToGrid w:val="0"/>
        <w:spacing w:before="161" w:line="240" w:lineRule="auto"/>
        <w:ind w:left="12" w:right="32" w:firstLine="4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20.3.2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承包人应在整个施工期间为其现场机</w:t>
      </w:r>
      <w:r>
        <w:rPr>
          <w:rFonts w:ascii="宋体" w:hAnsi="宋体" w:eastAsia="宋体" w:cs="宋体"/>
          <w:snapToGrid w:val="0"/>
          <w:color w:val="000000"/>
          <w:spacing w:val="8"/>
          <w:kern w:val="0"/>
          <w:sz w:val="20"/>
          <w:szCs w:val="20"/>
          <w:lang w:val="en-US" w:eastAsia="en-US" w:bidi="ar-SA"/>
        </w:rPr>
        <w:t>构雇用的全部人员，投保人身意外伤害险，缴纳保险费，并要求其分包人也进行此项保险。</w:t>
      </w:r>
    </w:p>
    <w:p w14:paraId="7580CA6F">
      <w:pPr>
        <w:kinsoku w:val="0"/>
        <w:autoSpaceDE w:val="0"/>
        <w:autoSpaceDN w:val="0"/>
        <w:adjustRightInd w:val="0"/>
        <w:snapToGrid w:val="0"/>
        <w:spacing w:before="168"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20.4</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第三者责任险</w:t>
      </w:r>
    </w:p>
    <w:p w14:paraId="53EB6ADB">
      <w:pPr>
        <w:kinsoku w:val="0"/>
        <w:autoSpaceDE w:val="0"/>
        <w:autoSpaceDN w:val="0"/>
        <w:adjustRightInd w:val="0"/>
        <w:snapToGrid w:val="0"/>
        <w:spacing w:before="174" w:line="240" w:lineRule="auto"/>
        <w:ind w:right="1"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20.4.1</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第三者责任系指在保险期内，对因工程意外事故造成的、依法应由被保险人负责的工地上</w:t>
      </w:r>
      <w:r>
        <w:rPr>
          <w:rFonts w:ascii="宋体" w:hAnsi="宋体" w:eastAsia="宋体" w:cs="宋体"/>
          <w:snapToGrid w:val="0"/>
          <w:color w:val="000000"/>
          <w:spacing w:val="13"/>
          <w:kern w:val="0"/>
          <w:sz w:val="20"/>
          <w:szCs w:val="20"/>
          <w:lang w:val="en-US" w:eastAsia="en-US" w:bidi="ar-SA"/>
        </w:rPr>
        <w:t>及毗邻地区的第三者人身伤亡、疾病或财产损失（本工程除外</w:t>
      </w:r>
      <w:r>
        <w:rPr>
          <w:rFonts w:ascii="宋体" w:hAnsi="宋体" w:eastAsia="宋体" w:cs="宋体"/>
          <w:snapToGrid w:val="0"/>
          <w:color w:val="000000"/>
          <w:spacing w:val="-8"/>
          <w:kern w:val="0"/>
          <w:sz w:val="20"/>
          <w:szCs w:val="20"/>
          <w:lang w:val="en-US" w:eastAsia="en-US" w:bidi="ar-SA"/>
        </w:rPr>
        <w:t>）</w:t>
      </w:r>
      <w:r>
        <w:rPr>
          <w:rFonts w:ascii="宋体" w:hAnsi="宋体" w:eastAsia="宋体" w:cs="宋体"/>
          <w:snapToGrid w:val="0"/>
          <w:color w:val="000000"/>
          <w:spacing w:val="-5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w:t>
      </w:r>
      <w:r>
        <w:rPr>
          <w:rFonts w:ascii="宋体" w:hAnsi="宋体" w:eastAsia="宋体" w:cs="宋体"/>
          <w:snapToGrid w:val="0"/>
          <w:color w:val="000000"/>
          <w:spacing w:val="-57"/>
          <w:kern w:val="0"/>
          <w:sz w:val="20"/>
          <w:szCs w:val="20"/>
          <w:lang w:val="en-US" w:eastAsia="en-US" w:bidi="ar-SA"/>
        </w:rPr>
        <w:t xml:space="preserve"> </w:t>
      </w:r>
      <w:r>
        <w:rPr>
          <w:rFonts w:ascii="宋体" w:hAnsi="宋体" w:eastAsia="宋体" w:cs="宋体"/>
          <w:snapToGrid w:val="0"/>
          <w:color w:val="000000"/>
          <w:spacing w:val="13"/>
          <w:kern w:val="0"/>
          <w:sz w:val="20"/>
          <w:szCs w:val="20"/>
          <w:lang w:val="en-US" w:eastAsia="en-US" w:bidi="ar-SA"/>
        </w:rPr>
        <w:t>以及被保险人因此而支付的诉讼费用</w:t>
      </w:r>
      <w:r>
        <w:rPr>
          <w:rFonts w:ascii="宋体" w:hAnsi="宋体" w:eastAsia="宋体" w:cs="宋体"/>
          <w:snapToGrid w:val="0"/>
          <w:color w:val="000000"/>
          <w:spacing w:val="9"/>
          <w:kern w:val="0"/>
          <w:sz w:val="20"/>
          <w:szCs w:val="20"/>
          <w:lang w:val="en-US" w:eastAsia="en-US" w:bidi="ar-SA"/>
        </w:rPr>
        <w:t>和事先经保险人书面同意支付的其他费用等赔偿责任。</w:t>
      </w:r>
    </w:p>
    <w:p w14:paraId="366CC9D2">
      <w:pPr>
        <w:kinsoku w:val="0"/>
        <w:autoSpaceDE w:val="0"/>
        <w:autoSpaceDN w:val="0"/>
        <w:adjustRightInd w:val="0"/>
        <w:snapToGrid w:val="0"/>
        <w:spacing w:before="165" w:line="240" w:lineRule="auto"/>
        <w:ind w:left="4"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20.4.2   在缺陷责任期终止证书颁发前，承包人应以承包人和发包人的共</w:t>
      </w:r>
      <w:r>
        <w:rPr>
          <w:rFonts w:ascii="宋体" w:hAnsi="宋体" w:eastAsia="宋体" w:cs="宋体"/>
          <w:snapToGrid w:val="0"/>
          <w:color w:val="000000"/>
          <w:spacing w:val="11"/>
          <w:kern w:val="0"/>
          <w:sz w:val="20"/>
          <w:szCs w:val="20"/>
          <w:lang w:val="en-US" w:eastAsia="en-US" w:bidi="ar-SA"/>
        </w:rPr>
        <w:t>同名义，投保第</w:t>
      </w:r>
      <w:r>
        <w:rPr>
          <w:rFonts w:ascii="宋体" w:hAnsi="宋体" w:eastAsia="宋体" w:cs="宋体"/>
          <w:snapToGrid w:val="0"/>
          <w:color w:val="000000"/>
          <w:spacing w:val="23"/>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20.4.1</w:t>
      </w:r>
      <w:r>
        <w:rPr>
          <w:rFonts w:ascii="宋体" w:hAnsi="宋体" w:eastAsia="宋体" w:cs="宋体"/>
          <w:snapToGrid w:val="0"/>
          <w:color w:val="000000"/>
          <w:spacing w:val="9"/>
          <w:kern w:val="0"/>
          <w:sz w:val="20"/>
          <w:szCs w:val="20"/>
          <w:lang w:val="en-US" w:eastAsia="en-US" w:bidi="ar-SA"/>
        </w:rPr>
        <w:t>项约定的第三者责任险，其保险费率、保险金额等有关内容在专用合同条款中约定。</w:t>
      </w:r>
    </w:p>
    <w:p w14:paraId="4A3F0F0C">
      <w:pPr>
        <w:kinsoku w:val="0"/>
        <w:autoSpaceDE w:val="0"/>
        <w:autoSpaceDN w:val="0"/>
        <w:adjustRightInd w:val="0"/>
        <w:snapToGrid w:val="0"/>
        <w:spacing w:before="166"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20.5</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其他保险</w:t>
      </w:r>
    </w:p>
    <w:p w14:paraId="372FE48D">
      <w:pPr>
        <w:kinsoku w:val="0"/>
        <w:autoSpaceDE w:val="0"/>
        <w:autoSpaceDN w:val="0"/>
        <w:adjustRightInd w:val="0"/>
        <w:snapToGrid w:val="0"/>
        <w:spacing w:before="177" w:line="240" w:lineRule="auto"/>
        <w:ind w:left="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除专用合同条款另有约定外，承包人应为其施工设备、进场的材料和工程设备等办理保险。</w:t>
      </w:r>
    </w:p>
    <w:p w14:paraId="6BACB9C0">
      <w:pPr>
        <w:kinsoku w:val="0"/>
        <w:autoSpaceDE w:val="0"/>
        <w:autoSpaceDN w:val="0"/>
        <w:adjustRightInd w:val="0"/>
        <w:snapToGrid w:val="0"/>
        <w:spacing w:before="167"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20.6</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对各项保险的一般要求</w:t>
      </w:r>
    </w:p>
    <w:p w14:paraId="64E842A6">
      <w:pPr>
        <w:kinsoku w:val="0"/>
        <w:autoSpaceDE w:val="0"/>
        <w:autoSpaceDN w:val="0"/>
        <w:adjustRightInd w:val="0"/>
        <w:snapToGrid w:val="0"/>
        <w:spacing w:before="174"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20.6.1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保险凭证</w:t>
      </w:r>
    </w:p>
    <w:p w14:paraId="3D039DB8">
      <w:pPr>
        <w:kinsoku w:val="0"/>
        <w:autoSpaceDE w:val="0"/>
        <w:autoSpaceDN w:val="0"/>
        <w:adjustRightInd w:val="0"/>
        <w:snapToGrid w:val="0"/>
        <w:spacing w:before="163" w:line="240" w:lineRule="auto"/>
        <w:ind w:left="4" w:right="193" w:firstLine="41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承包人应在专用合同条款约定的期限内向发包人提交各项保险生效的证据</w:t>
      </w:r>
      <w:r>
        <w:rPr>
          <w:rFonts w:ascii="宋体" w:hAnsi="宋体" w:eastAsia="宋体" w:cs="宋体"/>
          <w:snapToGrid w:val="0"/>
          <w:color w:val="000000"/>
          <w:spacing w:val="9"/>
          <w:kern w:val="0"/>
          <w:sz w:val="20"/>
          <w:szCs w:val="20"/>
          <w:lang w:val="en-US" w:eastAsia="en-US" w:bidi="ar-SA"/>
        </w:rPr>
        <w:t>和保险单副本，保险单必</w:t>
      </w:r>
      <w:r>
        <w:rPr>
          <w:rFonts w:ascii="宋体" w:hAnsi="宋体" w:eastAsia="宋体" w:cs="宋体"/>
          <w:snapToGrid w:val="0"/>
          <w:color w:val="000000"/>
          <w:spacing w:val="8"/>
          <w:kern w:val="0"/>
          <w:sz w:val="20"/>
          <w:szCs w:val="20"/>
          <w:lang w:val="en-US" w:eastAsia="en-US" w:bidi="ar-SA"/>
        </w:rPr>
        <w:t>须与专用合同条款约定的条件保持一致。</w:t>
      </w:r>
    </w:p>
    <w:p w14:paraId="1B0129CC">
      <w:pPr>
        <w:kinsoku w:val="0"/>
        <w:autoSpaceDE w:val="0"/>
        <w:autoSpaceDN w:val="0"/>
        <w:adjustRightInd w:val="0"/>
        <w:snapToGrid w:val="0"/>
        <w:spacing w:before="1"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20.6.2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保险合同条款的变动</w:t>
      </w:r>
    </w:p>
    <w:p w14:paraId="76624726">
      <w:pPr>
        <w:kinsoku w:val="0"/>
        <w:autoSpaceDE w:val="0"/>
        <w:autoSpaceDN w:val="0"/>
        <w:adjustRightInd w:val="0"/>
        <w:snapToGrid w:val="0"/>
        <w:spacing w:before="161" w:line="240" w:lineRule="auto"/>
        <w:ind w:right="193"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承包人需要变动保险合同条款时，应事先征得发包人同意，并通知监理人</w:t>
      </w:r>
      <w:r>
        <w:rPr>
          <w:rFonts w:ascii="宋体" w:hAnsi="宋体" w:eastAsia="宋体" w:cs="宋体"/>
          <w:snapToGrid w:val="0"/>
          <w:color w:val="000000"/>
          <w:spacing w:val="9"/>
          <w:kern w:val="0"/>
          <w:sz w:val="20"/>
          <w:szCs w:val="20"/>
          <w:lang w:val="en-US" w:eastAsia="en-US" w:bidi="ar-SA"/>
        </w:rPr>
        <w:t>。保险人作出变动的，承包人应在收到保险人通知后立即通知发包人和监理人。</w:t>
      </w:r>
    </w:p>
    <w:p w14:paraId="759CB4A0">
      <w:pPr>
        <w:kinsoku w:val="0"/>
        <w:autoSpaceDE w:val="0"/>
        <w:autoSpaceDN w:val="0"/>
        <w:adjustRightInd w:val="0"/>
        <w:snapToGrid w:val="0"/>
        <w:spacing w:before="1"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20.6.3</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持续保险</w:t>
      </w:r>
    </w:p>
    <w:p w14:paraId="79D5678D">
      <w:pPr>
        <w:kinsoku w:val="0"/>
        <w:autoSpaceDE w:val="0"/>
        <w:autoSpaceDN w:val="0"/>
        <w:adjustRightInd w:val="0"/>
        <w:snapToGrid w:val="0"/>
        <w:spacing w:before="160" w:line="240" w:lineRule="auto"/>
        <w:ind w:left="2" w:right="193"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承包人应与保险人保持联系，使保险人能够随时了解工程实施中的变动，</w:t>
      </w:r>
      <w:r>
        <w:rPr>
          <w:rFonts w:ascii="宋体" w:hAnsi="宋体" w:eastAsia="宋体" w:cs="宋体"/>
          <w:snapToGrid w:val="0"/>
          <w:color w:val="000000"/>
          <w:spacing w:val="9"/>
          <w:kern w:val="0"/>
          <w:sz w:val="20"/>
          <w:szCs w:val="20"/>
          <w:lang w:val="en-US" w:eastAsia="en-US" w:bidi="ar-SA"/>
        </w:rPr>
        <w:t>并确保按保险合同条款要</w:t>
      </w:r>
      <w:r>
        <w:rPr>
          <w:rFonts w:ascii="宋体" w:hAnsi="宋体" w:eastAsia="宋体" w:cs="宋体"/>
          <w:snapToGrid w:val="0"/>
          <w:color w:val="000000"/>
          <w:spacing w:val="6"/>
          <w:kern w:val="0"/>
          <w:sz w:val="20"/>
          <w:szCs w:val="20"/>
          <w:lang w:val="en-US" w:eastAsia="en-US" w:bidi="ar-SA"/>
        </w:rPr>
        <w:t>求持续保险。</w:t>
      </w:r>
    </w:p>
    <w:p w14:paraId="2981E831">
      <w:pPr>
        <w:kinsoku w:val="0"/>
        <w:autoSpaceDE w:val="0"/>
        <w:autoSpaceDN w:val="0"/>
        <w:adjustRightInd w:val="0"/>
        <w:snapToGrid w:val="0"/>
        <w:spacing w:before="1"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20.6.4</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保险金不足的补偿</w:t>
      </w:r>
    </w:p>
    <w:p w14:paraId="22464FEC">
      <w:pPr>
        <w:kinsoku w:val="0"/>
        <w:autoSpaceDE w:val="0"/>
        <w:autoSpaceDN w:val="0"/>
        <w:adjustRightInd w:val="0"/>
        <w:snapToGrid w:val="0"/>
        <w:spacing w:before="160" w:line="240" w:lineRule="auto"/>
        <w:ind w:left="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保险金不足以补偿损失的，应由承包人和（或）发包人按合同约定负责补偿。</w:t>
      </w:r>
    </w:p>
    <w:p w14:paraId="5C0792E2">
      <w:pPr>
        <w:kinsoku w:val="0"/>
        <w:autoSpaceDE w:val="0"/>
        <w:autoSpaceDN w:val="0"/>
        <w:adjustRightInd w:val="0"/>
        <w:snapToGrid w:val="0"/>
        <w:spacing w:before="161"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20.6.5</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未按约定投保的补救</w:t>
      </w:r>
    </w:p>
    <w:p w14:paraId="5220ECBF">
      <w:pPr>
        <w:kinsoku w:val="0"/>
        <w:autoSpaceDE w:val="0"/>
        <w:autoSpaceDN w:val="0"/>
        <w:adjustRightInd w:val="0"/>
        <w:snapToGrid w:val="0"/>
        <w:spacing w:before="162" w:line="240" w:lineRule="auto"/>
        <w:ind w:left="1" w:right="188" w:firstLine="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（1）</w:t>
      </w:r>
      <w:r>
        <w:rPr>
          <w:rFonts w:ascii="宋体" w:hAnsi="宋体" w:eastAsia="宋体" w:cs="宋体"/>
          <w:snapToGrid w:val="0"/>
          <w:color w:val="000000"/>
          <w:spacing w:val="4"/>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由于负有投保义务的一方当事人未按合同约定办理保险，或未能使保险持续有效的，另一</w:t>
      </w:r>
      <w:r>
        <w:rPr>
          <w:rFonts w:ascii="宋体" w:hAnsi="宋体" w:eastAsia="宋体" w:cs="宋体"/>
          <w:snapToGrid w:val="0"/>
          <w:color w:val="000000"/>
          <w:spacing w:val="9"/>
          <w:kern w:val="0"/>
          <w:sz w:val="20"/>
          <w:szCs w:val="20"/>
          <w:lang w:val="en-US" w:eastAsia="en-US" w:bidi="ar-SA"/>
        </w:rPr>
        <w:t>方当事人可代为办理，所需费用由对方当事人承担。</w:t>
      </w:r>
    </w:p>
    <w:p w14:paraId="17D92486">
      <w:pPr>
        <w:kinsoku w:val="0"/>
        <w:autoSpaceDE w:val="0"/>
        <w:autoSpaceDN w:val="0"/>
        <w:adjustRightInd w:val="0"/>
        <w:snapToGrid w:val="0"/>
        <w:spacing w:before="164" w:line="240" w:lineRule="auto"/>
        <w:ind w:left="17" w:right="188" w:firstLine="4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（2）</w:t>
      </w:r>
      <w:r>
        <w:rPr>
          <w:rFonts w:ascii="宋体" w:hAnsi="宋体" w:eastAsia="宋体" w:cs="宋体"/>
          <w:snapToGrid w:val="0"/>
          <w:color w:val="000000"/>
          <w:spacing w:val="4"/>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由于负有投保义务的一方当事人未按合同约定办理某项保险，导致受益人未能得到保险人</w:t>
      </w:r>
      <w:r>
        <w:rPr>
          <w:rFonts w:ascii="宋体" w:hAnsi="宋体" w:eastAsia="宋体" w:cs="宋体"/>
          <w:snapToGrid w:val="0"/>
          <w:color w:val="000000"/>
          <w:spacing w:val="9"/>
          <w:kern w:val="0"/>
          <w:sz w:val="20"/>
          <w:szCs w:val="20"/>
          <w:lang w:val="en-US" w:eastAsia="en-US" w:bidi="ar-SA"/>
        </w:rPr>
        <w:t>的赔偿，原应从该项保险得到的保险金应由负有投保义务的一方当事</w:t>
      </w:r>
      <w:r>
        <w:rPr>
          <w:rFonts w:ascii="宋体" w:hAnsi="宋体" w:eastAsia="宋体" w:cs="宋体"/>
          <w:snapToGrid w:val="0"/>
          <w:color w:val="000000"/>
          <w:spacing w:val="8"/>
          <w:kern w:val="0"/>
          <w:sz w:val="20"/>
          <w:szCs w:val="20"/>
          <w:lang w:val="en-US" w:eastAsia="en-US" w:bidi="ar-SA"/>
        </w:rPr>
        <w:t>人支付。</w:t>
      </w:r>
    </w:p>
    <w:p w14:paraId="2C15DA5F">
      <w:pPr>
        <w:kinsoku w:val="0"/>
        <w:autoSpaceDE w:val="0"/>
        <w:autoSpaceDN w:val="0"/>
        <w:adjustRightInd w:val="0"/>
        <w:snapToGrid w:val="0"/>
        <w:spacing w:before="161"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2"/>
          <w:kern w:val="0"/>
          <w:sz w:val="20"/>
          <w:szCs w:val="20"/>
          <w:lang w:val="en-US" w:eastAsia="en-US" w:bidi="ar-SA"/>
        </w:rPr>
        <w:t>20.6.6</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2"/>
          <w:kern w:val="0"/>
          <w:sz w:val="20"/>
          <w:szCs w:val="20"/>
          <w:lang w:val="en-US" w:eastAsia="en-US" w:bidi="ar-SA"/>
        </w:rPr>
        <w:t>报告义务</w:t>
      </w:r>
    </w:p>
    <w:p w14:paraId="241D0F13">
      <w:pPr>
        <w:kinsoku w:val="0"/>
        <w:autoSpaceDE w:val="0"/>
        <w:autoSpaceDN w:val="0"/>
        <w:adjustRightInd w:val="0"/>
        <w:snapToGrid w:val="0"/>
        <w:spacing w:before="164" w:line="240" w:lineRule="auto"/>
        <w:ind w:left="43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当保险事故发生时，投保人应按照保险单规定的条件和期限及时向保险人报告。</w:t>
      </w:r>
    </w:p>
    <w:p w14:paraId="09CEC54E">
      <w:pPr>
        <w:kinsoku w:val="0"/>
        <w:autoSpaceDE w:val="0"/>
        <w:autoSpaceDN w:val="0"/>
        <w:adjustRightInd w:val="0"/>
        <w:snapToGrid w:val="0"/>
        <w:spacing w:before="172" w:line="240" w:lineRule="auto"/>
        <w:ind w:left="4107"/>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5"/>
          <w:szCs w:val="25"/>
          <w:lang w:val="en-US" w:eastAsia="en-US" w:bidi="ar-SA"/>
        </w:rPr>
        <w:t>21.</w:t>
      </w:r>
      <w:r>
        <w:rPr>
          <w:rFonts w:ascii="宋体" w:hAnsi="宋体" w:eastAsia="宋体" w:cs="宋体"/>
          <w:snapToGrid w:val="0"/>
          <w:color w:val="000000"/>
          <w:spacing w:val="22"/>
          <w:kern w:val="0"/>
          <w:sz w:val="25"/>
          <w:szCs w:val="25"/>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不可抗力</w:t>
      </w:r>
    </w:p>
    <w:p w14:paraId="1129A615">
      <w:pPr>
        <w:kinsoku w:val="0"/>
        <w:autoSpaceDE w:val="0"/>
        <w:autoSpaceDN w:val="0"/>
        <w:adjustRightInd w:val="0"/>
        <w:snapToGrid w:val="0"/>
        <w:spacing w:before="175"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21.1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不可抗力的确认</w:t>
      </w:r>
    </w:p>
    <w:p w14:paraId="797F8D41">
      <w:pPr>
        <w:kinsoku w:val="0"/>
        <w:autoSpaceDE w:val="0"/>
        <w:autoSpaceDN w:val="0"/>
        <w:adjustRightInd w:val="0"/>
        <w:snapToGrid w:val="0"/>
        <w:spacing w:before="178" w:line="240" w:lineRule="auto"/>
        <w:ind w:left="4" w:right="1"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21.1.1</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不可抗力是指承包人和发包人在订立合同时不可预见，在工程施工过程中不可避免发生并</w:t>
      </w:r>
      <w:r>
        <w:rPr>
          <w:rFonts w:ascii="宋体" w:hAnsi="宋体" w:eastAsia="宋体" w:cs="宋体"/>
          <w:snapToGrid w:val="0"/>
          <w:color w:val="000000"/>
          <w:spacing w:val="14"/>
          <w:kern w:val="0"/>
          <w:sz w:val="20"/>
          <w:szCs w:val="20"/>
          <w:lang w:val="en-US" w:eastAsia="en-US" w:bidi="ar-SA"/>
        </w:rPr>
        <w:t>不能克服的自然灾害和社会性突发事件，如地震、海啸、瘟疫、水灾、骚乱、暴动、战争和专用合</w:t>
      </w:r>
      <w:r>
        <w:rPr>
          <w:rFonts w:ascii="宋体" w:hAnsi="宋体" w:eastAsia="宋体" w:cs="宋体"/>
          <w:snapToGrid w:val="0"/>
          <w:color w:val="000000"/>
          <w:spacing w:val="13"/>
          <w:kern w:val="0"/>
          <w:sz w:val="20"/>
          <w:szCs w:val="20"/>
          <w:lang w:val="en-US" w:eastAsia="en-US" w:bidi="ar-SA"/>
        </w:rPr>
        <w:t>同条</w:t>
      </w:r>
    </w:p>
    <w:p w14:paraId="5F15FABC">
      <w:pPr>
        <w:kinsoku w:val="0"/>
        <w:autoSpaceDE w:val="0"/>
        <w:autoSpaceDN w:val="0"/>
        <w:adjustRightInd w:val="0"/>
        <w:snapToGrid w:val="0"/>
        <w:spacing w:before="42" w:line="240" w:lineRule="auto"/>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款约定的其他情形。</w:t>
      </w:r>
    </w:p>
    <w:p w14:paraId="790FC30F">
      <w:pPr>
        <w:kinsoku w:val="0"/>
        <w:autoSpaceDE w:val="0"/>
        <w:autoSpaceDN w:val="0"/>
        <w:adjustRightInd w:val="0"/>
        <w:snapToGrid w:val="0"/>
        <w:spacing w:before="159" w:line="240" w:lineRule="auto"/>
        <w:ind w:left="1" w:firstLine="420"/>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21.1.2</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不可抗力发生后，发包人和承包人应及时认真统计所造成的损失，收集不可抗力造成损失</w:t>
      </w:r>
      <w:r>
        <w:rPr>
          <w:rFonts w:ascii="宋体" w:hAnsi="宋体" w:eastAsia="宋体" w:cs="宋体"/>
          <w:snapToGrid w:val="0"/>
          <w:color w:val="000000"/>
          <w:spacing w:val="10"/>
          <w:kern w:val="0"/>
          <w:sz w:val="20"/>
          <w:szCs w:val="20"/>
          <w:lang w:val="en-US" w:eastAsia="en-US" w:bidi="ar-SA"/>
        </w:rPr>
        <w:t>的证据。合同双方对是否属于不可抗力或其损失的意见不一致的，</w:t>
      </w:r>
      <w:r>
        <w:rPr>
          <w:rFonts w:ascii="宋体" w:hAnsi="宋体" w:eastAsia="宋体" w:cs="宋体"/>
          <w:snapToGrid w:val="0"/>
          <w:color w:val="000000"/>
          <w:spacing w:val="-50"/>
          <w:kern w:val="0"/>
          <w:sz w:val="20"/>
          <w:szCs w:val="20"/>
          <w:lang w:val="en-US" w:eastAsia="en-US" w:bidi="ar-SA"/>
        </w:rPr>
        <w:t xml:space="preserve"> </w:t>
      </w:r>
      <w:r>
        <w:rPr>
          <w:rFonts w:ascii="宋体" w:hAnsi="宋体" w:eastAsia="宋体" w:cs="宋体"/>
          <w:snapToGrid w:val="0"/>
          <w:color w:val="000000"/>
          <w:spacing w:val="10"/>
          <w:kern w:val="0"/>
          <w:sz w:val="20"/>
          <w:szCs w:val="20"/>
          <w:lang w:val="en-US" w:eastAsia="en-US" w:bidi="ar-SA"/>
        </w:rPr>
        <w:t>由监理人按第 3.5 款商定或确定。发</w:t>
      </w:r>
      <w:r>
        <w:rPr>
          <w:rFonts w:ascii="宋体" w:hAnsi="宋体" w:eastAsia="宋体" w:cs="宋体"/>
          <w:snapToGrid w:val="0"/>
          <w:color w:val="000000"/>
          <w:spacing w:val="7"/>
          <w:kern w:val="0"/>
          <w:sz w:val="20"/>
          <w:szCs w:val="20"/>
          <w:lang w:val="en-US" w:eastAsia="en-US" w:bidi="ar-SA"/>
        </w:rPr>
        <w:t>生争议时，按第 24 条的约定办理。</w:t>
      </w:r>
    </w:p>
    <w:p w14:paraId="503BF2E3">
      <w:pPr>
        <w:kinsoku w:val="0"/>
        <w:autoSpaceDE w:val="0"/>
        <w:autoSpaceDN w:val="0"/>
        <w:adjustRightInd w:val="0"/>
        <w:snapToGrid w:val="0"/>
        <w:spacing w:before="4"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21.2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不可抗力的通知</w:t>
      </w:r>
    </w:p>
    <w:p w14:paraId="69C36ACD">
      <w:pPr>
        <w:kinsoku w:val="0"/>
        <w:autoSpaceDE w:val="0"/>
        <w:autoSpaceDN w:val="0"/>
        <w:adjustRightInd w:val="0"/>
        <w:snapToGrid w:val="0"/>
        <w:spacing w:before="175" w:line="240" w:lineRule="auto"/>
        <w:ind w:firstLine="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21.2.1</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合同一方当事人遇到不可抗力事件，使其履行合同义务受到阻碍时，应立即通知合同另一方当事人和监理人，书面说明不可抗力和受阻碍的详细情况，并提供必要的证明。</w:t>
      </w:r>
    </w:p>
    <w:p w14:paraId="4A12A787">
      <w:pPr>
        <w:kinsoku w:val="0"/>
        <w:autoSpaceDE w:val="0"/>
        <w:autoSpaceDN w:val="0"/>
        <w:adjustRightInd w:val="0"/>
        <w:snapToGrid w:val="0"/>
        <w:spacing w:before="161" w:line="240" w:lineRule="auto"/>
        <w:ind w:firstLine="42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5"/>
          <w:kern w:val="0"/>
          <w:sz w:val="20"/>
          <w:szCs w:val="20"/>
          <w:lang w:val="en-US" w:eastAsia="en-US" w:bidi="ar-SA"/>
        </w:rPr>
        <w:t>21.2.2   如不可抗力持续发生，合同一方当事人应及时向合同另一方当事人和监理人提交中间报</w:t>
      </w:r>
      <w:r>
        <w:rPr>
          <w:rFonts w:ascii="宋体" w:hAnsi="宋体" w:eastAsia="宋体" w:cs="宋体"/>
          <w:snapToGrid w:val="0"/>
          <w:color w:val="000000"/>
          <w:spacing w:val="18"/>
          <w:kern w:val="0"/>
          <w:sz w:val="20"/>
          <w:szCs w:val="20"/>
          <w:lang w:val="en-US" w:eastAsia="en-US" w:bidi="ar-SA"/>
        </w:rPr>
        <w:t>告，说明不可抗力和履行合同受阻的情况，并于不可抗力事件结</w:t>
      </w:r>
      <w:r>
        <w:rPr>
          <w:rFonts w:ascii="宋体" w:hAnsi="宋体" w:eastAsia="宋体" w:cs="宋体"/>
          <w:snapToGrid w:val="0"/>
          <w:color w:val="000000"/>
          <w:spacing w:val="17"/>
          <w:kern w:val="0"/>
          <w:sz w:val="20"/>
          <w:szCs w:val="20"/>
          <w:lang w:val="en-US" w:eastAsia="en-US" w:bidi="ar-SA"/>
        </w:rPr>
        <w:t>束后</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17"/>
          <w:kern w:val="0"/>
          <w:sz w:val="20"/>
          <w:szCs w:val="20"/>
          <w:lang w:val="en-US" w:eastAsia="en-US" w:bidi="ar-SA"/>
        </w:rPr>
        <w:t>28 天内提交最终报告及有关资</w:t>
      </w:r>
      <w:r>
        <w:rPr>
          <w:rFonts w:ascii="宋体" w:hAnsi="宋体" w:eastAsia="宋体" w:cs="宋体"/>
          <w:snapToGrid w:val="0"/>
          <w:color w:val="000000"/>
          <w:kern w:val="0"/>
          <w:sz w:val="20"/>
          <w:szCs w:val="20"/>
          <w:lang w:val="en-US" w:eastAsia="en-US" w:bidi="ar-SA"/>
        </w:rPr>
        <w:t>料。</w:t>
      </w:r>
    </w:p>
    <w:p w14:paraId="0B8FE615">
      <w:pPr>
        <w:kinsoku w:val="0"/>
        <w:autoSpaceDE w:val="0"/>
        <w:autoSpaceDN w:val="0"/>
        <w:adjustRightInd w:val="0"/>
        <w:snapToGrid w:val="0"/>
        <w:spacing w:before="165"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21.3</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不可抗力后果及其处理</w:t>
      </w:r>
    </w:p>
    <w:p w14:paraId="0C5AC03E">
      <w:pPr>
        <w:kinsoku w:val="0"/>
        <w:autoSpaceDE w:val="0"/>
        <w:autoSpaceDN w:val="0"/>
        <w:adjustRightInd w:val="0"/>
        <w:snapToGrid w:val="0"/>
        <w:spacing w:before="178"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21.3.1</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不可抗力造成损害的责任</w:t>
      </w:r>
    </w:p>
    <w:p w14:paraId="2F253830">
      <w:pPr>
        <w:kinsoku w:val="0"/>
        <w:autoSpaceDE w:val="0"/>
        <w:autoSpaceDN w:val="0"/>
        <w:adjustRightInd w:val="0"/>
        <w:snapToGrid w:val="0"/>
        <w:spacing w:before="161" w:line="240" w:lineRule="auto"/>
        <w:ind w:left="1" w:right="192" w:firstLine="43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除专用合同条款另有约定外，不可抗力导致的</w:t>
      </w:r>
      <w:r>
        <w:rPr>
          <w:rFonts w:ascii="宋体" w:hAnsi="宋体" w:eastAsia="宋体" w:cs="宋体"/>
          <w:snapToGrid w:val="0"/>
          <w:color w:val="000000"/>
          <w:spacing w:val="9"/>
          <w:kern w:val="0"/>
          <w:sz w:val="20"/>
          <w:szCs w:val="20"/>
          <w:lang w:val="en-US" w:eastAsia="en-US" w:bidi="ar-SA"/>
        </w:rPr>
        <w:t>人员伤亡、财产损失、费用增加和（或）工期延误等</w:t>
      </w:r>
      <w:r>
        <w:rPr>
          <w:rFonts w:ascii="宋体" w:hAnsi="宋体" w:eastAsia="宋体" w:cs="宋体"/>
          <w:snapToGrid w:val="0"/>
          <w:color w:val="000000"/>
          <w:spacing w:val="8"/>
          <w:kern w:val="0"/>
          <w:sz w:val="20"/>
          <w:szCs w:val="20"/>
          <w:lang w:val="en-US" w:eastAsia="en-US" w:bidi="ar-SA"/>
        </w:rPr>
        <w:t>后果，由合同双方按以下原则承担：</w:t>
      </w:r>
    </w:p>
    <w:p w14:paraId="476C85BE">
      <w:pPr>
        <w:kinsoku w:val="0"/>
        <w:autoSpaceDE w:val="0"/>
        <w:autoSpaceDN w:val="0"/>
        <w:adjustRightInd w:val="0"/>
        <w:snapToGrid w:val="0"/>
        <w:spacing w:line="240" w:lineRule="auto"/>
        <w:ind w:left="1" w:right="182"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（1）    </w:t>
      </w:r>
      <w:r>
        <w:rPr>
          <w:rFonts w:ascii="宋体" w:hAnsi="宋体" w:eastAsia="宋体" w:cs="宋体"/>
          <w:snapToGrid w:val="0"/>
          <w:color w:val="000000"/>
          <w:spacing w:val="8"/>
          <w:kern w:val="0"/>
          <w:sz w:val="20"/>
          <w:szCs w:val="20"/>
          <w:lang w:val="en-US" w:eastAsia="en-US" w:bidi="ar-SA"/>
        </w:rPr>
        <w:t>永久工程，包括已运至施工场地的材料和工程设备的损害，</w:t>
      </w:r>
      <w:r>
        <w:rPr>
          <w:rFonts w:ascii="宋体" w:hAnsi="宋体" w:eastAsia="宋体" w:cs="宋体"/>
          <w:snapToGrid w:val="0"/>
          <w:color w:val="000000"/>
          <w:spacing w:val="-57"/>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以及因工程损害造成的第三者人员伤亡和财产损失由发包人承担；</w:t>
      </w:r>
    </w:p>
    <w:p w14:paraId="3401163C">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4"/>
          <w:kern w:val="0"/>
          <w:sz w:val="18"/>
          <w:szCs w:val="18"/>
          <w:lang w:val="en-US" w:eastAsia="en-US" w:bidi="ar-SA"/>
        </w:rPr>
        <w:t>（2）</w:t>
      </w:r>
      <w:r>
        <w:rPr>
          <w:rFonts w:ascii="宋体" w:hAnsi="宋体" w:eastAsia="宋体" w:cs="宋体"/>
          <w:snapToGrid w:val="0"/>
          <w:color w:val="000000"/>
          <w:spacing w:val="22"/>
          <w:kern w:val="0"/>
          <w:sz w:val="18"/>
          <w:szCs w:val="18"/>
          <w:lang w:val="en-US" w:eastAsia="en-US" w:bidi="ar-SA"/>
        </w:rPr>
        <w:t xml:space="preserve">    </w:t>
      </w:r>
      <w:r>
        <w:rPr>
          <w:rFonts w:ascii="宋体" w:hAnsi="宋体" w:eastAsia="宋体" w:cs="宋体"/>
          <w:snapToGrid w:val="0"/>
          <w:color w:val="000000"/>
          <w:spacing w:val="4"/>
          <w:kern w:val="0"/>
          <w:sz w:val="20"/>
          <w:szCs w:val="20"/>
          <w:lang w:val="en-US" w:eastAsia="en-US" w:bidi="ar-SA"/>
        </w:rPr>
        <w:t>承包人设备的损坏由承包人承担；</w:t>
      </w:r>
    </w:p>
    <w:p w14:paraId="6634D1A4">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（3）</w:t>
      </w:r>
      <w:r>
        <w:rPr>
          <w:rFonts w:ascii="宋体" w:hAnsi="宋体" w:eastAsia="宋体" w:cs="宋体"/>
          <w:snapToGrid w:val="0"/>
          <w:color w:val="000000"/>
          <w:spacing w:val="20"/>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发包人和承包人各自承担其人员伤亡和其他财产损失及其相关费用；</w:t>
      </w:r>
    </w:p>
    <w:p w14:paraId="3CAFF152">
      <w:pPr>
        <w:kinsoku w:val="0"/>
        <w:autoSpaceDE w:val="0"/>
        <w:autoSpaceDN w:val="0"/>
        <w:adjustRightInd w:val="0"/>
        <w:snapToGrid w:val="0"/>
        <w:spacing w:before="164" w:line="240" w:lineRule="auto"/>
        <w:ind w:left="1" w:right="182"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（4）    </w:t>
      </w:r>
      <w:r>
        <w:rPr>
          <w:rFonts w:ascii="宋体" w:hAnsi="宋体" w:eastAsia="宋体" w:cs="宋体"/>
          <w:snapToGrid w:val="0"/>
          <w:color w:val="000000"/>
          <w:spacing w:val="9"/>
          <w:kern w:val="0"/>
          <w:sz w:val="20"/>
          <w:szCs w:val="20"/>
          <w:lang w:val="en-US" w:eastAsia="en-US" w:bidi="ar-SA"/>
        </w:rPr>
        <w:t>承包人的停工损失由承包人承担，但停工期间应监理人要求照管工程和清理、修复</w:t>
      </w:r>
      <w:r>
        <w:rPr>
          <w:rFonts w:ascii="宋体" w:hAnsi="宋体" w:eastAsia="宋体" w:cs="宋体"/>
          <w:snapToGrid w:val="0"/>
          <w:color w:val="000000"/>
          <w:spacing w:val="8"/>
          <w:kern w:val="0"/>
          <w:sz w:val="20"/>
          <w:szCs w:val="20"/>
          <w:lang w:val="en-US" w:eastAsia="en-US" w:bidi="ar-SA"/>
        </w:rPr>
        <w:t>工程的</w:t>
      </w:r>
      <w:r>
        <w:rPr>
          <w:rFonts w:ascii="宋体" w:hAnsi="宋体" w:eastAsia="宋体" w:cs="宋体"/>
          <w:snapToGrid w:val="0"/>
          <w:color w:val="000000"/>
          <w:spacing w:val="7"/>
          <w:kern w:val="0"/>
          <w:sz w:val="20"/>
          <w:szCs w:val="20"/>
          <w:lang w:val="en-US" w:eastAsia="en-US" w:bidi="ar-SA"/>
        </w:rPr>
        <w:t>金额由发包人承担；</w:t>
      </w:r>
    </w:p>
    <w:p w14:paraId="569BBFF3">
      <w:pPr>
        <w:kinsoku w:val="0"/>
        <w:autoSpaceDE w:val="0"/>
        <w:autoSpaceDN w:val="0"/>
        <w:adjustRightInd w:val="0"/>
        <w:snapToGrid w:val="0"/>
        <w:spacing w:before="161" w:line="240" w:lineRule="auto"/>
        <w:ind w:left="17" w:right="393" w:firstLine="41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（5）    </w:t>
      </w:r>
      <w:r>
        <w:rPr>
          <w:rFonts w:ascii="宋体" w:hAnsi="宋体" w:eastAsia="宋体" w:cs="宋体"/>
          <w:snapToGrid w:val="0"/>
          <w:color w:val="000000"/>
          <w:spacing w:val="9"/>
          <w:kern w:val="0"/>
          <w:sz w:val="20"/>
          <w:szCs w:val="20"/>
          <w:lang w:val="en-US" w:eastAsia="en-US" w:bidi="ar-SA"/>
        </w:rPr>
        <w:t>不能按期竣工的，应合理延长工期，承包人不需支付逾期竣工违约金。发包</w:t>
      </w:r>
      <w:r>
        <w:rPr>
          <w:rFonts w:ascii="宋体" w:hAnsi="宋体" w:eastAsia="宋体" w:cs="宋体"/>
          <w:snapToGrid w:val="0"/>
          <w:color w:val="000000"/>
          <w:spacing w:val="8"/>
          <w:kern w:val="0"/>
          <w:sz w:val="20"/>
          <w:szCs w:val="20"/>
          <w:lang w:val="en-US" w:eastAsia="en-US" w:bidi="ar-SA"/>
        </w:rPr>
        <w:t>人要求赶工的，承包人应采取赶工措施，赶工费用由发包人承担。</w:t>
      </w:r>
    </w:p>
    <w:p w14:paraId="79EE6BE2">
      <w:pPr>
        <w:kinsoku w:val="0"/>
        <w:autoSpaceDE w:val="0"/>
        <w:autoSpaceDN w:val="0"/>
        <w:adjustRightInd w:val="0"/>
        <w:snapToGrid w:val="0"/>
        <w:spacing w:before="162"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5"/>
          <w:kern w:val="0"/>
          <w:sz w:val="20"/>
          <w:szCs w:val="20"/>
          <w:lang w:val="en-US" w:eastAsia="en-US" w:bidi="ar-SA"/>
        </w:rPr>
        <w:t>21.3.2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5"/>
          <w:kern w:val="0"/>
          <w:sz w:val="20"/>
          <w:szCs w:val="20"/>
          <w:lang w:val="en-US" w:eastAsia="en-US" w:bidi="ar-SA"/>
        </w:rPr>
        <w:t>延迟履行期间发生的不可抗力</w:t>
      </w:r>
    </w:p>
    <w:p w14:paraId="1767C1E1">
      <w:pPr>
        <w:kinsoku w:val="0"/>
        <w:autoSpaceDE w:val="0"/>
        <w:autoSpaceDN w:val="0"/>
        <w:adjustRightInd w:val="0"/>
        <w:snapToGrid w:val="0"/>
        <w:spacing w:before="161"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合同一方当事人延迟履行，在延迟履行期间发生不可抗力的，不免除其责任。</w:t>
      </w:r>
    </w:p>
    <w:p w14:paraId="76052BEA">
      <w:pPr>
        <w:kinsoku w:val="0"/>
        <w:autoSpaceDE w:val="0"/>
        <w:autoSpaceDN w:val="0"/>
        <w:adjustRightInd w:val="0"/>
        <w:snapToGrid w:val="0"/>
        <w:spacing w:before="163"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5"/>
          <w:kern w:val="0"/>
          <w:sz w:val="20"/>
          <w:szCs w:val="20"/>
          <w:lang w:val="en-US" w:eastAsia="en-US" w:bidi="ar-SA"/>
        </w:rPr>
        <w:t>21.3.3</w:t>
      </w:r>
      <w:r>
        <w:rPr>
          <w:rFonts w:ascii="宋体" w:hAnsi="宋体" w:eastAsia="宋体" w:cs="宋体"/>
          <w:snapToGrid w:val="0"/>
          <w:color w:val="000000"/>
          <w:spacing w:val="29"/>
          <w:kern w:val="0"/>
          <w:sz w:val="20"/>
          <w:szCs w:val="20"/>
          <w:lang w:val="en-US" w:eastAsia="en-US" w:bidi="ar-SA"/>
        </w:rPr>
        <w:t xml:space="preserve">   </w:t>
      </w:r>
      <w:r>
        <w:rPr>
          <w:rFonts w:ascii="宋体" w:hAnsi="宋体" w:eastAsia="宋体" w:cs="宋体"/>
          <w:b/>
          <w:bCs/>
          <w:snapToGrid w:val="0"/>
          <w:color w:val="000000"/>
          <w:spacing w:val="5"/>
          <w:kern w:val="0"/>
          <w:sz w:val="20"/>
          <w:szCs w:val="20"/>
          <w:lang w:val="en-US" w:eastAsia="en-US" w:bidi="ar-SA"/>
        </w:rPr>
        <w:t>避免和减少不可抗力损失</w:t>
      </w:r>
    </w:p>
    <w:p w14:paraId="206FE9E6">
      <w:pPr>
        <w:kinsoku w:val="0"/>
        <w:autoSpaceDE w:val="0"/>
        <w:autoSpaceDN w:val="0"/>
        <w:adjustRightInd w:val="0"/>
        <w:snapToGrid w:val="0"/>
        <w:spacing w:before="161" w:line="240" w:lineRule="auto"/>
        <w:ind w:left="5" w:right="192"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不可抗力发生后，发包人和承包人均应采取措施尽量避免和减少损</w:t>
      </w:r>
      <w:r>
        <w:rPr>
          <w:rFonts w:ascii="宋体" w:hAnsi="宋体" w:eastAsia="宋体" w:cs="宋体"/>
          <w:snapToGrid w:val="0"/>
          <w:color w:val="000000"/>
          <w:spacing w:val="9"/>
          <w:kern w:val="0"/>
          <w:sz w:val="20"/>
          <w:szCs w:val="20"/>
          <w:lang w:val="en-US" w:eastAsia="en-US" w:bidi="ar-SA"/>
        </w:rPr>
        <w:t>失的扩大，任何一方没有采取有效措施导致损失扩大的，应对扩大的损失承</w:t>
      </w:r>
      <w:r>
        <w:rPr>
          <w:rFonts w:ascii="宋体" w:hAnsi="宋体" w:eastAsia="宋体" w:cs="宋体"/>
          <w:snapToGrid w:val="0"/>
          <w:color w:val="000000"/>
          <w:spacing w:val="8"/>
          <w:kern w:val="0"/>
          <w:sz w:val="20"/>
          <w:szCs w:val="20"/>
          <w:lang w:val="en-US" w:eastAsia="en-US" w:bidi="ar-SA"/>
        </w:rPr>
        <w:t>担责任。</w:t>
      </w:r>
    </w:p>
    <w:p w14:paraId="5AE79AB4">
      <w:pPr>
        <w:kinsoku w:val="0"/>
        <w:autoSpaceDE w:val="0"/>
        <w:autoSpaceDN w:val="0"/>
        <w:adjustRightInd w:val="0"/>
        <w:snapToGrid w:val="0"/>
        <w:spacing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21.3.4</w:t>
      </w:r>
      <w:r>
        <w:rPr>
          <w:rFonts w:ascii="宋体" w:hAnsi="宋体" w:eastAsia="宋体" w:cs="宋体"/>
          <w:snapToGrid w:val="0"/>
          <w:color w:val="000000"/>
          <w:spacing w:val="3"/>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因不可抗力解除合同</w:t>
      </w:r>
    </w:p>
    <w:p w14:paraId="4F663D36">
      <w:pPr>
        <w:kinsoku w:val="0"/>
        <w:autoSpaceDE w:val="0"/>
        <w:autoSpaceDN w:val="0"/>
        <w:adjustRightInd w:val="0"/>
        <w:snapToGrid w:val="0"/>
        <w:spacing w:before="166" w:line="240" w:lineRule="auto"/>
        <w:ind w:right="86"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合同一方当事人因不可抗力不能履行合同的，应当及时通知对方解除合</w:t>
      </w:r>
      <w:r>
        <w:rPr>
          <w:rFonts w:ascii="宋体" w:hAnsi="宋体" w:eastAsia="宋体" w:cs="宋体"/>
          <w:snapToGrid w:val="0"/>
          <w:color w:val="000000"/>
          <w:spacing w:val="9"/>
          <w:kern w:val="0"/>
          <w:sz w:val="20"/>
          <w:szCs w:val="20"/>
          <w:lang w:val="en-US" w:eastAsia="en-US" w:bidi="ar-SA"/>
        </w:rPr>
        <w:t>同。合同解除后，承包人应按照第 22.2.5 项约定撤离施工场地。已经订货的材料、设备由订货方负责退货或解除订货</w:t>
      </w:r>
      <w:r>
        <w:rPr>
          <w:rFonts w:ascii="宋体" w:hAnsi="宋体" w:eastAsia="宋体" w:cs="宋体"/>
          <w:snapToGrid w:val="0"/>
          <w:color w:val="000000"/>
          <w:spacing w:val="8"/>
          <w:kern w:val="0"/>
          <w:sz w:val="20"/>
          <w:szCs w:val="20"/>
          <w:lang w:val="en-US" w:eastAsia="en-US" w:bidi="ar-SA"/>
        </w:rPr>
        <w:t>合同， 不能</w:t>
      </w:r>
      <w:r>
        <w:rPr>
          <w:rFonts w:ascii="宋体" w:hAnsi="宋体" w:eastAsia="宋体" w:cs="宋体"/>
          <w:snapToGrid w:val="0"/>
          <w:color w:val="000000"/>
          <w:spacing w:val="9"/>
          <w:kern w:val="0"/>
          <w:sz w:val="20"/>
          <w:szCs w:val="20"/>
          <w:lang w:val="en-US" w:eastAsia="en-US" w:bidi="ar-SA"/>
        </w:rPr>
        <w:t>退还的货款和因退货、解除订货合同发生的费用，</w:t>
      </w:r>
      <w:r>
        <w:rPr>
          <w:rFonts w:ascii="宋体" w:hAnsi="宋体" w:eastAsia="宋体" w:cs="宋体"/>
          <w:snapToGrid w:val="0"/>
          <w:color w:val="000000"/>
          <w:spacing w:val="-58"/>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由发包人承担，因未及时退货造</w:t>
      </w:r>
      <w:r>
        <w:rPr>
          <w:rFonts w:ascii="宋体" w:hAnsi="宋体" w:eastAsia="宋体" w:cs="宋体"/>
          <w:snapToGrid w:val="0"/>
          <w:color w:val="000000"/>
          <w:spacing w:val="8"/>
          <w:kern w:val="0"/>
          <w:sz w:val="20"/>
          <w:szCs w:val="20"/>
          <w:lang w:val="en-US" w:eastAsia="en-US" w:bidi="ar-SA"/>
        </w:rPr>
        <w:t>成的损失由责任方承</w:t>
      </w:r>
      <w:r>
        <w:rPr>
          <w:rFonts w:ascii="宋体" w:hAnsi="宋体" w:eastAsia="宋体" w:cs="宋体"/>
          <w:snapToGrid w:val="0"/>
          <w:color w:val="000000"/>
          <w:spacing w:val="7"/>
          <w:kern w:val="0"/>
          <w:sz w:val="20"/>
          <w:szCs w:val="20"/>
          <w:lang w:val="en-US" w:eastAsia="en-US" w:bidi="ar-SA"/>
        </w:rPr>
        <w:t>担。合同解除后的付款，参照第 22.2.4 项约定，</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由监理人按第 3.5 款商定或确定。</w:t>
      </w:r>
    </w:p>
    <w:p w14:paraId="3C05E1CF">
      <w:pPr>
        <w:kinsoku w:val="0"/>
        <w:autoSpaceDE w:val="0"/>
        <w:autoSpaceDN w:val="0"/>
        <w:adjustRightInd w:val="0"/>
        <w:snapToGrid w:val="0"/>
        <w:spacing w:before="6" w:line="240" w:lineRule="auto"/>
        <w:ind w:left="4346"/>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5"/>
          <w:kern w:val="0"/>
          <w:sz w:val="25"/>
          <w:szCs w:val="25"/>
          <w:lang w:val="en-US" w:eastAsia="en-US" w:bidi="ar-SA"/>
        </w:rPr>
        <w:t>22.</w:t>
      </w:r>
      <w:r>
        <w:rPr>
          <w:rFonts w:ascii="宋体" w:hAnsi="宋体" w:eastAsia="宋体" w:cs="宋体"/>
          <w:snapToGrid w:val="0"/>
          <w:color w:val="000000"/>
          <w:spacing w:val="20"/>
          <w:kern w:val="0"/>
          <w:sz w:val="25"/>
          <w:szCs w:val="25"/>
          <w:lang w:val="en-US" w:eastAsia="en-US" w:bidi="ar-SA"/>
        </w:rPr>
        <w:t xml:space="preserve">    </w:t>
      </w:r>
      <w:r>
        <w:rPr>
          <w:rFonts w:ascii="宋体" w:hAnsi="宋体" w:eastAsia="宋体" w:cs="宋体"/>
          <w:b/>
          <w:bCs/>
          <w:snapToGrid w:val="0"/>
          <w:color w:val="000000"/>
          <w:spacing w:val="-5"/>
          <w:kern w:val="0"/>
          <w:sz w:val="24"/>
          <w:szCs w:val="24"/>
          <w:lang w:val="en-US" w:eastAsia="en-US" w:bidi="ar-SA"/>
        </w:rPr>
        <w:t>违约</w:t>
      </w:r>
    </w:p>
    <w:p w14:paraId="567978E9">
      <w:pPr>
        <w:kinsoku w:val="0"/>
        <w:autoSpaceDE w:val="0"/>
        <w:autoSpaceDN w:val="0"/>
        <w:adjustRightInd w:val="0"/>
        <w:snapToGrid w:val="0"/>
        <w:spacing w:before="169"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22.1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承包人违约</w:t>
      </w:r>
    </w:p>
    <w:p w14:paraId="48171787">
      <w:pPr>
        <w:kinsoku w:val="0"/>
        <w:autoSpaceDE w:val="0"/>
        <w:autoSpaceDN w:val="0"/>
        <w:adjustRightInd w:val="0"/>
        <w:snapToGrid w:val="0"/>
        <w:spacing w:before="178"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22.1.1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承包人违约的情形</w:t>
      </w:r>
    </w:p>
    <w:p w14:paraId="51590058">
      <w:pPr>
        <w:kinsoku w:val="0"/>
        <w:autoSpaceDE w:val="0"/>
        <w:autoSpaceDN w:val="0"/>
        <w:adjustRightInd w:val="0"/>
        <w:snapToGrid w:val="0"/>
        <w:spacing w:before="41" w:line="240" w:lineRule="auto"/>
        <w:ind w:left="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在履行合同过程中发生的下列情况属承包人违约：</w:t>
      </w:r>
    </w:p>
    <w:p w14:paraId="7BD80C80">
      <w:pPr>
        <w:kinsoku w:val="0"/>
        <w:autoSpaceDE w:val="0"/>
        <w:autoSpaceDN w:val="0"/>
        <w:adjustRightInd w:val="0"/>
        <w:snapToGrid w:val="0"/>
        <w:spacing w:before="161" w:line="240" w:lineRule="auto"/>
        <w:ind w:left="1" w:right="112" w:firstLine="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（1）</w:t>
      </w:r>
      <w:r>
        <w:rPr>
          <w:rFonts w:ascii="宋体" w:hAnsi="宋体" w:eastAsia="宋体" w:cs="宋体"/>
          <w:snapToGrid w:val="0"/>
          <w:color w:val="000000"/>
          <w:spacing w:val="38"/>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承包人违反第</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1.8 款或第 4.3 款的约定，私</w:t>
      </w:r>
      <w:r>
        <w:rPr>
          <w:rFonts w:ascii="宋体" w:hAnsi="宋体" w:eastAsia="宋体" w:cs="宋体"/>
          <w:snapToGrid w:val="0"/>
          <w:color w:val="000000"/>
          <w:spacing w:val="7"/>
          <w:kern w:val="0"/>
          <w:sz w:val="20"/>
          <w:szCs w:val="20"/>
          <w:lang w:val="en-US" w:eastAsia="en-US" w:bidi="ar-SA"/>
        </w:rPr>
        <w:t>自将合同的全部或部分权利转让给其他人，或</w:t>
      </w:r>
      <w:r>
        <w:rPr>
          <w:rFonts w:ascii="宋体" w:hAnsi="宋体" w:eastAsia="宋体" w:cs="宋体"/>
          <w:snapToGrid w:val="0"/>
          <w:color w:val="000000"/>
          <w:spacing w:val="8"/>
          <w:kern w:val="0"/>
          <w:sz w:val="20"/>
          <w:szCs w:val="20"/>
          <w:lang w:val="en-US" w:eastAsia="en-US" w:bidi="ar-SA"/>
        </w:rPr>
        <w:t>私自将合同的全部或部分义务转移给其他人；</w:t>
      </w:r>
    </w:p>
    <w:p w14:paraId="3625DA89">
      <w:pPr>
        <w:kinsoku w:val="0"/>
        <w:autoSpaceDE w:val="0"/>
        <w:autoSpaceDN w:val="0"/>
        <w:adjustRightInd w:val="0"/>
        <w:snapToGrid w:val="0"/>
        <w:spacing w:before="161" w:line="240" w:lineRule="auto"/>
        <w:ind w:right="112" w:firstLine="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（2）</w:t>
      </w:r>
      <w:r>
        <w:rPr>
          <w:rFonts w:ascii="宋体" w:hAnsi="宋体" w:eastAsia="宋体" w:cs="宋体"/>
          <w:snapToGrid w:val="0"/>
          <w:color w:val="000000"/>
          <w:spacing w:val="40"/>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承包人违反第 5.3 款或第 6.4 款的约定，未经监理人批准，私自将已按合同约定进入施工</w:t>
      </w:r>
      <w:r>
        <w:rPr>
          <w:rFonts w:ascii="宋体" w:hAnsi="宋体" w:eastAsia="宋体" w:cs="宋体"/>
          <w:snapToGrid w:val="0"/>
          <w:color w:val="000000"/>
          <w:spacing w:val="9"/>
          <w:kern w:val="0"/>
          <w:sz w:val="20"/>
          <w:szCs w:val="20"/>
          <w:lang w:val="en-US" w:eastAsia="en-US" w:bidi="ar-SA"/>
        </w:rPr>
        <w:t>场地的施工设备、临时设施或材料撤离施工场地；</w:t>
      </w:r>
    </w:p>
    <w:p w14:paraId="6F9D9B97">
      <w:pPr>
        <w:kinsoku w:val="0"/>
        <w:autoSpaceDE w:val="0"/>
        <w:autoSpaceDN w:val="0"/>
        <w:adjustRightInd w:val="0"/>
        <w:snapToGrid w:val="0"/>
        <w:spacing w:before="162" w:line="240" w:lineRule="auto"/>
        <w:ind w:left="2" w:right="7"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（3）</w:t>
      </w:r>
      <w:r>
        <w:rPr>
          <w:rFonts w:ascii="宋体" w:hAnsi="宋体" w:eastAsia="宋体" w:cs="宋体"/>
          <w:snapToGrid w:val="0"/>
          <w:color w:val="000000"/>
          <w:spacing w:val="38"/>
          <w:kern w:val="0"/>
          <w:sz w:val="18"/>
          <w:szCs w:val="18"/>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承包人违反第 5.4 款的约定使用了不合格材</w:t>
      </w:r>
      <w:r>
        <w:rPr>
          <w:rFonts w:ascii="宋体" w:hAnsi="宋体" w:eastAsia="宋体" w:cs="宋体"/>
          <w:snapToGrid w:val="0"/>
          <w:color w:val="000000"/>
          <w:spacing w:val="8"/>
          <w:kern w:val="0"/>
          <w:sz w:val="20"/>
          <w:szCs w:val="20"/>
          <w:lang w:val="en-US" w:eastAsia="en-US" w:bidi="ar-SA"/>
        </w:rPr>
        <w:t>料或工程设备，工程质量达不到标准要求，又拒</w:t>
      </w:r>
      <w:r>
        <w:rPr>
          <w:rFonts w:ascii="宋体" w:hAnsi="宋体" w:eastAsia="宋体" w:cs="宋体"/>
          <w:snapToGrid w:val="0"/>
          <w:color w:val="000000"/>
          <w:spacing w:val="7"/>
          <w:kern w:val="0"/>
          <w:sz w:val="20"/>
          <w:szCs w:val="20"/>
          <w:lang w:val="en-US" w:eastAsia="en-US" w:bidi="ar-SA"/>
        </w:rPr>
        <w:t>绝清除不合格工程；</w:t>
      </w:r>
    </w:p>
    <w:p w14:paraId="7060D5F3">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（4）</w:t>
      </w:r>
      <w:r>
        <w:rPr>
          <w:rFonts w:ascii="宋体" w:hAnsi="宋体" w:eastAsia="宋体" w:cs="宋体"/>
          <w:snapToGrid w:val="0"/>
          <w:color w:val="000000"/>
          <w:spacing w:val="35"/>
          <w:kern w:val="0"/>
          <w:sz w:val="18"/>
          <w:szCs w:val="18"/>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承包人未能按合同进度计划及时完成合同约定的工作，已</w:t>
      </w:r>
      <w:r>
        <w:rPr>
          <w:rFonts w:ascii="宋体" w:hAnsi="宋体" w:eastAsia="宋体" w:cs="宋体"/>
          <w:snapToGrid w:val="0"/>
          <w:color w:val="000000"/>
          <w:spacing w:val="8"/>
          <w:kern w:val="0"/>
          <w:sz w:val="20"/>
          <w:szCs w:val="20"/>
          <w:lang w:val="en-US" w:eastAsia="en-US" w:bidi="ar-SA"/>
        </w:rPr>
        <w:t>造成或预期造成工期延误；</w:t>
      </w:r>
    </w:p>
    <w:p w14:paraId="461E23FC">
      <w:pPr>
        <w:kinsoku w:val="0"/>
        <w:autoSpaceDE w:val="0"/>
        <w:autoSpaceDN w:val="0"/>
        <w:adjustRightInd w:val="0"/>
        <w:snapToGrid w:val="0"/>
        <w:spacing w:before="164" w:line="240" w:lineRule="auto"/>
        <w:ind w:right="112"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（5）</w:t>
      </w:r>
      <w:r>
        <w:rPr>
          <w:rFonts w:ascii="宋体" w:hAnsi="宋体" w:eastAsia="宋体" w:cs="宋体"/>
          <w:snapToGrid w:val="0"/>
          <w:color w:val="000000"/>
          <w:spacing w:val="38"/>
          <w:kern w:val="0"/>
          <w:sz w:val="18"/>
          <w:szCs w:val="18"/>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承包人在缺陷责任期内，未能对工程接收证书所列的缺陷清单的内容或缺陷责任期内发生的缺陷进行修复，而又拒绝按监理人指示再进行修补；</w:t>
      </w:r>
    </w:p>
    <w:p w14:paraId="2AEE9FAF">
      <w:pPr>
        <w:kinsoku w:val="0"/>
        <w:autoSpaceDE w:val="0"/>
        <w:autoSpaceDN w:val="0"/>
        <w:adjustRightInd w:val="0"/>
        <w:snapToGrid w:val="0"/>
        <w:spacing w:before="160"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（6）</w:t>
      </w:r>
      <w:r>
        <w:rPr>
          <w:rFonts w:ascii="宋体" w:hAnsi="宋体" w:eastAsia="宋体" w:cs="宋体"/>
          <w:snapToGrid w:val="0"/>
          <w:color w:val="000000"/>
          <w:spacing w:val="41"/>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承包人无法继续履行或明确表示不履行或实质上已停止履行合同；</w:t>
      </w:r>
    </w:p>
    <w:p w14:paraId="6F8952A8">
      <w:pPr>
        <w:kinsoku w:val="0"/>
        <w:autoSpaceDE w:val="0"/>
        <w:autoSpaceDN w:val="0"/>
        <w:adjustRightInd w:val="0"/>
        <w:snapToGrid w:val="0"/>
        <w:spacing w:before="16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（7）    </w:t>
      </w:r>
      <w:r>
        <w:rPr>
          <w:rFonts w:ascii="宋体" w:hAnsi="宋体" w:eastAsia="宋体" w:cs="宋体"/>
          <w:snapToGrid w:val="0"/>
          <w:color w:val="000000"/>
          <w:spacing w:val="7"/>
          <w:kern w:val="0"/>
          <w:sz w:val="20"/>
          <w:szCs w:val="20"/>
          <w:lang w:val="en-US" w:eastAsia="en-US" w:bidi="ar-SA"/>
        </w:rPr>
        <w:t>承包人不按合同约定履行义务的其他情况。</w:t>
      </w:r>
    </w:p>
    <w:p w14:paraId="3CB35A5E">
      <w:pPr>
        <w:kinsoku w:val="0"/>
        <w:autoSpaceDE w:val="0"/>
        <w:autoSpaceDN w:val="0"/>
        <w:adjustRightInd w:val="0"/>
        <w:snapToGrid w:val="0"/>
        <w:spacing w:before="164"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22.1.2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对承包人违约的处理</w:t>
      </w:r>
    </w:p>
    <w:p w14:paraId="7E2509F6">
      <w:pPr>
        <w:kinsoku w:val="0"/>
        <w:autoSpaceDE w:val="0"/>
        <w:autoSpaceDN w:val="0"/>
        <w:adjustRightInd w:val="0"/>
        <w:snapToGrid w:val="0"/>
        <w:spacing w:before="161" w:line="240" w:lineRule="auto"/>
        <w:ind w:left="2" w:right="187"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（1）    </w:t>
      </w:r>
      <w:r>
        <w:rPr>
          <w:rFonts w:ascii="宋体" w:hAnsi="宋体" w:eastAsia="宋体" w:cs="宋体"/>
          <w:snapToGrid w:val="0"/>
          <w:color w:val="000000"/>
          <w:spacing w:val="7"/>
          <w:kern w:val="0"/>
          <w:sz w:val="20"/>
          <w:szCs w:val="20"/>
          <w:lang w:val="en-US" w:eastAsia="en-US" w:bidi="ar-SA"/>
        </w:rPr>
        <w:t>承包人发生第 22.1.1（6）</w:t>
      </w:r>
      <w:r>
        <w:rPr>
          <w:rFonts w:ascii="宋体" w:hAnsi="宋体" w:eastAsia="宋体" w:cs="宋体"/>
          <w:snapToGrid w:val="0"/>
          <w:color w:val="000000"/>
          <w:spacing w:val="-41"/>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目约定的违约情况时，发包人可通知承包人立即解除合同，并按有关法律处理。</w:t>
      </w:r>
    </w:p>
    <w:p w14:paraId="324ED9AE">
      <w:pPr>
        <w:kinsoku w:val="0"/>
        <w:autoSpaceDE w:val="0"/>
        <w:autoSpaceDN w:val="0"/>
        <w:adjustRightInd w:val="0"/>
        <w:snapToGrid w:val="0"/>
        <w:spacing w:before="162" w:line="240" w:lineRule="auto"/>
        <w:ind w:right="184"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 xml:space="preserve">（2）    </w:t>
      </w:r>
      <w:r>
        <w:rPr>
          <w:rFonts w:ascii="宋体" w:hAnsi="宋体" w:eastAsia="宋体" w:cs="宋体"/>
          <w:snapToGrid w:val="0"/>
          <w:color w:val="000000"/>
          <w:spacing w:val="7"/>
          <w:kern w:val="0"/>
          <w:sz w:val="20"/>
          <w:szCs w:val="20"/>
          <w:lang w:val="en-US" w:eastAsia="en-US" w:bidi="ar-SA"/>
        </w:rPr>
        <w:t>承包人发生除第 22.1.1（6）</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7"/>
          <w:kern w:val="0"/>
          <w:sz w:val="20"/>
          <w:szCs w:val="20"/>
          <w:lang w:val="en-US" w:eastAsia="en-US" w:bidi="ar-SA"/>
        </w:rPr>
        <w:t>目约定以外的其他违约情况时，监理人可向承包人发出整改</w:t>
      </w:r>
      <w:r>
        <w:rPr>
          <w:rFonts w:ascii="宋体" w:hAnsi="宋体" w:eastAsia="宋体" w:cs="宋体"/>
          <w:snapToGrid w:val="0"/>
          <w:color w:val="000000"/>
          <w:spacing w:val="10"/>
          <w:kern w:val="0"/>
          <w:sz w:val="20"/>
          <w:szCs w:val="20"/>
          <w:lang w:val="en-US" w:eastAsia="en-US" w:bidi="ar-SA"/>
        </w:rPr>
        <w:t>通知，要求其在指定的期限内改正。承包人应承</w:t>
      </w:r>
      <w:r>
        <w:rPr>
          <w:rFonts w:ascii="宋体" w:hAnsi="宋体" w:eastAsia="宋体" w:cs="宋体"/>
          <w:snapToGrid w:val="0"/>
          <w:color w:val="000000"/>
          <w:spacing w:val="9"/>
          <w:kern w:val="0"/>
          <w:sz w:val="20"/>
          <w:szCs w:val="20"/>
          <w:lang w:val="en-US" w:eastAsia="en-US" w:bidi="ar-SA"/>
        </w:rPr>
        <w:t>担其违约所引起的费用增加和（或）工期延误。</w:t>
      </w:r>
    </w:p>
    <w:p w14:paraId="3424DDA8">
      <w:pPr>
        <w:kinsoku w:val="0"/>
        <w:autoSpaceDE w:val="0"/>
        <w:autoSpaceDN w:val="0"/>
        <w:adjustRightInd w:val="0"/>
        <w:snapToGrid w:val="0"/>
        <w:spacing w:before="160" w:line="240" w:lineRule="auto"/>
        <w:ind w:left="3" w:right="184" w:firstLine="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（3）    </w:t>
      </w:r>
      <w:r>
        <w:rPr>
          <w:rFonts w:ascii="宋体" w:hAnsi="宋体" w:eastAsia="宋体" w:cs="宋体"/>
          <w:snapToGrid w:val="0"/>
          <w:color w:val="000000"/>
          <w:spacing w:val="9"/>
          <w:kern w:val="0"/>
          <w:sz w:val="20"/>
          <w:szCs w:val="20"/>
          <w:lang w:val="en-US" w:eastAsia="en-US" w:bidi="ar-SA"/>
        </w:rPr>
        <w:t>经检查证明承包人已采取了有效措施纠正违约行为，具备复工条件的，可由监理人</w:t>
      </w:r>
      <w:r>
        <w:rPr>
          <w:rFonts w:ascii="宋体" w:hAnsi="宋体" w:eastAsia="宋体" w:cs="宋体"/>
          <w:snapToGrid w:val="0"/>
          <w:color w:val="000000"/>
          <w:spacing w:val="8"/>
          <w:kern w:val="0"/>
          <w:sz w:val="20"/>
          <w:szCs w:val="20"/>
          <w:lang w:val="en-US" w:eastAsia="en-US" w:bidi="ar-SA"/>
        </w:rPr>
        <w:t>签发复</w:t>
      </w:r>
      <w:r>
        <w:rPr>
          <w:rFonts w:ascii="宋体" w:hAnsi="宋体" w:eastAsia="宋体" w:cs="宋体"/>
          <w:snapToGrid w:val="0"/>
          <w:color w:val="000000"/>
          <w:spacing w:val="6"/>
          <w:kern w:val="0"/>
          <w:sz w:val="20"/>
          <w:szCs w:val="20"/>
          <w:lang w:val="en-US" w:eastAsia="en-US" w:bidi="ar-SA"/>
        </w:rPr>
        <w:t>工通知复工。</w:t>
      </w:r>
    </w:p>
    <w:p w14:paraId="575A5986">
      <w:pPr>
        <w:kinsoku w:val="0"/>
        <w:autoSpaceDE w:val="0"/>
        <w:autoSpaceDN w:val="0"/>
        <w:adjustRightInd w:val="0"/>
        <w:snapToGrid w:val="0"/>
        <w:spacing w:before="161"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22.1.3</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承包人违约解除合同</w:t>
      </w:r>
    </w:p>
    <w:p w14:paraId="6D39A9B4">
      <w:pPr>
        <w:kinsoku w:val="0"/>
        <w:autoSpaceDE w:val="0"/>
        <w:autoSpaceDN w:val="0"/>
        <w:adjustRightInd w:val="0"/>
        <w:snapToGrid w:val="0"/>
        <w:spacing w:before="162" w:line="240" w:lineRule="auto"/>
        <w:ind w:firstLine="420"/>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8"/>
          <w:kern w:val="0"/>
          <w:sz w:val="20"/>
          <w:szCs w:val="20"/>
          <w:lang w:val="en-US" w:eastAsia="en-US" w:bidi="ar-SA"/>
        </w:rPr>
        <w:t>监理人发出整改通知</w:t>
      </w:r>
      <w:r>
        <w:rPr>
          <w:rFonts w:ascii="宋体" w:hAnsi="宋体" w:eastAsia="宋体" w:cs="宋体"/>
          <w:snapToGrid w:val="0"/>
          <w:color w:val="000000"/>
          <w:spacing w:val="39"/>
          <w:kern w:val="0"/>
          <w:sz w:val="20"/>
          <w:szCs w:val="20"/>
          <w:lang w:val="en-US" w:eastAsia="en-US" w:bidi="ar-SA"/>
        </w:rPr>
        <w:t xml:space="preserve"> </w:t>
      </w:r>
      <w:r>
        <w:rPr>
          <w:rFonts w:ascii="宋体" w:hAnsi="宋体" w:eastAsia="宋体" w:cs="宋体"/>
          <w:snapToGrid w:val="0"/>
          <w:color w:val="000000"/>
          <w:spacing w:val="18"/>
          <w:kern w:val="0"/>
          <w:sz w:val="20"/>
          <w:szCs w:val="20"/>
          <w:lang w:val="en-US" w:eastAsia="en-US" w:bidi="ar-SA"/>
        </w:rPr>
        <w:t>28 天后，承包人仍不纠正违约行为的，发包人可向承包人发出解除合同通</w:t>
      </w:r>
      <w:r>
        <w:rPr>
          <w:rFonts w:ascii="宋体" w:hAnsi="宋体" w:eastAsia="宋体" w:cs="宋体"/>
          <w:snapToGrid w:val="0"/>
          <w:color w:val="000000"/>
          <w:spacing w:val="14"/>
          <w:kern w:val="0"/>
          <w:sz w:val="20"/>
          <w:szCs w:val="20"/>
          <w:lang w:val="en-US" w:eastAsia="en-US" w:bidi="ar-SA"/>
        </w:rPr>
        <w:t>知。合同解除后，发包人可派员进驻施工场地，另行组织人员或委托其他承包人施工。发包人因继续完成该工程的需要，有权扣留使用承包人在现场的材料、设备和临时设施。但发包人的这一行动不免除承</w:t>
      </w:r>
      <w:r>
        <w:rPr>
          <w:rFonts w:ascii="宋体" w:hAnsi="宋体" w:eastAsia="宋体" w:cs="宋体"/>
          <w:snapToGrid w:val="0"/>
          <w:color w:val="000000"/>
          <w:spacing w:val="9"/>
          <w:kern w:val="0"/>
          <w:sz w:val="20"/>
          <w:szCs w:val="20"/>
          <w:lang w:val="en-US" w:eastAsia="en-US" w:bidi="ar-SA"/>
        </w:rPr>
        <w:t>包人应承担的违约责任，也不影响发包人根据合同约定享有的索赔权利。</w:t>
      </w:r>
    </w:p>
    <w:p w14:paraId="7EBBDB40">
      <w:pPr>
        <w:kinsoku w:val="0"/>
        <w:autoSpaceDE w:val="0"/>
        <w:autoSpaceDN w:val="0"/>
        <w:adjustRightInd w:val="0"/>
        <w:snapToGrid w:val="0"/>
        <w:spacing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5"/>
          <w:kern w:val="0"/>
          <w:sz w:val="20"/>
          <w:szCs w:val="20"/>
          <w:lang w:val="en-US" w:eastAsia="en-US" w:bidi="ar-SA"/>
        </w:rPr>
        <w:t>22.1.4</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5"/>
          <w:kern w:val="0"/>
          <w:sz w:val="20"/>
          <w:szCs w:val="20"/>
          <w:lang w:val="en-US" w:eastAsia="en-US" w:bidi="ar-SA"/>
        </w:rPr>
        <w:t>合同解除后的估价、付款和结清</w:t>
      </w:r>
    </w:p>
    <w:p w14:paraId="7A213E0A">
      <w:pPr>
        <w:kinsoku w:val="0"/>
        <w:autoSpaceDE w:val="0"/>
        <w:autoSpaceDN w:val="0"/>
        <w:adjustRightInd w:val="0"/>
        <w:snapToGrid w:val="0"/>
        <w:spacing w:before="164" w:line="240" w:lineRule="auto"/>
        <w:ind w:right="81"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（1）    </w:t>
      </w:r>
      <w:r>
        <w:rPr>
          <w:rFonts w:ascii="宋体" w:hAnsi="宋体" w:eastAsia="宋体" w:cs="宋体"/>
          <w:snapToGrid w:val="0"/>
          <w:color w:val="000000"/>
          <w:spacing w:val="8"/>
          <w:kern w:val="0"/>
          <w:sz w:val="20"/>
          <w:szCs w:val="20"/>
          <w:lang w:val="en-US" w:eastAsia="en-US" w:bidi="ar-SA"/>
        </w:rPr>
        <w:t>合同解除后，监理人按第 3.5</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款商定或确定承包人实际完成工作的价值，以及承包人已提</w:t>
      </w:r>
      <w:r>
        <w:rPr>
          <w:rFonts w:ascii="宋体" w:hAnsi="宋体" w:eastAsia="宋体" w:cs="宋体"/>
          <w:snapToGrid w:val="0"/>
          <w:color w:val="000000"/>
          <w:spacing w:val="9"/>
          <w:kern w:val="0"/>
          <w:sz w:val="20"/>
          <w:szCs w:val="20"/>
          <w:lang w:val="en-US" w:eastAsia="en-US" w:bidi="ar-SA"/>
        </w:rPr>
        <w:t>供的材料、施工设备、工程设备和临时工程等的价值。</w:t>
      </w:r>
    </w:p>
    <w:p w14:paraId="1A889D42">
      <w:pPr>
        <w:kinsoku w:val="0"/>
        <w:autoSpaceDE w:val="0"/>
        <w:autoSpaceDN w:val="0"/>
        <w:adjustRightInd w:val="0"/>
        <w:snapToGrid w:val="0"/>
        <w:spacing w:before="163" w:line="240" w:lineRule="auto"/>
        <w:ind w:left="2" w:right="184" w:firstLine="42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（2）    </w:t>
      </w:r>
      <w:r>
        <w:rPr>
          <w:rFonts w:ascii="宋体" w:hAnsi="宋体" w:eastAsia="宋体" w:cs="宋体"/>
          <w:snapToGrid w:val="0"/>
          <w:color w:val="000000"/>
          <w:spacing w:val="9"/>
          <w:kern w:val="0"/>
          <w:sz w:val="20"/>
          <w:szCs w:val="20"/>
          <w:lang w:val="en-US" w:eastAsia="en-US" w:bidi="ar-SA"/>
        </w:rPr>
        <w:t>合同解除后，发包人应暂停对承包人的一切付款，查清各项付款和已扣款金额，包</w:t>
      </w:r>
      <w:r>
        <w:rPr>
          <w:rFonts w:ascii="宋体" w:hAnsi="宋体" w:eastAsia="宋体" w:cs="宋体"/>
          <w:snapToGrid w:val="0"/>
          <w:color w:val="000000"/>
          <w:spacing w:val="8"/>
          <w:kern w:val="0"/>
          <w:sz w:val="20"/>
          <w:szCs w:val="20"/>
          <w:lang w:val="en-US" w:eastAsia="en-US" w:bidi="ar-SA"/>
        </w:rPr>
        <w:t>括承包</w:t>
      </w:r>
      <w:r>
        <w:rPr>
          <w:rFonts w:ascii="宋体" w:hAnsi="宋体" w:eastAsia="宋体" w:cs="宋体"/>
          <w:snapToGrid w:val="0"/>
          <w:color w:val="000000"/>
          <w:spacing w:val="7"/>
          <w:kern w:val="0"/>
          <w:sz w:val="20"/>
          <w:szCs w:val="20"/>
          <w:lang w:val="en-US" w:eastAsia="en-US" w:bidi="ar-SA"/>
        </w:rPr>
        <w:t>人应支付的违约金。</w:t>
      </w:r>
    </w:p>
    <w:p w14:paraId="53AC2011">
      <w:pPr>
        <w:kinsoku w:val="0"/>
        <w:autoSpaceDE w:val="0"/>
        <w:autoSpaceDN w:val="0"/>
        <w:adjustRightInd w:val="0"/>
        <w:snapToGrid w:val="0"/>
        <w:spacing w:before="161" w:line="240" w:lineRule="auto"/>
        <w:ind w:left="425" w:right="184" w:firstLine="2"/>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（3）    </w:t>
      </w:r>
      <w:r>
        <w:rPr>
          <w:rFonts w:ascii="宋体" w:hAnsi="宋体" w:eastAsia="宋体" w:cs="宋体"/>
          <w:snapToGrid w:val="0"/>
          <w:color w:val="000000"/>
          <w:spacing w:val="8"/>
          <w:kern w:val="0"/>
          <w:sz w:val="20"/>
          <w:szCs w:val="20"/>
          <w:lang w:val="en-US" w:eastAsia="en-US" w:bidi="ar-SA"/>
        </w:rPr>
        <w:t>合同解除后，发包人应按第</w:t>
      </w:r>
      <w:r>
        <w:rPr>
          <w:rFonts w:ascii="宋体" w:hAnsi="宋体" w:eastAsia="宋体" w:cs="宋体"/>
          <w:snapToGrid w:val="0"/>
          <w:color w:val="000000"/>
          <w:spacing w:val="28"/>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23.4 款的约定向承包人索赔由于解除合同给发包人造成的损</w:t>
      </w:r>
      <w:r>
        <w:rPr>
          <w:rFonts w:ascii="宋体" w:hAnsi="宋体" w:eastAsia="宋体" w:cs="宋体"/>
          <w:snapToGrid w:val="0"/>
          <w:color w:val="000000"/>
          <w:spacing w:val="-3"/>
          <w:kern w:val="0"/>
          <w:sz w:val="20"/>
          <w:szCs w:val="20"/>
          <w:lang w:val="en-US" w:eastAsia="en-US" w:bidi="ar-SA"/>
        </w:rPr>
        <w:t>失。</w:t>
      </w:r>
    </w:p>
    <w:p w14:paraId="3EBC8174">
      <w:pPr>
        <w:kinsoku w:val="0"/>
        <w:autoSpaceDE w:val="0"/>
        <w:autoSpaceDN w:val="0"/>
        <w:adjustRightInd w:val="0"/>
        <w:snapToGrid w:val="0"/>
        <w:spacing w:before="160"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（4）    </w:t>
      </w:r>
      <w:r>
        <w:rPr>
          <w:rFonts w:ascii="宋体" w:hAnsi="宋体" w:eastAsia="宋体" w:cs="宋体"/>
          <w:snapToGrid w:val="0"/>
          <w:color w:val="000000"/>
          <w:spacing w:val="9"/>
          <w:kern w:val="0"/>
          <w:sz w:val="20"/>
          <w:szCs w:val="20"/>
          <w:lang w:val="en-US" w:eastAsia="en-US" w:bidi="ar-SA"/>
        </w:rPr>
        <w:t>合同双方确认上述往来款项后，出具</w:t>
      </w:r>
      <w:r>
        <w:rPr>
          <w:rFonts w:ascii="宋体" w:hAnsi="宋体" w:eastAsia="宋体" w:cs="宋体"/>
          <w:snapToGrid w:val="0"/>
          <w:color w:val="000000"/>
          <w:spacing w:val="8"/>
          <w:kern w:val="0"/>
          <w:sz w:val="20"/>
          <w:szCs w:val="20"/>
          <w:lang w:val="en-US" w:eastAsia="en-US" w:bidi="ar-SA"/>
        </w:rPr>
        <w:t>最终结清付款证书，结清全部合同款项。</w:t>
      </w:r>
    </w:p>
    <w:p w14:paraId="549E2349">
      <w:pPr>
        <w:kinsoku w:val="0"/>
        <w:autoSpaceDE w:val="0"/>
        <w:autoSpaceDN w:val="0"/>
        <w:adjustRightInd w:val="0"/>
        <w:snapToGrid w:val="0"/>
        <w:spacing w:before="165" w:line="240" w:lineRule="auto"/>
        <w:ind w:left="3" w:right="395" w:firstLine="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 xml:space="preserve">（5）    </w:t>
      </w:r>
      <w:r>
        <w:rPr>
          <w:rFonts w:ascii="宋体" w:hAnsi="宋体" w:eastAsia="宋体" w:cs="宋体"/>
          <w:snapToGrid w:val="0"/>
          <w:color w:val="000000"/>
          <w:spacing w:val="8"/>
          <w:kern w:val="0"/>
          <w:sz w:val="20"/>
          <w:szCs w:val="20"/>
          <w:lang w:val="en-US" w:eastAsia="en-US" w:bidi="ar-SA"/>
        </w:rPr>
        <w:t>发包人和承包人未能就解除合同后的结清达成一致而形成争议的，按第</w:t>
      </w:r>
      <w:r>
        <w:rPr>
          <w:rFonts w:ascii="宋体" w:hAnsi="宋体" w:eastAsia="宋体" w:cs="宋体"/>
          <w:snapToGrid w:val="0"/>
          <w:color w:val="000000"/>
          <w:spacing w:val="26"/>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24</w:t>
      </w:r>
      <w:r>
        <w:rPr>
          <w:rFonts w:ascii="宋体" w:hAnsi="宋体" w:eastAsia="宋体" w:cs="宋体"/>
          <w:snapToGrid w:val="0"/>
          <w:color w:val="000000"/>
          <w:spacing w:val="14"/>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条的约定办</w:t>
      </w:r>
      <w:r>
        <w:rPr>
          <w:rFonts w:ascii="宋体" w:hAnsi="宋体" w:eastAsia="宋体" w:cs="宋体"/>
          <w:snapToGrid w:val="0"/>
          <w:color w:val="000000"/>
          <w:spacing w:val="-1"/>
          <w:kern w:val="0"/>
          <w:sz w:val="20"/>
          <w:szCs w:val="20"/>
          <w:lang w:val="en-US" w:eastAsia="en-US" w:bidi="ar-SA"/>
        </w:rPr>
        <w:t>理。</w:t>
      </w:r>
    </w:p>
    <w:p w14:paraId="6658905E">
      <w:pPr>
        <w:kinsoku w:val="0"/>
        <w:autoSpaceDE w:val="0"/>
        <w:autoSpaceDN w:val="0"/>
        <w:adjustRightInd w:val="0"/>
        <w:snapToGrid w:val="0"/>
        <w:spacing w:before="151" w:line="240" w:lineRule="auto"/>
        <w:ind w:left="423"/>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3"/>
          <w:kern w:val="0"/>
          <w:sz w:val="20"/>
          <w:szCs w:val="20"/>
          <w:lang w:val="en-US" w:eastAsia="en-US" w:bidi="ar-SA"/>
        </w:rPr>
        <w:t>22.1.5</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b/>
          <w:bCs/>
          <w:snapToGrid w:val="0"/>
          <w:color w:val="000000"/>
          <w:spacing w:val="3"/>
          <w:kern w:val="0"/>
          <w:sz w:val="20"/>
          <w:szCs w:val="20"/>
          <w:lang w:val="en-US" w:eastAsia="en-US" w:bidi="ar-SA"/>
        </w:rPr>
        <w:t>协议利益的转让</w:t>
      </w:r>
    </w:p>
    <w:p w14:paraId="60CF21C4">
      <w:pPr>
        <w:kinsoku w:val="0"/>
        <w:autoSpaceDE w:val="0"/>
        <w:autoSpaceDN w:val="0"/>
        <w:adjustRightInd w:val="0"/>
        <w:snapToGrid w:val="0"/>
        <w:spacing w:before="40" w:line="240" w:lineRule="auto"/>
        <w:ind w:left="420" w:right="614" w:firstLine="1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因承包人违约解除合同的，发包人有权要求承包人将其为实施合同而签订的材料和设备的订货协议或任何服务协议利益转让给发包人，并</w:t>
      </w:r>
      <w:r>
        <w:rPr>
          <w:rFonts w:ascii="宋体" w:hAnsi="宋体" w:eastAsia="宋体" w:cs="宋体"/>
          <w:snapToGrid w:val="0"/>
          <w:color w:val="000000"/>
          <w:spacing w:val="8"/>
          <w:kern w:val="0"/>
          <w:sz w:val="20"/>
          <w:szCs w:val="20"/>
          <w:lang w:val="en-US" w:eastAsia="en-US" w:bidi="ar-SA"/>
        </w:rPr>
        <w:t>在解除合同后的</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14 天内，依法办理转让手续。</w:t>
      </w:r>
    </w:p>
    <w:p w14:paraId="6BE259AE">
      <w:pPr>
        <w:kinsoku w:val="0"/>
        <w:autoSpaceDE w:val="0"/>
        <w:autoSpaceDN w:val="0"/>
        <w:adjustRightInd w:val="0"/>
        <w:snapToGrid w:val="0"/>
        <w:spacing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5"/>
          <w:kern w:val="0"/>
          <w:sz w:val="20"/>
          <w:szCs w:val="20"/>
          <w:lang w:val="en-US" w:eastAsia="en-US" w:bidi="ar-SA"/>
        </w:rPr>
        <w:t>22.1.6</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b/>
          <w:bCs/>
          <w:snapToGrid w:val="0"/>
          <w:color w:val="000000"/>
          <w:spacing w:val="5"/>
          <w:kern w:val="0"/>
          <w:sz w:val="20"/>
          <w:szCs w:val="20"/>
          <w:lang w:val="en-US" w:eastAsia="en-US" w:bidi="ar-SA"/>
        </w:rPr>
        <w:t>紧急情况下无能力或不愿进行抢救</w:t>
      </w:r>
    </w:p>
    <w:p w14:paraId="58315E58">
      <w:pPr>
        <w:kinsoku w:val="0"/>
        <w:autoSpaceDE w:val="0"/>
        <w:autoSpaceDN w:val="0"/>
        <w:adjustRightInd w:val="0"/>
        <w:snapToGrid w:val="0"/>
        <w:spacing w:before="160" w:line="240" w:lineRule="auto"/>
        <w:ind w:left="17" w:right="2" w:firstLine="402"/>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在工程实施期间或缺陷责任期内发生危及工程安全的事件，监理人通知承包人进行抢救，承包人声明无能力或不愿立即执行的，发包人有权雇佣其他人员进行抢救。</w:t>
      </w:r>
      <w:r>
        <w:rPr>
          <w:rFonts w:ascii="宋体" w:hAnsi="宋体" w:eastAsia="宋体" w:cs="宋体"/>
          <w:snapToGrid w:val="0"/>
          <w:color w:val="000000"/>
          <w:spacing w:val="13"/>
          <w:kern w:val="0"/>
          <w:sz w:val="20"/>
          <w:szCs w:val="20"/>
          <w:lang w:val="en-US" w:eastAsia="en-US" w:bidi="ar-SA"/>
        </w:rPr>
        <w:t>此类抢救按合同约定属于承包人义务</w:t>
      </w:r>
      <w:r>
        <w:rPr>
          <w:rFonts w:ascii="宋体" w:hAnsi="宋体" w:eastAsia="宋体" w:cs="宋体"/>
          <w:snapToGrid w:val="0"/>
          <w:color w:val="000000"/>
          <w:spacing w:val="6"/>
          <w:kern w:val="0"/>
          <w:sz w:val="20"/>
          <w:szCs w:val="20"/>
          <w:lang w:val="en-US" w:eastAsia="en-US" w:bidi="ar-SA"/>
        </w:rPr>
        <w:t>的，</w:t>
      </w:r>
      <w:r>
        <w:rPr>
          <w:rFonts w:ascii="宋体" w:hAnsi="宋体" w:eastAsia="宋体" w:cs="宋体"/>
          <w:snapToGrid w:val="0"/>
          <w:color w:val="000000"/>
          <w:spacing w:val="-42"/>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由此发生的金额和（或）工期延误由承包人承担。</w:t>
      </w:r>
    </w:p>
    <w:p w14:paraId="54DFFA9C">
      <w:pPr>
        <w:kinsoku w:val="0"/>
        <w:autoSpaceDE w:val="0"/>
        <w:autoSpaceDN w:val="0"/>
        <w:adjustRightInd w:val="0"/>
        <w:snapToGrid w:val="0"/>
        <w:spacing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22.2</w:t>
      </w:r>
      <w:r>
        <w:rPr>
          <w:rFonts w:ascii="宋体" w:hAnsi="宋体" w:eastAsia="宋体" w:cs="宋体"/>
          <w:snapToGrid w:val="0"/>
          <w:color w:val="000000"/>
          <w:spacing w:val="5"/>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发包人违约</w:t>
      </w:r>
    </w:p>
    <w:p w14:paraId="045E3BDF">
      <w:pPr>
        <w:kinsoku w:val="0"/>
        <w:autoSpaceDE w:val="0"/>
        <w:autoSpaceDN w:val="0"/>
        <w:adjustRightInd w:val="0"/>
        <w:snapToGrid w:val="0"/>
        <w:spacing w:before="175"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22.2.1</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发包人违约的情形</w:t>
      </w:r>
    </w:p>
    <w:p w14:paraId="27B26C93">
      <w:pPr>
        <w:kinsoku w:val="0"/>
        <w:autoSpaceDE w:val="0"/>
        <w:autoSpaceDN w:val="0"/>
        <w:adjustRightInd w:val="0"/>
        <w:snapToGrid w:val="0"/>
        <w:spacing w:before="164" w:line="240" w:lineRule="auto"/>
        <w:ind w:left="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在履行合同过程中发生的下列情形，属发包人违约：</w:t>
      </w:r>
    </w:p>
    <w:p w14:paraId="0F014A00">
      <w:pPr>
        <w:kinsoku w:val="0"/>
        <w:autoSpaceDE w:val="0"/>
        <w:autoSpaceDN w:val="0"/>
        <w:adjustRightInd w:val="0"/>
        <w:snapToGrid w:val="0"/>
        <w:spacing w:before="160" w:line="240" w:lineRule="auto"/>
        <w:ind w:right="7"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（1）</w:t>
      </w:r>
      <w:r>
        <w:rPr>
          <w:rFonts w:ascii="宋体" w:hAnsi="宋体" w:eastAsia="宋体" w:cs="宋体"/>
          <w:snapToGrid w:val="0"/>
          <w:color w:val="000000"/>
          <w:spacing w:val="39"/>
          <w:w w:val="101"/>
          <w:kern w:val="0"/>
          <w:sz w:val="18"/>
          <w:szCs w:val="18"/>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发包人未能按合同约定支付预付款或合同价款，或拖延、拒绝批准付款申请和支</w:t>
      </w:r>
      <w:r>
        <w:rPr>
          <w:rFonts w:ascii="宋体" w:hAnsi="宋体" w:eastAsia="宋体" w:cs="宋体"/>
          <w:snapToGrid w:val="0"/>
          <w:color w:val="000000"/>
          <w:spacing w:val="8"/>
          <w:kern w:val="0"/>
          <w:sz w:val="20"/>
          <w:szCs w:val="20"/>
          <w:lang w:val="en-US" w:eastAsia="en-US" w:bidi="ar-SA"/>
        </w:rPr>
        <w:t>付凭证， 导</w:t>
      </w:r>
      <w:r>
        <w:rPr>
          <w:rFonts w:ascii="宋体" w:hAnsi="宋体" w:eastAsia="宋体" w:cs="宋体"/>
          <w:snapToGrid w:val="0"/>
          <w:color w:val="000000"/>
          <w:spacing w:val="7"/>
          <w:kern w:val="0"/>
          <w:sz w:val="20"/>
          <w:szCs w:val="20"/>
          <w:lang w:val="en-US" w:eastAsia="en-US" w:bidi="ar-SA"/>
        </w:rPr>
        <w:t>致付款延误的；</w:t>
      </w:r>
    </w:p>
    <w:p w14:paraId="14445757">
      <w:pPr>
        <w:kinsoku w:val="0"/>
        <w:autoSpaceDE w:val="0"/>
        <w:autoSpaceDN w:val="0"/>
        <w:adjustRightInd w:val="0"/>
        <w:snapToGrid w:val="0"/>
        <w:spacing w:before="165"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18"/>
          <w:szCs w:val="18"/>
          <w:lang w:val="en-US" w:eastAsia="en-US" w:bidi="ar-SA"/>
        </w:rPr>
        <w:t>（2）</w:t>
      </w:r>
      <w:r>
        <w:rPr>
          <w:rFonts w:ascii="宋体" w:hAnsi="宋体" w:eastAsia="宋体" w:cs="宋体"/>
          <w:snapToGrid w:val="0"/>
          <w:color w:val="000000"/>
          <w:spacing w:val="37"/>
          <w:kern w:val="0"/>
          <w:sz w:val="18"/>
          <w:szCs w:val="18"/>
          <w:lang w:val="en-US" w:eastAsia="en-US" w:bidi="ar-SA"/>
        </w:rPr>
        <w:t xml:space="preserve">  </w:t>
      </w:r>
      <w:r>
        <w:rPr>
          <w:rFonts w:ascii="宋体" w:hAnsi="宋体" w:eastAsia="宋体" w:cs="宋体"/>
          <w:snapToGrid w:val="0"/>
          <w:color w:val="000000"/>
          <w:spacing w:val="6"/>
          <w:kern w:val="0"/>
          <w:sz w:val="20"/>
          <w:szCs w:val="20"/>
          <w:lang w:val="en-US" w:eastAsia="en-US" w:bidi="ar-SA"/>
        </w:rPr>
        <w:t>发包人原因造成停工的；</w:t>
      </w:r>
    </w:p>
    <w:p w14:paraId="3FF32842">
      <w:pPr>
        <w:kinsoku w:val="0"/>
        <w:autoSpaceDE w:val="0"/>
        <w:autoSpaceDN w:val="0"/>
        <w:adjustRightInd w:val="0"/>
        <w:snapToGrid w:val="0"/>
        <w:spacing w:before="160"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（3）</w:t>
      </w:r>
      <w:r>
        <w:rPr>
          <w:rFonts w:ascii="宋体" w:hAnsi="宋体" w:eastAsia="宋体" w:cs="宋体"/>
          <w:snapToGrid w:val="0"/>
          <w:color w:val="000000"/>
          <w:spacing w:val="36"/>
          <w:kern w:val="0"/>
          <w:sz w:val="18"/>
          <w:szCs w:val="18"/>
          <w:lang w:val="en-US" w:eastAsia="en-US" w:bidi="ar-SA"/>
        </w:rPr>
        <w:t xml:space="preserve">  </w:t>
      </w:r>
      <w:r>
        <w:rPr>
          <w:rFonts w:ascii="宋体" w:hAnsi="宋体" w:eastAsia="宋体" w:cs="宋体"/>
          <w:snapToGrid w:val="0"/>
          <w:color w:val="000000"/>
          <w:spacing w:val="9"/>
          <w:kern w:val="0"/>
          <w:sz w:val="20"/>
          <w:szCs w:val="20"/>
          <w:lang w:val="en-US" w:eastAsia="en-US" w:bidi="ar-SA"/>
        </w:rPr>
        <w:t>监理人无正当理由没有在约定期限内发出复</w:t>
      </w:r>
      <w:r>
        <w:rPr>
          <w:rFonts w:ascii="宋体" w:hAnsi="宋体" w:eastAsia="宋体" w:cs="宋体"/>
          <w:snapToGrid w:val="0"/>
          <w:color w:val="000000"/>
          <w:spacing w:val="8"/>
          <w:kern w:val="0"/>
          <w:sz w:val="20"/>
          <w:szCs w:val="20"/>
          <w:lang w:val="en-US" w:eastAsia="en-US" w:bidi="ar-SA"/>
        </w:rPr>
        <w:t>工指示，导致承包人无法复工的；</w:t>
      </w:r>
    </w:p>
    <w:p w14:paraId="1EA8A586">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（4）</w:t>
      </w:r>
      <w:r>
        <w:rPr>
          <w:rFonts w:ascii="宋体" w:hAnsi="宋体" w:eastAsia="宋体" w:cs="宋体"/>
          <w:snapToGrid w:val="0"/>
          <w:color w:val="000000"/>
          <w:spacing w:val="43"/>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发包人无法继续履行或明确表示不履行或实质上已停止履行合同的；</w:t>
      </w:r>
    </w:p>
    <w:p w14:paraId="0F43B48A">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（5）</w:t>
      </w:r>
      <w:r>
        <w:rPr>
          <w:rFonts w:ascii="宋体" w:hAnsi="宋体" w:eastAsia="宋体" w:cs="宋体"/>
          <w:snapToGrid w:val="0"/>
          <w:color w:val="000000"/>
          <w:spacing w:val="38"/>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发包人不履行合同约定其他义务的。</w:t>
      </w:r>
    </w:p>
    <w:p w14:paraId="77C870A3">
      <w:pPr>
        <w:kinsoku w:val="0"/>
        <w:autoSpaceDE w:val="0"/>
        <w:autoSpaceDN w:val="0"/>
        <w:adjustRightInd w:val="0"/>
        <w:snapToGrid w:val="0"/>
        <w:spacing w:before="163"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22.2.2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承包人有权暂停施工</w:t>
      </w:r>
    </w:p>
    <w:p w14:paraId="7CFA2667">
      <w:pPr>
        <w:kinsoku w:val="0"/>
        <w:autoSpaceDE w:val="0"/>
        <w:autoSpaceDN w:val="0"/>
        <w:adjustRightInd w:val="0"/>
        <w:snapToGrid w:val="0"/>
        <w:spacing w:before="160" w:line="240" w:lineRule="auto"/>
        <w:ind w:firstLine="422"/>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发包人发生除第 22.2.1（4）</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目以外的违约情况时</w:t>
      </w:r>
      <w:r>
        <w:rPr>
          <w:rFonts w:ascii="宋体" w:hAnsi="宋体" w:eastAsia="宋体" w:cs="宋体"/>
          <w:snapToGrid w:val="0"/>
          <w:color w:val="000000"/>
          <w:spacing w:val="11"/>
          <w:kern w:val="0"/>
          <w:sz w:val="20"/>
          <w:szCs w:val="20"/>
          <w:lang w:val="en-US" w:eastAsia="en-US" w:bidi="ar-SA"/>
        </w:rPr>
        <w:t>，承包人可向发包人发出通知，要求发包人采取</w:t>
      </w:r>
      <w:r>
        <w:rPr>
          <w:rFonts w:ascii="宋体" w:hAnsi="宋体" w:eastAsia="宋体" w:cs="宋体"/>
          <w:snapToGrid w:val="0"/>
          <w:color w:val="000000"/>
          <w:spacing w:val="18"/>
          <w:kern w:val="0"/>
          <w:sz w:val="20"/>
          <w:szCs w:val="20"/>
          <w:lang w:val="en-US" w:eastAsia="en-US" w:bidi="ar-SA"/>
        </w:rPr>
        <w:t>有效措施纠正违约行为。发包人收到承包人通知后的 28 天内仍不履行合同义务，承包人有权暂停施</w:t>
      </w:r>
      <w:r>
        <w:rPr>
          <w:rFonts w:ascii="宋体" w:hAnsi="宋体" w:eastAsia="宋体" w:cs="宋体"/>
          <w:snapToGrid w:val="0"/>
          <w:color w:val="000000"/>
          <w:spacing w:val="10"/>
          <w:kern w:val="0"/>
          <w:sz w:val="20"/>
          <w:szCs w:val="20"/>
          <w:lang w:val="en-US" w:eastAsia="en-US" w:bidi="ar-SA"/>
        </w:rPr>
        <w:t>工，并通知监理人，发包人应承担由此增加的</w:t>
      </w:r>
      <w:r>
        <w:rPr>
          <w:rFonts w:ascii="宋体" w:hAnsi="宋体" w:eastAsia="宋体" w:cs="宋体"/>
          <w:snapToGrid w:val="0"/>
          <w:color w:val="000000"/>
          <w:spacing w:val="9"/>
          <w:kern w:val="0"/>
          <w:sz w:val="20"/>
          <w:szCs w:val="20"/>
          <w:lang w:val="en-US" w:eastAsia="en-US" w:bidi="ar-SA"/>
        </w:rPr>
        <w:t>费用和（或）工期延误，并支付承包人合理利润。</w:t>
      </w:r>
    </w:p>
    <w:p w14:paraId="69AF1BD7">
      <w:pPr>
        <w:kinsoku w:val="0"/>
        <w:autoSpaceDE w:val="0"/>
        <w:autoSpaceDN w:val="0"/>
        <w:adjustRightInd w:val="0"/>
        <w:snapToGrid w:val="0"/>
        <w:spacing w:before="1"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22.2.3</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发包人违约解除合同</w:t>
      </w:r>
    </w:p>
    <w:p w14:paraId="1F55A414">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6"/>
          <w:kern w:val="0"/>
          <w:sz w:val="18"/>
          <w:szCs w:val="18"/>
          <w:lang w:val="en-US" w:eastAsia="en-US" w:bidi="ar-SA"/>
        </w:rPr>
        <w:t>（1）</w:t>
      </w:r>
      <w:r>
        <w:rPr>
          <w:rFonts w:ascii="宋体" w:hAnsi="宋体" w:eastAsia="宋体" w:cs="宋体"/>
          <w:snapToGrid w:val="0"/>
          <w:color w:val="000000"/>
          <w:spacing w:val="40"/>
          <w:kern w:val="0"/>
          <w:sz w:val="18"/>
          <w:szCs w:val="18"/>
          <w:lang w:val="en-US" w:eastAsia="en-US" w:bidi="ar-SA"/>
        </w:rPr>
        <w:t xml:space="preserve">  </w:t>
      </w:r>
      <w:r>
        <w:rPr>
          <w:rFonts w:ascii="宋体" w:hAnsi="宋体" w:eastAsia="宋体" w:cs="宋体"/>
          <w:snapToGrid w:val="0"/>
          <w:color w:val="000000"/>
          <w:spacing w:val="6"/>
          <w:kern w:val="0"/>
          <w:sz w:val="20"/>
          <w:szCs w:val="20"/>
          <w:lang w:val="en-US" w:eastAsia="en-US" w:bidi="ar-SA"/>
        </w:rPr>
        <w:t>发生第 22.2.1（4）</w:t>
      </w:r>
      <w:r>
        <w:rPr>
          <w:rFonts w:ascii="宋体" w:hAnsi="宋体" w:eastAsia="宋体" w:cs="宋体"/>
          <w:snapToGrid w:val="0"/>
          <w:color w:val="000000"/>
          <w:spacing w:val="-41"/>
          <w:kern w:val="0"/>
          <w:sz w:val="20"/>
          <w:szCs w:val="20"/>
          <w:lang w:val="en-US" w:eastAsia="en-US" w:bidi="ar-SA"/>
        </w:rPr>
        <w:t xml:space="preserve"> </w:t>
      </w:r>
      <w:r>
        <w:rPr>
          <w:rFonts w:ascii="宋体" w:hAnsi="宋体" w:eastAsia="宋体" w:cs="宋体"/>
          <w:snapToGrid w:val="0"/>
          <w:color w:val="000000"/>
          <w:spacing w:val="6"/>
          <w:kern w:val="0"/>
          <w:sz w:val="20"/>
          <w:szCs w:val="20"/>
          <w:lang w:val="en-US" w:eastAsia="en-US" w:bidi="ar-SA"/>
        </w:rPr>
        <w:t>目的违约情况时，承包人可书面通知发包人解除合同。</w:t>
      </w:r>
    </w:p>
    <w:p w14:paraId="4B15C4AB">
      <w:pPr>
        <w:kinsoku w:val="0"/>
        <w:autoSpaceDE w:val="0"/>
        <w:autoSpaceDN w:val="0"/>
        <w:adjustRightInd w:val="0"/>
        <w:snapToGrid w:val="0"/>
        <w:spacing w:before="165" w:line="240" w:lineRule="auto"/>
        <w:ind w:right="2" w:firstLine="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18"/>
          <w:szCs w:val="18"/>
          <w:lang w:val="en-US" w:eastAsia="en-US" w:bidi="ar-SA"/>
        </w:rPr>
        <w:t>（2）</w:t>
      </w:r>
      <w:r>
        <w:rPr>
          <w:rFonts w:ascii="宋体" w:hAnsi="宋体" w:eastAsia="宋体" w:cs="宋体"/>
          <w:snapToGrid w:val="0"/>
          <w:color w:val="000000"/>
          <w:spacing w:val="42"/>
          <w:kern w:val="0"/>
          <w:sz w:val="18"/>
          <w:szCs w:val="18"/>
          <w:lang w:val="en-US" w:eastAsia="en-US" w:bidi="ar-SA"/>
        </w:rPr>
        <w:t xml:space="preserve">  </w:t>
      </w:r>
      <w:r>
        <w:rPr>
          <w:rFonts w:ascii="宋体" w:hAnsi="宋体" w:eastAsia="宋体" w:cs="宋体"/>
          <w:snapToGrid w:val="0"/>
          <w:color w:val="000000"/>
          <w:spacing w:val="10"/>
          <w:kern w:val="0"/>
          <w:sz w:val="20"/>
          <w:szCs w:val="20"/>
          <w:lang w:val="en-US" w:eastAsia="en-US" w:bidi="ar-SA"/>
        </w:rPr>
        <w:t>承包人按 22.2.2 项暂停施工 28 天后，发包人仍不纠正违约行为的，承包人可向发包人发</w:t>
      </w:r>
      <w:r>
        <w:rPr>
          <w:rFonts w:ascii="宋体" w:hAnsi="宋体" w:eastAsia="宋体" w:cs="宋体"/>
          <w:snapToGrid w:val="0"/>
          <w:color w:val="000000"/>
          <w:spacing w:val="14"/>
          <w:kern w:val="0"/>
          <w:sz w:val="20"/>
          <w:szCs w:val="20"/>
          <w:lang w:val="en-US" w:eastAsia="en-US" w:bidi="ar-SA"/>
        </w:rPr>
        <w:t>出解除合同通知。但承包人的这一行动不免除发包人承担的违约责任，也不影响承包人根据合同约定享</w:t>
      </w:r>
      <w:r>
        <w:rPr>
          <w:rFonts w:ascii="宋体" w:hAnsi="宋体" w:eastAsia="宋体" w:cs="宋体"/>
          <w:snapToGrid w:val="0"/>
          <w:color w:val="000000"/>
          <w:spacing w:val="6"/>
          <w:kern w:val="0"/>
          <w:sz w:val="20"/>
          <w:szCs w:val="20"/>
          <w:lang w:val="en-US" w:eastAsia="en-US" w:bidi="ar-SA"/>
        </w:rPr>
        <w:t>有的索赔权利。</w:t>
      </w:r>
    </w:p>
    <w:p w14:paraId="26B5A279">
      <w:pPr>
        <w:kinsoku w:val="0"/>
        <w:autoSpaceDE w:val="0"/>
        <w:autoSpaceDN w:val="0"/>
        <w:adjustRightInd w:val="0"/>
        <w:snapToGrid w:val="0"/>
        <w:spacing w:before="161"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4"/>
          <w:kern w:val="0"/>
          <w:sz w:val="20"/>
          <w:szCs w:val="20"/>
          <w:lang w:val="en-US" w:eastAsia="en-US" w:bidi="ar-SA"/>
        </w:rPr>
        <w:t>22.2.4</w:t>
      </w:r>
      <w:r>
        <w:rPr>
          <w:rFonts w:ascii="宋体" w:hAnsi="宋体" w:eastAsia="宋体" w:cs="宋体"/>
          <w:snapToGrid w:val="0"/>
          <w:color w:val="000000"/>
          <w:spacing w:val="31"/>
          <w:kern w:val="0"/>
          <w:sz w:val="20"/>
          <w:szCs w:val="20"/>
          <w:lang w:val="en-US" w:eastAsia="en-US" w:bidi="ar-SA"/>
        </w:rPr>
        <w:t xml:space="preserve">   </w:t>
      </w:r>
      <w:r>
        <w:rPr>
          <w:rFonts w:ascii="宋体" w:hAnsi="宋体" w:eastAsia="宋体" w:cs="宋体"/>
          <w:b/>
          <w:bCs/>
          <w:snapToGrid w:val="0"/>
          <w:color w:val="000000"/>
          <w:spacing w:val="4"/>
          <w:kern w:val="0"/>
          <w:sz w:val="20"/>
          <w:szCs w:val="20"/>
          <w:lang w:val="en-US" w:eastAsia="en-US" w:bidi="ar-SA"/>
        </w:rPr>
        <w:t>解除合同后的付款</w:t>
      </w:r>
    </w:p>
    <w:p w14:paraId="10F17007">
      <w:pPr>
        <w:kinsoku w:val="0"/>
        <w:autoSpaceDE w:val="0"/>
        <w:autoSpaceDN w:val="0"/>
        <w:adjustRightInd w:val="0"/>
        <w:snapToGrid w:val="0"/>
        <w:spacing w:before="163" w:line="240" w:lineRule="auto"/>
        <w:ind w:left="2" w:right="2" w:firstLine="43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因发包人违约解除合同的，发包人应在解除合同后 28 天内向承包人支付下列金额，承包人应在此</w:t>
      </w:r>
      <w:r>
        <w:rPr>
          <w:rFonts w:ascii="宋体" w:hAnsi="宋体" w:eastAsia="宋体" w:cs="宋体"/>
          <w:snapToGrid w:val="0"/>
          <w:color w:val="000000"/>
          <w:spacing w:val="9"/>
          <w:kern w:val="0"/>
          <w:sz w:val="20"/>
          <w:szCs w:val="20"/>
          <w:lang w:val="en-US" w:eastAsia="en-US" w:bidi="ar-SA"/>
        </w:rPr>
        <w:t>期限内及时向发包人提交要求支付下列金额的有关资料和凭证：</w:t>
      </w:r>
    </w:p>
    <w:p w14:paraId="3CD0B73B">
      <w:pPr>
        <w:kinsoku w:val="0"/>
        <w:autoSpaceDE w:val="0"/>
        <w:autoSpaceDN w:val="0"/>
        <w:adjustRightInd w:val="0"/>
        <w:snapToGrid w:val="0"/>
        <w:spacing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18"/>
          <w:szCs w:val="18"/>
          <w:lang w:val="en-US" w:eastAsia="en-US" w:bidi="ar-SA"/>
        </w:rPr>
        <w:t>（1）</w:t>
      </w:r>
      <w:r>
        <w:rPr>
          <w:rFonts w:ascii="宋体" w:hAnsi="宋体" w:eastAsia="宋体" w:cs="宋体"/>
          <w:snapToGrid w:val="0"/>
          <w:color w:val="000000"/>
          <w:spacing w:val="38"/>
          <w:kern w:val="0"/>
          <w:sz w:val="18"/>
          <w:szCs w:val="18"/>
          <w:lang w:val="en-US" w:eastAsia="en-US" w:bidi="ar-SA"/>
        </w:rPr>
        <w:t xml:space="preserve">  </w:t>
      </w:r>
      <w:r>
        <w:rPr>
          <w:rFonts w:ascii="宋体" w:hAnsi="宋体" w:eastAsia="宋体" w:cs="宋体"/>
          <w:snapToGrid w:val="0"/>
          <w:color w:val="000000"/>
          <w:spacing w:val="7"/>
          <w:kern w:val="0"/>
          <w:sz w:val="20"/>
          <w:szCs w:val="20"/>
          <w:lang w:val="en-US" w:eastAsia="en-US" w:bidi="ar-SA"/>
        </w:rPr>
        <w:t>合同解除日以前所完成工作的价款；</w:t>
      </w:r>
    </w:p>
    <w:p w14:paraId="377FA07B">
      <w:pPr>
        <w:kinsoku w:val="0"/>
        <w:autoSpaceDE w:val="0"/>
        <w:autoSpaceDN w:val="0"/>
        <w:adjustRightInd w:val="0"/>
        <w:snapToGrid w:val="0"/>
        <w:spacing w:before="162" w:line="240" w:lineRule="auto"/>
        <w:ind w:right="7" w:firstLine="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（2）</w:t>
      </w:r>
      <w:r>
        <w:rPr>
          <w:rFonts w:ascii="宋体" w:hAnsi="宋体" w:eastAsia="宋体" w:cs="宋体"/>
          <w:snapToGrid w:val="0"/>
          <w:color w:val="000000"/>
          <w:spacing w:val="40"/>
          <w:kern w:val="0"/>
          <w:sz w:val="18"/>
          <w:szCs w:val="18"/>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承包人为该工程施工订购并已付款的材料、工程设备和其他物品的金额。发包</w:t>
      </w:r>
      <w:r>
        <w:rPr>
          <w:rFonts w:ascii="宋体" w:hAnsi="宋体" w:eastAsia="宋体" w:cs="宋体"/>
          <w:snapToGrid w:val="0"/>
          <w:color w:val="000000"/>
          <w:spacing w:val="8"/>
          <w:kern w:val="0"/>
          <w:sz w:val="20"/>
          <w:szCs w:val="20"/>
          <w:lang w:val="en-US" w:eastAsia="en-US" w:bidi="ar-SA"/>
        </w:rPr>
        <w:t>人付还后， 该材料、工程设备和其他物品归发包人所有；</w:t>
      </w:r>
    </w:p>
    <w:p w14:paraId="50130033">
      <w:pPr>
        <w:kinsoku w:val="0"/>
        <w:autoSpaceDE w:val="0"/>
        <w:autoSpaceDN w:val="0"/>
        <w:adjustRightInd w:val="0"/>
        <w:snapToGrid w:val="0"/>
        <w:spacing w:before="162"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（3）</w:t>
      </w:r>
      <w:r>
        <w:rPr>
          <w:rFonts w:ascii="宋体" w:hAnsi="宋体" w:eastAsia="宋体" w:cs="宋体"/>
          <w:snapToGrid w:val="0"/>
          <w:color w:val="000000"/>
          <w:spacing w:val="38"/>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承包人为完成工程所发生的，而发包人未支付的金</w:t>
      </w:r>
      <w:r>
        <w:rPr>
          <w:rFonts w:ascii="宋体" w:hAnsi="宋体" w:eastAsia="宋体" w:cs="宋体"/>
          <w:snapToGrid w:val="0"/>
          <w:color w:val="000000"/>
          <w:spacing w:val="7"/>
          <w:kern w:val="0"/>
          <w:sz w:val="20"/>
          <w:szCs w:val="20"/>
          <w:lang w:val="en-US" w:eastAsia="en-US" w:bidi="ar-SA"/>
        </w:rPr>
        <w:t>额；</w:t>
      </w:r>
    </w:p>
    <w:p w14:paraId="67688B28">
      <w:pPr>
        <w:kinsoku w:val="0"/>
        <w:autoSpaceDE w:val="0"/>
        <w:autoSpaceDN w:val="0"/>
        <w:adjustRightInd w:val="0"/>
        <w:snapToGrid w:val="0"/>
        <w:spacing w:before="164"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（4）</w:t>
      </w:r>
      <w:r>
        <w:rPr>
          <w:rFonts w:ascii="宋体" w:hAnsi="宋体" w:eastAsia="宋体" w:cs="宋体"/>
          <w:snapToGrid w:val="0"/>
          <w:color w:val="000000"/>
          <w:spacing w:val="38"/>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承包人撤离施工场地以及遣散承包人</w:t>
      </w:r>
      <w:r>
        <w:rPr>
          <w:rFonts w:ascii="宋体" w:hAnsi="宋体" w:eastAsia="宋体" w:cs="宋体"/>
          <w:snapToGrid w:val="0"/>
          <w:color w:val="000000"/>
          <w:spacing w:val="7"/>
          <w:kern w:val="0"/>
          <w:sz w:val="20"/>
          <w:szCs w:val="20"/>
          <w:lang w:val="en-US" w:eastAsia="en-US" w:bidi="ar-SA"/>
        </w:rPr>
        <w:t>人员的金额；</w:t>
      </w:r>
    </w:p>
    <w:p w14:paraId="53C5E003">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18"/>
          <w:szCs w:val="18"/>
          <w:lang w:val="en-US" w:eastAsia="en-US" w:bidi="ar-SA"/>
        </w:rPr>
        <w:t xml:space="preserve">（5）   </w:t>
      </w:r>
      <w:r>
        <w:rPr>
          <w:rFonts w:ascii="宋体" w:hAnsi="宋体" w:eastAsia="宋体" w:cs="宋体"/>
          <w:snapToGrid w:val="0"/>
          <w:color w:val="000000"/>
          <w:spacing w:val="5"/>
          <w:kern w:val="0"/>
          <w:sz w:val="20"/>
          <w:szCs w:val="20"/>
          <w:lang w:val="en-US" w:eastAsia="en-US" w:bidi="ar-SA"/>
        </w:rPr>
        <w:t>由于解除合同应赔偿的承包人损失；</w:t>
      </w:r>
    </w:p>
    <w:p w14:paraId="751D768E">
      <w:pPr>
        <w:kinsoku w:val="0"/>
        <w:autoSpaceDE w:val="0"/>
        <w:autoSpaceDN w:val="0"/>
        <w:adjustRightInd w:val="0"/>
        <w:snapToGrid w:val="0"/>
        <w:spacing w:before="161" w:line="240" w:lineRule="auto"/>
        <w:ind w:left="42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18"/>
          <w:szCs w:val="18"/>
          <w:lang w:val="en-US" w:eastAsia="en-US" w:bidi="ar-SA"/>
        </w:rPr>
        <w:t>（6）</w:t>
      </w:r>
      <w:r>
        <w:rPr>
          <w:rFonts w:ascii="宋体" w:hAnsi="宋体" w:eastAsia="宋体" w:cs="宋体"/>
          <w:snapToGrid w:val="0"/>
          <w:color w:val="000000"/>
          <w:spacing w:val="39"/>
          <w:kern w:val="0"/>
          <w:sz w:val="18"/>
          <w:szCs w:val="18"/>
          <w:lang w:val="en-US" w:eastAsia="en-US" w:bidi="ar-SA"/>
        </w:rPr>
        <w:t xml:space="preserve">  </w:t>
      </w:r>
      <w:r>
        <w:rPr>
          <w:rFonts w:ascii="宋体" w:hAnsi="宋体" w:eastAsia="宋体" w:cs="宋体"/>
          <w:snapToGrid w:val="0"/>
          <w:color w:val="000000"/>
          <w:spacing w:val="8"/>
          <w:kern w:val="0"/>
          <w:sz w:val="20"/>
          <w:szCs w:val="20"/>
          <w:lang w:val="en-US" w:eastAsia="en-US" w:bidi="ar-SA"/>
        </w:rPr>
        <w:t>按合同约定在合同解除日前应支付给承包人的其他</w:t>
      </w:r>
      <w:r>
        <w:rPr>
          <w:rFonts w:ascii="宋体" w:hAnsi="宋体" w:eastAsia="宋体" w:cs="宋体"/>
          <w:snapToGrid w:val="0"/>
          <w:color w:val="000000"/>
          <w:spacing w:val="7"/>
          <w:kern w:val="0"/>
          <w:sz w:val="20"/>
          <w:szCs w:val="20"/>
          <w:lang w:val="en-US" w:eastAsia="en-US" w:bidi="ar-SA"/>
        </w:rPr>
        <w:t>金额。</w:t>
      </w:r>
    </w:p>
    <w:p w14:paraId="5C95CEFF">
      <w:pPr>
        <w:kinsoku w:val="0"/>
        <w:autoSpaceDE w:val="0"/>
        <w:autoSpaceDN w:val="0"/>
        <w:adjustRightInd w:val="0"/>
        <w:snapToGrid w:val="0"/>
        <w:spacing w:before="161" w:line="240" w:lineRule="auto"/>
        <w:ind w:left="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发包人应按本项约定支付上述金额并退还质量保证金和履约担保，</w:t>
      </w:r>
      <w:r>
        <w:rPr>
          <w:rFonts w:ascii="宋体" w:hAnsi="宋体" w:eastAsia="宋体" w:cs="宋体"/>
          <w:snapToGrid w:val="0"/>
          <w:color w:val="000000"/>
          <w:spacing w:val="9"/>
          <w:kern w:val="0"/>
          <w:sz w:val="20"/>
          <w:szCs w:val="20"/>
          <w:lang w:val="en-US" w:eastAsia="en-US" w:bidi="ar-SA"/>
        </w:rPr>
        <w:t>但有权要求承包人支付应偿还给</w:t>
      </w:r>
    </w:p>
    <w:p w14:paraId="602B9C00">
      <w:pPr>
        <w:kinsoku w:val="0"/>
        <w:autoSpaceDE w:val="0"/>
        <w:autoSpaceDN w:val="0"/>
        <w:adjustRightInd w:val="0"/>
        <w:snapToGrid w:val="0"/>
        <w:spacing w:before="41" w:line="240" w:lineRule="auto"/>
        <w:ind w:left="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7"/>
          <w:kern w:val="0"/>
          <w:sz w:val="20"/>
          <w:szCs w:val="20"/>
          <w:lang w:val="en-US" w:eastAsia="en-US" w:bidi="ar-SA"/>
        </w:rPr>
        <w:t>发包人的各项金额。</w:t>
      </w:r>
    </w:p>
    <w:p w14:paraId="05B57FC6">
      <w:pPr>
        <w:kinsoku w:val="0"/>
        <w:autoSpaceDE w:val="0"/>
        <w:autoSpaceDN w:val="0"/>
        <w:adjustRightInd w:val="0"/>
        <w:snapToGrid w:val="0"/>
        <w:spacing w:before="161" w:line="240" w:lineRule="auto"/>
        <w:ind w:left="422"/>
        <w:jc w:val="left"/>
        <w:textAlignment w:val="baseline"/>
        <w:outlineLvl w:val="3"/>
        <w:rPr>
          <w:rFonts w:ascii="宋体" w:hAnsi="宋体" w:eastAsia="宋体" w:cs="宋体"/>
          <w:snapToGrid w:val="0"/>
          <w:color w:val="000000"/>
          <w:kern w:val="0"/>
          <w:sz w:val="20"/>
          <w:szCs w:val="20"/>
          <w:lang w:val="en-US" w:eastAsia="en-US" w:bidi="ar-SA"/>
        </w:rPr>
      </w:pPr>
      <w:r>
        <w:rPr>
          <w:rFonts w:ascii="宋体" w:hAnsi="宋体" w:eastAsia="宋体" w:cs="宋体"/>
          <w:b/>
          <w:bCs/>
          <w:snapToGrid w:val="0"/>
          <w:color w:val="000000"/>
          <w:spacing w:val="5"/>
          <w:kern w:val="0"/>
          <w:sz w:val="20"/>
          <w:szCs w:val="20"/>
          <w:lang w:val="en-US" w:eastAsia="en-US" w:bidi="ar-SA"/>
        </w:rPr>
        <w:t>22.2.5</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b/>
          <w:bCs/>
          <w:snapToGrid w:val="0"/>
          <w:color w:val="000000"/>
          <w:spacing w:val="5"/>
          <w:kern w:val="0"/>
          <w:sz w:val="20"/>
          <w:szCs w:val="20"/>
          <w:lang w:val="en-US" w:eastAsia="en-US" w:bidi="ar-SA"/>
        </w:rPr>
        <w:t>解除合同后的承包人撤离</w:t>
      </w:r>
    </w:p>
    <w:p w14:paraId="554917C3">
      <w:pPr>
        <w:kinsoku w:val="0"/>
        <w:autoSpaceDE w:val="0"/>
        <w:autoSpaceDN w:val="0"/>
        <w:adjustRightInd w:val="0"/>
        <w:snapToGrid w:val="0"/>
        <w:spacing w:before="162" w:line="240" w:lineRule="auto"/>
        <w:ind w:firstLine="436"/>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因发包人违约而解除合同后，承包人应妥善做好已竣工工程和已购材料、设备的保</w:t>
      </w:r>
      <w:r>
        <w:rPr>
          <w:rFonts w:ascii="宋体" w:hAnsi="宋体" w:eastAsia="宋体" w:cs="宋体"/>
          <w:snapToGrid w:val="0"/>
          <w:color w:val="000000"/>
          <w:spacing w:val="13"/>
          <w:kern w:val="0"/>
          <w:sz w:val="20"/>
          <w:szCs w:val="20"/>
          <w:lang w:val="en-US" w:eastAsia="en-US" w:bidi="ar-SA"/>
        </w:rPr>
        <w:t>护和移交工作，</w:t>
      </w:r>
      <w:r>
        <w:rPr>
          <w:rFonts w:ascii="宋体" w:hAnsi="宋体" w:eastAsia="宋体" w:cs="宋体"/>
          <w:snapToGrid w:val="0"/>
          <w:color w:val="000000"/>
          <w:spacing w:val="12"/>
          <w:kern w:val="0"/>
          <w:sz w:val="20"/>
          <w:szCs w:val="20"/>
          <w:lang w:val="en-US" w:eastAsia="en-US" w:bidi="ar-SA"/>
        </w:rPr>
        <w:t>按发包人要求将承包人设备和人员撤出施工场地。承包人撤出施工场地应遵守第</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18.7.1 项的约定，发</w:t>
      </w:r>
      <w:r>
        <w:rPr>
          <w:rFonts w:ascii="宋体" w:hAnsi="宋体" w:eastAsia="宋体" w:cs="宋体"/>
          <w:snapToGrid w:val="0"/>
          <w:color w:val="000000"/>
          <w:spacing w:val="8"/>
          <w:kern w:val="0"/>
          <w:sz w:val="20"/>
          <w:szCs w:val="20"/>
          <w:lang w:val="en-US" w:eastAsia="en-US" w:bidi="ar-SA"/>
        </w:rPr>
        <w:t>包人应为承包人撤出提供必要条件。</w:t>
      </w:r>
    </w:p>
    <w:p w14:paraId="1D98595F">
      <w:pPr>
        <w:kinsoku w:val="0"/>
        <w:autoSpaceDE w:val="0"/>
        <w:autoSpaceDN w:val="0"/>
        <w:adjustRightInd w:val="0"/>
        <w:snapToGrid w:val="0"/>
        <w:spacing w:before="1"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22.3</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第三人造成的违约</w:t>
      </w:r>
    </w:p>
    <w:p w14:paraId="26A0BC6F">
      <w:pPr>
        <w:kinsoku w:val="0"/>
        <w:autoSpaceDE w:val="0"/>
        <w:autoSpaceDN w:val="0"/>
        <w:adjustRightInd w:val="0"/>
        <w:snapToGrid w:val="0"/>
        <w:spacing w:before="175" w:line="240" w:lineRule="auto"/>
        <w:ind w:right="192" w:firstLine="41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在履行合同过程中，一方当事人因第三人的原因造成违约的，应当向对方当</w:t>
      </w:r>
      <w:r>
        <w:rPr>
          <w:rFonts w:ascii="宋体" w:hAnsi="宋体" w:eastAsia="宋体" w:cs="宋体"/>
          <w:snapToGrid w:val="0"/>
          <w:color w:val="000000"/>
          <w:spacing w:val="9"/>
          <w:kern w:val="0"/>
          <w:sz w:val="20"/>
          <w:szCs w:val="20"/>
          <w:lang w:val="en-US" w:eastAsia="en-US" w:bidi="ar-SA"/>
        </w:rPr>
        <w:t>事人承担违约责任。一方当事人和第三人之间的纠纷，依照法律规定或者按照约定解决。</w:t>
      </w:r>
    </w:p>
    <w:p w14:paraId="021EBAE3">
      <w:pPr>
        <w:kinsoku w:val="0"/>
        <w:autoSpaceDE w:val="0"/>
        <w:autoSpaceDN w:val="0"/>
        <w:adjustRightInd w:val="0"/>
        <w:snapToGrid w:val="0"/>
        <w:spacing w:before="7" w:line="240" w:lineRule="auto"/>
        <w:ind w:left="4346"/>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5"/>
          <w:szCs w:val="25"/>
          <w:lang w:val="en-US" w:eastAsia="en-US" w:bidi="ar-SA"/>
        </w:rPr>
        <w:t>23.</w:t>
      </w:r>
      <w:r>
        <w:rPr>
          <w:rFonts w:ascii="宋体" w:hAnsi="宋体" w:eastAsia="宋体" w:cs="宋体"/>
          <w:snapToGrid w:val="0"/>
          <w:color w:val="000000"/>
          <w:spacing w:val="21"/>
          <w:kern w:val="0"/>
          <w:sz w:val="25"/>
          <w:szCs w:val="25"/>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索赔</w:t>
      </w:r>
    </w:p>
    <w:p w14:paraId="352CD3AC">
      <w:pPr>
        <w:kinsoku w:val="0"/>
        <w:autoSpaceDE w:val="0"/>
        <w:autoSpaceDN w:val="0"/>
        <w:adjustRightInd w:val="0"/>
        <w:snapToGrid w:val="0"/>
        <w:spacing w:before="177"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23.1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承包人索赔的提出</w:t>
      </w:r>
    </w:p>
    <w:p w14:paraId="27943843">
      <w:pPr>
        <w:kinsoku w:val="0"/>
        <w:autoSpaceDE w:val="0"/>
        <w:autoSpaceDN w:val="0"/>
        <w:adjustRightInd w:val="0"/>
        <w:snapToGrid w:val="0"/>
        <w:spacing w:before="176" w:line="240" w:lineRule="auto"/>
        <w:ind w:right="192" w:firstLine="419"/>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20"/>
          <w:szCs w:val="20"/>
          <w:lang w:val="en-US" w:eastAsia="en-US" w:bidi="ar-SA"/>
        </w:rPr>
        <w:t>根据合同约定，承包人认为有权得到追加付款和（或）延长工期的，应按</w:t>
      </w:r>
      <w:r>
        <w:rPr>
          <w:rFonts w:ascii="宋体" w:hAnsi="宋体" w:eastAsia="宋体" w:cs="宋体"/>
          <w:snapToGrid w:val="0"/>
          <w:color w:val="000000"/>
          <w:spacing w:val="9"/>
          <w:kern w:val="0"/>
          <w:sz w:val="20"/>
          <w:szCs w:val="20"/>
          <w:lang w:val="en-US" w:eastAsia="en-US" w:bidi="ar-SA"/>
        </w:rPr>
        <w:t>以下程序向发包人提出索</w:t>
      </w:r>
      <w:r>
        <w:rPr>
          <w:rFonts w:ascii="宋体" w:hAnsi="宋体" w:eastAsia="宋体" w:cs="宋体"/>
          <w:snapToGrid w:val="0"/>
          <w:color w:val="000000"/>
          <w:kern w:val="0"/>
          <w:sz w:val="20"/>
          <w:szCs w:val="20"/>
          <w:lang w:val="en-US" w:eastAsia="en-US" w:bidi="ar-SA"/>
        </w:rPr>
        <w:t>赔：</w:t>
      </w:r>
    </w:p>
    <w:p w14:paraId="51C52EA5">
      <w:pPr>
        <w:kinsoku w:val="0"/>
        <w:autoSpaceDE w:val="0"/>
        <w:autoSpaceDN w:val="0"/>
        <w:adjustRightInd w:val="0"/>
        <w:snapToGrid w:val="0"/>
        <w:spacing w:before="1" w:line="240" w:lineRule="auto"/>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（1）</w:t>
      </w:r>
      <w:r>
        <w:rPr>
          <w:rFonts w:ascii="宋体" w:hAnsi="宋体" w:eastAsia="宋体" w:cs="宋体"/>
          <w:snapToGrid w:val="0"/>
          <w:color w:val="000000"/>
          <w:spacing w:val="3"/>
          <w:kern w:val="0"/>
          <w:sz w:val="18"/>
          <w:szCs w:val="18"/>
          <w:lang w:val="en-US" w:eastAsia="en-US" w:bidi="ar-SA"/>
        </w:rPr>
        <w:t xml:space="preserve">      </w:t>
      </w:r>
      <w:r>
        <w:rPr>
          <w:rFonts w:ascii="宋体" w:hAnsi="宋体" w:eastAsia="宋体" w:cs="宋体"/>
          <w:snapToGrid w:val="0"/>
          <w:color w:val="000000"/>
          <w:spacing w:val="9"/>
          <w:kern w:val="0"/>
          <w:sz w:val="20"/>
          <w:szCs w:val="20"/>
          <w:lang w:val="en-US" w:eastAsia="en-US" w:bidi="ar-SA"/>
        </w:rPr>
        <w:t>承包人应在知道或应当知道索赔事件发生后 28 天</w:t>
      </w:r>
      <w:r>
        <w:rPr>
          <w:rFonts w:ascii="宋体" w:hAnsi="宋体" w:eastAsia="宋体" w:cs="宋体"/>
          <w:snapToGrid w:val="0"/>
          <w:color w:val="000000"/>
          <w:spacing w:val="8"/>
          <w:kern w:val="0"/>
          <w:sz w:val="20"/>
          <w:szCs w:val="20"/>
          <w:lang w:val="en-US" w:eastAsia="en-US" w:bidi="ar-SA"/>
        </w:rPr>
        <w:t>内，向监理人递交索赔意向通知书，并</w:t>
      </w:r>
    </w:p>
    <w:p w14:paraId="73AF8435">
      <w:pPr>
        <w:kinsoku w:val="0"/>
        <w:autoSpaceDE w:val="0"/>
        <w:autoSpaceDN w:val="0"/>
        <w:adjustRightInd w:val="0"/>
        <w:snapToGrid w:val="0"/>
        <w:spacing w:before="161" w:line="240" w:lineRule="auto"/>
        <w:ind w:left="430" w:firstLine="18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说明发生索赔事件的事由。承包人未在前述 28 天内发出索赔意向通知书的，丧失要求追加付款和</w:t>
      </w:r>
      <w:r>
        <w:rPr>
          <w:rFonts w:ascii="宋体" w:hAnsi="宋体" w:eastAsia="宋体" w:cs="宋体"/>
          <w:snapToGrid w:val="0"/>
          <w:color w:val="000000"/>
          <w:spacing w:val="7"/>
          <w:kern w:val="0"/>
          <w:sz w:val="20"/>
          <w:szCs w:val="20"/>
          <w:lang w:val="en-US" w:eastAsia="en-US" w:bidi="ar-SA"/>
        </w:rPr>
        <w:t>（或）延长工期的权利；</w:t>
      </w:r>
    </w:p>
    <w:p w14:paraId="502BEA62">
      <w:pPr>
        <w:kinsoku w:val="0"/>
        <w:autoSpaceDE w:val="0"/>
        <w:autoSpaceDN w:val="0"/>
        <w:adjustRightInd w:val="0"/>
        <w:snapToGrid w:val="0"/>
        <w:spacing w:before="2" w:line="240" w:lineRule="auto"/>
        <w:ind w:left="2" w:right="28" w:firstLine="42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（2）   </w:t>
      </w:r>
      <w:r>
        <w:rPr>
          <w:rFonts w:ascii="宋体" w:hAnsi="宋体" w:eastAsia="宋体" w:cs="宋体"/>
          <w:snapToGrid w:val="0"/>
          <w:color w:val="000000"/>
          <w:spacing w:val="9"/>
          <w:kern w:val="0"/>
          <w:sz w:val="20"/>
          <w:szCs w:val="20"/>
          <w:lang w:val="en-US" w:eastAsia="en-US" w:bidi="ar-SA"/>
        </w:rPr>
        <w:t>承包人应在发出索赔意向通知书后 28</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天内，向监理人正式递交索赔通知书。索赔通知书应</w:t>
      </w:r>
      <w:r>
        <w:rPr>
          <w:rFonts w:ascii="宋体" w:hAnsi="宋体" w:eastAsia="宋体" w:cs="宋体"/>
          <w:snapToGrid w:val="0"/>
          <w:color w:val="000000"/>
          <w:spacing w:val="10"/>
          <w:kern w:val="0"/>
          <w:sz w:val="20"/>
          <w:szCs w:val="20"/>
          <w:lang w:val="en-US" w:eastAsia="en-US" w:bidi="ar-SA"/>
        </w:rPr>
        <w:t>详细说明索赔理由以及要求追加的付款金额</w:t>
      </w:r>
      <w:r>
        <w:rPr>
          <w:rFonts w:ascii="宋体" w:hAnsi="宋体" w:eastAsia="宋体" w:cs="宋体"/>
          <w:snapToGrid w:val="0"/>
          <w:color w:val="000000"/>
          <w:spacing w:val="9"/>
          <w:kern w:val="0"/>
          <w:sz w:val="20"/>
          <w:szCs w:val="20"/>
          <w:lang w:val="en-US" w:eastAsia="en-US" w:bidi="ar-SA"/>
        </w:rPr>
        <w:t>和（或）延长的工期，并附必要的记录和证明材料；</w:t>
      </w:r>
    </w:p>
    <w:p w14:paraId="5E268449">
      <w:pPr>
        <w:kinsoku w:val="0"/>
        <w:autoSpaceDE w:val="0"/>
        <w:autoSpaceDN w:val="0"/>
        <w:adjustRightInd w:val="0"/>
        <w:snapToGrid w:val="0"/>
        <w:spacing w:before="162" w:line="240" w:lineRule="auto"/>
        <w:ind w:left="10" w:right="247" w:firstLine="41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18"/>
          <w:szCs w:val="18"/>
          <w:lang w:val="en-US" w:eastAsia="en-US" w:bidi="ar-SA"/>
        </w:rPr>
        <w:t xml:space="preserve">（3）   </w:t>
      </w:r>
      <w:r>
        <w:rPr>
          <w:rFonts w:ascii="宋体" w:hAnsi="宋体" w:eastAsia="宋体" w:cs="宋体"/>
          <w:snapToGrid w:val="0"/>
          <w:color w:val="000000"/>
          <w:spacing w:val="10"/>
          <w:kern w:val="0"/>
          <w:sz w:val="20"/>
          <w:szCs w:val="20"/>
          <w:lang w:val="en-US" w:eastAsia="en-US" w:bidi="ar-SA"/>
        </w:rPr>
        <w:t>索赔事件具有连续影响的，承包人应按合理时间间隔继续递</w:t>
      </w:r>
      <w:r>
        <w:rPr>
          <w:rFonts w:ascii="宋体" w:hAnsi="宋体" w:eastAsia="宋体" w:cs="宋体"/>
          <w:snapToGrid w:val="0"/>
          <w:color w:val="000000"/>
          <w:spacing w:val="9"/>
          <w:kern w:val="0"/>
          <w:sz w:val="20"/>
          <w:szCs w:val="20"/>
          <w:lang w:val="en-US" w:eastAsia="en-US" w:bidi="ar-SA"/>
        </w:rPr>
        <w:t>交延续索赔通知，说明连续影响的实际情况和记录，列出累计的追加付款金额和（或）工期延长天数；</w:t>
      </w:r>
    </w:p>
    <w:p w14:paraId="3BFF7672">
      <w:pPr>
        <w:kinsoku w:val="0"/>
        <w:autoSpaceDE w:val="0"/>
        <w:autoSpaceDN w:val="0"/>
        <w:adjustRightInd w:val="0"/>
        <w:snapToGrid w:val="0"/>
        <w:spacing w:before="161" w:line="240" w:lineRule="auto"/>
        <w:ind w:left="4" w:right="28"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（4）   </w:t>
      </w:r>
      <w:r>
        <w:rPr>
          <w:rFonts w:ascii="宋体" w:hAnsi="宋体" w:eastAsia="宋体" w:cs="宋体"/>
          <w:snapToGrid w:val="0"/>
          <w:color w:val="000000"/>
          <w:spacing w:val="9"/>
          <w:kern w:val="0"/>
          <w:sz w:val="20"/>
          <w:szCs w:val="20"/>
          <w:lang w:val="en-US" w:eastAsia="en-US" w:bidi="ar-SA"/>
        </w:rPr>
        <w:t>在索赔事件影响结束后的 28</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天内，承包人应向监理人递交最终索赔通知书，说明最终要求索赔的追加付款金额和延长的工期，并附必要的记录和证明材料。</w:t>
      </w:r>
    </w:p>
    <w:p w14:paraId="451C4F34">
      <w:pPr>
        <w:kinsoku w:val="0"/>
        <w:autoSpaceDE w:val="0"/>
        <w:autoSpaceDN w:val="0"/>
        <w:adjustRightInd w:val="0"/>
        <w:snapToGrid w:val="0"/>
        <w:spacing w:before="170"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23.2</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承包人索赔处理程序</w:t>
      </w:r>
    </w:p>
    <w:p w14:paraId="54D04FC5">
      <w:pPr>
        <w:kinsoku w:val="0"/>
        <w:autoSpaceDE w:val="0"/>
        <w:autoSpaceDN w:val="0"/>
        <w:adjustRightInd w:val="0"/>
        <w:snapToGrid w:val="0"/>
        <w:spacing w:before="175" w:line="240" w:lineRule="auto"/>
        <w:ind w:right="38" w:firstLine="42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0"/>
          <w:kern w:val="0"/>
          <w:sz w:val="18"/>
          <w:szCs w:val="18"/>
          <w:lang w:val="en-US" w:eastAsia="en-US" w:bidi="ar-SA"/>
        </w:rPr>
        <w:t xml:space="preserve">（1）   </w:t>
      </w:r>
      <w:r>
        <w:rPr>
          <w:rFonts w:ascii="宋体" w:hAnsi="宋体" w:eastAsia="宋体" w:cs="宋体"/>
          <w:snapToGrid w:val="0"/>
          <w:color w:val="000000"/>
          <w:spacing w:val="10"/>
          <w:kern w:val="0"/>
          <w:sz w:val="20"/>
          <w:szCs w:val="20"/>
          <w:lang w:val="en-US" w:eastAsia="en-US" w:bidi="ar-SA"/>
        </w:rPr>
        <w:t>监理人收到承包人提交的索赔通知书后，应及时审查索赔</w:t>
      </w:r>
      <w:r>
        <w:rPr>
          <w:rFonts w:ascii="宋体" w:hAnsi="宋体" w:eastAsia="宋体" w:cs="宋体"/>
          <w:snapToGrid w:val="0"/>
          <w:color w:val="000000"/>
          <w:spacing w:val="9"/>
          <w:kern w:val="0"/>
          <w:sz w:val="20"/>
          <w:szCs w:val="20"/>
          <w:lang w:val="en-US" w:eastAsia="en-US" w:bidi="ar-SA"/>
        </w:rPr>
        <w:t>通知书的内容、查验承包人的记录和证明材料，必要时监理人可要求承包人提交全部原始记录副本。</w:t>
      </w:r>
    </w:p>
    <w:p w14:paraId="61F221F2">
      <w:pPr>
        <w:kinsoku w:val="0"/>
        <w:autoSpaceDE w:val="0"/>
        <w:autoSpaceDN w:val="0"/>
        <w:adjustRightInd w:val="0"/>
        <w:snapToGrid w:val="0"/>
        <w:spacing w:before="162" w:line="240" w:lineRule="auto"/>
        <w:ind w:left="424" w:right="144" w:firstLine="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（2）   </w:t>
      </w:r>
      <w:r>
        <w:rPr>
          <w:rFonts w:ascii="宋体" w:hAnsi="宋体" w:eastAsia="宋体" w:cs="宋体"/>
          <w:snapToGrid w:val="0"/>
          <w:color w:val="000000"/>
          <w:spacing w:val="9"/>
          <w:kern w:val="0"/>
          <w:sz w:val="20"/>
          <w:szCs w:val="20"/>
          <w:lang w:val="en-US" w:eastAsia="en-US" w:bidi="ar-SA"/>
        </w:rPr>
        <w:t>监理人应按第 3.5 款商定或确定追加的付款和（或）延长的工期，并在收到上述索赔通知书或有关索赔的进一步证明材料后的 42 天内，将索赔处</w:t>
      </w:r>
      <w:r>
        <w:rPr>
          <w:rFonts w:ascii="宋体" w:hAnsi="宋体" w:eastAsia="宋体" w:cs="宋体"/>
          <w:snapToGrid w:val="0"/>
          <w:color w:val="000000"/>
          <w:spacing w:val="8"/>
          <w:kern w:val="0"/>
          <w:sz w:val="20"/>
          <w:szCs w:val="20"/>
          <w:lang w:val="en-US" w:eastAsia="en-US" w:bidi="ar-SA"/>
        </w:rPr>
        <w:t>理结果答复承包人。</w:t>
      </w:r>
    </w:p>
    <w:p w14:paraId="3F9ED336">
      <w:pPr>
        <w:kinsoku w:val="0"/>
        <w:autoSpaceDE w:val="0"/>
        <w:autoSpaceDN w:val="0"/>
        <w:adjustRightInd w:val="0"/>
        <w:snapToGrid w:val="0"/>
        <w:spacing w:before="162" w:line="240" w:lineRule="auto"/>
        <w:ind w:left="419" w:right="240" w:firstLine="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18"/>
          <w:szCs w:val="18"/>
          <w:lang w:val="en-US" w:eastAsia="en-US" w:bidi="ar-SA"/>
        </w:rPr>
        <w:t xml:space="preserve">（3）   </w:t>
      </w:r>
      <w:r>
        <w:rPr>
          <w:rFonts w:ascii="宋体" w:hAnsi="宋体" w:eastAsia="宋体" w:cs="宋体"/>
          <w:snapToGrid w:val="0"/>
          <w:color w:val="000000"/>
          <w:spacing w:val="9"/>
          <w:kern w:val="0"/>
          <w:sz w:val="20"/>
          <w:szCs w:val="20"/>
          <w:lang w:val="en-US" w:eastAsia="en-US" w:bidi="ar-SA"/>
        </w:rPr>
        <w:t>承包人接受索赔处理结果的，发包人应在作出索赔处理结果答复后 28</w:t>
      </w:r>
      <w:r>
        <w:rPr>
          <w:rFonts w:ascii="宋体" w:hAnsi="宋体" w:eastAsia="宋体" w:cs="宋体"/>
          <w:snapToGrid w:val="0"/>
          <w:color w:val="000000"/>
          <w:spacing w:val="30"/>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天内完成赔付。承</w:t>
      </w:r>
      <w:r>
        <w:rPr>
          <w:rFonts w:ascii="宋体" w:hAnsi="宋体" w:eastAsia="宋体" w:cs="宋体"/>
          <w:snapToGrid w:val="0"/>
          <w:color w:val="000000"/>
          <w:spacing w:val="8"/>
          <w:kern w:val="0"/>
          <w:sz w:val="20"/>
          <w:szCs w:val="20"/>
          <w:lang w:val="en-US" w:eastAsia="en-US" w:bidi="ar-SA"/>
        </w:rPr>
        <w:t>包人不接受索赔处理结果的，按第 24 条的约定办理。</w:t>
      </w:r>
    </w:p>
    <w:p w14:paraId="47B646F1">
      <w:pPr>
        <w:kinsoku w:val="0"/>
        <w:autoSpaceDE w:val="0"/>
        <w:autoSpaceDN w:val="0"/>
        <w:adjustRightInd w:val="0"/>
        <w:snapToGrid w:val="0"/>
        <w:spacing w:before="169"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23.3</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承包人提出索赔的期限</w:t>
      </w:r>
    </w:p>
    <w:p w14:paraId="5F5E4427">
      <w:pPr>
        <w:kinsoku w:val="0"/>
        <w:autoSpaceDE w:val="0"/>
        <w:autoSpaceDN w:val="0"/>
        <w:adjustRightInd w:val="0"/>
        <w:snapToGrid w:val="0"/>
        <w:spacing w:before="176" w:line="240" w:lineRule="auto"/>
        <w:ind w:left="7" w:right="29" w:firstLine="414"/>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23.3.1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承包人按第</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17.5 款的约定接受</w:t>
      </w:r>
      <w:r>
        <w:rPr>
          <w:rFonts w:ascii="宋体" w:hAnsi="宋体" w:eastAsia="宋体" w:cs="宋体"/>
          <w:snapToGrid w:val="0"/>
          <w:color w:val="000000"/>
          <w:spacing w:val="7"/>
          <w:kern w:val="0"/>
          <w:sz w:val="20"/>
          <w:szCs w:val="20"/>
          <w:lang w:val="en-US" w:eastAsia="en-US" w:bidi="ar-SA"/>
        </w:rPr>
        <w:t>了竣工付款证书后，应被认为已无权再提出在合同工程接</w:t>
      </w:r>
      <w:r>
        <w:rPr>
          <w:rFonts w:ascii="宋体" w:hAnsi="宋体" w:eastAsia="宋体" w:cs="宋体"/>
          <w:snapToGrid w:val="0"/>
          <w:color w:val="000000"/>
          <w:spacing w:val="8"/>
          <w:kern w:val="0"/>
          <w:sz w:val="20"/>
          <w:szCs w:val="20"/>
          <w:lang w:val="en-US" w:eastAsia="en-US" w:bidi="ar-SA"/>
        </w:rPr>
        <w:t>收证书颁发前所发生的任何索赔。</w:t>
      </w:r>
    </w:p>
    <w:p w14:paraId="6D254AF1">
      <w:pPr>
        <w:kinsoku w:val="0"/>
        <w:autoSpaceDE w:val="0"/>
        <w:autoSpaceDN w:val="0"/>
        <w:adjustRightInd w:val="0"/>
        <w:snapToGrid w:val="0"/>
        <w:spacing w:before="162" w:line="240" w:lineRule="auto"/>
        <w:ind w:left="1" w:right="29"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23.3.2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承包人按第</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17.6 款的约定提交</w:t>
      </w:r>
      <w:r>
        <w:rPr>
          <w:rFonts w:ascii="宋体" w:hAnsi="宋体" w:eastAsia="宋体" w:cs="宋体"/>
          <w:snapToGrid w:val="0"/>
          <w:color w:val="000000"/>
          <w:spacing w:val="7"/>
          <w:kern w:val="0"/>
          <w:sz w:val="20"/>
          <w:szCs w:val="20"/>
          <w:lang w:val="en-US" w:eastAsia="en-US" w:bidi="ar-SA"/>
        </w:rPr>
        <w:t>的最终结清申请单中，只限于提出工程接收证书颁发后发</w:t>
      </w:r>
      <w:r>
        <w:rPr>
          <w:rFonts w:ascii="宋体" w:hAnsi="宋体" w:eastAsia="宋体" w:cs="宋体"/>
          <w:snapToGrid w:val="0"/>
          <w:color w:val="000000"/>
          <w:spacing w:val="9"/>
          <w:kern w:val="0"/>
          <w:sz w:val="20"/>
          <w:szCs w:val="20"/>
          <w:lang w:val="en-US" w:eastAsia="en-US" w:bidi="ar-SA"/>
        </w:rPr>
        <w:t>生的索赔。提出索赔的期限自接受最终结清证书时终止。</w:t>
      </w:r>
    </w:p>
    <w:p w14:paraId="7E2C23FE">
      <w:pPr>
        <w:kinsoku w:val="0"/>
        <w:autoSpaceDE w:val="0"/>
        <w:autoSpaceDN w:val="0"/>
        <w:adjustRightInd w:val="0"/>
        <w:snapToGrid w:val="0"/>
        <w:spacing w:before="167" w:line="240" w:lineRule="auto"/>
        <w:ind w:left="483"/>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23.4</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发包人的索赔</w:t>
      </w:r>
    </w:p>
    <w:p w14:paraId="5E688AC5">
      <w:pPr>
        <w:kinsoku w:val="0"/>
        <w:autoSpaceDE w:val="0"/>
        <w:autoSpaceDN w:val="0"/>
        <w:adjustRightInd w:val="0"/>
        <w:snapToGrid w:val="0"/>
        <w:spacing w:before="175" w:line="240" w:lineRule="auto"/>
        <w:jc w:val="righ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23.4.1</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发生索赔事件后，监理人应及时书面通知承包人，详细说明发包人有权得到的索赔金额和</w:t>
      </w:r>
    </w:p>
    <w:p w14:paraId="1AACACC2">
      <w:pPr>
        <w:kinsoku w:val="0"/>
        <w:autoSpaceDE w:val="0"/>
        <w:autoSpaceDN w:val="0"/>
        <w:adjustRightInd w:val="0"/>
        <w:snapToGrid w:val="0"/>
        <w:spacing w:before="40" w:line="240" w:lineRule="auto"/>
        <w:ind w:left="13" w:right="2" w:hanging="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3"/>
          <w:kern w:val="0"/>
          <w:sz w:val="20"/>
          <w:szCs w:val="20"/>
          <w:lang w:val="en-US" w:eastAsia="en-US" w:bidi="ar-SA"/>
        </w:rPr>
        <w:t>（或）延长缺陷责任期的细节和依据。发包人提出索赔的期限和要求与第 23.3 款的约定相同，</w:t>
      </w:r>
      <w:r>
        <w:rPr>
          <w:rFonts w:ascii="宋体" w:hAnsi="宋体" w:eastAsia="宋体" w:cs="宋体"/>
          <w:snapToGrid w:val="0"/>
          <w:color w:val="000000"/>
          <w:spacing w:val="12"/>
          <w:kern w:val="0"/>
          <w:sz w:val="20"/>
          <w:szCs w:val="20"/>
          <w:lang w:val="en-US" w:eastAsia="en-US" w:bidi="ar-SA"/>
        </w:rPr>
        <w:t>延长缺</w:t>
      </w:r>
      <w:r>
        <w:rPr>
          <w:rFonts w:ascii="宋体" w:hAnsi="宋体" w:eastAsia="宋体" w:cs="宋体"/>
          <w:snapToGrid w:val="0"/>
          <w:color w:val="000000"/>
          <w:spacing w:val="8"/>
          <w:kern w:val="0"/>
          <w:sz w:val="20"/>
          <w:szCs w:val="20"/>
          <w:lang w:val="en-US" w:eastAsia="en-US" w:bidi="ar-SA"/>
        </w:rPr>
        <w:t>陷责任期的通知应在缺陷责任期届满前发出。</w:t>
      </w:r>
    </w:p>
    <w:p w14:paraId="5F38379C">
      <w:pPr>
        <w:kinsoku w:val="0"/>
        <w:autoSpaceDE w:val="0"/>
        <w:autoSpaceDN w:val="0"/>
        <w:adjustRightInd w:val="0"/>
        <w:snapToGrid w:val="0"/>
        <w:spacing w:before="2" w:line="240" w:lineRule="auto"/>
        <w:ind w:right="2" w:firstLine="422"/>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1"/>
          <w:kern w:val="0"/>
          <w:sz w:val="20"/>
          <w:szCs w:val="20"/>
          <w:lang w:val="en-US" w:eastAsia="en-US" w:bidi="ar-SA"/>
        </w:rPr>
        <w:t>23.4.2</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11"/>
          <w:kern w:val="0"/>
          <w:sz w:val="20"/>
          <w:szCs w:val="20"/>
          <w:lang w:val="en-US" w:eastAsia="en-US" w:bidi="ar-SA"/>
        </w:rPr>
        <w:t>监理人按第 3.5 款商定或确定发包人从承包人处得到赔付的金额和（或）缺陷</w:t>
      </w:r>
      <w:r>
        <w:rPr>
          <w:rFonts w:ascii="宋体" w:hAnsi="宋体" w:eastAsia="宋体" w:cs="宋体"/>
          <w:snapToGrid w:val="0"/>
          <w:color w:val="000000"/>
          <w:spacing w:val="10"/>
          <w:kern w:val="0"/>
          <w:sz w:val="20"/>
          <w:szCs w:val="20"/>
          <w:lang w:val="en-US" w:eastAsia="en-US" w:bidi="ar-SA"/>
        </w:rPr>
        <w:t>责任期的</w:t>
      </w:r>
      <w:r>
        <w:rPr>
          <w:rFonts w:ascii="宋体" w:hAnsi="宋体" w:eastAsia="宋体" w:cs="宋体"/>
          <w:snapToGrid w:val="0"/>
          <w:color w:val="000000"/>
          <w:spacing w:val="14"/>
          <w:kern w:val="0"/>
          <w:sz w:val="20"/>
          <w:szCs w:val="20"/>
          <w:lang w:val="en-US" w:eastAsia="en-US" w:bidi="ar-SA"/>
        </w:rPr>
        <w:t>延长期。承包人应付给发包人的金额可从拟支付给承包人的合同价款中扣除，或由承包人以其他方式支</w:t>
      </w:r>
      <w:r>
        <w:rPr>
          <w:rFonts w:ascii="宋体" w:hAnsi="宋体" w:eastAsia="宋体" w:cs="宋体"/>
          <w:snapToGrid w:val="0"/>
          <w:color w:val="000000"/>
          <w:spacing w:val="6"/>
          <w:kern w:val="0"/>
          <w:sz w:val="20"/>
          <w:szCs w:val="20"/>
          <w:lang w:val="en-US" w:eastAsia="en-US" w:bidi="ar-SA"/>
        </w:rPr>
        <w:t>付给发包人。</w:t>
      </w:r>
    </w:p>
    <w:p w14:paraId="38CC410C">
      <w:pPr>
        <w:kinsoku w:val="0"/>
        <w:autoSpaceDE w:val="0"/>
        <w:autoSpaceDN w:val="0"/>
        <w:adjustRightInd w:val="0"/>
        <w:snapToGrid w:val="0"/>
        <w:spacing w:before="2" w:line="240" w:lineRule="auto"/>
        <w:ind w:left="3984"/>
        <w:jc w:val="left"/>
        <w:textAlignment w:val="baseline"/>
        <w:outlineLvl w:val="1"/>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4"/>
          <w:kern w:val="0"/>
          <w:sz w:val="25"/>
          <w:szCs w:val="25"/>
          <w:lang w:val="en-US" w:eastAsia="en-US" w:bidi="ar-SA"/>
        </w:rPr>
        <w:t>24.</w:t>
      </w:r>
      <w:r>
        <w:rPr>
          <w:rFonts w:ascii="宋体" w:hAnsi="宋体" w:eastAsia="宋体" w:cs="宋体"/>
          <w:snapToGrid w:val="0"/>
          <w:color w:val="000000"/>
          <w:spacing w:val="22"/>
          <w:kern w:val="0"/>
          <w:sz w:val="25"/>
          <w:szCs w:val="25"/>
          <w:lang w:val="en-US" w:eastAsia="en-US" w:bidi="ar-SA"/>
        </w:rPr>
        <w:t xml:space="preserve">    </w:t>
      </w:r>
      <w:r>
        <w:rPr>
          <w:rFonts w:ascii="宋体" w:hAnsi="宋体" w:eastAsia="宋体" w:cs="宋体"/>
          <w:b/>
          <w:bCs/>
          <w:snapToGrid w:val="0"/>
          <w:color w:val="000000"/>
          <w:spacing w:val="-4"/>
          <w:kern w:val="0"/>
          <w:sz w:val="24"/>
          <w:szCs w:val="24"/>
          <w:lang w:val="en-US" w:eastAsia="en-US" w:bidi="ar-SA"/>
        </w:rPr>
        <w:t>争议的解决</w:t>
      </w:r>
    </w:p>
    <w:p w14:paraId="3C307397">
      <w:pPr>
        <w:kinsoku w:val="0"/>
        <w:autoSpaceDE w:val="0"/>
        <w:autoSpaceDN w:val="0"/>
        <w:adjustRightInd w:val="0"/>
        <w:snapToGrid w:val="0"/>
        <w:spacing w:before="177"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3"/>
          <w:kern w:val="0"/>
          <w:sz w:val="24"/>
          <w:szCs w:val="24"/>
          <w:lang w:val="en-US" w:eastAsia="en-US" w:bidi="ar-SA"/>
        </w:rPr>
        <w:t>24.1</w:t>
      </w:r>
      <w:r>
        <w:rPr>
          <w:rFonts w:ascii="宋体" w:hAnsi="宋体" w:eastAsia="宋体" w:cs="宋体"/>
          <w:snapToGrid w:val="0"/>
          <w:color w:val="000000"/>
          <w:spacing w:val="-3"/>
          <w:kern w:val="0"/>
          <w:sz w:val="24"/>
          <w:szCs w:val="24"/>
          <w:lang w:val="en-US" w:eastAsia="en-US" w:bidi="ar-SA"/>
        </w:rPr>
        <w:t xml:space="preserve">    </w:t>
      </w:r>
      <w:r>
        <w:rPr>
          <w:rFonts w:ascii="宋体" w:hAnsi="宋体" w:eastAsia="宋体" w:cs="宋体"/>
          <w:b/>
          <w:bCs/>
          <w:snapToGrid w:val="0"/>
          <w:color w:val="000000"/>
          <w:spacing w:val="-3"/>
          <w:kern w:val="0"/>
          <w:sz w:val="24"/>
          <w:szCs w:val="24"/>
          <w:lang w:val="en-US" w:eastAsia="en-US" w:bidi="ar-SA"/>
        </w:rPr>
        <w:t>争议的解决方式</w:t>
      </w:r>
    </w:p>
    <w:p w14:paraId="5B6A8958">
      <w:pPr>
        <w:kinsoku w:val="0"/>
        <w:autoSpaceDE w:val="0"/>
        <w:autoSpaceDN w:val="0"/>
        <w:adjustRightInd w:val="0"/>
        <w:snapToGrid w:val="0"/>
        <w:spacing w:before="177" w:line="240" w:lineRule="auto"/>
        <w:ind w:left="2" w:right="2" w:firstLine="421"/>
        <w:jc w:val="both"/>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4"/>
          <w:kern w:val="0"/>
          <w:sz w:val="20"/>
          <w:szCs w:val="20"/>
          <w:lang w:val="en-US" w:eastAsia="en-US" w:bidi="ar-SA"/>
        </w:rPr>
        <w:t>发包人和承包人在履行合同中发生争议的，可以友好协商解决或者提请争议评审组评审。合同当事人友好协商解决不成、不愿提请争议评审或者不接受争议评审组意见的，可在专用合同条款中约定下列</w:t>
      </w:r>
      <w:r>
        <w:rPr>
          <w:rFonts w:ascii="宋体" w:hAnsi="宋体" w:eastAsia="宋体" w:cs="宋体"/>
          <w:snapToGrid w:val="0"/>
          <w:color w:val="000000"/>
          <w:spacing w:val="6"/>
          <w:kern w:val="0"/>
          <w:sz w:val="20"/>
          <w:szCs w:val="20"/>
          <w:lang w:val="en-US" w:eastAsia="en-US" w:bidi="ar-SA"/>
        </w:rPr>
        <w:t>一种方式解决。</w:t>
      </w:r>
    </w:p>
    <w:p w14:paraId="4BEBB661">
      <w:pPr>
        <w:kinsoku w:val="0"/>
        <w:autoSpaceDE w:val="0"/>
        <w:autoSpaceDN w:val="0"/>
        <w:adjustRightInd w:val="0"/>
        <w:snapToGrid w:val="0"/>
        <w:spacing w:before="1"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18"/>
          <w:szCs w:val="18"/>
          <w:lang w:val="en-US" w:eastAsia="en-US" w:bidi="ar-SA"/>
        </w:rPr>
        <w:t>（1）</w:t>
      </w:r>
      <w:r>
        <w:rPr>
          <w:rFonts w:ascii="宋体" w:hAnsi="宋体" w:eastAsia="宋体" w:cs="宋体"/>
          <w:snapToGrid w:val="0"/>
          <w:color w:val="000000"/>
          <w:spacing w:val="15"/>
          <w:kern w:val="0"/>
          <w:sz w:val="18"/>
          <w:szCs w:val="18"/>
          <w:lang w:val="en-US" w:eastAsia="en-US" w:bidi="ar-SA"/>
        </w:rPr>
        <w:t xml:space="preserve">    </w:t>
      </w:r>
      <w:r>
        <w:rPr>
          <w:rFonts w:ascii="宋体" w:hAnsi="宋体" w:eastAsia="宋体" w:cs="宋体"/>
          <w:snapToGrid w:val="0"/>
          <w:color w:val="000000"/>
          <w:spacing w:val="5"/>
          <w:kern w:val="0"/>
          <w:sz w:val="20"/>
          <w:szCs w:val="20"/>
          <w:lang w:val="en-US" w:eastAsia="en-US" w:bidi="ar-SA"/>
        </w:rPr>
        <w:t>向约定的仲裁委员会申请仲裁；</w:t>
      </w:r>
    </w:p>
    <w:p w14:paraId="1816ACB7">
      <w:pPr>
        <w:kinsoku w:val="0"/>
        <w:autoSpaceDE w:val="0"/>
        <w:autoSpaceDN w:val="0"/>
        <w:adjustRightInd w:val="0"/>
        <w:snapToGrid w:val="0"/>
        <w:spacing w:before="162" w:line="240" w:lineRule="auto"/>
        <w:ind w:left="42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5"/>
          <w:kern w:val="0"/>
          <w:sz w:val="18"/>
          <w:szCs w:val="18"/>
          <w:lang w:val="en-US" w:eastAsia="en-US" w:bidi="ar-SA"/>
        </w:rPr>
        <w:t>（2）</w:t>
      </w:r>
      <w:r>
        <w:rPr>
          <w:rFonts w:ascii="宋体" w:hAnsi="宋体" w:eastAsia="宋体" w:cs="宋体"/>
          <w:snapToGrid w:val="0"/>
          <w:color w:val="000000"/>
          <w:spacing w:val="16"/>
          <w:kern w:val="0"/>
          <w:sz w:val="18"/>
          <w:szCs w:val="18"/>
          <w:lang w:val="en-US" w:eastAsia="en-US" w:bidi="ar-SA"/>
        </w:rPr>
        <w:t xml:space="preserve">    </w:t>
      </w:r>
      <w:r>
        <w:rPr>
          <w:rFonts w:ascii="宋体" w:hAnsi="宋体" w:eastAsia="宋体" w:cs="宋体"/>
          <w:snapToGrid w:val="0"/>
          <w:color w:val="000000"/>
          <w:spacing w:val="5"/>
          <w:kern w:val="0"/>
          <w:sz w:val="20"/>
          <w:szCs w:val="20"/>
          <w:lang w:val="en-US" w:eastAsia="en-US" w:bidi="ar-SA"/>
        </w:rPr>
        <w:t>向有管辖权的人民法院提起诉讼。</w:t>
      </w:r>
    </w:p>
    <w:p w14:paraId="1A12832F">
      <w:pPr>
        <w:kinsoku w:val="0"/>
        <w:autoSpaceDE w:val="0"/>
        <w:autoSpaceDN w:val="0"/>
        <w:adjustRightInd w:val="0"/>
        <w:snapToGrid w:val="0"/>
        <w:spacing w:before="170"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24.2</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友好解决</w:t>
      </w:r>
    </w:p>
    <w:p w14:paraId="588EDE48">
      <w:pPr>
        <w:kinsoku w:val="0"/>
        <w:autoSpaceDE w:val="0"/>
        <w:autoSpaceDN w:val="0"/>
        <w:adjustRightInd w:val="0"/>
        <w:snapToGrid w:val="0"/>
        <w:spacing w:before="176" w:line="240" w:lineRule="auto"/>
        <w:ind w:left="21" w:right="194" w:firstLine="398"/>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在提请争议评审、仲裁或者诉讼前，</w:t>
      </w:r>
      <w:r>
        <w:rPr>
          <w:rFonts w:ascii="宋体" w:hAnsi="宋体" w:eastAsia="宋体" w:cs="宋体"/>
          <w:snapToGrid w:val="0"/>
          <w:color w:val="000000"/>
          <w:spacing w:val="-59"/>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以及在争议评审、仲裁或诉讼过程中，发包</w:t>
      </w:r>
      <w:r>
        <w:rPr>
          <w:rFonts w:ascii="宋体" w:hAnsi="宋体" w:eastAsia="宋体" w:cs="宋体"/>
          <w:snapToGrid w:val="0"/>
          <w:color w:val="000000"/>
          <w:spacing w:val="8"/>
          <w:kern w:val="0"/>
          <w:sz w:val="20"/>
          <w:szCs w:val="20"/>
          <w:lang w:val="en-US" w:eastAsia="en-US" w:bidi="ar-SA"/>
        </w:rPr>
        <w:t>人和承包人均可共</w:t>
      </w:r>
      <w:r>
        <w:rPr>
          <w:rFonts w:ascii="宋体" w:hAnsi="宋体" w:eastAsia="宋体" w:cs="宋体"/>
          <w:snapToGrid w:val="0"/>
          <w:color w:val="000000"/>
          <w:spacing w:val="6"/>
          <w:kern w:val="0"/>
          <w:sz w:val="20"/>
          <w:szCs w:val="20"/>
          <w:lang w:val="en-US" w:eastAsia="en-US" w:bidi="ar-SA"/>
        </w:rPr>
        <w:t>同努力友好协商解决争议。</w:t>
      </w:r>
    </w:p>
    <w:p w14:paraId="4C026ABE">
      <w:pPr>
        <w:kinsoku w:val="0"/>
        <w:autoSpaceDE w:val="0"/>
        <w:autoSpaceDN w:val="0"/>
        <w:adjustRightInd w:val="0"/>
        <w:snapToGrid w:val="0"/>
        <w:spacing w:before="2" w:line="240" w:lineRule="auto"/>
        <w:ind w:left="484"/>
        <w:jc w:val="left"/>
        <w:textAlignment w:val="baseline"/>
        <w:outlineLvl w:val="2"/>
        <w:rPr>
          <w:rFonts w:ascii="宋体" w:hAnsi="宋体" w:eastAsia="宋体" w:cs="宋体"/>
          <w:snapToGrid w:val="0"/>
          <w:color w:val="000000"/>
          <w:kern w:val="0"/>
          <w:sz w:val="24"/>
          <w:szCs w:val="24"/>
          <w:lang w:val="en-US" w:eastAsia="en-US" w:bidi="ar-SA"/>
        </w:rPr>
      </w:pPr>
      <w:r>
        <w:rPr>
          <w:rFonts w:ascii="宋体" w:hAnsi="宋体" w:eastAsia="宋体" w:cs="宋体"/>
          <w:b/>
          <w:bCs/>
          <w:snapToGrid w:val="0"/>
          <w:color w:val="000000"/>
          <w:spacing w:val="-6"/>
          <w:kern w:val="0"/>
          <w:sz w:val="24"/>
          <w:szCs w:val="24"/>
          <w:lang w:val="en-US" w:eastAsia="en-US" w:bidi="ar-SA"/>
        </w:rPr>
        <w:t>24.3</w:t>
      </w:r>
      <w:r>
        <w:rPr>
          <w:rFonts w:ascii="宋体" w:hAnsi="宋体" w:eastAsia="宋体" w:cs="宋体"/>
          <w:snapToGrid w:val="0"/>
          <w:color w:val="000000"/>
          <w:spacing w:val="4"/>
          <w:kern w:val="0"/>
          <w:sz w:val="24"/>
          <w:szCs w:val="24"/>
          <w:lang w:val="en-US" w:eastAsia="en-US" w:bidi="ar-SA"/>
        </w:rPr>
        <w:t xml:space="preserve">    </w:t>
      </w:r>
      <w:r>
        <w:rPr>
          <w:rFonts w:ascii="宋体" w:hAnsi="宋体" w:eastAsia="宋体" w:cs="宋体"/>
          <w:b/>
          <w:bCs/>
          <w:snapToGrid w:val="0"/>
          <w:color w:val="000000"/>
          <w:spacing w:val="-6"/>
          <w:kern w:val="0"/>
          <w:sz w:val="24"/>
          <w:szCs w:val="24"/>
          <w:lang w:val="en-US" w:eastAsia="en-US" w:bidi="ar-SA"/>
        </w:rPr>
        <w:t>争议评审</w:t>
      </w:r>
    </w:p>
    <w:p w14:paraId="4EEFC738">
      <w:pPr>
        <w:kinsoku w:val="0"/>
        <w:autoSpaceDE w:val="0"/>
        <w:autoSpaceDN w:val="0"/>
        <w:adjustRightInd w:val="0"/>
        <w:snapToGrid w:val="0"/>
        <w:spacing w:before="178" w:line="240" w:lineRule="auto"/>
        <w:ind w:left="2" w:righ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24.3.1</w:t>
      </w:r>
      <w:r>
        <w:rPr>
          <w:rFonts w:ascii="宋体" w:hAnsi="宋体" w:eastAsia="宋体" w:cs="宋体"/>
          <w:snapToGrid w:val="0"/>
          <w:color w:val="000000"/>
          <w:spacing w:val="32"/>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采用争议评审的，发包人和承包人应在开工日后的 28 天内或在</w:t>
      </w:r>
      <w:r>
        <w:rPr>
          <w:rFonts w:ascii="宋体" w:hAnsi="宋体" w:eastAsia="宋体" w:cs="宋体"/>
          <w:snapToGrid w:val="0"/>
          <w:color w:val="000000"/>
          <w:spacing w:val="8"/>
          <w:kern w:val="0"/>
          <w:sz w:val="20"/>
          <w:szCs w:val="20"/>
          <w:lang w:val="en-US" w:eastAsia="en-US" w:bidi="ar-SA"/>
        </w:rPr>
        <w:t>争议发生后，协商成立争</w:t>
      </w:r>
      <w:r>
        <w:rPr>
          <w:rFonts w:ascii="宋体" w:hAnsi="宋体" w:eastAsia="宋体" w:cs="宋体"/>
          <w:snapToGrid w:val="0"/>
          <w:color w:val="000000"/>
          <w:spacing w:val="9"/>
          <w:kern w:val="0"/>
          <w:sz w:val="20"/>
          <w:szCs w:val="20"/>
          <w:lang w:val="en-US" w:eastAsia="en-US" w:bidi="ar-SA"/>
        </w:rPr>
        <w:t>议评审组。争议评审组由有合同管理和工程实践经验的专家组成。</w:t>
      </w:r>
    </w:p>
    <w:p w14:paraId="44460B2F">
      <w:pPr>
        <w:kinsoku w:val="0"/>
        <w:autoSpaceDE w:val="0"/>
        <w:autoSpaceDN w:val="0"/>
        <w:adjustRightInd w:val="0"/>
        <w:snapToGrid w:val="0"/>
        <w:spacing w:before="161" w:line="240" w:lineRule="auto"/>
        <w:ind w:left="17" w:right="2" w:firstLine="405"/>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24.3.2</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合同双方的争议，应首先由申请人向争议评审组提交一份详细的评审申请报告，并附必要</w:t>
      </w:r>
      <w:r>
        <w:rPr>
          <w:rFonts w:ascii="宋体" w:hAnsi="宋体" w:eastAsia="宋体" w:cs="宋体"/>
          <w:snapToGrid w:val="0"/>
          <w:color w:val="000000"/>
          <w:spacing w:val="8"/>
          <w:kern w:val="0"/>
          <w:sz w:val="20"/>
          <w:szCs w:val="20"/>
          <w:lang w:val="en-US" w:eastAsia="en-US" w:bidi="ar-SA"/>
        </w:rPr>
        <w:t>的文件、图纸和证明材料，</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申请人还应将上述报告的副本同时提交给被申请人</w:t>
      </w:r>
      <w:r>
        <w:rPr>
          <w:rFonts w:ascii="宋体" w:hAnsi="宋体" w:eastAsia="宋体" w:cs="宋体"/>
          <w:snapToGrid w:val="0"/>
          <w:color w:val="000000"/>
          <w:spacing w:val="7"/>
          <w:kern w:val="0"/>
          <w:sz w:val="20"/>
          <w:szCs w:val="20"/>
          <w:lang w:val="en-US" w:eastAsia="en-US" w:bidi="ar-SA"/>
        </w:rPr>
        <w:t>和监理人。</w:t>
      </w:r>
    </w:p>
    <w:p w14:paraId="5DAA99CA">
      <w:pPr>
        <w:kinsoku w:val="0"/>
        <w:autoSpaceDE w:val="0"/>
        <w:autoSpaceDN w:val="0"/>
        <w:adjustRightInd w:val="0"/>
        <w:snapToGrid w:val="0"/>
        <w:spacing w:before="163" w:line="240" w:lineRule="auto"/>
        <w:ind w:left="5" w:firstLine="417"/>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12"/>
          <w:kern w:val="0"/>
          <w:sz w:val="20"/>
          <w:szCs w:val="20"/>
          <w:lang w:val="en-US" w:eastAsia="en-US" w:bidi="ar-SA"/>
        </w:rPr>
        <w:t>24.3.3</w:t>
      </w:r>
      <w:r>
        <w:rPr>
          <w:rFonts w:ascii="宋体" w:hAnsi="宋体" w:eastAsia="宋体" w:cs="宋体"/>
          <w:snapToGrid w:val="0"/>
          <w:color w:val="000000"/>
          <w:spacing w:val="38"/>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被申请人在收到申请人评审申请报告副本后的 28 天内，</w:t>
      </w:r>
      <w:r>
        <w:rPr>
          <w:rFonts w:ascii="宋体" w:hAnsi="宋体" w:eastAsia="宋体" w:cs="宋体"/>
          <w:snapToGrid w:val="0"/>
          <w:color w:val="000000"/>
          <w:spacing w:val="-55"/>
          <w:kern w:val="0"/>
          <w:sz w:val="20"/>
          <w:szCs w:val="20"/>
          <w:lang w:val="en-US" w:eastAsia="en-US" w:bidi="ar-SA"/>
        </w:rPr>
        <w:t xml:space="preserve"> </w:t>
      </w:r>
      <w:r>
        <w:rPr>
          <w:rFonts w:ascii="宋体" w:hAnsi="宋体" w:eastAsia="宋体" w:cs="宋体"/>
          <w:snapToGrid w:val="0"/>
          <w:color w:val="000000"/>
          <w:spacing w:val="12"/>
          <w:kern w:val="0"/>
          <w:sz w:val="20"/>
          <w:szCs w:val="20"/>
          <w:lang w:val="en-US" w:eastAsia="en-US" w:bidi="ar-SA"/>
        </w:rPr>
        <w:t>向争议评审组提交一份答辩报</w:t>
      </w:r>
      <w:r>
        <w:rPr>
          <w:rFonts w:ascii="宋体" w:hAnsi="宋体" w:eastAsia="宋体" w:cs="宋体"/>
          <w:snapToGrid w:val="0"/>
          <w:color w:val="000000"/>
          <w:spacing w:val="9"/>
          <w:kern w:val="0"/>
          <w:sz w:val="20"/>
          <w:szCs w:val="20"/>
          <w:lang w:val="en-US" w:eastAsia="en-US" w:bidi="ar-SA"/>
        </w:rPr>
        <w:t>告，并附证明材料。被申请人应将答辩报告的副本同时提交给申请人和监理人。</w:t>
      </w:r>
    </w:p>
    <w:p w14:paraId="61EC6CA8">
      <w:pPr>
        <w:kinsoku w:val="0"/>
        <w:autoSpaceDE w:val="0"/>
        <w:autoSpaceDN w:val="0"/>
        <w:adjustRightInd w:val="0"/>
        <w:snapToGrid w:val="0"/>
        <w:spacing w:before="163" w:line="240" w:lineRule="auto"/>
        <w:ind w:right="2" w:firstLine="423"/>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24.3.4</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除专用合同条款另有约定外，争议评审组在收到合同双方报告后的</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14 天内，邀请双方代</w:t>
      </w:r>
      <w:r>
        <w:rPr>
          <w:rFonts w:ascii="宋体" w:hAnsi="宋体" w:eastAsia="宋体" w:cs="宋体"/>
          <w:snapToGrid w:val="0"/>
          <w:color w:val="000000"/>
          <w:spacing w:val="10"/>
          <w:kern w:val="0"/>
          <w:sz w:val="20"/>
          <w:szCs w:val="20"/>
          <w:lang w:val="en-US" w:eastAsia="en-US" w:bidi="ar-SA"/>
        </w:rPr>
        <w:t>表和有关人员举行调查会，向双方调查争议细节；必要</w:t>
      </w:r>
      <w:r>
        <w:rPr>
          <w:rFonts w:ascii="宋体" w:hAnsi="宋体" w:eastAsia="宋体" w:cs="宋体"/>
          <w:snapToGrid w:val="0"/>
          <w:color w:val="000000"/>
          <w:spacing w:val="9"/>
          <w:kern w:val="0"/>
          <w:sz w:val="20"/>
          <w:szCs w:val="20"/>
          <w:lang w:val="en-US" w:eastAsia="en-US" w:bidi="ar-SA"/>
        </w:rPr>
        <w:t>时争议评审组可要求双方进一步提供补充材料。</w:t>
      </w:r>
    </w:p>
    <w:p w14:paraId="480D3494">
      <w:pPr>
        <w:kinsoku w:val="0"/>
        <w:autoSpaceDE w:val="0"/>
        <w:autoSpaceDN w:val="0"/>
        <w:adjustRightInd w:val="0"/>
        <w:snapToGrid w:val="0"/>
        <w:spacing w:before="161" w:line="240" w:lineRule="auto"/>
        <w:ind w:left="1" w:right="2" w:firstLine="421"/>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24.3.5</w:t>
      </w:r>
      <w:r>
        <w:rPr>
          <w:rFonts w:ascii="宋体" w:hAnsi="宋体" w:eastAsia="宋体" w:cs="宋体"/>
          <w:snapToGrid w:val="0"/>
          <w:color w:val="000000"/>
          <w:spacing w:val="2"/>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除专用合同条款另有约定外，在调查会结束后的</w:t>
      </w:r>
      <w:r>
        <w:rPr>
          <w:rFonts w:ascii="宋体" w:hAnsi="宋体" w:eastAsia="宋体" w:cs="宋体"/>
          <w:snapToGrid w:val="0"/>
          <w:color w:val="000000"/>
          <w:spacing w:val="33"/>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14 天内，争议评审组应在不受任何干扰</w:t>
      </w:r>
      <w:r>
        <w:rPr>
          <w:rFonts w:ascii="宋体" w:hAnsi="宋体" w:eastAsia="宋体" w:cs="宋体"/>
          <w:snapToGrid w:val="0"/>
          <w:color w:val="000000"/>
          <w:spacing w:val="14"/>
          <w:kern w:val="0"/>
          <w:sz w:val="20"/>
          <w:szCs w:val="20"/>
          <w:lang w:val="en-US" w:eastAsia="en-US" w:bidi="ar-SA"/>
        </w:rPr>
        <w:t>的情况下进行独立、公正的评审，作出书面评审意见，并说明理由。在争议评审期间，争议双方暂按总</w:t>
      </w:r>
      <w:r>
        <w:rPr>
          <w:rFonts w:ascii="宋体" w:hAnsi="宋体" w:eastAsia="宋体" w:cs="宋体"/>
          <w:snapToGrid w:val="0"/>
          <w:color w:val="000000"/>
          <w:spacing w:val="8"/>
          <w:kern w:val="0"/>
          <w:sz w:val="20"/>
          <w:szCs w:val="20"/>
          <w:lang w:val="en-US" w:eastAsia="en-US" w:bidi="ar-SA"/>
        </w:rPr>
        <w:t>监理工程师的确定执行。</w:t>
      </w:r>
    </w:p>
    <w:p w14:paraId="0504C192">
      <w:pPr>
        <w:kinsoku w:val="0"/>
        <w:autoSpaceDE w:val="0"/>
        <w:autoSpaceDN w:val="0"/>
        <w:adjustRightInd w:val="0"/>
        <w:snapToGrid w:val="0"/>
        <w:spacing w:before="162" w:line="240" w:lineRule="auto"/>
        <w:ind w:left="2" w:right="2" w:firstLine="420"/>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8"/>
          <w:kern w:val="0"/>
          <w:sz w:val="20"/>
          <w:szCs w:val="20"/>
          <w:lang w:val="en-US" w:eastAsia="en-US" w:bidi="ar-SA"/>
        </w:rPr>
        <w:t>24.3.6</w:t>
      </w:r>
      <w:r>
        <w:rPr>
          <w:rFonts w:ascii="宋体" w:hAnsi="宋体" w:eastAsia="宋体" w:cs="宋体"/>
          <w:snapToGrid w:val="0"/>
          <w:color w:val="000000"/>
          <w:spacing w:val="35"/>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发包人和承包人接受评审意见的，</w:t>
      </w:r>
      <w:r>
        <w:rPr>
          <w:rFonts w:ascii="宋体" w:hAnsi="宋体" w:eastAsia="宋体" w:cs="宋体"/>
          <w:snapToGrid w:val="0"/>
          <w:color w:val="000000"/>
          <w:spacing w:val="-56"/>
          <w:kern w:val="0"/>
          <w:sz w:val="20"/>
          <w:szCs w:val="20"/>
          <w:lang w:val="en-US" w:eastAsia="en-US" w:bidi="ar-SA"/>
        </w:rPr>
        <w:t xml:space="preserve"> </w:t>
      </w:r>
      <w:r>
        <w:rPr>
          <w:rFonts w:ascii="宋体" w:hAnsi="宋体" w:eastAsia="宋体" w:cs="宋体"/>
          <w:snapToGrid w:val="0"/>
          <w:color w:val="000000"/>
          <w:spacing w:val="8"/>
          <w:kern w:val="0"/>
          <w:sz w:val="20"/>
          <w:szCs w:val="20"/>
          <w:lang w:val="en-US" w:eastAsia="en-US" w:bidi="ar-SA"/>
        </w:rPr>
        <w:t>由监理人根据评审意见拟定执行协议，经争议双方签字后作为合同的补充文件，并遵照执行。</w:t>
      </w:r>
    </w:p>
    <w:p w14:paraId="0DBF7C55">
      <w:pPr>
        <w:kinsoku w:val="0"/>
        <w:autoSpaceDE w:val="0"/>
        <w:autoSpaceDN w:val="0"/>
        <w:adjustRightInd w:val="0"/>
        <w:snapToGrid w:val="0"/>
        <w:spacing w:before="161" w:line="240" w:lineRule="auto"/>
        <w:ind w:left="16" w:right="2" w:firstLine="406"/>
        <w:jc w:val="left"/>
        <w:textAlignment w:val="baseline"/>
        <w:rPr>
          <w:rFonts w:ascii="宋体" w:hAnsi="宋体" w:eastAsia="宋体" w:cs="宋体"/>
          <w:snapToGrid w:val="0"/>
          <w:color w:val="000000"/>
          <w:kern w:val="0"/>
          <w:sz w:val="20"/>
          <w:szCs w:val="20"/>
          <w:lang w:val="en-US" w:eastAsia="en-US" w:bidi="ar-SA"/>
        </w:rPr>
      </w:pPr>
      <w:r>
        <w:rPr>
          <w:rFonts w:ascii="宋体" w:hAnsi="宋体" w:eastAsia="宋体" w:cs="宋体"/>
          <w:snapToGrid w:val="0"/>
          <w:color w:val="000000"/>
          <w:spacing w:val="9"/>
          <w:kern w:val="0"/>
          <w:sz w:val="20"/>
          <w:szCs w:val="20"/>
          <w:lang w:val="en-US" w:eastAsia="en-US" w:bidi="ar-SA"/>
        </w:rPr>
        <w:t>24.3.7</w:t>
      </w:r>
      <w:r>
        <w:rPr>
          <w:rFonts w:ascii="宋体" w:hAnsi="宋体" w:eastAsia="宋体" w:cs="宋体"/>
          <w:snapToGrid w:val="0"/>
          <w:color w:val="000000"/>
          <w:spacing w:val="34"/>
          <w:kern w:val="0"/>
          <w:sz w:val="20"/>
          <w:szCs w:val="20"/>
          <w:lang w:val="en-US" w:eastAsia="en-US" w:bidi="ar-SA"/>
        </w:rPr>
        <w:t xml:space="preserve">   </w:t>
      </w:r>
      <w:r>
        <w:rPr>
          <w:rFonts w:ascii="宋体" w:hAnsi="宋体" w:eastAsia="宋体" w:cs="宋体"/>
          <w:snapToGrid w:val="0"/>
          <w:color w:val="000000"/>
          <w:spacing w:val="9"/>
          <w:kern w:val="0"/>
          <w:sz w:val="20"/>
          <w:szCs w:val="20"/>
          <w:lang w:val="en-US" w:eastAsia="en-US" w:bidi="ar-SA"/>
        </w:rPr>
        <w:t>发包人或承包人不接受评审意见，并要求提交仲裁或提起诉讼的，应在收到评审意见后的</w:t>
      </w:r>
      <w:r>
        <w:rPr>
          <w:rFonts w:ascii="宋体" w:hAnsi="宋体" w:eastAsia="宋体" w:cs="宋体"/>
          <w:snapToGrid w:val="0"/>
          <w:color w:val="000000"/>
          <w:spacing w:val="11"/>
          <w:kern w:val="0"/>
          <w:sz w:val="20"/>
          <w:szCs w:val="20"/>
          <w:lang w:val="en-US" w:eastAsia="en-US" w:bidi="ar-SA"/>
        </w:rPr>
        <w:t>14 天内将仲裁或起诉意向书面通知另一方，并抄送监理人，但在仲裁或诉讼结束前应暂按总监理工</w:t>
      </w:r>
      <w:r>
        <w:rPr>
          <w:rFonts w:ascii="宋体" w:hAnsi="宋体" w:eastAsia="宋体" w:cs="宋体"/>
          <w:snapToGrid w:val="0"/>
          <w:color w:val="000000"/>
          <w:spacing w:val="10"/>
          <w:kern w:val="0"/>
          <w:sz w:val="20"/>
          <w:szCs w:val="20"/>
          <w:lang w:val="en-US" w:eastAsia="en-US" w:bidi="ar-SA"/>
        </w:rPr>
        <w:t>程师</w:t>
      </w:r>
      <w:r>
        <w:rPr>
          <w:rFonts w:ascii="宋体" w:hAnsi="宋体" w:eastAsia="宋体" w:cs="宋体"/>
          <w:snapToGrid w:val="0"/>
          <w:color w:val="000000"/>
          <w:spacing w:val="4"/>
          <w:kern w:val="0"/>
          <w:sz w:val="20"/>
          <w:szCs w:val="20"/>
          <w:lang w:val="en-US" w:eastAsia="en-US" w:bidi="ar-SA"/>
        </w:rPr>
        <w:t>的确定执行。</w:t>
      </w:r>
    </w:p>
    <w:p w14:paraId="1CCE29F3">
      <w:pPr>
        <w:sectPr>
          <w:footerReference r:id="rId40" w:type="default"/>
          <w:pgSz w:w="11905" w:h="16840"/>
          <w:pgMar w:top="1182" w:right="1416" w:bottom="1171" w:left="1416" w:header="849" w:footer="937" w:gutter="0"/>
          <w:pgNumType w:fmt="decimal"/>
          <w:cols w:space="720" w:num="1"/>
        </w:sectPr>
      </w:pPr>
    </w:p>
    <w:p w14:paraId="5807048F"/>
    <w:p w14:paraId="57D80217">
      <w:pPr>
        <w:pStyle w:val="2"/>
        <w:spacing w:line="285" w:lineRule="auto"/>
      </w:pPr>
    </w:p>
    <w:p w14:paraId="49906322">
      <w:pPr>
        <w:spacing w:before="101" w:line="225" w:lineRule="auto"/>
        <w:ind w:left="3023"/>
        <w:rPr>
          <w:rFonts w:ascii="宋体" w:hAnsi="宋体" w:eastAsia="宋体" w:cs="宋体"/>
          <w:sz w:val="31"/>
          <w:szCs w:val="31"/>
        </w:rPr>
      </w:pPr>
      <w:r>
        <w:rPr>
          <w:rFonts w:ascii="宋体" w:hAnsi="宋体" w:eastAsia="宋体" w:cs="宋体"/>
          <w:b/>
          <w:bCs/>
          <w:spacing w:val="6"/>
          <w:sz w:val="31"/>
          <w:szCs w:val="31"/>
        </w:rPr>
        <w:t>第二节</w:t>
      </w:r>
      <w:r>
        <w:rPr>
          <w:rFonts w:ascii="宋体" w:hAnsi="宋体" w:eastAsia="宋体" w:cs="宋体"/>
          <w:spacing w:val="6"/>
          <w:sz w:val="31"/>
          <w:szCs w:val="31"/>
        </w:rPr>
        <w:t xml:space="preserve"> </w:t>
      </w:r>
      <w:r>
        <w:rPr>
          <w:rFonts w:ascii="宋体" w:hAnsi="宋体" w:eastAsia="宋体" w:cs="宋体"/>
          <w:b/>
          <w:bCs/>
          <w:spacing w:val="6"/>
          <w:sz w:val="31"/>
          <w:szCs w:val="31"/>
        </w:rPr>
        <w:t>专用合同条款</w:t>
      </w:r>
    </w:p>
    <w:p w14:paraId="24791EF1">
      <w:pPr>
        <w:pStyle w:val="2"/>
        <w:spacing w:line="276" w:lineRule="auto"/>
      </w:pPr>
    </w:p>
    <w:p w14:paraId="02791658">
      <w:pPr>
        <w:spacing w:before="101" w:line="224" w:lineRule="auto"/>
        <w:ind w:left="2535"/>
        <w:rPr>
          <w:rFonts w:hint="eastAsia" w:ascii="宋体" w:hAnsi="宋体" w:eastAsia="宋体" w:cs="宋体"/>
          <w:sz w:val="20"/>
          <w:szCs w:val="20"/>
        </w:rPr>
      </w:pPr>
      <w:r>
        <w:rPr>
          <w:rFonts w:ascii="Times New Roman" w:hAnsi="Times New Roman" w:eastAsia="Times New Roman" w:cs="Times New Roman"/>
          <w:spacing w:val="7"/>
          <w:sz w:val="31"/>
          <w:szCs w:val="31"/>
        </w:rPr>
        <w:t xml:space="preserve">A.  </w:t>
      </w:r>
      <w:r>
        <w:rPr>
          <w:rFonts w:ascii="黑体" w:hAnsi="黑体" w:eastAsia="黑体" w:cs="黑体"/>
          <w:spacing w:val="7"/>
          <w:sz w:val="31"/>
          <w:szCs w:val="31"/>
        </w:rPr>
        <w:t>公路工程专用合同条款</w:t>
      </w:r>
    </w:p>
    <w:p w14:paraId="0E17B5EA">
      <w:pPr>
        <w:spacing w:before="91" w:line="240" w:lineRule="auto"/>
        <w:ind w:left="61"/>
        <w:rPr>
          <w:rFonts w:hint="eastAsia" w:ascii="宋体" w:hAnsi="宋体" w:eastAsia="宋体" w:cs="宋体"/>
          <w:sz w:val="20"/>
          <w:szCs w:val="20"/>
        </w:rPr>
      </w:pPr>
      <w:r>
        <w:rPr>
          <w:rFonts w:hint="eastAsia" w:ascii="宋体" w:hAnsi="宋体" w:eastAsia="宋体" w:cs="宋体"/>
          <w:spacing w:val="-8"/>
          <w:sz w:val="20"/>
          <w:szCs w:val="20"/>
        </w:rPr>
        <w:t>1.</w:t>
      </w:r>
      <w:r>
        <w:rPr>
          <w:rFonts w:hint="eastAsia" w:ascii="宋体" w:hAnsi="宋体" w:eastAsia="宋体" w:cs="宋体"/>
          <w:spacing w:val="8"/>
          <w:sz w:val="20"/>
          <w:szCs w:val="20"/>
        </w:rPr>
        <w:t xml:space="preserve">  </w:t>
      </w:r>
      <w:r>
        <w:rPr>
          <w:rFonts w:hint="eastAsia" w:ascii="宋体" w:hAnsi="宋体" w:eastAsia="宋体" w:cs="宋体"/>
          <w:spacing w:val="-8"/>
          <w:sz w:val="20"/>
          <w:szCs w:val="20"/>
        </w:rPr>
        <w:t>一般约定</w:t>
      </w:r>
    </w:p>
    <w:p w14:paraId="7C541FA3">
      <w:pPr>
        <w:spacing w:before="314" w:line="240" w:lineRule="auto"/>
        <w:ind w:left="56"/>
        <w:rPr>
          <w:rFonts w:hint="eastAsia" w:ascii="宋体" w:hAnsi="宋体" w:eastAsia="宋体" w:cs="宋体"/>
          <w:sz w:val="20"/>
          <w:szCs w:val="20"/>
        </w:rPr>
      </w:pPr>
      <w:r>
        <w:rPr>
          <w:rFonts w:hint="eastAsia" w:ascii="宋体" w:hAnsi="宋体" w:eastAsia="宋体" w:cs="宋体"/>
          <w:spacing w:val="-6"/>
          <w:sz w:val="20"/>
          <w:szCs w:val="20"/>
        </w:rPr>
        <w:t>1.1</w:t>
      </w:r>
      <w:r>
        <w:rPr>
          <w:rFonts w:hint="eastAsia" w:ascii="宋体" w:hAnsi="宋体" w:eastAsia="宋体" w:cs="宋体"/>
          <w:spacing w:val="7"/>
          <w:sz w:val="20"/>
          <w:szCs w:val="20"/>
        </w:rPr>
        <w:t xml:space="preserve">  </w:t>
      </w:r>
      <w:r>
        <w:rPr>
          <w:rFonts w:hint="eastAsia" w:ascii="宋体" w:hAnsi="宋体" w:eastAsia="宋体" w:cs="宋体"/>
          <w:spacing w:val="-6"/>
          <w:sz w:val="20"/>
          <w:szCs w:val="20"/>
        </w:rPr>
        <w:t>词语定义</w:t>
      </w:r>
    </w:p>
    <w:p w14:paraId="2CB90CC5">
      <w:pPr>
        <w:spacing w:before="78" w:line="240" w:lineRule="auto"/>
        <w:ind w:left="536"/>
        <w:rPr>
          <w:rFonts w:hint="eastAsia" w:ascii="宋体" w:hAnsi="宋体" w:eastAsia="宋体" w:cs="宋体"/>
          <w:sz w:val="20"/>
          <w:szCs w:val="20"/>
        </w:rPr>
      </w:pPr>
      <w:r>
        <w:rPr>
          <w:rFonts w:hint="eastAsia" w:ascii="宋体" w:hAnsi="宋体" w:eastAsia="宋体" w:cs="宋体"/>
          <w:spacing w:val="-5"/>
          <w:sz w:val="20"/>
          <w:szCs w:val="20"/>
        </w:rPr>
        <w:t>1.1.1</w:t>
      </w:r>
      <w:r>
        <w:rPr>
          <w:rFonts w:hint="eastAsia" w:ascii="宋体" w:hAnsi="宋体" w:eastAsia="宋体" w:cs="宋体"/>
          <w:spacing w:val="5"/>
          <w:sz w:val="20"/>
          <w:szCs w:val="20"/>
        </w:rPr>
        <w:t xml:space="preserve">  </w:t>
      </w:r>
      <w:r>
        <w:rPr>
          <w:rFonts w:hint="eastAsia" w:ascii="宋体" w:hAnsi="宋体" w:eastAsia="宋体" w:cs="宋体"/>
          <w:spacing w:val="-5"/>
          <w:sz w:val="20"/>
          <w:szCs w:val="20"/>
        </w:rPr>
        <w:t>合同</w:t>
      </w:r>
    </w:p>
    <w:p w14:paraId="598FF1DF">
      <w:pPr>
        <w:kinsoku w:val="0"/>
        <w:autoSpaceDE w:val="0"/>
        <w:autoSpaceDN w:val="0"/>
        <w:adjustRightInd w:val="0"/>
        <w:snapToGrid w:val="0"/>
        <w:spacing w:before="95" w:line="240" w:lineRule="auto"/>
        <w:ind w:left="75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29"/>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"1.1.1.6"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9"/>
          <w:kern w:val="0"/>
          <w:sz w:val="20"/>
          <w:szCs w:val="20"/>
          <w:lang w:val="en-US" w:eastAsia="en-US" w:bidi="ar-SA"/>
        </w:rPr>
        <w:t>1.1.1.6</w:t>
      </w:r>
      <w:r>
        <w:rPr>
          <w:rFonts w:hint="eastAsia" w:ascii="宋体" w:hAnsi="宋体" w:eastAsia="宋体" w:cs="宋体"/>
          <w:snapToGrid w:val="0"/>
          <w:color w:val="000000"/>
          <w:spacing w:val="-9"/>
          <w:kern w:val="0"/>
          <w:sz w:val="20"/>
          <w:szCs w:val="20"/>
          <w:lang w:val="en-US" w:eastAsia="en-US" w:bidi="ar-SA"/>
        </w:rPr>
        <w:fldChar w:fldCharType="end"/>
      </w:r>
      <w:r>
        <w:rPr>
          <w:rFonts w:hint="eastAsia" w:ascii="宋体" w:hAnsi="宋体" w:eastAsia="宋体" w:cs="宋体"/>
          <w:snapToGrid w:val="0"/>
          <w:color w:val="000000"/>
          <w:spacing w:val="-9"/>
          <w:kern w:val="0"/>
          <w:sz w:val="20"/>
          <w:szCs w:val="20"/>
          <w:lang w:val="en-US" w:eastAsia="en-US" w:bidi="ar-SA"/>
        </w:rPr>
        <w:t xml:space="preserve">  目细化为：</w:t>
      </w:r>
    </w:p>
    <w:p w14:paraId="612601A7">
      <w:pPr>
        <w:kinsoku w:val="0"/>
        <w:autoSpaceDE w:val="0"/>
        <w:autoSpaceDN w:val="0"/>
        <w:adjustRightInd w:val="0"/>
        <w:snapToGrid w:val="0"/>
        <w:spacing w:before="98" w:line="240" w:lineRule="auto"/>
        <w:ind w:left="40" w:right="12" w:firstLine="7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技术规范：指本合同所约定的技术标准和要求，是合同文件的组成部分。通</w:t>
      </w:r>
      <w:r>
        <w:rPr>
          <w:rFonts w:hint="eastAsia" w:ascii="宋体" w:hAnsi="宋体" w:eastAsia="宋体" w:cs="宋体"/>
          <w:snapToGrid w:val="0"/>
          <w:color w:val="000000"/>
          <w:spacing w:val="-2"/>
          <w:kern w:val="0"/>
          <w:sz w:val="20"/>
          <w:szCs w:val="20"/>
          <w:lang w:val="en-US" w:eastAsia="en-US" w:bidi="ar-SA"/>
        </w:rPr>
        <w:t>用合同条款中“技术标准和要求”一词具有相同含义。</w:t>
      </w:r>
    </w:p>
    <w:p w14:paraId="7271431F">
      <w:pPr>
        <w:kinsoku w:val="0"/>
        <w:autoSpaceDE w:val="0"/>
        <w:autoSpaceDN w:val="0"/>
        <w:adjustRightInd w:val="0"/>
        <w:snapToGrid w:val="0"/>
        <w:spacing w:before="1" w:line="240" w:lineRule="auto"/>
        <w:ind w:left="75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29"/>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"1.1.1.8"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9"/>
          <w:kern w:val="0"/>
          <w:sz w:val="20"/>
          <w:szCs w:val="20"/>
          <w:lang w:val="en-US" w:eastAsia="en-US" w:bidi="ar-SA"/>
        </w:rPr>
        <w:t>1.1.1.8</w:t>
      </w:r>
      <w:r>
        <w:rPr>
          <w:rFonts w:hint="eastAsia" w:ascii="宋体" w:hAnsi="宋体" w:eastAsia="宋体" w:cs="宋体"/>
          <w:snapToGrid w:val="0"/>
          <w:color w:val="000000"/>
          <w:spacing w:val="-9"/>
          <w:kern w:val="0"/>
          <w:sz w:val="20"/>
          <w:szCs w:val="20"/>
          <w:lang w:val="en-US" w:eastAsia="en-US" w:bidi="ar-SA"/>
        </w:rPr>
        <w:fldChar w:fldCharType="end"/>
      </w:r>
      <w:r>
        <w:rPr>
          <w:rFonts w:hint="eastAsia" w:ascii="宋体" w:hAnsi="宋体" w:eastAsia="宋体" w:cs="宋体"/>
          <w:snapToGrid w:val="0"/>
          <w:color w:val="000000"/>
          <w:spacing w:val="-9"/>
          <w:kern w:val="0"/>
          <w:sz w:val="20"/>
          <w:szCs w:val="20"/>
          <w:lang w:val="en-US" w:eastAsia="en-US" w:bidi="ar-SA"/>
        </w:rPr>
        <w:t xml:space="preserve">  目细化为：</w:t>
      </w:r>
    </w:p>
    <w:p w14:paraId="7E49511E">
      <w:pPr>
        <w:kinsoku w:val="0"/>
        <w:autoSpaceDE w:val="0"/>
        <w:autoSpaceDN w:val="0"/>
        <w:adjustRightInd w:val="0"/>
        <w:snapToGrid w:val="0"/>
        <w:spacing w:before="97" w:line="240" w:lineRule="auto"/>
        <w:ind w:left="38" w:right="1" w:firstLine="74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已标价工程量清单：指构成合同文件组成部分的已标明价格、经算术性错误</w:t>
      </w:r>
      <w:r>
        <w:rPr>
          <w:rFonts w:hint="eastAsia" w:ascii="宋体" w:hAnsi="宋体" w:eastAsia="宋体" w:cs="宋体"/>
          <w:snapToGrid w:val="0"/>
          <w:color w:val="000000"/>
          <w:spacing w:val="1"/>
          <w:kern w:val="0"/>
          <w:sz w:val="20"/>
          <w:szCs w:val="20"/>
          <w:lang w:val="en-US" w:eastAsia="en-US" w:bidi="ar-SA"/>
        </w:rPr>
        <w:t>修正及其他错误修正（如有）且承包人已确认的</w:t>
      </w:r>
      <w:r>
        <w:rPr>
          <w:rFonts w:hint="eastAsia" w:ascii="宋体" w:hAnsi="宋体" w:eastAsia="宋体" w:cs="宋体"/>
          <w:snapToGrid w:val="0"/>
          <w:color w:val="000000"/>
          <w:kern w:val="0"/>
          <w:sz w:val="20"/>
          <w:szCs w:val="20"/>
          <w:lang w:val="en-US" w:eastAsia="en-US" w:bidi="ar-SA"/>
        </w:rPr>
        <w:t>最终的工程量清单，包括工程量清单说明、投标报价说明、计日工说明、其他说明及工程量清单各项表格（工程量清</w:t>
      </w:r>
      <w:r>
        <w:rPr>
          <w:rFonts w:hint="eastAsia" w:ascii="宋体" w:hAnsi="宋体" w:eastAsia="宋体" w:cs="宋体"/>
          <w:snapToGrid w:val="0"/>
          <w:color w:val="000000"/>
          <w:spacing w:val="-11"/>
          <w:kern w:val="0"/>
          <w:sz w:val="20"/>
          <w:szCs w:val="20"/>
          <w:lang w:val="en-US" w:eastAsia="en-US" w:bidi="ar-SA"/>
        </w:rPr>
        <w:t>单表</w:t>
      </w:r>
      <w:r>
        <w:rPr>
          <w:rFonts w:hint="eastAsia" w:ascii="宋体" w:hAnsi="宋体" w:eastAsia="宋体" w:cs="宋体"/>
          <w:snapToGrid w:val="0"/>
          <w:color w:val="000000"/>
          <w:spacing w:val="-49"/>
          <w:kern w:val="0"/>
          <w:sz w:val="20"/>
          <w:szCs w:val="20"/>
          <w:lang w:val="en-US" w:eastAsia="en-US" w:bidi="ar-SA"/>
        </w:rPr>
        <w:t xml:space="preserve"> </w:t>
      </w:r>
      <w:r>
        <w:rPr>
          <w:rFonts w:hint="eastAsia" w:ascii="宋体" w:hAnsi="宋体" w:eastAsia="宋体" w:cs="宋体"/>
          <w:snapToGrid w:val="0"/>
          <w:color w:val="000000"/>
          <w:spacing w:val="-11"/>
          <w:kern w:val="0"/>
          <w:sz w:val="20"/>
          <w:szCs w:val="20"/>
          <w:lang w:val="en-US" w:eastAsia="en-US" w:bidi="ar-SA"/>
        </w:rPr>
        <w:t>5.1～表</w:t>
      </w:r>
      <w:r>
        <w:rPr>
          <w:rFonts w:hint="eastAsia" w:ascii="宋体" w:hAnsi="宋体" w:eastAsia="宋体" w:cs="宋体"/>
          <w:snapToGrid w:val="0"/>
          <w:color w:val="000000"/>
          <w:spacing w:val="-37"/>
          <w:kern w:val="0"/>
          <w:sz w:val="20"/>
          <w:szCs w:val="20"/>
          <w:lang w:val="en-US" w:eastAsia="en-US" w:bidi="ar-SA"/>
        </w:rPr>
        <w:t xml:space="preserve"> </w:t>
      </w:r>
      <w:r>
        <w:rPr>
          <w:rFonts w:hint="eastAsia" w:ascii="宋体" w:hAnsi="宋体" w:eastAsia="宋体" w:cs="宋体"/>
          <w:snapToGrid w:val="0"/>
          <w:color w:val="000000"/>
          <w:spacing w:val="-11"/>
          <w:kern w:val="0"/>
          <w:sz w:val="20"/>
          <w:szCs w:val="20"/>
          <w:lang w:val="en-US" w:eastAsia="en-US" w:bidi="ar-SA"/>
        </w:rPr>
        <w:t>5.5）。</w:t>
      </w:r>
    </w:p>
    <w:p w14:paraId="7591B21D">
      <w:pPr>
        <w:kinsoku w:val="0"/>
        <w:autoSpaceDE w:val="0"/>
        <w:autoSpaceDN w:val="0"/>
        <w:adjustRightInd w:val="0"/>
        <w:snapToGrid w:val="0"/>
        <w:spacing w:line="240" w:lineRule="auto"/>
        <w:ind w:left="75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本项补充第</w:t>
      </w:r>
      <w:r>
        <w:rPr>
          <w:rFonts w:hint="eastAsia" w:ascii="宋体" w:hAnsi="宋体" w:eastAsia="宋体" w:cs="宋体"/>
          <w:snapToGrid w:val="0"/>
          <w:color w:val="000000"/>
          <w:spacing w:val="-29"/>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"1.1.1.10"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6"/>
          <w:kern w:val="0"/>
          <w:sz w:val="20"/>
          <w:szCs w:val="20"/>
          <w:lang w:val="en-US" w:eastAsia="en-US" w:bidi="ar-SA"/>
        </w:rPr>
        <w:t>1.1.1.10</w:t>
      </w:r>
      <w:r>
        <w:rPr>
          <w:rFonts w:hint="eastAsia" w:ascii="宋体" w:hAnsi="宋体" w:eastAsia="宋体" w:cs="宋体"/>
          <w:snapToGrid w:val="0"/>
          <w:color w:val="000000"/>
          <w:spacing w:val="-6"/>
          <w:kern w:val="0"/>
          <w:sz w:val="20"/>
          <w:szCs w:val="20"/>
          <w:lang w:val="en-US" w:eastAsia="en-US" w:bidi="ar-SA"/>
        </w:rPr>
        <w:fldChar w:fldCharType="end"/>
      </w:r>
      <w:r>
        <w:rPr>
          <w:rFonts w:hint="eastAsia" w:ascii="宋体" w:hAnsi="宋体" w:eastAsia="宋体" w:cs="宋体"/>
          <w:snapToGrid w:val="0"/>
          <w:color w:val="000000"/>
          <w:spacing w:val="-6"/>
          <w:kern w:val="0"/>
          <w:sz w:val="20"/>
          <w:szCs w:val="20"/>
          <w:lang w:val="en-US" w:eastAsia="en-US" w:bidi="ar-SA"/>
        </w:rPr>
        <w:t xml:space="preserve">  目：</w:t>
      </w:r>
    </w:p>
    <w:p w14:paraId="159AA5F3">
      <w:pPr>
        <w:kinsoku w:val="0"/>
        <w:autoSpaceDE w:val="0"/>
        <w:autoSpaceDN w:val="0"/>
        <w:adjustRightInd w:val="0"/>
        <w:snapToGrid w:val="0"/>
        <w:spacing w:before="98" w:line="240" w:lineRule="auto"/>
        <w:ind w:left="41" w:right="9" w:firstLine="73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"1.1.1.10"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2"/>
          <w:kern w:val="0"/>
          <w:sz w:val="20"/>
          <w:szCs w:val="20"/>
          <w:lang w:val="en-US" w:eastAsia="en-US" w:bidi="ar-SA"/>
        </w:rPr>
        <w:t>1.1.1.10</w:t>
      </w:r>
      <w:r>
        <w:rPr>
          <w:rFonts w:hint="eastAsia" w:ascii="宋体" w:hAnsi="宋体" w:eastAsia="宋体" w:cs="宋体"/>
          <w:snapToGrid w:val="0"/>
          <w:color w:val="000000"/>
          <w:spacing w:val="2"/>
          <w:kern w:val="0"/>
          <w:sz w:val="20"/>
          <w:szCs w:val="20"/>
          <w:lang w:val="en-US" w:eastAsia="en-US" w:bidi="ar-SA"/>
        </w:rPr>
        <w:fldChar w:fldCharType="end"/>
      </w:r>
      <w:r>
        <w:rPr>
          <w:rFonts w:hint="eastAsia" w:ascii="宋体" w:hAnsi="宋体" w:eastAsia="宋体" w:cs="宋体"/>
          <w:snapToGrid w:val="0"/>
          <w:color w:val="000000"/>
          <w:spacing w:val="2"/>
          <w:kern w:val="0"/>
          <w:sz w:val="20"/>
          <w:szCs w:val="20"/>
          <w:lang w:val="en-US" w:eastAsia="en-US" w:bidi="ar-SA"/>
        </w:rPr>
        <w:t xml:space="preserve">  补遗书：指发出招标文件</w:t>
      </w:r>
      <w:r>
        <w:rPr>
          <w:rFonts w:hint="eastAsia" w:ascii="宋体" w:hAnsi="宋体" w:eastAsia="宋体" w:cs="宋体"/>
          <w:snapToGrid w:val="0"/>
          <w:color w:val="000000"/>
          <w:spacing w:val="1"/>
          <w:kern w:val="0"/>
          <w:sz w:val="20"/>
          <w:szCs w:val="20"/>
          <w:lang w:val="en-US" w:eastAsia="en-US" w:bidi="ar-SA"/>
        </w:rPr>
        <w:t>之后由招标人向已取得招标文件的投标人</w:t>
      </w:r>
      <w:r>
        <w:rPr>
          <w:rFonts w:hint="eastAsia" w:ascii="宋体" w:hAnsi="宋体" w:eastAsia="宋体" w:cs="宋体"/>
          <w:snapToGrid w:val="0"/>
          <w:color w:val="000000"/>
          <w:spacing w:val="-1"/>
          <w:kern w:val="0"/>
          <w:sz w:val="20"/>
          <w:szCs w:val="20"/>
          <w:lang w:val="en-US" w:eastAsia="en-US" w:bidi="ar-SA"/>
        </w:rPr>
        <w:t>发出的、编号的对招标文件所作的澄清、修改书。</w:t>
      </w:r>
    </w:p>
    <w:p w14:paraId="42A81ADF">
      <w:pPr>
        <w:spacing w:before="17" w:line="240" w:lineRule="auto"/>
        <w:ind w:left="536"/>
        <w:outlineLvl w:val="0"/>
        <w:rPr>
          <w:rFonts w:hint="eastAsia" w:ascii="宋体" w:hAnsi="宋体" w:eastAsia="宋体" w:cs="宋体"/>
          <w:sz w:val="20"/>
          <w:szCs w:val="20"/>
        </w:rPr>
      </w:pPr>
      <w:r>
        <w:rPr>
          <w:rFonts w:hint="eastAsia" w:ascii="宋体" w:hAnsi="宋体" w:eastAsia="宋体" w:cs="宋体"/>
          <w:spacing w:val="-2"/>
          <w:sz w:val="20"/>
          <w:szCs w:val="20"/>
        </w:rPr>
        <w:t>1.1.2  合同当事人和人员</w:t>
      </w:r>
    </w:p>
    <w:p w14:paraId="6DAE272C">
      <w:pPr>
        <w:kinsoku w:val="0"/>
        <w:autoSpaceDE w:val="0"/>
        <w:autoSpaceDN w:val="0"/>
        <w:adjustRightInd w:val="0"/>
        <w:snapToGrid w:val="0"/>
        <w:spacing w:before="97" w:line="240" w:lineRule="auto"/>
        <w:ind w:left="75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本项补充第</w:t>
      </w:r>
      <w:r>
        <w:rPr>
          <w:rFonts w:hint="eastAsia" w:ascii="宋体" w:hAnsi="宋体" w:eastAsia="宋体" w:cs="宋体"/>
          <w:snapToGrid w:val="0"/>
          <w:color w:val="000000"/>
          <w:spacing w:val="-19"/>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"1.1.2.8"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7"/>
          <w:kern w:val="0"/>
          <w:sz w:val="20"/>
          <w:szCs w:val="20"/>
          <w:lang w:val="en-US" w:eastAsia="en-US" w:bidi="ar-SA"/>
        </w:rPr>
        <w:t>1.1.2.8</w:t>
      </w:r>
      <w:r>
        <w:rPr>
          <w:rFonts w:hint="eastAsia" w:ascii="宋体" w:hAnsi="宋体" w:eastAsia="宋体" w:cs="宋体"/>
          <w:snapToGrid w:val="0"/>
          <w:color w:val="000000"/>
          <w:spacing w:val="-7"/>
          <w:kern w:val="0"/>
          <w:sz w:val="20"/>
          <w:szCs w:val="20"/>
          <w:lang w:val="en-US" w:eastAsia="en-US" w:bidi="ar-SA"/>
        </w:rPr>
        <w:fldChar w:fldCharType="end"/>
      </w:r>
      <w:r>
        <w:rPr>
          <w:rFonts w:hint="eastAsia" w:ascii="宋体" w:hAnsi="宋体" w:eastAsia="宋体" w:cs="宋体"/>
          <w:snapToGrid w:val="0"/>
          <w:color w:val="000000"/>
          <w:spacing w:val="-7"/>
          <w:kern w:val="0"/>
          <w:sz w:val="20"/>
          <w:szCs w:val="20"/>
          <w:lang w:val="en-US" w:eastAsia="en-US" w:bidi="ar-SA"/>
        </w:rPr>
        <w:t xml:space="preserve">  目：</w:t>
      </w:r>
    </w:p>
    <w:p w14:paraId="0E4E91AF">
      <w:pPr>
        <w:kinsoku w:val="0"/>
        <w:autoSpaceDE w:val="0"/>
        <w:autoSpaceDN w:val="0"/>
        <w:adjustRightInd w:val="0"/>
        <w:snapToGrid w:val="0"/>
        <w:spacing w:before="98" w:line="240" w:lineRule="auto"/>
        <w:ind w:left="57" w:right="10" w:firstLine="7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1.1.2.8  承包人项目总工：指由承包人书面委派常驻现场负责管理本合同工程</w:t>
      </w:r>
      <w:r>
        <w:rPr>
          <w:rFonts w:hint="eastAsia" w:ascii="宋体" w:hAnsi="宋体" w:eastAsia="宋体" w:cs="宋体"/>
          <w:snapToGrid w:val="0"/>
          <w:color w:val="000000"/>
          <w:spacing w:val="-5"/>
          <w:kern w:val="0"/>
          <w:sz w:val="20"/>
          <w:szCs w:val="20"/>
          <w:lang w:val="en-US" w:eastAsia="en-US" w:bidi="ar-SA"/>
        </w:rPr>
        <w:t>的总工程师或技术总负责人。</w:t>
      </w:r>
    </w:p>
    <w:p w14:paraId="0D96E92F">
      <w:pPr>
        <w:spacing w:before="14" w:line="240" w:lineRule="auto"/>
        <w:ind w:left="536"/>
        <w:outlineLvl w:val="0"/>
        <w:rPr>
          <w:rFonts w:hint="eastAsia" w:ascii="宋体" w:hAnsi="宋体" w:eastAsia="宋体" w:cs="宋体"/>
          <w:sz w:val="20"/>
          <w:szCs w:val="20"/>
        </w:rPr>
      </w:pPr>
      <w:r>
        <w:rPr>
          <w:rFonts w:hint="eastAsia" w:ascii="宋体" w:hAnsi="宋体" w:eastAsia="宋体" w:cs="宋体"/>
          <w:spacing w:val="-3"/>
          <w:sz w:val="20"/>
          <w:szCs w:val="20"/>
        </w:rPr>
        <w:t>1.1.3  工程和设备</w:t>
      </w:r>
    </w:p>
    <w:p w14:paraId="4D217BF4">
      <w:pPr>
        <w:kinsoku w:val="0"/>
        <w:autoSpaceDE w:val="0"/>
        <w:autoSpaceDN w:val="0"/>
        <w:adjustRightInd w:val="0"/>
        <w:snapToGrid w:val="0"/>
        <w:spacing w:before="99" w:line="240" w:lineRule="auto"/>
        <w:ind w:left="75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29"/>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"1.1.3.4"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9"/>
          <w:kern w:val="0"/>
          <w:sz w:val="20"/>
          <w:szCs w:val="20"/>
          <w:lang w:val="en-US" w:eastAsia="en-US" w:bidi="ar-SA"/>
        </w:rPr>
        <w:t>1.1.3.4</w:t>
      </w:r>
      <w:r>
        <w:rPr>
          <w:rFonts w:hint="eastAsia" w:ascii="宋体" w:hAnsi="宋体" w:eastAsia="宋体" w:cs="宋体"/>
          <w:snapToGrid w:val="0"/>
          <w:color w:val="000000"/>
          <w:spacing w:val="-9"/>
          <w:kern w:val="0"/>
          <w:sz w:val="20"/>
          <w:szCs w:val="20"/>
          <w:lang w:val="en-US" w:eastAsia="en-US" w:bidi="ar-SA"/>
        </w:rPr>
        <w:fldChar w:fldCharType="end"/>
      </w:r>
      <w:r>
        <w:rPr>
          <w:rFonts w:hint="eastAsia" w:ascii="宋体" w:hAnsi="宋体" w:eastAsia="宋体" w:cs="宋体"/>
          <w:snapToGrid w:val="0"/>
          <w:color w:val="000000"/>
          <w:spacing w:val="-9"/>
          <w:kern w:val="0"/>
          <w:sz w:val="20"/>
          <w:szCs w:val="20"/>
          <w:lang w:val="en-US" w:eastAsia="en-US" w:bidi="ar-SA"/>
        </w:rPr>
        <w:t xml:space="preserve">  目细化为：</w:t>
      </w:r>
    </w:p>
    <w:p w14:paraId="0EDB635B">
      <w:pPr>
        <w:kinsoku w:val="0"/>
        <w:autoSpaceDE w:val="0"/>
        <w:autoSpaceDN w:val="0"/>
        <w:adjustRightInd w:val="0"/>
        <w:snapToGrid w:val="0"/>
        <w:spacing w:before="97" w:line="240" w:lineRule="auto"/>
        <w:ind w:right="38" w:firstLine="800" w:firstLineChars="4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单位工程：指在建设项目中，根据签订的合同，</w:t>
      </w:r>
      <w:r>
        <w:rPr>
          <w:rFonts w:hint="eastAsia" w:ascii="宋体" w:hAnsi="宋体" w:eastAsia="宋体" w:cs="宋体"/>
          <w:snapToGrid w:val="0"/>
          <w:color w:val="000000"/>
          <w:spacing w:val="-1"/>
          <w:kern w:val="0"/>
          <w:sz w:val="20"/>
          <w:szCs w:val="20"/>
          <w:lang w:val="en-US" w:eastAsia="en-US" w:bidi="ar-SA"/>
        </w:rPr>
        <w:t>具有独立施工条件的工程。</w:t>
      </w:r>
    </w:p>
    <w:p w14:paraId="4D6F34F1">
      <w:pPr>
        <w:kinsoku w:val="0"/>
        <w:autoSpaceDE w:val="0"/>
        <w:autoSpaceDN w:val="0"/>
        <w:adjustRightInd w:val="0"/>
        <w:snapToGrid w:val="0"/>
        <w:spacing w:before="113" w:line="240" w:lineRule="auto"/>
        <w:ind w:left="75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20"/>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"1.1.3.10"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9"/>
          <w:kern w:val="0"/>
          <w:sz w:val="20"/>
          <w:szCs w:val="20"/>
          <w:lang w:val="en-US" w:eastAsia="en-US" w:bidi="ar-SA"/>
        </w:rPr>
        <w:t>1.1.3.10</w:t>
      </w:r>
      <w:r>
        <w:rPr>
          <w:rFonts w:hint="eastAsia" w:ascii="宋体" w:hAnsi="宋体" w:eastAsia="宋体" w:cs="宋体"/>
          <w:snapToGrid w:val="0"/>
          <w:color w:val="000000"/>
          <w:spacing w:val="-9"/>
          <w:kern w:val="0"/>
          <w:sz w:val="20"/>
          <w:szCs w:val="20"/>
          <w:lang w:val="en-US" w:eastAsia="en-US" w:bidi="ar-SA"/>
        </w:rPr>
        <w:fldChar w:fldCharType="end"/>
      </w:r>
      <w:r>
        <w:rPr>
          <w:rFonts w:hint="eastAsia" w:ascii="宋体" w:hAnsi="宋体" w:eastAsia="宋体" w:cs="宋体"/>
          <w:snapToGrid w:val="0"/>
          <w:color w:val="000000"/>
          <w:spacing w:val="-9"/>
          <w:kern w:val="0"/>
          <w:sz w:val="20"/>
          <w:szCs w:val="20"/>
          <w:lang w:val="en-US" w:eastAsia="en-US" w:bidi="ar-SA"/>
        </w:rPr>
        <w:t xml:space="preserve">  目细化为：</w:t>
      </w:r>
    </w:p>
    <w:p w14:paraId="54904ED6">
      <w:pPr>
        <w:kinsoku w:val="0"/>
        <w:autoSpaceDE w:val="0"/>
        <w:autoSpaceDN w:val="0"/>
        <w:adjustRightInd w:val="0"/>
        <w:snapToGrid w:val="0"/>
        <w:spacing w:before="99" w:line="240" w:lineRule="auto"/>
        <w:ind w:left="36" w:right="2" w:firstLine="72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永久占地：指为实施本合同工程而需要的一切永久占</w:t>
      </w:r>
      <w:r>
        <w:rPr>
          <w:rFonts w:hint="eastAsia" w:ascii="宋体" w:hAnsi="宋体" w:eastAsia="宋体" w:cs="宋体"/>
          <w:snapToGrid w:val="0"/>
          <w:color w:val="000000"/>
          <w:kern w:val="0"/>
          <w:sz w:val="20"/>
          <w:szCs w:val="20"/>
          <w:lang w:val="en-US" w:eastAsia="en-US" w:bidi="ar-SA"/>
        </w:rPr>
        <w:t>用的土地，包括公路两</w:t>
      </w:r>
      <w:r>
        <w:rPr>
          <w:rFonts w:hint="eastAsia" w:ascii="宋体" w:hAnsi="宋体" w:eastAsia="宋体" w:cs="宋体"/>
          <w:snapToGrid w:val="0"/>
          <w:color w:val="000000"/>
          <w:spacing w:val="-4"/>
          <w:kern w:val="0"/>
          <w:sz w:val="20"/>
          <w:szCs w:val="20"/>
          <w:lang w:val="en-US" w:eastAsia="en-US" w:bidi="ar-SA"/>
        </w:rPr>
        <w:t>侧路权范围内的用地。</w:t>
      </w:r>
    </w:p>
    <w:p w14:paraId="2B8A01E0">
      <w:pPr>
        <w:kinsoku w:val="0"/>
        <w:autoSpaceDE w:val="0"/>
        <w:autoSpaceDN w:val="0"/>
        <w:adjustRightInd w:val="0"/>
        <w:snapToGrid w:val="0"/>
        <w:spacing w:line="240" w:lineRule="auto"/>
        <w:ind w:left="75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"1.1.3.11"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9"/>
          <w:kern w:val="0"/>
          <w:sz w:val="20"/>
          <w:szCs w:val="20"/>
          <w:lang w:val="en-US" w:eastAsia="en-US" w:bidi="ar-SA"/>
        </w:rPr>
        <w:t>1.1.3.11</w:t>
      </w:r>
      <w:r>
        <w:rPr>
          <w:rFonts w:hint="eastAsia" w:ascii="宋体" w:hAnsi="宋体" w:eastAsia="宋体" w:cs="宋体"/>
          <w:snapToGrid w:val="0"/>
          <w:color w:val="000000"/>
          <w:spacing w:val="-9"/>
          <w:kern w:val="0"/>
          <w:sz w:val="20"/>
          <w:szCs w:val="20"/>
          <w:lang w:val="en-US" w:eastAsia="en-US" w:bidi="ar-SA"/>
        </w:rPr>
        <w:fldChar w:fldCharType="end"/>
      </w:r>
      <w:r>
        <w:rPr>
          <w:rFonts w:hint="eastAsia" w:ascii="宋体" w:hAnsi="宋体" w:eastAsia="宋体" w:cs="宋体"/>
          <w:snapToGrid w:val="0"/>
          <w:color w:val="000000"/>
          <w:spacing w:val="-9"/>
          <w:kern w:val="0"/>
          <w:sz w:val="20"/>
          <w:szCs w:val="20"/>
          <w:lang w:val="en-US" w:eastAsia="en-US" w:bidi="ar-SA"/>
        </w:rPr>
        <w:t xml:space="preserve">  目细化为：</w:t>
      </w:r>
    </w:p>
    <w:p w14:paraId="66419B43">
      <w:pPr>
        <w:kinsoku w:val="0"/>
        <w:autoSpaceDE w:val="0"/>
        <w:autoSpaceDN w:val="0"/>
        <w:adjustRightInd w:val="0"/>
        <w:snapToGrid w:val="0"/>
        <w:spacing w:before="97" w:line="240" w:lineRule="auto"/>
        <w:ind w:left="40" w:right="5" w:firstLine="73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临时占地：指为实施本合同工程而需要的一切临时占用的土地，包括施工所</w:t>
      </w:r>
      <w:r>
        <w:rPr>
          <w:rFonts w:hint="eastAsia" w:ascii="宋体" w:hAnsi="宋体" w:eastAsia="宋体" w:cs="宋体"/>
          <w:snapToGrid w:val="0"/>
          <w:color w:val="000000"/>
          <w:spacing w:val="-11"/>
          <w:kern w:val="0"/>
          <w:sz w:val="20"/>
          <w:szCs w:val="20"/>
          <w:lang w:val="en-US" w:eastAsia="en-US" w:bidi="ar-SA"/>
        </w:rPr>
        <w:t>用的临时支线、便道、便桥和现场的临时出入通道，</w:t>
      </w:r>
      <w:r>
        <w:rPr>
          <w:rFonts w:hint="eastAsia" w:ascii="宋体" w:hAnsi="宋体" w:eastAsia="宋体" w:cs="宋体"/>
          <w:snapToGrid w:val="0"/>
          <w:color w:val="000000"/>
          <w:spacing w:val="74"/>
          <w:kern w:val="0"/>
          <w:sz w:val="20"/>
          <w:szCs w:val="20"/>
          <w:lang w:val="en-US" w:eastAsia="en-US" w:bidi="ar-SA"/>
        </w:rPr>
        <w:t xml:space="preserve"> </w:t>
      </w:r>
      <w:r>
        <w:rPr>
          <w:rFonts w:hint="eastAsia" w:ascii="宋体" w:hAnsi="宋体" w:eastAsia="宋体" w:cs="宋体"/>
          <w:snapToGrid w:val="0"/>
          <w:color w:val="000000"/>
          <w:spacing w:val="-11"/>
          <w:kern w:val="0"/>
          <w:sz w:val="20"/>
          <w:szCs w:val="20"/>
          <w:lang w:val="en-US" w:eastAsia="en-US" w:bidi="ar-SA"/>
        </w:rPr>
        <w:t>以及生产（办公）</w:t>
      </w:r>
      <w:r>
        <w:rPr>
          <w:rFonts w:hint="eastAsia" w:ascii="宋体" w:hAnsi="宋体" w:eastAsia="宋体" w:cs="宋体"/>
          <w:snapToGrid w:val="0"/>
          <w:color w:val="000000"/>
          <w:spacing w:val="-12"/>
          <w:kern w:val="0"/>
          <w:sz w:val="20"/>
          <w:szCs w:val="20"/>
          <w:lang w:val="en-US" w:eastAsia="en-US" w:bidi="ar-SA"/>
        </w:rPr>
        <w:t>、生活等临时</w:t>
      </w:r>
      <w:r>
        <w:rPr>
          <w:rFonts w:hint="eastAsia" w:ascii="宋体" w:hAnsi="宋体" w:eastAsia="宋体" w:cs="宋体"/>
          <w:snapToGrid w:val="0"/>
          <w:color w:val="000000"/>
          <w:spacing w:val="-2"/>
          <w:kern w:val="0"/>
          <w:sz w:val="20"/>
          <w:szCs w:val="20"/>
          <w:lang w:val="en-US" w:eastAsia="en-US" w:bidi="ar-SA"/>
        </w:rPr>
        <w:t>设施用地等。</w:t>
      </w:r>
    </w:p>
    <w:p w14:paraId="45978C5A">
      <w:pPr>
        <w:kinsoku w:val="0"/>
        <w:autoSpaceDE w:val="0"/>
        <w:autoSpaceDN w:val="0"/>
        <w:adjustRightInd w:val="0"/>
        <w:snapToGrid w:val="0"/>
        <w:spacing w:before="1" w:line="240" w:lineRule="auto"/>
        <w:ind w:left="75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本项补充第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"1.1.3.12"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6"/>
          <w:kern w:val="0"/>
          <w:sz w:val="20"/>
          <w:szCs w:val="20"/>
          <w:lang w:val="en-US" w:eastAsia="en-US" w:bidi="ar-SA"/>
        </w:rPr>
        <w:t>1.1.3.12</w:t>
      </w:r>
      <w:r>
        <w:rPr>
          <w:rFonts w:hint="eastAsia" w:ascii="宋体" w:hAnsi="宋体" w:eastAsia="宋体" w:cs="宋体"/>
          <w:snapToGrid w:val="0"/>
          <w:color w:val="000000"/>
          <w:spacing w:val="-6"/>
          <w:kern w:val="0"/>
          <w:sz w:val="20"/>
          <w:szCs w:val="20"/>
          <w:lang w:val="en-US" w:eastAsia="en-US" w:bidi="ar-SA"/>
        </w:rPr>
        <w:fldChar w:fldCharType="end"/>
      </w:r>
      <w:r>
        <w:rPr>
          <w:rFonts w:hint="eastAsia" w:ascii="宋体" w:hAnsi="宋体" w:eastAsia="宋体" w:cs="宋体"/>
          <w:snapToGrid w:val="0"/>
          <w:color w:val="000000"/>
          <w:spacing w:val="-6"/>
          <w:kern w:val="0"/>
          <w:sz w:val="20"/>
          <w:szCs w:val="20"/>
          <w:lang w:val="en-US" w:eastAsia="en-US" w:bidi="ar-SA"/>
        </w:rPr>
        <w:t xml:space="preserve">  目、第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"1.1.3.13"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6"/>
          <w:kern w:val="0"/>
          <w:sz w:val="20"/>
          <w:szCs w:val="20"/>
          <w:lang w:val="en-US" w:eastAsia="en-US" w:bidi="ar-SA"/>
        </w:rPr>
        <w:t>1.1.3</w:t>
      </w:r>
      <w:r>
        <w:rPr>
          <w:rFonts w:hint="eastAsia" w:ascii="宋体" w:hAnsi="宋体" w:eastAsia="宋体" w:cs="宋体"/>
          <w:snapToGrid w:val="0"/>
          <w:color w:val="000000"/>
          <w:spacing w:val="-7"/>
          <w:kern w:val="0"/>
          <w:sz w:val="20"/>
          <w:szCs w:val="20"/>
          <w:lang w:val="en-US" w:eastAsia="en-US" w:bidi="ar-SA"/>
        </w:rPr>
        <w:t>.13</w:t>
      </w:r>
      <w:r>
        <w:rPr>
          <w:rFonts w:hint="eastAsia" w:ascii="宋体" w:hAnsi="宋体" w:eastAsia="宋体" w:cs="宋体"/>
          <w:snapToGrid w:val="0"/>
          <w:color w:val="000000"/>
          <w:spacing w:val="-7"/>
          <w:kern w:val="0"/>
          <w:sz w:val="20"/>
          <w:szCs w:val="20"/>
          <w:lang w:val="en-US" w:eastAsia="en-US" w:bidi="ar-SA"/>
        </w:rPr>
        <w:fldChar w:fldCharType="end"/>
      </w:r>
      <w:r>
        <w:rPr>
          <w:rFonts w:hint="eastAsia" w:ascii="宋体" w:hAnsi="宋体" w:eastAsia="宋体" w:cs="宋体"/>
          <w:snapToGrid w:val="0"/>
          <w:color w:val="000000"/>
          <w:spacing w:val="-7"/>
          <w:kern w:val="0"/>
          <w:sz w:val="20"/>
          <w:szCs w:val="20"/>
          <w:lang w:val="en-US" w:eastAsia="en-US" w:bidi="ar-SA"/>
        </w:rPr>
        <w:t xml:space="preserve">  目：</w:t>
      </w:r>
    </w:p>
    <w:p w14:paraId="4B02144F">
      <w:pPr>
        <w:kinsoku w:val="0"/>
        <w:autoSpaceDE w:val="0"/>
        <w:autoSpaceDN w:val="0"/>
        <w:adjustRightInd w:val="0"/>
        <w:snapToGrid w:val="0"/>
        <w:spacing w:before="99" w:line="240" w:lineRule="auto"/>
        <w:ind w:right="9" w:firstLine="800" w:firstLineChars="4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"1.1.3.12"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2"/>
          <w:kern w:val="0"/>
          <w:sz w:val="20"/>
          <w:szCs w:val="20"/>
          <w:lang w:val="en-US" w:eastAsia="en-US" w:bidi="ar-SA"/>
        </w:rPr>
        <w:t>1.1.3.12</w:t>
      </w:r>
      <w:r>
        <w:rPr>
          <w:rFonts w:hint="eastAsia" w:ascii="宋体" w:hAnsi="宋体" w:eastAsia="宋体" w:cs="宋体"/>
          <w:snapToGrid w:val="0"/>
          <w:color w:val="000000"/>
          <w:spacing w:val="2"/>
          <w:kern w:val="0"/>
          <w:sz w:val="20"/>
          <w:szCs w:val="20"/>
          <w:lang w:val="en-US" w:eastAsia="en-US" w:bidi="ar-SA"/>
        </w:rPr>
        <w:fldChar w:fldCharType="end"/>
      </w:r>
      <w:r>
        <w:rPr>
          <w:rFonts w:hint="eastAsia" w:ascii="宋体" w:hAnsi="宋体" w:eastAsia="宋体" w:cs="宋体"/>
          <w:snapToGrid w:val="0"/>
          <w:color w:val="000000"/>
          <w:spacing w:val="2"/>
          <w:kern w:val="0"/>
          <w:sz w:val="20"/>
          <w:szCs w:val="20"/>
          <w:lang w:val="en-US" w:eastAsia="en-US" w:bidi="ar-SA"/>
        </w:rPr>
        <w:t xml:space="preserve">  分部工程：指在单位工程</w:t>
      </w:r>
      <w:r>
        <w:rPr>
          <w:rFonts w:hint="eastAsia" w:ascii="宋体" w:hAnsi="宋体" w:eastAsia="宋体" w:cs="宋体"/>
          <w:snapToGrid w:val="0"/>
          <w:color w:val="000000"/>
          <w:spacing w:val="1"/>
          <w:kern w:val="0"/>
          <w:sz w:val="20"/>
          <w:szCs w:val="20"/>
          <w:lang w:val="en-US" w:eastAsia="en-US" w:bidi="ar-SA"/>
        </w:rPr>
        <w:t>中，按结构部位、路段长度及施工特点或</w:t>
      </w:r>
      <w:r>
        <w:rPr>
          <w:rFonts w:hint="eastAsia" w:ascii="宋体" w:hAnsi="宋体" w:eastAsia="宋体" w:cs="宋体"/>
          <w:snapToGrid w:val="0"/>
          <w:color w:val="000000"/>
          <w:spacing w:val="-3"/>
          <w:kern w:val="0"/>
          <w:sz w:val="20"/>
          <w:szCs w:val="20"/>
          <w:lang w:val="en-US" w:eastAsia="en-US" w:bidi="ar-SA"/>
        </w:rPr>
        <w:t>施工任务划分的若干个工程。</w:t>
      </w:r>
    </w:p>
    <w:p w14:paraId="234B1123">
      <w:pPr>
        <w:kinsoku w:val="0"/>
        <w:autoSpaceDE w:val="0"/>
        <w:autoSpaceDN w:val="0"/>
        <w:adjustRightInd w:val="0"/>
        <w:snapToGrid w:val="0"/>
        <w:spacing w:before="115" w:line="240" w:lineRule="auto"/>
        <w:ind w:left="39" w:right="90" w:firstLine="73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"1.1.3.13"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2"/>
          <w:kern w:val="0"/>
          <w:sz w:val="20"/>
          <w:szCs w:val="20"/>
          <w:lang w:val="en-US" w:eastAsia="en-US" w:bidi="ar-SA"/>
        </w:rPr>
        <w:t>1.1.3.13</w:t>
      </w:r>
      <w:r>
        <w:rPr>
          <w:rFonts w:hint="eastAsia" w:ascii="宋体" w:hAnsi="宋体" w:eastAsia="宋体" w:cs="宋体"/>
          <w:snapToGrid w:val="0"/>
          <w:color w:val="000000"/>
          <w:spacing w:val="2"/>
          <w:kern w:val="0"/>
          <w:sz w:val="20"/>
          <w:szCs w:val="20"/>
          <w:lang w:val="en-US" w:eastAsia="en-US" w:bidi="ar-SA"/>
        </w:rPr>
        <w:fldChar w:fldCharType="end"/>
      </w:r>
      <w:r>
        <w:rPr>
          <w:rFonts w:hint="eastAsia" w:ascii="宋体" w:hAnsi="宋体" w:eastAsia="宋体" w:cs="宋体"/>
          <w:snapToGrid w:val="0"/>
          <w:color w:val="000000"/>
          <w:spacing w:val="2"/>
          <w:kern w:val="0"/>
          <w:sz w:val="20"/>
          <w:szCs w:val="20"/>
          <w:lang w:val="en-US" w:eastAsia="en-US" w:bidi="ar-SA"/>
        </w:rPr>
        <w:t xml:space="preserve">  分项工程：指在分部工程</w:t>
      </w:r>
      <w:r>
        <w:rPr>
          <w:rFonts w:hint="eastAsia" w:ascii="宋体" w:hAnsi="宋体" w:eastAsia="宋体" w:cs="宋体"/>
          <w:snapToGrid w:val="0"/>
          <w:color w:val="000000"/>
          <w:spacing w:val="1"/>
          <w:kern w:val="0"/>
          <w:sz w:val="20"/>
          <w:szCs w:val="20"/>
          <w:lang w:val="en-US" w:eastAsia="en-US" w:bidi="ar-SA"/>
        </w:rPr>
        <w:t>中，按不同的施工方法、材料、工序及路</w:t>
      </w:r>
      <w:r>
        <w:rPr>
          <w:rFonts w:hint="eastAsia" w:ascii="宋体" w:hAnsi="宋体" w:eastAsia="宋体" w:cs="宋体"/>
          <w:snapToGrid w:val="0"/>
          <w:color w:val="000000"/>
          <w:spacing w:val="-4"/>
          <w:kern w:val="0"/>
          <w:sz w:val="20"/>
          <w:szCs w:val="20"/>
          <w:lang w:val="en-US" w:eastAsia="en-US" w:bidi="ar-SA"/>
        </w:rPr>
        <w:t>段长度等划分的若干个工程。</w:t>
      </w:r>
    </w:p>
    <w:p w14:paraId="1273F710">
      <w:pPr>
        <w:spacing w:before="18" w:line="240" w:lineRule="auto"/>
        <w:ind w:left="527"/>
        <w:outlineLvl w:val="0"/>
        <w:rPr>
          <w:rFonts w:hint="eastAsia" w:ascii="宋体" w:hAnsi="宋体" w:eastAsia="宋体" w:cs="宋体"/>
          <w:sz w:val="20"/>
          <w:szCs w:val="20"/>
        </w:rPr>
      </w:pPr>
      <w:r>
        <w:rPr>
          <w:rFonts w:hint="eastAsia" w:ascii="宋体" w:hAnsi="宋体" w:eastAsia="宋体" w:cs="宋体"/>
          <w:spacing w:val="-5"/>
          <w:sz w:val="20"/>
          <w:szCs w:val="20"/>
        </w:rPr>
        <w:t>1.1.6</w:t>
      </w:r>
      <w:r>
        <w:rPr>
          <w:rFonts w:hint="eastAsia" w:ascii="宋体" w:hAnsi="宋体" w:eastAsia="宋体" w:cs="宋体"/>
          <w:spacing w:val="6"/>
          <w:sz w:val="20"/>
          <w:szCs w:val="20"/>
        </w:rPr>
        <w:t xml:space="preserve">  </w:t>
      </w:r>
      <w:r>
        <w:rPr>
          <w:rFonts w:hint="eastAsia" w:ascii="宋体" w:hAnsi="宋体" w:eastAsia="宋体" w:cs="宋体"/>
          <w:spacing w:val="-5"/>
          <w:sz w:val="20"/>
          <w:szCs w:val="20"/>
        </w:rPr>
        <w:t>其他</w:t>
      </w:r>
    </w:p>
    <w:p w14:paraId="309A1320">
      <w:pPr>
        <w:kinsoku w:val="0"/>
        <w:autoSpaceDE w:val="0"/>
        <w:autoSpaceDN w:val="0"/>
        <w:adjustRightInd w:val="0"/>
        <w:snapToGrid w:val="0"/>
        <w:spacing w:before="94" w:line="240" w:lineRule="auto"/>
        <w:ind w:left="75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本项补充第</w:t>
      </w:r>
      <w:r>
        <w:rPr>
          <w:rFonts w:hint="eastAsia" w:ascii="宋体" w:hAnsi="宋体" w:eastAsia="宋体" w:cs="宋体"/>
          <w:snapToGrid w:val="0"/>
          <w:color w:val="000000"/>
          <w:spacing w:val="-23"/>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"1.1.6.2"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7"/>
          <w:kern w:val="0"/>
          <w:sz w:val="20"/>
          <w:szCs w:val="20"/>
          <w:lang w:val="en-US" w:eastAsia="en-US" w:bidi="ar-SA"/>
        </w:rPr>
        <w:t>1.1.6.2</w:t>
      </w:r>
      <w:r>
        <w:rPr>
          <w:rFonts w:hint="eastAsia" w:ascii="宋体" w:hAnsi="宋体" w:eastAsia="宋体" w:cs="宋体"/>
          <w:snapToGrid w:val="0"/>
          <w:color w:val="000000"/>
          <w:spacing w:val="-7"/>
          <w:kern w:val="0"/>
          <w:sz w:val="20"/>
          <w:szCs w:val="20"/>
          <w:lang w:val="en-US" w:eastAsia="en-US" w:bidi="ar-SA"/>
        </w:rPr>
        <w:fldChar w:fldCharType="end"/>
      </w:r>
      <w:r>
        <w:rPr>
          <w:rFonts w:hint="eastAsia" w:ascii="宋体" w:hAnsi="宋体" w:eastAsia="宋体" w:cs="宋体"/>
          <w:snapToGrid w:val="0"/>
          <w:color w:val="000000"/>
          <w:spacing w:val="-7"/>
          <w:kern w:val="0"/>
          <w:sz w:val="20"/>
          <w:szCs w:val="20"/>
          <w:lang w:val="en-US" w:eastAsia="en-US" w:bidi="ar-SA"/>
        </w:rPr>
        <w:t xml:space="preserve">  目～第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"1.1.6.9"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7"/>
          <w:kern w:val="0"/>
          <w:sz w:val="20"/>
          <w:szCs w:val="20"/>
          <w:lang w:val="en-US" w:eastAsia="en-US" w:bidi="ar-SA"/>
        </w:rPr>
        <w:t>1.1.6.9</w:t>
      </w:r>
      <w:r>
        <w:rPr>
          <w:rFonts w:hint="eastAsia" w:ascii="宋体" w:hAnsi="宋体" w:eastAsia="宋体" w:cs="宋体"/>
          <w:snapToGrid w:val="0"/>
          <w:color w:val="000000"/>
          <w:spacing w:val="-7"/>
          <w:kern w:val="0"/>
          <w:sz w:val="20"/>
          <w:szCs w:val="20"/>
          <w:lang w:val="en-US" w:eastAsia="en-US" w:bidi="ar-SA"/>
        </w:rPr>
        <w:fldChar w:fldCharType="end"/>
      </w:r>
      <w:r>
        <w:rPr>
          <w:rFonts w:hint="eastAsia" w:ascii="宋体" w:hAnsi="宋体" w:eastAsia="宋体" w:cs="宋体"/>
          <w:snapToGrid w:val="0"/>
          <w:color w:val="000000"/>
          <w:spacing w:val="-7"/>
          <w:kern w:val="0"/>
          <w:sz w:val="20"/>
          <w:szCs w:val="20"/>
          <w:lang w:val="en-US" w:eastAsia="en-US" w:bidi="ar-SA"/>
        </w:rPr>
        <w:t xml:space="preserve">  目：</w:t>
      </w:r>
    </w:p>
    <w:p w14:paraId="46ECAB40">
      <w:pPr>
        <w:kinsoku w:val="0"/>
        <w:autoSpaceDE w:val="0"/>
        <w:autoSpaceDN w:val="0"/>
        <w:adjustRightInd w:val="0"/>
        <w:snapToGrid w:val="0"/>
        <w:spacing w:before="98" w:line="240" w:lineRule="auto"/>
        <w:ind w:left="39" w:right="83" w:firstLine="73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1.1.6.2  竣工验收：指《公路工程竣（交）工</w:t>
      </w:r>
      <w:r>
        <w:rPr>
          <w:rFonts w:hint="eastAsia" w:ascii="宋体" w:hAnsi="宋体" w:eastAsia="宋体" w:cs="宋体"/>
          <w:snapToGrid w:val="0"/>
          <w:color w:val="000000"/>
          <w:spacing w:val="-2"/>
          <w:kern w:val="0"/>
          <w:sz w:val="20"/>
          <w:szCs w:val="20"/>
          <w:lang w:val="en-US" w:eastAsia="en-US" w:bidi="ar-SA"/>
        </w:rPr>
        <w:t>验收办法》中的竣工验收。通用合同条款中“国家验收”一词具有相同含义。</w:t>
      </w:r>
    </w:p>
    <w:p w14:paraId="71EB6659">
      <w:pPr>
        <w:kinsoku w:val="0"/>
        <w:autoSpaceDE w:val="0"/>
        <w:autoSpaceDN w:val="0"/>
        <w:adjustRightInd w:val="0"/>
        <w:snapToGrid w:val="0"/>
        <w:spacing w:before="113" w:line="240" w:lineRule="auto"/>
        <w:ind w:left="60" w:right="82" w:firstLine="71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1.1.6.3</w:t>
      </w:r>
      <w:r>
        <w:rPr>
          <w:rFonts w:hint="eastAsia" w:ascii="宋体" w:hAnsi="宋体" w:eastAsia="宋体" w:cs="宋体"/>
          <w:snapToGrid w:val="0"/>
          <w:color w:val="000000"/>
          <w:spacing w:val="50"/>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交工：指《公路工程竣（交）工验收办法》中的交工。通</w:t>
      </w:r>
      <w:r>
        <w:rPr>
          <w:rFonts w:hint="eastAsia" w:ascii="宋体" w:hAnsi="宋体" w:eastAsia="宋体" w:cs="宋体"/>
          <w:snapToGrid w:val="0"/>
          <w:color w:val="000000"/>
          <w:spacing w:val="-2"/>
          <w:kern w:val="0"/>
          <w:sz w:val="20"/>
          <w:szCs w:val="20"/>
          <w:lang w:val="en-US" w:eastAsia="en-US" w:bidi="ar-SA"/>
        </w:rPr>
        <w:t>用合同条款</w:t>
      </w:r>
      <w:r>
        <w:rPr>
          <w:rFonts w:hint="eastAsia" w:ascii="宋体" w:hAnsi="宋体" w:eastAsia="宋体" w:cs="宋体"/>
          <w:snapToGrid w:val="0"/>
          <w:color w:val="000000"/>
          <w:spacing w:val="-4"/>
          <w:kern w:val="0"/>
          <w:sz w:val="20"/>
          <w:szCs w:val="20"/>
          <w:lang w:val="en-US" w:eastAsia="en-US" w:bidi="ar-SA"/>
        </w:rPr>
        <w:t>中“竣工”一词具有相同含义。</w:t>
      </w:r>
    </w:p>
    <w:p w14:paraId="1D3E7D7A">
      <w:pPr>
        <w:kinsoku w:val="0"/>
        <w:autoSpaceDE w:val="0"/>
        <w:autoSpaceDN w:val="0"/>
        <w:adjustRightInd w:val="0"/>
        <w:snapToGrid w:val="0"/>
        <w:spacing w:before="115" w:line="240" w:lineRule="auto"/>
        <w:ind w:left="39" w:right="82" w:firstLine="73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1.1.6.4</w:t>
      </w:r>
      <w:r>
        <w:rPr>
          <w:rFonts w:hint="eastAsia" w:ascii="宋体" w:hAnsi="宋体" w:eastAsia="宋体" w:cs="宋体"/>
          <w:snapToGrid w:val="0"/>
          <w:color w:val="000000"/>
          <w:spacing w:val="50"/>
          <w:w w:val="10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交工验收：指《公路工程竣（交）工验收办法》中的交</w:t>
      </w:r>
      <w:r>
        <w:rPr>
          <w:rFonts w:hint="eastAsia" w:ascii="宋体" w:hAnsi="宋体" w:eastAsia="宋体" w:cs="宋体"/>
          <w:snapToGrid w:val="0"/>
          <w:color w:val="000000"/>
          <w:spacing w:val="-2"/>
          <w:kern w:val="0"/>
          <w:sz w:val="20"/>
          <w:szCs w:val="20"/>
          <w:lang w:val="en-US" w:eastAsia="en-US" w:bidi="ar-SA"/>
        </w:rPr>
        <w:t>工验收。通用合同条款中“竣工验收”一词具有相同含义。</w:t>
      </w:r>
    </w:p>
    <w:p w14:paraId="49D2E71B">
      <w:pPr>
        <w:kinsoku w:val="0"/>
        <w:autoSpaceDE w:val="0"/>
        <w:autoSpaceDN w:val="0"/>
        <w:adjustRightInd w:val="0"/>
        <w:snapToGrid w:val="0"/>
        <w:spacing w:before="114" w:line="240" w:lineRule="auto"/>
        <w:ind w:left="42" w:right="82" w:firstLine="73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1.1.6.5</w:t>
      </w:r>
      <w:r>
        <w:rPr>
          <w:rFonts w:hint="eastAsia" w:ascii="宋体" w:hAnsi="宋体" w:eastAsia="宋体" w:cs="宋体"/>
          <w:snapToGrid w:val="0"/>
          <w:color w:val="000000"/>
          <w:spacing w:val="50"/>
          <w:w w:val="10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交工验收证书：指《公路工程竣（交）工验收办法》中</w:t>
      </w:r>
      <w:r>
        <w:rPr>
          <w:rFonts w:hint="eastAsia" w:ascii="宋体" w:hAnsi="宋体" w:eastAsia="宋体" w:cs="宋体"/>
          <w:snapToGrid w:val="0"/>
          <w:color w:val="000000"/>
          <w:spacing w:val="-2"/>
          <w:kern w:val="0"/>
          <w:sz w:val="20"/>
          <w:szCs w:val="20"/>
          <w:lang w:val="en-US" w:eastAsia="en-US" w:bidi="ar-SA"/>
        </w:rPr>
        <w:t>的交工验收证</w:t>
      </w:r>
      <w:r>
        <w:rPr>
          <w:rFonts w:hint="eastAsia" w:ascii="宋体" w:hAnsi="宋体" w:eastAsia="宋体" w:cs="宋体"/>
          <w:snapToGrid w:val="0"/>
          <w:color w:val="000000"/>
          <w:spacing w:val="-1"/>
          <w:kern w:val="0"/>
          <w:sz w:val="20"/>
          <w:szCs w:val="20"/>
          <w:lang w:val="en-US" w:eastAsia="en-US" w:bidi="ar-SA"/>
        </w:rPr>
        <w:t>书。通用合同条款中“工程接收证书”一词具有相同含义。</w:t>
      </w:r>
    </w:p>
    <w:p w14:paraId="71FD4672">
      <w:pPr>
        <w:kinsoku w:val="0"/>
        <w:autoSpaceDE w:val="0"/>
        <w:autoSpaceDN w:val="0"/>
        <w:adjustRightInd w:val="0"/>
        <w:snapToGrid w:val="0"/>
        <w:spacing w:before="114" w:line="240" w:lineRule="auto"/>
        <w:ind w:left="37" w:right="83" w:firstLine="73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1.1.6.6</w:t>
      </w:r>
      <w:r>
        <w:rPr>
          <w:rFonts w:hint="eastAsia" w:ascii="宋体" w:hAnsi="宋体" w:eastAsia="宋体" w:cs="宋体"/>
          <w:snapToGrid w:val="0"/>
          <w:color w:val="000000"/>
          <w:spacing w:val="46"/>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转包：指承包人违反法律和不履行合同规定的责任和义务，将中</w:t>
      </w:r>
      <w:r>
        <w:rPr>
          <w:rFonts w:hint="eastAsia" w:ascii="宋体" w:hAnsi="宋体" w:eastAsia="宋体" w:cs="宋体"/>
          <w:snapToGrid w:val="0"/>
          <w:color w:val="000000"/>
          <w:spacing w:val="-2"/>
          <w:kern w:val="0"/>
          <w:sz w:val="20"/>
          <w:szCs w:val="20"/>
          <w:lang w:val="en-US" w:eastAsia="en-US" w:bidi="ar-SA"/>
        </w:rPr>
        <w:t>标工</w:t>
      </w:r>
      <w:r>
        <w:rPr>
          <w:rFonts w:hint="eastAsia" w:ascii="宋体" w:hAnsi="宋体" w:eastAsia="宋体" w:cs="宋体"/>
          <w:snapToGrid w:val="0"/>
          <w:color w:val="000000"/>
          <w:spacing w:val="1"/>
          <w:kern w:val="0"/>
          <w:sz w:val="20"/>
          <w:szCs w:val="20"/>
          <w:lang w:val="en-US" w:eastAsia="en-US" w:bidi="ar-SA"/>
        </w:rPr>
        <w:t>程全部委托或以专业分包的名义将中标工程肢解后</w:t>
      </w:r>
      <w:r>
        <w:rPr>
          <w:rFonts w:hint="eastAsia" w:ascii="宋体" w:hAnsi="宋体" w:eastAsia="宋体" w:cs="宋体"/>
          <w:snapToGrid w:val="0"/>
          <w:color w:val="000000"/>
          <w:kern w:val="0"/>
          <w:sz w:val="20"/>
          <w:szCs w:val="20"/>
          <w:lang w:val="en-US" w:eastAsia="en-US" w:bidi="ar-SA"/>
        </w:rPr>
        <w:t>全部委托给其他施工企业施工的</w:t>
      </w:r>
      <w:r>
        <w:rPr>
          <w:rFonts w:hint="eastAsia" w:ascii="宋体" w:hAnsi="宋体" w:eastAsia="宋体" w:cs="宋体"/>
          <w:snapToGrid w:val="0"/>
          <w:color w:val="000000"/>
          <w:spacing w:val="-10"/>
          <w:kern w:val="0"/>
          <w:sz w:val="20"/>
          <w:szCs w:val="20"/>
          <w:lang w:val="en-US" w:eastAsia="en-US" w:bidi="ar-SA"/>
        </w:rPr>
        <w:t>行为。</w:t>
      </w:r>
    </w:p>
    <w:p w14:paraId="6DA7819B">
      <w:pPr>
        <w:kinsoku w:val="0"/>
        <w:autoSpaceDE w:val="0"/>
        <w:autoSpaceDN w:val="0"/>
        <w:adjustRightInd w:val="0"/>
        <w:snapToGrid w:val="0"/>
        <w:spacing w:before="114" w:line="240" w:lineRule="auto"/>
        <w:ind w:left="39" w:right="15" w:firstLine="73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1.1.6.7</w:t>
      </w:r>
      <w:r>
        <w:rPr>
          <w:rFonts w:hint="eastAsia" w:ascii="宋体" w:hAnsi="宋体" w:eastAsia="宋体" w:cs="宋体"/>
          <w:snapToGrid w:val="0"/>
          <w:color w:val="000000"/>
          <w:spacing w:val="46"/>
          <w:w w:val="10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专业分包：指承包人与具有相应资格的施工企业签订专业分包合</w:t>
      </w:r>
      <w:r>
        <w:rPr>
          <w:rFonts w:hint="eastAsia" w:ascii="宋体" w:hAnsi="宋体" w:eastAsia="宋体" w:cs="宋体"/>
          <w:snapToGrid w:val="0"/>
          <w:color w:val="000000"/>
          <w:spacing w:val="-2"/>
          <w:kern w:val="0"/>
          <w:sz w:val="20"/>
          <w:szCs w:val="20"/>
          <w:lang w:val="en-US" w:eastAsia="en-US" w:bidi="ar-SA"/>
        </w:rPr>
        <w:t>同，</w:t>
      </w:r>
      <w:r>
        <w:rPr>
          <w:rFonts w:hint="eastAsia" w:ascii="宋体" w:hAnsi="宋体" w:eastAsia="宋体" w:cs="宋体"/>
          <w:snapToGrid w:val="0"/>
          <w:color w:val="000000"/>
          <w:spacing w:val="-4"/>
          <w:kern w:val="0"/>
          <w:sz w:val="20"/>
          <w:szCs w:val="20"/>
          <w:lang w:val="en-US" w:eastAsia="en-US" w:bidi="ar-SA"/>
        </w:rPr>
        <w:t>由分包人承担承包人委托的分部工程、分项工程或适合专业化队伍施工的其他工程，</w:t>
      </w:r>
      <w:r>
        <w:rPr>
          <w:rFonts w:hint="eastAsia" w:ascii="宋体" w:hAnsi="宋体" w:eastAsia="宋体" w:cs="宋体"/>
          <w:snapToGrid w:val="0"/>
          <w:color w:val="000000"/>
          <w:spacing w:val="-1"/>
          <w:kern w:val="0"/>
          <w:sz w:val="20"/>
          <w:szCs w:val="20"/>
          <w:lang w:val="en-US" w:eastAsia="en-US" w:bidi="ar-SA"/>
        </w:rPr>
        <w:t>整体结算，并能独立控制工程质量、施工进度、材料采购、生</w:t>
      </w:r>
      <w:r>
        <w:rPr>
          <w:rFonts w:hint="eastAsia" w:ascii="宋体" w:hAnsi="宋体" w:eastAsia="宋体" w:cs="宋体"/>
          <w:snapToGrid w:val="0"/>
          <w:color w:val="000000"/>
          <w:spacing w:val="-2"/>
          <w:kern w:val="0"/>
          <w:sz w:val="20"/>
          <w:szCs w:val="20"/>
          <w:lang w:val="en-US" w:eastAsia="en-US" w:bidi="ar-SA"/>
        </w:rPr>
        <w:t>产安全的施工行为。</w:t>
      </w:r>
    </w:p>
    <w:p w14:paraId="3AC0B890">
      <w:pPr>
        <w:kinsoku w:val="0"/>
        <w:autoSpaceDE w:val="0"/>
        <w:autoSpaceDN w:val="0"/>
        <w:adjustRightInd w:val="0"/>
        <w:snapToGrid w:val="0"/>
        <w:spacing w:before="116" w:line="240" w:lineRule="auto"/>
        <w:ind w:left="37" w:firstLine="73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1.1.6.8</w:t>
      </w:r>
      <w:r>
        <w:rPr>
          <w:rFonts w:hint="eastAsia" w:ascii="宋体" w:hAnsi="宋体" w:eastAsia="宋体" w:cs="宋体"/>
          <w:snapToGrid w:val="0"/>
          <w:color w:val="000000"/>
          <w:spacing w:val="51"/>
          <w:w w:val="10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劳务分包：指承包人与具有施工劳务资质的劳务企业</w:t>
      </w:r>
      <w:r>
        <w:rPr>
          <w:rFonts w:hint="eastAsia" w:ascii="宋体" w:hAnsi="宋体" w:eastAsia="宋体" w:cs="宋体"/>
          <w:snapToGrid w:val="0"/>
          <w:color w:val="000000"/>
          <w:spacing w:val="-2"/>
          <w:kern w:val="0"/>
          <w:sz w:val="20"/>
          <w:szCs w:val="20"/>
          <w:lang w:val="en-US" w:eastAsia="en-US" w:bidi="ar-SA"/>
        </w:rPr>
        <w:t>签订劳务分包合</w:t>
      </w:r>
      <w:r>
        <w:rPr>
          <w:rFonts w:hint="eastAsia" w:ascii="宋体" w:hAnsi="宋体" w:eastAsia="宋体" w:cs="宋体"/>
          <w:snapToGrid w:val="0"/>
          <w:color w:val="000000"/>
          <w:spacing w:val="-4"/>
          <w:kern w:val="0"/>
          <w:sz w:val="20"/>
          <w:szCs w:val="20"/>
          <w:lang w:val="en-US" w:eastAsia="en-US" w:bidi="ar-SA"/>
        </w:rPr>
        <w:t>同，由劳务企业提供劳务人员及机具，由承包人统一组织施工、统一控制工程质量、</w:t>
      </w:r>
      <w:r>
        <w:rPr>
          <w:rFonts w:hint="eastAsia" w:ascii="宋体" w:hAnsi="宋体" w:eastAsia="宋体" w:cs="宋体"/>
          <w:snapToGrid w:val="0"/>
          <w:color w:val="000000"/>
          <w:spacing w:val="-3"/>
          <w:kern w:val="0"/>
          <w:sz w:val="20"/>
          <w:szCs w:val="20"/>
          <w:lang w:val="en-US" w:eastAsia="en-US" w:bidi="ar-SA"/>
        </w:rPr>
        <w:t>施工进度、材料采购、生产安全的施工行为。</w:t>
      </w:r>
    </w:p>
    <w:p w14:paraId="00D57045">
      <w:pPr>
        <w:kinsoku w:val="0"/>
        <w:autoSpaceDE w:val="0"/>
        <w:autoSpaceDN w:val="0"/>
        <w:adjustRightInd w:val="0"/>
        <w:snapToGrid w:val="0"/>
        <w:spacing w:before="114" w:line="240" w:lineRule="auto"/>
        <w:ind w:left="38" w:right="83" w:firstLine="738"/>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1.1.6.9</w:t>
      </w:r>
      <w:r>
        <w:rPr>
          <w:rFonts w:hint="eastAsia" w:ascii="宋体" w:hAnsi="宋体" w:eastAsia="宋体" w:cs="宋体"/>
          <w:snapToGrid w:val="0"/>
          <w:color w:val="000000"/>
          <w:spacing w:val="46"/>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雇用民工：指承包人与具有相应劳动能力的自然人签订劳动合同</w:t>
      </w:r>
      <w:r>
        <w:rPr>
          <w:rFonts w:hint="eastAsia" w:ascii="宋体" w:hAnsi="宋体" w:eastAsia="宋体" w:cs="宋体"/>
          <w:snapToGrid w:val="0"/>
          <w:color w:val="000000"/>
          <w:spacing w:val="-2"/>
          <w:kern w:val="0"/>
          <w:sz w:val="20"/>
          <w:szCs w:val="20"/>
          <w:lang w:val="en-US" w:eastAsia="en-US" w:bidi="ar-SA"/>
        </w:rPr>
        <w:t>，由承包人统一组织管理，从事分项工程施工或配套工程施工的行为。</w:t>
      </w:r>
    </w:p>
    <w:p w14:paraId="293050C6">
      <w:pPr>
        <w:spacing w:before="79" w:line="240" w:lineRule="auto"/>
        <w:ind w:left="56"/>
        <w:outlineLvl w:val="0"/>
        <w:rPr>
          <w:rFonts w:hint="eastAsia" w:ascii="宋体" w:hAnsi="宋体" w:eastAsia="宋体" w:cs="宋体"/>
          <w:sz w:val="20"/>
          <w:szCs w:val="20"/>
        </w:rPr>
      </w:pPr>
      <w:r>
        <w:rPr>
          <w:rFonts w:hint="eastAsia" w:ascii="宋体" w:hAnsi="宋体" w:eastAsia="宋体" w:cs="宋体"/>
          <w:spacing w:val="-2"/>
          <w:sz w:val="20"/>
          <w:szCs w:val="20"/>
        </w:rPr>
        <w:t>1.4  合同文件的优先顺序</w:t>
      </w:r>
    </w:p>
    <w:p w14:paraId="5A392134">
      <w:pPr>
        <w:kinsoku w:val="0"/>
        <w:autoSpaceDE w:val="0"/>
        <w:autoSpaceDN w:val="0"/>
        <w:adjustRightInd w:val="0"/>
        <w:snapToGrid w:val="0"/>
        <w:spacing w:before="78"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本款约定为：</w:t>
      </w:r>
    </w:p>
    <w:p w14:paraId="5D524C73">
      <w:pPr>
        <w:kinsoku w:val="0"/>
        <w:autoSpaceDE w:val="0"/>
        <w:autoSpaceDN w:val="0"/>
        <w:adjustRightInd w:val="0"/>
        <w:snapToGrid w:val="0"/>
        <w:spacing w:before="117" w:line="240" w:lineRule="auto"/>
        <w:ind w:left="37" w:right="21" w:firstLine="39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组成合同的各项文件应互相解释，互为说明。除项目专用合同条款另有约定外，</w:t>
      </w:r>
      <w:r>
        <w:rPr>
          <w:rFonts w:hint="eastAsia" w:ascii="宋体" w:hAnsi="宋体" w:eastAsia="宋体" w:cs="宋体"/>
          <w:snapToGrid w:val="0"/>
          <w:color w:val="000000"/>
          <w:spacing w:val="-5"/>
          <w:kern w:val="0"/>
          <w:sz w:val="20"/>
          <w:szCs w:val="20"/>
          <w:lang w:val="en-US" w:eastAsia="en-US" w:bidi="ar-SA"/>
        </w:rPr>
        <w:t>解释合同文件的优先顺序如下：</w:t>
      </w:r>
    </w:p>
    <w:p w14:paraId="0F5804F3">
      <w:pPr>
        <w:kinsoku w:val="0"/>
        <w:autoSpaceDE w:val="0"/>
        <w:autoSpaceDN w:val="0"/>
        <w:adjustRightInd w:val="0"/>
        <w:snapToGrid w:val="0"/>
        <w:spacing w:before="1" w:line="240" w:lineRule="auto"/>
        <w:ind w:left="38" w:right="85" w:firstLine="45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（1）合同协议书及各种合同附件（含评标期间和合同谈判过程中的澄</w:t>
      </w:r>
      <w:r>
        <w:rPr>
          <w:rFonts w:hint="eastAsia" w:ascii="宋体" w:hAnsi="宋体" w:eastAsia="宋体" w:cs="宋体"/>
          <w:snapToGrid w:val="0"/>
          <w:color w:val="000000"/>
          <w:spacing w:val="-3"/>
          <w:kern w:val="0"/>
          <w:sz w:val="20"/>
          <w:szCs w:val="20"/>
          <w:lang w:val="en-US" w:eastAsia="en-US" w:bidi="ar-SA"/>
        </w:rPr>
        <w:t>清文件和补充资料</w:t>
      </w:r>
      <w:r>
        <w:rPr>
          <w:rFonts w:hint="eastAsia" w:ascii="宋体" w:hAnsi="宋体" w:eastAsia="宋体" w:cs="宋体"/>
          <w:snapToGrid w:val="0"/>
          <w:color w:val="000000"/>
          <w:spacing w:val="-62"/>
          <w:w w:val="97"/>
          <w:kern w:val="0"/>
          <w:sz w:val="20"/>
          <w:szCs w:val="20"/>
          <w:lang w:val="en-US" w:eastAsia="en-US" w:bidi="ar-SA"/>
        </w:rPr>
        <w:t>）；</w:t>
      </w:r>
    </w:p>
    <w:p w14:paraId="4F76F4A6">
      <w:pPr>
        <w:kinsoku w:val="0"/>
        <w:autoSpaceDE w:val="0"/>
        <w:autoSpaceDN w:val="0"/>
        <w:adjustRightInd w:val="0"/>
        <w:snapToGrid w:val="0"/>
        <w:spacing w:before="112"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（2）中标通知书；</w:t>
      </w:r>
    </w:p>
    <w:p w14:paraId="0160B727">
      <w:pPr>
        <w:kinsoku w:val="0"/>
        <w:autoSpaceDE w:val="0"/>
        <w:autoSpaceDN w:val="0"/>
        <w:adjustRightInd w:val="0"/>
        <w:snapToGrid w:val="0"/>
        <w:spacing w:before="98"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（3）投标函及投标函附录；</w:t>
      </w:r>
    </w:p>
    <w:p w14:paraId="5938D76B">
      <w:pPr>
        <w:kinsoku w:val="0"/>
        <w:autoSpaceDE w:val="0"/>
        <w:autoSpaceDN w:val="0"/>
        <w:adjustRightInd w:val="0"/>
        <w:snapToGrid w:val="0"/>
        <w:spacing w:before="99"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（4）项目专用合同条款；</w:t>
      </w:r>
    </w:p>
    <w:p w14:paraId="3A8899A0">
      <w:pPr>
        <w:spacing w:line="240" w:lineRule="auto"/>
        <w:rPr>
          <w:rFonts w:hint="eastAsia" w:ascii="宋体" w:hAnsi="宋体" w:eastAsia="宋体" w:cs="宋体"/>
          <w:sz w:val="20"/>
          <w:szCs w:val="20"/>
          <w:lang w:eastAsia="zh-CN"/>
        </w:rPr>
      </w:pPr>
    </w:p>
    <w:p w14:paraId="6D50D63E">
      <w:pPr>
        <w:kinsoku w:val="0"/>
        <w:autoSpaceDE w:val="0"/>
        <w:autoSpaceDN w:val="0"/>
        <w:adjustRightInd w:val="0"/>
        <w:snapToGrid w:val="0"/>
        <w:spacing w:before="78"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（5）公路工程专用合同条款；</w:t>
      </w:r>
    </w:p>
    <w:p w14:paraId="53F8D900">
      <w:pPr>
        <w:kinsoku w:val="0"/>
        <w:autoSpaceDE w:val="0"/>
        <w:autoSpaceDN w:val="0"/>
        <w:adjustRightInd w:val="0"/>
        <w:snapToGrid w:val="0"/>
        <w:spacing w:before="95"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（6）通用合同条款；</w:t>
      </w:r>
    </w:p>
    <w:p w14:paraId="54FBB3C6">
      <w:pPr>
        <w:kinsoku w:val="0"/>
        <w:autoSpaceDE w:val="0"/>
        <w:autoSpaceDN w:val="0"/>
        <w:adjustRightInd w:val="0"/>
        <w:snapToGrid w:val="0"/>
        <w:spacing w:before="9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（7）工程量清单计量规则；</w:t>
      </w:r>
    </w:p>
    <w:p w14:paraId="21A3A653">
      <w:pPr>
        <w:kinsoku w:val="0"/>
        <w:autoSpaceDE w:val="0"/>
        <w:autoSpaceDN w:val="0"/>
        <w:adjustRightInd w:val="0"/>
        <w:snapToGrid w:val="0"/>
        <w:spacing w:before="9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（8）技术规范；</w:t>
      </w:r>
    </w:p>
    <w:p w14:paraId="440CF783">
      <w:pPr>
        <w:kinsoku w:val="0"/>
        <w:autoSpaceDE w:val="0"/>
        <w:autoSpaceDN w:val="0"/>
        <w:adjustRightInd w:val="0"/>
        <w:snapToGrid w:val="0"/>
        <w:spacing w:before="94"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（9）图纸；</w:t>
      </w:r>
    </w:p>
    <w:p w14:paraId="578AF805">
      <w:pPr>
        <w:kinsoku w:val="0"/>
        <w:autoSpaceDE w:val="0"/>
        <w:autoSpaceDN w:val="0"/>
        <w:adjustRightInd w:val="0"/>
        <w:snapToGrid w:val="0"/>
        <w:spacing w:before="9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（10）已标价工程量清单；</w:t>
      </w:r>
    </w:p>
    <w:p w14:paraId="28753281">
      <w:pPr>
        <w:kinsoku w:val="0"/>
        <w:autoSpaceDE w:val="0"/>
        <w:autoSpaceDN w:val="0"/>
        <w:adjustRightInd w:val="0"/>
        <w:snapToGrid w:val="0"/>
        <w:spacing w:before="100"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（11）承包人有关人员、设备投入的承诺及投标文件中的施工组织设计；</w:t>
      </w:r>
    </w:p>
    <w:p w14:paraId="448CD029">
      <w:pPr>
        <w:kinsoku w:val="0"/>
        <w:autoSpaceDE w:val="0"/>
        <w:autoSpaceDN w:val="0"/>
        <w:adjustRightInd w:val="0"/>
        <w:snapToGrid w:val="0"/>
        <w:spacing w:before="9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（12）其他合同文件。</w:t>
      </w:r>
    </w:p>
    <w:p w14:paraId="579BDC6C">
      <w:pPr>
        <w:spacing w:before="317" w:line="240" w:lineRule="auto"/>
        <w:ind w:left="56"/>
        <w:outlineLvl w:val="0"/>
        <w:rPr>
          <w:rFonts w:hint="eastAsia" w:ascii="宋体" w:hAnsi="宋体" w:eastAsia="宋体" w:cs="宋体"/>
          <w:sz w:val="20"/>
          <w:szCs w:val="20"/>
        </w:rPr>
      </w:pPr>
      <w:r>
        <w:rPr>
          <w:rFonts w:hint="eastAsia" w:ascii="宋体" w:hAnsi="宋体" w:eastAsia="宋体" w:cs="宋体"/>
          <w:spacing w:val="-3"/>
          <w:sz w:val="20"/>
          <w:szCs w:val="20"/>
        </w:rPr>
        <w:t>1.5  合同协议书</w:t>
      </w:r>
    </w:p>
    <w:p w14:paraId="2045418D">
      <w:pPr>
        <w:kinsoku w:val="0"/>
        <w:autoSpaceDE w:val="0"/>
        <w:autoSpaceDN w:val="0"/>
        <w:adjustRightInd w:val="0"/>
        <w:snapToGrid w:val="0"/>
        <w:spacing w:before="79"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07112635">
      <w:pPr>
        <w:kinsoku w:val="0"/>
        <w:autoSpaceDE w:val="0"/>
        <w:autoSpaceDN w:val="0"/>
        <w:adjustRightInd w:val="0"/>
        <w:snapToGrid w:val="0"/>
        <w:spacing w:before="116" w:line="240" w:lineRule="auto"/>
        <w:ind w:left="60" w:right="63" w:firstLine="36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制备本合同文件的费用由发包人承担。在合同协议书签订并生效之前，</w:t>
      </w:r>
      <w:r>
        <w:rPr>
          <w:rFonts w:hint="eastAsia" w:ascii="宋体" w:hAnsi="宋体" w:eastAsia="宋体" w:cs="宋体"/>
          <w:snapToGrid w:val="0"/>
          <w:color w:val="000000"/>
          <w:spacing w:val="-68"/>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投标函和</w:t>
      </w:r>
      <w:r>
        <w:rPr>
          <w:rFonts w:hint="eastAsia" w:ascii="宋体" w:hAnsi="宋体" w:eastAsia="宋体" w:cs="宋体"/>
          <w:snapToGrid w:val="0"/>
          <w:color w:val="000000"/>
          <w:spacing w:val="-3"/>
          <w:kern w:val="0"/>
          <w:sz w:val="20"/>
          <w:szCs w:val="20"/>
          <w:lang w:val="en-US" w:eastAsia="en-US" w:bidi="ar-SA"/>
        </w:rPr>
        <w:t>中标通知书将对双方具有约束力。</w:t>
      </w:r>
    </w:p>
    <w:p w14:paraId="13585E90">
      <w:pPr>
        <w:spacing w:before="213" w:line="240" w:lineRule="auto"/>
        <w:ind w:left="56"/>
        <w:outlineLvl w:val="0"/>
        <w:rPr>
          <w:rFonts w:hint="eastAsia" w:ascii="宋体" w:hAnsi="宋体" w:eastAsia="宋体" w:cs="宋体"/>
          <w:sz w:val="20"/>
          <w:szCs w:val="20"/>
        </w:rPr>
      </w:pPr>
      <w:r>
        <w:rPr>
          <w:rFonts w:hint="eastAsia" w:ascii="宋体" w:hAnsi="宋体" w:eastAsia="宋体" w:cs="宋体"/>
          <w:spacing w:val="-5"/>
          <w:sz w:val="20"/>
          <w:szCs w:val="20"/>
        </w:rPr>
        <w:t>1.6</w:t>
      </w:r>
      <w:r>
        <w:rPr>
          <w:rFonts w:hint="eastAsia" w:ascii="宋体" w:hAnsi="宋体" w:eastAsia="宋体" w:cs="宋体"/>
          <w:spacing w:val="14"/>
          <w:sz w:val="20"/>
          <w:szCs w:val="20"/>
        </w:rPr>
        <w:t xml:space="preserve">  </w:t>
      </w:r>
      <w:r>
        <w:rPr>
          <w:rFonts w:hint="eastAsia" w:ascii="宋体" w:hAnsi="宋体" w:eastAsia="宋体" w:cs="宋体"/>
          <w:spacing w:val="-5"/>
          <w:sz w:val="20"/>
          <w:szCs w:val="20"/>
        </w:rPr>
        <w:t>图纸和承包人文件</w:t>
      </w:r>
    </w:p>
    <w:p w14:paraId="01FAE7A1">
      <w:pPr>
        <w:spacing w:before="79" w:line="240" w:lineRule="auto"/>
        <w:ind w:left="536"/>
        <w:outlineLvl w:val="1"/>
        <w:rPr>
          <w:rFonts w:hint="eastAsia" w:ascii="宋体" w:hAnsi="宋体" w:eastAsia="宋体" w:cs="宋体"/>
          <w:sz w:val="20"/>
          <w:szCs w:val="20"/>
        </w:rPr>
      </w:pPr>
      <w:r>
        <w:rPr>
          <w:rFonts w:hint="eastAsia" w:ascii="宋体" w:hAnsi="宋体" w:eastAsia="宋体" w:cs="宋体"/>
          <w:spacing w:val="-5"/>
          <w:sz w:val="20"/>
          <w:szCs w:val="20"/>
        </w:rPr>
        <w:t>1.6.1</w:t>
      </w:r>
      <w:r>
        <w:rPr>
          <w:rFonts w:hint="eastAsia" w:ascii="宋体" w:hAnsi="宋体" w:eastAsia="宋体" w:cs="宋体"/>
          <w:spacing w:val="12"/>
          <w:sz w:val="20"/>
          <w:szCs w:val="20"/>
        </w:rPr>
        <w:t xml:space="preserve">  </w:t>
      </w:r>
      <w:r>
        <w:rPr>
          <w:rFonts w:hint="eastAsia" w:ascii="宋体" w:hAnsi="宋体" w:eastAsia="宋体" w:cs="宋体"/>
          <w:spacing w:val="-5"/>
          <w:sz w:val="20"/>
          <w:szCs w:val="20"/>
        </w:rPr>
        <w:t>图纸的提供</w:t>
      </w:r>
    </w:p>
    <w:p w14:paraId="01A1B6F1">
      <w:pPr>
        <w:kinsoku w:val="0"/>
        <w:autoSpaceDE w:val="0"/>
        <w:autoSpaceDN w:val="0"/>
        <w:adjustRightInd w:val="0"/>
        <w:snapToGrid w:val="0"/>
        <w:spacing w:before="95"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本项细化为：</w:t>
      </w:r>
    </w:p>
    <w:p w14:paraId="28BA0C38">
      <w:pPr>
        <w:kinsoku w:val="0"/>
        <w:autoSpaceDE w:val="0"/>
        <w:autoSpaceDN w:val="0"/>
        <w:adjustRightInd w:val="0"/>
        <w:snapToGrid w:val="0"/>
        <w:spacing w:before="115" w:line="240" w:lineRule="auto"/>
        <w:ind w:left="39" w:right="61" w:firstLine="391"/>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监理人应在发出中标通知书之后</w:t>
      </w:r>
      <w:r>
        <w:rPr>
          <w:rFonts w:hint="eastAsia" w:ascii="宋体" w:hAnsi="宋体" w:eastAsia="宋体" w:cs="宋体"/>
          <w:snapToGrid w:val="0"/>
          <w:color w:val="000000"/>
          <w:spacing w:val="-47"/>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42</w:t>
      </w:r>
      <w:r>
        <w:rPr>
          <w:rFonts w:hint="eastAsia" w:ascii="宋体" w:hAnsi="宋体" w:eastAsia="宋体" w:cs="宋体"/>
          <w:snapToGrid w:val="0"/>
          <w:color w:val="000000"/>
          <w:spacing w:val="17"/>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天内，向承包人免费提供由发包人或其委托的设计单位设计的施工图纸、技术规范和其他技术资料</w:t>
      </w:r>
      <w:r>
        <w:rPr>
          <w:rFonts w:hint="eastAsia" w:ascii="宋体" w:hAnsi="宋体" w:eastAsia="宋体" w:cs="宋体"/>
          <w:snapToGrid w:val="0"/>
          <w:color w:val="000000"/>
          <w:spacing w:val="-25"/>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2</w:t>
      </w:r>
      <w:r>
        <w:rPr>
          <w:rFonts w:hint="eastAsia" w:ascii="宋体" w:hAnsi="宋体" w:eastAsia="宋体" w:cs="宋体"/>
          <w:snapToGrid w:val="0"/>
          <w:color w:val="000000"/>
          <w:spacing w:val="26"/>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份，并向承包人进行技术</w:t>
      </w:r>
      <w:r>
        <w:rPr>
          <w:rFonts w:hint="eastAsia" w:ascii="宋体" w:hAnsi="宋体" w:eastAsia="宋体" w:cs="宋体"/>
          <w:snapToGrid w:val="0"/>
          <w:color w:val="000000"/>
          <w:kern w:val="0"/>
          <w:sz w:val="20"/>
          <w:szCs w:val="20"/>
          <w:lang w:val="en-US" w:eastAsia="en-US" w:bidi="ar-SA"/>
        </w:rPr>
        <w:t>交底。承包人需要更多份数时，应自费复制。由于发包人未按时提供图纸造成工期</w:t>
      </w:r>
      <w:r>
        <w:rPr>
          <w:rFonts w:hint="eastAsia" w:ascii="宋体" w:hAnsi="宋体" w:eastAsia="宋体" w:cs="宋体"/>
          <w:snapToGrid w:val="0"/>
          <w:color w:val="000000"/>
          <w:spacing w:val="-5"/>
          <w:kern w:val="0"/>
          <w:sz w:val="20"/>
          <w:szCs w:val="20"/>
          <w:lang w:val="en-US" w:eastAsia="en-US" w:bidi="ar-SA"/>
        </w:rPr>
        <w:t>延误的，按第</w:t>
      </w:r>
      <w:r>
        <w:rPr>
          <w:rFonts w:hint="eastAsia" w:ascii="宋体" w:hAnsi="宋体" w:eastAsia="宋体" w:cs="宋体"/>
          <w:snapToGrid w:val="0"/>
          <w:color w:val="000000"/>
          <w:spacing w:val="-20"/>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11.3 款的约定办理。</w:t>
      </w:r>
    </w:p>
    <w:p w14:paraId="15106703">
      <w:pPr>
        <w:spacing w:before="1" w:line="240" w:lineRule="auto"/>
        <w:ind w:left="527"/>
        <w:outlineLvl w:val="1"/>
        <w:rPr>
          <w:rFonts w:hint="eastAsia" w:ascii="宋体" w:hAnsi="宋体" w:eastAsia="宋体" w:cs="宋体"/>
          <w:sz w:val="20"/>
          <w:szCs w:val="20"/>
        </w:rPr>
      </w:pPr>
      <w:r>
        <w:rPr>
          <w:rFonts w:hint="eastAsia" w:ascii="宋体" w:hAnsi="宋体" w:eastAsia="宋体" w:cs="宋体"/>
          <w:spacing w:val="-2"/>
          <w:sz w:val="20"/>
          <w:szCs w:val="20"/>
        </w:rPr>
        <w:t>1.6.2  承包人提供的文件</w:t>
      </w:r>
    </w:p>
    <w:p w14:paraId="5889E85F">
      <w:pPr>
        <w:kinsoku w:val="0"/>
        <w:autoSpaceDE w:val="0"/>
        <w:autoSpaceDN w:val="0"/>
        <w:adjustRightInd w:val="0"/>
        <w:snapToGrid w:val="0"/>
        <w:spacing w:before="97"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本项细化为：</w:t>
      </w:r>
    </w:p>
    <w:p w14:paraId="33CABA2A">
      <w:pPr>
        <w:kinsoku w:val="0"/>
        <w:autoSpaceDE w:val="0"/>
        <w:autoSpaceDN w:val="0"/>
        <w:adjustRightInd w:val="0"/>
        <w:snapToGrid w:val="0"/>
        <w:spacing w:before="115" w:line="240" w:lineRule="auto"/>
        <w:ind w:left="39" w:firstLine="39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有下列情形之一的，承包人应免费向监理人提交相关部分工程的施工图纸</w:t>
      </w:r>
      <w:r>
        <w:rPr>
          <w:rFonts w:hint="eastAsia" w:ascii="宋体" w:hAnsi="宋体" w:eastAsia="宋体" w:cs="宋体"/>
          <w:snapToGrid w:val="0"/>
          <w:color w:val="000000"/>
          <w:spacing w:val="-50"/>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 xml:space="preserve">3 </w:t>
      </w:r>
      <w:r>
        <w:rPr>
          <w:rFonts w:hint="eastAsia" w:ascii="宋体" w:hAnsi="宋体" w:eastAsia="宋体" w:cs="宋体"/>
          <w:snapToGrid w:val="0"/>
          <w:color w:val="000000"/>
          <w:spacing w:val="-3"/>
          <w:kern w:val="0"/>
          <w:sz w:val="20"/>
          <w:szCs w:val="20"/>
          <w:lang w:val="en-US" w:eastAsia="en-US" w:bidi="ar-SA"/>
        </w:rPr>
        <w:t>份，</w:t>
      </w:r>
      <w:r>
        <w:rPr>
          <w:rFonts w:hint="eastAsia" w:ascii="宋体" w:hAnsi="宋体" w:eastAsia="宋体" w:cs="宋体"/>
          <w:snapToGrid w:val="0"/>
          <w:color w:val="000000"/>
          <w:kern w:val="0"/>
          <w:sz w:val="20"/>
          <w:szCs w:val="20"/>
          <w:lang w:val="en-US" w:eastAsia="en-US" w:bidi="ar-SA"/>
        </w:rPr>
        <w:t>并附必要的计算书、技术资料，或施工工艺图、设备安装图及安装设备的使用和维</w:t>
      </w:r>
      <w:r>
        <w:rPr>
          <w:rFonts w:hint="eastAsia" w:ascii="宋体" w:hAnsi="宋体" w:eastAsia="宋体" w:cs="宋体"/>
          <w:snapToGrid w:val="0"/>
          <w:color w:val="000000"/>
          <w:spacing w:val="-4"/>
          <w:kern w:val="0"/>
          <w:sz w:val="20"/>
          <w:szCs w:val="20"/>
          <w:lang w:val="en-US" w:eastAsia="en-US" w:bidi="ar-SA"/>
        </w:rPr>
        <w:t>护手册各</w:t>
      </w:r>
      <w:r>
        <w:rPr>
          <w:rFonts w:hint="eastAsia" w:ascii="宋体" w:hAnsi="宋体" w:eastAsia="宋体" w:cs="宋体"/>
          <w:snapToGrid w:val="0"/>
          <w:color w:val="000000"/>
          <w:spacing w:val="-45"/>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2 份供监理人批准。</w:t>
      </w:r>
    </w:p>
    <w:p w14:paraId="468A293F">
      <w:pPr>
        <w:kinsoku w:val="0"/>
        <w:autoSpaceDE w:val="0"/>
        <w:autoSpaceDN w:val="0"/>
        <w:adjustRightInd w:val="0"/>
        <w:snapToGrid w:val="0"/>
        <w:spacing w:line="240" w:lineRule="auto"/>
        <w:ind w:left="43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（1）为使第</w:t>
      </w:r>
      <w:r>
        <w:rPr>
          <w:rFonts w:hint="eastAsia" w:ascii="宋体" w:hAnsi="宋体" w:eastAsia="宋体" w:cs="宋体"/>
          <w:snapToGrid w:val="0"/>
          <w:color w:val="000000"/>
          <w:spacing w:val="-22"/>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1.6.1 项所述的施工图纸适合于经施工测量后的纵、横断面；</w:t>
      </w:r>
    </w:p>
    <w:p w14:paraId="30B55FD8">
      <w:pPr>
        <w:kinsoku w:val="0"/>
        <w:autoSpaceDE w:val="0"/>
        <w:autoSpaceDN w:val="0"/>
        <w:adjustRightInd w:val="0"/>
        <w:snapToGrid w:val="0"/>
        <w:spacing w:before="98" w:line="240" w:lineRule="auto"/>
        <w:ind w:left="43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（2）为使第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1.6.1 项所述的施工图纸适合于现场</w:t>
      </w:r>
      <w:r>
        <w:rPr>
          <w:rFonts w:hint="eastAsia" w:ascii="宋体" w:hAnsi="宋体" w:eastAsia="宋体" w:cs="宋体"/>
          <w:snapToGrid w:val="0"/>
          <w:color w:val="000000"/>
          <w:spacing w:val="-4"/>
          <w:kern w:val="0"/>
          <w:sz w:val="20"/>
          <w:szCs w:val="20"/>
          <w:lang w:val="en-US" w:eastAsia="en-US" w:bidi="ar-SA"/>
        </w:rPr>
        <w:t>具体地形；</w:t>
      </w:r>
    </w:p>
    <w:p w14:paraId="25166031">
      <w:pPr>
        <w:kinsoku w:val="0"/>
        <w:autoSpaceDE w:val="0"/>
        <w:autoSpaceDN w:val="0"/>
        <w:adjustRightInd w:val="0"/>
        <w:snapToGrid w:val="0"/>
        <w:spacing w:before="95" w:line="240" w:lineRule="auto"/>
        <w:ind w:right="1" w:firstLine="392" w:firstLineChars="2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（3）为使第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1.6.1 项所述的施工图</w:t>
      </w:r>
      <w:r>
        <w:rPr>
          <w:rFonts w:hint="eastAsia" w:ascii="宋体" w:hAnsi="宋体" w:eastAsia="宋体" w:cs="宋体"/>
          <w:snapToGrid w:val="0"/>
          <w:color w:val="000000"/>
          <w:spacing w:val="-3"/>
          <w:kern w:val="0"/>
          <w:sz w:val="20"/>
          <w:szCs w:val="20"/>
          <w:lang w:val="en-US" w:eastAsia="en-US" w:bidi="ar-SA"/>
        </w:rPr>
        <w:t>纸适合于因尺寸与位置变化而引起局部变更；</w:t>
      </w:r>
    </w:p>
    <w:p w14:paraId="376D7250">
      <w:pPr>
        <w:kinsoku w:val="0"/>
        <w:autoSpaceDE w:val="0"/>
        <w:autoSpaceDN w:val="0"/>
        <w:adjustRightInd w:val="0"/>
        <w:snapToGrid w:val="0"/>
        <w:spacing w:before="98" w:line="240" w:lineRule="auto"/>
        <w:ind w:left="43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（4）由于合同要求与施工需要。</w:t>
      </w:r>
    </w:p>
    <w:p w14:paraId="7EB3C4B9">
      <w:pPr>
        <w:kinsoku w:val="0"/>
        <w:autoSpaceDE w:val="0"/>
        <w:autoSpaceDN w:val="0"/>
        <w:adjustRightInd w:val="0"/>
        <w:snapToGrid w:val="0"/>
        <w:spacing w:before="98" w:line="240" w:lineRule="auto"/>
        <w:ind w:left="39" w:right="63" w:firstLine="391"/>
        <w:jc w:val="both"/>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4"/>
          <w:kern w:val="0"/>
          <w:sz w:val="20"/>
          <w:szCs w:val="20"/>
          <w:lang w:val="en-US" w:eastAsia="en-US" w:bidi="ar-SA"/>
        </w:rPr>
        <w:t>此类图纸应按监理人规定的格式和图幅绘制。监理人在收到由承包人绘制的上述工程、工艺图纸、计算书和有关技术资料后</w:t>
      </w:r>
      <w:r>
        <w:rPr>
          <w:rFonts w:hint="eastAsia" w:ascii="宋体" w:hAnsi="宋体" w:eastAsia="宋体" w:cs="宋体"/>
          <w:snapToGrid w:val="0"/>
          <w:color w:val="000000"/>
          <w:spacing w:val="-23"/>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14</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天内应予批准或提出修改要求，承包</w:t>
      </w:r>
      <w:r>
        <w:rPr>
          <w:rFonts w:hint="eastAsia" w:ascii="宋体" w:hAnsi="宋体" w:eastAsia="宋体" w:cs="宋体"/>
          <w:snapToGrid w:val="0"/>
          <w:color w:val="000000"/>
          <w:spacing w:val="-1"/>
          <w:kern w:val="0"/>
          <w:sz w:val="20"/>
          <w:szCs w:val="20"/>
          <w:lang w:val="en-US" w:eastAsia="en-US" w:bidi="ar-SA"/>
        </w:rPr>
        <w:t>人应按监理人提出的要求作出修改，重新向监理人提交，监理人应在</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7</w:t>
      </w:r>
      <w:r>
        <w:rPr>
          <w:rFonts w:hint="eastAsia" w:ascii="宋体" w:hAnsi="宋体" w:eastAsia="宋体" w:cs="宋体"/>
          <w:snapToGrid w:val="0"/>
          <w:color w:val="000000"/>
          <w:spacing w:val="31"/>
          <w:w w:val="10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天内批准或提出进一步的修改意见。</w:t>
      </w:r>
    </w:p>
    <w:p w14:paraId="5C493407">
      <w:pPr>
        <w:spacing w:before="78" w:line="240" w:lineRule="auto"/>
        <w:ind w:left="527"/>
        <w:outlineLvl w:val="1"/>
        <w:rPr>
          <w:rFonts w:hint="eastAsia" w:ascii="宋体" w:hAnsi="宋体" w:eastAsia="宋体" w:cs="宋体"/>
          <w:sz w:val="20"/>
          <w:szCs w:val="20"/>
        </w:rPr>
      </w:pPr>
      <w:r>
        <w:rPr>
          <w:rFonts w:hint="eastAsia" w:ascii="宋体" w:hAnsi="宋体" w:eastAsia="宋体" w:cs="宋体"/>
          <w:spacing w:val="-5"/>
          <w:sz w:val="20"/>
          <w:szCs w:val="20"/>
        </w:rPr>
        <w:t>1.6.4</w:t>
      </w:r>
      <w:r>
        <w:rPr>
          <w:rFonts w:hint="eastAsia" w:ascii="宋体" w:hAnsi="宋体" w:eastAsia="宋体" w:cs="宋体"/>
          <w:spacing w:val="12"/>
          <w:sz w:val="20"/>
          <w:szCs w:val="20"/>
        </w:rPr>
        <w:t xml:space="preserve">  </w:t>
      </w:r>
      <w:r>
        <w:rPr>
          <w:rFonts w:hint="eastAsia" w:ascii="宋体" w:hAnsi="宋体" w:eastAsia="宋体" w:cs="宋体"/>
          <w:spacing w:val="-5"/>
          <w:sz w:val="20"/>
          <w:szCs w:val="20"/>
        </w:rPr>
        <w:t>图纸的错误</w:t>
      </w:r>
    </w:p>
    <w:p w14:paraId="7F2CA393">
      <w:pPr>
        <w:kinsoku w:val="0"/>
        <w:autoSpaceDE w:val="0"/>
        <w:autoSpaceDN w:val="0"/>
        <w:adjustRightInd w:val="0"/>
        <w:snapToGrid w:val="0"/>
        <w:spacing w:before="95"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本项细化为：</w:t>
      </w:r>
    </w:p>
    <w:p w14:paraId="21F459D2">
      <w:pPr>
        <w:kinsoku w:val="0"/>
        <w:autoSpaceDE w:val="0"/>
        <w:autoSpaceDN w:val="0"/>
        <w:adjustRightInd w:val="0"/>
        <w:snapToGrid w:val="0"/>
        <w:spacing w:before="115" w:line="240" w:lineRule="auto"/>
        <w:ind w:left="40" w:right="1" w:firstLine="40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当承包人在查阅合同文件或在本合同工程实施过程中，发现有关的工程设计、技</w:t>
      </w:r>
      <w:r>
        <w:rPr>
          <w:rFonts w:hint="eastAsia" w:ascii="宋体" w:hAnsi="宋体" w:eastAsia="宋体" w:cs="宋体"/>
          <w:snapToGrid w:val="0"/>
          <w:color w:val="000000"/>
          <w:kern w:val="0"/>
          <w:sz w:val="20"/>
          <w:szCs w:val="20"/>
          <w:lang w:val="en-US" w:eastAsia="en-US" w:bidi="ar-SA"/>
        </w:rPr>
        <w:t>术规范、图纸或其他资料中的任何差错、遗漏或缺陷后，应及时通知监理人。监理</w:t>
      </w:r>
      <w:r>
        <w:rPr>
          <w:rFonts w:hint="eastAsia" w:ascii="宋体" w:hAnsi="宋体" w:eastAsia="宋体" w:cs="宋体"/>
          <w:snapToGrid w:val="0"/>
          <w:color w:val="000000"/>
          <w:spacing w:val="-2"/>
          <w:kern w:val="0"/>
          <w:sz w:val="20"/>
          <w:szCs w:val="20"/>
          <w:lang w:val="en-US" w:eastAsia="en-US" w:bidi="ar-SA"/>
        </w:rPr>
        <w:t>人接到该通知后，应立即就此作出决定，并通知承包人和发包人。</w:t>
      </w:r>
    </w:p>
    <w:p w14:paraId="26D1F124">
      <w:pPr>
        <w:spacing w:before="216" w:line="240" w:lineRule="auto"/>
        <w:ind w:left="56"/>
        <w:outlineLvl w:val="0"/>
        <w:rPr>
          <w:rFonts w:hint="eastAsia" w:ascii="宋体" w:hAnsi="宋体" w:eastAsia="宋体" w:cs="宋体"/>
          <w:sz w:val="20"/>
          <w:szCs w:val="20"/>
        </w:rPr>
      </w:pPr>
      <w:r>
        <w:rPr>
          <w:rFonts w:hint="eastAsia" w:ascii="宋体" w:hAnsi="宋体" w:eastAsia="宋体" w:cs="宋体"/>
          <w:spacing w:val="-6"/>
          <w:sz w:val="20"/>
          <w:szCs w:val="20"/>
        </w:rPr>
        <w:t>1.9</w:t>
      </w:r>
      <w:r>
        <w:rPr>
          <w:rFonts w:hint="eastAsia" w:ascii="宋体" w:hAnsi="宋体" w:eastAsia="宋体" w:cs="宋体"/>
          <w:spacing w:val="7"/>
          <w:sz w:val="20"/>
          <w:szCs w:val="20"/>
        </w:rPr>
        <w:t xml:space="preserve">  </w:t>
      </w:r>
      <w:r>
        <w:rPr>
          <w:rFonts w:hint="eastAsia" w:ascii="宋体" w:hAnsi="宋体" w:eastAsia="宋体" w:cs="宋体"/>
          <w:spacing w:val="-6"/>
          <w:sz w:val="20"/>
          <w:szCs w:val="20"/>
        </w:rPr>
        <w:t>严禁贿赂</w:t>
      </w:r>
    </w:p>
    <w:p w14:paraId="729C86D6">
      <w:pPr>
        <w:kinsoku w:val="0"/>
        <w:autoSpaceDE w:val="0"/>
        <w:autoSpaceDN w:val="0"/>
        <w:adjustRightInd w:val="0"/>
        <w:snapToGrid w:val="0"/>
        <w:spacing w:before="78"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2B3FB7AF">
      <w:pPr>
        <w:kinsoku w:val="0"/>
        <w:autoSpaceDE w:val="0"/>
        <w:autoSpaceDN w:val="0"/>
        <w:adjustRightInd w:val="0"/>
        <w:snapToGrid w:val="0"/>
        <w:spacing w:before="117" w:line="240" w:lineRule="auto"/>
        <w:ind w:left="37" w:right="1" w:firstLine="39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在合同执行过程中，发包人和承包人应严格履行《廉政合同》约定的双方在廉政</w:t>
      </w:r>
      <w:r>
        <w:rPr>
          <w:rFonts w:hint="eastAsia" w:ascii="宋体" w:hAnsi="宋体" w:eastAsia="宋体" w:cs="宋体"/>
          <w:snapToGrid w:val="0"/>
          <w:color w:val="000000"/>
          <w:kern w:val="0"/>
          <w:sz w:val="20"/>
          <w:szCs w:val="20"/>
          <w:lang w:val="en-US" w:eastAsia="en-US" w:bidi="ar-SA"/>
        </w:rPr>
        <w:t>建设方面的权利和义务以及应承担的违约责任。承包人如果用行贿、送礼或其他不</w:t>
      </w:r>
      <w:r>
        <w:rPr>
          <w:rFonts w:hint="eastAsia" w:ascii="宋体" w:hAnsi="宋体" w:eastAsia="宋体" w:cs="宋体"/>
          <w:snapToGrid w:val="0"/>
          <w:color w:val="000000"/>
          <w:spacing w:val="1"/>
          <w:kern w:val="0"/>
          <w:sz w:val="20"/>
          <w:szCs w:val="20"/>
          <w:lang w:val="en-US" w:eastAsia="en-US" w:bidi="ar-SA"/>
        </w:rPr>
        <w:t>正当手段企图影响或已经影响了发包人或监理人的</w:t>
      </w:r>
      <w:r>
        <w:rPr>
          <w:rFonts w:hint="eastAsia" w:ascii="宋体" w:hAnsi="宋体" w:eastAsia="宋体" w:cs="宋体"/>
          <w:snapToGrid w:val="0"/>
          <w:color w:val="000000"/>
          <w:kern w:val="0"/>
          <w:sz w:val="20"/>
          <w:szCs w:val="20"/>
          <w:lang w:val="en-US" w:eastAsia="en-US" w:bidi="ar-SA"/>
        </w:rPr>
        <w:t>行为和（或）欲获得或已获得超</w:t>
      </w:r>
      <w:r>
        <w:rPr>
          <w:rFonts w:hint="eastAsia" w:ascii="宋体" w:hAnsi="宋体" w:eastAsia="宋体" w:cs="宋体"/>
          <w:snapToGrid w:val="0"/>
          <w:color w:val="000000"/>
          <w:spacing w:val="1"/>
          <w:kern w:val="0"/>
          <w:sz w:val="20"/>
          <w:szCs w:val="20"/>
          <w:lang w:val="en-US" w:eastAsia="en-US" w:bidi="ar-SA"/>
        </w:rPr>
        <w:t>出合同规定以外的额外费用，则发包人应按有关法纪</w:t>
      </w:r>
      <w:r>
        <w:rPr>
          <w:rFonts w:hint="eastAsia" w:ascii="宋体" w:hAnsi="宋体" w:eastAsia="宋体" w:cs="宋体"/>
          <w:snapToGrid w:val="0"/>
          <w:color w:val="000000"/>
          <w:kern w:val="0"/>
          <w:sz w:val="20"/>
          <w:szCs w:val="20"/>
          <w:lang w:val="en-US" w:eastAsia="en-US" w:bidi="ar-SA"/>
        </w:rPr>
        <w:t>严肃处理当事人，且承包人应</w:t>
      </w:r>
      <w:r>
        <w:rPr>
          <w:rFonts w:hint="eastAsia" w:ascii="宋体" w:hAnsi="宋体" w:eastAsia="宋体" w:cs="宋体"/>
          <w:snapToGrid w:val="0"/>
          <w:color w:val="000000"/>
          <w:spacing w:val="1"/>
          <w:kern w:val="0"/>
          <w:sz w:val="20"/>
          <w:szCs w:val="20"/>
          <w:lang w:val="en-US" w:eastAsia="en-US" w:bidi="ar-SA"/>
        </w:rPr>
        <w:t>对其上述行为造成的工程损害、发包人的经济损失</w:t>
      </w:r>
      <w:r>
        <w:rPr>
          <w:rFonts w:hint="eastAsia" w:ascii="宋体" w:hAnsi="宋体" w:eastAsia="宋体" w:cs="宋体"/>
          <w:snapToGrid w:val="0"/>
          <w:color w:val="000000"/>
          <w:kern w:val="0"/>
          <w:sz w:val="20"/>
          <w:szCs w:val="20"/>
          <w:lang w:val="en-US" w:eastAsia="en-US" w:bidi="ar-SA"/>
        </w:rPr>
        <w:t>等承担一切责任，并予赔偿。情</w:t>
      </w:r>
      <w:r>
        <w:rPr>
          <w:rFonts w:hint="eastAsia" w:ascii="宋体" w:hAnsi="宋体" w:eastAsia="宋体" w:cs="宋体"/>
          <w:snapToGrid w:val="0"/>
          <w:color w:val="000000"/>
          <w:spacing w:val="-1"/>
          <w:kern w:val="0"/>
          <w:sz w:val="20"/>
          <w:szCs w:val="20"/>
          <w:lang w:val="en-US" w:eastAsia="en-US" w:bidi="ar-SA"/>
        </w:rPr>
        <w:t>节严重者，发包人有权终止承包人在本合同项下的承包。</w:t>
      </w:r>
    </w:p>
    <w:p w14:paraId="035D98D1">
      <w:pPr>
        <w:spacing w:line="240" w:lineRule="auto"/>
        <w:rPr>
          <w:rFonts w:hint="eastAsia" w:ascii="宋体" w:hAnsi="宋体" w:eastAsia="宋体" w:cs="宋体"/>
          <w:sz w:val="20"/>
          <w:szCs w:val="20"/>
        </w:rPr>
      </w:pPr>
    </w:p>
    <w:p w14:paraId="6950F558">
      <w:pPr>
        <w:spacing w:before="92" w:line="240" w:lineRule="auto"/>
        <w:ind w:left="34"/>
        <w:outlineLvl w:val="0"/>
        <w:rPr>
          <w:rFonts w:hint="eastAsia" w:ascii="宋体" w:hAnsi="宋体" w:eastAsia="宋体" w:cs="宋体"/>
          <w:sz w:val="20"/>
          <w:szCs w:val="20"/>
        </w:rPr>
      </w:pPr>
      <w:r>
        <w:rPr>
          <w:rFonts w:hint="eastAsia" w:ascii="宋体" w:hAnsi="宋体" w:eastAsia="宋体" w:cs="宋体"/>
          <w:spacing w:val="-1"/>
          <w:sz w:val="20"/>
          <w:szCs w:val="20"/>
        </w:rPr>
        <w:t>2.  发包人义务</w:t>
      </w:r>
    </w:p>
    <w:p w14:paraId="4016E430">
      <w:pPr>
        <w:spacing w:before="314"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2.3  提供施工场地</w:t>
      </w:r>
    </w:p>
    <w:p w14:paraId="6B0A22BA">
      <w:pPr>
        <w:kinsoku w:val="0"/>
        <w:autoSpaceDE w:val="0"/>
        <w:autoSpaceDN w:val="0"/>
        <w:adjustRightInd w:val="0"/>
        <w:snapToGrid w:val="0"/>
        <w:spacing w:before="78"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本款补充：</w:t>
      </w:r>
    </w:p>
    <w:p w14:paraId="1106C787">
      <w:pPr>
        <w:kinsoku w:val="0"/>
        <w:autoSpaceDE w:val="0"/>
        <w:autoSpaceDN w:val="0"/>
        <w:adjustRightInd w:val="0"/>
        <w:snapToGrid w:val="0"/>
        <w:spacing w:before="111" w:line="240" w:lineRule="auto"/>
        <w:ind w:left="37" w:firstLine="39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发包人负责办理永久占地的征用及与之有关的拆迁赔偿手续并承担相关费用。承</w:t>
      </w:r>
      <w:r>
        <w:rPr>
          <w:rFonts w:hint="eastAsia" w:ascii="宋体" w:hAnsi="宋体" w:eastAsia="宋体" w:cs="宋体"/>
          <w:snapToGrid w:val="0"/>
          <w:color w:val="000000"/>
          <w:spacing w:val="-3"/>
          <w:kern w:val="0"/>
          <w:sz w:val="20"/>
          <w:szCs w:val="20"/>
          <w:lang w:val="en-US" w:eastAsia="en-US" w:bidi="ar-SA"/>
        </w:rPr>
        <w:t>包人在按第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10 条规定提交施工进度计划的同时，应向监理人提交一</w:t>
      </w:r>
      <w:r>
        <w:rPr>
          <w:rFonts w:hint="eastAsia" w:ascii="宋体" w:hAnsi="宋体" w:eastAsia="宋体" w:cs="宋体"/>
          <w:snapToGrid w:val="0"/>
          <w:color w:val="000000"/>
          <w:spacing w:val="-4"/>
          <w:kern w:val="0"/>
          <w:sz w:val="20"/>
          <w:szCs w:val="20"/>
          <w:lang w:val="en-US" w:eastAsia="en-US" w:bidi="ar-SA"/>
        </w:rPr>
        <w:t>份按施工先后次</w:t>
      </w:r>
      <w:r>
        <w:rPr>
          <w:rFonts w:hint="eastAsia" w:ascii="宋体" w:hAnsi="宋体" w:eastAsia="宋体" w:cs="宋体"/>
          <w:snapToGrid w:val="0"/>
          <w:color w:val="000000"/>
          <w:kern w:val="0"/>
          <w:sz w:val="20"/>
          <w:szCs w:val="20"/>
          <w:lang w:val="en-US" w:eastAsia="en-US" w:bidi="ar-SA"/>
        </w:rPr>
        <w:t>序所需的永久占地计划。监理人应在收到此计划后的</w:t>
      </w:r>
      <w:r>
        <w:rPr>
          <w:rFonts w:hint="eastAsia" w:ascii="宋体" w:hAnsi="宋体" w:eastAsia="宋体" w:cs="宋体"/>
          <w:snapToGrid w:val="0"/>
          <w:color w:val="000000"/>
          <w:spacing w:val="31"/>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t>14  天</w:t>
      </w:r>
      <w:r>
        <w:rPr>
          <w:rFonts w:hint="eastAsia" w:ascii="宋体" w:hAnsi="宋体" w:eastAsia="宋体" w:cs="宋体"/>
          <w:snapToGrid w:val="0"/>
          <w:color w:val="000000"/>
          <w:spacing w:val="-1"/>
          <w:kern w:val="0"/>
          <w:sz w:val="20"/>
          <w:szCs w:val="20"/>
          <w:lang w:val="en-US" w:eastAsia="en-US" w:bidi="ar-SA"/>
        </w:rPr>
        <w:t>内审核并转报发包人核</w:t>
      </w:r>
      <w:r>
        <w:rPr>
          <w:rFonts w:hint="eastAsia" w:ascii="宋体" w:hAnsi="宋体" w:eastAsia="宋体" w:cs="宋体"/>
          <w:snapToGrid w:val="0"/>
          <w:color w:val="000000"/>
          <w:spacing w:val="1"/>
          <w:kern w:val="0"/>
          <w:sz w:val="20"/>
          <w:szCs w:val="20"/>
          <w:lang w:val="en-US" w:eastAsia="en-US" w:bidi="ar-SA"/>
        </w:rPr>
        <w:t>备。发包人应在监理人发出本工程或分部工程开</w:t>
      </w:r>
      <w:r>
        <w:rPr>
          <w:rFonts w:hint="eastAsia" w:ascii="宋体" w:hAnsi="宋体" w:eastAsia="宋体" w:cs="宋体"/>
          <w:snapToGrid w:val="0"/>
          <w:color w:val="000000"/>
          <w:kern w:val="0"/>
          <w:sz w:val="20"/>
          <w:szCs w:val="20"/>
          <w:lang w:val="en-US" w:eastAsia="en-US" w:bidi="ar-SA"/>
        </w:rPr>
        <w:t>工通知之前，对承包人开工所需的</w:t>
      </w:r>
      <w:r>
        <w:rPr>
          <w:rFonts w:hint="eastAsia" w:ascii="宋体" w:hAnsi="宋体" w:eastAsia="宋体" w:cs="宋体"/>
          <w:snapToGrid w:val="0"/>
          <w:color w:val="000000"/>
          <w:spacing w:val="1"/>
          <w:kern w:val="0"/>
          <w:sz w:val="20"/>
          <w:szCs w:val="20"/>
          <w:lang w:val="en-US" w:eastAsia="en-US" w:bidi="ar-SA"/>
        </w:rPr>
        <w:t>永久占地办妥征用手续和相关拆迁赔偿手续，</w:t>
      </w:r>
      <w:r>
        <w:rPr>
          <w:rFonts w:hint="eastAsia" w:ascii="宋体" w:hAnsi="宋体" w:eastAsia="宋体" w:cs="宋体"/>
          <w:snapToGrid w:val="0"/>
          <w:color w:val="000000"/>
          <w:kern w:val="0"/>
          <w:sz w:val="20"/>
          <w:szCs w:val="20"/>
          <w:lang w:val="en-US" w:eastAsia="en-US" w:bidi="ar-SA"/>
        </w:rPr>
        <w:t>通知承包人使用，以使承包人能够及</w:t>
      </w:r>
      <w:r>
        <w:rPr>
          <w:rFonts w:hint="eastAsia" w:ascii="宋体" w:hAnsi="宋体" w:eastAsia="宋体" w:cs="宋体"/>
          <w:snapToGrid w:val="0"/>
          <w:color w:val="000000"/>
          <w:spacing w:val="1"/>
          <w:kern w:val="0"/>
          <w:sz w:val="20"/>
          <w:szCs w:val="20"/>
          <w:lang w:val="en-US" w:eastAsia="en-US" w:bidi="ar-SA"/>
        </w:rPr>
        <w:t>时开工；此后按承包人提交并经监理人同意的合同进</w:t>
      </w:r>
      <w:r>
        <w:rPr>
          <w:rFonts w:hint="eastAsia" w:ascii="宋体" w:hAnsi="宋体" w:eastAsia="宋体" w:cs="宋体"/>
          <w:snapToGrid w:val="0"/>
          <w:color w:val="000000"/>
          <w:kern w:val="0"/>
          <w:sz w:val="20"/>
          <w:szCs w:val="20"/>
          <w:lang w:val="en-US" w:eastAsia="en-US" w:bidi="ar-SA"/>
        </w:rPr>
        <w:t>度计划的安排，分期（也可以一次）将施工所需的其余永久占地办妥征用以及拆迁赔偿手续，通知承包人使用，以使承包人能够连续不间断地施工。由于承包人施工考虑不周或措施不当等原因而造成的超计划占地或拆迁等所发生的征用和赔偿费</w:t>
      </w:r>
      <w:r>
        <w:rPr>
          <w:rFonts w:hint="eastAsia" w:ascii="宋体" w:hAnsi="宋体" w:eastAsia="宋体" w:cs="宋体"/>
          <w:snapToGrid w:val="0"/>
          <w:color w:val="000000"/>
          <w:spacing w:val="-1"/>
          <w:kern w:val="0"/>
          <w:sz w:val="20"/>
          <w:szCs w:val="20"/>
          <w:lang w:val="en-US" w:eastAsia="en-US" w:bidi="ar-SA"/>
        </w:rPr>
        <w:t>用，应由承包人承担。</w:t>
      </w:r>
    </w:p>
    <w:p w14:paraId="64438FC1">
      <w:pPr>
        <w:kinsoku w:val="0"/>
        <w:autoSpaceDE w:val="0"/>
        <w:autoSpaceDN w:val="0"/>
        <w:adjustRightInd w:val="0"/>
        <w:snapToGrid w:val="0"/>
        <w:spacing w:before="5" w:line="240" w:lineRule="auto"/>
        <w:ind w:left="39" w:firstLine="419"/>
        <w:jc w:val="both"/>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4"/>
          <w:kern w:val="0"/>
          <w:sz w:val="20"/>
          <w:szCs w:val="20"/>
          <w:lang w:val="en-US" w:eastAsia="en-US" w:bidi="ar-SA"/>
        </w:rPr>
        <w:t>由于发包人未能按照本项规定办妥永久占地征用</w:t>
      </w:r>
      <w:r>
        <w:rPr>
          <w:rFonts w:hint="eastAsia" w:ascii="宋体" w:hAnsi="宋体" w:eastAsia="宋体" w:cs="宋体"/>
          <w:snapToGrid w:val="0"/>
          <w:color w:val="000000"/>
          <w:spacing w:val="-5"/>
          <w:kern w:val="0"/>
          <w:sz w:val="20"/>
          <w:szCs w:val="20"/>
          <w:lang w:val="en-US" w:eastAsia="en-US" w:bidi="ar-SA"/>
        </w:rPr>
        <w:t>手续，影响承包人及时使用永久</w:t>
      </w:r>
      <w:r>
        <w:rPr>
          <w:rFonts w:hint="eastAsia" w:ascii="宋体" w:hAnsi="宋体" w:eastAsia="宋体" w:cs="宋体"/>
          <w:snapToGrid w:val="0"/>
          <w:color w:val="000000"/>
          <w:spacing w:val="1"/>
          <w:kern w:val="0"/>
          <w:sz w:val="20"/>
          <w:szCs w:val="20"/>
          <w:lang w:val="en-US" w:eastAsia="en-US" w:bidi="ar-SA"/>
        </w:rPr>
        <w:t>占地造成的费用增加和（或）工期延误应由发包</w:t>
      </w:r>
      <w:r>
        <w:rPr>
          <w:rFonts w:hint="eastAsia" w:ascii="宋体" w:hAnsi="宋体" w:eastAsia="宋体" w:cs="宋体"/>
          <w:snapToGrid w:val="0"/>
          <w:color w:val="000000"/>
          <w:kern w:val="0"/>
          <w:sz w:val="20"/>
          <w:szCs w:val="20"/>
          <w:lang w:val="en-US" w:eastAsia="en-US" w:bidi="ar-SA"/>
        </w:rPr>
        <w:t>人承担。由于承包人未能按照本项</w:t>
      </w:r>
      <w:r>
        <w:rPr>
          <w:rFonts w:hint="eastAsia" w:ascii="宋体" w:hAnsi="宋体" w:eastAsia="宋体" w:cs="宋体"/>
          <w:snapToGrid w:val="0"/>
          <w:color w:val="000000"/>
          <w:spacing w:val="1"/>
          <w:kern w:val="0"/>
          <w:sz w:val="20"/>
          <w:szCs w:val="20"/>
          <w:lang w:val="en-US" w:eastAsia="en-US" w:bidi="ar-SA"/>
        </w:rPr>
        <w:t>规定提交占地计划，影响发包人办理永久占地征</w:t>
      </w:r>
      <w:r>
        <w:rPr>
          <w:rFonts w:hint="eastAsia" w:ascii="宋体" w:hAnsi="宋体" w:eastAsia="宋体" w:cs="宋体"/>
          <w:snapToGrid w:val="0"/>
          <w:color w:val="000000"/>
          <w:kern w:val="0"/>
          <w:sz w:val="20"/>
          <w:szCs w:val="20"/>
          <w:lang w:val="en-US" w:eastAsia="en-US" w:bidi="ar-SA"/>
        </w:rPr>
        <w:t>用手续造成的费用增加和（或）工</w:t>
      </w:r>
      <w:r>
        <w:rPr>
          <w:rFonts w:hint="eastAsia" w:ascii="宋体" w:hAnsi="宋体" w:eastAsia="宋体" w:cs="宋体"/>
          <w:snapToGrid w:val="0"/>
          <w:color w:val="000000"/>
          <w:spacing w:val="-2"/>
          <w:kern w:val="0"/>
          <w:sz w:val="20"/>
          <w:szCs w:val="20"/>
          <w:lang w:val="en-US" w:eastAsia="en-US" w:bidi="ar-SA"/>
        </w:rPr>
        <w:t>期延误由承包人承担。</w:t>
      </w:r>
    </w:p>
    <w:p w14:paraId="0761D98D">
      <w:pPr>
        <w:spacing w:before="91" w:line="240" w:lineRule="auto"/>
        <w:ind w:left="40"/>
        <w:outlineLvl w:val="0"/>
        <w:rPr>
          <w:rFonts w:hint="eastAsia" w:ascii="宋体" w:hAnsi="宋体" w:eastAsia="宋体" w:cs="宋体"/>
          <w:sz w:val="20"/>
          <w:szCs w:val="20"/>
        </w:rPr>
      </w:pPr>
      <w:r>
        <w:rPr>
          <w:rFonts w:hint="eastAsia" w:ascii="宋体" w:hAnsi="宋体" w:eastAsia="宋体" w:cs="宋体"/>
          <w:spacing w:val="-4"/>
          <w:sz w:val="20"/>
          <w:szCs w:val="20"/>
        </w:rPr>
        <w:t>3.</w:t>
      </w:r>
      <w:r>
        <w:rPr>
          <w:rFonts w:hint="eastAsia" w:ascii="宋体" w:hAnsi="宋体" w:eastAsia="宋体" w:cs="宋体"/>
          <w:spacing w:val="6"/>
          <w:sz w:val="20"/>
          <w:szCs w:val="20"/>
        </w:rPr>
        <w:t xml:space="preserve">  </w:t>
      </w:r>
      <w:r>
        <w:rPr>
          <w:rFonts w:hint="eastAsia" w:ascii="宋体" w:hAnsi="宋体" w:eastAsia="宋体" w:cs="宋体"/>
          <w:spacing w:val="-4"/>
          <w:sz w:val="20"/>
          <w:szCs w:val="20"/>
        </w:rPr>
        <w:t>监理人</w:t>
      </w:r>
    </w:p>
    <w:p w14:paraId="013D24D1">
      <w:pPr>
        <w:spacing w:before="308" w:line="240" w:lineRule="auto"/>
        <w:ind w:left="38"/>
        <w:outlineLvl w:val="1"/>
        <w:rPr>
          <w:rFonts w:hint="eastAsia" w:ascii="宋体" w:hAnsi="宋体" w:eastAsia="宋体" w:cs="宋体"/>
          <w:sz w:val="20"/>
          <w:szCs w:val="20"/>
        </w:rPr>
      </w:pPr>
      <w:r>
        <w:rPr>
          <w:rFonts w:hint="eastAsia" w:ascii="宋体" w:hAnsi="宋体" w:eastAsia="宋体" w:cs="宋体"/>
          <w:spacing w:val="-1"/>
          <w:sz w:val="20"/>
          <w:szCs w:val="20"/>
        </w:rPr>
        <w:t>3.1  监理人的职责和权力</w:t>
      </w:r>
    </w:p>
    <w:p w14:paraId="4A22EB7B">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第</w:t>
      </w:r>
      <w:r>
        <w:rPr>
          <w:rFonts w:hint="eastAsia" w:ascii="宋体" w:hAnsi="宋体" w:eastAsia="宋体" w:cs="宋体"/>
          <w:snapToGrid w:val="0"/>
          <w:color w:val="000000"/>
          <w:spacing w:val="-42"/>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3.1.1</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项补充：</w:t>
      </w:r>
    </w:p>
    <w:p w14:paraId="5C71D066">
      <w:pPr>
        <w:kinsoku w:val="0"/>
        <w:autoSpaceDE w:val="0"/>
        <w:autoSpaceDN w:val="0"/>
        <w:adjustRightInd w:val="0"/>
        <w:snapToGrid w:val="0"/>
        <w:spacing w:before="96"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监理人在行使下列权力前需要经发包人事先批准：</w:t>
      </w:r>
    </w:p>
    <w:p w14:paraId="634F0192">
      <w:pPr>
        <w:kinsoku w:val="0"/>
        <w:autoSpaceDE w:val="0"/>
        <w:autoSpaceDN w:val="0"/>
        <w:adjustRightInd w:val="0"/>
        <w:snapToGrid w:val="0"/>
        <w:spacing w:before="116" w:line="240" w:lineRule="auto"/>
        <w:ind w:left="37" w:right="1"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（1）根据第</w:t>
      </w:r>
      <w:r>
        <w:rPr>
          <w:rFonts w:hint="eastAsia" w:ascii="宋体" w:hAnsi="宋体" w:eastAsia="宋体" w:cs="宋体"/>
          <w:snapToGrid w:val="0"/>
          <w:color w:val="000000"/>
          <w:spacing w:val="-56"/>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4.3 款，同意分包本工程的某些非关键性工作或者</w:t>
      </w:r>
      <w:r>
        <w:rPr>
          <w:rFonts w:hint="eastAsia" w:ascii="宋体" w:hAnsi="宋体" w:eastAsia="宋体" w:cs="宋体"/>
          <w:snapToGrid w:val="0"/>
          <w:color w:val="000000"/>
          <w:spacing w:val="-2"/>
          <w:kern w:val="0"/>
          <w:sz w:val="20"/>
          <w:szCs w:val="20"/>
          <w:lang w:val="en-US" w:eastAsia="en-US" w:bidi="ar-SA"/>
        </w:rPr>
        <w:t>适合专业化队伍施工的专项工程；</w:t>
      </w:r>
    </w:p>
    <w:p w14:paraId="52CE3DEC">
      <w:pPr>
        <w:kinsoku w:val="0"/>
        <w:autoSpaceDE w:val="0"/>
        <w:autoSpaceDN w:val="0"/>
        <w:adjustRightInd w:val="0"/>
        <w:snapToGrid w:val="0"/>
        <w:spacing w:before="11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（2）确定第</w:t>
      </w:r>
      <w:r>
        <w:rPr>
          <w:rFonts w:hint="eastAsia" w:ascii="宋体" w:hAnsi="宋体" w:eastAsia="宋体" w:cs="宋体"/>
          <w:snapToGrid w:val="0"/>
          <w:color w:val="000000"/>
          <w:spacing w:val="-48"/>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4.11 款下产生的费用增加额；</w:t>
      </w:r>
    </w:p>
    <w:p w14:paraId="1B76F283">
      <w:pPr>
        <w:kinsoku w:val="0"/>
        <w:autoSpaceDE w:val="0"/>
        <w:autoSpaceDN w:val="0"/>
        <w:adjustRightInd w:val="0"/>
        <w:snapToGrid w:val="0"/>
        <w:spacing w:before="98" w:line="240" w:lineRule="auto"/>
        <w:ind w:left="41" w:right="4" w:firstLine="48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（3）根据第</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11.1 款、第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12.3 款、第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12.4 款发布开工通知、暂停施工指示或复</w:t>
      </w:r>
      <w:r>
        <w:rPr>
          <w:rFonts w:hint="eastAsia" w:ascii="宋体" w:hAnsi="宋体" w:eastAsia="宋体" w:cs="宋体"/>
          <w:snapToGrid w:val="0"/>
          <w:color w:val="000000"/>
          <w:spacing w:val="-13"/>
          <w:kern w:val="0"/>
          <w:sz w:val="20"/>
          <w:szCs w:val="20"/>
          <w:lang w:val="en-US" w:eastAsia="en-US" w:bidi="ar-SA"/>
        </w:rPr>
        <w:t>工通知；</w:t>
      </w:r>
    </w:p>
    <w:p w14:paraId="19B8AE07">
      <w:pPr>
        <w:kinsoku w:val="0"/>
        <w:autoSpaceDE w:val="0"/>
        <w:autoSpaceDN w:val="0"/>
        <w:adjustRightInd w:val="0"/>
        <w:snapToGrid w:val="0"/>
        <w:spacing w:before="113"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（4）决定第</w:t>
      </w:r>
      <w:r>
        <w:rPr>
          <w:rFonts w:hint="eastAsia" w:ascii="宋体" w:hAnsi="宋体" w:eastAsia="宋体" w:cs="宋体"/>
          <w:snapToGrid w:val="0"/>
          <w:color w:val="000000"/>
          <w:spacing w:val="-16"/>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11.3 款、第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11.4 款下的工期延长；</w:t>
      </w:r>
    </w:p>
    <w:p w14:paraId="61FA0613">
      <w:pPr>
        <w:kinsoku w:val="0"/>
        <w:autoSpaceDE w:val="0"/>
        <w:autoSpaceDN w:val="0"/>
        <w:adjustRightInd w:val="0"/>
        <w:snapToGrid w:val="0"/>
        <w:spacing w:before="98"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（5）审查批准技术方案或设计的变更；</w:t>
      </w:r>
    </w:p>
    <w:p w14:paraId="49AC3BD3">
      <w:pPr>
        <w:kinsoku w:val="0"/>
        <w:autoSpaceDE w:val="0"/>
        <w:autoSpaceDN w:val="0"/>
        <w:adjustRightInd w:val="0"/>
        <w:snapToGrid w:val="0"/>
        <w:spacing w:before="94" w:line="240" w:lineRule="auto"/>
        <w:ind w:left="37" w:right="1"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（6）根据第 15.3  款发出的变更指示，其单项工程变更或累计变更涉及的金额超过了项目专用合同条款数据表中规定的金额；</w:t>
      </w:r>
    </w:p>
    <w:p w14:paraId="4A951988">
      <w:pPr>
        <w:kinsoku w:val="0"/>
        <w:autoSpaceDE w:val="0"/>
        <w:autoSpaceDN w:val="0"/>
        <w:adjustRightInd w:val="0"/>
        <w:snapToGrid w:val="0"/>
        <w:spacing w:before="11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（7）确定第</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15.4 款下变更工作的单价；</w:t>
      </w:r>
    </w:p>
    <w:p w14:paraId="315BE90D">
      <w:pPr>
        <w:kinsoku w:val="0"/>
        <w:autoSpaceDE w:val="0"/>
        <w:autoSpaceDN w:val="0"/>
        <w:adjustRightInd w:val="0"/>
        <w:snapToGrid w:val="0"/>
        <w:spacing w:before="98"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（8）按照第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15.6 款决定有关暂列金额的使用；</w:t>
      </w:r>
    </w:p>
    <w:p w14:paraId="67F9F45D">
      <w:pPr>
        <w:kinsoku w:val="0"/>
        <w:autoSpaceDE w:val="0"/>
        <w:autoSpaceDN w:val="0"/>
        <w:adjustRightInd w:val="0"/>
        <w:snapToGrid w:val="0"/>
        <w:spacing w:before="9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（9）确定第</w:t>
      </w:r>
      <w:r>
        <w:rPr>
          <w:rFonts w:hint="eastAsia" w:ascii="宋体" w:hAnsi="宋体" w:eastAsia="宋体" w:cs="宋体"/>
          <w:snapToGrid w:val="0"/>
          <w:color w:val="000000"/>
          <w:spacing w:val="-26"/>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15.8 款下的暂估价金额；</w:t>
      </w:r>
    </w:p>
    <w:p w14:paraId="615B643B">
      <w:pPr>
        <w:kinsoku w:val="0"/>
        <w:autoSpaceDE w:val="0"/>
        <w:autoSpaceDN w:val="0"/>
        <w:adjustRightInd w:val="0"/>
        <w:snapToGrid w:val="0"/>
        <w:spacing w:before="100"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（10）确定第</w:t>
      </w:r>
      <w:r>
        <w:rPr>
          <w:rFonts w:hint="eastAsia" w:ascii="宋体" w:hAnsi="宋体" w:eastAsia="宋体" w:cs="宋体"/>
          <w:snapToGrid w:val="0"/>
          <w:color w:val="000000"/>
          <w:spacing w:val="-48"/>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23.1 款下的索赔额。</w:t>
      </w:r>
    </w:p>
    <w:p w14:paraId="1ED92932">
      <w:pPr>
        <w:kinsoku w:val="0"/>
        <w:autoSpaceDE w:val="0"/>
        <w:autoSpaceDN w:val="0"/>
        <w:adjustRightInd w:val="0"/>
        <w:snapToGrid w:val="0"/>
        <w:spacing w:before="117" w:line="240" w:lineRule="auto"/>
        <w:ind w:left="41" w:right="1" w:firstLine="479"/>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如果发生紧急情况，监理人认为将造成人员伤亡，或危及本工程或邻近的财产需立即采取行动，监理人有权在未征得发包人的批准的情况下发布处理紧急情况所</w:t>
      </w:r>
      <w:r>
        <w:rPr>
          <w:rFonts w:hint="eastAsia" w:ascii="宋体" w:hAnsi="宋体" w:eastAsia="宋体" w:cs="宋体"/>
          <w:snapToGrid w:val="0"/>
          <w:color w:val="000000"/>
          <w:spacing w:val="-1"/>
          <w:kern w:val="0"/>
          <w:sz w:val="20"/>
          <w:szCs w:val="20"/>
          <w:lang w:val="en-US" w:eastAsia="en-US" w:bidi="ar-SA"/>
        </w:rPr>
        <w:t>必需的指令，承包人应予执行，由此造成的费用增加由监理人按第 3.5</w:t>
      </w:r>
      <w:r>
        <w:rPr>
          <w:rFonts w:hint="eastAsia" w:ascii="宋体" w:hAnsi="宋体" w:eastAsia="宋体" w:cs="宋体"/>
          <w:snapToGrid w:val="0"/>
          <w:color w:val="000000"/>
          <w:spacing w:val="6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款商定或确</w:t>
      </w:r>
      <w:r>
        <w:rPr>
          <w:rFonts w:hint="eastAsia" w:ascii="宋体" w:hAnsi="宋体" w:eastAsia="宋体" w:cs="宋体"/>
          <w:snapToGrid w:val="0"/>
          <w:color w:val="000000"/>
          <w:spacing w:val="-12"/>
          <w:kern w:val="0"/>
          <w:sz w:val="20"/>
          <w:szCs w:val="20"/>
          <w:lang w:val="en-US" w:eastAsia="en-US" w:bidi="ar-SA"/>
        </w:rPr>
        <w:t>定。</w:t>
      </w:r>
    </w:p>
    <w:p w14:paraId="335CB1B6">
      <w:pPr>
        <w:spacing w:before="203" w:line="240" w:lineRule="auto"/>
        <w:ind w:left="38"/>
        <w:outlineLvl w:val="1"/>
        <w:rPr>
          <w:rFonts w:hint="eastAsia" w:ascii="宋体" w:hAnsi="宋体" w:eastAsia="宋体" w:cs="宋体"/>
          <w:sz w:val="20"/>
          <w:szCs w:val="20"/>
        </w:rPr>
      </w:pPr>
      <w:r>
        <w:rPr>
          <w:rFonts w:hint="eastAsia" w:ascii="宋体" w:hAnsi="宋体" w:eastAsia="宋体" w:cs="宋体"/>
          <w:spacing w:val="-4"/>
          <w:sz w:val="20"/>
          <w:szCs w:val="20"/>
        </w:rPr>
        <w:t>3.5</w:t>
      </w:r>
      <w:r>
        <w:rPr>
          <w:rFonts w:hint="eastAsia" w:ascii="宋体" w:hAnsi="宋体" w:eastAsia="宋体" w:cs="宋体"/>
          <w:spacing w:val="12"/>
          <w:sz w:val="20"/>
          <w:szCs w:val="20"/>
        </w:rPr>
        <w:t xml:space="preserve">  </w:t>
      </w:r>
      <w:r>
        <w:rPr>
          <w:rFonts w:hint="eastAsia" w:ascii="宋体" w:hAnsi="宋体" w:eastAsia="宋体" w:cs="宋体"/>
          <w:spacing w:val="-4"/>
          <w:sz w:val="20"/>
          <w:szCs w:val="20"/>
        </w:rPr>
        <w:t>商定或确定</w:t>
      </w:r>
    </w:p>
    <w:p w14:paraId="2E8CDAAE">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第</w:t>
      </w:r>
      <w:r>
        <w:rPr>
          <w:rFonts w:hint="eastAsia" w:ascii="宋体" w:hAnsi="宋体" w:eastAsia="宋体" w:cs="宋体"/>
          <w:snapToGrid w:val="0"/>
          <w:color w:val="000000"/>
          <w:spacing w:val="-42"/>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3.5.1</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项补充：</w:t>
      </w:r>
    </w:p>
    <w:p w14:paraId="391B775C">
      <w:pPr>
        <w:kinsoku w:val="0"/>
        <w:autoSpaceDE w:val="0"/>
        <w:autoSpaceDN w:val="0"/>
        <w:adjustRightInd w:val="0"/>
        <w:snapToGrid w:val="0"/>
        <w:spacing w:before="97" w:line="240" w:lineRule="auto"/>
        <w:ind w:left="57" w:right="7" w:firstLine="464"/>
        <w:jc w:val="left"/>
        <w:textAlignment w:val="baseline"/>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如果这项商定或确定导致费用增加和（或）工期延长，或者涉及确定变更工程</w:t>
      </w:r>
      <w:r>
        <w:rPr>
          <w:rFonts w:hint="eastAsia" w:ascii="宋体" w:hAnsi="宋体" w:eastAsia="宋体" w:cs="宋体"/>
          <w:snapToGrid w:val="0"/>
          <w:color w:val="000000"/>
          <w:spacing w:val="-2"/>
          <w:kern w:val="0"/>
          <w:sz w:val="20"/>
          <w:szCs w:val="20"/>
          <w:lang w:val="en-US" w:eastAsia="en-US" w:bidi="ar-SA"/>
        </w:rPr>
        <w:t>的价格，则总监理工程师在发出通知前，应征得发包人的同</w:t>
      </w:r>
      <w:r>
        <w:rPr>
          <w:rFonts w:hint="eastAsia" w:ascii="宋体" w:hAnsi="宋体" w:eastAsia="宋体" w:cs="宋体"/>
          <w:snapToGrid w:val="0"/>
          <w:color w:val="000000"/>
          <w:spacing w:val="-3"/>
          <w:kern w:val="0"/>
          <w:sz w:val="20"/>
          <w:szCs w:val="20"/>
          <w:lang w:val="en-US" w:eastAsia="en-US" w:bidi="ar-SA"/>
        </w:rPr>
        <w:t>意。</w:t>
      </w:r>
    </w:p>
    <w:p w14:paraId="7777F3F5">
      <w:pPr>
        <w:spacing w:before="92" w:line="240" w:lineRule="auto"/>
        <w:ind w:left="33"/>
        <w:outlineLvl w:val="0"/>
        <w:rPr>
          <w:rFonts w:hint="eastAsia" w:ascii="宋体" w:hAnsi="宋体" w:eastAsia="宋体" w:cs="宋体"/>
          <w:sz w:val="20"/>
          <w:szCs w:val="20"/>
        </w:rPr>
      </w:pPr>
      <w:r>
        <w:rPr>
          <w:rFonts w:hint="eastAsia" w:ascii="宋体" w:hAnsi="宋体" w:eastAsia="宋体" w:cs="宋体"/>
          <w:sz w:val="20"/>
          <w:szCs w:val="20"/>
        </w:rPr>
        <w:t>4.  承包人</w:t>
      </w:r>
    </w:p>
    <w:p w14:paraId="6FCAA578">
      <w:pPr>
        <w:spacing w:before="312"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4.1  承包人的一般义务</w:t>
      </w:r>
    </w:p>
    <w:p w14:paraId="6BA41707">
      <w:pPr>
        <w:spacing w:line="240" w:lineRule="auto"/>
        <w:rPr>
          <w:rFonts w:hint="eastAsia" w:ascii="宋体" w:hAnsi="宋体" w:eastAsia="宋体" w:cs="宋体"/>
          <w:sz w:val="20"/>
          <w:szCs w:val="20"/>
        </w:rPr>
      </w:pPr>
    </w:p>
    <w:p w14:paraId="2F9B0017">
      <w:pPr>
        <w:spacing w:before="78" w:line="240" w:lineRule="auto"/>
        <w:ind w:left="502"/>
        <w:outlineLvl w:val="2"/>
        <w:rPr>
          <w:rFonts w:hint="eastAsia" w:ascii="宋体" w:hAnsi="宋体" w:eastAsia="宋体" w:cs="宋体"/>
          <w:sz w:val="20"/>
          <w:szCs w:val="20"/>
        </w:rPr>
      </w:pPr>
      <w:r>
        <w:rPr>
          <w:rFonts w:hint="eastAsia" w:ascii="宋体" w:hAnsi="宋体" w:eastAsia="宋体" w:cs="宋体"/>
          <w:spacing w:val="-1"/>
          <w:sz w:val="20"/>
          <w:szCs w:val="20"/>
        </w:rPr>
        <w:t>4.1.9  工程的维护和照管</w:t>
      </w:r>
    </w:p>
    <w:p w14:paraId="02866E53">
      <w:pPr>
        <w:kinsoku w:val="0"/>
        <w:autoSpaceDE w:val="0"/>
        <w:autoSpaceDN w:val="0"/>
        <w:adjustRightInd w:val="0"/>
        <w:snapToGrid w:val="0"/>
        <w:spacing w:before="96" w:line="240" w:lineRule="auto"/>
        <w:ind w:left="430"/>
        <w:jc w:val="left"/>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10"/>
          <w:kern w:val="0"/>
          <w:sz w:val="20"/>
          <w:szCs w:val="20"/>
          <w:lang w:val="en-US" w:eastAsia="en-US" w:bidi="ar-SA"/>
        </w:rPr>
        <w:t>本项细化为：</w:t>
      </w:r>
    </w:p>
    <w:p w14:paraId="6F1EFB92">
      <w:pPr>
        <w:kinsoku w:val="0"/>
        <w:autoSpaceDE w:val="0"/>
        <w:autoSpaceDN w:val="0"/>
        <w:adjustRightInd w:val="0"/>
        <w:snapToGrid w:val="0"/>
        <w:spacing w:before="78" w:line="240" w:lineRule="auto"/>
        <w:ind w:left="41" w:right="81" w:firstLine="39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（1）交工验收证书颁发前，承包人应负责照管和维护工程</w:t>
      </w:r>
      <w:r>
        <w:rPr>
          <w:rFonts w:hint="eastAsia" w:ascii="宋体" w:hAnsi="宋体" w:eastAsia="宋体" w:cs="宋体"/>
          <w:snapToGrid w:val="0"/>
          <w:color w:val="000000"/>
          <w:spacing w:val="-1"/>
          <w:kern w:val="0"/>
          <w:sz w:val="20"/>
          <w:szCs w:val="20"/>
          <w:lang w:val="en-US" w:eastAsia="en-US" w:bidi="ar-SA"/>
        </w:rPr>
        <w:t>及将用于或安装在本</w:t>
      </w:r>
      <w:r>
        <w:rPr>
          <w:rFonts w:hint="eastAsia" w:ascii="宋体" w:hAnsi="宋体" w:eastAsia="宋体" w:cs="宋体"/>
          <w:snapToGrid w:val="0"/>
          <w:color w:val="000000"/>
          <w:kern w:val="0"/>
          <w:sz w:val="20"/>
          <w:szCs w:val="20"/>
          <w:lang w:val="en-US" w:eastAsia="en-US" w:bidi="ar-SA"/>
        </w:rPr>
        <w:t>工程中的材料、设备。交工验收证书颁发时尚有部分未交工工程的，承包人还应负</w:t>
      </w:r>
      <w:r>
        <w:rPr>
          <w:rFonts w:hint="eastAsia" w:ascii="宋体" w:hAnsi="宋体" w:eastAsia="宋体" w:cs="宋体"/>
          <w:snapToGrid w:val="0"/>
          <w:color w:val="000000"/>
          <w:spacing w:val="-1"/>
          <w:kern w:val="0"/>
          <w:sz w:val="20"/>
          <w:szCs w:val="20"/>
          <w:lang w:val="en-US" w:eastAsia="en-US" w:bidi="ar-SA"/>
        </w:rPr>
        <w:t>责该未交工工程、材料、设备的照管和维护工作，直至交工后移</w:t>
      </w:r>
      <w:r>
        <w:rPr>
          <w:rFonts w:hint="eastAsia" w:ascii="宋体" w:hAnsi="宋体" w:eastAsia="宋体" w:cs="宋体"/>
          <w:snapToGrid w:val="0"/>
          <w:color w:val="000000"/>
          <w:spacing w:val="-2"/>
          <w:kern w:val="0"/>
          <w:sz w:val="20"/>
          <w:szCs w:val="20"/>
          <w:lang w:val="en-US" w:eastAsia="en-US" w:bidi="ar-SA"/>
        </w:rPr>
        <w:t>交给发包人为止。</w:t>
      </w:r>
    </w:p>
    <w:p w14:paraId="48661837">
      <w:pPr>
        <w:kinsoku w:val="0"/>
        <w:autoSpaceDE w:val="0"/>
        <w:autoSpaceDN w:val="0"/>
        <w:adjustRightInd w:val="0"/>
        <w:snapToGrid w:val="0"/>
        <w:spacing w:before="115" w:line="240" w:lineRule="auto"/>
        <w:ind w:left="40" w:right="82" w:firstLine="39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（2）在承包人负责照管与维护期间，如果本工程或材</w:t>
      </w:r>
      <w:r>
        <w:rPr>
          <w:rFonts w:hint="eastAsia" w:ascii="宋体" w:hAnsi="宋体" w:eastAsia="宋体" w:cs="宋体"/>
          <w:snapToGrid w:val="0"/>
          <w:color w:val="000000"/>
          <w:spacing w:val="-1"/>
          <w:kern w:val="0"/>
          <w:sz w:val="20"/>
          <w:szCs w:val="20"/>
          <w:lang w:val="en-US" w:eastAsia="en-US" w:bidi="ar-SA"/>
        </w:rPr>
        <w:t>料、设备等发生损失或损</w:t>
      </w:r>
      <w:r>
        <w:rPr>
          <w:rFonts w:hint="eastAsia" w:ascii="宋体" w:hAnsi="宋体" w:eastAsia="宋体" w:cs="宋体"/>
          <w:snapToGrid w:val="0"/>
          <w:color w:val="000000"/>
          <w:kern w:val="0"/>
          <w:sz w:val="20"/>
          <w:szCs w:val="20"/>
          <w:lang w:val="en-US" w:eastAsia="en-US" w:bidi="ar-SA"/>
        </w:rPr>
        <w:t>害，除不可抗力原因之外，承包人均应自费弥补，并达到合同要求。承包人还应对</w:t>
      </w:r>
      <w:r>
        <w:rPr>
          <w:rFonts w:hint="eastAsia" w:ascii="宋体" w:hAnsi="宋体" w:eastAsia="宋体" w:cs="宋体"/>
          <w:snapToGrid w:val="0"/>
          <w:color w:val="000000"/>
          <w:spacing w:val="-2"/>
          <w:kern w:val="0"/>
          <w:sz w:val="20"/>
          <w:szCs w:val="20"/>
          <w:lang w:val="en-US" w:eastAsia="en-US" w:bidi="ar-SA"/>
        </w:rPr>
        <w:t>按第</w:t>
      </w:r>
      <w:r>
        <w:rPr>
          <w:rFonts w:hint="eastAsia" w:ascii="宋体" w:hAnsi="宋体" w:eastAsia="宋体" w:cs="宋体"/>
          <w:snapToGrid w:val="0"/>
          <w:color w:val="000000"/>
          <w:spacing w:val="-28"/>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19 条规定而实施作业过程中由承包人造成的对工程的任何损失或损害负责。</w:t>
      </w:r>
    </w:p>
    <w:p w14:paraId="2F50BC94">
      <w:pPr>
        <w:spacing w:before="97" w:line="240" w:lineRule="auto"/>
        <w:ind w:left="502"/>
        <w:outlineLvl w:val="2"/>
        <w:rPr>
          <w:rFonts w:hint="eastAsia" w:ascii="宋体" w:hAnsi="宋体" w:eastAsia="宋体" w:cs="宋体"/>
          <w:sz w:val="20"/>
          <w:szCs w:val="20"/>
        </w:rPr>
      </w:pPr>
      <w:r>
        <w:rPr>
          <w:rFonts w:hint="eastAsia" w:ascii="宋体" w:hAnsi="宋体" w:eastAsia="宋体" w:cs="宋体"/>
          <w:spacing w:val="-1"/>
          <w:sz w:val="20"/>
          <w:szCs w:val="20"/>
        </w:rPr>
        <w:t>4.1.10  其他义务</w:t>
      </w:r>
    </w:p>
    <w:p w14:paraId="1BA0FC89">
      <w:pPr>
        <w:kinsoku w:val="0"/>
        <w:autoSpaceDE w:val="0"/>
        <w:autoSpaceDN w:val="0"/>
        <w:adjustRightInd w:val="0"/>
        <w:snapToGrid w:val="0"/>
        <w:spacing w:before="97"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本项细化为：</w:t>
      </w:r>
    </w:p>
    <w:p w14:paraId="1FF521CB">
      <w:pPr>
        <w:kinsoku w:val="0"/>
        <w:autoSpaceDE w:val="0"/>
        <w:autoSpaceDN w:val="0"/>
        <w:adjustRightInd w:val="0"/>
        <w:snapToGrid w:val="0"/>
        <w:spacing w:before="115" w:line="240" w:lineRule="auto"/>
        <w:ind w:left="40" w:right="84" w:firstLine="39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（1） 临时占地由承包人向当地政府土地管理部门申请，并办理租用手续，承包</w:t>
      </w:r>
      <w:r>
        <w:rPr>
          <w:rFonts w:hint="eastAsia" w:ascii="宋体" w:hAnsi="宋体" w:eastAsia="宋体" w:cs="宋体"/>
          <w:snapToGrid w:val="0"/>
          <w:color w:val="000000"/>
          <w:spacing w:val="-2"/>
          <w:kern w:val="0"/>
          <w:sz w:val="20"/>
          <w:szCs w:val="20"/>
          <w:lang w:val="en-US" w:eastAsia="en-US" w:bidi="ar-SA"/>
        </w:rPr>
        <w:t>人按有关规定直接支付其费用，发包人对此将予以协调。</w:t>
      </w:r>
    </w:p>
    <w:p w14:paraId="554A2D3B">
      <w:pPr>
        <w:kinsoku w:val="0"/>
        <w:autoSpaceDE w:val="0"/>
        <w:autoSpaceDN w:val="0"/>
        <w:adjustRightInd w:val="0"/>
        <w:snapToGrid w:val="0"/>
        <w:spacing w:before="12" w:line="240" w:lineRule="auto"/>
        <w:ind w:left="36" w:firstLine="406"/>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临时占地范围包括承包人驻地的办公室、食堂、宿舍、道路和机械设备停放场、</w:t>
      </w:r>
      <w:r>
        <w:rPr>
          <w:rFonts w:hint="eastAsia" w:ascii="宋体" w:hAnsi="宋体" w:eastAsia="宋体" w:cs="宋体"/>
          <w:snapToGrid w:val="0"/>
          <w:color w:val="000000"/>
          <w:kern w:val="0"/>
          <w:sz w:val="20"/>
          <w:szCs w:val="20"/>
          <w:lang w:val="en-US" w:eastAsia="en-US" w:bidi="ar-SA"/>
        </w:rPr>
        <w:t>材料堆放场地、弃土场、预制场、拌和场、仓库、进场临时道路、临时便道、便桥等。承包人应在“临时占地计划表</w:t>
      </w:r>
      <w:r>
        <w:rPr>
          <w:rFonts w:hint="eastAsia" w:ascii="宋体" w:hAnsi="宋体" w:eastAsia="宋体" w:cs="宋体"/>
          <w:snapToGrid w:val="0"/>
          <w:color w:val="000000"/>
          <w:spacing w:val="-85"/>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t>”范围内按实际</w:t>
      </w:r>
      <w:r>
        <w:rPr>
          <w:rFonts w:hint="eastAsia" w:ascii="宋体" w:hAnsi="宋体" w:eastAsia="宋体" w:cs="宋体"/>
          <w:snapToGrid w:val="0"/>
          <w:color w:val="000000"/>
          <w:spacing w:val="-1"/>
          <w:kern w:val="0"/>
          <w:sz w:val="20"/>
          <w:szCs w:val="20"/>
          <w:lang w:val="en-US" w:eastAsia="en-US" w:bidi="ar-SA"/>
        </w:rPr>
        <w:t>需要与先后次序，提出具体计划</w:t>
      </w:r>
      <w:r>
        <w:rPr>
          <w:rFonts w:hint="eastAsia" w:ascii="宋体" w:hAnsi="宋体" w:eastAsia="宋体" w:cs="宋体"/>
          <w:snapToGrid w:val="0"/>
          <w:color w:val="000000"/>
          <w:spacing w:val="1"/>
          <w:kern w:val="0"/>
          <w:sz w:val="20"/>
          <w:szCs w:val="20"/>
          <w:lang w:val="en-US" w:eastAsia="en-US" w:bidi="ar-SA"/>
        </w:rPr>
        <w:t>报监理人同意，并报发包人。临时占地的面积和使用期</w:t>
      </w:r>
      <w:r>
        <w:rPr>
          <w:rFonts w:hint="eastAsia" w:ascii="宋体" w:hAnsi="宋体" w:eastAsia="宋体" w:cs="宋体"/>
          <w:snapToGrid w:val="0"/>
          <w:color w:val="000000"/>
          <w:kern w:val="0"/>
          <w:sz w:val="20"/>
          <w:szCs w:val="20"/>
          <w:lang w:val="en-US" w:eastAsia="en-US" w:bidi="ar-SA"/>
        </w:rPr>
        <w:t>应满足工程需要，费用包括</w:t>
      </w:r>
      <w:r>
        <w:rPr>
          <w:rFonts w:hint="eastAsia" w:ascii="宋体" w:hAnsi="宋体" w:eastAsia="宋体" w:cs="宋体"/>
          <w:snapToGrid w:val="0"/>
          <w:color w:val="000000"/>
          <w:spacing w:val="-3"/>
          <w:kern w:val="0"/>
          <w:sz w:val="20"/>
          <w:szCs w:val="20"/>
          <w:lang w:val="en-US" w:eastAsia="en-US" w:bidi="ar-SA"/>
        </w:rPr>
        <w:t>临时占地数量、时间及因此而发生的协调、</w:t>
      </w:r>
      <w:r>
        <w:rPr>
          <w:rFonts w:hint="eastAsia" w:ascii="宋体" w:hAnsi="宋体" w:eastAsia="宋体" w:cs="宋体"/>
          <w:snapToGrid w:val="0"/>
          <w:color w:val="000000"/>
          <w:spacing w:val="-4"/>
          <w:kern w:val="0"/>
          <w:sz w:val="20"/>
          <w:szCs w:val="20"/>
          <w:lang w:val="en-US" w:eastAsia="en-US" w:bidi="ar-SA"/>
        </w:rPr>
        <w:t>租用、复耕、地面附着物（电力、电信、</w:t>
      </w:r>
      <w:r>
        <w:rPr>
          <w:rFonts w:hint="eastAsia" w:ascii="宋体" w:hAnsi="宋体" w:eastAsia="宋体" w:cs="宋体"/>
          <w:snapToGrid w:val="0"/>
          <w:color w:val="000000"/>
          <w:kern w:val="0"/>
          <w:sz w:val="20"/>
          <w:szCs w:val="20"/>
          <w:lang w:val="en-US" w:eastAsia="en-US" w:bidi="ar-SA"/>
        </w:rPr>
        <w:t>房屋、坟墓除外）的拆迁补偿等相关费用。除项目专用合同条款另有约定外，临时</w:t>
      </w:r>
      <w:r>
        <w:rPr>
          <w:rFonts w:hint="eastAsia" w:ascii="宋体" w:hAnsi="宋体" w:eastAsia="宋体" w:cs="宋体"/>
          <w:snapToGrid w:val="0"/>
          <w:color w:val="000000"/>
          <w:spacing w:val="-1"/>
          <w:kern w:val="0"/>
          <w:sz w:val="20"/>
          <w:szCs w:val="20"/>
          <w:lang w:val="en-US" w:eastAsia="en-US" w:bidi="ar-SA"/>
        </w:rPr>
        <w:t>占地的租地费用实行总额包干，列入工程量清</w:t>
      </w:r>
      <w:r>
        <w:rPr>
          <w:rFonts w:hint="eastAsia" w:ascii="宋体" w:hAnsi="宋体" w:eastAsia="宋体" w:cs="宋体"/>
          <w:snapToGrid w:val="0"/>
          <w:color w:val="000000"/>
          <w:spacing w:val="-2"/>
          <w:kern w:val="0"/>
          <w:sz w:val="20"/>
          <w:szCs w:val="20"/>
          <w:lang w:val="en-US" w:eastAsia="en-US" w:bidi="ar-SA"/>
        </w:rPr>
        <w:t>单第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100</w:t>
      </w:r>
      <w:r>
        <w:rPr>
          <w:rFonts w:hint="eastAsia" w:ascii="宋体" w:hAnsi="宋体" w:eastAsia="宋体" w:cs="宋体"/>
          <w:snapToGrid w:val="0"/>
          <w:color w:val="000000"/>
          <w:spacing w:val="18"/>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章中由承包人按总额报价。</w:t>
      </w:r>
    </w:p>
    <w:p w14:paraId="1162AE07">
      <w:pPr>
        <w:kinsoku w:val="0"/>
        <w:autoSpaceDE w:val="0"/>
        <w:autoSpaceDN w:val="0"/>
        <w:adjustRightInd w:val="0"/>
        <w:snapToGrid w:val="0"/>
        <w:spacing w:before="3" w:line="240" w:lineRule="auto"/>
        <w:ind w:left="37" w:right="83" w:firstLine="405"/>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临时占地退还前，承包人应自费恢复到临时占地使用前的状况。如因承包人撤离</w:t>
      </w:r>
      <w:r>
        <w:rPr>
          <w:rFonts w:hint="eastAsia" w:ascii="宋体" w:hAnsi="宋体" w:eastAsia="宋体" w:cs="宋体"/>
          <w:snapToGrid w:val="0"/>
          <w:color w:val="000000"/>
          <w:spacing w:val="1"/>
          <w:kern w:val="0"/>
          <w:sz w:val="20"/>
          <w:szCs w:val="20"/>
          <w:lang w:val="en-US" w:eastAsia="en-US" w:bidi="ar-SA"/>
        </w:rPr>
        <w:t>后未按要求对临时占地进行恢复或虽进行了恢</w:t>
      </w:r>
      <w:r>
        <w:rPr>
          <w:rFonts w:hint="eastAsia" w:ascii="宋体" w:hAnsi="宋体" w:eastAsia="宋体" w:cs="宋体"/>
          <w:snapToGrid w:val="0"/>
          <w:color w:val="000000"/>
          <w:kern w:val="0"/>
          <w:sz w:val="20"/>
          <w:szCs w:val="20"/>
          <w:lang w:val="en-US" w:eastAsia="en-US" w:bidi="ar-SA"/>
        </w:rPr>
        <w:t>复但未达到使用标准的，将由发包人</w:t>
      </w:r>
      <w:r>
        <w:rPr>
          <w:rFonts w:hint="eastAsia" w:ascii="宋体" w:hAnsi="宋体" w:eastAsia="宋体" w:cs="宋体"/>
          <w:snapToGrid w:val="0"/>
          <w:color w:val="000000"/>
          <w:spacing w:val="-1"/>
          <w:kern w:val="0"/>
          <w:sz w:val="20"/>
          <w:szCs w:val="20"/>
          <w:lang w:val="en-US" w:eastAsia="en-US" w:bidi="ar-SA"/>
        </w:rPr>
        <w:t>委托第三方对其恢复，所发生的费用将从应付给承包</w:t>
      </w:r>
      <w:r>
        <w:rPr>
          <w:rFonts w:hint="eastAsia" w:ascii="宋体" w:hAnsi="宋体" w:eastAsia="宋体" w:cs="宋体"/>
          <w:snapToGrid w:val="0"/>
          <w:color w:val="000000"/>
          <w:spacing w:val="-2"/>
          <w:kern w:val="0"/>
          <w:sz w:val="20"/>
          <w:szCs w:val="20"/>
          <w:lang w:val="en-US" w:eastAsia="en-US" w:bidi="ar-SA"/>
        </w:rPr>
        <w:t>人的任何款项内扣除。</w:t>
      </w:r>
    </w:p>
    <w:p w14:paraId="5093AC2D">
      <w:pPr>
        <w:kinsoku w:val="0"/>
        <w:autoSpaceDE w:val="0"/>
        <w:autoSpaceDN w:val="0"/>
        <w:adjustRightInd w:val="0"/>
        <w:snapToGrid w:val="0"/>
        <w:spacing w:before="2" w:line="240" w:lineRule="auto"/>
        <w:ind w:left="38" w:right="81" w:firstLine="39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（2）除项目专用合同条款另有约定外，承包人应承担并</w:t>
      </w:r>
      <w:r>
        <w:rPr>
          <w:rFonts w:hint="eastAsia" w:ascii="宋体" w:hAnsi="宋体" w:eastAsia="宋体" w:cs="宋体"/>
          <w:snapToGrid w:val="0"/>
          <w:color w:val="000000"/>
          <w:spacing w:val="-1"/>
          <w:kern w:val="0"/>
          <w:sz w:val="20"/>
          <w:szCs w:val="20"/>
          <w:lang w:val="en-US" w:eastAsia="en-US" w:bidi="ar-SA"/>
        </w:rPr>
        <w:t>支付为获得本合同工程</w:t>
      </w:r>
      <w:r>
        <w:rPr>
          <w:rFonts w:hint="eastAsia" w:ascii="宋体" w:hAnsi="宋体" w:eastAsia="宋体" w:cs="宋体"/>
          <w:snapToGrid w:val="0"/>
          <w:color w:val="000000"/>
          <w:spacing w:val="1"/>
          <w:kern w:val="0"/>
          <w:sz w:val="20"/>
          <w:szCs w:val="20"/>
          <w:lang w:val="en-US" w:eastAsia="en-US" w:bidi="ar-SA"/>
        </w:rPr>
        <w:t>所需的石料、砂、砾石、黏土或其他当地材料等</w:t>
      </w:r>
      <w:r>
        <w:rPr>
          <w:rFonts w:hint="eastAsia" w:ascii="宋体" w:hAnsi="宋体" w:eastAsia="宋体" w:cs="宋体"/>
          <w:snapToGrid w:val="0"/>
          <w:color w:val="000000"/>
          <w:kern w:val="0"/>
          <w:sz w:val="20"/>
          <w:szCs w:val="20"/>
          <w:lang w:val="en-US" w:eastAsia="en-US" w:bidi="ar-SA"/>
        </w:rPr>
        <w:t>所发生的料场使用费及其他开支或补偿费。发包人应尽可能协助承包人办理料场租用手续及解决使用过程中的有关问</w:t>
      </w:r>
      <w:r>
        <w:rPr>
          <w:rFonts w:hint="eastAsia" w:ascii="宋体" w:hAnsi="宋体" w:eastAsia="宋体" w:cs="宋体"/>
          <w:snapToGrid w:val="0"/>
          <w:color w:val="000000"/>
          <w:spacing w:val="-12"/>
          <w:kern w:val="0"/>
          <w:sz w:val="20"/>
          <w:szCs w:val="20"/>
          <w:lang w:val="en-US" w:eastAsia="en-US" w:bidi="ar-SA"/>
        </w:rPr>
        <w:t>题。</w:t>
      </w:r>
    </w:p>
    <w:p w14:paraId="5BB71012">
      <w:pPr>
        <w:kinsoku w:val="0"/>
        <w:autoSpaceDE w:val="0"/>
        <w:autoSpaceDN w:val="0"/>
        <w:adjustRightInd w:val="0"/>
        <w:snapToGrid w:val="0"/>
        <w:spacing w:before="111" w:line="240" w:lineRule="auto"/>
        <w:ind w:left="38" w:right="92" w:firstLine="39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（3）承包人应严格遵守国家有关解决拖欠工程款和民工工资的法律、法规，及</w:t>
      </w:r>
      <w:r>
        <w:rPr>
          <w:rFonts w:hint="eastAsia" w:ascii="宋体" w:hAnsi="宋体" w:eastAsia="宋体" w:cs="宋体"/>
          <w:snapToGrid w:val="0"/>
          <w:color w:val="000000"/>
          <w:kern w:val="0"/>
          <w:sz w:val="20"/>
          <w:szCs w:val="20"/>
          <w:lang w:val="en-US" w:eastAsia="en-US" w:bidi="ar-SA"/>
        </w:rPr>
        <w:t>时支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w:t>
      </w:r>
      <w:r>
        <w:rPr>
          <w:rFonts w:hint="eastAsia" w:ascii="宋体" w:hAnsi="宋体" w:eastAsia="宋体" w:cs="宋体"/>
          <w:snapToGrid w:val="0"/>
          <w:color w:val="000000"/>
          <w:spacing w:val="-1"/>
          <w:kern w:val="0"/>
          <w:sz w:val="20"/>
          <w:szCs w:val="20"/>
          <w:lang w:val="en-US" w:eastAsia="en-US" w:bidi="ar-SA"/>
        </w:rPr>
        <w:t>场</w:t>
      </w:r>
      <w:r>
        <w:rPr>
          <w:rFonts w:hint="eastAsia" w:ascii="宋体" w:hAnsi="宋体" w:eastAsia="宋体" w:cs="宋体"/>
          <w:snapToGrid w:val="0"/>
          <w:color w:val="000000"/>
          <w:spacing w:val="-1"/>
          <w:kern w:val="0"/>
          <w:sz w:val="20"/>
          <w:szCs w:val="20"/>
          <w:lang w:val="en-US" w:eastAsia="zh-CN" w:bidi="ar-SA"/>
        </w:rPr>
        <w:t>监督</w:t>
      </w:r>
      <w:r>
        <w:rPr>
          <w:rFonts w:hint="eastAsia" w:ascii="宋体" w:hAnsi="宋体" w:eastAsia="宋体" w:cs="宋体"/>
          <w:snapToGrid w:val="0"/>
          <w:color w:val="000000"/>
          <w:spacing w:val="-1"/>
          <w:kern w:val="0"/>
          <w:sz w:val="20"/>
          <w:szCs w:val="20"/>
          <w:lang w:val="en-US" w:eastAsia="en-US" w:bidi="ar-SA"/>
        </w:rPr>
        <w:t>管理系统。</w:t>
      </w:r>
    </w:p>
    <w:p w14:paraId="3EBD6AE7">
      <w:pPr>
        <w:kinsoku w:val="0"/>
        <w:autoSpaceDE w:val="0"/>
        <w:autoSpaceDN w:val="0"/>
        <w:adjustRightInd w:val="0"/>
        <w:snapToGrid w:val="0"/>
        <w:spacing w:before="115" w:line="240" w:lineRule="auto"/>
        <w:ind w:left="39" w:right="82" w:firstLine="39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承包人的项目经理部是民工工资支付行为的主体，承包人的项目经理是民工工资</w:t>
      </w:r>
      <w:r>
        <w:rPr>
          <w:rFonts w:hint="eastAsia" w:ascii="宋体" w:hAnsi="宋体" w:eastAsia="宋体" w:cs="宋体"/>
          <w:snapToGrid w:val="0"/>
          <w:color w:val="000000"/>
          <w:kern w:val="0"/>
          <w:sz w:val="20"/>
          <w:szCs w:val="20"/>
          <w:lang w:val="en-US" w:eastAsia="en-US" w:bidi="ar-SA"/>
        </w:rPr>
        <w:t>支付的责任人。项目经理部要建立全体民工花名册和工资支付表，确保将工资直接</w:t>
      </w:r>
      <w:r>
        <w:rPr>
          <w:rFonts w:hint="eastAsia" w:ascii="宋体" w:hAnsi="宋体" w:eastAsia="宋体" w:cs="宋体"/>
          <w:snapToGrid w:val="0"/>
          <w:color w:val="000000"/>
          <w:spacing w:val="1"/>
          <w:kern w:val="0"/>
          <w:sz w:val="20"/>
          <w:szCs w:val="20"/>
          <w:lang w:val="en-US" w:eastAsia="en-US" w:bidi="ar-SA"/>
        </w:rPr>
        <w:t>发放给民工本人，或委托银行发放民工工资，严禁发放给“包工头”或其他不具备用</w:t>
      </w:r>
      <w:r>
        <w:rPr>
          <w:rFonts w:hint="eastAsia" w:ascii="宋体" w:hAnsi="宋体" w:eastAsia="宋体" w:cs="宋体"/>
          <w:snapToGrid w:val="0"/>
          <w:color w:val="000000"/>
          <w:spacing w:val="-4"/>
          <w:kern w:val="0"/>
          <w:sz w:val="20"/>
          <w:szCs w:val="20"/>
          <w:lang w:val="en-US" w:eastAsia="en-US" w:bidi="ar-SA"/>
        </w:rPr>
        <w:t>工主体资格的组织和个人。</w:t>
      </w:r>
    </w:p>
    <w:p w14:paraId="777499E4">
      <w:pPr>
        <w:kinsoku w:val="0"/>
        <w:autoSpaceDE w:val="0"/>
        <w:autoSpaceDN w:val="0"/>
        <w:adjustRightInd w:val="0"/>
        <w:snapToGrid w:val="0"/>
        <w:spacing w:before="115" w:line="240" w:lineRule="auto"/>
        <w:ind w:left="39" w:right="82" w:firstLine="390"/>
        <w:jc w:val="both"/>
        <w:textAlignment w:val="baseline"/>
        <w:rPr>
          <w:rFonts w:hint="eastAsia" w:ascii="宋体" w:hAnsi="宋体" w:eastAsia="宋体" w:cs="宋体"/>
          <w:snapToGrid w:val="0"/>
          <w:color w:val="000000"/>
          <w:spacing w:val="-4"/>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工资支付表应如实记录支付单位、支付时间、支付对象、支付数额、支付对象的身份证号和签字等信息。民工花名册和工资支付表应报监理人备查。</w:t>
      </w:r>
    </w:p>
    <w:p w14:paraId="15859E0C">
      <w:pPr>
        <w:kinsoku w:val="0"/>
        <w:autoSpaceDE w:val="0"/>
        <w:autoSpaceDN w:val="0"/>
        <w:adjustRightInd w:val="0"/>
        <w:snapToGrid w:val="0"/>
        <w:spacing w:before="112" w:line="240" w:lineRule="auto"/>
        <w:ind w:left="38" w:right="1" w:firstLine="39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（4）承包人应分解工程价款中的人工费用，在工程项</w:t>
      </w:r>
      <w:r>
        <w:rPr>
          <w:rFonts w:hint="eastAsia" w:ascii="宋体" w:hAnsi="宋体" w:eastAsia="宋体" w:cs="宋体"/>
          <w:snapToGrid w:val="0"/>
          <w:color w:val="000000"/>
          <w:spacing w:val="-1"/>
          <w:kern w:val="0"/>
          <w:sz w:val="20"/>
          <w:szCs w:val="20"/>
          <w:lang w:val="en-US" w:eastAsia="en-US" w:bidi="ar-SA"/>
        </w:rPr>
        <w:t>目所在地银行开设民工工</w:t>
      </w:r>
      <w:r>
        <w:rPr>
          <w:rFonts w:hint="eastAsia" w:ascii="宋体" w:hAnsi="宋体" w:eastAsia="宋体" w:cs="宋体"/>
          <w:snapToGrid w:val="0"/>
          <w:color w:val="000000"/>
          <w:spacing w:val="1"/>
          <w:kern w:val="0"/>
          <w:sz w:val="20"/>
          <w:szCs w:val="20"/>
          <w:lang w:val="en-US" w:eastAsia="en-US" w:bidi="ar-SA"/>
        </w:rPr>
        <w:t>资（劳务费）专用账户，专项用于支付民工工资</w:t>
      </w:r>
      <w:r>
        <w:rPr>
          <w:rFonts w:hint="eastAsia" w:ascii="宋体" w:hAnsi="宋体" w:eastAsia="宋体" w:cs="宋体"/>
          <w:snapToGrid w:val="0"/>
          <w:color w:val="000000"/>
          <w:kern w:val="0"/>
          <w:sz w:val="20"/>
          <w:szCs w:val="20"/>
          <w:lang w:val="en-US" w:eastAsia="en-US" w:bidi="ar-SA"/>
        </w:rPr>
        <w:t>。发包人应按照本合同约定的比例</w:t>
      </w:r>
      <w:r>
        <w:rPr>
          <w:rFonts w:hint="eastAsia" w:ascii="宋体" w:hAnsi="宋体" w:eastAsia="宋体" w:cs="宋体"/>
          <w:snapToGrid w:val="0"/>
          <w:color w:val="000000"/>
          <w:spacing w:val="1"/>
          <w:kern w:val="0"/>
          <w:sz w:val="20"/>
          <w:szCs w:val="20"/>
          <w:lang w:val="en-US" w:eastAsia="en-US" w:bidi="ar-SA"/>
        </w:rPr>
        <w:t>或承包人提供的人工费用数额，将应付工程款中的</w:t>
      </w:r>
      <w:r>
        <w:rPr>
          <w:rFonts w:hint="eastAsia" w:ascii="宋体" w:hAnsi="宋体" w:eastAsia="宋体" w:cs="宋体"/>
          <w:snapToGrid w:val="0"/>
          <w:color w:val="000000"/>
          <w:kern w:val="0"/>
          <w:sz w:val="20"/>
          <w:szCs w:val="20"/>
          <w:lang w:val="en-US" w:eastAsia="en-US" w:bidi="ar-SA"/>
        </w:rPr>
        <w:t>人工费单独拨付到承包人开设的民工工资（劳务费）专用账户。民工工资（劳务费）专用账户应向人力资源社会保障部门和交通运输主管部门备案，并委托开</w:t>
      </w:r>
      <w:r>
        <w:rPr>
          <w:rFonts w:hint="eastAsia" w:ascii="宋体" w:hAnsi="宋体" w:eastAsia="宋体" w:cs="宋体"/>
          <w:snapToGrid w:val="0"/>
          <w:color w:val="000000"/>
          <w:spacing w:val="-1"/>
          <w:kern w:val="0"/>
          <w:sz w:val="20"/>
          <w:szCs w:val="20"/>
          <w:lang w:val="en-US" w:eastAsia="en-US" w:bidi="ar-SA"/>
        </w:rPr>
        <w:t>户银行负责日常监管，确保专款专用。</w:t>
      </w:r>
      <w:r>
        <w:rPr>
          <w:rFonts w:hint="eastAsia" w:ascii="宋体" w:hAnsi="宋体" w:eastAsia="宋体" w:cs="宋体"/>
          <w:snapToGrid w:val="0"/>
          <w:color w:val="000000"/>
          <w:kern w:val="0"/>
          <w:sz w:val="20"/>
          <w:szCs w:val="20"/>
          <w:lang w:val="en-US" w:eastAsia="en-US" w:bidi="ar-SA"/>
        </w:rPr>
        <w:t>开户银行发现账户资金不足、被挪用等情况，应及时向人力资源社会保障部门和交</w:t>
      </w:r>
      <w:r>
        <w:rPr>
          <w:rFonts w:hint="eastAsia" w:ascii="宋体" w:hAnsi="宋体" w:eastAsia="宋体" w:cs="宋体"/>
          <w:snapToGrid w:val="0"/>
          <w:color w:val="000000"/>
          <w:spacing w:val="-4"/>
          <w:kern w:val="0"/>
          <w:sz w:val="20"/>
          <w:szCs w:val="20"/>
          <w:lang w:val="en-US" w:eastAsia="en-US" w:bidi="ar-SA"/>
        </w:rPr>
        <w:t>通运输主管部门报告。</w:t>
      </w:r>
    </w:p>
    <w:p w14:paraId="10BED80D">
      <w:pPr>
        <w:kinsoku w:val="0"/>
        <w:autoSpaceDE w:val="0"/>
        <w:autoSpaceDN w:val="0"/>
        <w:adjustRightInd w:val="0"/>
        <w:snapToGrid w:val="0"/>
        <w:spacing w:before="119" w:line="240" w:lineRule="auto"/>
        <w:ind w:left="38" w:right="1" w:firstLine="39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（5）承包人应严格执行招标文件技术规范对施工标准</w:t>
      </w:r>
      <w:r>
        <w:rPr>
          <w:rFonts w:hint="eastAsia" w:ascii="宋体" w:hAnsi="宋体" w:eastAsia="宋体" w:cs="宋体"/>
          <w:snapToGrid w:val="0"/>
          <w:color w:val="000000"/>
          <w:spacing w:val="-1"/>
          <w:kern w:val="0"/>
          <w:sz w:val="20"/>
          <w:szCs w:val="20"/>
          <w:lang w:val="en-US" w:eastAsia="en-US" w:bidi="ar-SA"/>
        </w:rPr>
        <w:t>化提出的具体要求，结合</w:t>
      </w:r>
      <w:r>
        <w:rPr>
          <w:rFonts w:hint="eastAsia" w:ascii="宋体" w:hAnsi="宋体" w:eastAsia="宋体" w:cs="宋体"/>
          <w:snapToGrid w:val="0"/>
          <w:color w:val="000000"/>
          <w:kern w:val="0"/>
          <w:sz w:val="20"/>
          <w:szCs w:val="20"/>
          <w:lang w:val="en-US" w:eastAsia="en-US" w:bidi="ar-SA"/>
        </w:rPr>
        <w:t>本单位施工能力和技术优势，积极采取有利于标准化施工的组织方式和工艺流程，加强工地建设、工艺控制、人员管理和内业资料管理，强化对施工一线操作人员的</w:t>
      </w:r>
      <w:r>
        <w:rPr>
          <w:rFonts w:hint="eastAsia" w:ascii="宋体" w:hAnsi="宋体" w:eastAsia="宋体" w:cs="宋体"/>
          <w:snapToGrid w:val="0"/>
          <w:color w:val="000000"/>
          <w:spacing w:val="-2"/>
          <w:kern w:val="0"/>
          <w:sz w:val="20"/>
          <w:szCs w:val="20"/>
          <w:lang w:val="en-US" w:eastAsia="en-US" w:bidi="ar-SA"/>
        </w:rPr>
        <w:t>培训，改善职工生产生活条件，与此相关的费用承包人应列入工程量清单第 100</w:t>
      </w:r>
      <w:r>
        <w:rPr>
          <w:rFonts w:hint="eastAsia" w:ascii="宋体" w:hAnsi="宋体" w:eastAsia="宋体" w:cs="宋体"/>
          <w:snapToGrid w:val="0"/>
          <w:color w:val="000000"/>
          <w:spacing w:val="40"/>
          <w:w w:val="101"/>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章</w:t>
      </w:r>
      <w:r>
        <w:rPr>
          <w:rFonts w:hint="eastAsia" w:ascii="宋体" w:hAnsi="宋体" w:eastAsia="宋体" w:cs="宋体"/>
          <w:snapToGrid w:val="0"/>
          <w:color w:val="000000"/>
          <w:spacing w:val="-5"/>
          <w:kern w:val="0"/>
          <w:sz w:val="20"/>
          <w:szCs w:val="20"/>
          <w:lang w:val="en-US" w:eastAsia="en-US" w:bidi="ar-SA"/>
        </w:rPr>
        <w:t>中。</w:t>
      </w:r>
    </w:p>
    <w:p w14:paraId="44F2B2C5">
      <w:pPr>
        <w:kinsoku w:val="0"/>
        <w:autoSpaceDE w:val="0"/>
        <w:autoSpaceDN w:val="0"/>
        <w:adjustRightInd w:val="0"/>
        <w:snapToGrid w:val="0"/>
        <w:spacing w:before="112" w:line="240" w:lineRule="auto"/>
        <w:ind w:left="43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（6）承包人应履行项目专用合同条款约定的其他义务。</w:t>
      </w:r>
    </w:p>
    <w:p w14:paraId="1B7B644B">
      <w:pPr>
        <w:spacing w:before="318"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4.2  履约保证金</w:t>
      </w:r>
    </w:p>
    <w:p w14:paraId="34313591">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本款细化为：</w:t>
      </w:r>
    </w:p>
    <w:p w14:paraId="793A1FEA">
      <w:pPr>
        <w:kinsoku w:val="0"/>
        <w:autoSpaceDE w:val="0"/>
        <w:autoSpaceDN w:val="0"/>
        <w:adjustRightInd w:val="0"/>
        <w:snapToGrid w:val="0"/>
        <w:spacing w:before="117" w:line="240" w:lineRule="auto"/>
        <w:ind w:left="36" w:right="1" w:firstLine="48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承包人应保证其履约保证金在发包人签发交工</w:t>
      </w:r>
      <w:r>
        <w:rPr>
          <w:rFonts w:hint="eastAsia" w:ascii="宋体" w:hAnsi="宋体" w:eastAsia="宋体" w:cs="宋体"/>
          <w:snapToGrid w:val="0"/>
          <w:color w:val="000000"/>
          <w:kern w:val="0"/>
          <w:sz w:val="20"/>
          <w:szCs w:val="20"/>
          <w:lang w:val="en-US" w:eastAsia="en-US" w:bidi="ar-SA"/>
        </w:rPr>
        <w:t>验收证书且承包人按照合同约定</w:t>
      </w:r>
      <w:r>
        <w:rPr>
          <w:rFonts w:hint="eastAsia" w:ascii="宋体" w:hAnsi="宋体" w:eastAsia="宋体" w:cs="宋体"/>
          <w:snapToGrid w:val="0"/>
          <w:color w:val="000000"/>
          <w:spacing w:val="-1"/>
          <w:kern w:val="0"/>
          <w:sz w:val="20"/>
          <w:szCs w:val="20"/>
          <w:lang w:val="en-US" w:eastAsia="en-US" w:bidi="ar-SA"/>
        </w:rPr>
        <w:t>缴纳质量保证金前一直有效。发包人应在收到承包人缴纳的质量保证金后28 天内将</w:t>
      </w:r>
      <w:r>
        <w:rPr>
          <w:rFonts w:hint="eastAsia" w:ascii="宋体" w:hAnsi="宋体" w:eastAsia="宋体" w:cs="宋体"/>
          <w:snapToGrid w:val="0"/>
          <w:color w:val="000000"/>
          <w:spacing w:val="-4"/>
          <w:kern w:val="0"/>
          <w:sz w:val="20"/>
          <w:szCs w:val="20"/>
          <w:lang w:val="en-US" w:eastAsia="en-US" w:bidi="ar-SA"/>
        </w:rPr>
        <w:t>履约保证金退还给承包人。</w:t>
      </w:r>
    </w:p>
    <w:p w14:paraId="09F092CE">
      <w:pPr>
        <w:kinsoku w:val="0"/>
        <w:autoSpaceDE w:val="0"/>
        <w:autoSpaceDN w:val="0"/>
        <w:adjustRightInd w:val="0"/>
        <w:snapToGrid w:val="0"/>
        <w:spacing w:before="9" w:line="240" w:lineRule="auto"/>
        <w:ind w:left="41" w:right="6" w:firstLine="476"/>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承包人拒绝按照本合同约定缴纳质量保证金的，发</w:t>
      </w:r>
      <w:r>
        <w:rPr>
          <w:rFonts w:hint="eastAsia" w:ascii="宋体" w:hAnsi="宋体" w:eastAsia="宋体" w:cs="宋体"/>
          <w:snapToGrid w:val="0"/>
          <w:color w:val="000000"/>
          <w:kern w:val="0"/>
          <w:sz w:val="20"/>
          <w:szCs w:val="20"/>
          <w:lang w:val="en-US" w:eastAsia="en-US" w:bidi="ar-SA"/>
        </w:rPr>
        <w:t>包人有权从交工付款证书中扣留相应金额作为质量保证金，或者直接将履约保证金金额用于保证承包人在缺陷</w:t>
      </w:r>
      <w:r>
        <w:rPr>
          <w:rFonts w:hint="eastAsia" w:ascii="宋体" w:hAnsi="宋体" w:eastAsia="宋体" w:cs="宋体"/>
          <w:snapToGrid w:val="0"/>
          <w:color w:val="000000"/>
          <w:spacing w:val="-2"/>
          <w:kern w:val="0"/>
          <w:sz w:val="20"/>
          <w:szCs w:val="20"/>
          <w:lang w:val="en-US" w:eastAsia="en-US" w:bidi="ar-SA"/>
        </w:rPr>
        <w:t>责任期内履行缺陷修复义务。</w:t>
      </w:r>
    </w:p>
    <w:p w14:paraId="3D00410F">
      <w:pPr>
        <w:spacing w:before="218" w:line="240" w:lineRule="auto"/>
        <w:ind w:left="32"/>
        <w:outlineLvl w:val="1"/>
        <w:rPr>
          <w:rFonts w:hint="eastAsia" w:ascii="宋体" w:hAnsi="宋体" w:eastAsia="宋体" w:cs="宋体"/>
          <w:sz w:val="20"/>
          <w:szCs w:val="20"/>
        </w:rPr>
      </w:pPr>
      <w:r>
        <w:rPr>
          <w:rFonts w:hint="eastAsia" w:ascii="宋体" w:hAnsi="宋体" w:eastAsia="宋体" w:cs="宋体"/>
          <w:spacing w:val="-3"/>
          <w:sz w:val="20"/>
          <w:szCs w:val="20"/>
        </w:rPr>
        <w:t>4.3</w:t>
      </w:r>
      <w:r>
        <w:rPr>
          <w:rFonts w:hint="eastAsia" w:ascii="宋体" w:hAnsi="宋体" w:eastAsia="宋体" w:cs="宋体"/>
          <w:spacing w:val="8"/>
          <w:sz w:val="20"/>
          <w:szCs w:val="20"/>
        </w:rPr>
        <w:t xml:space="preserve">  </w:t>
      </w:r>
      <w:r>
        <w:rPr>
          <w:rFonts w:hint="eastAsia" w:ascii="宋体" w:hAnsi="宋体" w:eastAsia="宋体" w:cs="宋体"/>
          <w:spacing w:val="-3"/>
          <w:sz w:val="20"/>
          <w:szCs w:val="20"/>
        </w:rPr>
        <w:t>分包</w:t>
      </w:r>
    </w:p>
    <w:p w14:paraId="49F05D91">
      <w:pPr>
        <w:kinsoku w:val="0"/>
        <w:autoSpaceDE w:val="0"/>
        <w:autoSpaceDN w:val="0"/>
        <w:adjustRightInd w:val="0"/>
        <w:snapToGrid w:val="0"/>
        <w:spacing w:before="79"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第</w:t>
      </w:r>
      <w:r>
        <w:rPr>
          <w:rFonts w:hint="eastAsia" w:ascii="宋体" w:hAnsi="宋体" w:eastAsia="宋体" w:cs="宋体"/>
          <w:snapToGrid w:val="0"/>
          <w:color w:val="000000"/>
          <w:spacing w:val="-49"/>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4.3.2 项～第</w:t>
      </w:r>
      <w:r>
        <w:rPr>
          <w:rFonts w:hint="eastAsia" w:ascii="宋体" w:hAnsi="宋体" w:eastAsia="宋体" w:cs="宋体"/>
          <w:snapToGrid w:val="0"/>
          <w:color w:val="000000"/>
          <w:spacing w:val="-56"/>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4.3.4</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项细化为：</w:t>
      </w:r>
    </w:p>
    <w:p w14:paraId="1D4062C6">
      <w:pPr>
        <w:kinsoku w:val="0"/>
        <w:autoSpaceDE w:val="0"/>
        <w:autoSpaceDN w:val="0"/>
        <w:adjustRightInd w:val="0"/>
        <w:snapToGrid w:val="0"/>
        <w:spacing w:before="97" w:line="240" w:lineRule="auto"/>
        <w:ind w:left="41" w:right="2" w:firstLine="47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4.3.2  承包人不得将工程关键性工作分包给第三人</w:t>
      </w:r>
      <w:r>
        <w:rPr>
          <w:rFonts w:hint="eastAsia" w:ascii="宋体" w:hAnsi="宋体" w:eastAsia="宋体" w:cs="宋体"/>
          <w:snapToGrid w:val="0"/>
          <w:color w:val="000000"/>
          <w:spacing w:val="-5"/>
          <w:kern w:val="0"/>
          <w:sz w:val="20"/>
          <w:szCs w:val="20"/>
          <w:lang w:val="en-US" w:eastAsia="en-US" w:bidi="ar-SA"/>
        </w:rPr>
        <w:t>。经发包人同意，</w:t>
      </w:r>
      <w:r>
        <w:rPr>
          <w:rFonts w:hint="eastAsia" w:ascii="宋体" w:hAnsi="宋体" w:eastAsia="宋体" w:cs="宋体"/>
          <w:snapToGrid w:val="0"/>
          <w:color w:val="000000"/>
          <w:spacing w:val="-40"/>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承包人可将</w:t>
      </w:r>
      <w:r>
        <w:rPr>
          <w:rFonts w:hint="eastAsia" w:ascii="宋体" w:hAnsi="宋体" w:eastAsia="宋体" w:cs="宋体"/>
          <w:snapToGrid w:val="0"/>
          <w:color w:val="000000"/>
          <w:spacing w:val="-2"/>
          <w:kern w:val="0"/>
          <w:sz w:val="20"/>
          <w:szCs w:val="20"/>
          <w:lang w:val="en-US" w:eastAsia="en-US" w:bidi="ar-SA"/>
        </w:rPr>
        <w:t>工程的其他部分或工作分包给第三人。分包包括专业分包和劳务分包。</w:t>
      </w:r>
    </w:p>
    <w:p w14:paraId="02BB3966">
      <w:pPr>
        <w:kinsoku w:val="0"/>
        <w:autoSpaceDE w:val="0"/>
        <w:autoSpaceDN w:val="0"/>
        <w:adjustRightInd w:val="0"/>
        <w:snapToGrid w:val="0"/>
        <w:spacing w:before="113" w:line="240" w:lineRule="auto"/>
        <w:ind w:left="51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4.3.3  专业分包</w:t>
      </w:r>
    </w:p>
    <w:p w14:paraId="7BA36AFA">
      <w:pPr>
        <w:kinsoku w:val="0"/>
        <w:autoSpaceDE w:val="0"/>
        <w:autoSpaceDN w:val="0"/>
        <w:adjustRightInd w:val="0"/>
        <w:snapToGrid w:val="0"/>
        <w:spacing w:before="96" w:line="240" w:lineRule="auto"/>
        <w:ind w:left="51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在工程施工过程中，承包人进行专业分包必须遵守以下规定：</w:t>
      </w:r>
    </w:p>
    <w:p w14:paraId="1C83AFF7">
      <w:pPr>
        <w:kinsoku w:val="0"/>
        <w:autoSpaceDE w:val="0"/>
        <w:autoSpaceDN w:val="0"/>
        <w:adjustRightInd w:val="0"/>
        <w:snapToGrid w:val="0"/>
        <w:spacing w:before="113" w:line="240" w:lineRule="auto"/>
        <w:ind w:left="38" w:right="2" w:firstLine="486"/>
        <w:jc w:val="both"/>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3"/>
          <w:kern w:val="0"/>
          <w:sz w:val="20"/>
          <w:szCs w:val="20"/>
          <w:lang w:val="en-US" w:eastAsia="en-US" w:bidi="ar-SA"/>
        </w:rPr>
        <w:t>（1）允许专业分包的工程范围仅限于非关键性工程或者适合专业化队伍施工的</w:t>
      </w:r>
      <w:r>
        <w:rPr>
          <w:rFonts w:hint="eastAsia" w:ascii="宋体" w:hAnsi="宋体" w:eastAsia="宋体" w:cs="宋体"/>
          <w:snapToGrid w:val="0"/>
          <w:color w:val="000000"/>
          <w:kern w:val="0"/>
          <w:sz w:val="20"/>
          <w:szCs w:val="20"/>
          <w:lang w:val="en-US" w:eastAsia="en-US" w:bidi="ar-SA"/>
        </w:rPr>
        <w:t>专项工程。未列入投标文件的专项工程，承包人不得分包。但因工程变更增加了有特殊性技术要求、特殊工艺或者涉及专利保护等的专项工程，且按规定无须再进行</w:t>
      </w:r>
      <w:r>
        <w:rPr>
          <w:rFonts w:hint="eastAsia" w:ascii="宋体" w:hAnsi="宋体" w:eastAsia="宋体" w:cs="宋体"/>
          <w:snapToGrid w:val="0"/>
          <w:color w:val="000000"/>
          <w:spacing w:val="-2"/>
          <w:kern w:val="0"/>
          <w:sz w:val="20"/>
          <w:szCs w:val="20"/>
          <w:lang w:val="en-US" w:eastAsia="en-US" w:bidi="ar-SA"/>
        </w:rPr>
        <w:t>招标的，由承包人提出书面申请，经发包人书面同意，可以分包。</w:t>
      </w:r>
    </w:p>
    <w:p w14:paraId="504C31B2">
      <w:pPr>
        <w:kinsoku w:val="0"/>
        <w:autoSpaceDE w:val="0"/>
        <w:autoSpaceDN w:val="0"/>
        <w:adjustRightInd w:val="0"/>
        <w:snapToGrid w:val="0"/>
        <w:spacing w:before="78" w:line="240" w:lineRule="auto"/>
        <w:ind w:left="38" w:right="88"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（2）专业分包人的资格能力（含安全生产能力）应与其分包工程的标准和规模</w:t>
      </w:r>
      <w:r>
        <w:rPr>
          <w:rFonts w:hint="eastAsia" w:ascii="宋体" w:hAnsi="宋体" w:eastAsia="宋体" w:cs="宋体"/>
          <w:snapToGrid w:val="0"/>
          <w:color w:val="000000"/>
          <w:spacing w:val="-5"/>
          <w:kern w:val="0"/>
          <w:sz w:val="20"/>
          <w:szCs w:val="20"/>
          <w:lang w:val="en-US" w:eastAsia="en-US" w:bidi="ar-SA"/>
        </w:rPr>
        <w:t>相适应，且应当具备如下条件：</w:t>
      </w:r>
    </w:p>
    <w:p w14:paraId="31DFB856">
      <w:pPr>
        <w:kinsoku w:val="0"/>
        <w:autoSpaceDE w:val="0"/>
        <w:autoSpaceDN w:val="0"/>
        <w:adjustRightInd w:val="0"/>
        <w:snapToGrid w:val="0"/>
        <w:spacing w:before="19" w:line="240" w:lineRule="auto"/>
        <w:ind w:left="51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a.  具有经工商登记的法人资格；</w:t>
      </w:r>
    </w:p>
    <w:p w14:paraId="26C80FDA">
      <w:pPr>
        <w:kinsoku w:val="0"/>
        <w:autoSpaceDE w:val="0"/>
        <w:autoSpaceDN w:val="0"/>
        <w:adjustRightInd w:val="0"/>
        <w:snapToGrid w:val="0"/>
        <w:spacing w:before="97" w:line="240" w:lineRule="auto"/>
        <w:ind w:left="50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b.  具有从事类似工程经验的管理与技术人员；</w:t>
      </w:r>
    </w:p>
    <w:p w14:paraId="1E9D78D6">
      <w:pPr>
        <w:kinsoku w:val="0"/>
        <w:autoSpaceDE w:val="0"/>
        <w:autoSpaceDN w:val="0"/>
        <w:adjustRightInd w:val="0"/>
        <w:snapToGrid w:val="0"/>
        <w:spacing w:before="95" w:line="240" w:lineRule="auto"/>
        <w:ind w:left="51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c.  具有（自有或租赁）分包工程所需的施工设备。</w:t>
      </w:r>
    </w:p>
    <w:p w14:paraId="6CBB133A">
      <w:pPr>
        <w:kinsoku w:val="0"/>
        <w:autoSpaceDE w:val="0"/>
        <w:autoSpaceDN w:val="0"/>
        <w:adjustRightInd w:val="0"/>
        <w:snapToGrid w:val="0"/>
        <w:spacing w:before="95" w:line="240" w:lineRule="auto"/>
        <w:ind w:left="38" w:right="94" w:firstLine="47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承包人应向监理人提交专业分包人的资格能力证明材料，经监理人审查并报发</w:t>
      </w:r>
      <w:r>
        <w:rPr>
          <w:rFonts w:hint="eastAsia" w:ascii="宋体" w:hAnsi="宋体" w:eastAsia="宋体" w:cs="宋体"/>
          <w:snapToGrid w:val="0"/>
          <w:color w:val="000000"/>
          <w:spacing w:val="-2"/>
          <w:kern w:val="0"/>
          <w:sz w:val="20"/>
          <w:szCs w:val="20"/>
          <w:lang w:val="en-US" w:eastAsia="en-US" w:bidi="ar-SA"/>
        </w:rPr>
        <w:t>包人批准后，可以将相应专业工程分包给该专业分包人。</w:t>
      </w:r>
    </w:p>
    <w:p w14:paraId="15C50558">
      <w:pPr>
        <w:kinsoku w:val="0"/>
        <w:autoSpaceDE w:val="0"/>
        <w:autoSpaceDN w:val="0"/>
        <w:adjustRightInd w:val="0"/>
        <w:snapToGrid w:val="0"/>
        <w:spacing w:before="1"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（3）专业分包工程不得再次分包。</w:t>
      </w:r>
    </w:p>
    <w:p w14:paraId="1FC0486D">
      <w:pPr>
        <w:kinsoku w:val="0"/>
        <w:autoSpaceDE w:val="0"/>
        <w:autoSpaceDN w:val="0"/>
        <w:adjustRightInd w:val="0"/>
        <w:snapToGrid w:val="0"/>
        <w:spacing w:before="97" w:line="240" w:lineRule="auto"/>
        <w:ind w:left="38" w:right="86"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（4）承包人和专业分包人应当按照交通运输主管部门制定的统一格式依法签订</w:t>
      </w:r>
      <w:r>
        <w:rPr>
          <w:rFonts w:hint="eastAsia" w:ascii="宋体" w:hAnsi="宋体" w:eastAsia="宋体" w:cs="宋体"/>
          <w:snapToGrid w:val="0"/>
          <w:color w:val="000000"/>
          <w:kern w:val="0"/>
          <w:sz w:val="20"/>
          <w:szCs w:val="20"/>
          <w:lang w:val="en-US" w:eastAsia="en-US" w:bidi="ar-SA"/>
        </w:rPr>
        <w:t>专业分包合同，并履行合同约定的义务。专业分包合同必须遵循承包合同的各项原则，满足承包合同中的质量、安全、进度、环保以及其他技术、经济等要求。专业分包合同必须明确约定工程款支付条款、结算方式以及保证按期支付的相应措施，确保工程款的支付。承包人应在工程实施前，将经监理人审查同意后的分包合同报</w:t>
      </w:r>
      <w:r>
        <w:rPr>
          <w:rFonts w:hint="eastAsia" w:ascii="宋体" w:hAnsi="宋体" w:eastAsia="宋体" w:cs="宋体"/>
          <w:snapToGrid w:val="0"/>
          <w:color w:val="000000"/>
          <w:spacing w:val="-7"/>
          <w:kern w:val="0"/>
          <w:sz w:val="20"/>
          <w:szCs w:val="20"/>
          <w:lang w:val="en-US" w:eastAsia="en-US" w:bidi="ar-SA"/>
        </w:rPr>
        <w:t>发包人备案。</w:t>
      </w:r>
    </w:p>
    <w:p w14:paraId="09DD2CE9">
      <w:pPr>
        <w:kinsoku w:val="0"/>
        <w:autoSpaceDE w:val="0"/>
        <w:autoSpaceDN w:val="0"/>
        <w:adjustRightInd w:val="0"/>
        <w:snapToGrid w:val="0"/>
        <w:spacing w:before="113" w:line="240" w:lineRule="auto"/>
        <w:ind w:left="37" w:right="37"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（5）专业分包人应当设立项目管理机构，对所分包工程的施工活动实施管理。</w:t>
      </w:r>
      <w:r>
        <w:rPr>
          <w:rFonts w:hint="eastAsia" w:ascii="宋体" w:hAnsi="宋体" w:eastAsia="宋体" w:cs="宋体"/>
          <w:snapToGrid w:val="0"/>
          <w:color w:val="000000"/>
          <w:kern w:val="0"/>
          <w:sz w:val="20"/>
          <w:szCs w:val="20"/>
          <w:lang w:val="en-US" w:eastAsia="en-US" w:bidi="ar-SA"/>
        </w:rPr>
        <w:t>项目管理机构应当具有与分包工程的规模、技术复杂程度相适应的技术、经济管理人员，其中项目负责人和技术、财务、计量、质量、安全等主要管理人员必须是专</w:t>
      </w:r>
      <w:r>
        <w:rPr>
          <w:rFonts w:hint="eastAsia" w:ascii="宋体" w:hAnsi="宋体" w:eastAsia="宋体" w:cs="宋体"/>
          <w:snapToGrid w:val="0"/>
          <w:color w:val="000000"/>
          <w:spacing w:val="-4"/>
          <w:kern w:val="0"/>
          <w:sz w:val="20"/>
          <w:szCs w:val="20"/>
          <w:lang w:val="en-US" w:eastAsia="en-US" w:bidi="ar-SA"/>
        </w:rPr>
        <w:t>业分包人本单位人员。</w:t>
      </w:r>
    </w:p>
    <w:p w14:paraId="4CAAE739">
      <w:pPr>
        <w:kinsoku w:val="0"/>
        <w:autoSpaceDE w:val="0"/>
        <w:autoSpaceDN w:val="0"/>
        <w:adjustRightInd w:val="0"/>
        <w:snapToGrid w:val="0"/>
        <w:spacing w:before="114" w:line="240" w:lineRule="auto"/>
        <w:ind w:left="38" w:right="36"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（6）承包人应当建立健全相关分包管理制</w:t>
      </w:r>
      <w:r>
        <w:rPr>
          <w:rFonts w:hint="eastAsia" w:ascii="宋体" w:hAnsi="宋体" w:eastAsia="宋体" w:cs="宋体"/>
          <w:snapToGrid w:val="0"/>
          <w:color w:val="000000"/>
          <w:spacing w:val="-2"/>
          <w:kern w:val="0"/>
          <w:sz w:val="20"/>
          <w:szCs w:val="20"/>
          <w:lang w:val="en-US" w:eastAsia="en-US" w:bidi="ar-SA"/>
        </w:rPr>
        <w:t>度和台账，对专业分包工程的质量、</w:t>
      </w:r>
      <w:r>
        <w:rPr>
          <w:rFonts w:hint="eastAsia" w:ascii="宋体" w:hAnsi="宋体" w:eastAsia="宋体" w:cs="宋体"/>
          <w:snapToGrid w:val="0"/>
          <w:color w:val="000000"/>
          <w:kern w:val="0"/>
          <w:sz w:val="20"/>
          <w:szCs w:val="20"/>
          <w:lang w:val="en-US" w:eastAsia="en-US" w:bidi="ar-SA"/>
        </w:rPr>
        <w:t>安全、进度和专业分包人的行为等实施全过程管理，按照合同约定对专业分包工程的实施向发包人负责，并承担赔偿责任。专业分包合同不免除承包合同中规定的承</w:t>
      </w:r>
      <w:r>
        <w:rPr>
          <w:rFonts w:hint="eastAsia" w:ascii="宋体" w:hAnsi="宋体" w:eastAsia="宋体" w:cs="宋体"/>
          <w:snapToGrid w:val="0"/>
          <w:color w:val="000000"/>
          <w:spacing w:val="-4"/>
          <w:kern w:val="0"/>
          <w:sz w:val="20"/>
          <w:szCs w:val="20"/>
          <w:lang w:val="en-US" w:eastAsia="en-US" w:bidi="ar-SA"/>
        </w:rPr>
        <w:t>包人的责任或者义务。</w:t>
      </w:r>
    </w:p>
    <w:p w14:paraId="5707588E">
      <w:pPr>
        <w:kinsoku w:val="0"/>
        <w:autoSpaceDE w:val="0"/>
        <w:autoSpaceDN w:val="0"/>
        <w:adjustRightInd w:val="0"/>
        <w:snapToGrid w:val="0"/>
        <w:spacing w:before="113" w:line="240" w:lineRule="auto"/>
        <w:ind w:left="38" w:right="89"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（7）专业分包人应当依据专业分包合同的约定，组织分包工程的施工，并对分</w:t>
      </w:r>
      <w:r>
        <w:rPr>
          <w:rFonts w:hint="eastAsia" w:ascii="宋体" w:hAnsi="宋体" w:eastAsia="宋体" w:cs="宋体"/>
          <w:snapToGrid w:val="0"/>
          <w:color w:val="000000"/>
          <w:kern w:val="0"/>
          <w:sz w:val="20"/>
          <w:szCs w:val="20"/>
          <w:lang w:val="en-US" w:eastAsia="en-US" w:bidi="ar-SA"/>
        </w:rPr>
        <w:t>包工程的质量、安全和进度等实施有效控制。专业分包人对其分包的工程向承包人</w:t>
      </w:r>
      <w:r>
        <w:rPr>
          <w:rFonts w:hint="eastAsia" w:ascii="宋体" w:hAnsi="宋体" w:eastAsia="宋体" w:cs="宋体"/>
          <w:snapToGrid w:val="0"/>
          <w:color w:val="000000"/>
          <w:spacing w:val="-2"/>
          <w:kern w:val="0"/>
          <w:sz w:val="20"/>
          <w:szCs w:val="20"/>
          <w:lang w:val="en-US" w:eastAsia="en-US" w:bidi="ar-SA"/>
        </w:rPr>
        <w:t>负责，并就所分包的工程向发包人承担连带责任。</w:t>
      </w:r>
    </w:p>
    <w:p w14:paraId="2B5226DA">
      <w:pPr>
        <w:kinsoku w:val="0"/>
        <w:autoSpaceDE w:val="0"/>
        <w:autoSpaceDN w:val="0"/>
        <w:adjustRightInd w:val="0"/>
        <w:snapToGrid w:val="0"/>
        <w:spacing w:before="112" w:line="240" w:lineRule="auto"/>
        <w:ind w:left="39"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（8）承包人对施工现场安全负总责，并对专业分包人的安全生产进行培训和管理。专业分包人应将其专业分包工程的施工</w:t>
      </w:r>
      <w:r>
        <w:rPr>
          <w:rFonts w:hint="eastAsia" w:ascii="宋体" w:hAnsi="宋体" w:eastAsia="宋体" w:cs="宋体"/>
          <w:snapToGrid w:val="0"/>
          <w:color w:val="000000"/>
          <w:spacing w:val="-4"/>
          <w:kern w:val="0"/>
          <w:sz w:val="20"/>
          <w:szCs w:val="20"/>
          <w:lang w:val="en-US" w:eastAsia="en-US" w:bidi="ar-SA"/>
        </w:rPr>
        <w:t>组织设计和施工安全方案报承包人备案。</w:t>
      </w:r>
      <w:r>
        <w:rPr>
          <w:rFonts w:hint="eastAsia" w:ascii="宋体" w:hAnsi="宋体" w:eastAsia="宋体" w:cs="宋体"/>
          <w:snapToGrid w:val="0"/>
          <w:color w:val="000000"/>
          <w:spacing w:val="-2"/>
          <w:kern w:val="0"/>
          <w:sz w:val="20"/>
          <w:szCs w:val="20"/>
          <w:lang w:val="en-US" w:eastAsia="en-US" w:bidi="ar-SA"/>
        </w:rPr>
        <w:t>专业分包人对分包施工现场安全负责，发现事故隐患，应及时处理。</w:t>
      </w:r>
    </w:p>
    <w:p w14:paraId="41EB98E4">
      <w:pPr>
        <w:kinsoku w:val="0"/>
        <w:autoSpaceDE w:val="0"/>
        <w:autoSpaceDN w:val="0"/>
        <w:adjustRightInd w:val="0"/>
        <w:snapToGrid w:val="0"/>
        <w:spacing w:before="113"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违反上述规定之一者属违规分包。</w:t>
      </w:r>
    </w:p>
    <w:p w14:paraId="6F7FCA21">
      <w:pPr>
        <w:kinsoku w:val="0"/>
        <w:autoSpaceDE w:val="0"/>
        <w:autoSpaceDN w:val="0"/>
        <w:adjustRightInd w:val="0"/>
        <w:snapToGrid w:val="0"/>
        <w:spacing w:before="115" w:line="240" w:lineRule="auto"/>
        <w:ind w:left="51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4.3.4</w:t>
      </w:r>
      <w:r>
        <w:rPr>
          <w:rFonts w:hint="eastAsia" w:ascii="宋体" w:hAnsi="宋体" w:eastAsia="宋体" w:cs="宋体"/>
          <w:snapToGrid w:val="0"/>
          <w:color w:val="000000"/>
          <w:spacing w:val="8"/>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劳务分包</w:t>
      </w:r>
    </w:p>
    <w:p w14:paraId="6A6A149E">
      <w:pPr>
        <w:kinsoku w:val="0"/>
        <w:autoSpaceDE w:val="0"/>
        <w:autoSpaceDN w:val="0"/>
        <w:adjustRightInd w:val="0"/>
        <w:snapToGrid w:val="0"/>
        <w:spacing w:before="97" w:line="240" w:lineRule="auto"/>
        <w:ind w:left="51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在工程施工过程中，承包人进行劳务分包必须遵</w:t>
      </w:r>
      <w:r>
        <w:rPr>
          <w:rFonts w:hint="eastAsia" w:ascii="宋体" w:hAnsi="宋体" w:eastAsia="宋体" w:cs="宋体"/>
          <w:snapToGrid w:val="0"/>
          <w:color w:val="000000"/>
          <w:spacing w:val="-3"/>
          <w:kern w:val="0"/>
          <w:sz w:val="20"/>
          <w:szCs w:val="20"/>
          <w:lang w:val="en-US" w:eastAsia="en-US" w:bidi="ar-SA"/>
        </w:rPr>
        <w:t>守以下规定：</w:t>
      </w:r>
    </w:p>
    <w:p w14:paraId="4ACEF822">
      <w:pPr>
        <w:kinsoku w:val="0"/>
        <w:autoSpaceDE w:val="0"/>
        <w:autoSpaceDN w:val="0"/>
        <w:adjustRightInd w:val="0"/>
        <w:snapToGrid w:val="0"/>
        <w:spacing w:before="114"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（1）劳务分包人应具有施工劳务资质。</w:t>
      </w:r>
    </w:p>
    <w:p w14:paraId="4354A8BB">
      <w:pPr>
        <w:kinsoku w:val="0"/>
        <w:autoSpaceDE w:val="0"/>
        <w:autoSpaceDN w:val="0"/>
        <w:adjustRightInd w:val="0"/>
        <w:snapToGrid w:val="0"/>
        <w:spacing w:before="97" w:line="240" w:lineRule="auto"/>
        <w:ind w:left="37" w:right="87"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（2）劳务分包应当依法签订劳务分包合同，劳务分包合同必须由承包人的法定</w:t>
      </w:r>
      <w:r>
        <w:rPr>
          <w:rFonts w:hint="eastAsia" w:ascii="宋体" w:hAnsi="宋体" w:eastAsia="宋体" w:cs="宋体"/>
          <w:snapToGrid w:val="0"/>
          <w:color w:val="000000"/>
          <w:spacing w:val="1"/>
          <w:kern w:val="0"/>
          <w:sz w:val="20"/>
          <w:szCs w:val="20"/>
          <w:lang w:val="en-US" w:eastAsia="en-US" w:bidi="ar-SA"/>
        </w:rPr>
        <w:t>代表人或其委托代理人与劳务分包人直接签订，不得</w:t>
      </w:r>
      <w:r>
        <w:rPr>
          <w:rFonts w:hint="eastAsia" w:ascii="宋体" w:hAnsi="宋体" w:eastAsia="宋体" w:cs="宋体"/>
          <w:snapToGrid w:val="0"/>
          <w:color w:val="000000"/>
          <w:kern w:val="0"/>
          <w:sz w:val="20"/>
          <w:szCs w:val="20"/>
          <w:lang w:val="en-US" w:eastAsia="en-US" w:bidi="ar-SA"/>
        </w:rPr>
        <w:t>由他人代签。承包人的项目经</w:t>
      </w:r>
    </w:p>
    <w:p w14:paraId="061BA026">
      <w:pPr>
        <w:spacing w:line="240" w:lineRule="auto"/>
        <w:rPr>
          <w:rFonts w:hint="eastAsia" w:ascii="宋体" w:hAnsi="宋体" w:eastAsia="宋体" w:cs="宋体"/>
          <w:sz w:val="20"/>
          <w:szCs w:val="20"/>
          <w:lang w:eastAsia="zh-CN"/>
        </w:rPr>
      </w:pPr>
    </w:p>
    <w:p w14:paraId="6F5B5DFB">
      <w:pPr>
        <w:kinsoku w:val="0"/>
        <w:autoSpaceDE w:val="0"/>
        <w:autoSpaceDN w:val="0"/>
        <w:adjustRightInd w:val="0"/>
        <w:snapToGrid w:val="0"/>
        <w:spacing w:before="78" w:line="240" w:lineRule="auto"/>
        <w:ind w:left="38" w:right="52" w:firstLine="2"/>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理部、项目经理、施工班组等不具备用工主</w:t>
      </w:r>
      <w:r>
        <w:rPr>
          <w:rFonts w:hint="eastAsia" w:ascii="宋体" w:hAnsi="宋体" w:eastAsia="宋体" w:cs="宋体"/>
          <w:snapToGrid w:val="0"/>
          <w:color w:val="000000"/>
          <w:kern w:val="0"/>
          <w:sz w:val="20"/>
          <w:szCs w:val="20"/>
          <w:lang w:val="en-US" w:eastAsia="en-US" w:bidi="ar-SA"/>
        </w:rPr>
        <w:t>体资格，不能与劳务分包人签订劳务分</w:t>
      </w:r>
      <w:r>
        <w:rPr>
          <w:rFonts w:hint="eastAsia" w:ascii="宋体" w:hAnsi="宋体" w:eastAsia="宋体" w:cs="宋体"/>
          <w:snapToGrid w:val="0"/>
          <w:color w:val="000000"/>
          <w:spacing w:val="1"/>
          <w:kern w:val="0"/>
          <w:sz w:val="20"/>
          <w:szCs w:val="20"/>
          <w:lang w:val="en-US" w:eastAsia="en-US" w:bidi="ar-SA"/>
        </w:rPr>
        <w:t>包合同。承包人应向发包人和监理人提交劳务分</w:t>
      </w:r>
      <w:r>
        <w:rPr>
          <w:rFonts w:hint="eastAsia" w:ascii="宋体" w:hAnsi="宋体" w:eastAsia="宋体" w:cs="宋体"/>
          <w:snapToGrid w:val="0"/>
          <w:color w:val="000000"/>
          <w:kern w:val="0"/>
          <w:sz w:val="20"/>
          <w:szCs w:val="20"/>
          <w:lang w:val="en-US" w:eastAsia="en-US" w:bidi="ar-SA"/>
        </w:rPr>
        <w:t>包合同副本并报项目所在地劳动保</w:t>
      </w:r>
      <w:r>
        <w:rPr>
          <w:rFonts w:hint="eastAsia" w:ascii="宋体" w:hAnsi="宋体" w:eastAsia="宋体" w:cs="宋体"/>
          <w:snapToGrid w:val="0"/>
          <w:color w:val="000000"/>
          <w:spacing w:val="-2"/>
          <w:kern w:val="0"/>
          <w:sz w:val="20"/>
          <w:szCs w:val="20"/>
          <w:lang w:val="en-US" w:eastAsia="en-US" w:bidi="ar-SA"/>
        </w:rPr>
        <w:t>障部门备案。</w:t>
      </w:r>
    </w:p>
    <w:p w14:paraId="77F2A340">
      <w:pPr>
        <w:kinsoku w:val="0"/>
        <w:autoSpaceDE w:val="0"/>
        <w:autoSpaceDN w:val="0"/>
        <w:adjustRightInd w:val="0"/>
        <w:snapToGrid w:val="0"/>
        <w:spacing w:line="240" w:lineRule="auto"/>
        <w:ind w:left="37" w:right="51"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（3）承包人雇用的劳务作业应加入到承包人的施工班组统一管理。有关施工质</w:t>
      </w:r>
      <w:r>
        <w:rPr>
          <w:rFonts w:hint="eastAsia" w:ascii="宋体" w:hAnsi="宋体" w:eastAsia="宋体" w:cs="宋体"/>
          <w:snapToGrid w:val="0"/>
          <w:color w:val="000000"/>
          <w:kern w:val="0"/>
          <w:sz w:val="20"/>
          <w:szCs w:val="20"/>
          <w:lang w:val="en-US" w:eastAsia="en-US" w:bidi="ar-SA"/>
        </w:rPr>
        <w:t>量、施工安全、施工进度、环境保护、技术方案、试验检测、材料保管与供应、机</w:t>
      </w:r>
      <w:r>
        <w:rPr>
          <w:rFonts w:hint="eastAsia" w:ascii="宋体" w:hAnsi="宋体" w:eastAsia="宋体" w:cs="宋体"/>
          <w:snapToGrid w:val="0"/>
          <w:color w:val="000000"/>
          <w:spacing w:val="-1"/>
          <w:kern w:val="0"/>
          <w:sz w:val="20"/>
          <w:szCs w:val="20"/>
          <w:lang w:val="en-US" w:eastAsia="en-US" w:bidi="ar-SA"/>
        </w:rPr>
        <w:t>械设备等都必须由承包人管理与调配，不得以包代管。</w:t>
      </w:r>
    </w:p>
    <w:p w14:paraId="13B1F72A">
      <w:pPr>
        <w:kinsoku w:val="0"/>
        <w:autoSpaceDE w:val="0"/>
        <w:autoSpaceDN w:val="0"/>
        <w:adjustRightInd w:val="0"/>
        <w:snapToGrid w:val="0"/>
        <w:spacing w:before="116" w:line="240" w:lineRule="auto"/>
        <w:ind w:left="38" w:right="51"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（4）承包人应当对劳务分包人员进行安全培训和管理，劳务分包人不得将其分</w:t>
      </w:r>
      <w:r>
        <w:rPr>
          <w:rFonts w:hint="eastAsia" w:ascii="宋体" w:hAnsi="宋体" w:eastAsia="宋体" w:cs="宋体"/>
          <w:snapToGrid w:val="0"/>
          <w:color w:val="000000"/>
          <w:spacing w:val="-1"/>
          <w:kern w:val="0"/>
          <w:sz w:val="20"/>
          <w:szCs w:val="20"/>
          <w:lang w:val="en-US" w:eastAsia="en-US" w:bidi="ar-SA"/>
        </w:rPr>
        <w:t>包的劳务作业再次分包。</w:t>
      </w:r>
    </w:p>
    <w:p w14:paraId="25C9212D">
      <w:pPr>
        <w:kinsoku w:val="0"/>
        <w:autoSpaceDE w:val="0"/>
        <w:autoSpaceDN w:val="0"/>
        <w:adjustRightInd w:val="0"/>
        <w:snapToGrid w:val="0"/>
        <w:spacing w:before="115"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违反上述规定之一者属违规分包。</w:t>
      </w:r>
    </w:p>
    <w:p w14:paraId="2D741C29">
      <w:pPr>
        <w:kinsoku w:val="0"/>
        <w:autoSpaceDE w:val="0"/>
        <w:autoSpaceDN w:val="0"/>
        <w:adjustRightInd w:val="0"/>
        <w:snapToGrid w:val="0"/>
        <w:spacing w:before="114"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本款补充第</w:t>
      </w:r>
      <w:r>
        <w:rPr>
          <w:rFonts w:hint="eastAsia" w:ascii="宋体" w:hAnsi="宋体" w:eastAsia="宋体" w:cs="宋体"/>
          <w:snapToGrid w:val="0"/>
          <w:color w:val="000000"/>
          <w:spacing w:val="-52"/>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4.3.6 项、第</w:t>
      </w:r>
      <w:r>
        <w:rPr>
          <w:rFonts w:hint="eastAsia" w:ascii="宋体" w:hAnsi="宋体" w:eastAsia="宋体" w:cs="宋体"/>
          <w:snapToGrid w:val="0"/>
          <w:color w:val="000000"/>
          <w:spacing w:val="-56"/>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4.3.7 项：</w:t>
      </w:r>
    </w:p>
    <w:p w14:paraId="0B828EDE">
      <w:pPr>
        <w:kinsoku w:val="0"/>
        <w:autoSpaceDE w:val="0"/>
        <w:autoSpaceDN w:val="0"/>
        <w:adjustRightInd w:val="0"/>
        <w:snapToGrid w:val="0"/>
        <w:spacing w:before="96" w:line="240" w:lineRule="auto"/>
        <w:ind w:firstLine="594" w:firstLineChars="3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4.3.6  发包人对承包人与分包人之间的法律与经济纠纷不承担任何责任和义务。</w:t>
      </w:r>
    </w:p>
    <w:p w14:paraId="7C2E3A4B">
      <w:pPr>
        <w:kinsoku w:val="0"/>
        <w:autoSpaceDE w:val="0"/>
        <w:autoSpaceDN w:val="0"/>
        <w:adjustRightInd w:val="0"/>
        <w:snapToGrid w:val="0"/>
        <w:spacing w:before="98" w:line="240" w:lineRule="auto"/>
        <w:ind w:left="43" w:right="50" w:firstLine="468"/>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2"/>
          <w:kern w:val="0"/>
          <w:sz w:val="20"/>
          <w:szCs w:val="20"/>
          <w:lang w:val="en-US" w:eastAsia="en-US" w:bidi="ar-SA"/>
        </w:rPr>
        <w:t>4.3.7  本项目的各项分包工作均应遵守《公路工程施</w:t>
      </w:r>
      <w:r>
        <w:rPr>
          <w:rFonts w:hint="eastAsia" w:ascii="宋体" w:hAnsi="宋体" w:eastAsia="宋体" w:cs="宋体"/>
          <w:snapToGrid w:val="0"/>
          <w:color w:val="000000"/>
          <w:spacing w:val="-3"/>
          <w:kern w:val="0"/>
          <w:sz w:val="20"/>
          <w:szCs w:val="20"/>
          <w:lang w:val="en-US" w:eastAsia="en-US" w:bidi="ar-SA"/>
        </w:rPr>
        <w:t>工分包管理办法》的有关规</w:t>
      </w:r>
      <w:r>
        <w:rPr>
          <w:rFonts w:hint="eastAsia" w:ascii="宋体" w:hAnsi="宋体" w:eastAsia="宋体" w:cs="宋体"/>
          <w:snapToGrid w:val="0"/>
          <w:color w:val="000000"/>
          <w:spacing w:val="-13"/>
          <w:kern w:val="0"/>
          <w:sz w:val="20"/>
          <w:szCs w:val="20"/>
          <w:lang w:val="en-US" w:eastAsia="en-US" w:bidi="ar-SA"/>
        </w:rPr>
        <w:t>定。</w:t>
      </w:r>
    </w:p>
    <w:p w14:paraId="1FFF0245">
      <w:pPr>
        <w:spacing w:before="78" w:line="240" w:lineRule="auto"/>
        <w:ind w:left="32"/>
        <w:outlineLvl w:val="1"/>
        <w:rPr>
          <w:rFonts w:hint="eastAsia" w:ascii="宋体" w:hAnsi="宋体" w:eastAsia="宋体" w:cs="宋体"/>
          <w:sz w:val="20"/>
          <w:szCs w:val="20"/>
          <w:lang w:val="en-US" w:eastAsia="zh-CN"/>
        </w:rPr>
      </w:pPr>
      <w:r>
        <w:rPr>
          <w:rFonts w:hint="eastAsia" w:ascii="宋体" w:hAnsi="宋体" w:eastAsia="宋体" w:cs="宋体"/>
          <w:spacing w:val="-2"/>
          <w:sz w:val="20"/>
          <w:szCs w:val="20"/>
        </w:rPr>
        <w:t>4.4</w:t>
      </w:r>
      <w:r>
        <w:rPr>
          <w:rFonts w:hint="eastAsia" w:ascii="宋体" w:hAnsi="宋体" w:eastAsia="宋体" w:cs="宋体"/>
          <w:spacing w:val="5"/>
          <w:sz w:val="20"/>
          <w:szCs w:val="20"/>
        </w:rPr>
        <w:t xml:space="preserve">  </w:t>
      </w:r>
      <w:r>
        <w:rPr>
          <w:rFonts w:hint="eastAsia" w:ascii="宋体" w:hAnsi="宋体" w:eastAsia="宋体" w:cs="宋体"/>
          <w:spacing w:val="-2"/>
          <w:sz w:val="20"/>
          <w:szCs w:val="20"/>
        </w:rPr>
        <w:t>联合体</w:t>
      </w:r>
    </w:p>
    <w:p w14:paraId="67805374">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本款补充第</w:t>
      </w:r>
      <w:r>
        <w:rPr>
          <w:rFonts w:hint="eastAsia" w:ascii="宋体" w:hAnsi="宋体" w:eastAsia="宋体" w:cs="宋体"/>
          <w:snapToGrid w:val="0"/>
          <w:color w:val="000000"/>
          <w:spacing w:val="-53"/>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4.4.4 项：</w:t>
      </w:r>
    </w:p>
    <w:p w14:paraId="4DC13FDD">
      <w:pPr>
        <w:kinsoku w:val="0"/>
        <w:autoSpaceDE w:val="0"/>
        <w:autoSpaceDN w:val="0"/>
        <w:adjustRightInd w:val="0"/>
        <w:snapToGrid w:val="0"/>
        <w:spacing w:before="97" w:line="240" w:lineRule="auto"/>
        <w:ind w:left="51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4.4.4 未经发包人事先同意，联合体的组成</w:t>
      </w:r>
      <w:r>
        <w:rPr>
          <w:rFonts w:hint="eastAsia" w:ascii="宋体" w:hAnsi="宋体" w:eastAsia="宋体" w:cs="宋体"/>
          <w:snapToGrid w:val="0"/>
          <w:color w:val="000000"/>
          <w:spacing w:val="-2"/>
          <w:kern w:val="0"/>
          <w:sz w:val="20"/>
          <w:szCs w:val="20"/>
          <w:lang w:val="en-US" w:eastAsia="en-US" w:bidi="ar-SA"/>
        </w:rPr>
        <w:t>与结构不得变动。</w:t>
      </w:r>
    </w:p>
    <w:p w14:paraId="350740D2">
      <w:pPr>
        <w:spacing w:before="318"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4.6  承包人人员的管理</w:t>
      </w:r>
    </w:p>
    <w:p w14:paraId="1F61B483">
      <w:pPr>
        <w:kinsoku w:val="0"/>
        <w:autoSpaceDE w:val="0"/>
        <w:autoSpaceDN w:val="0"/>
        <w:adjustRightInd w:val="0"/>
        <w:snapToGrid w:val="0"/>
        <w:spacing w:before="79"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第</w:t>
      </w:r>
      <w:r>
        <w:rPr>
          <w:rFonts w:hint="eastAsia" w:ascii="宋体" w:hAnsi="宋体" w:eastAsia="宋体" w:cs="宋体"/>
          <w:snapToGrid w:val="0"/>
          <w:color w:val="000000"/>
          <w:spacing w:val="-49"/>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4.6.3</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项细化为：</w:t>
      </w:r>
    </w:p>
    <w:p w14:paraId="6D618965">
      <w:pPr>
        <w:kinsoku w:val="0"/>
        <w:autoSpaceDE w:val="0"/>
        <w:autoSpaceDN w:val="0"/>
        <w:adjustRightInd w:val="0"/>
        <w:snapToGrid w:val="0"/>
        <w:spacing w:before="97" w:line="240" w:lineRule="auto"/>
        <w:ind w:left="38" w:right="49" w:firstLine="47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承包人安排在施工场地的主要管理人员和技术骨干应与承包人承诺的名单一</w:t>
      </w:r>
      <w:r>
        <w:rPr>
          <w:rFonts w:hint="eastAsia" w:ascii="宋体" w:hAnsi="宋体" w:eastAsia="宋体" w:cs="宋体"/>
          <w:snapToGrid w:val="0"/>
          <w:color w:val="000000"/>
          <w:kern w:val="0"/>
          <w:sz w:val="20"/>
          <w:szCs w:val="20"/>
          <w:lang w:val="en-US" w:eastAsia="en-US" w:bidi="ar-SA"/>
        </w:rPr>
        <w:t>致，并保持相对稳定。未经监理人批准，上述人员不应无故不到位或被替换；若确</w:t>
      </w:r>
      <w:r>
        <w:rPr>
          <w:rFonts w:hint="eastAsia" w:ascii="宋体" w:hAnsi="宋体" w:eastAsia="宋体" w:cs="宋体"/>
          <w:snapToGrid w:val="0"/>
          <w:color w:val="000000"/>
          <w:spacing w:val="1"/>
          <w:kern w:val="0"/>
          <w:sz w:val="20"/>
          <w:szCs w:val="20"/>
          <w:lang w:val="en-US" w:eastAsia="en-US" w:bidi="ar-SA"/>
        </w:rPr>
        <w:t>实无法到位或需替换，需经监理人审核并报发</w:t>
      </w:r>
      <w:r>
        <w:rPr>
          <w:rFonts w:hint="eastAsia" w:ascii="宋体" w:hAnsi="宋体" w:eastAsia="宋体" w:cs="宋体"/>
          <w:snapToGrid w:val="0"/>
          <w:color w:val="000000"/>
          <w:kern w:val="0"/>
          <w:sz w:val="20"/>
          <w:szCs w:val="20"/>
          <w:lang w:val="en-US" w:eastAsia="en-US" w:bidi="ar-SA"/>
        </w:rPr>
        <w:t>包人批准后，用同等资质和经历的人</w:t>
      </w:r>
      <w:r>
        <w:rPr>
          <w:rFonts w:hint="eastAsia" w:ascii="宋体" w:hAnsi="宋体" w:eastAsia="宋体" w:cs="宋体"/>
          <w:snapToGrid w:val="0"/>
          <w:color w:val="000000"/>
          <w:spacing w:val="-9"/>
          <w:kern w:val="0"/>
          <w:sz w:val="20"/>
          <w:szCs w:val="20"/>
          <w:lang w:val="en-US" w:eastAsia="en-US" w:bidi="ar-SA"/>
        </w:rPr>
        <w:t>员替换。</w:t>
      </w:r>
    </w:p>
    <w:p w14:paraId="7A477CE1">
      <w:pPr>
        <w:kinsoku w:val="0"/>
        <w:autoSpaceDE w:val="0"/>
        <w:autoSpaceDN w:val="0"/>
        <w:adjustRightInd w:val="0"/>
        <w:snapToGrid w:val="0"/>
        <w:spacing w:before="1"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本款补充第4.6.5 项：</w:t>
      </w:r>
    </w:p>
    <w:p w14:paraId="2260C6C5">
      <w:pPr>
        <w:kinsoku w:val="0"/>
        <w:autoSpaceDE w:val="0"/>
        <w:autoSpaceDN w:val="0"/>
        <w:adjustRightInd w:val="0"/>
        <w:snapToGrid w:val="0"/>
        <w:spacing w:before="94" w:line="240" w:lineRule="auto"/>
        <w:ind w:left="36" w:right="47" w:firstLine="476"/>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4.6.5  尽管承包人已按承诺派遣了上述各类人员，但若这</w:t>
      </w:r>
      <w:r>
        <w:rPr>
          <w:rFonts w:hint="eastAsia" w:ascii="宋体" w:hAnsi="宋体" w:eastAsia="宋体" w:cs="宋体"/>
          <w:snapToGrid w:val="0"/>
          <w:color w:val="000000"/>
          <w:spacing w:val="-3"/>
          <w:kern w:val="0"/>
          <w:sz w:val="20"/>
          <w:szCs w:val="20"/>
          <w:lang w:val="en-US" w:eastAsia="en-US" w:bidi="ar-SA"/>
        </w:rPr>
        <w:t>些人员仍不能满足合同</w:t>
      </w:r>
      <w:r>
        <w:rPr>
          <w:rFonts w:hint="eastAsia" w:ascii="宋体" w:hAnsi="宋体" w:eastAsia="宋体" w:cs="宋体"/>
          <w:snapToGrid w:val="0"/>
          <w:color w:val="000000"/>
          <w:kern w:val="0"/>
          <w:sz w:val="20"/>
          <w:szCs w:val="20"/>
          <w:lang w:val="en-US" w:eastAsia="en-US" w:bidi="ar-SA"/>
        </w:rPr>
        <w:t>进度计划和（或）质量要求时，监理人有权要求承包人继续增派或雇用这类人员，</w:t>
      </w:r>
      <w:r>
        <w:rPr>
          <w:rFonts w:hint="eastAsia" w:ascii="宋体" w:hAnsi="宋体" w:eastAsia="宋体" w:cs="宋体"/>
          <w:snapToGrid w:val="0"/>
          <w:color w:val="000000"/>
          <w:spacing w:val="1"/>
          <w:kern w:val="0"/>
          <w:sz w:val="20"/>
          <w:szCs w:val="20"/>
          <w:lang w:val="en-US" w:eastAsia="en-US" w:bidi="ar-SA"/>
        </w:rPr>
        <w:t>并书面通知承包人和抄送发包人。承包人在接到</w:t>
      </w:r>
      <w:r>
        <w:rPr>
          <w:rFonts w:hint="eastAsia" w:ascii="宋体" w:hAnsi="宋体" w:eastAsia="宋体" w:cs="宋体"/>
          <w:snapToGrid w:val="0"/>
          <w:color w:val="000000"/>
          <w:kern w:val="0"/>
          <w:sz w:val="20"/>
          <w:szCs w:val="20"/>
          <w:lang w:val="en-US" w:eastAsia="en-US" w:bidi="ar-SA"/>
        </w:rPr>
        <w:t>上述通知后应立即执行监理人的上</w:t>
      </w:r>
      <w:r>
        <w:rPr>
          <w:rFonts w:hint="eastAsia" w:ascii="宋体" w:hAnsi="宋体" w:eastAsia="宋体" w:cs="宋体"/>
          <w:snapToGrid w:val="0"/>
          <w:color w:val="000000"/>
          <w:spacing w:val="-1"/>
          <w:kern w:val="0"/>
          <w:sz w:val="20"/>
          <w:szCs w:val="20"/>
          <w:lang w:val="en-US" w:eastAsia="en-US" w:bidi="ar-SA"/>
        </w:rPr>
        <w:t>述指示，不得无故拖延，由此增加的费用和（或）工期延误由承</w:t>
      </w:r>
      <w:r>
        <w:rPr>
          <w:rFonts w:hint="eastAsia" w:ascii="宋体" w:hAnsi="宋体" w:eastAsia="宋体" w:cs="宋体"/>
          <w:snapToGrid w:val="0"/>
          <w:color w:val="000000"/>
          <w:spacing w:val="-2"/>
          <w:kern w:val="0"/>
          <w:sz w:val="20"/>
          <w:szCs w:val="20"/>
          <w:lang w:val="en-US" w:eastAsia="en-US" w:bidi="ar-SA"/>
        </w:rPr>
        <w:t>包人承担。</w:t>
      </w:r>
    </w:p>
    <w:p w14:paraId="4BABB8CE">
      <w:pPr>
        <w:spacing w:before="221"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4.7  撤换承包人项目经理和其他人员</w:t>
      </w:r>
    </w:p>
    <w:p w14:paraId="09DE8E8A">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本款细化为：</w:t>
      </w:r>
    </w:p>
    <w:p w14:paraId="23D7F9C7">
      <w:pPr>
        <w:kinsoku w:val="0"/>
        <w:autoSpaceDE w:val="0"/>
        <w:autoSpaceDN w:val="0"/>
        <w:adjustRightInd w:val="0"/>
        <w:snapToGrid w:val="0"/>
        <w:spacing w:before="94" w:line="240" w:lineRule="auto"/>
        <w:ind w:left="36" w:right="47" w:firstLine="476"/>
        <w:jc w:val="both"/>
        <w:textAlignment w:val="baseline"/>
        <w:rPr>
          <w:rFonts w:hint="eastAsia" w:ascii="宋体" w:hAnsi="宋体" w:eastAsia="宋体" w:cs="宋体"/>
          <w:snapToGrid w:val="0"/>
          <w:color w:val="000000"/>
          <w:spacing w:val="-2"/>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承包人应对其项目经理和其他人员进行有效管理。监理人要求撤换不能胜任本职工作、行为不端或玩忽职守的承包人项目经理和其他人员的， 承包人应予以撤换，同时委派经发包人与监理人同意的新的项目经理和其他人员。</w:t>
      </w:r>
    </w:p>
    <w:p w14:paraId="1FA5B562">
      <w:pPr>
        <w:spacing w:before="216"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4.9  工程价款应专款专用</w:t>
      </w:r>
    </w:p>
    <w:p w14:paraId="59908B00">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本款细化为：</w:t>
      </w:r>
    </w:p>
    <w:p w14:paraId="15197D7E">
      <w:pPr>
        <w:kinsoku w:val="0"/>
        <w:autoSpaceDE w:val="0"/>
        <w:autoSpaceDN w:val="0"/>
        <w:adjustRightInd w:val="0"/>
        <w:snapToGrid w:val="0"/>
        <w:spacing w:before="119" w:line="240" w:lineRule="auto"/>
        <w:ind w:left="38" w:right="71" w:firstLine="48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发包人按合同约定支付给承包人的各项价款应专用于合同工程。承包人必须在</w:t>
      </w:r>
      <w:r>
        <w:rPr>
          <w:rFonts w:hint="eastAsia" w:ascii="宋体" w:hAnsi="宋体" w:eastAsia="宋体" w:cs="宋体"/>
          <w:snapToGrid w:val="0"/>
          <w:color w:val="000000"/>
          <w:spacing w:val="-6"/>
          <w:kern w:val="0"/>
          <w:sz w:val="20"/>
          <w:szCs w:val="20"/>
          <w:lang w:val="en-US" w:eastAsia="en-US" w:bidi="ar-SA"/>
        </w:rPr>
        <w:t>发包人指定的银行开户，并与发包人、银行共同签订《工程资金监管协议》，接受发</w:t>
      </w:r>
      <w:r>
        <w:rPr>
          <w:rFonts w:hint="eastAsia" w:ascii="宋体" w:hAnsi="宋体" w:eastAsia="宋体" w:cs="宋体"/>
          <w:snapToGrid w:val="0"/>
          <w:color w:val="000000"/>
          <w:kern w:val="0"/>
          <w:sz w:val="20"/>
          <w:szCs w:val="20"/>
          <w:lang w:val="en-US" w:eastAsia="en-US" w:bidi="ar-SA"/>
        </w:rPr>
        <w:t>包人和银行对资金的监管。承包人应向发包人授权进行本合同工程开户银行工程资金的查询。发包人支付的工程进度款应为本工程的专款专用资金，不得转移或用于其他工程。发包人的期中支付款将转入该银行所设的专门账户，发包人及其派出机构有权不定期对承包人工程资金使用情况进行检查，发现问题及时责令承包人限期</w:t>
      </w:r>
      <w:r>
        <w:rPr>
          <w:rFonts w:hint="eastAsia" w:ascii="宋体" w:hAnsi="宋体" w:eastAsia="宋体" w:cs="宋体"/>
          <w:snapToGrid w:val="0"/>
          <w:color w:val="000000"/>
          <w:spacing w:val="-2"/>
          <w:kern w:val="0"/>
          <w:sz w:val="20"/>
          <w:szCs w:val="20"/>
          <w:lang w:val="en-US" w:eastAsia="en-US" w:bidi="ar-SA"/>
        </w:rPr>
        <w:t>改正，否则，将终止月支付，直至承包人改正为止。</w:t>
      </w:r>
    </w:p>
    <w:p w14:paraId="0A815BBB">
      <w:pPr>
        <w:spacing w:before="215"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4.10  承包人现场查勘</w:t>
      </w:r>
    </w:p>
    <w:p w14:paraId="3C35178C">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第</w:t>
      </w:r>
      <w:r>
        <w:rPr>
          <w:rFonts w:hint="eastAsia" w:ascii="宋体" w:hAnsi="宋体" w:eastAsia="宋体" w:cs="宋体"/>
          <w:snapToGrid w:val="0"/>
          <w:color w:val="000000"/>
          <w:spacing w:val="-52"/>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4.10.1 项细化为：</w:t>
      </w:r>
    </w:p>
    <w:p w14:paraId="17438964">
      <w:pPr>
        <w:kinsoku w:val="0"/>
        <w:autoSpaceDE w:val="0"/>
        <w:autoSpaceDN w:val="0"/>
        <w:adjustRightInd w:val="0"/>
        <w:snapToGrid w:val="0"/>
        <w:spacing w:before="96" w:line="240" w:lineRule="auto"/>
        <w:ind w:left="36" w:right="69"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发包人提供的本合同工程的水文、地质、气象和料场分布、取土场、弃土场位</w:t>
      </w:r>
      <w:r>
        <w:rPr>
          <w:rFonts w:hint="eastAsia" w:ascii="宋体" w:hAnsi="宋体" w:eastAsia="宋体" w:cs="宋体"/>
          <w:snapToGrid w:val="0"/>
          <w:color w:val="000000"/>
          <w:spacing w:val="1"/>
          <w:kern w:val="0"/>
          <w:sz w:val="20"/>
          <w:szCs w:val="20"/>
          <w:lang w:val="en-US" w:eastAsia="en-US" w:bidi="ar-SA"/>
        </w:rPr>
        <w:t>置等资料均属于参考资料，并不构成合同文</w:t>
      </w:r>
      <w:r>
        <w:rPr>
          <w:rFonts w:hint="eastAsia" w:ascii="宋体" w:hAnsi="宋体" w:eastAsia="宋体" w:cs="宋体"/>
          <w:snapToGrid w:val="0"/>
          <w:color w:val="000000"/>
          <w:kern w:val="0"/>
          <w:sz w:val="20"/>
          <w:szCs w:val="20"/>
          <w:lang w:val="en-US" w:eastAsia="en-US" w:bidi="ar-SA"/>
        </w:rPr>
        <w:t>件的组成部分，承包人应对自己就上述</w:t>
      </w:r>
      <w:r>
        <w:rPr>
          <w:rFonts w:hint="eastAsia" w:ascii="宋体" w:hAnsi="宋体" w:eastAsia="宋体" w:cs="宋体"/>
          <w:snapToGrid w:val="0"/>
          <w:color w:val="000000"/>
          <w:spacing w:val="1"/>
          <w:kern w:val="0"/>
          <w:sz w:val="20"/>
          <w:szCs w:val="20"/>
          <w:lang w:val="en-US" w:eastAsia="en-US" w:bidi="ar-SA"/>
        </w:rPr>
        <w:t>资料的解释、推论和应用负责，发包人不对承包人据此</w:t>
      </w:r>
      <w:r>
        <w:rPr>
          <w:rFonts w:hint="eastAsia" w:ascii="宋体" w:hAnsi="宋体" w:eastAsia="宋体" w:cs="宋体"/>
          <w:snapToGrid w:val="0"/>
          <w:color w:val="000000"/>
          <w:kern w:val="0"/>
          <w:sz w:val="20"/>
          <w:szCs w:val="20"/>
          <w:lang w:val="en-US" w:eastAsia="en-US" w:bidi="ar-SA"/>
        </w:rPr>
        <w:t>作出的判断和决策承担任何</w:t>
      </w:r>
      <w:r>
        <w:rPr>
          <w:rFonts w:hint="eastAsia" w:ascii="宋体" w:hAnsi="宋体" w:eastAsia="宋体" w:cs="宋体"/>
          <w:snapToGrid w:val="0"/>
          <w:color w:val="000000"/>
          <w:spacing w:val="-3"/>
          <w:kern w:val="0"/>
          <w:sz w:val="20"/>
          <w:szCs w:val="20"/>
          <w:lang w:val="en-US" w:eastAsia="en-US" w:bidi="ar-SA"/>
        </w:rPr>
        <w:t>责任。</w:t>
      </w:r>
    </w:p>
    <w:p w14:paraId="17F5E100">
      <w:pPr>
        <w:spacing w:before="214"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4.11  不利物质条件</w:t>
      </w:r>
    </w:p>
    <w:p w14:paraId="3A7B945B">
      <w:pPr>
        <w:spacing w:line="240" w:lineRule="auto"/>
        <w:rPr>
          <w:rFonts w:hint="eastAsia" w:ascii="宋体" w:hAnsi="宋体" w:eastAsia="宋体" w:cs="宋体"/>
          <w:sz w:val="20"/>
          <w:szCs w:val="20"/>
        </w:rPr>
      </w:pPr>
    </w:p>
    <w:p w14:paraId="2B556AEE">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第</w:t>
      </w:r>
      <w:r>
        <w:rPr>
          <w:rFonts w:hint="eastAsia" w:ascii="宋体" w:hAnsi="宋体" w:eastAsia="宋体" w:cs="宋体"/>
          <w:snapToGrid w:val="0"/>
          <w:color w:val="000000"/>
          <w:spacing w:val="-51"/>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4.11.2</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项细化为：</w:t>
      </w:r>
    </w:p>
    <w:p w14:paraId="3A3D9A37">
      <w:pPr>
        <w:kinsoku w:val="0"/>
        <w:autoSpaceDE w:val="0"/>
        <w:autoSpaceDN w:val="0"/>
        <w:adjustRightInd w:val="0"/>
        <w:snapToGrid w:val="0"/>
        <w:spacing w:before="95" w:line="240" w:lineRule="auto"/>
        <w:ind w:left="39" w:right="1" w:firstLine="413"/>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4.11.2  承包人遇到不可预见的不利物质条件时，应采取适应不利物质条件的合</w:t>
      </w:r>
      <w:r>
        <w:rPr>
          <w:rFonts w:hint="eastAsia" w:ascii="宋体" w:hAnsi="宋体" w:eastAsia="宋体" w:cs="宋体"/>
          <w:snapToGrid w:val="0"/>
          <w:color w:val="000000"/>
          <w:spacing w:val="-7"/>
          <w:kern w:val="0"/>
          <w:sz w:val="20"/>
          <w:szCs w:val="20"/>
          <w:lang w:val="en-US" w:eastAsia="en-US" w:bidi="ar-SA"/>
        </w:rPr>
        <w:t>理措施继续施工，并及时通知监理人。监理人应当及时发出指示， 指示</w:t>
      </w:r>
      <w:r>
        <w:rPr>
          <w:rFonts w:hint="eastAsia" w:ascii="宋体" w:hAnsi="宋体" w:eastAsia="宋体" w:cs="宋体"/>
          <w:snapToGrid w:val="0"/>
          <w:color w:val="000000"/>
          <w:spacing w:val="-8"/>
          <w:kern w:val="0"/>
          <w:sz w:val="20"/>
          <w:szCs w:val="20"/>
          <w:lang w:val="en-US" w:eastAsia="en-US" w:bidi="ar-SA"/>
        </w:rPr>
        <w:t>构成变更的，</w:t>
      </w:r>
      <w:r>
        <w:rPr>
          <w:rFonts w:hint="eastAsia" w:ascii="宋体" w:hAnsi="宋体" w:eastAsia="宋体" w:cs="宋体"/>
          <w:snapToGrid w:val="0"/>
          <w:color w:val="000000"/>
          <w:spacing w:val="-5"/>
          <w:kern w:val="0"/>
          <w:sz w:val="20"/>
          <w:szCs w:val="20"/>
          <w:lang w:val="en-US" w:eastAsia="en-US" w:bidi="ar-SA"/>
        </w:rPr>
        <w:t>按第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15 条约定办理。监理人没有发出指示的，</w:t>
      </w:r>
      <w:r>
        <w:rPr>
          <w:rFonts w:hint="eastAsia" w:ascii="宋体" w:hAnsi="宋体" w:eastAsia="宋体" w:cs="宋体"/>
          <w:snapToGrid w:val="0"/>
          <w:color w:val="000000"/>
          <w:spacing w:val="-42"/>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承包</w:t>
      </w:r>
      <w:r>
        <w:rPr>
          <w:rFonts w:hint="eastAsia" w:ascii="宋体" w:hAnsi="宋体" w:eastAsia="宋体" w:cs="宋体"/>
          <w:snapToGrid w:val="0"/>
          <w:color w:val="000000"/>
          <w:spacing w:val="-6"/>
          <w:kern w:val="0"/>
          <w:sz w:val="20"/>
          <w:szCs w:val="20"/>
          <w:lang w:val="en-US" w:eastAsia="en-US" w:bidi="ar-SA"/>
        </w:rPr>
        <w:t>人因采取合理措施而增加的费用</w:t>
      </w:r>
      <w:r>
        <w:rPr>
          <w:rFonts w:hint="eastAsia" w:ascii="宋体" w:hAnsi="宋体" w:eastAsia="宋体" w:cs="宋体"/>
          <w:snapToGrid w:val="0"/>
          <w:color w:val="000000"/>
          <w:spacing w:val="-3"/>
          <w:kern w:val="0"/>
          <w:sz w:val="20"/>
          <w:szCs w:val="20"/>
          <w:lang w:val="en-US" w:eastAsia="en-US" w:bidi="ar-SA"/>
        </w:rPr>
        <w:t>和（或）工期延误，由发包人承担。</w:t>
      </w:r>
    </w:p>
    <w:p w14:paraId="02F352B6">
      <w:pPr>
        <w:kinsoku w:val="0"/>
        <w:autoSpaceDE w:val="0"/>
        <w:autoSpaceDN w:val="0"/>
        <w:adjustRightInd w:val="0"/>
        <w:snapToGrid w:val="0"/>
        <w:spacing w:before="10" w:line="240" w:lineRule="auto"/>
        <w:ind w:left="45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本款补充第</w:t>
      </w:r>
      <w:r>
        <w:rPr>
          <w:rFonts w:hint="eastAsia" w:ascii="宋体" w:hAnsi="宋体" w:eastAsia="宋体" w:cs="宋体"/>
          <w:snapToGrid w:val="0"/>
          <w:color w:val="000000"/>
          <w:spacing w:val="-51"/>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4.11.3</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项：</w:t>
      </w:r>
    </w:p>
    <w:p w14:paraId="1D5DABB7">
      <w:pPr>
        <w:kinsoku w:val="0"/>
        <w:autoSpaceDE w:val="0"/>
        <w:autoSpaceDN w:val="0"/>
        <w:adjustRightInd w:val="0"/>
        <w:snapToGrid w:val="0"/>
        <w:spacing w:before="98" w:line="240" w:lineRule="auto"/>
        <w:ind w:left="45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4.11.3  可预见的不利物质条件</w:t>
      </w:r>
    </w:p>
    <w:p w14:paraId="2B839BC1">
      <w:pPr>
        <w:kinsoku w:val="0"/>
        <w:autoSpaceDE w:val="0"/>
        <w:autoSpaceDN w:val="0"/>
        <w:adjustRightInd w:val="0"/>
        <w:snapToGrid w:val="0"/>
        <w:spacing w:before="94" w:line="240" w:lineRule="auto"/>
        <w:ind w:left="39" w:right="65" w:firstLine="425"/>
        <w:jc w:val="both"/>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1"/>
          <w:kern w:val="0"/>
          <w:sz w:val="20"/>
          <w:szCs w:val="20"/>
          <w:lang w:val="en-US" w:eastAsia="en-US" w:bidi="ar-SA"/>
        </w:rPr>
        <w:t>（1）对于项目专用合同条款中已经明确指出的不利物质条件无论</w:t>
      </w:r>
      <w:r>
        <w:rPr>
          <w:rFonts w:hint="eastAsia" w:ascii="宋体" w:hAnsi="宋体" w:eastAsia="宋体" w:cs="宋体"/>
          <w:snapToGrid w:val="0"/>
          <w:color w:val="000000"/>
          <w:spacing w:val="-2"/>
          <w:kern w:val="0"/>
          <w:sz w:val="20"/>
          <w:szCs w:val="20"/>
          <w:lang w:val="en-US" w:eastAsia="en-US" w:bidi="ar-SA"/>
        </w:rPr>
        <w:t>承包人是否有</w:t>
      </w:r>
      <w:r>
        <w:rPr>
          <w:rFonts w:hint="eastAsia" w:ascii="宋体" w:hAnsi="宋体" w:eastAsia="宋体" w:cs="宋体"/>
          <w:snapToGrid w:val="0"/>
          <w:color w:val="000000"/>
          <w:spacing w:val="1"/>
          <w:kern w:val="0"/>
          <w:sz w:val="20"/>
          <w:szCs w:val="20"/>
          <w:lang w:val="en-US" w:eastAsia="en-US" w:bidi="ar-SA"/>
        </w:rPr>
        <w:t>其经历和经验均视为承包人在接受合同时已预见</w:t>
      </w:r>
      <w:r>
        <w:rPr>
          <w:rFonts w:hint="eastAsia" w:ascii="宋体" w:hAnsi="宋体" w:eastAsia="宋体" w:cs="宋体"/>
          <w:snapToGrid w:val="0"/>
          <w:color w:val="000000"/>
          <w:kern w:val="0"/>
          <w:sz w:val="20"/>
          <w:szCs w:val="20"/>
          <w:lang w:val="en-US" w:eastAsia="en-US" w:bidi="ar-SA"/>
        </w:rPr>
        <w:t>其影响，并已在签约合同价中计入</w:t>
      </w:r>
      <w:r>
        <w:rPr>
          <w:rFonts w:hint="eastAsia" w:ascii="宋体" w:hAnsi="宋体" w:eastAsia="宋体" w:cs="宋体"/>
          <w:snapToGrid w:val="0"/>
          <w:color w:val="000000"/>
          <w:spacing w:val="-3"/>
          <w:kern w:val="0"/>
          <w:sz w:val="20"/>
          <w:szCs w:val="20"/>
          <w:lang w:val="en-US" w:eastAsia="en-US" w:bidi="ar-SA"/>
        </w:rPr>
        <w:t>因其影响而可能发生的一切费用。</w:t>
      </w:r>
    </w:p>
    <w:p w14:paraId="7F2457A8">
      <w:pPr>
        <w:kinsoku w:val="0"/>
        <w:autoSpaceDE w:val="0"/>
        <w:autoSpaceDN w:val="0"/>
        <w:adjustRightInd w:val="0"/>
        <w:snapToGrid w:val="0"/>
        <w:spacing w:before="78" w:line="240" w:lineRule="auto"/>
        <w:ind w:left="40" w:firstLine="424"/>
        <w:jc w:val="both"/>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（2）对于项目专用合同条款未明确指出，但是在不利物质条件发生之前</w:t>
      </w:r>
      <w:r>
        <w:rPr>
          <w:rFonts w:hint="eastAsia" w:ascii="宋体" w:hAnsi="宋体" w:eastAsia="宋体" w:cs="宋体"/>
          <w:snapToGrid w:val="0"/>
          <w:color w:val="000000"/>
          <w:spacing w:val="-2"/>
          <w:kern w:val="0"/>
          <w:sz w:val="20"/>
          <w:szCs w:val="20"/>
          <w:lang w:val="en-US" w:eastAsia="en-US" w:bidi="ar-SA"/>
        </w:rPr>
        <w:t>，监理</w:t>
      </w:r>
      <w:r>
        <w:rPr>
          <w:rFonts w:hint="eastAsia" w:ascii="宋体" w:hAnsi="宋体" w:eastAsia="宋体" w:cs="宋体"/>
          <w:snapToGrid w:val="0"/>
          <w:color w:val="000000"/>
          <w:kern w:val="0"/>
          <w:sz w:val="20"/>
          <w:szCs w:val="20"/>
          <w:lang w:val="en-US" w:eastAsia="en-US" w:bidi="ar-SA"/>
        </w:rPr>
        <w:t>人已经指示承包人有可能发生，但承包人未能及时采取有效措施，而导致的损失和</w:t>
      </w:r>
      <w:r>
        <w:rPr>
          <w:rFonts w:hint="eastAsia" w:ascii="宋体" w:hAnsi="宋体" w:eastAsia="宋体" w:cs="宋体"/>
          <w:snapToGrid w:val="0"/>
          <w:color w:val="000000"/>
          <w:spacing w:val="-5"/>
          <w:kern w:val="0"/>
          <w:sz w:val="20"/>
          <w:szCs w:val="20"/>
          <w:lang w:val="en-US" w:eastAsia="en-US" w:bidi="ar-SA"/>
        </w:rPr>
        <w:t>后果均由承包人承担。</w:t>
      </w:r>
    </w:p>
    <w:p w14:paraId="57A8B985">
      <w:pPr>
        <w:kinsoku w:val="0"/>
        <w:autoSpaceDE w:val="0"/>
        <w:autoSpaceDN w:val="0"/>
        <w:adjustRightInd w:val="0"/>
        <w:snapToGrid w:val="0"/>
        <w:spacing w:before="78" w:line="240" w:lineRule="auto"/>
        <w:ind w:left="3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补充第</w:t>
      </w:r>
      <w:r>
        <w:rPr>
          <w:rFonts w:hint="eastAsia" w:ascii="宋体" w:hAnsi="宋体" w:eastAsia="宋体" w:cs="宋体"/>
          <w:snapToGrid w:val="0"/>
          <w:color w:val="000000"/>
          <w:spacing w:val="-43"/>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4.12 款、第</w:t>
      </w:r>
      <w:r>
        <w:rPr>
          <w:rFonts w:hint="eastAsia" w:ascii="宋体" w:hAnsi="宋体" w:eastAsia="宋体" w:cs="宋体"/>
          <w:snapToGrid w:val="0"/>
          <w:color w:val="000000"/>
          <w:spacing w:val="-56"/>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4.13 款：</w:t>
      </w:r>
    </w:p>
    <w:p w14:paraId="14E675E2">
      <w:pPr>
        <w:spacing w:before="318"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4.12  投标文件的完备性</w:t>
      </w:r>
    </w:p>
    <w:p w14:paraId="40066D5F">
      <w:pPr>
        <w:kinsoku w:val="0"/>
        <w:autoSpaceDE w:val="0"/>
        <w:autoSpaceDN w:val="0"/>
        <w:adjustRightInd w:val="0"/>
        <w:snapToGrid w:val="0"/>
        <w:spacing w:before="78" w:line="240" w:lineRule="auto"/>
        <w:ind w:left="38" w:right="7" w:firstLine="48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合同双方一致认为，承包人在递交投标文件</w:t>
      </w:r>
      <w:r>
        <w:rPr>
          <w:rFonts w:hint="eastAsia" w:ascii="宋体" w:hAnsi="宋体" w:eastAsia="宋体" w:cs="宋体"/>
          <w:snapToGrid w:val="0"/>
          <w:color w:val="000000"/>
          <w:kern w:val="0"/>
          <w:sz w:val="20"/>
          <w:szCs w:val="20"/>
          <w:lang w:val="en-US" w:eastAsia="en-US" w:bidi="ar-SA"/>
        </w:rPr>
        <w:t>前，对本合同工程的投标文件和已标价工程量清单中开列的单价和总额价已查明是正确的和完备的。投标的单价和总</w:t>
      </w:r>
      <w:r>
        <w:rPr>
          <w:rFonts w:hint="eastAsia" w:ascii="宋体" w:hAnsi="宋体" w:eastAsia="宋体" w:cs="宋体"/>
          <w:snapToGrid w:val="0"/>
          <w:color w:val="000000"/>
          <w:spacing w:val="1"/>
          <w:kern w:val="0"/>
          <w:sz w:val="20"/>
          <w:szCs w:val="20"/>
          <w:lang w:val="en-US" w:eastAsia="en-US" w:bidi="ar-SA"/>
        </w:rPr>
        <w:t>额价应已包括了合同中规定的承包人的全部义</w:t>
      </w:r>
      <w:r>
        <w:rPr>
          <w:rFonts w:hint="eastAsia" w:ascii="宋体" w:hAnsi="宋体" w:eastAsia="宋体" w:cs="宋体"/>
          <w:snapToGrid w:val="0"/>
          <w:color w:val="000000"/>
          <w:kern w:val="0"/>
          <w:sz w:val="20"/>
          <w:szCs w:val="20"/>
          <w:lang w:val="en-US" w:eastAsia="en-US" w:bidi="ar-SA"/>
        </w:rPr>
        <w:t>务（包括提供货物、材料、设备、服</w:t>
      </w:r>
      <w:r>
        <w:rPr>
          <w:rFonts w:hint="eastAsia" w:ascii="宋体" w:hAnsi="宋体" w:eastAsia="宋体" w:cs="宋体"/>
          <w:snapToGrid w:val="0"/>
          <w:color w:val="000000"/>
          <w:spacing w:val="1"/>
          <w:kern w:val="0"/>
          <w:sz w:val="20"/>
          <w:szCs w:val="20"/>
          <w:lang w:val="en-US" w:eastAsia="en-US" w:bidi="ar-SA"/>
        </w:rPr>
        <w:t>务的义务，并包括了暂列金额和暂估价范围内的</w:t>
      </w:r>
      <w:r>
        <w:rPr>
          <w:rFonts w:hint="eastAsia" w:ascii="宋体" w:hAnsi="宋体" w:eastAsia="宋体" w:cs="宋体"/>
          <w:snapToGrid w:val="0"/>
          <w:color w:val="000000"/>
          <w:kern w:val="0"/>
          <w:sz w:val="20"/>
          <w:szCs w:val="20"/>
          <w:lang w:val="en-US" w:eastAsia="en-US" w:bidi="ar-SA"/>
        </w:rPr>
        <w:t>额外工作的义务）以及为实施和完</w:t>
      </w:r>
      <w:r>
        <w:rPr>
          <w:rFonts w:hint="eastAsia" w:ascii="宋体" w:hAnsi="宋体" w:eastAsia="宋体" w:cs="宋体"/>
          <w:snapToGrid w:val="0"/>
          <w:color w:val="000000"/>
          <w:spacing w:val="-2"/>
          <w:kern w:val="0"/>
          <w:sz w:val="20"/>
          <w:szCs w:val="20"/>
          <w:lang w:val="en-US" w:eastAsia="en-US" w:bidi="ar-SA"/>
        </w:rPr>
        <w:t>成本合同工程及其缺陷修复所必需的一切工作和条件。</w:t>
      </w:r>
    </w:p>
    <w:p w14:paraId="405F4613">
      <w:pPr>
        <w:spacing w:before="216" w:line="240" w:lineRule="auto"/>
        <w:ind w:left="32"/>
        <w:outlineLvl w:val="1"/>
        <w:rPr>
          <w:rFonts w:hint="eastAsia" w:ascii="宋体" w:hAnsi="宋体" w:eastAsia="宋体" w:cs="宋体"/>
          <w:sz w:val="20"/>
          <w:szCs w:val="20"/>
        </w:rPr>
      </w:pPr>
      <w:r>
        <w:rPr>
          <w:rFonts w:hint="eastAsia" w:ascii="宋体" w:hAnsi="宋体" w:eastAsia="宋体" w:cs="宋体"/>
          <w:spacing w:val="-1"/>
          <w:sz w:val="20"/>
          <w:szCs w:val="20"/>
        </w:rPr>
        <w:t>4.13  开展党建工作要求</w:t>
      </w:r>
    </w:p>
    <w:p w14:paraId="55940D41">
      <w:pPr>
        <w:kinsoku w:val="0"/>
        <w:autoSpaceDE w:val="0"/>
        <w:autoSpaceDN w:val="0"/>
        <w:adjustRightInd w:val="0"/>
        <w:snapToGrid w:val="0"/>
        <w:spacing w:before="79" w:line="240" w:lineRule="auto"/>
        <w:ind w:left="39" w:right="6" w:firstLine="478"/>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对于政府投资的国家高速公路项目，或承包人为国有</w:t>
      </w:r>
      <w:r>
        <w:rPr>
          <w:rFonts w:hint="eastAsia" w:ascii="宋体" w:hAnsi="宋体" w:eastAsia="宋体" w:cs="宋体"/>
          <w:snapToGrid w:val="0"/>
          <w:color w:val="000000"/>
          <w:kern w:val="0"/>
          <w:sz w:val="20"/>
          <w:szCs w:val="20"/>
          <w:lang w:val="en-US" w:eastAsia="en-US" w:bidi="ar-SA"/>
        </w:rPr>
        <w:t>控股或参股企业的，承包</w:t>
      </w:r>
      <w:r>
        <w:rPr>
          <w:rFonts w:hint="eastAsia" w:ascii="宋体" w:hAnsi="宋体" w:eastAsia="宋体" w:cs="宋体"/>
          <w:snapToGrid w:val="0"/>
          <w:color w:val="000000"/>
          <w:spacing w:val="1"/>
          <w:kern w:val="0"/>
          <w:sz w:val="20"/>
          <w:szCs w:val="20"/>
          <w:lang w:val="en-US" w:eastAsia="en-US" w:bidi="ar-SA"/>
        </w:rPr>
        <w:t>人应按规定在项目现场设立基层党组织。不满足</w:t>
      </w:r>
      <w:r>
        <w:rPr>
          <w:rFonts w:hint="eastAsia" w:ascii="宋体" w:hAnsi="宋体" w:eastAsia="宋体" w:cs="宋体"/>
          <w:snapToGrid w:val="0"/>
          <w:color w:val="000000"/>
          <w:kern w:val="0"/>
          <w:sz w:val="20"/>
          <w:szCs w:val="20"/>
          <w:lang w:val="en-US" w:eastAsia="en-US" w:bidi="ar-SA"/>
        </w:rPr>
        <w:t>上述情形的，承包人应创造条件使</w:t>
      </w:r>
      <w:r>
        <w:rPr>
          <w:rFonts w:hint="eastAsia" w:ascii="宋体" w:hAnsi="宋体" w:eastAsia="宋体" w:cs="宋体"/>
          <w:snapToGrid w:val="0"/>
          <w:color w:val="000000"/>
          <w:spacing w:val="-3"/>
          <w:kern w:val="0"/>
          <w:sz w:val="20"/>
          <w:szCs w:val="20"/>
          <w:lang w:val="en-US" w:eastAsia="en-US" w:bidi="ar-SA"/>
        </w:rPr>
        <w:t>党员能够参加党组织生活并接受相应管理。</w:t>
      </w:r>
    </w:p>
    <w:p w14:paraId="4E34FC88">
      <w:pPr>
        <w:kinsoku w:val="0"/>
        <w:autoSpaceDE w:val="0"/>
        <w:autoSpaceDN w:val="0"/>
        <w:adjustRightInd w:val="0"/>
        <w:snapToGrid w:val="0"/>
        <w:spacing w:before="3" w:line="240" w:lineRule="auto"/>
        <w:ind w:left="37" w:right="6" w:firstLine="480"/>
        <w:jc w:val="both"/>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承包人在项目现场设立基层党组织的，应明确</w:t>
      </w:r>
      <w:r>
        <w:rPr>
          <w:rFonts w:hint="eastAsia" w:ascii="宋体" w:hAnsi="宋体" w:eastAsia="宋体" w:cs="宋体"/>
          <w:snapToGrid w:val="0"/>
          <w:color w:val="000000"/>
          <w:kern w:val="0"/>
          <w:sz w:val="20"/>
          <w:szCs w:val="20"/>
          <w:lang w:val="en-US" w:eastAsia="en-US" w:bidi="ar-SA"/>
        </w:rPr>
        <w:t>党组织机构设置、党组织负责人</w:t>
      </w:r>
      <w:r>
        <w:rPr>
          <w:rFonts w:hint="eastAsia" w:ascii="宋体" w:hAnsi="宋体" w:eastAsia="宋体" w:cs="宋体"/>
          <w:snapToGrid w:val="0"/>
          <w:color w:val="000000"/>
          <w:spacing w:val="1"/>
          <w:kern w:val="0"/>
          <w:sz w:val="20"/>
          <w:szCs w:val="20"/>
          <w:lang w:val="en-US" w:eastAsia="en-US" w:bidi="ar-SA"/>
        </w:rPr>
        <w:t>及党务工作人员配备情况，编制党务工作开展预案，</w:t>
      </w:r>
      <w:r>
        <w:rPr>
          <w:rFonts w:hint="eastAsia" w:ascii="宋体" w:hAnsi="宋体" w:eastAsia="宋体" w:cs="宋体"/>
          <w:snapToGrid w:val="0"/>
          <w:color w:val="000000"/>
          <w:kern w:val="0"/>
          <w:sz w:val="20"/>
          <w:szCs w:val="20"/>
          <w:lang w:val="en-US" w:eastAsia="en-US" w:bidi="ar-SA"/>
        </w:rPr>
        <w:t>并按照预案要求在项目实施过程中同步开展党务工作，充分发挥基层党组织在</w:t>
      </w:r>
      <w:r>
        <w:rPr>
          <w:rFonts w:hint="eastAsia" w:ascii="宋体" w:hAnsi="宋体" w:eastAsia="宋体" w:cs="宋体"/>
          <w:snapToGrid w:val="0"/>
          <w:color w:val="000000"/>
          <w:spacing w:val="-1"/>
          <w:kern w:val="0"/>
          <w:sz w:val="20"/>
          <w:szCs w:val="20"/>
          <w:lang w:val="en-US" w:eastAsia="en-US" w:bidi="ar-SA"/>
        </w:rPr>
        <w:t>项目实施中的作用。</w:t>
      </w:r>
    </w:p>
    <w:p w14:paraId="5FF4F27F">
      <w:pPr>
        <w:spacing w:before="92" w:line="240" w:lineRule="auto"/>
        <w:ind w:left="42"/>
        <w:outlineLvl w:val="0"/>
        <w:rPr>
          <w:rFonts w:hint="eastAsia" w:ascii="宋体" w:hAnsi="宋体" w:eastAsia="宋体" w:cs="宋体"/>
          <w:sz w:val="20"/>
          <w:szCs w:val="20"/>
        </w:rPr>
      </w:pPr>
      <w:r>
        <w:rPr>
          <w:rFonts w:hint="eastAsia" w:ascii="宋体" w:hAnsi="宋体" w:eastAsia="宋体" w:cs="宋体"/>
          <w:spacing w:val="-1"/>
          <w:sz w:val="20"/>
          <w:szCs w:val="20"/>
        </w:rPr>
        <w:t>5.  材料和工程设备</w:t>
      </w:r>
    </w:p>
    <w:p w14:paraId="08F2AB95">
      <w:pPr>
        <w:spacing w:before="313" w:line="240" w:lineRule="auto"/>
        <w:ind w:left="40"/>
        <w:outlineLvl w:val="1"/>
        <w:rPr>
          <w:rFonts w:hint="eastAsia" w:ascii="宋体" w:hAnsi="宋体" w:eastAsia="宋体" w:cs="宋体"/>
          <w:sz w:val="20"/>
          <w:szCs w:val="20"/>
        </w:rPr>
      </w:pPr>
      <w:r>
        <w:rPr>
          <w:rFonts w:hint="eastAsia" w:ascii="宋体" w:hAnsi="宋体" w:eastAsia="宋体" w:cs="宋体"/>
          <w:spacing w:val="-1"/>
          <w:sz w:val="20"/>
          <w:szCs w:val="20"/>
        </w:rPr>
        <w:t>5.2  发包人提供的材料和工程设备</w:t>
      </w:r>
    </w:p>
    <w:p w14:paraId="0941FE71">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第</w:t>
      </w:r>
      <w:r>
        <w:rPr>
          <w:rFonts w:hint="eastAsia" w:ascii="宋体" w:hAnsi="宋体" w:eastAsia="宋体" w:cs="宋体"/>
          <w:snapToGrid w:val="0"/>
          <w:color w:val="000000"/>
          <w:spacing w:val="-42"/>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5.2.3</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项补充：</w:t>
      </w:r>
    </w:p>
    <w:p w14:paraId="348BAC50">
      <w:pPr>
        <w:kinsoku w:val="0"/>
        <w:autoSpaceDE w:val="0"/>
        <w:autoSpaceDN w:val="0"/>
        <w:adjustRightInd w:val="0"/>
        <w:snapToGrid w:val="0"/>
        <w:spacing w:before="93" w:line="240" w:lineRule="auto"/>
        <w:ind w:left="41" w:right="10" w:firstLine="477"/>
        <w:jc w:val="left"/>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kern w:val="0"/>
          <w:sz w:val="20"/>
          <w:szCs w:val="20"/>
          <w:lang w:val="en-US" w:eastAsia="en-US" w:bidi="ar-SA"/>
        </w:rPr>
        <w:t>承包人负责接收并按规定对材料进行抽样检验和对工程设备进行检验测试，若发现材料和工程设备存在缺陷，承包人应及时通知监理人，发包人应及时改正通知中指出的缺陷。承包人负责接收后的运输和保管，因承包人的原因发生丢失、损坏</w:t>
      </w:r>
      <w:r>
        <w:rPr>
          <w:rFonts w:hint="eastAsia" w:ascii="宋体" w:hAnsi="宋体" w:eastAsia="宋体" w:cs="宋体"/>
          <w:snapToGrid w:val="0"/>
          <w:color w:val="000000"/>
          <w:spacing w:val="-3"/>
          <w:kern w:val="0"/>
          <w:sz w:val="20"/>
          <w:szCs w:val="20"/>
          <w:lang w:val="en-US" w:eastAsia="en-US" w:bidi="ar-SA"/>
        </w:rPr>
        <w:t>或进度拖延，由承包人承担相应责任。</w:t>
      </w:r>
    </w:p>
    <w:p w14:paraId="0792EEA4">
      <w:pPr>
        <w:spacing w:before="91" w:line="240" w:lineRule="auto"/>
        <w:ind w:left="40"/>
        <w:outlineLvl w:val="0"/>
        <w:rPr>
          <w:rFonts w:hint="eastAsia" w:ascii="宋体" w:hAnsi="宋体" w:eastAsia="宋体" w:cs="宋体"/>
          <w:sz w:val="20"/>
          <w:szCs w:val="20"/>
        </w:rPr>
      </w:pPr>
      <w:r>
        <w:rPr>
          <w:rFonts w:hint="eastAsia" w:ascii="宋体" w:hAnsi="宋体" w:eastAsia="宋体" w:cs="宋体"/>
          <w:spacing w:val="-1"/>
          <w:sz w:val="20"/>
          <w:szCs w:val="20"/>
        </w:rPr>
        <w:t>6.  施工设备和临时设施</w:t>
      </w:r>
    </w:p>
    <w:p w14:paraId="202DF301">
      <w:pPr>
        <w:spacing w:before="312" w:line="240" w:lineRule="auto"/>
        <w:ind w:left="39"/>
        <w:outlineLvl w:val="1"/>
        <w:rPr>
          <w:rFonts w:hint="eastAsia" w:ascii="宋体" w:hAnsi="宋体" w:eastAsia="宋体" w:cs="宋体"/>
          <w:sz w:val="20"/>
          <w:szCs w:val="20"/>
        </w:rPr>
      </w:pPr>
      <w:r>
        <w:rPr>
          <w:rFonts w:hint="eastAsia" w:ascii="宋体" w:hAnsi="宋体" w:eastAsia="宋体" w:cs="宋体"/>
          <w:spacing w:val="-1"/>
          <w:sz w:val="20"/>
          <w:szCs w:val="20"/>
        </w:rPr>
        <w:t>6.1  承包人提供的施工设备和临时设施</w:t>
      </w:r>
    </w:p>
    <w:p w14:paraId="6F2404E3">
      <w:pPr>
        <w:kinsoku w:val="0"/>
        <w:autoSpaceDE w:val="0"/>
        <w:autoSpaceDN w:val="0"/>
        <w:adjustRightInd w:val="0"/>
        <w:snapToGrid w:val="0"/>
        <w:spacing w:before="78" w:line="240" w:lineRule="auto"/>
        <w:ind w:left="45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第</w:t>
      </w:r>
      <w:r>
        <w:rPr>
          <w:rFonts w:hint="eastAsia" w:ascii="宋体" w:hAnsi="宋体" w:eastAsia="宋体" w:cs="宋体"/>
          <w:snapToGrid w:val="0"/>
          <w:color w:val="000000"/>
          <w:spacing w:val="-48"/>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6.1.2</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项约定为：</w:t>
      </w:r>
    </w:p>
    <w:p w14:paraId="0774329B">
      <w:pPr>
        <w:kinsoku w:val="0"/>
        <w:autoSpaceDE w:val="0"/>
        <w:autoSpaceDN w:val="0"/>
        <w:adjustRightInd w:val="0"/>
        <w:snapToGrid w:val="0"/>
        <w:spacing w:before="98" w:line="240" w:lineRule="auto"/>
        <w:ind w:left="32"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承包人应自行承担修建临时设施的费用，需要临时占地的，应由承包人按第</w:t>
      </w:r>
      <w:r>
        <w:rPr>
          <w:rFonts w:hint="eastAsia" w:ascii="宋体" w:hAnsi="宋体" w:eastAsia="宋体" w:cs="宋体"/>
          <w:snapToGrid w:val="0"/>
          <w:color w:val="000000"/>
          <w:spacing w:val="-6"/>
          <w:kern w:val="0"/>
          <w:sz w:val="20"/>
          <w:szCs w:val="20"/>
          <w:lang w:val="en-US" w:eastAsia="en-US" w:bidi="ar-SA"/>
        </w:rPr>
        <w:t>4.1.10</w:t>
      </w:r>
      <w:r>
        <w:rPr>
          <w:rFonts w:hint="eastAsia" w:ascii="宋体" w:hAnsi="宋体" w:eastAsia="宋体" w:cs="宋体"/>
          <w:snapToGrid w:val="0"/>
          <w:color w:val="000000"/>
          <w:spacing w:val="19"/>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项（1）</w:t>
      </w:r>
      <w:r>
        <w:rPr>
          <w:rFonts w:hint="eastAsia" w:ascii="宋体" w:hAnsi="宋体" w:eastAsia="宋体" w:cs="宋体"/>
          <w:snapToGrid w:val="0"/>
          <w:color w:val="000000"/>
          <w:spacing w:val="-65"/>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目的规定办理。</w:t>
      </w:r>
    </w:p>
    <w:p w14:paraId="0190F24B">
      <w:pPr>
        <w:spacing w:before="191" w:line="240" w:lineRule="auto"/>
        <w:ind w:left="39"/>
        <w:outlineLvl w:val="1"/>
        <w:rPr>
          <w:rFonts w:hint="eastAsia" w:ascii="宋体" w:hAnsi="宋体" w:eastAsia="宋体" w:cs="宋体"/>
          <w:sz w:val="20"/>
          <w:szCs w:val="20"/>
        </w:rPr>
      </w:pPr>
      <w:r>
        <w:rPr>
          <w:rFonts w:hint="eastAsia" w:ascii="宋体" w:hAnsi="宋体" w:eastAsia="宋体" w:cs="宋体"/>
          <w:spacing w:val="-1"/>
          <w:sz w:val="20"/>
          <w:szCs w:val="20"/>
        </w:rPr>
        <w:t>6.3  要求承包人增加或更换施工设备</w:t>
      </w:r>
    </w:p>
    <w:p w14:paraId="1158E7B7">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本款细化为：</w:t>
      </w:r>
    </w:p>
    <w:p w14:paraId="3E4B1836">
      <w:pPr>
        <w:kinsoku w:val="0"/>
        <w:autoSpaceDE w:val="0"/>
        <w:autoSpaceDN w:val="0"/>
        <w:adjustRightInd w:val="0"/>
        <w:snapToGrid w:val="0"/>
        <w:spacing w:before="113" w:line="240" w:lineRule="auto"/>
        <w:ind w:left="37" w:right="7" w:firstLine="480"/>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承包人承诺的施工设备必须按时到达现场，</w:t>
      </w:r>
      <w:r>
        <w:rPr>
          <w:rFonts w:hint="eastAsia" w:ascii="宋体" w:hAnsi="宋体" w:eastAsia="宋体" w:cs="宋体"/>
          <w:snapToGrid w:val="0"/>
          <w:color w:val="000000"/>
          <w:kern w:val="0"/>
          <w:sz w:val="20"/>
          <w:szCs w:val="20"/>
          <w:lang w:val="en-US" w:eastAsia="en-US" w:bidi="ar-SA"/>
        </w:rPr>
        <w:t>不得拖延、缺短或任意更换。尽管</w:t>
      </w:r>
      <w:r>
        <w:rPr>
          <w:rFonts w:hint="eastAsia" w:ascii="宋体" w:hAnsi="宋体" w:eastAsia="宋体" w:cs="宋体"/>
          <w:snapToGrid w:val="0"/>
          <w:color w:val="000000"/>
          <w:spacing w:val="1"/>
          <w:kern w:val="0"/>
          <w:sz w:val="20"/>
          <w:szCs w:val="20"/>
          <w:lang w:val="en-US" w:eastAsia="en-US" w:bidi="ar-SA"/>
        </w:rPr>
        <w:t>承包人已按承诺提供了上述设备，但若承包人</w:t>
      </w:r>
      <w:r>
        <w:rPr>
          <w:rFonts w:hint="eastAsia" w:ascii="宋体" w:hAnsi="宋体" w:eastAsia="宋体" w:cs="宋体"/>
          <w:snapToGrid w:val="0"/>
          <w:color w:val="000000"/>
          <w:kern w:val="0"/>
          <w:sz w:val="20"/>
          <w:szCs w:val="20"/>
          <w:lang w:val="en-US" w:eastAsia="en-US" w:bidi="ar-SA"/>
        </w:rPr>
        <w:t>使用的施工设备不能满足合同进度计</w:t>
      </w:r>
      <w:r>
        <w:rPr>
          <w:rFonts w:hint="eastAsia" w:ascii="宋体" w:hAnsi="宋体" w:eastAsia="宋体" w:cs="宋体"/>
          <w:snapToGrid w:val="0"/>
          <w:color w:val="000000"/>
          <w:spacing w:val="1"/>
          <w:kern w:val="0"/>
          <w:sz w:val="20"/>
          <w:szCs w:val="20"/>
          <w:lang w:val="en-US" w:eastAsia="en-US" w:bidi="ar-SA"/>
        </w:rPr>
        <w:t>划和（或）质量要求时，监理人有权要求承</w:t>
      </w:r>
      <w:r>
        <w:rPr>
          <w:rFonts w:hint="eastAsia" w:ascii="宋体" w:hAnsi="宋体" w:eastAsia="宋体" w:cs="宋体"/>
          <w:snapToGrid w:val="0"/>
          <w:color w:val="000000"/>
          <w:kern w:val="0"/>
          <w:sz w:val="20"/>
          <w:szCs w:val="20"/>
          <w:lang w:val="en-US" w:eastAsia="en-US" w:bidi="ar-SA"/>
        </w:rPr>
        <w:t>包人增加或更换施工设备，承包人应及</w:t>
      </w:r>
      <w:r>
        <w:rPr>
          <w:rFonts w:hint="eastAsia" w:ascii="宋体" w:hAnsi="宋体" w:eastAsia="宋体" w:cs="宋体"/>
          <w:snapToGrid w:val="0"/>
          <w:color w:val="000000"/>
          <w:spacing w:val="-2"/>
          <w:kern w:val="0"/>
          <w:sz w:val="20"/>
          <w:szCs w:val="20"/>
          <w:lang w:val="en-US" w:eastAsia="en-US" w:bidi="ar-SA"/>
        </w:rPr>
        <w:t>时增加或更换，由此增加的费用和（或）工期延误由承包人承担。</w:t>
      </w:r>
    </w:p>
    <w:p w14:paraId="58E20F48">
      <w:pPr>
        <w:spacing w:before="91" w:line="240" w:lineRule="auto"/>
        <w:ind w:left="39"/>
        <w:outlineLvl w:val="0"/>
        <w:rPr>
          <w:rFonts w:hint="eastAsia" w:ascii="宋体" w:hAnsi="宋体" w:eastAsia="宋体" w:cs="宋体"/>
          <w:sz w:val="20"/>
          <w:szCs w:val="20"/>
        </w:rPr>
      </w:pPr>
      <w:r>
        <w:rPr>
          <w:rFonts w:hint="eastAsia" w:ascii="宋体" w:hAnsi="宋体" w:eastAsia="宋体" w:cs="宋体"/>
          <w:spacing w:val="-4"/>
          <w:sz w:val="20"/>
          <w:szCs w:val="20"/>
        </w:rPr>
        <w:t>7.</w:t>
      </w:r>
      <w:r>
        <w:rPr>
          <w:rFonts w:hint="eastAsia" w:ascii="宋体" w:hAnsi="宋体" w:eastAsia="宋体" w:cs="宋体"/>
          <w:spacing w:val="9"/>
          <w:sz w:val="20"/>
          <w:szCs w:val="20"/>
        </w:rPr>
        <w:t xml:space="preserve">  </w:t>
      </w:r>
      <w:r>
        <w:rPr>
          <w:rFonts w:hint="eastAsia" w:ascii="宋体" w:hAnsi="宋体" w:eastAsia="宋体" w:cs="宋体"/>
          <w:spacing w:val="-4"/>
          <w:sz w:val="20"/>
          <w:szCs w:val="20"/>
        </w:rPr>
        <w:t>交通运输</w:t>
      </w:r>
    </w:p>
    <w:p w14:paraId="16C7658C">
      <w:pPr>
        <w:spacing w:before="313" w:line="240" w:lineRule="auto"/>
        <w:ind w:left="37"/>
        <w:outlineLvl w:val="1"/>
        <w:rPr>
          <w:rFonts w:hint="eastAsia" w:ascii="宋体" w:hAnsi="宋体" w:eastAsia="宋体" w:cs="宋体"/>
          <w:sz w:val="20"/>
          <w:szCs w:val="20"/>
        </w:rPr>
      </w:pPr>
      <w:r>
        <w:rPr>
          <w:rFonts w:hint="eastAsia" w:ascii="宋体" w:hAnsi="宋体" w:eastAsia="宋体" w:cs="宋体"/>
          <w:spacing w:val="-1"/>
          <w:sz w:val="20"/>
          <w:szCs w:val="20"/>
        </w:rPr>
        <w:t>7.1  道路通行权和场外设施</w:t>
      </w:r>
    </w:p>
    <w:p w14:paraId="21708F30">
      <w:pPr>
        <w:kinsoku w:val="0"/>
        <w:autoSpaceDE w:val="0"/>
        <w:autoSpaceDN w:val="0"/>
        <w:adjustRightInd w:val="0"/>
        <w:snapToGrid w:val="0"/>
        <w:spacing w:before="78" w:line="240" w:lineRule="auto"/>
        <w:ind w:left="45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本款约定为：</w:t>
      </w:r>
    </w:p>
    <w:p w14:paraId="32011256">
      <w:pPr>
        <w:kinsoku w:val="0"/>
        <w:autoSpaceDE w:val="0"/>
        <w:autoSpaceDN w:val="0"/>
        <w:adjustRightInd w:val="0"/>
        <w:snapToGrid w:val="0"/>
        <w:spacing w:before="113" w:line="240" w:lineRule="auto"/>
        <w:ind w:left="37" w:right="9" w:firstLine="480"/>
        <w:jc w:val="left"/>
        <w:textAlignment w:val="baseline"/>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承包人应根据合同工程的施工需要，负责办理取得出入施工场地的专用和临时道路的通行权，以及取得为工程建设所需修</w:t>
      </w:r>
      <w:r>
        <w:rPr>
          <w:rFonts w:hint="eastAsia" w:ascii="宋体" w:hAnsi="宋体" w:eastAsia="宋体" w:cs="宋体"/>
          <w:snapToGrid w:val="0"/>
          <w:color w:val="000000"/>
          <w:spacing w:val="-1"/>
          <w:kern w:val="0"/>
          <w:sz w:val="20"/>
          <w:szCs w:val="20"/>
          <w:lang w:val="en-US" w:eastAsia="en-US" w:bidi="ar-SA"/>
        </w:rPr>
        <w:t>建场外设施的权利，并承担有关费用。</w:t>
      </w:r>
      <w:r>
        <w:rPr>
          <w:rFonts w:hint="eastAsia" w:ascii="宋体" w:hAnsi="宋体" w:eastAsia="宋体" w:cs="宋体"/>
          <w:snapToGrid w:val="0"/>
          <w:color w:val="000000"/>
          <w:spacing w:val="-2"/>
          <w:kern w:val="0"/>
          <w:sz w:val="20"/>
          <w:szCs w:val="20"/>
          <w:lang w:val="en-US" w:eastAsia="en-US" w:bidi="ar-SA"/>
        </w:rPr>
        <w:t>需要发包人协调时，发包人应协助承包人办理相关手续。</w:t>
      </w:r>
    </w:p>
    <w:p w14:paraId="0A3478CF">
      <w:pPr>
        <w:spacing w:before="92" w:line="240" w:lineRule="auto"/>
        <w:ind w:left="45"/>
        <w:outlineLvl w:val="0"/>
        <w:rPr>
          <w:rFonts w:hint="eastAsia" w:ascii="宋体" w:hAnsi="宋体" w:eastAsia="宋体" w:cs="宋体"/>
          <w:sz w:val="20"/>
          <w:szCs w:val="20"/>
        </w:rPr>
      </w:pPr>
      <w:r>
        <w:rPr>
          <w:rFonts w:hint="eastAsia" w:ascii="宋体" w:hAnsi="宋体" w:eastAsia="宋体" w:cs="宋体"/>
          <w:spacing w:val="-2"/>
          <w:sz w:val="20"/>
          <w:szCs w:val="20"/>
        </w:rPr>
        <w:t>8.  测量放线</w:t>
      </w:r>
    </w:p>
    <w:p w14:paraId="37606B11">
      <w:pPr>
        <w:spacing w:before="317" w:line="240" w:lineRule="auto"/>
        <w:ind w:left="43"/>
        <w:outlineLvl w:val="1"/>
        <w:rPr>
          <w:rFonts w:hint="eastAsia" w:ascii="宋体" w:hAnsi="宋体" w:eastAsia="宋体" w:cs="宋体"/>
          <w:sz w:val="20"/>
          <w:szCs w:val="20"/>
        </w:rPr>
      </w:pPr>
      <w:r>
        <w:rPr>
          <w:rFonts w:hint="eastAsia" w:ascii="宋体" w:hAnsi="宋体" w:eastAsia="宋体" w:cs="宋体"/>
          <w:spacing w:val="-1"/>
          <w:sz w:val="20"/>
          <w:szCs w:val="20"/>
        </w:rPr>
        <w:t>8.4  监理人使用施工控制网</w:t>
      </w:r>
    </w:p>
    <w:p w14:paraId="704C6817">
      <w:pPr>
        <w:kinsoku w:val="0"/>
        <w:autoSpaceDE w:val="0"/>
        <w:autoSpaceDN w:val="0"/>
        <w:adjustRightInd w:val="0"/>
        <w:snapToGrid w:val="0"/>
        <w:spacing w:before="78"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3B2C67A3">
      <w:pPr>
        <w:kinsoku w:val="0"/>
        <w:autoSpaceDE w:val="0"/>
        <w:autoSpaceDN w:val="0"/>
        <w:adjustRightInd w:val="0"/>
        <w:snapToGrid w:val="0"/>
        <w:spacing w:before="116" w:line="240" w:lineRule="auto"/>
        <w:ind w:left="431"/>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2"/>
          <w:kern w:val="0"/>
          <w:sz w:val="20"/>
          <w:szCs w:val="20"/>
          <w:lang w:val="en-US" w:eastAsia="en-US" w:bidi="ar-SA"/>
        </w:rPr>
        <w:t>经监理人批准，其他相关承包人也可免费使用施工控制网。</w:t>
      </w:r>
    </w:p>
    <w:p w14:paraId="62A28DA2">
      <w:pPr>
        <w:spacing w:before="92" w:line="240" w:lineRule="auto"/>
        <w:ind w:left="40"/>
        <w:outlineLvl w:val="0"/>
        <w:rPr>
          <w:rFonts w:hint="eastAsia" w:ascii="宋体" w:hAnsi="宋体" w:eastAsia="宋体" w:cs="宋体"/>
          <w:sz w:val="20"/>
          <w:szCs w:val="20"/>
        </w:rPr>
      </w:pPr>
      <w:r>
        <w:rPr>
          <w:rFonts w:hint="eastAsia" w:ascii="宋体" w:hAnsi="宋体" w:eastAsia="宋体" w:cs="宋体"/>
          <w:spacing w:val="-1"/>
          <w:sz w:val="20"/>
          <w:szCs w:val="20"/>
        </w:rPr>
        <w:t>9.  施工安全、治安保卫和环境保护</w:t>
      </w:r>
    </w:p>
    <w:p w14:paraId="11BABE38">
      <w:pPr>
        <w:spacing w:before="315" w:line="240" w:lineRule="auto"/>
        <w:ind w:left="38"/>
        <w:outlineLvl w:val="1"/>
        <w:rPr>
          <w:rFonts w:hint="eastAsia" w:ascii="宋体" w:hAnsi="宋体" w:eastAsia="宋体" w:cs="宋体"/>
          <w:sz w:val="20"/>
          <w:szCs w:val="20"/>
        </w:rPr>
      </w:pPr>
      <w:r>
        <w:rPr>
          <w:rFonts w:hint="eastAsia" w:ascii="宋体" w:hAnsi="宋体" w:eastAsia="宋体" w:cs="宋体"/>
          <w:spacing w:val="-1"/>
          <w:sz w:val="20"/>
          <w:szCs w:val="20"/>
        </w:rPr>
        <w:t>9.2  承包人的施工安全责任</w:t>
      </w:r>
    </w:p>
    <w:p w14:paraId="3E6EA723">
      <w:pPr>
        <w:kinsoku w:val="0"/>
        <w:autoSpaceDE w:val="0"/>
        <w:autoSpaceDN w:val="0"/>
        <w:adjustRightInd w:val="0"/>
        <w:snapToGrid w:val="0"/>
        <w:spacing w:before="79"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第</w:t>
      </w:r>
      <w:r>
        <w:rPr>
          <w:rFonts w:hint="eastAsia" w:ascii="宋体" w:hAnsi="宋体" w:eastAsia="宋体" w:cs="宋体"/>
          <w:snapToGrid w:val="0"/>
          <w:color w:val="000000"/>
          <w:spacing w:val="-49"/>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9.2.1</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项细化为：</w:t>
      </w:r>
    </w:p>
    <w:p w14:paraId="4AF9461C">
      <w:pPr>
        <w:kinsoku w:val="0"/>
        <w:autoSpaceDE w:val="0"/>
        <w:autoSpaceDN w:val="0"/>
        <w:adjustRightInd w:val="0"/>
        <w:snapToGrid w:val="0"/>
        <w:spacing w:before="5" w:line="240" w:lineRule="auto"/>
        <w:ind w:left="38" w:right="3" w:firstLine="479"/>
        <w:jc w:val="both"/>
        <w:textAlignment w:val="baseline"/>
        <w:rPr>
          <w:rFonts w:hint="eastAsia" w:ascii="宋体" w:hAnsi="宋体" w:eastAsia="宋体" w:cs="宋体"/>
          <w:snapToGrid w:val="0"/>
          <w:color w:val="000000"/>
          <w:spacing w:val="1"/>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应按合同约定履行安全职责，严格执行国家、地方政府有关施工安全管理方面的法律、法规及规章制度，同时严格执行发包人制订的本项目安全生产管理方面的规章制度、安全检查程序及施工安全管理要求，以及监理人有关安全工作的指示。</w:t>
      </w:r>
    </w:p>
    <w:p w14:paraId="0641610B">
      <w:pPr>
        <w:kinsoku w:val="0"/>
        <w:autoSpaceDE w:val="0"/>
        <w:autoSpaceDN w:val="0"/>
        <w:adjustRightInd w:val="0"/>
        <w:snapToGrid w:val="0"/>
        <w:spacing w:before="5" w:line="240" w:lineRule="auto"/>
        <w:ind w:left="38" w:right="3" w:firstLine="479"/>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承包人应根据本工程的实际安全施工要求，编制施</w:t>
      </w:r>
      <w:r>
        <w:rPr>
          <w:rFonts w:hint="eastAsia" w:ascii="宋体" w:hAnsi="宋体" w:eastAsia="宋体" w:cs="宋体"/>
          <w:snapToGrid w:val="0"/>
          <w:color w:val="000000"/>
          <w:kern w:val="0"/>
          <w:sz w:val="20"/>
          <w:szCs w:val="20"/>
          <w:lang w:val="en-US" w:eastAsia="en-US" w:bidi="ar-SA"/>
        </w:rPr>
        <w:t>工安全技术措施，并在签订</w:t>
      </w:r>
      <w:r>
        <w:rPr>
          <w:rFonts w:hint="eastAsia" w:ascii="宋体" w:hAnsi="宋体" w:eastAsia="宋体" w:cs="宋体"/>
          <w:snapToGrid w:val="0"/>
          <w:color w:val="000000"/>
          <w:spacing w:val="-3"/>
          <w:kern w:val="0"/>
          <w:sz w:val="20"/>
          <w:szCs w:val="20"/>
          <w:lang w:val="en-US" w:eastAsia="en-US" w:bidi="ar-SA"/>
        </w:rPr>
        <w:t>合同协议书后</w:t>
      </w:r>
      <w:r>
        <w:rPr>
          <w:rFonts w:hint="eastAsia" w:ascii="宋体" w:hAnsi="宋体" w:eastAsia="宋体" w:cs="宋体"/>
          <w:snapToGrid w:val="0"/>
          <w:color w:val="000000"/>
          <w:spacing w:val="-55"/>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28</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天内，报监理人和发包人批准。该施工安全技术措施包括</w:t>
      </w:r>
      <w:r>
        <w:rPr>
          <w:rFonts w:hint="eastAsia" w:ascii="宋体" w:hAnsi="宋体" w:eastAsia="宋体" w:cs="宋体"/>
          <w:snapToGrid w:val="0"/>
          <w:color w:val="000000"/>
          <w:spacing w:val="-4"/>
          <w:kern w:val="0"/>
          <w:sz w:val="20"/>
          <w:szCs w:val="20"/>
          <w:lang w:val="en-US" w:eastAsia="en-US" w:bidi="ar-SA"/>
        </w:rPr>
        <w:t>（但不限</w:t>
      </w:r>
      <w:r>
        <w:rPr>
          <w:rFonts w:hint="eastAsia" w:ascii="宋体" w:hAnsi="宋体" w:eastAsia="宋体" w:cs="宋体"/>
          <w:snapToGrid w:val="0"/>
          <w:color w:val="000000"/>
          <w:kern w:val="0"/>
          <w:sz w:val="20"/>
          <w:szCs w:val="20"/>
          <w:lang w:val="en-US" w:eastAsia="en-US" w:bidi="ar-SA"/>
        </w:rPr>
        <w:t>于）施工安全保障体系，安全生产责任制，安全生产管理规章制度，安全防护施工方案，施工现场临时用电方案，施工安全评估，安全预控及保证措施方案，紧急应</w:t>
      </w:r>
      <w:r>
        <w:rPr>
          <w:rFonts w:hint="eastAsia" w:ascii="宋体" w:hAnsi="宋体" w:eastAsia="宋体" w:cs="宋体"/>
          <w:snapToGrid w:val="0"/>
          <w:color w:val="000000"/>
          <w:spacing w:val="1"/>
          <w:kern w:val="0"/>
          <w:sz w:val="20"/>
          <w:szCs w:val="20"/>
          <w:lang w:val="en-US" w:eastAsia="en-US" w:bidi="ar-SA"/>
        </w:rPr>
        <w:t>变措施，安全标识、警示和围护方案等。对影</w:t>
      </w:r>
      <w:r>
        <w:rPr>
          <w:rFonts w:hint="eastAsia" w:ascii="宋体" w:hAnsi="宋体" w:eastAsia="宋体" w:cs="宋体"/>
          <w:snapToGrid w:val="0"/>
          <w:color w:val="000000"/>
          <w:kern w:val="0"/>
          <w:sz w:val="20"/>
          <w:szCs w:val="20"/>
          <w:lang w:val="en-US" w:eastAsia="en-US" w:bidi="ar-SA"/>
        </w:rPr>
        <w:t>响安全的重要工序和下列危险性较大</w:t>
      </w:r>
      <w:r>
        <w:rPr>
          <w:rFonts w:hint="eastAsia" w:ascii="宋体" w:hAnsi="宋体" w:eastAsia="宋体" w:cs="宋体"/>
          <w:snapToGrid w:val="0"/>
          <w:color w:val="000000"/>
          <w:spacing w:val="1"/>
          <w:kern w:val="0"/>
          <w:sz w:val="20"/>
          <w:szCs w:val="20"/>
          <w:lang w:val="en-US" w:eastAsia="en-US" w:bidi="ar-SA"/>
        </w:rPr>
        <w:t>的工程应编制专项施工方案，并附安全验算结果，</w:t>
      </w:r>
      <w:r>
        <w:rPr>
          <w:rFonts w:hint="eastAsia" w:ascii="宋体" w:hAnsi="宋体" w:eastAsia="宋体" w:cs="宋体"/>
          <w:snapToGrid w:val="0"/>
          <w:color w:val="000000"/>
          <w:kern w:val="0"/>
          <w:sz w:val="20"/>
          <w:szCs w:val="20"/>
          <w:lang w:val="en-US" w:eastAsia="en-US" w:bidi="ar-SA"/>
        </w:rPr>
        <w:t>经承包人项目总工签字并报监理</w:t>
      </w:r>
      <w:r>
        <w:rPr>
          <w:rFonts w:hint="eastAsia" w:ascii="宋体" w:hAnsi="宋体" w:eastAsia="宋体" w:cs="宋体"/>
          <w:snapToGrid w:val="0"/>
          <w:color w:val="000000"/>
          <w:spacing w:val="-2"/>
          <w:kern w:val="0"/>
          <w:sz w:val="20"/>
          <w:szCs w:val="20"/>
          <w:lang w:val="en-US" w:eastAsia="en-US" w:bidi="ar-SA"/>
        </w:rPr>
        <w:t>人和发包人批准后实施，由专职安全生产管理人员进行现场监督。</w:t>
      </w:r>
    </w:p>
    <w:p w14:paraId="3BDEFDCC">
      <w:pPr>
        <w:kinsoku w:val="0"/>
        <w:autoSpaceDE w:val="0"/>
        <w:autoSpaceDN w:val="0"/>
        <w:adjustRightInd w:val="0"/>
        <w:snapToGrid w:val="0"/>
        <w:spacing w:before="1"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本项目需要编制专项施工方案的工程包括但不限于以下内容：</w:t>
      </w:r>
    </w:p>
    <w:p w14:paraId="283A6652">
      <w:pPr>
        <w:kinsoku w:val="0"/>
        <w:autoSpaceDE w:val="0"/>
        <w:autoSpaceDN w:val="0"/>
        <w:adjustRightInd w:val="0"/>
        <w:snapToGrid w:val="0"/>
        <w:spacing w:before="11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（1）不良地质条件下有潜在危险性的土方、石方开挖；</w:t>
      </w:r>
    </w:p>
    <w:p w14:paraId="07378E5B">
      <w:pPr>
        <w:kinsoku w:val="0"/>
        <w:autoSpaceDE w:val="0"/>
        <w:autoSpaceDN w:val="0"/>
        <w:adjustRightInd w:val="0"/>
        <w:snapToGrid w:val="0"/>
        <w:spacing w:before="9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（2）滑坡和高边坡处理；</w:t>
      </w:r>
    </w:p>
    <w:p w14:paraId="6E8AFA1B">
      <w:pPr>
        <w:kinsoku w:val="0"/>
        <w:autoSpaceDE w:val="0"/>
        <w:autoSpaceDN w:val="0"/>
        <w:adjustRightInd w:val="0"/>
        <w:snapToGrid w:val="0"/>
        <w:spacing w:before="95"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（3）桩基础、挡墙基础、深水基础及围堰工程；</w:t>
      </w:r>
    </w:p>
    <w:p w14:paraId="33BDDFD1">
      <w:pPr>
        <w:kinsoku w:val="0"/>
        <w:autoSpaceDE w:val="0"/>
        <w:autoSpaceDN w:val="0"/>
        <w:adjustRightInd w:val="0"/>
        <w:snapToGrid w:val="0"/>
        <w:spacing w:before="98"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（4）桥梁工程中的梁、拱、柱等构件施工等；</w:t>
      </w:r>
    </w:p>
    <w:p w14:paraId="192FB7BF">
      <w:pPr>
        <w:kinsoku w:val="0"/>
        <w:autoSpaceDE w:val="0"/>
        <w:autoSpaceDN w:val="0"/>
        <w:adjustRightInd w:val="0"/>
        <w:snapToGrid w:val="0"/>
        <w:spacing w:before="99"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（5）隧道工程中的不良地质隧道、高瓦斯隧道等；</w:t>
      </w:r>
    </w:p>
    <w:p w14:paraId="6F4324C9">
      <w:pPr>
        <w:kinsoku w:val="0"/>
        <w:autoSpaceDE w:val="0"/>
        <w:autoSpaceDN w:val="0"/>
        <w:adjustRightInd w:val="0"/>
        <w:snapToGrid w:val="0"/>
        <w:spacing w:before="94" w:line="240" w:lineRule="auto"/>
        <w:ind w:left="37" w:right="5"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（6）水上工程中的打桩船作业、施工船作业、外海孤岛作业、边通航边施工作</w:t>
      </w:r>
      <w:r>
        <w:rPr>
          <w:rFonts w:hint="eastAsia" w:ascii="宋体" w:hAnsi="宋体" w:eastAsia="宋体" w:cs="宋体"/>
          <w:snapToGrid w:val="0"/>
          <w:color w:val="000000"/>
          <w:spacing w:val="-15"/>
          <w:kern w:val="0"/>
          <w:sz w:val="20"/>
          <w:szCs w:val="20"/>
          <w:lang w:val="en-US" w:eastAsia="en-US" w:bidi="ar-SA"/>
        </w:rPr>
        <w:t>业等；</w:t>
      </w:r>
    </w:p>
    <w:p w14:paraId="7264C89E">
      <w:pPr>
        <w:kinsoku w:val="0"/>
        <w:autoSpaceDE w:val="0"/>
        <w:autoSpaceDN w:val="0"/>
        <w:adjustRightInd w:val="0"/>
        <w:snapToGrid w:val="0"/>
        <w:spacing w:before="11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（7）水下工程中的水下焊接、混凝土浇筑、爆破工程等；</w:t>
      </w:r>
    </w:p>
    <w:p w14:paraId="021B2326">
      <w:pPr>
        <w:kinsoku w:val="0"/>
        <w:autoSpaceDE w:val="0"/>
        <w:autoSpaceDN w:val="0"/>
        <w:adjustRightInd w:val="0"/>
        <w:snapToGrid w:val="0"/>
        <w:spacing w:before="9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（8）爆破工程；</w:t>
      </w:r>
    </w:p>
    <w:p w14:paraId="69F15F8D">
      <w:pPr>
        <w:kinsoku w:val="0"/>
        <w:autoSpaceDE w:val="0"/>
        <w:autoSpaceDN w:val="0"/>
        <w:adjustRightInd w:val="0"/>
        <w:snapToGrid w:val="0"/>
        <w:spacing w:before="99" w:line="240" w:lineRule="auto"/>
        <w:ind w:left="58" w:right="2" w:firstLine="46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（9）大型临时工程中的大型支架、模板、便桥的架设与拆除； 桥梁</w:t>
      </w:r>
      <w:r>
        <w:rPr>
          <w:rFonts w:hint="eastAsia" w:ascii="宋体" w:hAnsi="宋体" w:eastAsia="宋体" w:cs="宋体"/>
          <w:snapToGrid w:val="0"/>
          <w:color w:val="000000"/>
          <w:spacing w:val="-7"/>
          <w:kern w:val="0"/>
          <w:sz w:val="20"/>
          <w:szCs w:val="20"/>
          <w:lang w:val="en-US" w:eastAsia="en-US" w:bidi="ar-SA"/>
        </w:rPr>
        <w:t>、码头的加</w:t>
      </w:r>
      <w:r>
        <w:rPr>
          <w:rFonts w:hint="eastAsia" w:ascii="宋体" w:hAnsi="宋体" w:eastAsia="宋体" w:cs="宋体"/>
          <w:snapToGrid w:val="0"/>
          <w:color w:val="000000"/>
          <w:spacing w:val="-14"/>
          <w:kern w:val="0"/>
          <w:sz w:val="20"/>
          <w:szCs w:val="20"/>
          <w:lang w:val="en-US" w:eastAsia="en-US" w:bidi="ar-SA"/>
        </w:rPr>
        <w:t>固与拆除；</w:t>
      </w:r>
    </w:p>
    <w:p w14:paraId="39FB0836">
      <w:pPr>
        <w:kinsoku w:val="0"/>
        <w:autoSpaceDE w:val="0"/>
        <w:autoSpaceDN w:val="0"/>
        <w:adjustRightInd w:val="0"/>
        <w:snapToGrid w:val="0"/>
        <w:spacing w:before="113"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（10）其他危险性较大的工程。</w:t>
      </w:r>
    </w:p>
    <w:p w14:paraId="119CA293">
      <w:pPr>
        <w:kinsoku w:val="0"/>
        <w:autoSpaceDE w:val="0"/>
        <w:autoSpaceDN w:val="0"/>
        <w:adjustRightInd w:val="0"/>
        <w:snapToGrid w:val="0"/>
        <w:spacing w:before="96" w:line="240" w:lineRule="auto"/>
        <w:ind w:left="49" w:right="10" w:firstLine="46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监理人和发包人在检查中发现有安全问题或有违反安全管</w:t>
      </w:r>
      <w:r>
        <w:rPr>
          <w:rFonts w:hint="eastAsia" w:ascii="宋体" w:hAnsi="宋体" w:eastAsia="宋体" w:cs="宋体"/>
          <w:snapToGrid w:val="0"/>
          <w:color w:val="000000"/>
          <w:spacing w:val="7"/>
          <w:kern w:val="0"/>
          <w:sz w:val="20"/>
          <w:szCs w:val="20"/>
          <w:lang w:val="en-US" w:eastAsia="en-US" w:bidi="ar-SA"/>
        </w:rPr>
        <w:t>理规章制度的情况</w:t>
      </w:r>
      <w:r>
        <w:rPr>
          <w:rFonts w:hint="eastAsia" w:ascii="宋体" w:hAnsi="宋体" w:eastAsia="宋体" w:cs="宋体"/>
          <w:snapToGrid w:val="0"/>
          <w:color w:val="000000"/>
          <w:spacing w:val="-2"/>
          <w:kern w:val="0"/>
          <w:sz w:val="20"/>
          <w:szCs w:val="20"/>
          <w:lang w:val="en-US" w:eastAsia="en-US" w:bidi="ar-SA"/>
        </w:rPr>
        <w:t>时，可视为承包人违约，应按第</w:t>
      </w:r>
      <w:r>
        <w:rPr>
          <w:rFonts w:hint="eastAsia" w:ascii="宋体" w:hAnsi="宋体" w:eastAsia="宋体" w:cs="宋体"/>
          <w:snapToGrid w:val="0"/>
          <w:color w:val="000000"/>
          <w:spacing w:val="-54"/>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22.1 款的规</w:t>
      </w:r>
      <w:r>
        <w:rPr>
          <w:rFonts w:hint="eastAsia" w:ascii="宋体" w:hAnsi="宋体" w:eastAsia="宋体" w:cs="宋体"/>
          <w:snapToGrid w:val="0"/>
          <w:color w:val="000000"/>
          <w:spacing w:val="-3"/>
          <w:kern w:val="0"/>
          <w:sz w:val="20"/>
          <w:szCs w:val="20"/>
          <w:lang w:val="en-US" w:eastAsia="en-US" w:bidi="ar-SA"/>
        </w:rPr>
        <w:t>定办理。</w:t>
      </w:r>
    </w:p>
    <w:p w14:paraId="4E51DE40">
      <w:pPr>
        <w:kinsoku w:val="0"/>
        <w:autoSpaceDE w:val="0"/>
        <w:autoSpaceDN w:val="0"/>
        <w:adjustRightInd w:val="0"/>
        <w:snapToGrid w:val="0"/>
        <w:spacing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第</w:t>
      </w:r>
      <w:r>
        <w:rPr>
          <w:rFonts w:hint="eastAsia" w:ascii="宋体" w:hAnsi="宋体" w:eastAsia="宋体" w:cs="宋体"/>
          <w:snapToGrid w:val="0"/>
          <w:color w:val="000000"/>
          <w:spacing w:val="-49"/>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9.2.5</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项细化为：</w:t>
      </w:r>
    </w:p>
    <w:p w14:paraId="131F54AC">
      <w:pPr>
        <w:kinsoku w:val="0"/>
        <w:autoSpaceDE w:val="0"/>
        <w:autoSpaceDN w:val="0"/>
        <w:adjustRightInd w:val="0"/>
        <w:snapToGrid w:val="0"/>
        <w:spacing w:before="137" w:line="240" w:lineRule="auto"/>
        <w:ind w:left="37" w:right="1" w:firstLine="495"/>
        <w:jc w:val="left"/>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kern w:val="0"/>
          <w:sz w:val="20"/>
          <w:szCs w:val="20"/>
          <w:lang w:val="en-US" w:eastAsia="en-US" w:bidi="ar-SA"/>
        </w:rPr>
        <w:t>除项目专用合同条款另有约定外，安全生产费用应为投标价（不含安全生产费</w:t>
      </w:r>
      <w:r>
        <w:rPr>
          <w:rFonts w:hint="eastAsia" w:ascii="宋体" w:hAnsi="宋体" w:eastAsia="宋体" w:cs="宋体"/>
          <w:snapToGrid w:val="0"/>
          <w:color w:val="000000"/>
          <w:spacing w:val="-2"/>
          <w:kern w:val="0"/>
          <w:sz w:val="20"/>
          <w:szCs w:val="20"/>
          <w:lang w:val="en-US" w:eastAsia="en-US" w:bidi="ar-SA"/>
        </w:rPr>
        <w:t>及建筑工程一切险及第三者责任险的保险费）的</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1.5%（若发包人公布了最</w:t>
      </w:r>
      <w:r>
        <w:rPr>
          <w:rFonts w:hint="eastAsia" w:ascii="宋体" w:hAnsi="宋体" w:eastAsia="宋体" w:cs="宋体"/>
          <w:snapToGrid w:val="0"/>
          <w:color w:val="000000"/>
          <w:spacing w:val="-3"/>
          <w:kern w:val="0"/>
          <w:sz w:val="20"/>
          <w:szCs w:val="20"/>
          <w:lang w:val="en-US" w:eastAsia="en-US" w:bidi="ar-SA"/>
        </w:rPr>
        <w:t>高投标限</w:t>
      </w:r>
      <w:r>
        <w:rPr>
          <w:rFonts w:hint="eastAsia" w:ascii="宋体" w:hAnsi="宋体" w:eastAsia="宋体" w:cs="宋体"/>
          <w:snapToGrid w:val="0"/>
          <w:color w:val="000000"/>
          <w:spacing w:val="-4"/>
          <w:kern w:val="0"/>
          <w:sz w:val="20"/>
          <w:szCs w:val="20"/>
          <w:lang w:val="en-US" w:eastAsia="en-US" w:bidi="ar-SA"/>
        </w:rPr>
        <w:t>价时，按最高投标限价的</w:t>
      </w:r>
      <w:r>
        <w:rPr>
          <w:rFonts w:hint="eastAsia" w:ascii="宋体" w:hAnsi="宋体" w:eastAsia="宋体" w:cs="宋体"/>
          <w:snapToGrid w:val="0"/>
          <w:color w:val="000000"/>
          <w:spacing w:val="36"/>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1.5%计）。安全生产费用应用于施工安全防护用具及设施</w:t>
      </w:r>
      <w:r>
        <w:rPr>
          <w:rFonts w:hint="eastAsia" w:ascii="宋体" w:hAnsi="宋体" w:eastAsia="宋体" w:cs="宋体"/>
          <w:snapToGrid w:val="0"/>
          <w:color w:val="000000"/>
          <w:spacing w:val="1"/>
          <w:kern w:val="0"/>
          <w:sz w:val="20"/>
          <w:szCs w:val="20"/>
          <w:lang w:val="en-US" w:eastAsia="en-US" w:bidi="ar-SA"/>
        </w:rPr>
        <w:t>的采购和更新、安全施工措施的落实、安全生产条件</w:t>
      </w:r>
      <w:r>
        <w:rPr>
          <w:rFonts w:hint="eastAsia" w:ascii="宋体" w:hAnsi="宋体" w:eastAsia="宋体" w:cs="宋体"/>
          <w:snapToGrid w:val="0"/>
          <w:color w:val="000000"/>
          <w:kern w:val="0"/>
          <w:sz w:val="20"/>
          <w:szCs w:val="20"/>
          <w:lang w:val="en-US" w:eastAsia="en-US" w:bidi="ar-SA"/>
        </w:rPr>
        <w:t>的改善，不得挪作他用。如承</w:t>
      </w:r>
      <w:r>
        <w:rPr>
          <w:rFonts w:hint="eastAsia" w:ascii="宋体" w:hAnsi="宋体" w:eastAsia="宋体" w:cs="宋体"/>
          <w:snapToGrid w:val="0"/>
          <w:color w:val="000000"/>
          <w:spacing w:val="1"/>
          <w:kern w:val="0"/>
          <w:sz w:val="20"/>
          <w:szCs w:val="20"/>
          <w:lang w:val="en-US" w:eastAsia="en-US" w:bidi="ar-SA"/>
        </w:rPr>
        <w:t>包人在此基础上增加安全生产费用以满足项目施工</w:t>
      </w:r>
      <w:r>
        <w:rPr>
          <w:rFonts w:hint="eastAsia" w:ascii="宋体" w:hAnsi="宋体" w:eastAsia="宋体" w:cs="宋体"/>
          <w:snapToGrid w:val="0"/>
          <w:color w:val="000000"/>
          <w:kern w:val="0"/>
          <w:sz w:val="20"/>
          <w:szCs w:val="20"/>
          <w:lang w:val="en-US" w:eastAsia="en-US" w:bidi="ar-SA"/>
        </w:rPr>
        <w:t>需要，则承包人应在本项目工程</w:t>
      </w:r>
      <w:r>
        <w:rPr>
          <w:rFonts w:hint="eastAsia" w:ascii="宋体" w:hAnsi="宋体" w:eastAsia="宋体" w:cs="宋体"/>
          <w:snapToGrid w:val="0"/>
          <w:color w:val="000000"/>
          <w:spacing w:val="1"/>
          <w:kern w:val="0"/>
          <w:sz w:val="20"/>
          <w:szCs w:val="20"/>
          <w:lang w:val="en-US" w:eastAsia="en-US" w:bidi="ar-SA"/>
        </w:rPr>
        <w:t>量清单其他相关子目的单价或总额价中予以考虑，发</w:t>
      </w:r>
      <w:r>
        <w:rPr>
          <w:rFonts w:hint="eastAsia" w:ascii="宋体" w:hAnsi="宋体" w:eastAsia="宋体" w:cs="宋体"/>
          <w:snapToGrid w:val="0"/>
          <w:color w:val="000000"/>
          <w:kern w:val="0"/>
          <w:sz w:val="20"/>
          <w:szCs w:val="20"/>
          <w:lang w:val="en-US" w:eastAsia="en-US" w:bidi="ar-SA"/>
        </w:rPr>
        <w:t>包人不再另行支付。因采取合</w:t>
      </w:r>
      <w:r>
        <w:rPr>
          <w:rFonts w:hint="eastAsia" w:ascii="宋体" w:hAnsi="宋体" w:eastAsia="宋体" w:cs="宋体"/>
          <w:snapToGrid w:val="0"/>
          <w:color w:val="000000"/>
          <w:spacing w:val="-1"/>
          <w:kern w:val="0"/>
          <w:sz w:val="20"/>
          <w:szCs w:val="20"/>
          <w:lang w:val="en-US" w:eastAsia="en-US" w:bidi="ar-SA"/>
        </w:rPr>
        <w:t>同未约定的特殊防护措施增加的费用，由监理</w:t>
      </w:r>
      <w:r>
        <w:rPr>
          <w:rFonts w:hint="eastAsia" w:ascii="宋体" w:hAnsi="宋体" w:eastAsia="宋体" w:cs="宋体"/>
          <w:snapToGrid w:val="0"/>
          <w:color w:val="000000"/>
          <w:spacing w:val="-2"/>
          <w:kern w:val="0"/>
          <w:sz w:val="20"/>
          <w:szCs w:val="20"/>
          <w:lang w:val="en-US" w:eastAsia="en-US" w:bidi="ar-SA"/>
        </w:rPr>
        <w:t>人按第</w:t>
      </w:r>
      <w:r>
        <w:rPr>
          <w:rFonts w:hint="eastAsia" w:ascii="宋体" w:hAnsi="宋体" w:eastAsia="宋体" w:cs="宋体"/>
          <w:snapToGrid w:val="0"/>
          <w:color w:val="000000"/>
          <w:spacing w:val="-49"/>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3.5 款商定或确定。</w:t>
      </w:r>
    </w:p>
    <w:p w14:paraId="29950236">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本款补充第</w:t>
      </w:r>
      <w:r>
        <w:rPr>
          <w:rFonts w:hint="eastAsia" w:ascii="宋体" w:hAnsi="宋体" w:eastAsia="宋体" w:cs="宋体"/>
          <w:snapToGrid w:val="0"/>
          <w:color w:val="000000"/>
          <w:spacing w:val="-37"/>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9.2.8</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项~第</w:t>
      </w:r>
      <w:r>
        <w:rPr>
          <w:rFonts w:hint="eastAsia" w:ascii="宋体" w:hAnsi="宋体" w:eastAsia="宋体" w:cs="宋体"/>
          <w:snapToGrid w:val="0"/>
          <w:color w:val="000000"/>
          <w:spacing w:val="-50"/>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9.2.11 项：</w:t>
      </w:r>
    </w:p>
    <w:p w14:paraId="3AE74332">
      <w:pPr>
        <w:kinsoku w:val="0"/>
        <w:autoSpaceDE w:val="0"/>
        <w:autoSpaceDN w:val="0"/>
        <w:adjustRightInd w:val="0"/>
        <w:snapToGrid w:val="0"/>
        <w:spacing w:before="97" w:line="240" w:lineRule="auto"/>
        <w:ind w:left="37" w:right="59" w:firstLine="48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9.2.8  承包人应充分关注和保障所有在现场工</w:t>
      </w:r>
      <w:r>
        <w:rPr>
          <w:rFonts w:hint="eastAsia" w:ascii="宋体" w:hAnsi="宋体" w:eastAsia="宋体" w:cs="宋体"/>
          <w:snapToGrid w:val="0"/>
          <w:color w:val="000000"/>
          <w:spacing w:val="-3"/>
          <w:kern w:val="0"/>
          <w:sz w:val="20"/>
          <w:szCs w:val="20"/>
          <w:lang w:val="en-US" w:eastAsia="en-US" w:bidi="ar-SA"/>
        </w:rPr>
        <w:t>作的人员的安全，采取以下有效措</w:t>
      </w:r>
      <w:r>
        <w:rPr>
          <w:rFonts w:hint="eastAsia" w:ascii="宋体" w:hAnsi="宋体" w:eastAsia="宋体" w:cs="宋体"/>
          <w:snapToGrid w:val="0"/>
          <w:color w:val="000000"/>
          <w:kern w:val="0"/>
          <w:sz w:val="20"/>
          <w:szCs w:val="20"/>
          <w:lang w:val="en-US" w:eastAsia="en-US" w:bidi="ar-SA"/>
        </w:rPr>
        <w:t>施，使现场和本合同工程的实施保持有条不紊，以免使上述</w:t>
      </w:r>
      <w:r>
        <w:rPr>
          <w:rFonts w:hint="eastAsia" w:ascii="宋体" w:hAnsi="宋体" w:eastAsia="宋体" w:cs="宋体"/>
          <w:snapToGrid w:val="0"/>
          <w:color w:val="000000"/>
          <w:spacing w:val="-1"/>
          <w:kern w:val="0"/>
          <w:sz w:val="20"/>
          <w:szCs w:val="20"/>
          <w:lang w:val="en-US" w:eastAsia="en-US" w:bidi="ar-SA"/>
        </w:rPr>
        <w:t>人员的安全受到威胁。</w:t>
      </w:r>
    </w:p>
    <w:p w14:paraId="641D5125">
      <w:pPr>
        <w:kinsoku w:val="0"/>
        <w:autoSpaceDE w:val="0"/>
        <w:autoSpaceDN w:val="0"/>
        <w:adjustRightInd w:val="0"/>
        <w:snapToGrid w:val="0"/>
        <w:spacing w:before="17" w:line="240" w:lineRule="auto"/>
        <w:ind w:left="41" w:right="63" w:firstLine="48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（1）按《公路水运工程安全生产监督管理办法》规定的最低数量和资质条件配</w:t>
      </w:r>
      <w:r>
        <w:rPr>
          <w:rFonts w:hint="eastAsia" w:ascii="宋体" w:hAnsi="宋体" w:eastAsia="宋体" w:cs="宋体"/>
          <w:snapToGrid w:val="0"/>
          <w:color w:val="000000"/>
          <w:spacing w:val="-6"/>
          <w:kern w:val="0"/>
          <w:sz w:val="20"/>
          <w:szCs w:val="20"/>
          <w:lang w:val="en-US" w:eastAsia="en-US" w:bidi="ar-SA"/>
        </w:rPr>
        <w:t>备专职安全生产管理人员；</w:t>
      </w:r>
    </w:p>
    <w:p w14:paraId="5BBBF1C2">
      <w:pPr>
        <w:kinsoku w:val="0"/>
        <w:autoSpaceDE w:val="0"/>
        <w:autoSpaceDN w:val="0"/>
        <w:adjustRightInd w:val="0"/>
        <w:snapToGrid w:val="0"/>
        <w:spacing w:before="115" w:line="240" w:lineRule="auto"/>
        <w:ind w:left="38" w:right="63"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（2）承包人的垂直运输机械作业人员、施工船舶作业人员、爆破作业人员、安</w:t>
      </w:r>
      <w:r>
        <w:rPr>
          <w:rFonts w:hint="eastAsia" w:ascii="宋体" w:hAnsi="宋体" w:eastAsia="宋体" w:cs="宋体"/>
          <w:snapToGrid w:val="0"/>
          <w:color w:val="000000"/>
          <w:kern w:val="0"/>
          <w:sz w:val="20"/>
          <w:szCs w:val="20"/>
          <w:lang w:val="en-US" w:eastAsia="en-US" w:bidi="ar-SA"/>
        </w:rPr>
        <w:t>装拆卸工、起重信号工、电工、焊工等国家规定的特种作业人员，必须按照国家规</w:t>
      </w:r>
      <w:r>
        <w:rPr>
          <w:rFonts w:hint="eastAsia" w:ascii="宋体" w:hAnsi="宋体" w:eastAsia="宋体" w:cs="宋体"/>
          <w:snapToGrid w:val="0"/>
          <w:color w:val="000000"/>
          <w:spacing w:val="-2"/>
          <w:kern w:val="0"/>
          <w:sz w:val="20"/>
          <w:szCs w:val="20"/>
          <w:lang w:val="en-US" w:eastAsia="en-US" w:bidi="ar-SA"/>
        </w:rPr>
        <w:t>定经过专门的安全作业培训，并取得特种作业操作资格证书后，方可上岗作业；</w:t>
      </w:r>
    </w:p>
    <w:p w14:paraId="3E0618F4">
      <w:pPr>
        <w:kinsoku w:val="0"/>
        <w:autoSpaceDE w:val="0"/>
        <w:autoSpaceDN w:val="0"/>
        <w:adjustRightInd w:val="0"/>
        <w:snapToGrid w:val="0"/>
        <w:spacing w:before="115" w:line="240" w:lineRule="auto"/>
        <w:ind w:firstLine="552" w:firstLineChars="3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（3）所有施工机具设备和高空作业设备均应定期检查，并有安全员的签字记录；</w:t>
      </w:r>
    </w:p>
    <w:p w14:paraId="7C54D61E">
      <w:pPr>
        <w:kinsoku w:val="0"/>
        <w:autoSpaceDE w:val="0"/>
        <w:autoSpaceDN w:val="0"/>
        <w:adjustRightInd w:val="0"/>
        <w:snapToGrid w:val="0"/>
        <w:spacing w:before="98" w:line="240" w:lineRule="auto"/>
        <w:ind w:left="42" w:right="74" w:firstLine="48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（4）根据本合同各单位工程的施工特点，严格执行《公路</w:t>
      </w:r>
      <w:r>
        <w:rPr>
          <w:rFonts w:hint="eastAsia" w:ascii="宋体" w:hAnsi="宋体" w:eastAsia="宋体" w:cs="宋体"/>
          <w:snapToGrid w:val="0"/>
          <w:color w:val="000000"/>
          <w:spacing w:val="-4"/>
          <w:kern w:val="0"/>
          <w:sz w:val="20"/>
          <w:szCs w:val="20"/>
          <w:lang w:val="en-US" w:eastAsia="en-US" w:bidi="ar-SA"/>
        </w:rPr>
        <w:t>水运工程安全生产监</w:t>
      </w:r>
      <w:r>
        <w:rPr>
          <w:rFonts w:hint="eastAsia" w:ascii="宋体" w:hAnsi="宋体" w:eastAsia="宋体" w:cs="宋体"/>
          <w:snapToGrid w:val="0"/>
          <w:color w:val="000000"/>
          <w:spacing w:val="-6"/>
          <w:kern w:val="0"/>
          <w:sz w:val="20"/>
          <w:szCs w:val="20"/>
          <w:lang w:val="en-US" w:eastAsia="en-US" w:bidi="ar-SA"/>
        </w:rPr>
        <w:t>督管理办法》《公路工程施工安全技术规范》等有关规</w:t>
      </w:r>
      <w:r>
        <w:rPr>
          <w:rFonts w:hint="eastAsia" w:ascii="宋体" w:hAnsi="宋体" w:eastAsia="宋体" w:cs="宋体"/>
          <w:snapToGrid w:val="0"/>
          <w:color w:val="000000"/>
          <w:spacing w:val="-7"/>
          <w:kern w:val="0"/>
          <w:sz w:val="20"/>
          <w:szCs w:val="20"/>
          <w:lang w:val="en-US" w:eastAsia="en-US" w:bidi="ar-SA"/>
        </w:rPr>
        <w:t>定。</w:t>
      </w:r>
    </w:p>
    <w:p w14:paraId="79C50BEE">
      <w:pPr>
        <w:kinsoku w:val="0"/>
        <w:autoSpaceDE w:val="0"/>
        <w:autoSpaceDN w:val="0"/>
        <w:adjustRightInd w:val="0"/>
        <w:snapToGrid w:val="0"/>
        <w:spacing w:before="114" w:line="240" w:lineRule="auto"/>
        <w:ind w:left="39" w:right="68" w:firstLine="47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9.2.9  为了保护本合同工程免遭损坏，或为了</w:t>
      </w:r>
      <w:r>
        <w:rPr>
          <w:rFonts w:hint="eastAsia" w:ascii="宋体" w:hAnsi="宋体" w:eastAsia="宋体" w:cs="宋体"/>
          <w:snapToGrid w:val="0"/>
          <w:color w:val="000000"/>
          <w:spacing w:val="3"/>
          <w:kern w:val="0"/>
          <w:sz w:val="20"/>
          <w:szCs w:val="20"/>
          <w:lang w:val="en-US" w:eastAsia="en-US" w:bidi="ar-SA"/>
        </w:rPr>
        <w:t>现场附近和过往群众的安全与方</w:t>
      </w:r>
      <w:r>
        <w:rPr>
          <w:rFonts w:hint="eastAsia" w:ascii="宋体" w:hAnsi="宋体" w:eastAsia="宋体" w:cs="宋体"/>
          <w:snapToGrid w:val="0"/>
          <w:color w:val="000000"/>
          <w:kern w:val="0"/>
          <w:sz w:val="20"/>
          <w:szCs w:val="20"/>
          <w:lang w:val="en-US" w:eastAsia="en-US" w:bidi="ar-SA"/>
        </w:rPr>
        <w:t>便，在确有必要的时候和地方，或当监理人或有关主管部门要求时，承包人应自费</w:t>
      </w:r>
      <w:r>
        <w:rPr>
          <w:rFonts w:hint="eastAsia" w:ascii="宋体" w:hAnsi="宋体" w:eastAsia="宋体" w:cs="宋体"/>
          <w:snapToGrid w:val="0"/>
          <w:color w:val="000000"/>
          <w:spacing w:val="-2"/>
          <w:kern w:val="0"/>
          <w:sz w:val="20"/>
          <w:szCs w:val="20"/>
          <w:lang w:val="en-US" w:eastAsia="en-US" w:bidi="ar-SA"/>
        </w:rPr>
        <w:t>提供照明、警卫、护栅、警告标志等安全防护设施。</w:t>
      </w:r>
    </w:p>
    <w:p w14:paraId="1DE6643F">
      <w:pPr>
        <w:kinsoku w:val="0"/>
        <w:autoSpaceDE w:val="0"/>
        <w:autoSpaceDN w:val="0"/>
        <w:adjustRightInd w:val="0"/>
        <w:snapToGrid w:val="0"/>
        <w:spacing w:before="119" w:line="240" w:lineRule="auto"/>
        <w:ind w:left="38" w:right="63" w:firstLine="48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9.2.10  在通航水域施工时，承包人应与当</w:t>
      </w:r>
      <w:r>
        <w:rPr>
          <w:rFonts w:hint="eastAsia" w:ascii="宋体" w:hAnsi="宋体" w:eastAsia="宋体" w:cs="宋体"/>
          <w:snapToGrid w:val="0"/>
          <w:color w:val="000000"/>
          <w:kern w:val="0"/>
          <w:sz w:val="20"/>
          <w:szCs w:val="20"/>
          <w:lang w:val="en-US" w:eastAsia="en-US" w:bidi="ar-SA"/>
        </w:rPr>
        <w:t>地主管部门取得联系，设置必要的导</w:t>
      </w:r>
      <w:r>
        <w:rPr>
          <w:rFonts w:hint="eastAsia" w:ascii="宋体" w:hAnsi="宋体" w:eastAsia="宋体" w:cs="宋体"/>
          <w:snapToGrid w:val="0"/>
          <w:color w:val="000000"/>
          <w:spacing w:val="-2"/>
          <w:kern w:val="0"/>
          <w:sz w:val="20"/>
          <w:szCs w:val="20"/>
          <w:lang w:val="en-US" w:eastAsia="en-US" w:bidi="ar-SA"/>
        </w:rPr>
        <w:t>航标志，及时发布航行通告，确保施工水域安全。</w:t>
      </w:r>
    </w:p>
    <w:p w14:paraId="36B5FC67">
      <w:pPr>
        <w:kinsoku w:val="0"/>
        <w:autoSpaceDE w:val="0"/>
        <w:autoSpaceDN w:val="0"/>
        <w:adjustRightInd w:val="0"/>
        <w:snapToGrid w:val="0"/>
        <w:spacing w:before="113" w:line="240" w:lineRule="auto"/>
        <w:ind w:left="38" w:right="60" w:firstLine="480"/>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9.2.11  在整个施工过程中对承包人采取的施工安</w:t>
      </w:r>
      <w:r>
        <w:rPr>
          <w:rFonts w:hint="eastAsia" w:ascii="宋体" w:hAnsi="宋体" w:eastAsia="宋体" w:cs="宋体"/>
          <w:snapToGrid w:val="0"/>
          <w:color w:val="000000"/>
          <w:kern w:val="0"/>
          <w:sz w:val="20"/>
          <w:szCs w:val="20"/>
          <w:lang w:val="en-US" w:eastAsia="en-US" w:bidi="ar-SA"/>
        </w:rPr>
        <w:t>全措施，发包人和监理人有权监督，并向承包人提出整改要求。如果由于承包人未能对其负责的上述事项采取各</w:t>
      </w:r>
      <w:r>
        <w:rPr>
          <w:rFonts w:hint="eastAsia" w:ascii="宋体" w:hAnsi="宋体" w:eastAsia="宋体" w:cs="宋体"/>
          <w:snapToGrid w:val="0"/>
          <w:color w:val="000000"/>
          <w:spacing w:val="1"/>
          <w:kern w:val="0"/>
          <w:sz w:val="20"/>
          <w:szCs w:val="20"/>
          <w:lang w:val="en-US" w:eastAsia="en-US" w:bidi="ar-SA"/>
        </w:rPr>
        <w:t>种必要的措施而导致或发生与此有关的人身伤亡</w:t>
      </w:r>
      <w:r>
        <w:rPr>
          <w:rFonts w:hint="eastAsia" w:ascii="宋体" w:hAnsi="宋体" w:eastAsia="宋体" w:cs="宋体"/>
          <w:snapToGrid w:val="0"/>
          <w:color w:val="000000"/>
          <w:kern w:val="0"/>
          <w:sz w:val="20"/>
          <w:szCs w:val="20"/>
          <w:lang w:val="en-US" w:eastAsia="en-US" w:bidi="ar-SA"/>
        </w:rPr>
        <w:t>、罚款、索赔、损失补偿、诉讼费</w:t>
      </w:r>
      <w:r>
        <w:rPr>
          <w:rFonts w:hint="eastAsia" w:ascii="宋体" w:hAnsi="宋体" w:eastAsia="宋体" w:cs="宋体"/>
          <w:snapToGrid w:val="0"/>
          <w:color w:val="000000"/>
          <w:spacing w:val="-3"/>
          <w:kern w:val="0"/>
          <w:sz w:val="20"/>
          <w:szCs w:val="20"/>
          <w:lang w:val="en-US" w:eastAsia="en-US" w:bidi="ar-SA"/>
        </w:rPr>
        <w:t>用及其他一切责任应由承包人负责。</w:t>
      </w:r>
    </w:p>
    <w:p w14:paraId="7E6939FC">
      <w:pPr>
        <w:spacing w:before="78" w:line="240" w:lineRule="auto"/>
        <w:ind w:left="38"/>
        <w:outlineLvl w:val="1"/>
        <w:rPr>
          <w:rFonts w:hint="eastAsia" w:ascii="宋体" w:hAnsi="宋体" w:eastAsia="宋体" w:cs="宋体"/>
          <w:sz w:val="20"/>
          <w:szCs w:val="20"/>
        </w:rPr>
      </w:pPr>
      <w:r>
        <w:rPr>
          <w:rFonts w:hint="eastAsia" w:ascii="宋体" w:hAnsi="宋体" w:eastAsia="宋体" w:cs="宋体"/>
          <w:spacing w:val="-1"/>
          <w:sz w:val="20"/>
          <w:szCs w:val="20"/>
        </w:rPr>
        <w:t>9.4  环境保护</w:t>
      </w:r>
    </w:p>
    <w:p w14:paraId="4DFD9913">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本款补充第</w:t>
      </w:r>
      <w:r>
        <w:rPr>
          <w:rFonts w:hint="eastAsia" w:ascii="宋体" w:hAnsi="宋体" w:eastAsia="宋体" w:cs="宋体"/>
          <w:snapToGrid w:val="0"/>
          <w:color w:val="000000"/>
          <w:spacing w:val="-37"/>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9.4.7</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项~第</w:t>
      </w:r>
      <w:r>
        <w:rPr>
          <w:rFonts w:hint="eastAsia" w:ascii="宋体" w:hAnsi="宋体" w:eastAsia="宋体" w:cs="宋体"/>
          <w:snapToGrid w:val="0"/>
          <w:color w:val="000000"/>
          <w:spacing w:val="-50"/>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9.4.11 项：</w:t>
      </w:r>
    </w:p>
    <w:p w14:paraId="73E47143">
      <w:pPr>
        <w:kinsoku w:val="0"/>
        <w:autoSpaceDE w:val="0"/>
        <w:autoSpaceDN w:val="0"/>
        <w:adjustRightInd w:val="0"/>
        <w:snapToGrid w:val="0"/>
        <w:spacing w:before="99"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9.4.7  承包人应切实执行技术规范中有关环境保护方面的条款和规定。</w:t>
      </w:r>
    </w:p>
    <w:p w14:paraId="4D0BEB6A">
      <w:pPr>
        <w:kinsoku w:val="0"/>
        <w:autoSpaceDE w:val="0"/>
        <w:autoSpaceDN w:val="0"/>
        <w:adjustRightInd w:val="0"/>
        <w:snapToGrid w:val="0"/>
        <w:spacing w:before="100" w:line="240" w:lineRule="auto"/>
        <w:ind w:left="39" w:right="60"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（1）对于来自施工机械和运输车辆的施工噪声，为保护施工人员的健康，应遵</w:t>
      </w:r>
      <w:r>
        <w:rPr>
          <w:rFonts w:hint="eastAsia" w:ascii="宋体" w:hAnsi="宋体" w:eastAsia="宋体" w:cs="宋体"/>
          <w:snapToGrid w:val="0"/>
          <w:color w:val="000000"/>
          <w:kern w:val="0"/>
          <w:sz w:val="20"/>
          <w:szCs w:val="20"/>
          <w:lang w:val="en-US" w:eastAsia="en-US" w:bidi="ar-SA"/>
        </w:rPr>
        <w:t>守《中华人民共和国环境噪声污染防治法》并依据《工业企业噪声卫生标准》合理安排工作人员轮流操作筑路机械，减少接触高噪声的时间，或间歇安排高噪声的工作。对距噪声源较近的施工人员，除采取使用防护耳塞或头盔等有效措施外，还应当缩短其劳动时间。同时，要注意对机械的经常性保养，尽量使其噪声降低到最低</w:t>
      </w:r>
      <w:r>
        <w:rPr>
          <w:rFonts w:hint="eastAsia" w:ascii="宋体" w:hAnsi="宋体" w:eastAsia="宋体" w:cs="宋体"/>
          <w:snapToGrid w:val="0"/>
          <w:color w:val="000000"/>
          <w:spacing w:val="-1"/>
          <w:kern w:val="0"/>
          <w:sz w:val="20"/>
          <w:szCs w:val="20"/>
          <w:lang w:val="en-US" w:eastAsia="en-US" w:bidi="ar-SA"/>
        </w:rPr>
        <w:t>水平。为保护施工现场附近居民的夜间休息，对居民区 150m  以内的施工现场</w:t>
      </w:r>
      <w:r>
        <w:rPr>
          <w:rFonts w:hint="eastAsia" w:ascii="宋体" w:hAnsi="宋体" w:eastAsia="宋体" w:cs="宋体"/>
          <w:snapToGrid w:val="0"/>
          <w:color w:val="000000"/>
          <w:spacing w:val="-2"/>
          <w:kern w:val="0"/>
          <w:sz w:val="20"/>
          <w:szCs w:val="20"/>
          <w:lang w:val="en-US" w:eastAsia="en-US" w:bidi="ar-SA"/>
        </w:rPr>
        <w:t>，施</w:t>
      </w:r>
      <w:r>
        <w:rPr>
          <w:rFonts w:hint="eastAsia" w:ascii="宋体" w:hAnsi="宋体" w:eastAsia="宋体" w:cs="宋体"/>
          <w:snapToGrid w:val="0"/>
          <w:color w:val="000000"/>
          <w:spacing w:val="-5"/>
          <w:kern w:val="0"/>
          <w:sz w:val="20"/>
          <w:szCs w:val="20"/>
          <w:lang w:val="en-US" w:eastAsia="en-US" w:bidi="ar-SA"/>
        </w:rPr>
        <w:t>工时间应加以控制。</w:t>
      </w:r>
    </w:p>
    <w:p w14:paraId="35B9191C">
      <w:pPr>
        <w:kinsoku w:val="0"/>
        <w:autoSpaceDE w:val="0"/>
        <w:autoSpaceDN w:val="0"/>
        <w:adjustRightInd w:val="0"/>
        <w:snapToGrid w:val="0"/>
        <w:spacing w:before="111" w:line="240" w:lineRule="auto"/>
        <w:ind w:left="37" w:right="62" w:firstLine="487"/>
        <w:jc w:val="left"/>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3"/>
          <w:kern w:val="0"/>
          <w:sz w:val="20"/>
          <w:szCs w:val="20"/>
          <w:lang w:val="en-US" w:eastAsia="en-US" w:bidi="ar-SA"/>
        </w:rPr>
        <w:t>（2）对于公路施工中粉尘污染的主要污染源</w:t>
      </w:r>
      <w:r>
        <w:rPr>
          <w:rFonts w:hint="eastAsia" w:ascii="宋体" w:hAnsi="宋体" w:eastAsia="宋体" w:cs="宋体"/>
          <w:snapToGrid w:val="0"/>
          <w:color w:val="000000"/>
          <w:spacing w:val="100"/>
          <w:w w:val="175"/>
          <w:kern w:val="0"/>
          <w:sz w:val="20"/>
          <w:szCs w:val="20"/>
          <w:lang w:val="en-US" w:eastAsia="en-US" w:bidi="ar-SA"/>
        </w:rPr>
        <w:t>--</w:t>
      </w:r>
      <w:r>
        <w:rPr>
          <w:rFonts w:hint="eastAsia" w:ascii="宋体" w:hAnsi="宋体" w:eastAsia="宋体" w:cs="宋体"/>
          <w:snapToGrid w:val="0"/>
          <w:color w:val="000000"/>
          <w:spacing w:val="-4"/>
          <w:kern w:val="0"/>
          <w:sz w:val="20"/>
          <w:szCs w:val="20"/>
          <w:lang w:val="en-US" w:eastAsia="en-US" w:bidi="ar-SA"/>
        </w:rPr>
        <w:t>灰土拌和、施工车辆和筑路机</w:t>
      </w:r>
      <w:r>
        <w:rPr>
          <w:rFonts w:hint="eastAsia" w:ascii="宋体" w:hAnsi="宋体" w:eastAsia="宋体" w:cs="宋体"/>
          <w:snapToGrid w:val="0"/>
          <w:color w:val="000000"/>
          <w:spacing w:val="1"/>
          <w:kern w:val="0"/>
          <w:sz w:val="20"/>
          <w:szCs w:val="20"/>
          <w:lang w:val="en-US" w:eastAsia="en-US" w:bidi="ar-SA"/>
        </w:rPr>
        <w:t>械运行及运输产生的扬尘，应采取有效措施减轻</w:t>
      </w:r>
      <w:r>
        <w:rPr>
          <w:rFonts w:hint="eastAsia" w:ascii="宋体" w:hAnsi="宋体" w:eastAsia="宋体" w:cs="宋体"/>
          <w:snapToGrid w:val="0"/>
          <w:color w:val="000000"/>
          <w:kern w:val="0"/>
          <w:sz w:val="20"/>
          <w:szCs w:val="20"/>
          <w:lang w:val="en-US" w:eastAsia="en-US" w:bidi="ar-SA"/>
        </w:rPr>
        <w:t>其对施工现场的大气污染，保护人</w:t>
      </w:r>
      <w:r>
        <w:rPr>
          <w:rFonts w:hint="eastAsia" w:ascii="宋体" w:hAnsi="宋体" w:eastAsia="宋体" w:cs="宋体"/>
          <w:snapToGrid w:val="0"/>
          <w:color w:val="000000"/>
          <w:spacing w:val="-9"/>
          <w:kern w:val="0"/>
          <w:sz w:val="20"/>
          <w:szCs w:val="20"/>
          <w:lang w:val="en-US" w:eastAsia="en-US" w:bidi="ar-SA"/>
        </w:rPr>
        <w:t>民健康，如：</w:t>
      </w:r>
    </w:p>
    <w:p w14:paraId="45315D46">
      <w:pPr>
        <w:kinsoku w:val="0"/>
        <w:autoSpaceDE w:val="0"/>
        <w:autoSpaceDN w:val="0"/>
        <w:adjustRightInd w:val="0"/>
        <w:snapToGrid w:val="0"/>
        <w:spacing w:before="78" w:line="240" w:lineRule="auto"/>
        <w:ind w:left="51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a.  拌和设备应有较好的密封，或有防尘设备。</w:t>
      </w:r>
    </w:p>
    <w:p w14:paraId="523C1312">
      <w:pPr>
        <w:kinsoku w:val="0"/>
        <w:autoSpaceDE w:val="0"/>
        <w:autoSpaceDN w:val="0"/>
        <w:adjustRightInd w:val="0"/>
        <w:snapToGrid w:val="0"/>
        <w:spacing w:before="94" w:line="240" w:lineRule="auto"/>
        <w:ind w:left="50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b.  施工通道、沥青混凝土拌和站及灰土拌和站应经常进行洒水降</w:t>
      </w:r>
      <w:r>
        <w:rPr>
          <w:rFonts w:hint="eastAsia" w:ascii="宋体" w:hAnsi="宋体" w:eastAsia="宋体" w:cs="宋体"/>
          <w:snapToGrid w:val="0"/>
          <w:color w:val="000000"/>
          <w:spacing w:val="-2"/>
          <w:kern w:val="0"/>
          <w:sz w:val="20"/>
          <w:szCs w:val="20"/>
          <w:lang w:val="en-US" w:eastAsia="en-US" w:bidi="ar-SA"/>
        </w:rPr>
        <w:t>尘。</w:t>
      </w:r>
    </w:p>
    <w:p w14:paraId="72CA546E">
      <w:pPr>
        <w:kinsoku w:val="0"/>
        <w:autoSpaceDE w:val="0"/>
        <w:autoSpaceDN w:val="0"/>
        <w:adjustRightInd w:val="0"/>
        <w:snapToGrid w:val="0"/>
        <w:spacing w:before="98" w:line="240" w:lineRule="auto"/>
        <w:ind w:left="51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c.  路面施工应注意保持水分，以免扬尘。</w:t>
      </w:r>
    </w:p>
    <w:p w14:paraId="30519331">
      <w:pPr>
        <w:kinsoku w:val="0"/>
        <w:autoSpaceDE w:val="0"/>
        <w:autoSpaceDN w:val="0"/>
        <w:adjustRightInd w:val="0"/>
        <w:snapToGrid w:val="0"/>
        <w:spacing w:before="96" w:line="240" w:lineRule="auto"/>
        <w:ind w:left="41" w:right="65" w:firstLine="47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d.  隧道出渣和桥梁钻孔灌注桩施工时排出的泥浆要进行妥善处理，严禁向河流</w:t>
      </w:r>
      <w:r>
        <w:rPr>
          <w:rFonts w:hint="eastAsia" w:ascii="宋体" w:hAnsi="宋体" w:eastAsia="宋体" w:cs="宋体"/>
          <w:snapToGrid w:val="0"/>
          <w:color w:val="000000"/>
          <w:spacing w:val="-7"/>
          <w:kern w:val="0"/>
          <w:sz w:val="20"/>
          <w:szCs w:val="20"/>
          <w:lang w:val="en-US" w:eastAsia="en-US" w:bidi="ar-SA"/>
        </w:rPr>
        <w:t>或农田排放。</w:t>
      </w:r>
    </w:p>
    <w:p w14:paraId="5C5687AB">
      <w:pPr>
        <w:kinsoku w:val="0"/>
        <w:autoSpaceDE w:val="0"/>
        <w:autoSpaceDN w:val="0"/>
        <w:adjustRightInd w:val="0"/>
        <w:snapToGrid w:val="0"/>
        <w:spacing w:before="113" w:line="240" w:lineRule="auto"/>
        <w:ind w:left="41" w:right="68" w:firstLine="48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（3）采取可靠措施保证原有交通的正常通行，维持沿线村镇的居民饮水、农田</w:t>
      </w:r>
      <w:r>
        <w:rPr>
          <w:rFonts w:hint="eastAsia" w:ascii="宋体" w:hAnsi="宋体" w:eastAsia="宋体" w:cs="宋体"/>
          <w:snapToGrid w:val="0"/>
          <w:color w:val="000000"/>
          <w:spacing w:val="-2"/>
          <w:kern w:val="0"/>
          <w:sz w:val="20"/>
          <w:szCs w:val="20"/>
          <w:lang w:val="en-US" w:eastAsia="en-US" w:bidi="ar-SA"/>
        </w:rPr>
        <w:t>灌溉、生产生活用电及通信等管线的正常使</w:t>
      </w:r>
      <w:r>
        <w:rPr>
          <w:rFonts w:hint="eastAsia" w:ascii="宋体" w:hAnsi="宋体" w:eastAsia="宋体" w:cs="宋体"/>
          <w:snapToGrid w:val="0"/>
          <w:color w:val="000000"/>
          <w:spacing w:val="-3"/>
          <w:kern w:val="0"/>
          <w:sz w:val="20"/>
          <w:szCs w:val="20"/>
          <w:lang w:val="en-US" w:eastAsia="en-US" w:bidi="ar-SA"/>
        </w:rPr>
        <w:t>用。</w:t>
      </w:r>
    </w:p>
    <w:p w14:paraId="0C3191FC">
      <w:pPr>
        <w:kinsoku w:val="0"/>
        <w:autoSpaceDE w:val="0"/>
        <w:autoSpaceDN w:val="0"/>
        <w:adjustRightInd w:val="0"/>
        <w:snapToGrid w:val="0"/>
        <w:spacing w:before="13" w:line="240" w:lineRule="auto"/>
        <w:ind w:left="37" w:right="66" w:firstLine="48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9.4.8  在整个施工过程中对承包人采取的</w:t>
      </w:r>
      <w:r>
        <w:rPr>
          <w:rFonts w:hint="eastAsia" w:ascii="宋体" w:hAnsi="宋体" w:eastAsia="宋体" w:cs="宋体"/>
          <w:snapToGrid w:val="0"/>
          <w:color w:val="000000"/>
          <w:spacing w:val="-3"/>
          <w:kern w:val="0"/>
          <w:sz w:val="20"/>
          <w:szCs w:val="20"/>
          <w:lang w:val="en-US" w:eastAsia="en-US" w:bidi="ar-SA"/>
        </w:rPr>
        <w:t>环境保护措施，发包人和监理人有权监</w:t>
      </w:r>
      <w:r>
        <w:rPr>
          <w:rFonts w:hint="eastAsia" w:ascii="宋体" w:hAnsi="宋体" w:eastAsia="宋体" w:cs="宋体"/>
          <w:snapToGrid w:val="0"/>
          <w:color w:val="000000"/>
          <w:kern w:val="0"/>
          <w:sz w:val="20"/>
          <w:szCs w:val="20"/>
          <w:lang w:val="en-US" w:eastAsia="en-US" w:bidi="ar-SA"/>
        </w:rPr>
        <w:t>督，并向承包人提出整改要求。如果由于承包人未能对其负责的上述事项采取各种必要的措施而导致或发生与此有关的人身伤亡、罚款、索赔、损失补偿、诉讼费用</w:t>
      </w:r>
      <w:r>
        <w:rPr>
          <w:rFonts w:hint="eastAsia" w:ascii="宋体" w:hAnsi="宋体" w:eastAsia="宋体" w:cs="宋体"/>
          <w:snapToGrid w:val="0"/>
          <w:color w:val="000000"/>
          <w:spacing w:val="-3"/>
          <w:kern w:val="0"/>
          <w:sz w:val="20"/>
          <w:szCs w:val="20"/>
          <w:lang w:val="en-US" w:eastAsia="en-US" w:bidi="ar-SA"/>
        </w:rPr>
        <w:t>及其他一切责任应由承包人负责。</w:t>
      </w:r>
    </w:p>
    <w:p w14:paraId="50C25196">
      <w:pPr>
        <w:kinsoku w:val="0"/>
        <w:autoSpaceDE w:val="0"/>
        <w:autoSpaceDN w:val="0"/>
        <w:adjustRightInd w:val="0"/>
        <w:snapToGrid w:val="0"/>
        <w:spacing w:before="116" w:line="240" w:lineRule="auto"/>
        <w:ind w:left="39" w:right="64" w:firstLine="47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9.4.9 在施工期间，承包人应随时保持现场整洁，施工设备和材料、工程设备应</w:t>
      </w:r>
      <w:r>
        <w:rPr>
          <w:rFonts w:hint="eastAsia" w:ascii="宋体" w:hAnsi="宋体" w:eastAsia="宋体" w:cs="宋体"/>
          <w:snapToGrid w:val="0"/>
          <w:color w:val="000000"/>
          <w:kern w:val="0"/>
          <w:sz w:val="20"/>
          <w:szCs w:val="20"/>
          <w:lang w:val="en-US" w:eastAsia="en-US" w:bidi="ar-SA"/>
        </w:rPr>
        <w:t>整齐妥善存放和储存，废料与垃圾及不再需要的临时设施应及时从现场清除、拆除</w:t>
      </w:r>
      <w:r>
        <w:rPr>
          <w:rFonts w:hint="eastAsia" w:ascii="宋体" w:hAnsi="宋体" w:eastAsia="宋体" w:cs="宋体"/>
          <w:snapToGrid w:val="0"/>
          <w:color w:val="000000"/>
          <w:spacing w:val="-9"/>
          <w:kern w:val="0"/>
          <w:sz w:val="20"/>
          <w:szCs w:val="20"/>
          <w:lang w:val="en-US" w:eastAsia="en-US" w:bidi="ar-SA"/>
        </w:rPr>
        <w:t>并运走。</w:t>
      </w:r>
    </w:p>
    <w:p w14:paraId="2778FBE8">
      <w:pPr>
        <w:kinsoku w:val="0"/>
        <w:autoSpaceDE w:val="0"/>
        <w:autoSpaceDN w:val="0"/>
        <w:adjustRightInd w:val="0"/>
        <w:snapToGrid w:val="0"/>
        <w:spacing w:before="113" w:line="240" w:lineRule="auto"/>
        <w:ind w:left="37" w:right="69" w:firstLine="48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9.4.10  在施工期间，承包人应严</w:t>
      </w:r>
      <w:r>
        <w:rPr>
          <w:rFonts w:hint="eastAsia" w:ascii="宋体" w:hAnsi="宋体" w:eastAsia="宋体" w:cs="宋体"/>
          <w:snapToGrid w:val="0"/>
          <w:color w:val="000000"/>
          <w:kern w:val="0"/>
          <w:sz w:val="20"/>
          <w:szCs w:val="20"/>
          <w:lang w:val="en-US" w:eastAsia="en-US" w:bidi="ar-SA"/>
        </w:rPr>
        <w:t>格遵守《关于在公路建设中实行最严格的耕地保护制度的若干意见》的相关规定，规范用地、</w:t>
      </w:r>
      <w:r>
        <w:rPr>
          <w:rFonts w:hint="eastAsia" w:ascii="宋体" w:hAnsi="宋体" w:eastAsia="宋体" w:cs="宋体"/>
          <w:snapToGrid w:val="0"/>
          <w:color w:val="000000"/>
          <w:spacing w:val="-1"/>
          <w:kern w:val="0"/>
          <w:sz w:val="20"/>
          <w:szCs w:val="20"/>
          <w:lang w:val="en-US" w:eastAsia="en-US" w:bidi="ar-SA"/>
        </w:rPr>
        <w:t>科学用地、合理用地和节约用地。</w:t>
      </w:r>
      <w:r>
        <w:rPr>
          <w:rFonts w:hint="eastAsia" w:ascii="宋体" w:hAnsi="宋体" w:eastAsia="宋体" w:cs="宋体"/>
          <w:snapToGrid w:val="0"/>
          <w:color w:val="000000"/>
          <w:kern w:val="0"/>
          <w:sz w:val="20"/>
          <w:szCs w:val="20"/>
          <w:lang w:val="en-US" w:eastAsia="en-US" w:bidi="ar-SA"/>
        </w:rPr>
        <w:t>承包人应合理利用所占耕地地表的耕作层，用于重新造地；合理设置取土坑和弃土</w:t>
      </w:r>
      <w:r>
        <w:rPr>
          <w:rFonts w:hint="eastAsia" w:ascii="宋体" w:hAnsi="宋体" w:eastAsia="宋体" w:cs="宋体"/>
          <w:snapToGrid w:val="0"/>
          <w:color w:val="000000"/>
          <w:spacing w:val="1"/>
          <w:kern w:val="0"/>
          <w:sz w:val="20"/>
          <w:szCs w:val="20"/>
          <w:lang w:val="en-US" w:eastAsia="en-US" w:bidi="ar-SA"/>
        </w:rPr>
        <w:t>场，取土坑和弃土场的施工防护要符合要求，防止水</w:t>
      </w:r>
      <w:r>
        <w:rPr>
          <w:rFonts w:hint="eastAsia" w:ascii="宋体" w:hAnsi="宋体" w:eastAsia="宋体" w:cs="宋体"/>
          <w:snapToGrid w:val="0"/>
          <w:color w:val="000000"/>
          <w:kern w:val="0"/>
          <w:sz w:val="20"/>
          <w:szCs w:val="20"/>
          <w:lang w:val="en-US" w:eastAsia="en-US" w:bidi="ar-SA"/>
        </w:rPr>
        <w:t>土流失。承包人应严格控制临时占地数量，施工便道、各种料场、预制场要根据工程进度统筹考虑，尽可能设置在公路用地范围内或利用荒坡、废弃地解决，不得占用农田。施工过程中要采取有</w:t>
      </w:r>
      <w:r>
        <w:rPr>
          <w:rFonts w:hint="eastAsia" w:ascii="宋体" w:hAnsi="宋体" w:eastAsia="宋体" w:cs="宋体"/>
          <w:snapToGrid w:val="0"/>
          <w:color w:val="000000"/>
          <w:spacing w:val="1"/>
          <w:kern w:val="0"/>
          <w:sz w:val="20"/>
          <w:szCs w:val="20"/>
          <w:lang w:val="en-US" w:eastAsia="en-US" w:bidi="ar-SA"/>
        </w:rPr>
        <w:t>效措施防止污染农田，项目完工后承包人应将临时占</w:t>
      </w:r>
      <w:r>
        <w:rPr>
          <w:rFonts w:hint="eastAsia" w:ascii="宋体" w:hAnsi="宋体" w:eastAsia="宋体" w:cs="宋体"/>
          <w:snapToGrid w:val="0"/>
          <w:color w:val="000000"/>
          <w:kern w:val="0"/>
          <w:sz w:val="20"/>
          <w:szCs w:val="20"/>
          <w:lang w:val="en-US" w:eastAsia="en-US" w:bidi="ar-SA"/>
        </w:rPr>
        <w:t>地自费恢复到临时占地使用前</w:t>
      </w:r>
      <w:r>
        <w:rPr>
          <w:rFonts w:hint="eastAsia" w:ascii="宋体" w:hAnsi="宋体" w:eastAsia="宋体" w:cs="宋体"/>
          <w:snapToGrid w:val="0"/>
          <w:color w:val="000000"/>
          <w:spacing w:val="-9"/>
          <w:kern w:val="0"/>
          <w:sz w:val="20"/>
          <w:szCs w:val="20"/>
          <w:lang w:val="en-US" w:eastAsia="en-US" w:bidi="ar-SA"/>
        </w:rPr>
        <w:t>的状况。</w:t>
      </w:r>
    </w:p>
    <w:p w14:paraId="594EFA3B">
      <w:pPr>
        <w:kinsoku w:val="0"/>
        <w:autoSpaceDE w:val="0"/>
        <w:autoSpaceDN w:val="0"/>
        <w:adjustRightInd w:val="0"/>
        <w:snapToGrid w:val="0"/>
        <w:spacing w:before="115" w:line="240" w:lineRule="auto"/>
        <w:ind w:left="38" w:firstLine="480"/>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9.4.11  承包人应严格按照国家有关法规要求，做</w:t>
      </w:r>
      <w:r>
        <w:rPr>
          <w:rFonts w:hint="eastAsia" w:ascii="宋体" w:hAnsi="宋体" w:eastAsia="宋体" w:cs="宋体"/>
          <w:snapToGrid w:val="0"/>
          <w:color w:val="000000"/>
          <w:kern w:val="0"/>
          <w:sz w:val="20"/>
          <w:szCs w:val="20"/>
          <w:lang w:val="en-US" w:eastAsia="en-US" w:bidi="ar-SA"/>
        </w:rPr>
        <w:t>好施工过程中的生态保护和水土保持工作。施工中要尽可能减少对原地面的扰动，减少对地面草木的破坏，需要</w:t>
      </w:r>
      <w:r>
        <w:rPr>
          <w:rFonts w:hint="eastAsia" w:ascii="宋体" w:hAnsi="宋体" w:eastAsia="宋体" w:cs="宋体"/>
          <w:snapToGrid w:val="0"/>
          <w:color w:val="000000"/>
          <w:spacing w:val="-1"/>
          <w:kern w:val="0"/>
          <w:sz w:val="20"/>
          <w:szCs w:val="20"/>
          <w:lang w:val="en-US" w:eastAsia="en-US" w:bidi="ar-SA"/>
        </w:rPr>
        <w:t>爆破作业的，应按规定进行控爆设计。雨季填筑路基应随挖、随运、随填、随压，</w:t>
      </w:r>
      <w:r>
        <w:rPr>
          <w:rFonts w:hint="eastAsia" w:ascii="宋体" w:hAnsi="宋体" w:eastAsia="宋体" w:cs="宋体"/>
          <w:snapToGrid w:val="0"/>
          <w:color w:val="000000"/>
          <w:spacing w:val="-4"/>
          <w:kern w:val="0"/>
          <w:sz w:val="20"/>
          <w:szCs w:val="20"/>
          <w:lang w:val="en-US" w:eastAsia="en-US" w:bidi="ar-SA"/>
        </w:rPr>
        <w:t>要完善施工中的临时排水系统，加强施工便道的管理。取（弃）土场必须先挡后弃，</w:t>
      </w:r>
      <w:r>
        <w:rPr>
          <w:rFonts w:hint="eastAsia" w:ascii="宋体" w:hAnsi="宋体" w:eastAsia="宋体" w:cs="宋体"/>
          <w:snapToGrid w:val="0"/>
          <w:color w:val="000000"/>
          <w:spacing w:val="-2"/>
          <w:kern w:val="0"/>
          <w:sz w:val="20"/>
          <w:szCs w:val="20"/>
          <w:lang w:val="en-US" w:eastAsia="en-US" w:bidi="ar-SA"/>
        </w:rPr>
        <w:t>严禁在指定的取（弃）土场以外的地方乱挖乱弃。</w:t>
      </w:r>
    </w:p>
    <w:p w14:paraId="3DD76FE6">
      <w:pPr>
        <w:spacing w:before="92" w:line="240" w:lineRule="auto"/>
        <w:ind w:left="61"/>
        <w:outlineLvl w:val="0"/>
        <w:rPr>
          <w:rFonts w:hint="eastAsia" w:ascii="宋体" w:hAnsi="宋体" w:eastAsia="宋体" w:cs="宋体"/>
          <w:sz w:val="20"/>
          <w:szCs w:val="20"/>
        </w:rPr>
      </w:pPr>
      <w:bookmarkStart w:id="7" w:name="bookmark28"/>
      <w:bookmarkEnd w:id="7"/>
      <w:r>
        <w:rPr>
          <w:rFonts w:hint="eastAsia" w:ascii="宋体" w:hAnsi="宋体" w:eastAsia="宋体" w:cs="宋体"/>
          <w:spacing w:val="-4"/>
          <w:sz w:val="20"/>
          <w:szCs w:val="20"/>
        </w:rPr>
        <w:t>10.  进度计划</w:t>
      </w:r>
    </w:p>
    <w:p w14:paraId="4AA747B5">
      <w:pPr>
        <w:spacing w:before="92" w:line="240" w:lineRule="auto"/>
        <w:ind w:left="61"/>
        <w:outlineLvl w:val="0"/>
        <w:rPr>
          <w:rFonts w:hint="eastAsia" w:ascii="宋体" w:hAnsi="宋体" w:eastAsia="宋体" w:cs="宋体"/>
          <w:sz w:val="20"/>
          <w:szCs w:val="20"/>
        </w:rPr>
      </w:pPr>
      <w:r>
        <w:rPr>
          <w:rFonts w:hint="eastAsia" w:ascii="宋体" w:hAnsi="宋体" w:eastAsia="宋体" w:cs="宋体"/>
          <w:spacing w:val="-4"/>
          <w:sz w:val="20"/>
          <w:szCs w:val="20"/>
        </w:rPr>
        <w:t>10.1  合同进度计划</w:t>
      </w:r>
    </w:p>
    <w:p w14:paraId="7412288C">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030C5755">
      <w:pPr>
        <w:kinsoku w:val="0"/>
        <w:autoSpaceDE w:val="0"/>
        <w:autoSpaceDN w:val="0"/>
        <w:adjustRightInd w:val="0"/>
        <w:snapToGrid w:val="0"/>
        <w:spacing w:before="116"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承包人编制施工方案说明的内容见项目专用合同条款。</w:t>
      </w:r>
    </w:p>
    <w:p w14:paraId="2F8FE186">
      <w:pPr>
        <w:kinsoku w:val="0"/>
        <w:autoSpaceDE w:val="0"/>
        <w:autoSpaceDN w:val="0"/>
        <w:adjustRightInd w:val="0"/>
        <w:snapToGrid w:val="0"/>
        <w:spacing w:before="115"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承包人向监理人报送施工进度计划和施工方案</w:t>
      </w:r>
      <w:r>
        <w:rPr>
          <w:rFonts w:hint="eastAsia" w:ascii="宋体" w:hAnsi="宋体" w:eastAsia="宋体" w:cs="宋体"/>
          <w:snapToGrid w:val="0"/>
          <w:color w:val="000000"/>
          <w:kern w:val="0"/>
          <w:sz w:val="20"/>
          <w:szCs w:val="20"/>
          <w:lang w:val="en-US" w:eastAsia="en-US" w:bidi="ar-SA"/>
        </w:rPr>
        <w:t>说明的期限：签订合同协议书后</w:t>
      </w:r>
      <w:r>
        <w:rPr>
          <w:rFonts w:hint="eastAsia" w:ascii="宋体" w:hAnsi="宋体" w:eastAsia="宋体" w:cs="宋体"/>
          <w:snapToGrid w:val="0"/>
          <w:color w:val="000000"/>
          <w:spacing w:val="-7"/>
          <w:kern w:val="0"/>
          <w:sz w:val="20"/>
          <w:szCs w:val="20"/>
          <w:lang w:val="en-US" w:eastAsia="en-US" w:bidi="ar-SA"/>
        </w:rPr>
        <w:t>28</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天之内。</w:t>
      </w:r>
    </w:p>
    <w:p w14:paraId="177145DF">
      <w:pPr>
        <w:kinsoku w:val="0"/>
        <w:autoSpaceDE w:val="0"/>
        <w:autoSpaceDN w:val="0"/>
        <w:adjustRightInd w:val="0"/>
        <w:snapToGrid w:val="0"/>
        <w:spacing w:before="94" w:line="240" w:lineRule="auto"/>
        <w:ind w:left="46" w:right="2" w:firstLine="47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监理人应在 14  天内对承包人施工进度计划和</w:t>
      </w:r>
      <w:r>
        <w:rPr>
          <w:rFonts w:hint="eastAsia" w:ascii="宋体" w:hAnsi="宋体" w:eastAsia="宋体" w:cs="宋体"/>
          <w:snapToGrid w:val="0"/>
          <w:color w:val="000000"/>
          <w:kern w:val="0"/>
          <w:sz w:val="20"/>
          <w:szCs w:val="20"/>
          <w:lang w:val="en-US" w:eastAsia="en-US" w:bidi="ar-SA"/>
        </w:rPr>
        <w:t>施工方案说明予以批复或提出修</w:t>
      </w:r>
      <w:r>
        <w:rPr>
          <w:rFonts w:hint="eastAsia" w:ascii="宋体" w:hAnsi="宋体" w:eastAsia="宋体" w:cs="宋体"/>
          <w:snapToGrid w:val="0"/>
          <w:color w:val="000000"/>
          <w:spacing w:val="-5"/>
          <w:kern w:val="0"/>
          <w:sz w:val="20"/>
          <w:szCs w:val="20"/>
          <w:lang w:val="en-US" w:eastAsia="en-US" w:bidi="ar-SA"/>
        </w:rPr>
        <w:t>改意见。</w:t>
      </w:r>
    </w:p>
    <w:p w14:paraId="4333F8C4">
      <w:pPr>
        <w:kinsoku w:val="0"/>
        <w:autoSpaceDE w:val="0"/>
        <w:autoSpaceDN w:val="0"/>
        <w:adjustRightInd w:val="0"/>
        <w:snapToGrid w:val="0"/>
        <w:spacing w:before="15" w:line="240" w:lineRule="auto"/>
        <w:ind w:left="38" w:right="9" w:firstLine="48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合同进度计划应按照关键线路网络图和主要工作横道图两种形式分别编绘，并</w:t>
      </w:r>
      <w:bookmarkStart w:id="8" w:name="bookmark29"/>
      <w:bookmarkEnd w:id="8"/>
      <w:r>
        <w:rPr>
          <w:rFonts w:hint="eastAsia" w:ascii="宋体" w:hAnsi="宋体" w:eastAsia="宋体" w:cs="宋体"/>
          <w:snapToGrid w:val="0"/>
          <w:color w:val="000000"/>
          <w:spacing w:val="-3"/>
          <w:kern w:val="0"/>
          <w:sz w:val="20"/>
          <w:szCs w:val="20"/>
          <w:lang w:val="en-US" w:eastAsia="en-US" w:bidi="ar-SA"/>
        </w:rPr>
        <w:t>应包括每月预计完成的工作量和形象进度。</w:t>
      </w:r>
    </w:p>
    <w:p w14:paraId="760813B3">
      <w:pPr>
        <w:spacing w:before="217" w:line="240" w:lineRule="auto"/>
        <w:ind w:left="56"/>
        <w:outlineLvl w:val="1"/>
        <w:rPr>
          <w:rFonts w:hint="eastAsia" w:ascii="宋体" w:hAnsi="宋体" w:eastAsia="宋体" w:cs="宋体"/>
          <w:sz w:val="20"/>
          <w:szCs w:val="20"/>
        </w:rPr>
      </w:pPr>
      <w:r>
        <w:rPr>
          <w:rFonts w:hint="eastAsia" w:ascii="宋体" w:hAnsi="宋体" w:eastAsia="宋体" w:cs="宋体"/>
          <w:spacing w:val="-2"/>
          <w:sz w:val="20"/>
          <w:szCs w:val="20"/>
        </w:rPr>
        <w:t>10.2  合同进度计划的修订</w:t>
      </w:r>
    </w:p>
    <w:p w14:paraId="3F59013D">
      <w:pPr>
        <w:kinsoku w:val="0"/>
        <w:autoSpaceDE w:val="0"/>
        <w:autoSpaceDN w:val="0"/>
        <w:adjustRightInd w:val="0"/>
        <w:snapToGrid w:val="0"/>
        <w:spacing w:before="78"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本款补充：</w:t>
      </w:r>
    </w:p>
    <w:p w14:paraId="21F52B78">
      <w:pPr>
        <w:kinsoku w:val="0"/>
        <w:autoSpaceDE w:val="0"/>
        <w:autoSpaceDN w:val="0"/>
        <w:adjustRightInd w:val="0"/>
        <w:snapToGrid w:val="0"/>
        <w:spacing w:before="117" w:line="240" w:lineRule="auto"/>
        <w:ind w:left="36" w:firstLine="39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承包人提交合同进度计划修订申请报告，并附有关措施和相关资料的期限：实际</w:t>
      </w:r>
      <w:r>
        <w:rPr>
          <w:rFonts w:hint="eastAsia" w:ascii="宋体" w:hAnsi="宋体" w:eastAsia="宋体" w:cs="宋体"/>
          <w:snapToGrid w:val="0"/>
          <w:color w:val="000000"/>
          <w:spacing w:val="-5"/>
          <w:kern w:val="0"/>
          <w:sz w:val="20"/>
          <w:szCs w:val="20"/>
          <w:lang w:val="en-US" w:eastAsia="en-US" w:bidi="ar-SA"/>
        </w:rPr>
        <w:t>进度发生滞后的当月</w:t>
      </w:r>
      <w:r>
        <w:rPr>
          <w:rFonts w:hint="eastAsia" w:ascii="宋体" w:hAnsi="宋体" w:eastAsia="宋体" w:cs="宋体"/>
          <w:snapToGrid w:val="0"/>
          <w:color w:val="000000"/>
          <w:spacing w:val="-49"/>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25</w:t>
      </w:r>
      <w:r>
        <w:rPr>
          <w:rFonts w:hint="eastAsia" w:ascii="宋体" w:hAnsi="宋体" w:eastAsia="宋体" w:cs="宋体"/>
          <w:snapToGrid w:val="0"/>
          <w:color w:val="000000"/>
          <w:spacing w:val="51"/>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日前。</w:t>
      </w:r>
    </w:p>
    <w:p w14:paraId="14F83E65">
      <w:pPr>
        <w:kinsoku w:val="0"/>
        <w:autoSpaceDE w:val="0"/>
        <w:autoSpaceDN w:val="0"/>
        <w:adjustRightInd w:val="0"/>
        <w:snapToGrid w:val="0"/>
        <w:spacing w:before="1" w:line="240" w:lineRule="auto"/>
        <w:ind w:left="430"/>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2"/>
          <w:kern w:val="0"/>
          <w:sz w:val="20"/>
          <w:szCs w:val="20"/>
          <w:lang w:val="en-US" w:eastAsia="en-US" w:bidi="ar-SA"/>
        </w:rPr>
        <w:t>监理人批复修订合同进度计划的期限：收到修订合同进度计</w:t>
      </w:r>
      <w:r>
        <w:rPr>
          <w:rFonts w:hint="eastAsia" w:ascii="宋体" w:hAnsi="宋体" w:eastAsia="宋体" w:cs="宋体"/>
          <w:snapToGrid w:val="0"/>
          <w:color w:val="000000"/>
          <w:spacing w:val="-3"/>
          <w:kern w:val="0"/>
          <w:sz w:val="20"/>
          <w:szCs w:val="20"/>
          <w:lang w:val="en-US" w:eastAsia="en-US" w:bidi="ar-SA"/>
        </w:rPr>
        <w:t>划后</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14</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天内。</w:t>
      </w:r>
    </w:p>
    <w:p w14:paraId="69E3D500">
      <w:pPr>
        <w:kinsoku w:val="0"/>
        <w:autoSpaceDE w:val="0"/>
        <w:autoSpaceDN w:val="0"/>
        <w:adjustRightInd w:val="0"/>
        <w:snapToGrid w:val="0"/>
        <w:spacing w:before="78" w:line="240" w:lineRule="auto"/>
        <w:ind w:left="39"/>
        <w:jc w:val="left"/>
        <w:textAlignment w:val="baseline"/>
        <w:rPr>
          <w:rFonts w:hint="eastAsia" w:ascii="宋体" w:hAnsi="宋体" w:eastAsia="宋体" w:cs="宋体"/>
          <w:snapToGrid w:val="0"/>
          <w:color w:val="000000"/>
          <w:kern w:val="0"/>
          <w:sz w:val="20"/>
          <w:szCs w:val="20"/>
          <w:lang w:val="en-US" w:eastAsia="en-US" w:bidi="ar-SA"/>
        </w:rPr>
      </w:pPr>
      <w:bookmarkStart w:id="9" w:name="bookmark30"/>
      <w:bookmarkEnd w:id="9"/>
      <w:r>
        <w:rPr>
          <w:rFonts w:hint="eastAsia" w:ascii="宋体" w:hAnsi="宋体" w:eastAsia="宋体" w:cs="宋体"/>
          <w:snapToGrid w:val="0"/>
          <w:color w:val="000000"/>
          <w:spacing w:val="-5"/>
          <w:kern w:val="0"/>
          <w:sz w:val="20"/>
          <w:szCs w:val="20"/>
          <w:lang w:val="en-US" w:eastAsia="en-US" w:bidi="ar-SA"/>
        </w:rPr>
        <w:t>本条补充第</w:t>
      </w:r>
      <w:r>
        <w:rPr>
          <w:rFonts w:hint="eastAsia" w:ascii="宋体" w:hAnsi="宋体" w:eastAsia="宋体" w:cs="宋体"/>
          <w:snapToGrid w:val="0"/>
          <w:color w:val="000000"/>
          <w:spacing w:val="-22"/>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10.3 款、第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10.4 款：</w:t>
      </w:r>
    </w:p>
    <w:p w14:paraId="593E0225">
      <w:pPr>
        <w:spacing w:before="217" w:line="240" w:lineRule="auto"/>
        <w:ind w:left="56"/>
        <w:outlineLvl w:val="1"/>
        <w:rPr>
          <w:rFonts w:hint="eastAsia" w:ascii="宋体" w:hAnsi="宋体" w:eastAsia="宋体" w:cs="宋体"/>
          <w:sz w:val="20"/>
          <w:szCs w:val="20"/>
        </w:rPr>
      </w:pPr>
      <w:r>
        <w:rPr>
          <w:rFonts w:hint="eastAsia" w:ascii="宋体" w:hAnsi="宋体" w:eastAsia="宋体" w:cs="宋体"/>
          <w:spacing w:val="-2"/>
          <w:sz w:val="20"/>
          <w:szCs w:val="20"/>
        </w:rPr>
        <w:t>10.3  年度施工计划</w:t>
      </w:r>
    </w:p>
    <w:p w14:paraId="6415D3FB">
      <w:pPr>
        <w:kinsoku w:val="0"/>
        <w:autoSpaceDE w:val="0"/>
        <w:autoSpaceDN w:val="0"/>
        <w:adjustRightInd w:val="0"/>
        <w:snapToGrid w:val="0"/>
        <w:spacing w:before="78" w:line="240" w:lineRule="auto"/>
        <w:ind w:left="37" w:firstLine="39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承包人应在每年</w:t>
      </w:r>
      <w:r>
        <w:rPr>
          <w:rFonts w:hint="eastAsia" w:ascii="宋体" w:hAnsi="宋体" w:eastAsia="宋体" w:cs="宋体"/>
          <w:snapToGrid w:val="0"/>
          <w:color w:val="000000"/>
          <w:spacing w:val="-18"/>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11</w:t>
      </w:r>
      <w:r>
        <w:rPr>
          <w:rFonts w:hint="eastAsia" w:ascii="宋体" w:hAnsi="宋体" w:eastAsia="宋体" w:cs="宋体"/>
          <w:snapToGrid w:val="0"/>
          <w:color w:val="000000"/>
          <w:spacing w:val="23"/>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月底前，根据已同意的合同进度计划或其修订的计划，向监理人提交</w:t>
      </w:r>
      <w:r>
        <w:rPr>
          <w:rFonts w:hint="eastAsia" w:ascii="宋体" w:hAnsi="宋体" w:eastAsia="宋体" w:cs="宋体"/>
          <w:snapToGrid w:val="0"/>
          <w:color w:val="000000"/>
          <w:spacing w:val="-23"/>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2</w:t>
      </w:r>
      <w:r>
        <w:rPr>
          <w:rFonts w:hint="eastAsia" w:ascii="宋体" w:hAnsi="宋体" w:eastAsia="宋体" w:cs="宋体"/>
          <w:snapToGrid w:val="0"/>
          <w:color w:val="000000"/>
          <w:spacing w:val="26"/>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份格式和内容符合监理人合理规定的下一年度的施工计划，以供审查。</w:t>
      </w:r>
      <w:r>
        <w:rPr>
          <w:rFonts w:hint="eastAsia" w:ascii="宋体" w:hAnsi="宋体" w:eastAsia="宋体" w:cs="宋体"/>
          <w:snapToGrid w:val="0"/>
          <w:color w:val="000000"/>
          <w:kern w:val="0"/>
          <w:sz w:val="20"/>
          <w:szCs w:val="20"/>
          <w:lang w:val="en-US" w:eastAsia="en-US" w:bidi="ar-SA"/>
        </w:rPr>
        <w:t>该计划应包括本年度估计完成的和下一年度预计完成的分项工程数量和工作量，以</w:t>
      </w:r>
      <w:bookmarkStart w:id="10" w:name="bookmark31"/>
      <w:bookmarkEnd w:id="10"/>
      <w:r>
        <w:rPr>
          <w:rFonts w:hint="eastAsia" w:ascii="宋体" w:hAnsi="宋体" w:eastAsia="宋体" w:cs="宋体"/>
          <w:snapToGrid w:val="0"/>
          <w:color w:val="000000"/>
          <w:spacing w:val="-3"/>
          <w:kern w:val="0"/>
          <w:sz w:val="20"/>
          <w:szCs w:val="20"/>
          <w:lang w:val="en-US" w:eastAsia="en-US" w:bidi="ar-SA"/>
        </w:rPr>
        <w:t>及为实施此计划将采取的措施。</w:t>
      </w:r>
    </w:p>
    <w:p w14:paraId="67C848E0">
      <w:pPr>
        <w:spacing w:before="232" w:line="240" w:lineRule="auto"/>
        <w:ind w:left="56"/>
        <w:outlineLvl w:val="1"/>
        <w:rPr>
          <w:rFonts w:hint="eastAsia" w:ascii="宋体" w:hAnsi="宋体" w:eastAsia="宋体" w:cs="宋体"/>
          <w:sz w:val="20"/>
          <w:szCs w:val="20"/>
        </w:rPr>
      </w:pPr>
      <w:r>
        <w:rPr>
          <w:rFonts w:hint="eastAsia" w:ascii="宋体" w:hAnsi="宋体" w:eastAsia="宋体" w:cs="宋体"/>
          <w:spacing w:val="-3"/>
          <w:sz w:val="20"/>
          <w:szCs w:val="20"/>
        </w:rPr>
        <w:t>10.4  合同用款计划</w:t>
      </w:r>
    </w:p>
    <w:p w14:paraId="47186C0E">
      <w:pPr>
        <w:kinsoku w:val="0"/>
        <w:autoSpaceDE w:val="0"/>
        <w:autoSpaceDN w:val="0"/>
        <w:adjustRightInd w:val="0"/>
        <w:snapToGrid w:val="0"/>
        <w:spacing w:before="79" w:line="240" w:lineRule="auto"/>
        <w:ind w:left="40" w:firstLine="389"/>
        <w:jc w:val="both"/>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承包人应在签订本合同协议书后</w:t>
      </w:r>
      <w:r>
        <w:rPr>
          <w:rFonts w:hint="eastAsia" w:ascii="宋体" w:hAnsi="宋体" w:eastAsia="宋体" w:cs="宋体"/>
          <w:snapToGrid w:val="0"/>
          <w:color w:val="000000"/>
          <w:spacing w:val="-47"/>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28</w:t>
      </w:r>
      <w:r>
        <w:rPr>
          <w:rFonts w:hint="eastAsia" w:ascii="宋体" w:hAnsi="宋体" w:eastAsia="宋体" w:cs="宋体"/>
          <w:snapToGrid w:val="0"/>
          <w:color w:val="000000"/>
          <w:spacing w:val="17"/>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天之内，按招标文件中规定的格式，向监理人提交</w:t>
      </w:r>
      <w:r>
        <w:rPr>
          <w:rFonts w:hint="eastAsia" w:ascii="宋体" w:hAnsi="宋体" w:eastAsia="宋体" w:cs="宋体"/>
          <w:snapToGrid w:val="0"/>
          <w:color w:val="000000"/>
          <w:spacing w:val="-27"/>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2</w:t>
      </w:r>
      <w:r>
        <w:rPr>
          <w:rFonts w:hint="eastAsia" w:ascii="宋体" w:hAnsi="宋体" w:eastAsia="宋体" w:cs="宋体"/>
          <w:snapToGrid w:val="0"/>
          <w:color w:val="000000"/>
          <w:spacing w:val="26"/>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份按合同规定承包人有权得到支付的详细的季度合同用款计划，以备监理人查阅。如果监理人提出要求，承包人还应按季度</w:t>
      </w:r>
      <w:r>
        <w:rPr>
          <w:rFonts w:hint="eastAsia" w:ascii="宋体" w:hAnsi="宋体" w:eastAsia="宋体" w:cs="宋体"/>
          <w:snapToGrid w:val="0"/>
          <w:color w:val="000000"/>
          <w:spacing w:val="-2"/>
          <w:kern w:val="0"/>
          <w:sz w:val="20"/>
          <w:szCs w:val="20"/>
          <w:lang w:val="en-US" w:eastAsia="en-US" w:bidi="ar-SA"/>
        </w:rPr>
        <w:t>提交修订的合同用款计划。</w:t>
      </w:r>
    </w:p>
    <w:p w14:paraId="39EDA3FD">
      <w:pPr>
        <w:spacing w:before="91" w:line="240" w:lineRule="auto"/>
        <w:ind w:left="61"/>
        <w:outlineLvl w:val="0"/>
        <w:rPr>
          <w:rFonts w:hint="eastAsia" w:ascii="宋体" w:hAnsi="宋体" w:eastAsia="宋体" w:cs="宋体"/>
          <w:sz w:val="20"/>
          <w:szCs w:val="20"/>
        </w:rPr>
      </w:pPr>
      <w:bookmarkStart w:id="11" w:name="bookmark32"/>
      <w:bookmarkEnd w:id="11"/>
      <w:r>
        <w:rPr>
          <w:rFonts w:hint="eastAsia" w:ascii="宋体" w:hAnsi="宋体" w:eastAsia="宋体" w:cs="宋体"/>
          <w:spacing w:val="-3"/>
          <w:sz w:val="20"/>
          <w:szCs w:val="20"/>
        </w:rPr>
        <w:t>11.  开工和交工</w:t>
      </w:r>
    </w:p>
    <w:p w14:paraId="379ECFF0">
      <w:pPr>
        <w:spacing w:before="309" w:line="240" w:lineRule="auto"/>
        <w:ind w:left="56"/>
        <w:outlineLvl w:val="1"/>
        <w:rPr>
          <w:rFonts w:hint="eastAsia" w:ascii="宋体" w:hAnsi="宋体" w:eastAsia="宋体" w:cs="宋体"/>
          <w:sz w:val="20"/>
          <w:szCs w:val="20"/>
        </w:rPr>
      </w:pPr>
      <w:r>
        <w:rPr>
          <w:rFonts w:hint="eastAsia" w:ascii="宋体" w:hAnsi="宋体" w:eastAsia="宋体" w:cs="宋体"/>
          <w:spacing w:val="-6"/>
          <w:sz w:val="20"/>
          <w:szCs w:val="20"/>
        </w:rPr>
        <w:t>11.1</w:t>
      </w:r>
      <w:r>
        <w:rPr>
          <w:rFonts w:hint="eastAsia" w:ascii="宋体" w:hAnsi="宋体" w:eastAsia="宋体" w:cs="宋体"/>
          <w:spacing w:val="6"/>
          <w:sz w:val="20"/>
          <w:szCs w:val="20"/>
        </w:rPr>
        <w:t xml:space="preserve">  </w:t>
      </w:r>
      <w:r>
        <w:rPr>
          <w:rFonts w:hint="eastAsia" w:ascii="宋体" w:hAnsi="宋体" w:eastAsia="宋体" w:cs="宋体"/>
          <w:spacing w:val="-6"/>
          <w:sz w:val="20"/>
          <w:szCs w:val="20"/>
        </w:rPr>
        <w:t>开工</w:t>
      </w:r>
    </w:p>
    <w:p w14:paraId="6161D986">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11.1.2</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项补充：</w:t>
      </w:r>
    </w:p>
    <w:p w14:paraId="5C8B8D4F">
      <w:pPr>
        <w:kinsoku w:val="0"/>
        <w:autoSpaceDE w:val="0"/>
        <w:autoSpaceDN w:val="0"/>
        <w:adjustRightInd w:val="0"/>
        <w:snapToGrid w:val="0"/>
        <w:spacing w:before="96" w:line="240" w:lineRule="auto"/>
        <w:ind w:left="57" w:right="9" w:firstLine="460"/>
        <w:jc w:val="left"/>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4"/>
          <w:kern w:val="0"/>
          <w:sz w:val="20"/>
          <w:szCs w:val="20"/>
          <w:lang w:val="en-US" w:eastAsia="en-US" w:bidi="ar-SA"/>
        </w:rPr>
        <w:t>承包人应在分部工程开工前</w:t>
      </w:r>
      <w:r>
        <w:rPr>
          <w:rFonts w:hint="eastAsia" w:ascii="宋体" w:hAnsi="宋体" w:eastAsia="宋体" w:cs="宋体"/>
          <w:snapToGrid w:val="0"/>
          <w:color w:val="000000"/>
          <w:spacing w:val="-31"/>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14</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天向监理人提交分部工程开工报审</w:t>
      </w:r>
      <w:r>
        <w:rPr>
          <w:rFonts w:hint="eastAsia" w:ascii="宋体" w:hAnsi="宋体" w:eastAsia="宋体" w:cs="宋体"/>
          <w:snapToGrid w:val="0"/>
          <w:color w:val="000000"/>
          <w:spacing w:val="-5"/>
          <w:kern w:val="0"/>
          <w:sz w:val="20"/>
          <w:szCs w:val="20"/>
          <w:lang w:val="en-US" w:eastAsia="en-US" w:bidi="ar-SA"/>
        </w:rPr>
        <w:t>表，若承包人</w:t>
      </w:r>
      <w:r>
        <w:rPr>
          <w:rFonts w:hint="eastAsia" w:ascii="宋体" w:hAnsi="宋体" w:eastAsia="宋体" w:cs="宋体"/>
          <w:snapToGrid w:val="0"/>
          <w:color w:val="000000"/>
          <w:kern w:val="0"/>
          <w:sz w:val="20"/>
          <w:szCs w:val="20"/>
          <w:lang w:val="en-US" w:eastAsia="en-US" w:bidi="ar-SA"/>
        </w:rPr>
        <w:t>的开工准备、工作计划和质量控制方法是可接受的且已获得批准，则经监理人</w:t>
      </w:r>
      <w:r>
        <w:rPr>
          <w:rFonts w:hint="eastAsia" w:ascii="宋体" w:hAnsi="宋体" w:eastAsia="宋体" w:cs="宋体"/>
          <w:snapToGrid w:val="0"/>
          <w:color w:val="000000"/>
          <w:spacing w:val="-1"/>
          <w:kern w:val="0"/>
          <w:sz w:val="20"/>
          <w:szCs w:val="20"/>
          <w:lang w:val="en-US" w:eastAsia="en-US" w:bidi="ar-SA"/>
        </w:rPr>
        <w:t>书面</w:t>
      </w:r>
      <w:r>
        <w:rPr>
          <w:rFonts w:hint="eastAsia" w:ascii="宋体" w:hAnsi="宋体" w:eastAsia="宋体" w:cs="宋体"/>
          <w:snapToGrid w:val="0"/>
          <w:color w:val="000000"/>
          <w:spacing w:val="-5"/>
          <w:kern w:val="0"/>
          <w:sz w:val="20"/>
          <w:szCs w:val="20"/>
          <w:lang w:val="en-US" w:eastAsia="en-US" w:bidi="ar-SA"/>
        </w:rPr>
        <w:t>同意，分部工程才能开工。</w:t>
      </w:r>
    </w:p>
    <w:p w14:paraId="35D79041">
      <w:pPr>
        <w:spacing w:before="78" w:line="240" w:lineRule="auto"/>
        <w:ind w:left="56"/>
        <w:outlineLvl w:val="1"/>
        <w:rPr>
          <w:rFonts w:hint="eastAsia" w:ascii="宋体" w:hAnsi="宋体" w:eastAsia="宋体" w:cs="宋体"/>
          <w:sz w:val="20"/>
          <w:szCs w:val="20"/>
        </w:rPr>
      </w:pPr>
      <w:bookmarkStart w:id="12" w:name="bookmark33"/>
      <w:bookmarkEnd w:id="12"/>
      <w:r>
        <w:rPr>
          <w:rFonts w:hint="eastAsia" w:ascii="宋体" w:hAnsi="宋体" w:eastAsia="宋体" w:cs="宋体"/>
          <w:spacing w:val="-2"/>
          <w:sz w:val="20"/>
          <w:szCs w:val="20"/>
        </w:rPr>
        <w:t>11.3  发包人的工期延误</w:t>
      </w:r>
    </w:p>
    <w:p w14:paraId="30DB1F90">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6D0C7A4A">
      <w:pPr>
        <w:kinsoku w:val="0"/>
        <w:autoSpaceDE w:val="0"/>
        <w:autoSpaceDN w:val="0"/>
        <w:adjustRightInd w:val="0"/>
        <w:snapToGrid w:val="0"/>
        <w:spacing w:before="115" w:line="240" w:lineRule="auto"/>
        <w:ind w:left="39" w:right="69" w:firstLine="49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即使由于上述原因造成工期延误，如果受影响的工程并非处在工程施工进度网</w:t>
      </w:r>
      <w:bookmarkStart w:id="13" w:name="bookmark34"/>
      <w:bookmarkEnd w:id="13"/>
      <w:r>
        <w:rPr>
          <w:rFonts w:hint="eastAsia" w:ascii="宋体" w:hAnsi="宋体" w:eastAsia="宋体" w:cs="宋体"/>
          <w:snapToGrid w:val="0"/>
          <w:color w:val="000000"/>
          <w:spacing w:val="-2"/>
          <w:kern w:val="0"/>
          <w:sz w:val="20"/>
          <w:szCs w:val="20"/>
          <w:lang w:val="en-US" w:eastAsia="en-US" w:bidi="ar-SA"/>
        </w:rPr>
        <w:t>络计划的关键线路上，则承包人无权要求延长总工期。</w:t>
      </w:r>
    </w:p>
    <w:p w14:paraId="702078C8">
      <w:pPr>
        <w:spacing w:before="217" w:line="240" w:lineRule="auto"/>
        <w:ind w:left="56"/>
        <w:outlineLvl w:val="1"/>
        <w:rPr>
          <w:rFonts w:hint="eastAsia" w:ascii="宋体" w:hAnsi="宋体" w:eastAsia="宋体" w:cs="宋体"/>
          <w:sz w:val="20"/>
          <w:szCs w:val="20"/>
        </w:rPr>
      </w:pPr>
      <w:r>
        <w:rPr>
          <w:rFonts w:hint="eastAsia" w:ascii="宋体" w:hAnsi="宋体" w:eastAsia="宋体" w:cs="宋体"/>
          <w:spacing w:val="-2"/>
          <w:sz w:val="20"/>
          <w:szCs w:val="20"/>
        </w:rPr>
        <w:t>11.4 异常恶劣的气候条件</w:t>
      </w:r>
    </w:p>
    <w:p w14:paraId="5511200B">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6143F0AA">
      <w:pPr>
        <w:kinsoku w:val="0"/>
        <w:autoSpaceDE w:val="0"/>
        <w:autoSpaceDN w:val="0"/>
        <w:adjustRightInd w:val="0"/>
        <w:snapToGrid w:val="0"/>
        <w:spacing w:before="123" w:line="240" w:lineRule="auto"/>
        <w:ind w:left="45" w:right="66" w:firstLine="47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异常气候是指项目所在地</w:t>
      </w:r>
      <w:r>
        <w:rPr>
          <w:rFonts w:hint="eastAsia" w:ascii="宋体" w:hAnsi="宋体" w:eastAsia="宋体" w:cs="宋体"/>
          <w:snapToGrid w:val="0"/>
          <w:color w:val="000000"/>
          <w:spacing w:val="-50"/>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30 年以上一遇的罕见气候现象（包括</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"http://baike.baidu.com/view/8193.htm"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3"/>
          <w:kern w:val="0"/>
          <w:sz w:val="20"/>
          <w:szCs w:val="20"/>
          <w:lang w:val="en-US" w:eastAsia="en-US" w:bidi="ar-SA"/>
        </w:rPr>
        <w:t>温度</w:t>
      </w:r>
      <w:r>
        <w:rPr>
          <w:rFonts w:hint="eastAsia" w:ascii="宋体" w:hAnsi="宋体" w:eastAsia="宋体" w:cs="宋体"/>
          <w:snapToGrid w:val="0"/>
          <w:color w:val="000000"/>
          <w:spacing w:val="-3"/>
          <w:kern w:val="0"/>
          <w:sz w:val="20"/>
          <w:szCs w:val="20"/>
          <w:lang w:val="en-US" w:eastAsia="en-US" w:bidi="ar-SA"/>
        </w:rPr>
        <w:fldChar w:fldCharType="end"/>
      </w:r>
      <w:r>
        <w:rPr>
          <w:rFonts w:hint="eastAsia" w:ascii="宋体" w:hAnsi="宋体" w:eastAsia="宋体" w:cs="宋体"/>
          <w:snapToGrid w:val="0"/>
          <w:color w:val="000000"/>
          <w:spacing w:val="-3"/>
          <w:kern w:val="0"/>
          <w:sz w:val="20"/>
          <w:szCs w:val="20"/>
          <w:lang w:val="en-US" w:eastAsia="en-US" w:bidi="ar-SA"/>
        </w:rPr>
        <w:t>、降水、降</w:t>
      </w:r>
      <w:r>
        <w:rPr>
          <w:rFonts w:hint="eastAsia" w:ascii="宋体" w:hAnsi="宋体" w:eastAsia="宋体" w:cs="宋体"/>
          <w:snapToGrid w:val="0"/>
          <w:color w:val="000000"/>
          <w:spacing w:val="-5"/>
          <w:kern w:val="0"/>
          <w:sz w:val="20"/>
          <w:szCs w:val="20"/>
          <w:lang w:val="en-US" w:eastAsia="en-US" w:bidi="ar-SA"/>
        </w:rPr>
        <w:t>雪、风等）。异常恶劣的气候条件在项目专用合同条款中作具体约定。</w:t>
      </w:r>
    </w:p>
    <w:p w14:paraId="3C79549A">
      <w:pPr>
        <w:spacing w:before="235" w:line="240" w:lineRule="auto"/>
        <w:ind w:left="56"/>
        <w:outlineLvl w:val="1"/>
        <w:rPr>
          <w:rFonts w:hint="eastAsia" w:ascii="宋体" w:hAnsi="宋体" w:eastAsia="宋体" w:cs="宋体"/>
          <w:sz w:val="20"/>
          <w:szCs w:val="20"/>
        </w:rPr>
      </w:pPr>
      <w:bookmarkStart w:id="14" w:name="bookmark35"/>
      <w:bookmarkEnd w:id="14"/>
      <w:r>
        <w:rPr>
          <w:rFonts w:hint="eastAsia" w:ascii="宋体" w:hAnsi="宋体" w:eastAsia="宋体" w:cs="宋体"/>
          <w:spacing w:val="-2"/>
          <w:sz w:val="20"/>
          <w:szCs w:val="20"/>
        </w:rPr>
        <w:t>11.5  承包人的工期延误</w:t>
      </w:r>
    </w:p>
    <w:p w14:paraId="01235665">
      <w:pPr>
        <w:spacing w:line="240" w:lineRule="auto"/>
        <w:rPr>
          <w:rFonts w:hint="eastAsia" w:ascii="宋体" w:hAnsi="宋体" w:eastAsia="宋体" w:cs="宋体"/>
          <w:sz w:val="20"/>
          <w:szCs w:val="20"/>
        </w:rPr>
      </w:pPr>
    </w:p>
    <w:p w14:paraId="62833498">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本款细化为：</w:t>
      </w:r>
    </w:p>
    <w:p w14:paraId="39693877">
      <w:pPr>
        <w:kinsoku w:val="0"/>
        <w:autoSpaceDE w:val="0"/>
        <w:autoSpaceDN w:val="0"/>
        <w:adjustRightInd w:val="0"/>
        <w:snapToGrid w:val="0"/>
        <w:spacing w:before="115" w:line="240" w:lineRule="auto"/>
        <w:ind w:left="38" w:right="65"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（1）承包人应严格执行监理人批准的合同进度计划，对工作量计划和形象进度</w:t>
      </w:r>
      <w:r>
        <w:rPr>
          <w:rFonts w:hint="eastAsia" w:ascii="宋体" w:hAnsi="宋体" w:eastAsia="宋体" w:cs="宋体"/>
          <w:snapToGrid w:val="0"/>
          <w:color w:val="000000"/>
          <w:spacing w:val="-2"/>
          <w:kern w:val="0"/>
          <w:sz w:val="20"/>
          <w:szCs w:val="20"/>
          <w:lang w:val="en-US" w:eastAsia="en-US" w:bidi="ar-SA"/>
        </w:rPr>
        <w:t>计划分别控制。除第</w:t>
      </w:r>
      <w:r>
        <w:rPr>
          <w:rFonts w:hint="eastAsia" w:ascii="宋体" w:hAnsi="宋体" w:eastAsia="宋体" w:cs="宋体"/>
          <w:snapToGrid w:val="0"/>
          <w:color w:val="000000"/>
          <w:spacing w:val="-16"/>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11.3 款规定外，承包人的实际工程进度曲线应在合同进度管理</w:t>
      </w:r>
      <w:r>
        <w:rPr>
          <w:rFonts w:hint="eastAsia" w:ascii="宋体" w:hAnsi="宋体" w:eastAsia="宋体" w:cs="宋体"/>
          <w:snapToGrid w:val="0"/>
          <w:color w:val="000000"/>
          <w:kern w:val="0"/>
          <w:sz w:val="20"/>
          <w:szCs w:val="20"/>
          <w:lang w:val="en-US" w:eastAsia="en-US" w:bidi="ar-SA"/>
        </w:rPr>
        <w:t>曲线规定的安全区域之内。若承包人的实际工程进度曲线处在合同进度管理曲线规定的安全区域的下限之外时，则监理人有权认为本合同工程的进度过慢，并通知承包人应采取必要措施，以便加快工程进度，确保工程能在预定的工期内交工。承包</w:t>
      </w:r>
      <w:r>
        <w:rPr>
          <w:rFonts w:hint="eastAsia" w:ascii="宋体" w:hAnsi="宋体" w:eastAsia="宋体" w:cs="宋体"/>
          <w:snapToGrid w:val="0"/>
          <w:color w:val="000000"/>
          <w:spacing w:val="-2"/>
          <w:kern w:val="0"/>
          <w:sz w:val="20"/>
          <w:szCs w:val="20"/>
          <w:lang w:val="en-US" w:eastAsia="en-US" w:bidi="ar-SA"/>
        </w:rPr>
        <w:t>人应采取措施加快进度，并承担加快进度所增加的费用。</w:t>
      </w:r>
    </w:p>
    <w:p w14:paraId="5764CF58">
      <w:pPr>
        <w:kinsoku w:val="0"/>
        <w:autoSpaceDE w:val="0"/>
        <w:autoSpaceDN w:val="0"/>
        <w:adjustRightInd w:val="0"/>
        <w:snapToGrid w:val="0"/>
        <w:spacing w:before="116" w:line="240" w:lineRule="auto"/>
        <w:ind w:left="37"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（2）如果承包人在接到监理人通知后的 14</w:t>
      </w:r>
      <w:r>
        <w:rPr>
          <w:rFonts w:hint="eastAsia" w:ascii="宋体" w:hAnsi="宋体" w:eastAsia="宋体" w:cs="宋体"/>
          <w:snapToGrid w:val="0"/>
          <w:color w:val="000000"/>
          <w:spacing w:val="34"/>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天内，未能采取加快工程进度</w:t>
      </w:r>
      <w:r>
        <w:rPr>
          <w:rFonts w:hint="eastAsia" w:ascii="宋体" w:hAnsi="宋体" w:eastAsia="宋体" w:cs="宋体"/>
          <w:snapToGrid w:val="0"/>
          <w:color w:val="000000"/>
          <w:spacing w:val="-3"/>
          <w:kern w:val="0"/>
          <w:sz w:val="20"/>
          <w:szCs w:val="20"/>
          <w:lang w:val="en-US" w:eastAsia="en-US" w:bidi="ar-SA"/>
        </w:rPr>
        <w:t>的措</w:t>
      </w:r>
      <w:r>
        <w:rPr>
          <w:rFonts w:hint="eastAsia" w:ascii="宋体" w:hAnsi="宋体" w:eastAsia="宋体" w:cs="宋体"/>
          <w:snapToGrid w:val="0"/>
          <w:color w:val="000000"/>
          <w:kern w:val="0"/>
          <w:sz w:val="20"/>
          <w:szCs w:val="20"/>
          <w:lang w:val="en-US" w:eastAsia="en-US" w:bidi="ar-SA"/>
        </w:rPr>
        <w:t>施，致使实际工程进度进一步滞后，或承包人虽采取了一些措施，仍无法按预计工</w:t>
      </w:r>
      <w:r>
        <w:rPr>
          <w:rFonts w:hint="eastAsia" w:ascii="宋体" w:hAnsi="宋体" w:eastAsia="宋体" w:cs="宋体"/>
          <w:snapToGrid w:val="0"/>
          <w:color w:val="000000"/>
          <w:spacing w:val="-8"/>
          <w:kern w:val="0"/>
          <w:sz w:val="20"/>
          <w:szCs w:val="20"/>
          <w:lang w:val="en-US" w:eastAsia="en-US" w:bidi="ar-SA"/>
        </w:rPr>
        <w:t>期交工时，监理人应立即通知发包人。发包人在向承包人发出书面警</w:t>
      </w:r>
      <w:r>
        <w:rPr>
          <w:rFonts w:hint="eastAsia" w:ascii="宋体" w:hAnsi="宋体" w:eastAsia="宋体" w:cs="宋体"/>
          <w:snapToGrid w:val="0"/>
          <w:color w:val="000000"/>
          <w:spacing w:val="-9"/>
          <w:kern w:val="0"/>
          <w:sz w:val="20"/>
          <w:szCs w:val="20"/>
          <w:lang w:val="en-US" w:eastAsia="en-US" w:bidi="ar-SA"/>
        </w:rPr>
        <w:t>告通知</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14</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天后，</w:t>
      </w:r>
      <w:r>
        <w:rPr>
          <w:rFonts w:hint="eastAsia" w:ascii="宋体" w:hAnsi="宋体" w:eastAsia="宋体" w:cs="宋体"/>
          <w:snapToGrid w:val="0"/>
          <w:color w:val="000000"/>
          <w:spacing w:val="1"/>
          <w:kern w:val="0"/>
          <w:sz w:val="20"/>
          <w:szCs w:val="20"/>
          <w:lang w:val="en-US" w:eastAsia="en-US" w:bidi="ar-SA"/>
        </w:rPr>
        <w:t>发包人可按第22.1 款终止对承包人的雇用，也可将本</w:t>
      </w:r>
      <w:r>
        <w:rPr>
          <w:rFonts w:hint="eastAsia" w:ascii="宋体" w:hAnsi="宋体" w:eastAsia="宋体" w:cs="宋体"/>
          <w:snapToGrid w:val="0"/>
          <w:color w:val="000000"/>
          <w:kern w:val="0"/>
          <w:sz w:val="20"/>
          <w:szCs w:val="20"/>
          <w:lang w:val="en-US" w:eastAsia="en-US" w:bidi="ar-SA"/>
        </w:rPr>
        <w:t>合同工程中的一部分工作交由其他承包人或其他分包人完成。在不解除本合同规定的承包人责任和义务的同时，</w:t>
      </w:r>
      <w:r>
        <w:rPr>
          <w:rFonts w:hint="eastAsia" w:ascii="宋体" w:hAnsi="宋体" w:eastAsia="宋体" w:cs="宋体"/>
          <w:snapToGrid w:val="0"/>
          <w:color w:val="000000"/>
          <w:spacing w:val="-3"/>
          <w:kern w:val="0"/>
          <w:sz w:val="20"/>
          <w:szCs w:val="20"/>
          <w:lang w:val="en-US" w:eastAsia="en-US" w:bidi="ar-SA"/>
        </w:rPr>
        <w:t>承包人应承担因此所增加的一切费用。</w:t>
      </w:r>
    </w:p>
    <w:p w14:paraId="0B3B5FFF">
      <w:pPr>
        <w:kinsoku w:val="0"/>
        <w:autoSpaceDE w:val="0"/>
        <w:autoSpaceDN w:val="0"/>
        <w:adjustRightInd w:val="0"/>
        <w:snapToGrid w:val="0"/>
        <w:spacing w:before="114" w:line="240" w:lineRule="auto"/>
        <w:ind w:left="38" w:right="66"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（3）由于承包人原因造成工期延误，承包人应支付逾期交工违约金。逾期交工</w:t>
      </w:r>
      <w:r>
        <w:rPr>
          <w:rFonts w:hint="eastAsia" w:ascii="宋体" w:hAnsi="宋体" w:eastAsia="宋体" w:cs="宋体"/>
          <w:snapToGrid w:val="0"/>
          <w:color w:val="000000"/>
          <w:spacing w:val="1"/>
          <w:kern w:val="0"/>
          <w:sz w:val="20"/>
          <w:szCs w:val="20"/>
          <w:lang w:val="en-US" w:eastAsia="en-US" w:bidi="ar-SA"/>
        </w:rPr>
        <w:t>违约金的计算方法在项目专用合同条款数据表中约</w:t>
      </w:r>
      <w:r>
        <w:rPr>
          <w:rFonts w:hint="eastAsia" w:ascii="宋体" w:hAnsi="宋体" w:eastAsia="宋体" w:cs="宋体"/>
          <w:snapToGrid w:val="0"/>
          <w:color w:val="000000"/>
          <w:kern w:val="0"/>
          <w:sz w:val="20"/>
          <w:szCs w:val="20"/>
          <w:lang w:val="en-US" w:eastAsia="en-US" w:bidi="ar-SA"/>
        </w:rPr>
        <w:t>定，时间自预定的交工日期起到</w:t>
      </w:r>
      <w:r>
        <w:rPr>
          <w:rFonts w:hint="eastAsia" w:ascii="宋体" w:hAnsi="宋体" w:eastAsia="宋体" w:cs="宋体"/>
          <w:snapToGrid w:val="0"/>
          <w:color w:val="000000"/>
          <w:spacing w:val="-2"/>
          <w:kern w:val="0"/>
          <w:sz w:val="20"/>
          <w:szCs w:val="20"/>
          <w:lang w:val="en-US" w:eastAsia="en-US" w:bidi="ar-SA"/>
        </w:rPr>
        <w:t>交工验收证书中写明的实际交工日期止（扣除已批准的延长</w:t>
      </w:r>
      <w:r>
        <w:rPr>
          <w:rFonts w:hint="eastAsia" w:ascii="宋体" w:hAnsi="宋体" w:eastAsia="宋体" w:cs="宋体"/>
          <w:snapToGrid w:val="0"/>
          <w:color w:val="000000"/>
          <w:spacing w:val="-3"/>
          <w:kern w:val="0"/>
          <w:sz w:val="20"/>
          <w:szCs w:val="20"/>
          <w:lang w:val="en-US" w:eastAsia="en-US" w:bidi="ar-SA"/>
        </w:rPr>
        <w:t>工期</w:t>
      </w:r>
      <w:r>
        <w:rPr>
          <w:rFonts w:hint="eastAsia" w:ascii="宋体" w:hAnsi="宋体" w:eastAsia="宋体" w:cs="宋体"/>
          <w:snapToGrid w:val="0"/>
          <w:color w:val="000000"/>
          <w:spacing w:val="-61"/>
          <w:w w:val="97"/>
          <w:kern w:val="0"/>
          <w:sz w:val="20"/>
          <w:szCs w:val="20"/>
          <w:lang w:val="en-US" w:eastAsia="en-US" w:bidi="ar-SA"/>
        </w:rPr>
        <w:t>），</w:t>
      </w:r>
      <w:r>
        <w:rPr>
          <w:rFonts w:hint="eastAsia" w:ascii="宋体" w:hAnsi="宋体" w:eastAsia="宋体" w:cs="宋体"/>
          <w:snapToGrid w:val="0"/>
          <w:color w:val="000000"/>
          <w:spacing w:val="-3"/>
          <w:kern w:val="0"/>
          <w:sz w:val="20"/>
          <w:szCs w:val="20"/>
          <w:lang w:val="en-US" w:eastAsia="en-US" w:bidi="ar-SA"/>
        </w:rPr>
        <w:t>按天计算。逾期</w:t>
      </w:r>
      <w:r>
        <w:rPr>
          <w:rFonts w:hint="eastAsia" w:ascii="宋体" w:hAnsi="宋体" w:eastAsia="宋体" w:cs="宋体"/>
          <w:snapToGrid w:val="0"/>
          <w:color w:val="000000"/>
          <w:spacing w:val="1"/>
          <w:kern w:val="0"/>
          <w:sz w:val="20"/>
          <w:szCs w:val="20"/>
          <w:lang w:val="en-US" w:eastAsia="en-US" w:bidi="ar-SA"/>
        </w:rPr>
        <w:t>交工违约金累计金额最高不超过项目专用合同条款</w:t>
      </w:r>
      <w:r>
        <w:rPr>
          <w:rFonts w:hint="eastAsia" w:ascii="宋体" w:hAnsi="宋体" w:eastAsia="宋体" w:cs="宋体"/>
          <w:snapToGrid w:val="0"/>
          <w:color w:val="000000"/>
          <w:kern w:val="0"/>
          <w:sz w:val="20"/>
          <w:szCs w:val="20"/>
          <w:lang w:val="en-US" w:eastAsia="en-US" w:bidi="ar-SA"/>
        </w:rPr>
        <w:t>数据表中写明的限额。发包人可</w:t>
      </w:r>
      <w:r>
        <w:rPr>
          <w:rFonts w:hint="eastAsia" w:ascii="宋体" w:hAnsi="宋体" w:eastAsia="宋体" w:cs="宋体"/>
          <w:snapToGrid w:val="0"/>
          <w:color w:val="000000"/>
          <w:spacing w:val="-1"/>
          <w:kern w:val="0"/>
          <w:sz w:val="20"/>
          <w:szCs w:val="20"/>
          <w:lang w:val="en-US" w:eastAsia="en-US" w:bidi="ar-SA"/>
        </w:rPr>
        <w:t>以从应付或到期应付给承包人的任何款项中或采用</w:t>
      </w:r>
      <w:r>
        <w:rPr>
          <w:rFonts w:hint="eastAsia" w:ascii="宋体" w:hAnsi="宋体" w:eastAsia="宋体" w:cs="宋体"/>
          <w:snapToGrid w:val="0"/>
          <w:color w:val="000000"/>
          <w:spacing w:val="-2"/>
          <w:kern w:val="0"/>
          <w:sz w:val="20"/>
          <w:szCs w:val="20"/>
          <w:lang w:val="en-US" w:eastAsia="en-US" w:bidi="ar-SA"/>
        </w:rPr>
        <w:t>其他方法扣除此违约金。</w:t>
      </w:r>
    </w:p>
    <w:p w14:paraId="686F1959">
      <w:pPr>
        <w:kinsoku w:val="0"/>
        <w:autoSpaceDE w:val="0"/>
        <w:autoSpaceDN w:val="0"/>
        <w:adjustRightInd w:val="0"/>
        <w:snapToGrid w:val="0"/>
        <w:spacing w:before="116" w:line="240" w:lineRule="auto"/>
        <w:ind w:right="14" w:firstLine="594" w:firstLineChars="3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（4）承包人支付逾期交工违约金，不免除承</w:t>
      </w:r>
      <w:r>
        <w:rPr>
          <w:rFonts w:hint="eastAsia" w:ascii="宋体" w:hAnsi="宋体" w:eastAsia="宋体" w:cs="宋体"/>
          <w:snapToGrid w:val="0"/>
          <w:color w:val="000000"/>
          <w:spacing w:val="-2"/>
          <w:kern w:val="0"/>
          <w:sz w:val="20"/>
          <w:szCs w:val="20"/>
          <w:lang w:val="en-US" w:eastAsia="en-US" w:bidi="ar-SA"/>
        </w:rPr>
        <w:t>包人完成工程及修补缺陷的义务。</w:t>
      </w:r>
    </w:p>
    <w:p w14:paraId="2F5F68A1">
      <w:pPr>
        <w:kinsoku w:val="0"/>
        <w:autoSpaceDE w:val="0"/>
        <w:autoSpaceDN w:val="0"/>
        <w:adjustRightInd w:val="0"/>
        <w:snapToGrid w:val="0"/>
        <w:spacing w:before="97" w:line="240" w:lineRule="auto"/>
        <w:ind w:left="41" w:right="66" w:firstLine="48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（5）如果在合同工程完工之前，已对合同工程内按时完工的单位工程签发了交</w:t>
      </w:r>
      <w:r>
        <w:rPr>
          <w:rFonts w:hint="eastAsia" w:ascii="宋体" w:hAnsi="宋体" w:eastAsia="宋体" w:cs="宋体"/>
          <w:snapToGrid w:val="0"/>
          <w:color w:val="000000"/>
          <w:spacing w:val="1"/>
          <w:kern w:val="0"/>
          <w:sz w:val="20"/>
          <w:szCs w:val="20"/>
          <w:lang w:val="en-US" w:eastAsia="en-US" w:bidi="ar-SA"/>
        </w:rPr>
        <w:t>工验收证书，则合同工程的逾期交工违约金</w:t>
      </w:r>
      <w:r>
        <w:rPr>
          <w:rFonts w:hint="eastAsia" w:ascii="宋体" w:hAnsi="宋体" w:eastAsia="宋体" w:cs="宋体"/>
          <w:snapToGrid w:val="0"/>
          <w:color w:val="000000"/>
          <w:kern w:val="0"/>
          <w:sz w:val="20"/>
          <w:szCs w:val="20"/>
          <w:lang w:val="en-US" w:eastAsia="en-US" w:bidi="ar-SA"/>
        </w:rPr>
        <w:t>，应按已签发交工验收证书的单位工程</w:t>
      </w:r>
      <w:r>
        <w:rPr>
          <w:rFonts w:hint="eastAsia" w:ascii="宋体" w:hAnsi="宋体" w:eastAsia="宋体" w:cs="宋体"/>
          <w:snapToGrid w:val="0"/>
          <w:color w:val="000000"/>
          <w:spacing w:val="1"/>
          <w:kern w:val="0"/>
          <w:sz w:val="20"/>
          <w:szCs w:val="20"/>
          <w:lang w:val="en-US" w:eastAsia="en-US" w:bidi="ar-SA"/>
        </w:rPr>
        <w:t>的价值占合同工程价值的比例予以减少，但</w:t>
      </w:r>
      <w:r>
        <w:rPr>
          <w:rFonts w:hint="eastAsia" w:ascii="宋体" w:hAnsi="宋体" w:eastAsia="宋体" w:cs="宋体"/>
          <w:snapToGrid w:val="0"/>
          <w:color w:val="000000"/>
          <w:kern w:val="0"/>
          <w:sz w:val="20"/>
          <w:szCs w:val="20"/>
          <w:lang w:val="en-US" w:eastAsia="en-US" w:bidi="ar-SA"/>
        </w:rPr>
        <w:t>本规定不应影响逾期交工违约金的规定</w:t>
      </w:r>
      <w:bookmarkStart w:id="15" w:name="bookmark36"/>
      <w:bookmarkEnd w:id="15"/>
      <w:r>
        <w:rPr>
          <w:rFonts w:hint="eastAsia" w:ascii="宋体" w:hAnsi="宋体" w:eastAsia="宋体" w:cs="宋体"/>
          <w:snapToGrid w:val="0"/>
          <w:color w:val="000000"/>
          <w:spacing w:val="-14"/>
          <w:kern w:val="0"/>
          <w:sz w:val="20"/>
          <w:szCs w:val="20"/>
          <w:lang w:val="en-US" w:eastAsia="en-US" w:bidi="ar-SA"/>
        </w:rPr>
        <w:t>限额。</w:t>
      </w:r>
    </w:p>
    <w:p w14:paraId="3BBC2F15">
      <w:pPr>
        <w:spacing w:line="240" w:lineRule="auto"/>
        <w:rPr>
          <w:rFonts w:hint="eastAsia" w:ascii="宋体" w:hAnsi="宋体" w:eastAsia="宋体" w:cs="宋体"/>
          <w:sz w:val="20"/>
          <w:szCs w:val="20"/>
        </w:rPr>
      </w:pPr>
    </w:p>
    <w:p w14:paraId="3E62A91B">
      <w:pPr>
        <w:spacing w:before="78" w:line="240" w:lineRule="auto"/>
        <w:ind w:left="56"/>
        <w:outlineLvl w:val="1"/>
        <w:rPr>
          <w:rFonts w:hint="eastAsia" w:ascii="宋体" w:hAnsi="宋体" w:eastAsia="宋体" w:cs="宋体"/>
          <w:sz w:val="20"/>
          <w:szCs w:val="20"/>
        </w:rPr>
      </w:pPr>
      <w:r>
        <w:rPr>
          <w:rFonts w:hint="eastAsia" w:ascii="宋体" w:hAnsi="宋体" w:eastAsia="宋体" w:cs="宋体"/>
          <w:spacing w:val="-3"/>
          <w:sz w:val="20"/>
          <w:szCs w:val="20"/>
        </w:rPr>
        <w:t>11.6  工期提前</w:t>
      </w:r>
    </w:p>
    <w:p w14:paraId="1193E891">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1F5D25D9">
      <w:pPr>
        <w:kinsoku w:val="0"/>
        <w:autoSpaceDE w:val="0"/>
        <w:autoSpaceDN w:val="0"/>
        <w:adjustRightInd w:val="0"/>
        <w:snapToGrid w:val="0"/>
        <w:spacing w:before="113" w:line="240" w:lineRule="auto"/>
        <w:ind w:left="39" w:firstLine="482"/>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发包人不得随意要求承包人提前交工，承包人也不得随意提出提前交工的建议。</w:t>
      </w:r>
      <w:r>
        <w:rPr>
          <w:rFonts w:hint="eastAsia" w:ascii="宋体" w:hAnsi="宋体" w:eastAsia="宋体" w:cs="宋体"/>
          <w:snapToGrid w:val="0"/>
          <w:color w:val="000000"/>
          <w:kern w:val="0"/>
          <w:sz w:val="20"/>
          <w:szCs w:val="20"/>
          <w:lang w:val="en-US" w:eastAsia="en-US" w:bidi="ar-SA"/>
        </w:rPr>
        <w:t>如遇特殊情况，确需将工期提前的，发包人和承包人必须采取有效措施，确保工程</w:t>
      </w:r>
      <w:r>
        <w:rPr>
          <w:rFonts w:hint="eastAsia" w:ascii="宋体" w:hAnsi="宋体" w:eastAsia="宋体" w:cs="宋体"/>
          <w:snapToGrid w:val="0"/>
          <w:color w:val="000000"/>
          <w:spacing w:val="-11"/>
          <w:kern w:val="0"/>
          <w:sz w:val="20"/>
          <w:szCs w:val="20"/>
          <w:lang w:val="en-US" w:eastAsia="en-US" w:bidi="ar-SA"/>
        </w:rPr>
        <w:t>质量。</w:t>
      </w:r>
    </w:p>
    <w:p w14:paraId="6D881F21">
      <w:pPr>
        <w:kinsoku w:val="0"/>
        <w:autoSpaceDE w:val="0"/>
        <w:autoSpaceDN w:val="0"/>
        <w:adjustRightInd w:val="0"/>
        <w:snapToGrid w:val="0"/>
        <w:spacing w:before="2" w:line="240" w:lineRule="auto"/>
        <w:ind w:left="38" w:right="91" w:firstLine="483"/>
        <w:jc w:val="both"/>
        <w:textAlignment w:val="baseline"/>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如果承包人提前交工，发包人支付奖金的计算方法在项目专用合同条款数据表中约定，时间自交工验收证书中写明的实际交工日期起至预定的交工日期止，按天计算。但奖金最高限额不超过项目专用合同条款</w:t>
      </w:r>
      <w:r>
        <w:rPr>
          <w:rFonts w:hint="eastAsia" w:ascii="宋体" w:hAnsi="宋体" w:eastAsia="宋体" w:cs="宋体"/>
          <w:snapToGrid w:val="0"/>
          <w:color w:val="000000"/>
          <w:spacing w:val="-1"/>
          <w:kern w:val="0"/>
          <w:sz w:val="20"/>
          <w:szCs w:val="20"/>
          <w:lang w:val="en-US" w:eastAsia="en-US" w:bidi="ar-SA"/>
        </w:rPr>
        <w:t>数据表中写明的限额。</w:t>
      </w:r>
    </w:p>
    <w:p w14:paraId="1AE4E211">
      <w:pPr>
        <w:kinsoku w:val="0"/>
        <w:autoSpaceDE w:val="0"/>
        <w:autoSpaceDN w:val="0"/>
        <w:adjustRightInd w:val="0"/>
        <w:snapToGrid w:val="0"/>
        <w:spacing w:before="79" w:line="240" w:lineRule="auto"/>
        <w:ind w:left="39"/>
        <w:jc w:val="left"/>
        <w:textAlignment w:val="baseline"/>
        <w:rPr>
          <w:rFonts w:hint="eastAsia" w:ascii="宋体" w:hAnsi="宋体" w:eastAsia="宋体" w:cs="宋体"/>
          <w:snapToGrid w:val="0"/>
          <w:color w:val="000000"/>
          <w:kern w:val="0"/>
          <w:sz w:val="20"/>
          <w:szCs w:val="20"/>
          <w:lang w:val="en-US" w:eastAsia="en-US" w:bidi="ar-SA"/>
        </w:rPr>
      </w:pPr>
      <w:bookmarkStart w:id="16" w:name="bookmark37"/>
      <w:bookmarkEnd w:id="16"/>
      <w:r>
        <w:rPr>
          <w:rFonts w:hint="eastAsia" w:ascii="宋体" w:hAnsi="宋体" w:eastAsia="宋体" w:cs="宋体"/>
          <w:snapToGrid w:val="0"/>
          <w:color w:val="000000"/>
          <w:spacing w:val="-6"/>
          <w:kern w:val="0"/>
          <w:sz w:val="20"/>
          <w:szCs w:val="20"/>
          <w:lang w:val="en-US" w:eastAsia="en-US" w:bidi="ar-SA"/>
        </w:rPr>
        <w:t>本条补充第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11.7 款：</w:t>
      </w:r>
    </w:p>
    <w:p w14:paraId="7553ED09">
      <w:pPr>
        <w:spacing w:before="318" w:line="240" w:lineRule="auto"/>
        <w:ind w:left="56"/>
        <w:outlineLvl w:val="1"/>
        <w:rPr>
          <w:rFonts w:hint="eastAsia" w:ascii="宋体" w:hAnsi="宋体" w:eastAsia="宋体" w:cs="宋体"/>
          <w:sz w:val="20"/>
          <w:szCs w:val="20"/>
        </w:rPr>
      </w:pPr>
      <w:r>
        <w:rPr>
          <w:rFonts w:hint="eastAsia" w:ascii="宋体" w:hAnsi="宋体" w:eastAsia="宋体" w:cs="宋体"/>
          <w:spacing w:val="-3"/>
          <w:sz w:val="20"/>
          <w:szCs w:val="20"/>
        </w:rPr>
        <w:t>11.7  工作时间的限制</w:t>
      </w:r>
    </w:p>
    <w:p w14:paraId="668C38F3">
      <w:pPr>
        <w:kinsoku w:val="0"/>
        <w:autoSpaceDE w:val="0"/>
        <w:autoSpaceDN w:val="0"/>
        <w:adjustRightInd w:val="0"/>
        <w:snapToGrid w:val="0"/>
        <w:spacing w:before="78" w:line="240" w:lineRule="auto"/>
        <w:ind w:left="39" w:right="94" w:firstLine="47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承包人在夜间或国家规定的节假日进行永久工程的施工，应向监理人报告，以</w:t>
      </w:r>
      <w:r>
        <w:rPr>
          <w:rFonts w:hint="eastAsia" w:ascii="宋体" w:hAnsi="宋体" w:eastAsia="宋体" w:cs="宋体"/>
          <w:snapToGrid w:val="0"/>
          <w:color w:val="000000"/>
          <w:spacing w:val="-3"/>
          <w:kern w:val="0"/>
          <w:sz w:val="20"/>
          <w:szCs w:val="20"/>
          <w:lang w:val="en-US" w:eastAsia="en-US" w:bidi="ar-SA"/>
        </w:rPr>
        <w:t>便监理人履行监理职责和义务。</w:t>
      </w:r>
    </w:p>
    <w:p w14:paraId="56CFE2D9">
      <w:pPr>
        <w:kinsoku w:val="0"/>
        <w:autoSpaceDE w:val="0"/>
        <w:autoSpaceDN w:val="0"/>
        <w:adjustRightInd w:val="0"/>
        <w:snapToGrid w:val="0"/>
        <w:spacing w:before="1" w:line="240" w:lineRule="auto"/>
        <w:ind w:left="39" w:right="94" w:firstLine="47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但是，为了抢救生命或保护财产，或为了工</w:t>
      </w:r>
      <w:r>
        <w:rPr>
          <w:rFonts w:hint="eastAsia" w:ascii="宋体" w:hAnsi="宋体" w:eastAsia="宋体" w:cs="宋体"/>
          <w:snapToGrid w:val="0"/>
          <w:color w:val="000000"/>
          <w:kern w:val="0"/>
          <w:sz w:val="20"/>
          <w:szCs w:val="20"/>
          <w:lang w:val="en-US" w:eastAsia="en-US" w:bidi="ar-SA"/>
        </w:rPr>
        <w:t>程的安全、质量而不可避免地短暂</w:t>
      </w:r>
      <w:r>
        <w:rPr>
          <w:rFonts w:hint="eastAsia" w:ascii="宋体" w:hAnsi="宋体" w:eastAsia="宋体" w:cs="宋体"/>
          <w:snapToGrid w:val="0"/>
          <w:color w:val="000000"/>
          <w:spacing w:val="-1"/>
          <w:kern w:val="0"/>
          <w:sz w:val="20"/>
          <w:szCs w:val="20"/>
          <w:lang w:val="en-US" w:eastAsia="en-US" w:bidi="ar-SA"/>
        </w:rPr>
        <w:t>作业，则不必事先向监理人报告。但承包人</w:t>
      </w:r>
      <w:r>
        <w:rPr>
          <w:rFonts w:hint="eastAsia" w:ascii="宋体" w:hAnsi="宋体" w:eastAsia="宋体" w:cs="宋体"/>
          <w:snapToGrid w:val="0"/>
          <w:color w:val="000000"/>
          <w:spacing w:val="-2"/>
          <w:kern w:val="0"/>
          <w:sz w:val="20"/>
          <w:szCs w:val="20"/>
          <w:lang w:val="en-US" w:eastAsia="en-US" w:bidi="ar-SA"/>
        </w:rPr>
        <w:t>应在事后立即向监理人报告。</w:t>
      </w:r>
    </w:p>
    <w:p w14:paraId="00EAC0AD">
      <w:pPr>
        <w:kinsoku w:val="0"/>
        <w:autoSpaceDE w:val="0"/>
        <w:autoSpaceDN w:val="0"/>
        <w:adjustRightInd w:val="0"/>
        <w:snapToGrid w:val="0"/>
        <w:spacing w:before="1" w:line="240" w:lineRule="auto"/>
        <w:ind w:left="519"/>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2"/>
          <w:kern w:val="0"/>
          <w:sz w:val="20"/>
          <w:szCs w:val="20"/>
          <w:lang w:val="en-US" w:eastAsia="en-US" w:bidi="ar-SA"/>
        </w:rPr>
        <w:t>本款规定不适用于习惯上或施工本身要求实行连续生产的作业。</w:t>
      </w:r>
    </w:p>
    <w:p w14:paraId="31D31796">
      <w:pPr>
        <w:spacing w:before="92" w:line="240" w:lineRule="auto"/>
        <w:ind w:left="61"/>
        <w:outlineLvl w:val="0"/>
        <w:rPr>
          <w:rFonts w:hint="eastAsia" w:ascii="宋体" w:hAnsi="宋体" w:eastAsia="宋体" w:cs="宋体"/>
          <w:sz w:val="20"/>
          <w:szCs w:val="20"/>
        </w:rPr>
      </w:pPr>
      <w:r>
        <w:rPr>
          <w:rFonts w:hint="eastAsia" w:ascii="宋体" w:hAnsi="宋体" w:eastAsia="宋体" w:cs="宋体"/>
          <w:spacing w:val="-7"/>
          <w:sz w:val="20"/>
          <w:szCs w:val="20"/>
        </w:rPr>
        <w:t>12.</w:t>
      </w:r>
      <w:r>
        <w:rPr>
          <w:rFonts w:hint="eastAsia" w:ascii="宋体" w:hAnsi="宋体" w:eastAsia="宋体" w:cs="宋体"/>
          <w:spacing w:val="11"/>
          <w:sz w:val="20"/>
          <w:szCs w:val="20"/>
        </w:rPr>
        <w:t xml:space="preserve">  </w:t>
      </w:r>
      <w:r>
        <w:rPr>
          <w:rFonts w:hint="eastAsia" w:ascii="宋体" w:hAnsi="宋体" w:eastAsia="宋体" w:cs="宋体"/>
          <w:spacing w:val="-7"/>
          <w:sz w:val="20"/>
          <w:szCs w:val="20"/>
        </w:rPr>
        <w:t>暂停施工</w:t>
      </w:r>
    </w:p>
    <w:p w14:paraId="030BA4AF">
      <w:pPr>
        <w:spacing w:before="312" w:line="240" w:lineRule="auto"/>
        <w:ind w:left="56"/>
        <w:outlineLvl w:val="1"/>
        <w:rPr>
          <w:rFonts w:hint="eastAsia" w:ascii="宋体" w:hAnsi="宋体" w:eastAsia="宋体" w:cs="宋体"/>
          <w:sz w:val="20"/>
          <w:szCs w:val="20"/>
        </w:rPr>
      </w:pPr>
      <w:r>
        <w:rPr>
          <w:rFonts w:hint="eastAsia" w:ascii="宋体" w:hAnsi="宋体" w:eastAsia="宋体" w:cs="宋体"/>
          <w:spacing w:val="-2"/>
          <w:sz w:val="20"/>
          <w:szCs w:val="20"/>
        </w:rPr>
        <w:t>12.1  承包人暂停施工的责任</w:t>
      </w:r>
    </w:p>
    <w:p w14:paraId="38640266">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本款第（5）项细化为：</w:t>
      </w:r>
    </w:p>
    <w:p w14:paraId="299166CC">
      <w:pPr>
        <w:kinsoku w:val="0"/>
        <w:autoSpaceDE w:val="0"/>
        <w:autoSpaceDN w:val="0"/>
        <w:adjustRightInd w:val="0"/>
        <w:snapToGrid w:val="0"/>
        <w:spacing w:before="99" w:line="240" w:lineRule="auto"/>
        <w:ind w:left="42" w:right="85" w:firstLine="48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（5）现场气候条件导致的必要停工（第 11.4  款约定的异常恶劣的气候条件除</w:t>
      </w:r>
      <w:r>
        <w:rPr>
          <w:rFonts w:hint="eastAsia" w:ascii="宋体" w:hAnsi="宋体" w:eastAsia="宋体" w:cs="宋体"/>
          <w:snapToGrid w:val="0"/>
          <w:color w:val="000000"/>
          <w:spacing w:val="-15"/>
          <w:kern w:val="0"/>
          <w:sz w:val="20"/>
          <w:szCs w:val="20"/>
          <w:lang w:val="en-US" w:eastAsia="en-US" w:bidi="ar-SA"/>
        </w:rPr>
        <w:t>外</w:t>
      </w:r>
      <w:r>
        <w:rPr>
          <w:rFonts w:hint="eastAsia" w:ascii="宋体" w:hAnsi="宋体" w:eastAsia="宋体" w:cs="宋体"/>
          <w:snapToGrid w:val="0"/>
          <w:color w:val="000000"/>
          <w:spacing w:val="-46"/>
          <w:kern w:val="0"/>
          <w:sz w:val="20"/>
          <w:szCs w:val="20"/>
          <w:lang w:val="en-US" w:eastAsia="en-US" w:bidi="ar-SA"/>
        </w:rPr>
        <w:t>）；</w:t>
      </w:r>
    </w:p>
    <w:p w14:paraId="48B09F87">
      <w:pPr>
        <w:kinsoku w:val="0"/>
        <w:autoSpaceDE w:val="0"/>
        <w:autoSpaceDN w:val="0"/>
        <w:adjustRightInd w:val="0"/>
        <w:snapToGrid w:val="0"/>
        <w:spacing w:before="115" w:line="240" w:lineRule="auto"/>
        <w:ind w:left="524"/>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2"/>
          <w:kern w:val="0"/>
          <w:sz w:val="20"/>
          <w:szCs w:val="20"/>
          <w:lang w:val="en-US" w:eastAsia="en-US" w:bidi="ar-SA"/>
        </w:rPr>
        <w:t>（6）项目专用合同条款可能约定的由承包人承担的其他暂停施工。</w:t>
      </w:r>
    </w:p>
    <w:p w14:paraId="5AAC5318">
      <w:pPr>
        <w:spacing w:before="92" w:line="240" w:lineRule="auto"/>
        <w:ind w:left="61"/>
        <w:outlineLvl w:val="0"/>
        <w:rPr>
          <w:rFonts w:hint="eastAsia" w:ascii="宋体" w:hAnsi="宋体" w:eastAsia="宋体" w:cs="宋体"/>
          <w:sz w:val="20"/>
          <w:szCs w:val="20"/>
        </w:rPr>
      </w:pPr>
      <w:r>
        <w:rPr>
          <w:rFonts w:hint="eastAsia" w:ascii="宋体" w:hAnsi="宋体" w:eastAsia="宋体" w:cs="宋体"/>
          <w:spacing w:val="-4"/>
          <w:sz w:val="20"/>
          <w:szCs w:val="20"/>
        </w:rPr>
        <w:t>13.  工程质量</w:t>
      </w:r>
    </w:p>
    <w:p w14:paraId="7607F485">
      <w:pPr>
        <w:spacing w:before="313" w:line="240" w:lineRule="auto"/>
        <w:ind w:left="56"/>
        <w:rPr>
          <w:rFonts w:hint="eastAsia" w:ascii="宋体" w:hAnsi="宋体" w:eastAsia="宋体" w:cs="宋体"/>
          <w:sz w:val="20"/>
          <w:szCs w:val="20"/>
        </w:rPr>
      </w:pPr>
      <w:r>
        <w:rPr>
          <w:rFonts w:hint="eastAsia" w:ascii="宋体" w:hAnsi="宋体" w:eastAsia="宋体" w:cs="宋体"/>
          <w:spacing w:val="-3"/>
          <w:sz w:val="20"/>
          <w:szCs w:val="20"/>
        </w:rPr>
        <w:t>13.1  工程质量要求</w:t>
      </w:r>
    </w:p>
    <w:p w14:paraId="6D50C0F5">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第</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13.1.1</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项约定为：</w:t>
      </w:r>
    </w:p>
    <w:p w14:paraId="71C157DB">
      <w:pPr>
        <w:kinsoku w:val="0"/>
        <w:autoSpaceDE w:val="0"/>
        <w:autoSpaceDN w:val="0"/>
        <w:adjustRightInd w:val="0"/>
        <w:snapToGrid w:val="0"/>
        <w:spacing w:before="97" w:line="240" w:lineRule="auto"/>
        <w:ind w:left="52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工程质量验收按技术规范及《公路工程质量检验评定标准</w:t>
      </w:r>
      <w:r>
        <w:rPr>
          <w:rFonts w:hint="eastAsia" w:ascii="宋体" w:hAnsi="宋体" w:eastAsia="宋体" w:cs="宋体"/>
          <w:snapToGrid w:val="0"/>
          <w:color w:val="000000"/>
          <w:spacing w:val="-2"/>
          <w:kern w:val="0"/>
          <w:sz w:val="20"/>
          <w:szCs w:val="20"/>
          <w:lang w:val="en-US" w:eastAsia="en-US" w:bidi="ar-SA"/>
        </w:rPr>
        <w:t>》执行。</w:t>
      </w:r>
    </w:p>
    <w:p w14:paraId="3ACF56CA">
      <w:pPr>
        <w:spacing w:line="240" w:lineRule="auto"/>
        <w:rPr>
          <w:rFonts w:hint="eastAsia" w:ascii="宋体" w:hAnsi="宋体" w:eastAsia="宋体" w:cs="宋体"/>
          <w:sz w:val="20"/>
          <w:szCs w:val="20"/>
          <w:lang w:eastAsia="zh-CN"/>
        </w:rPr>
      </w:pPr>
    </w:p>
    <w:p w14:paraId="505D7E86">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本款补充第</w:t>
      </w:r>
      <w:r>
        <w:rPr>
          <w:rFonts w:hint="eastAsia" w:ascii="宋体" w:hAnsi="宋体" w:eastAsia="宋体" w:cs="宋体"/>
          <w:snapToGrid w:val="0"/>
          <w:color w:val="000000"/>
          <w:spacing w:val="-15"/>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13.1.4</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项、第</w:t>
      </w:r>
      <w:r>
        <w:rPr>
          <w:rFonts w:hint="eastAsia" w:ascii="宋体" w:hAnsi="宋体" w:eastAsia="宋体" w:cs="宋体"/>
          <w:snapToGrid w:val="0"/>
          <w:color w:val="000000"/>
          <w:spacing w:val="-31"/>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13.1.5</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项：</w:t>
      </w:r>
    </w:p>
    <w:p w14:paraId="0E812712">
      <w:pPr>
        <w:kinsoku w:val="0"/>
        <w:autoSpaceDE w:val="0"/>
        <w:autoSpaceDN w:val="0"/>
        <w:adjustRightInd w:val="0"/>
        <w:snapToGrid w:val="0"/>
        <w:spacing w:before="94" w:line="240" w:lineRule="auto"/>
        <w:ind w:left="37" w:right="90" w:firstLine="499"/>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13.1.4  发包人和承包人应严格遵守《关于严格落实公路工程质量责任制的若干</w:t>
      </w:r>
      <w:r>
        <w:rPr>
          <w:rFonts w:hint="eastAsia" w:ascii="宋体" w:hAnsi="宋体" w:eastAsia="宋体" w:cs="宋体"/>
          <w:snapToGrid w:val="0"/>
          <w:color w:val="000000"/>
          <w:spacing w:val="1"/>
          <w:kern w:val="0"/>
          <w:sz w:val="20"/>
          <w:szCs w:val="20"/>
          <w:lang w:val="en-US" w:eastAsia="en-US" w:bidi="ar-SA"/>
        </w:rPr>
        <w:t>意见》的相关规定，认真执行工程质量责任登记</w:t>
      </w:r>
      <w:r>
        <w:rPr>
          <w:rFonts w:hint="eastAsia" w:ascii="宋体" w:hAnsi="宋体" w:eastAsia="宋体" w:cs="宋体"/>
          <w:snapToGrid w:val="0"/>
          <w:color w:val="000000"/>
          <w:kern w:val="0"/>
          <w:sz w:val="20"/>
          <w:szCs w:val="20"/>
          <w:lang w:val="en-US" w:eastAsia="en-US" w:bidi="ar-SA"/>
        </w:rPr>
        <w:t>制度并按要求填写工程质量责任登</w:t>
      </w:r>
      <w:r>
        <w:rPr>
          <w:rFonts w:hint="eastAsia" w:ascii="宋体" w:hAnsi="宋体" w:eastAsia="宋体" w:cs="宋体"/>
          <w:snapToGrid w:val="0"/>
          <w:color w:val="000000"/>
          <w:spacing w:val="-3"/>
          <w:kern w:val="0"/>
          <w:sz w:val="20"/>
          <w:szCs w:val="20"/>
          <w:lang w:val="en-US" w:eastAsia="en-US" w:bidi="ar-SA"/>
        </w:rPr>
        <w:t>记表。</w:t>
      </w:r>
    </w:p>
    <w:p w14:paraId="51FFDE51">
      <w:pPr>
        <w:kinsoku w:val="0"/>
        <w:autoSpaceDE w:val="0"/>
        <w:autoSpaceDN w:val="0"/>
        <w:adjustRightInd w:val="0"/>
        <w:snapToGrid w:val="0"/>
        <w:spacing w:line="240" w:lineRule="auto"/>
        <w:ind w:left="38" w:right="22" w:firstLine="498"/>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13.1.5  本项目严格执行质量责任追究</w:t>
      </w:r>
      <w:r>
        <w:rPr>
          <w:rFonts w:hint="eastAsia" w:ascii="宋体" w:hAnsi="宋体" w:eastAsia="宋体" w:cs="宋体"/>
          <w:snapToGrid w:val="0"/>
          <w:color w:val="000000"/>
          <w:spacing w:val="-4"/>
          <w:kern w:val="0"/>
          <w:sz w:val="20"/>
          <w:szCs w:val="20"/>
          <w:lang w:val="en-US" w:eastAsia="en-US" w:bidi="ar-SA"/>
        </w:rPr>
        <w:t>制度。质量事故处理实行“四不放过”原则：事故原因调查不清不放过；事故责任者没有受到教育不放过；没有防范措施不</w:t>
      </w:r>
      <w:r>
        <w:rPr>
          <w:rFonts w:hint="eastAsia" w:ascii="宋体" w:hAnsi="宋体" w:eastAsia="宋体" w:cs="宋体"/>
          <w:snapToGrid w:val="0"/>
          <w:color w:val="000000"/>
          <w:spacing w:val="-5"/>
          <w:kern w:val="0"/>
          <w:sz w:val="20"/>
          <w:szCs w:val="20"/>
          <w:lang w:val="en-US" w:eastAsia="en-US" w:bidi="ar-SA"/>
        </w:rPr>
        <w:t>放过；</w:t>
      </w:r>
      <w:r>
        <w:rPr>
          <w:rFonts w:hint="eastAsia" w:ascii="宋体" w:hAnsi="宋体" w:eastAsia="宋体" w:cs="宋体"/>
          <w:snapToGrid w:val="0"/>
          <w:color w:val="000000"/>
          <w:spacing w:val="-3"/>
          <w:kern w:val="0"/>
          <w:sz w:val="20"/>
          <w:szCs w:val="20"/>
          <w:lang w:val="en-US" w:eastAsia="en-US" w:bidi="ar-SA"/>
        </w:rPr>
        <w:t>相关责任人没受到处理不放过。</w:t>
      </w:r>
    </w:p>
    <w:p w14:paraId="5E9C8E7A">
      <w:pPr>
        <w:spacing w:before="223" w:line="240" w:lineRule="auto"/>
        <w:ind w:left="56"/>
        <w:outlineLvl w:val="1"/>
        <w:rPr>
          <w:rFonts w:hint="eastAsia" w:ascii="宋体" w:hAnsi="宋体" w:eastAsia="宋体" w:cs="宋体"/>
          <w:sz w:val="20"/>
          <w:szCs w:val="20"/>
        </w:rPr>
      </w:pPr>
      <w:r>
        <w:rPr>
          <w:rFonts w:hint="eastAsia" w:ascii="宋体" w:hAnsi="宋体" w:eastAsia="宋体" w:cs="宋体"/>
          <w:spacing w:val="-2"/>
          <w:sz w:val="20"/>
          <w:szCs w:val="20"/>
        </w:rPr>
        <w:t>13.2  承包人的质量管理</w:t>
      </w:r>
    </w:p>
    <w:p w14:paraId="182E3749">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23"/>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13.2.1</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项补充：</w:t>
      </w:r>
    </w:p>
    <w:p w14:paraId="133E6A66">
      <w:pPr>
        <w:kinsoku w:val="0"/>
        <w:autoSpaceDE w:val="0"/>
        <w:autoSpaceDN w:val="0"/>
        <w:adjustRightInd w:val="0"/>
        <w:snapToGrid w:val="0"/>
        <w:spacing w:before="95"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承包人提交工程质量保证措施文件的期限：签订合同协议书后2</w:t>
      </w:r>
      <w:r>
        <w:rPr>
          <w:rFonts w:hint="eastAsia" w:ascii="宋体" w:hAnsi="宋体" w:eastAsia="宋体" w:cs="宋体"/>
          <w:snapToGrid w:val="0"/>
          <w:color w:val="000000"/>
          <w:kern w:val="0"/>
          <w:sz w:val="20"/>
          <w:szCs w:val="20"/>
          <w:lang w:val="en-US" w:eastAsia="en-US" w:bidi="ar-SA"/>
        </w:rPr>
        <w:t>8 天之内。</w:t>
      </w:r>
    </w:p>
    <w:p w14:paraId="5F2F6E53">
      <w:pPr>
        <w:kinsoku w:val="0"/>
        <w:autoSpaceDE w:val="0"/>
        <w:autoSpaceDN w:val="0"/>
        <w:adjustRightInd w:val="0"/>
        <w:snapToGrid w:val="0"/>
        <w:spacing w:before="9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本款补充第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13.2.3</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项~第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13.2.10</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项：</w:t>
      </w:r>
    </w:p>
    <w:p w14:paraId="5507408E">
      <w:pPr>
        <w:kinsoku w:val="0"/>
        <w:autoSpaceDE w:val="0"/>
        <w:autoSpaceDN w:val="0"/>
        <w:adjustRightInd w:val="0"/>
        <w:snapToGrid w:val="0"/>
        <w:spacing w:before="98" w:line="240" w:lineRule="auto"/>
        <w:ind w:left="39" w:right="91" w:firstLine="49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13.2.3  公路工程施行质量责任终身制。承包人应当书面明确相应的项目负责人和质量负责人。承包人的相关人员按照国家法律法规和有关规定在工程合理使用年</w:t>
      </w:r>
      <w:r>
        <w:rPr>
          <w:rFonts w:hint="eastAsia" w:ascii="宋体" w:hAnsi="宋体" w:eastAsia="宋体" w:cs="宋体"/>
          <w:snapToGrid w:val="0"/>
          <w:color w:val="000000"/>
          <w:spacing w:val="-4"/>
          <w:kern w:val="0"/>
          <w:sz w:val="20"/>
          <w:szCs w:val="20"/>
          <w:lang w:val="en-US" w:eastAsia="en-US" w:bidi="ar-SA"/>
        </w:rPr>
        <w:t>限内承担相应的质量责任。</w:t>
      </w:r>
    </w:p>
    <w:p w14:paraId="69A4EBCB">
      <w:pPr>
        <w:kinsoku w:val="0"/>
        <w:autoSpaceDE w:val="0"/>
        <w:autoSpaceDN w:val="0"/>
        <w:adjustRightInd w:val="0"/>
        <w:snapToGrid w:val="0"/>
        <w:spacing w:before="117" w:line="240" w:lineRule="auto"/>
        <w:ind w:left="39" w:right="3" w:firstLine="49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13.2.4  承包人应当建立健全工程质量保证体系，制定质量管理制度，强化工程</w:t>
      </w:r>
      <w:r>
        <w:rPr>
          <w:rFonts w:hint="eastAsia" w:ascii="宋体" w:hAnsi="宋体" w:eastAsia="宋体" w:cs="宋体"/>
          <w:snapToGrid w:val="0"/>
          <w:color w:val="000000"/>
          <w:spacing w:val="-4"/>
          <w:kern w:val="0"/>
          <w:sz w:val="20"/>
          <w:szCs w:val="20"/>
          <w:lang w:val="en-US" w:eastAsia="en-US" w:bidi="ar-SA"/>
        </w:rPr>
        <w:t>质量管理措施，完善工程质量目标保障机制；严格遵守国家有关法律、法规和规章，</w:t>
      </w:r>
      <w:r>
        <w:rPr>
          <w:rFonts w:hint="eastAsia" w:ascii="宋体" w:hAnsi="宋体" w:eastAsia="宋体" w:cs="宋体"/>
          <w:snapToGrid w:val="0"/>
          <w:color w:val="000000"/>
          <w:spacing w:val="-6"/>
          <w:kern w:val="0"/>
          <w:sz w:val="20"/>
          <w:szCs w:val="20"/>
          <w:lang w:val="en-US" w:eastAsia="en-US" w:bidi="ar-SA"/>
        </w:rPr>
        <w:t>严格执行公路工程强制性技术标准、各类技术规范及规程，</w:t>
      </w:r>
      <w:r>
        <w:rPr>
          <w:rFonts w:hint="eastAsia" w:ascii="宋体" w:hAnsi="宋体" w:eastAsia="宋体" w:cs="宋体"/>
          <w:snapToGrid w:val="0"/>
          <w:color w:val="000000"/>
          <w:spacing w:val="-31"/>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全面履行工程合同义务。</w:t>
      </w:r>
    </w:p>
    <w:p w14:paraId="283D7D45">
      <w:pPr>
        <w:kinsoku w:val="0"/>
        <w:autoSpaceDE w:val="0"/>
        <w:autoSpaceDN w:val="0"/>
        <w:adjustRightInd w:val="0"/>
        <w:snapToGrid w:val="0"/>
        <w:spacing w:before="115" w:line="240" w:lineRule="auto"/>
        <w:ind w:left="38" w:right="126" w:firstLine="49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13.2.5  承包人对工程施工质量负责，应当按合同约定设立现场质量管理机构、</w:t>
      </w:r>
      <w:r>
        <w:rPr>
          <w:rFonts w:hint="eastAsia" w:ascii="宋体" w:hAnsi="宋体" w:eastAsia="宋体" w:cs="宋体"/>
          <w:snapToGrid w:val="0"/>
          <w:color w:val="000000"/>
          <w:spacing w:val="-2"/>
          <w:kern w:val="0"/>
          <w:sz w:val="20"/>
          <w:szCs w:val="20"/>
          <w:lang w:val="en-US" w:eastAsia="en-US" w:bidi="ar-SA"/>
        </w:rPr>
        <w:t>配备工程技术人员和质量管理人员，落实工程施工质量责任制。</w:t>
      </w:r>
    </w:p>
    <w:p w14:paraId="2F099AC3">
      <w:pPr>
        <w:kinsoku w:val="0"/>
        <w:autoSpaceDE w:val="0"/>
        <w:autoSpaceDN w:val="0"/>
        <w:adjustRightInd w:val="0"/>
        <w:snapToGrid w:val="0"/>
        <w:spacing w:before="114" w:line="240" w:lineRule="auto"/>
        <w:ind w:left="36" w:firstLine="50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13.2.6  承包人应当严格按照工程设计图纸、施工技术标准和合同约定施工，对</w:t>
      </w:r>
      <w:r>
        <w:rPr>
          <w:rFonts w:hint="eastAsia" w:ascii="宋体" w:hAnsi="宋体" w:eastAsia="宋体" w:cs="宋体"/>
          <w:snapToGrid w:val="0"/>
          <w:color w:val="000000"/>
          <w:spacing w:val="-7"/>
          <w:kern w:val="0"/>
          <w:sz w:val="20"/>
          <w:szCs w:val="20"/>
          <w:lang w:val="en-US" w:eastAsia="en-US" w:bidi="ar-SA"/>
        </w:rPr>
        <w:t>原材料、混合料、构配件、工程实体、机电设备等进行检验； 按规定施行班组自检、</w:t>
      </w:r>
      <w:r>
        <w:rPr>
          <w:rFonts w:hint="eastAsia" w:ascii="宋体" w:hAnsi="宋体" w:eastAsia="宋体" w:cs="宋体"/>
          <w:snapToGrid w:val="0"/>
          <w:color w:val="000000"/>
          <w:spacing w:val="1"/>
          <w:kern w:val="0"/>
          <w:sz w:val="20"/>
          <w:szCs w:val="20"/>
          <w:lang w:val="en-US" w:eastAsia="en-US" w:bidi="ar-SA"/>
        </w:rPr>
        <w:t>工序交接检、专职质检员检验的质量控制程</w:t>
      </w:r>
      <w:r>
        <w:rPr>
          <w:rFonts w:hint="eastAsia" w:ascii="宋体" w:hAnsi="宋体" w:eastAsia="宋体" w:cs="宋体"/>
          <w:snapToGrid w:val="0"/>
          <w:color w:val="000000"/>
          <w:kern w:val="0"/>
          <w:sz w:val="20"/>
          <w:szCs w:val="20"/>
          <w:lang w:val="en-US" w:eastAsia="en-US" w:bidi="ar-SA"/>
        </w:rPr>
        <w:t>序；对分项工程、分部工程和单位工程</w:t>
      </w:r>
      <w:r>
        <w:rPr>
          <w:rFonts w:hint="eastAsia" w:ascii="宋体" w:hAnsi="宋体" w:eastAsia="宋体" w:cs="宋体"/>
          <w:snapToGrid w:val="0"/>
          <w:color w:val="000000"/>
          <w:spacing w:val="-1"/>
          <w:kern w:val="0"/>
          <w:sz w:val="20"/>
          <w:szCs w:val="20"/>
          <w:lang w:val="en-US" w:eastAsia="en-US" w:bidi="ar-SA"/>
        </w:rPr>
        <w:t>进行质量自评。检验或者自评不合格的，不得进入下道</w:t>
      </w:r>
      <w:r>
        <w:rPr>
          <w:rFonts w:hint="eastAsia" w:ascii="宋体" w:hAnsi="宋体" w:eastAsia="宋体" w:cs="宋体"/>
          <w:snapToGrid w:val="0"/>
          <w:color w:val="000000"/>
          <w:spacing w:val="-2"/>
          <w:kern w:val="0"/>
          <w:sz w:val="20"/>
          <w:szCs w:val="20"/>
          <w:lang w:val="en-US" w:eastAsia="en-US" w:bidi="ar-SA"/>
        </w:rPr>
        <w:t>工序或者投入使用。</w:t>
      </w:r>
    </w:p>
    <w:p w14:paraId="417ECF06">
      <w:pPr>
        <w:kinsoku w:val="0"/>
        <w:autoSpaceDE w:val="0"/>
        <w:autoSpaceDN w:val="0"/>
        <w:adjustRightInd w:val="0"/>
        <w:snapToGrid w:val="0"/>
        <w:spacing w:before="114" w:line="240" w:lineRule="auto"/>
        <w:ind w:left="41" w:right="91" w:firstLine="49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13.2.7  承包人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w:t>
      </w:r>
      <w:r>
        <w:rPr>
          <w:rFonts w:hint="eastAsia" w:ascii="宋体" w:hAnsi="宋体" w:eastAsia="宋体" w:cs="宋体"/>
          <w:snapToGrid w:val="0"/>
          <w:color w:val="000000"/>
          <w:spacing w:val="-3"/>
          <w:kern w:val="0"/>
          <w:sz w:val="20"/>
          <w:szCs w:val="20"/>
          <w:lang w:val="en-US" w:eastAsia="en-US" w:bidi="ar-SA"/>
        </w:rPr>
        <w:t>问题的工程，应当履行保修义务。</w:t>
      </w:r>
    </w:p>
    <w:p w14:paraId="413A2AF4">
      <w:pPr>
        <w:kinsoku w:val="0"/>
        <w:autoSpaceDE w:val="0"/>
        <w:autoSpaceDN w:val="0"/>
        <w:adjustRightInd w:val="0"/>
        <w:snapToGrid w:val="0"/>
        <w:spacing w:before="114" w:line="240" w:lineRule="auto"/>
        <w:ind w:left="38" w:firstLine="49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13.2.8  承包人应当按照合同约定设立工地临时试验室，配齐检测和试验仪器、</w:t>
      </w:r>
      <w:r>
        <w:rPr>
          <w:rFonts w:hint="eastAsia" w:ascii="宋体" w:hAnsi="宋体" w:eastAsia="宋体" w:cs="宋体"/>
          <w:snapToGrid w:val="0"/>
          <w:color w:val="000000"/>
          <w:spacing w:val="1"/>
          <w:kern w:val="0"/>
          <w:sz w:val="20"/>
          <w:szCs w:val="20"/>
          <w:lang w:val="en-US" w:eastAsia="en-US" w:bidi="ar-SA"/>
        </w:rPr>
        <w:t>仪表，及时校正确保其精度；严格按照工程</w:t>
      </w:r>
      <w:r>
        <w:rPr>
          <w:rFonts w:hint="eastAsia" w:ascii="宋体" w:hAnsi="宋体" w:eastAsia="宋体" w:cs="宋体"/>
          <w:snapToGrid w:val="0"/>
          <w:color w:val="000000"/>
          <w:kern w:val="0"/>
          <w:sz w:val="20"/>
          <w:szCs w:val="20"/>
          <w:lang w:val="en-US" w:eastAsia="en-US" w:bidi="ar-SA"/>
        </w:rPr>
        <w:t>技术标准、检测规范和规程，在核定的试验检测参数范围内开展试验检测活动，并确保规范规定的检验、抽检频率。承包</w:t>
      </w:r>
      <w:r>
        <w:rPr>
          <w:rFonts w:hint="eastAsia" w:ascii="宋体" w:hAnsi="宋体" w:eastAsia="宋体" w:cs="宋体"/>
          <w:snapToGrid w:val="0"/>
          <w:color w:val="000000"/>
          <w:spacing w:val="-3"/>
          <w:kern w:val="0"/>
          <w:sz w:val="20"/>
          <w:szCs w:val="20"/>
          <w:lang w:val="en-US" w:eastAsia="en-US" w:bidi="ar-SA"/>
        </w:rPr>
        <w:t>人应当对其设立的工地临时试验室所出具的</w:t>
      </w:r>
      <w:r>
        <w:rPr>
          <w:rFonts w:hint="eastAsia" w:ascii="宋体" w:hAnsi="宋体" w:eastAsia="宋体" w:cs="宋体"/>
          <w:snapToGrid w:val="0"/>
          <w:color w:val="000000"/>
          <w:spacing w:val="-4"/>
          <w:kern w:val="0"/>
          <w:sz w:val="20"/>
          <w:szCs w:val="20"/>
          <w:lang w:val="en-US" w:eastAsia="en-US" w:bidi="ar-SA"/>
        </w:rPr>
        <w:t>试验检测数据和报告的真实性、客观性、</w:t>
      </w:r>
      <w:r>
        <w:rPr>
          <w:rFonts w:hint="eastAsia" w:ascii="宋体" w:hAnsi="宋体" w:eastAsia="宋体" w:cs="宋体"/>
          <w:snapToGrid w:val="0"/>
          <w:color w:val="000000"/>
          <w:spacing w:val="-7"/>
          <w:kern w:val="0"/>
          <w:sz w:val="20"/>
          <w:szCs w:val="20"/>
          <w:lang w:val="en-US" w:eastAsia="en-US" w:bidi="ar-SA"/>
        </w:rPr>
        <w:t>准确性负责。</w:t>
      </w:r>
    </w:p>
    <w:p w14:paraId="2C11AF76">
      <w:pPr>
        <w:kinsoku w:val="0"/>
        <w:autoSpaceDE w:val="0"/>
        <w:autoSpaceDN w:val="0"/>
        <w:adjustRightInd w:val="0"/>
        <w:snapToGrid w:val="0"/>
        <w:spacing w:before="114" w:line="240" w:lineRule="auto"/>
        <w:ind w:left="38" w:firstLine="498"/>
        <w:jc w:val="left"/>
        <w:textAlignment w:val="baseline"/>
        <w:rPr>
          <w:rFonts w:hint="eastAsia" w:ascii="宋体" w:hAnsi="宋体" w:eastAsia="宋体" w:cs="宋体"/>
          <w:snapToGrid w:val="0"/>
          <w:color w:val="000000"/>
          <w:spacing w:val="-1"/>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13.2.9  承包人应当依法规范分包行为，并对承担的工程质量负总责，分包单位对分包合同范围内的工程质量负责。</w:t>
      </w:r>
    </w:p>
    <w:p w14:paraId="79A20BEA">
      <w:pPr>
        <w:kinsoku w:val="0"/>
        <w:autoSpaceDE w:val="0"/>
        <w:autoSpaceDN w:val="0"/>
        <w:adjustRightInd w:val="0"/>
        <w:snapToGrid w:val="0"/>
        <w:spacing w:before="112" w:line="240" w:lineRule="auto"/>
        <w:ind w:left="41" w:right="84" w:firstLine="49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13.2.10  承包人驻工程现场机构应在现场驻地和重要的分部、分项工程施工现场设置明显的工程质量责任登记表公示牌。</w:t>
      </w:r>
    </w:p>
    <w:p w14:paraId="473D33C5">
      <w:pPr>
        <w:spacing w:before="238" w:line="240" w:lineRule="auto"/>
        <w:ind w:left="56"/>
        <w:outlineLvl w:val="1"/>
        <w:rPr>
          <w:rFonts w:hint="eastAsia" w:ascii="宋体" w:hAnsi="宋体" w:eastAsia="宋体" w:cs="宋体"/>
          <w:sz w:val="20"/>
          <w:szCs w:val="20"/>
        </w:rPr>
      </w:pPr>
      <w:r>
        <w:rPr>
          <w:rFonts w:hint="eastAsia" w:ascii="宋体" w:hAnsi="宋体" w:eastAsia="宋体" w:cs="宋体"/>
          <w:spacing w:val="-2"/>
          <w:sz w:val="20"/>
          <w:szCs w:val="20"/>
        </w:rPr>
        <w:t>13.4  监理人的质量检查</w:t>
      </w:r>
    </w:p>
    <w:p w14:paraId="17FF65C7">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6B1C9506">
      <w:pPr>
        <w:kinsoku w:val="0"/>
        <w:autoSpaceDE w:val="0"/>
        <w:autoSpaceDN w:val="0"/>
        <w:adjustRightInd w:val="0"/>
        <w:snapToGrid w:val="0"/>
        <w:spacing w:before="115" w:line="240" w:lineRule="auto"/>
        <w:ind w:left="38" w:firstLine="48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监理人及其委派的检验人员，应能进入工程现场，以及材料或工程设备的制造、</w:t>
      </w:r>
      <w:r>
        <w:rPr>
          <w:rFonts w:hint="eastAsia" w:ascii="宋体" w:hAnsi="宋体" w:eastAsia="宋体" w:cs="宋体"/>
          <w:snapToGrid w:val="0"/>
          <w:color w:val="000000"/>
          <w:kern w:val="0"/>
          <w:sz w:val="20"/>
          <w:szCs w:val="20"/>
          <w:lang w:val="en-US" w:eastAsia="en-US" w:bidi="ar-SA"/>
        </w:rPr>
        <w:t>加工或制配的车间和场所，包括不属于承包人的车间或场所进行检查，承包人应为</w:t>
      </w:r>
      <w:r>
        <w:rPr>
          <w:rFonts w:hint="eastAsia" w:ascii="宋体" w:hAnsi="宋体" w:eastAsia="宋体" w:cs="宋体"/>
          <w:snapToGrid w:val="0"/>
          <w:color w:val="000000"/>
          <w:spacing w:val="-5"/>
          <w:kern w:val="0"/>
          <w:sz w:val="20"/>
          <w:szCs w:val="20"/>
          <w:lang w:val="en-US" w:eastAsia="en-US" w:bidi="ar-SA"/>
        </w:rPr>
        <w:t>此提供便利和协助。</w:t>
      </w:r>
    </w:p>
    <w:p w14:paraId="4B4C013F">
      <w:pPr>
        <w:kinsoku w:val="0"/>
        <w:autoSpaceDE w:val="0"/>
        <w:autoSpaceDN w:val="0"/>
        <w:adjustRightInd w:val="0"/>
        <w:snapToGrid w:val="0"/>
        <w:spacing w:line="240" w:lineRule="auto"/>
        <w:ind w:left="38" w:right="88" w:firstLine="48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监理人可以将材料或工程设备的检查和检验委</w:t>
      </w:r>
      <w:r>
        <w:rPr>
          <w:rFonts w:hint="eastAsia" w:ascii="宋体" w:hAnsi="宋体" w:eastAsia="宋体" w:cs="宋体"/>
          <w:snapToGrid w:val="0"/>
          <w:color w:val="000000"/>
          <w:kern w:val="0"/>
          <w:sz w:val="20"/>
          <w:szCs w:val="20"/>
          <w:lang w:val="en-US" w:eastAsia="en-US" w:bidi="ar-SA"/>
        </w:rPr>
        <w:t>托给一家独立的有质量检验认证资格的检验单位。该独立检验单位的检验结果应视为监理人完成的。监理人应将这</w:t>
      </w:r>
      <w:bookmarkStart w:id="17" w:name="bookmark42"/>
      <w:bookmarkEnd w:id="17"/>
      <w:r>
        <w:rPr>
          <w:rFonts w:hint="eastAsia" w:ascii="宋体" w:hAnsi="宋体" w:eastAsia="宋体" w:cs="宋体"/>
          <w:snapToGrid w:val="0"/>
          <w:color w:val="000000"/>
          <w:spacing w:val="-3"/>
          <w:kern w:val="0"/>
          <w:sz w:val="20"/>
          <w:szCs w:val="20"/>
          <w:lang w:val="en-US" w:eastAsia="en-US" w:bidi="ar-SA"/>
        </w:rPr>
        <w:t>种委托的通知书不少于</w:t>
      </w:r>
      <w:r>
        <w:rPr>
          <w:rFonts w:hint="eastAsia" w:ascii="宋体" w:hAnsi="宋体" w:eastAsia="宋体" w:cs="宋体"/>
          <w:snapToGrid w:val="0"/>
          <w:color w:val="000000"/>
          <w:spacing w:val="-39"/>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7 天前交给承包人。</w:t>
      </w:r>
    </w:p>
    <w:p w14:paraId="63CA63D9">
      <w:pPr>
        <w:spacing w:before="195" w:line="240" w:lineRule="auto"/>
        <w:ind w:left="56"/>
        <w:rPr>
          <w:rFonts w:hint="eastAsia" w:ascii="宋体" w:hAnsi="宋体" w:eastAsia="宋体" w:cs="宋体"/>
          <w:sz w:val="20"/>
          <w:szCs w:val="20"/>
        </w:rPr>
      </w:pPr>
      <w:r>
        <w:rPr>
          <w:rFonts w:hint="eastAsia" w:ascii="宋体" w:hAnsi="宋体" w:eastAsia="宋体" w:cs="宋体"/>
          <w:spacing w:val="-2"/>
          <w:sz w:val="20"/>
          <w:szCs w:val="20"/>
        </w:rPr>
        <w:t>13.5  工程隐蔽部位覆盖前的检查</w:t>
      </w:r>
    </w:p>
    <w:p w14:paraId="16A35208">
      <w:pPr>
        <w:kinsoku w:val="0"/>
        <w:autoSpaceDE w:val="0"/>
        <w:autoSpaceDN w:val="0"/>
        <w:adjustRightInd w:val="0"/>
        <w:snapToGrid w:val="0"/>
        <w:spacing w:before="79"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13.5.1</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项补充：</w:t>
      </w:r>
    </w:p>
    <w:p w14:paraId="2567CE17">
      <w:pPr>
        <w:kinsoku w:val="0"/>
        <w:autoSpaceDE w:val="0"/>
        <w:autoSpaceDN w:val="0"/>
        <w:adjustRightInd w:val="0"/>
        <w:snapToGrid w:val="0"/>
        <w:spacing w:before="97" w:line="240" w:lineRule="auto"/>
        <w:ind w:left="39" w:right="92" w:firstLine="49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当监理人有指令时，承包人应对重要隐蔽工程进行拍摄或照相并应保证监理人有充分的机会对将要覆盖或掩蔽的工程进行检查和量测，特别是在基础以上的任一</w:t>
      </w:r>
      <w:bookmarkStart w:id="18" w:name="bookmark43"/>
      <w:bookmarkEnd w:id="18"/>
      <w:r>
        <w:rPr>
          <w:rFonts w:hint="eastAsia" w:ascii="宋体" w:hAnsi="宋体" w:eastAsia="宋体" w:cs="宋体"/>
          <w:snapToGrid w:val="0"/>
          <w:color w:val="000000"/>
          <w:spacing w:val="-3"/>
          <w:kern w:val="0"/>
          <w:sz w:val="20"/>
          <w:szCs w:val="20"/>
          <w:lang w:val="en-US" w:eastAsia="en-US" w:bidi="ar-SA"/>
        </w:rPr>
        <w:t>部分工程修筑之前，对该基础进行检查。</w:t>
      </w:r>
    </w:p>
    <w:p w14:paraId="4E7F0186">
      <w:pPr>
        <w:spacing w:before="216" w:line="240" w:lineRule="auto"/>
        <w:ind w:left="56"/>
        <w:outlineLvl w:val="1"/>
        <w:rPr>
          <w:rFonts w:hint="eastAsia" w:ascii="宋体" w:hAnsi="宋体" w:eastAsia="宋体" w:cs="宋体"/>
          <w:sz w:val="20"/>
          <w:szCs w:val="20"/>
        </w:rPr>
      </w:pPr>
      <w:r>
        <w:rPr>
          <w:rFonts w:hint="eastAsia" w:ascii="宋体" w:hAnsi="宋体" w:eastAsia="宋体" w:cs="宋体"/>
          <w:spacing w:val="-3"/>
          <w:sz w:val="20"/>
          <w:szCs w:val="20"/>
        </w:rPr>
        <w:t>13.6  清除不合格工程</w:t>
      </w:r>
    </w:p>
    <w:p w14:paraId="7A6D2BEE">
      <w:pPr>
        <w:kinsoku w:val="0"/>
        <w:autoSpaceDE w:val="0"/>
        <w:autoSpaceDN w:val="0"/>
        <w:adjustRightInd w:val="0"/>
        <w:snapToGrid w:val="0"/>
        <w:spacing w:before="79"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第</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13.6.1</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项细化为：</w:t>
      </w:r>
    </w:p>
    <w:p w14:paraId="490192AE">
      <w:pPr>
        <w:kinsoku w:val="0"/>
        <w:autoSpaceDE w:val="0"/>
        <w:autoSpaceDN w:val="0"/>
        <w:adjustRightInd w:val="0"/>
        <w:snapToGrid w:val="0"/>
        <w:spacing w:before="96" w:line="240" w:lineRule="auto"/>
        <w:ind w:left="41" w:right="86" w:firstLine="48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（1）承包人使用不合格材料、工程设备， 或采用不适当的施</w:t>
      </w:r>
      <w:r>
        <w:rPr>
          <w:rFonts w:hint="eastAsia" w:ascii="宋体" w:hAnsi="宋体" w:eastAsia="宋体" w:cs="宋体"/>
          <w:snapToGrid w:val="0"/>
          <w:color w:val="000000"/>
          <w:spacing w:val="-7"/>
          <w:kern w:val="0"/>
          <w:sz w:val="20"/>
          <w:szCs w:val="20"/>
          <w:lang w:val="en-US" w:eastAsia="en-US" w:bidi="ar-SA"/>
        </w:rPr>
        <w:t>工工艺，或施工不</w:t>
      </w:r>
      <w:r>
        <w:rPr>
          <w:rFonts w:hint="eastAsia" w:ascii="宋体" w:hAnsi="宋体" w:eastAsia="宋体" w:cs="宋体"/>
          <w:snapToGrid w:val="0"/>
          <w:color w:val="000000"/>
          <w:kern w:val="0"/>
          <w:sz w:val="20"/>
          <w:szCs w:val="20"/>
          <w:lang w:val="en-US" w:eastAsia="en-US" w:bidi="ar-SA"/>
        </w:rPr>
        <w:t>当，造成工程不合格的，监理人可以随时发出指示，要求承包人立即采取措施进行替换、补救或拆除重建，直至达到合同要求的质量标准，由此增加的费用和（或）</w:t>
      </w:r>
      <w:r>
        <w:rPr>
          <w:rFonts w:hint="eastAsia" w:ascii="宋体" w:hAnsi="宋体" w:eastAsia="宋体" w:cs="宋体"/>
          <w:snapToGrid w:val="0"/>
          <w:color w:val="000000"/>
          <w:spacing w:val="-4"/>
          <w:kern w:val="0"/>
          <w:sz w:val="20"/>
          <w:szCs w:val="20"/>
          <w:lang w:val="en-US" w:eastAsia="en-US" w:bidi="ar-SA"/>
        </w:rPr>
        <w:t>工期延误由承包人承担。</w:t>
      </w:r>
    </w:p>
    <w:p w14:paraId="52271CB0">
      <w:pPr>
        <w:kinsoku w:val="0"/>
        <w:autoSpaceDE w:val="0"/>
        <w:autoSpaceDN w:val="0"/>
        <w:adjustRightInd w:val="0"/>
        <w:snapToGrid w:val="0"/>
        <w:spacing w:before="113" w:line="240" w:lineRule="auto"/>
        <w:ind w:left="67" w:right="19" w:firstLine="457"/>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8"/>
          <w:kern w:val="0"/>
          <w:sz w:val="20"/>
          <w:szCs w:val="20"/>
          <w:lang w:val="en-US" w:eastAsia="en-US" w:bidi="ar-SA"/>
        </w:rPr>
        <w:t>（2）如果承包人未在规定时间内执行监理人的指示，发包人有权雇用他人执行，</w:t>
      </w:r>
      <w:r>
        <w:rPr>
          <w:rFonts w:hint="eastAsia" w:ascii="宋体" w:hAnsi="宋体" w:eastAsia="宋体" w:cs="宋体"/>
          <w:snapToGrid w:val="0"/>
          <w:color w:val="000000"/>
          <w:spacing w:val="-4"/>
          <w:kern w:val="0"/>
          <w:sz w:val="20"/>
          <w:szCs w:val="20"/>
          <w:lang w:val="en-US" w:eastAsia="en-US" w:bidi="ar-SA"/>
        </w:rPr>
        <w:t>由此增加的费用和（或）工期延误由承包人承担。</w:t>
      </w:r>
    </w:p>
    <w:p w14:paraId="6147FE4D">
      <w:pPr>
        <w:spacing w:before="91" w:line="240" w:lineRule="auto"/>
        <w:ind w:left="61"/>
        <w:outlineLvl w:val="0"/>
        <w:rPr>
          <w:rFonts w:hint="eastAsia" w:ascii="宋体" w:hAnsi="宋体" w:eastAsia="宋体" w:cs="宋体"/>
          <w:sz w:val="20"/>
          <w:szCs w:val="20"/>
        </w:rPr>
      </w:pPr>
      <w:bookmarkStart w:id="19" w:name="bookmark44"/>
      <w:bookmarkEnd w:id="19"/>
      <w:r>
        <w:rPr>
          <w:rFonts w:hint="eastAsia" w:ascii="宋体" w:hAnsi="宋体" w:eastAsia="宋体" w:cs="宋体"/>
          <w:spacing w:val="-3"/>
          <w:sz w:val="20"/>
          <w:szCs w:val="20"/>
        </w:rPr>
        <w:t>14.  试验和检验</w:t>
      </w:r>
    </w:p>
    <w:p w14:paraId="593AF95C">
      <w:pPr>
        <w:kinsoku w:val="0"/>
        <w:autoSpaceDE w:val="0"/>
        <w:autoSpaceDN w:val="0"/>
        <w:adjustRightInd w:val="0"/>
        <w:snapToGrid w:val="0"/>
        <w:spacing w:before="78" w:line="240" w:lineRule="auto"/>
        <w:ind w:left="3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本条补充第</w:t>
      </w:r>
      <w:r>
        <w:rPr>
          <w:rFonts w:hint="eastAsia" w:ascii="宋体" w:hAnsi="宋体" w:eastAsia="宋体" w:cs="宋体"/>
          <w:snapToGrid w:val="0"/>
          <w:color w:val="000000"/>
          <w:spacing w:val="-22"/>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14.4 款：</w:t>
      </w:r>
    </w:p>
    <w:p w14:paraId="56BB2695">
      <w:pPr>
        <w:spacing w:before="91" w:line="240" w:lineRule="auto"/>
        <w:ind w:left="61"/>
        <w:outlineLvl w:val="0"/>
        <w:rPr>
          <w:rFonts w:hint="eastAsia" w:ascii="宋体" w:hAnsi="宋体" w:eastAsia="宋体" w:cs="宋体"/>
          <w:sz w:val="20"/>
          <w:szCs w:val="20"/>
        </w:rPr>
      </w:pPr>
      <w:r>
        <w:rPr>
          <w:rFonts w:hint="eastAsia" w:ascii="宋体" w:hAnsi="宋体" w:eastAsia="宋体" w:cs="宋体"/>
          <w:spacing w:val="-3"/>
          <w:sz w:val="20"/>
          <w:szCs w:val="20"/>
        </w:rPr>
        <w:t>14.4  试验和检验费用</w:t>
      </w:r>
    </w:p>
    <w:p w14:paraId="468D102B">
      <w:pPr>
        <w:kinsoku w:val="0"/>
        <w:autoSpaceDE w:val="0"/>
        <w:autoSpaceDN w:val="0"/>
        <w:adjustRightInd w:val="0"/>
        <w:snapToGrid w:val="0"/>
        <w:spacing w:before="79"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（1）承包人应负责提供合同和技术规范规定的试验和检验所需的全部样品，并</w:t>
      </w:r>
      <w:r>
        <w:rPr>
          <w:rFonts w:hint="eastAsia" w:ascii="宋体" w:hAnsi="宋体" w:eastAsia="宋体" w:cs="宋体"/>
          <w:snapToGrid w:val="0"/>
          <w:color w:val="000000"/>
          <w:spacing w:val="-7"/>
          <w:kern w:val="0"/>
          <w:sz w:val="20"/>
          <w:szCs w:val="20"/>
          <w:lang w:val="en-US" w:eastAsia="en-US" w:bidi="ar-SA"/>
        </w:rPr>
        <w:t>承担其费用。</w:t>
      </w:r>
    </w:p>
    <w:p w14:paraId="2B5CFEE8">
      <w:pPr>
        <w:kinsoku w:val="0"/>
        <w:autoSpaceDE w:val="0"/>
        <w:autoSpaceDN w:val="0"/>
        <w:adjustRightInd w:val="0"/>
        <w:snapToGrid w:val="0"/>
        <w:spacing w:before="112" w:line="240" w:lineRule="auto"/>
        <w:ind w:left="37" w:right="87"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（2）在合同中明确规定的试验和检验，包括无须在工程量清单中单独列项和已</w:t>
      </w:r>
      <w:r>
        <w:rPr>
          <w:rFonts w:hint="eastAsia" w:ascii="宋体" w:hAnsi="宋体" w:eastAsia="宋体" w:cs="宋体"/>
          <w:snapToGrid w:val="0"/>
          <w:color w:val="000000"/>
          <w:kern w:val="0"/>
          <w:sz w:val="20"/>
          <w:szCs w:val="20"/>
          <w:lang w:val="en-US" w:eastAsia="en-US" w:bidi="ar-SA"/>
        </w:rPr>
        <w:t>在工程量清单中单独列项的试验和检验，其试验和检验的费</w:t>
      </w:r>
      <w:r>
        <w:rPr>
          <w:rFonts w:hint="eastAsia" w:ascii="宋体" w:hAnsi="宋体" w:eastAsia="宋体" w:cs="宋体"/>
          <w:snapToGrid w:val="0"/>
          <w:color w:val="000000"/>
          <w:spacing w:val="-1"/>
          <w:kern w:val="0"/>
          <w:sz w:val="20"/>
          <w:szCs w:val="20"/>
          <w:lang w:val="en-US" w:eastAsia="en-US" w:bidi="ar-SA"/>
        </w:rPr>
        <w:t>用由承包人承担。</w:t>
      </w:r>
    </w:p>
    <w:p w14:paraId="0F23DB59">
      <w:pPr>
        <w:kinsoku w:val="0"/>
        <w:autoSpaceDE w:val="0"/>
        <w:autoSpaceDN w:val="0"/>
        <w:adjustRightInd w:val="0"/>
        <w:snapToGrid w:val="0"/>
        <w:spacing w:before="113" w:line="240" w:lineRule="auto"/>
        <w:ind w:left="38" w:right="84" w:firstLine="486"/>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3"/>
          <w:kern w:val="0"/>
          <w:sz w:val="20"/>
          <w:szCs w:val="20"/>
          <w:lang w:val="en-US" w:eastAsia="en-US" w:bidi="ar-SA"/>
        </w:rPr>
        <w:t>（3）如果监理人所要求做的试验和检验为合同未规定的或是在该材料或工程设</w:t>
      </w:r>
      <w:r>
        <w:rPr>
          <w:rFonts w:hint="eastAsia" w:ascii="宋体" w:hAnsi="宋体" w:eastAsia="宋体" w:cs="宋体"/>
          <w:snapToGrid w:val="0"/>
          <w:color w:val="000000"/>
          <w:kern w:val="0"/>
          <w:sz w:val="20"/>
          <w:szCs w:val="20"/>
          <w:lang w:val="en-US" w:eastAsia="en-US" w:bidi="ar-SA"/>
        </w:rPr>
        <w:t>备的制造、加工、制配场地以外的场所进行的，则检验结束后，如表明操作工艺或</w:t>
      </w:r>
      <w:r>
        <w:rPr>
          <w:rFonts w:hint="eastAsia" w:ascii="宋体" w:hAnsi="宋体" w:eastAsia="宋体" w:cs="宋体"/>
          <w:snapToGrid w:val="0"/>
          <w:color w:val="000000"/>
          <w:spacing w:val="1"/>
          <w:kern w:val="0"/>
          <w:sz w:val="20"/>
          <w:szCs w:val="20"/>
          <w:lang w:val="en-US" w:eastAsia="en-US" w:bidi="ar-SA"/>
        </w:rPr>
        <w:t>材料、工程设备未能符合合同规定，其费用应由承</w:t>
      </w:r>
      <w:r>
        <w:rPr>
          <w:rFonts w:hint="eastAsia" w:ascii="宋体" w:hAnsi="宋体" w:eastAsia="宋体" w:cs="宋体"/>
          <w:snapToGrid w:val="0"/>
          <w:color w:val="000000"/>
          <w:kern w:val="0"/>
          <w:sz w:val="20"/>
          <w:szCs w:val="20"/>
          <w:lang w:val="en-US" w:eastAsia="en-US" w:bidi="ar-SA"/>
        </w:rPr>
        <w:t>包人承担，否则，其费用应由发</w:t>
      </w:r>
      <w:r>
        <w:rPr>
          <w:rFonts w:hint="eastAsia" w:ascii="宋体" w:hAnsi="宋体" w:eastAsia="宋体" w:cs="宋体"/>
          <w:snapToGrid w:val="0"/>
          <w:color w:val="000000"/>
          <w:spacing w:val="-2"/>
          <w:kern w:val="0"/>
          <w:sz w:val="20"/>
          <w:szCs w:val="20"/>
          <w:lang w:val="en-US" w:eastAsia="en-US" w:bidi="ar-SA"/>
        </w:rPr>
        <w:t>包人承担。</w:t>
      </w:r>
    </w:p>
    <w:p w14:paraId="5E06A805">
      <w:pPr>
        <w:spacing w:before="91" w:line="240" w:lineRule="auto"/>
        <w:ind w:left="61"/>
        <w:outlineLvl w:val="0"/>
        <w:rPr>
          <w:rFonts w:hint="eastAsia" w:ascii="宋体" w:hAnsi="宋体" w:eastAsia="宋体" w:cs="宋体"/>
          <w:sz w:val="20"/>
          <w:szCs w:val="20"/>
        </w:rPr>
      </w:pPr>
      <w:bookmarkStart w:id="20" w:name="bookmark45"/>
      <w:bookmarkEnd w:id="20"/>
      <w:r>
        <w:rPr>
          <w:rFonts w:hint="eastAsia" w:ascii="宋体" w:hAnsi="宋体" w:eastAsia="宋体" w:cs="宋体"/>
          <w:spacing w:val="-8"/>
          <w:sz w:val="20"/>
          <w:szCs w:val="20"/>
        </w:rPr>
        <w:t>15.</w:t>
      </w:r>
      <w:r>
        <w:rPr>
          <w:rFonts w:hint="eastAsia" w:ascii="宋体" w:hAnsi="宋体" w:eastAsia="宋体" w:cs="宋体"/>
          <w:spacing w:val="7"/>
          <w:sz w:val="20"/>
          <w:szCs w:val="20"/>
        </w:rPr>
        <w:t xml:space="preserve">  </w:t>
      </w:r>
      <w:r>
        <w:rPr>
          <w:rFonts w:hint="eastAsia" w:ascii="宋体" w:hAnsi="宋体" w:eastAsia="宋体" w:cs="宋体"/>
          <w:spacing w:val="-8"/>
          <w:sz w:val="20"/>
          <w:szCs w:val="20"/>
        </w:rPr>
        <w:t>变更</w:t>
      </w:r>
    </w:p>
    <w:p w14:paraId="0E07A0F6">
      <w:pPr>
        <w:spacing w:before="314" w:line="240" w:lineRule="auto"/>
        <w:ind w:left="56"/>
        <w:outlineLvl w:val="1"/>
        <w:rPr>
          <w:rFonts w:hint="eastAsia" w:ascii="宋体" w:hAnsi="宋体" w:eastAsia="宋体" w:cs="宋体"/>
          <w:sz w:val="20"/>
          <w:szCs w:val="20"/>
        </w:rPr>
      </w:pPr>
      <w:r>
        <w:rPr>
          <w:rFonts w:hint="eastAsia" w:ascii="宋体" w:hAnsi="宋体" w:eastAsia="宋体" w:cs="宋体"/>
          <w:spacing w:val="-2"/>
          <w:sz w:val="20"/>
          <w:szCs w:val="20"/>
        </w:rPr>
        <w:t>15.1  变更的范围和内容</w:t>
      </w:r>
    </w:p>
    <w:p w14:paraId="513BE586">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本款第（1）项细化为：</w:t>
      </w:r>
    </w:p>
    <w:p w14:paraId="7EA94B95">
      <w:pPr>
        <w:kinsoku w:val="0"/>
        <w:autoSpaceDE w:val="0"/>
        <w:autoSpaceDN w:val="0"/>
        <w:adjustRightInd w:val="0"/>
        <w:snapToGrid w:val="0"/>
        <w:spacing w:before="99" w:line="240" w:lineRule="auto"/>
        <w:ind w:left="67" w:right="20" w:firstLine="45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（1）取消合同中任何一项工作，但被取消的工作不能转由发包人或其他人实施，</w:t>
      </w:r>
      <w:bookmarkStart w:id="21" w:name="bookmark46"/>
      <w:bookmarkEnd w:id="21"/>
      <w:r>
        <w:rPr>
          <w:rFonts w:hint="eastAsia" w:ascii="宋体" w:hAnsi="宋体" w:eastAsia="宋体" w:cs="宋体"/>
          <w:snapToGrid w:val="0"/>
          <w:color w:val="000000"/>
          <w:spacing w:val="-3"/>
          <w:kern w:val="0"/>
          <w:sz w:val="20"/>
          <w:szCs w:val="20"/>
          <w:lang w:val="en-US" w:eastAsia="en-US" w:bidi="ar-SA"/>
        </w:rPr>
        <w:t>由于承包人违约造成的情况除外；</w:t>
      </w:r>
    </w:p>
    <w:p w14:paraId="132CADB4">
      <w:pPr>
        <w:spacing w:before="240" w:line="240" w:lineRule="auto"/>
        <w:ind w:left="56"/>
        <w:outlineLvl w:val="1"/>
        <w:rPr>
          <w:rFonts w:hint="eastAsia" w:ascii="宋体" w:hAnsi="宋体" w:eastAsia="宋体" w:cs="宋体"/>
          <w:sz w:val="20"/>
          <w:szCs w:val="20"/>
        </w:rPr>
      </w:pPr>
      <w:r>
        <w:rPr>
          <w:rFonts w:hint="eastAsia" w:ascii="宋体" w:hAnsi="宋体" w:eastAsia="宋体" w:cs="宋体"/>
          <w:spacing w:val="-5"/>
          <w:sz w:val="20"/>
          <w:szCs w:val="20"/>
        </w:rPr>
        <w:t>15.3</w:t>
      </w:r>
      <w:r>
        <w:rPr>
          <w:rFonts w:hint="eastAsia" w:ascii="宋体" w:hAnsi="宋体" w:eastAsia="宋体" w:cs="宋体"/>
          <w:spacing w:val="7"/>
          <w:sz w:val="20"/>
          <w:szCs w:val="20"/>
        </w:rPr>
        <w:t xml:space="preserve">  </w:t>
      </w:r>
      <w:r>
        <w:rPr>
          <w:rFonts w:hint="eastAsia" w:ascii="宋体" w:hAnsi="宋体" w:eastAsia="宋体" w:cs="宋体"/>
          <w:spacing w:val="-5"/>
          <w:sz w:val="20"/>
          <w:szCs w:val="20"/>
        </w:rPr>
        <w:t>变更程序</w:t>
      </w:r>
    </w:p>
    <w:p w14:paraId="6A04F769">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本款补充第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15.3.4</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项：</w:t>
      </w:r>
    </w:p>
    <w:p w14:paraId="4BC92758">
      <w:pPr>
        <w:kinsoku w:val="0"/>
        <w:autoSpaceDE w:val="0"/>
        <w:autoSpaceDN w:val="0"/>
        <w:adjustRightInd w:val="0"/>
        <w:snapToGrid w:val="0"/>
        <w:spacing w:before="98" w:line="240" w:lineRule="auto"/>
        <w:ind w:left="53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15.3.4  设计变更程序应执行《公路工程设计变更管理办法》的相关规定。</w:t>
      </w:r>
    </w:p>
    <w:p w14:paraId="3847C3BE">
      <w:pPr>
        <w:spacing w:before="318" w:line="240" w:lineRule="auto"/>
        <w:ind w:left="56"/>
        <w:outlineLvl w:val="1"/>
        <w:rPr>
          <w:rFonts w:hint="eastAsia" w:ascii="宋体" w:hAnsi="宋体" w:eastAsia="宋体" w:cs="宋体"/>
          <w:sz w:val="20"/>
          <w:szCs w:val="20"/>
        </w:rPr>
      </w:pPr>
      <w:bookmarkStart w:id="22" w:name="bookmark47"/>
      <w:bookmarkEnd w:id="22"/>
      <w:r>
        <w:rPr>
          <w:rFonts w:hint="eastAsia" w:ascii="宋体" w:hAnsi="宋体" w:eastAsia="宋体" w:cs="宋体"/>
          <w:spacing w:val="-3"/>
          <w:sz w:val="20"/>
          <w:szCs w:val="20"/>
        </w:rPr>
        <w:t>15.4  变更的估价原则</w:t>
      </w:r>
    </w:p>
    <w:p w14:paraId="7994A1A3">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本款细化为：</w:t>
      </w:r>
    </w:p>
    <w:p w14:paraId="4AAF1B2B">
      <w:pPr>
        <w:kinsoku w:val="0"/>
        <w:autoSpaceDE w:val="0"/>
        <w:autoSpaceDN w:val="0"/>
        <w:adjustRightInd w:val="0"/>
        <w:snapToGrid w:val="0"/>
        <w:spacing w:before="117" w:line="240" w:lineRule="auto"/>
        <w:ind w:left="53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除项目专用合同条款另有约定外，因变更引起的价格调整按照本款约定处理。</w:t>
      </w:r>
    </w:p>
    <w:p w14:paraId="31F8B1A4">
      <w:pPr>
        <w:kinsoku w:val="0"/>
        <w:autoSpaceDE w:val="0"/>
        <w:autoSpaceDN w:val="0"/>
        <w:adjustRightInd w:val="0"/>
        <w:snapToGrid w:val="0"/>
        <w:spacing w:before="115" w:line="240" w:lineRule="auto"/>
        <w:ind w:left="53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15.4.1  如果取消某项工作，则该项工作的总额价不予支付。</w:t>
      </w:r>
    </w:p>
    <w:p w14:paraId="1BA18F54">
      <w:pPr>
        <w:kinsoku w:val="0"/>
        <w:autoSpaceDE w:val="0"/>
        <w:autoSpaceDN w:val="0"/>
        <w:adjustRightInd w:val="0"/>
        <w:snapToGrid w:val="0"/>
        <w:spacing w:before="99" w:line="240" w:lineRule="auto"/>
        <w:ind w:left="53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15.4.2</w:t>
      </w:r>
      <w:r>
        <w:rPr>
          <w:rFonts w:hint="eastAsia" w:ascii="宋体" w:hAnsi="宋体" w:eastAsia="宋体" w:cs="宋体"/>
          <w:snapToGrid w:val="0"/>
          <w:color w:val="000000"/>
          <w:spacing w:val="24"/>
          <w:w w:val="101"/>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已标价工程量清单中有适用于变更工作的子目的，采用该子目的单价。</w:t>
      </w:r>
    </w:p>
    <w:p w14:paraId="553F1C29">
      <w:pPr>
        <w:kinsoku w:val="0"/>
        <w:autoSpaceDE w:val="0"/>
        <w:autoSpaceDN w:val="0"/>
        <w:adjustRightInd w:val="0"/>
        <w:snapToGrid w:val="0"/>
        <w:spacing w:before="100" w:line="240" w:lineRule="auto"/>
        <w:ind w:left="39" w:firstLine="49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15.4.3</w:t>
      </w:r>
      <w:r>
        <w:rPr>
          <w:rFonts w:hint="eastAsia" w:ascii="宋体" w:hAnsi="宋体" w:eastAsia="宋体" w:cs="宋体"/>
          <w:snapToGrid w:val="0"/>
          <w:color w:val="000000"/>
          <w:spacing w:val="19"/>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已标价工程量清单中无适用于变更工作的子目，但有类似子目的，可在</w:t>
      </w:r>
      <w:r>
        <w:rPr>
          <w:rFonts w:hint="eastAsia" w:ascii="宋体" w:hAnsi="宋体" w:eastAsia="宋体" w:cs="宋体"/>
          <w:snapToGrid w:val="0"/>
          <w:color w:val="000000"/>
          <w:spacing w:val="-2"/>
          <w:kern w:val="0"/>
          <w:sz w:val="20"/>
          <w:szCs w:val="20"/>
          <w:lang w:val="en-US" w:eastAsia="en-US" w:bidi="ar-SA"/>
        </w:rPr>
        <w:t>合理范围内参照类似子目的单价，由监理人按第</w:t>
      </w:r>
      <w:r>
        <w:rPr>
          <w:rFonts w:hint="eastAsia" w:ascii="宋体" w:hAnsi="宋体" w:eastAsia="宋体" w:cs="宋体"/>
          <w:snapToGrid w:val="0"/>
          <w:color w:val="000000"/>
          <w:spacing w:val="-50"/>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3.5 款商定或确定变更工作的单</w:t>
      </w:r>
      <w:r>
        <w:rPr>
          <w:rFonts w:hint="eastAsia" w:ascii="宋体" w:hAnsi="宋体" w:eastAsia="宋体" w:cs="宋体"/>
          <w:snapToGrid w:val="0"/>
          <w:color w:val="000000"/>
          <w:spacing w:val="-3"/>
          <w:kern w:val="0"/>
          <w:sz w:val="20"/>
          <w:szCs w:val="20"/>
          <w:lang w:val="en-US" w:eastAsia="en-US" w:bidi="ar-SA"/>
        </w:rPr>
        <w:t>价。</w:t>
      </w:r>
    </w:p>
    <w:p w14:paraId="200912F1">
      <w:pPr>
        <w:kinsoku w:val="0"/>
        <w:autoSpaceDE w:val="0"/>
        <w:autoSpaceDN w:val="0"/>
        <w:adjustRightInd w:val="0"/>
        <w:snapToGrid w:val="0"/>
        <w:spacing w:before="98" w:line="240" w:lineRule="auto"/>
        <w:ind w:left="40" w:right="85" w:firstLine="49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15.4.4</w:t>
      </w:r>
      <w:r>
        <w:rPr>
          <w:rFonts w:hint="eastAsia" w:ascii="宋体" w:hAnsi="宋体" w:eastAsia="宋体" w:cs="宋体"/>
          <w:snapToGrid w:val="0"/>
          <w:color w:val="000000"/>
          <w:spacing w:val="2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已标价工程量清单中无适用或类似子目的单价，可在综合考虑承包人在投标时所提供的单价分析表的基础上，由监理人按第 3.5  款商定或确定变更工作的</w:t>
      </w:r>
      <w:r>
        <w:rPr>
          <w:rFonts w:hint="eastAsia" w:ascii="宋体" w:hAnsi="宋体" w:eastAsia="宋体" w:cs="宋体"/>
          <w:snapToGrid w:val="0"/>
          <w:color w:val="000000"/>
          <w:spacing w:val="-4"/>
          <w:kern w:val="0"/>
          <w:sz w:val="20"/>
          <w:szCs w:val="20"/>
          <w:lang w:val="en-US" w:eastAsia="en-US" w:bidi="ar-SA"/>
        </w:rPr>
        <w:t>单价。</w:t>
      </w:r>
    </w:p>
    <w:p w14:paraId="7894BCF5">
      <w:pPr>
        <w:kinsoku w:val="0"/>
        <w:autoSpaceDE w:val="0"/>
        <w:autoSpaceDN w:val="0"/>
        <w:adjustRightInd w:val="0"/>
        <w:snapToGrid w:val="0"/>
        <w:spacing w:before="117" w:line="240" w:lineRule="auto"/>
        <w:ind w:left="37" w:right="90" w:firstLine="499"/>
        <w:jc w:val="left"/>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kern w:val="0"/>
          <w:sz w:val="20"/>
          <w:szCs w:val="20"/>
          <w:lang w:val="en-US" w:eastAsia="en-US" w:bidi="ar-SA"/>
        </w:rPr>
        <w:t>15.4.5  如果本工程的变更指示是因承包人过错、承包人违反合同或承包人责任</w:t>
      </w:r>
      <w:r>
        <w:rPr>
          <w:rFonts w:hint="eastAsia" w:ascii="宋体" w:hAnsi="宋体" w:eastAsia="宋体" w:cs="宋体"/>
          <w:snapToGrid w:val="0"/>
          <w:color w:val="000000"/>
          <w:spacing w:val="-2"/>
          <w:kern w:val="0"/>
          <w:sz w:val="20"/>
          <w:szCs w:val="20"/>
          <w:lang w:val="en-US" w:eastAsia="en-US" w:bidi="ar-SA"/>
        </w:rPr>
        <w:t>造成的，则这种违约引起的任何额外费用应由承包人承担。</w:t>
      </w:r>
    </w:p>
    <w:p w14:paraId="3FD07896">
      <w:pPr>
        <w:spacing w:before="78" w:line="240" w:lineRule="auto"/>
        <w:ind w:left="56"/>
        <w:outlineLvl w:val="1"/>
        <w:rPr>
          <w:rFonts w:hint="eastAsia" w:ascii="宋体" w:hAnsi="宋体" w:eastAsia="宋体" w:cs="宋体"/>
          <w:sz w:val="20"/>
          <w:szCs w:val="20"/>
        </w:rPr>
      </w:pPr>
      <w:bookmarkStart w:id="23" w:name="bookmark48"/>
      <w:bookmarkEnd w:id="23"/>
      <w:r>
        <w:rPr>
          <w:rFonts w:hint="eastAsia" w:ascii="宋体" w:hAnsi="宋体" w:eastAsia="宋体" w:cs="宋体"/>
          <w:spacing w:val="-2"/>
          <w:sz w:val="20"/>
          <w:szCs w:val="20"/>
        </w:rPr>
        <w:t>15.5  承包人的合理化建议</w:t>
      </w:r>
    </w:p>
    <w:p w14:paraId="55908AD3">
      <w:pPr>
        <w:kinsoku w:val="0"/>
        <w:autoSpaceDE w:val="0"/>
        <w:autoSpaceDN w:val="0"/>
        <w:adjustRightInd w:val="0"/>
        <w:snapToGrid w:val="0"/>
        <w:spacing w:before="78" w:line="240" w:lineRule="auto"/>
        <w:ind w:left="42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第</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15.5.2</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项约定为：</w:t>
      </w:r>
    </w:p>
    <w:p w14:paraId="78083E98">
      <w:pPr>
        <w:kinsoku w:val="0"/>
        <w:autoSpaceDE w:val="0"/>
        <w:autoSpaceDN w:val="0"/>
        <w:adjustRightInd w:val="0"/>
        <w:snapToGrid w:val="0"/>
        <w:spacing w:before="96" w:line="240" w:lineRule="auto"/>
        <w:ind w:left="42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承包人提出的合理化建议缩短了工期，发包人按第</w:t>
      </w:r>
      <w:r>
        <w:rPr>
          <w:rFonts w:hint="eastAsia" w:ascii="宋体" w:hAnsi="宋体" w:eastAsia="宋体" w:cs="宋体"/>
          <w:snapToGrid w:val="0"/>
          <w:color w:val="000000"/>
          <w:spacing w:val="-31"/>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11.6 款的规</w:t>
      </w:r>
      <w:r>
        <w:rPr>
          <w:rFonts w:hint="eastAsia" w:ascii="宋体" w:hAnsi="宋体" w:eastAsia="宋体" w:cs="宋体"/>
          <w:snapToGrid w:val="0"/>
          <w:color w:val="000000"/>
          <w:spacing w:val="-3"/>
          <w:kern w:val="0"/>
          <w:sz w:val="20"/>
          <w:szCs w:val="20"/>
          <w:lang w:val="en-US" w:eastAsia="en-US" w:bidi="ar-SA"/>
        </w:rPr>
        <w:t>定给予奖励。</w:t>
      </w:r>
    </w:p>
    <w:p w14:paraId="5676F401">
      <w:pPr>
        <w:kinsoku w:val="0"/>
        <w:autoSpaceDE w:val="0"/>
        <w:autoSpaceDN w:val="0"/>
        <w:adjustRightInd w:val="0"/>
        <w:snapToGrid w:val="0"/>
        <w:spacing w:before="96" w:line="240" w:lineRule="auto"/>
        <w:ind w:left="41" w:right="84" w:firstLine="3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承包人提出的合理化建议降低了合同价格或者提高了工程经济效益的，发包人按</w:t>
      </w:r>
      <w:bookmarkStart w:id="24" w:name="bookmark49"/>
      <w:bookmarkEnd w:id="24"/>
      <w:r>
        <w:rPr>
          <w:rFonts w:hint="eastAsia" w:ascii="宋体" w:hAnsi="宋体" w:eastAsia="宋体" w:cs="宋体"/>
          <w:snapToGrid w:val="0"/>
          <w:color w:val="000000"/>
          <w:spacing w:val="-2"/>
          <w:kern w:val="0"/>
          <w:sz w:val="20"/>
          <w:szCs w:val="20"/>
          <w:lang w:val="en-US" w:eastAsia="en-US" w:bidi="ar-SA"/>
        </w:rPr>
        <w:t>项目专用合同条款数据表中规定的金额给予奖励。</w:t>
      </w:r>
    </w:p>
    <w:p w14:paraId="4FAF2B8C">
      <w:pPr>
        <w:spacing w:before="215" w:line="240" w:lineRule="auto"/>
        <w:ind w:left="56"/>
        <w:outlineLvl w:val="1"/>
        <w:rPr>
          <w:rFonts w:hint="eastAsia" w:ascii="宋体" w:hAnsi="宋体" w:eastAsia="宋体" w:cs="宋体"/>
          <w:sz w:val="20"/>
          <w:szCs w:val="20"/>
        </w:rPr>
      </w:pPr>
      <w:r>
        <w:rPr>
          <w:rFonts w:hint="eastAsia" w:ascii="宋体" w:hAnsi="宋体" w:eastAsia="宋体" w:cs="宋体"/>
          <w:spacing w:val="-6"/>
          <w:sz w:val="20"/>
          <w:szCs w:val="20"/>
        </w:rPr>
        <w:t>15.6</w:t>
      </w:r>
      <w:r>
        <w:rPr>
          <w:rFonts w:hint="eastAsia" w:ascii="宋体" w:hAnsi="宋体" w:eastAsia="宋体" w:cs="宋体"/>
          <w:spacing w:val="23"/>
          <w:sz w:val="20"/>
          <w:szCs w:val="20"/>
        </w:rPr>
        <w:t xml:space="preserve"> </w:t>
      </w:r>
      <w:r>
        <w:rPr>
          <w:rFonts w:hint="eastAsia" w:ascii="宋体" w:hAnsi="宋体" w:eastAsia="宋体" w:cs="宋体"/>
          <w:spacing w:val="-6"/>
          <w:sz w:val="20"/>
          <w:szCs w:val="20"/>
        </w:rPr>
        <w:t>暂列金额</w:t>
      </w:r>
    </w:p>
    <w:p w14:paraId="55015058">
      <w:pPr>
        <w:kinsoku w:val="0"/>
        <w:autoSpaceDE w:val="0"/>
        <w:autoSpaceDN w:val="0"/>
        <w:adjustRightInd w:val="0"/>
        <w:snapToGrid w:val="0"/>
        <w:spacing w:before="79"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本款细化为：</w:t>
      </w:r>
    </w:p>
    <w:p w14:paraId="3109B58B">
      <w:pPr>
        <w:kinsoku w:val="0"/>
        <w:autoSpaceDE w:val="0"/>
        <w:autoSpaceDN w:val="0"/>
        <w:adjustRightInd w:val="0"/>
        <w:snapToGrid w:val="0"/>
        <w:spacing w:before="117" w:line="240" w:lineRule="auto"/>
        <w:ind w:left="45" w:right="85" w:firstLine="40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15.6.1  暂列金额应由监理人报发包人批准后指令全部或部分地使用，或者根本不</w:t>
      </w:r>
      <w:r>
        <w:rPr>
          <w:rFonts w:hint="eastAsia" w:ascii="宋体" w:hAnsi="宋体" w:eastAsia="宋体" w:cs="宋体"/>
          <w:snapToGrid w:val="0"/>
          <w:color w:val="000000"/>
          <w:spacing w:val="-10"/>
          <w:kern w:val="0"/>
          <w:sz w:val="20"/>
          <w:szCs w:val="20"/>
          <w:lang w:val="en-US" w:eastAsia="en-US" w:bidi="ar-SA"/>
        </w:rPr>
        <w:t>予动用。</w:t>
      </w:r>
    </w:p>
    <w:p w14:paraId="60FC9925">
      <w:pPr>
        <w:kinsoku w:val="0"/>
        <w:autoSpaceDE w:val="0"/>
        <w:autoSpaceDN w:val="0"/>
        <w:adjustRightInd w:val="0"/>
        <w:snapToGrid w:val="0"/>
        <w:spacing w:before="116" w:line="240" w:lineRule="auto"/>
        <w:ind w:left="41" w:right="85" w:firstLine="40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15.6.2  对于经发包人批准的每一笔暂列金额，监理人有权向承包人发出实施工程</w:t>
      </w:r>
      <w:r>
        <w:rPr>
          <w:rFonts w:hint="eastAsia" w:ascii="宋体" w:hAnsi="宋体" w:eastAsia="宋体" w:cs="宋体"/>
          <w:snapToGrid w:val="0"/>
          <w:color w:val="000000"/>
          <w:kern w:val="0"/>
          <w:sz w:val="20"/>
          <w:szCs w:val="20"/>
          <w:lang w:val="en-US" w:eastAsia="en-US" w:bidi="ar-SA"/>
        </w:rPr>
        <w:t>或提供材料、工程设备或服务的指令。这些指令应由承包人完成，监理人应根据第</w:t>
      </w:r>
      <w:r>
        <w:rPr>
          <w:rFonts w:hint="eastAsia" w:ascii="宋体" w:hAnsi="宋体" w:eastAsia="宋体" w:cs="宋体"/>
          <w:snapToGrid w:val="0"/>
          <w:color w:val="000000"/>
          <w:spacing w:val="-2"/>
          <w:kern w:val="0"/>
          <w:sz w:val="20"/>
          <w:szCs w:val="20"/>
          <w:lang w:val="en-US" w:eastAsia="en-US" w:bidi="ar-SA"/>
        </w:rPr>
        <w:t>15.4 款约定的变更估价原则和第</w:t>
      </w:r>
      <w:r>
        <w:rPr>
          <w:rFonts w:hint="eastAsia" w:ascii="宋体" w:hAnsi="宋体" w:eastAsia="宋体" w:cs="宋体"/>
          <w:snapToGrid w:val="0"/>
          <w:color w:val="000000"/>
          <w:spacing w:val="-27"/>
          <w:kern w:val="0"/>
          <w:sz w:val="20"/>
          <w:szCs w:val="20"/>
          <w:lang w:val="en-US" w:eastAsia="en-US" w:bidi="ar-SA"/>
        </w:rPr>
        <w:t xml:space="preserve"> </w:t>
      </w:r>
      <w:r>
        <w:rPr>
          <w:rFonts w:hint="eastAsia" w:ascii="宋体" w:hAnsi="宋体" w:eastAsia="宋体" w:cs="宋体"/>
          <w:snapToGrid w:val="0"/>
          <w:color w:val="000000"/>
          <w:spacing w:val="-27"/>
          <w:kern w:val="0"/>
          <w:sz w:val="20"/>
          <w:szCs w:val="20"/>
          <w:lang w:val="en-US" w:eastAsia="zh-CN" w:bidi="ar-SA"/>
        </w:rPr>
        <w:t xml:space="preserve">    </w:t>
      </w:r>
      <w:r>
        <w:rPr>
          <w:rFonts w:hint="eastAsia" w:ascii="宋体" w:hAnsi="宋体" w:eastAsia="宋体" w:cs="宋体"/>
          <w:snapToGrid w:val="0"/>
          <w:color w:val="000000"/>
          <w:spacing w:val="-2"/>
          <w:kern w:val="0"/>
          <w:sz w:val="20"/>
          <w:szCs w:val="20"/>
          <w:lang w:val="en-US" w:eastAsia="en-US" w:bidi="ar-SA"/>
        </w:rPr>
        <w:t>15.7 款的规定，对合同价格进行相应调整。</w:t>
      </w:r>
    </w:p>
    <w:p w14:paraId="4A430C33">
      <w:pPr>
        <w:kinsoku w:val="0"/>
        <w:autoSpaceDE w:val="0"/>
        <w:autoSpaceDN w:val="0"/>
        <w:adjustRightInd w:val="0"/>
        <w:snapToGrid w:val="0"/>
        <w:spacing w:before="98" w:line="240" w:lineRule="auto"/>
        <w:ind w:left="36" w:right="84" w:firstLine="411"/>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4"/>
          <w:kern w:val="0"/>
          <w:sz w:val="20"/>
          <w:szCs w:val="20"/>
          <w:lang w:val="en-US" w:eastAsia="en-US" w:bidi="ar-SA"/>
        </w:rPr>
        <w:t>15.6.3  当监理人提出要求时，承包人应提供有关暂列金额支出的所有报价单、发</w:t>
      </w:r>
      <w:r>
        <w:rPr>
          <w:rFonts w:hint="eastAsia" w:ascii="宋体" w:hAnsi="宋体" w:eastAsia="宋体" w:cs="宋体"/>
          <w:snapToGrid w:val="0"/>
          <w:color w:val="000000"/>
          <w:spacing w:val="1"/>
          <w:kern w:val="0"/>
          <w:sz w:val="20"/>
          <w:szCs w:val="20"/>
          <w:lang w:val="en-US" w:eastAsia="en-US" w:bidi="ar-SA"/>
        </w:rPr>
        <w:t>票、凭证和账单或收据，除非该工作是根据已标价</w:t>
      </w:r>
      <w:r>
        <w:rPr>
          <w:rFonts w:hint="eastAsia" w:ascii="宋体" w:hAnsi="宋体" w:eastAsia="宋体" w:cs="宋体"/>
          <w:snapToGrid w:val="0"/>
          <w:color w:val="000000"/>
          <w:kern w:val="0"/>
          <w:sz w:val="20"/>
          <w:szCs w:val="20"/>
          <w:lang w:val="en-US" w:eastAsia="en-US" w:bidi="ar-SA"/>
        </w:rPr>
        <w:t>工程量清单列明的单价或总额价</w:t>
      </w:r>
      <w:r>
        <w:rPr>
          <w:rFonts w:hint="eastAsia" w:ascii="宋体" w:hAnsi="宋体" w:eastAsia="宋体" w:cs="宋体"/>
          <w:snapToGrid w:val="0"/>
          <w:color w:val="000000"/>
          <w:spacing w:val="-6"/>
          <w:kern w:val="0"/>
          <w:sz w:val="20"/>
          <w:szCs w:val="20"/>
          <w:lang w:val="en-US" w:eastAsia="en-US" w:bidi="ar-SA"/>
        </w:rPr>
        <w:t>进行的估价。</w:t>
      </w:r>
    </w:p>
    <w:p w14:paraId="14FAC7D8">
      <w:pPr>
        <w:spacing w:before="92" w:line="240" w:lineRule="auto"/>
        <w:ind w:left="61"/>
        <w:outlineLvl w:val="0"/>
        <w:rPr>
          <w:rFonts w:hint="eastAsia" w:ascii="宋体" w:hAnsi="宋体" w:eastAsia="宋体" w:cs="宋体"/>
          <w:sz w:val="20"/>
          <w:szCs w:val="20"/>
        </w:rPr>
      </w:pPr>
      <w:bookmarkStart w:id="25" w:name="bookmark50"/>
      <w:bookmarkEnd w:id="25"/>
      <w:r>
        <w:rPr>
          <w:rFonts w:hint="eastAsia" w:ascii="宋体" w:hAnsi="宋体" w:eastAsia="宋体" w:cs="宋体"/>
          <w:spacing w:val="-4"/>
          <w:sz w:val="20"/>
          <w:szCs w:val="20"/>
        </w:rPr>
        <w:t>16.  价格调整</w:t>
      </w:r>
    </w:p>
    <w:p w14:paraId="40A94E74">
      <w:pPr>
        <w:spacing w:before="312" w:line="240" w:lineRule="auto"/>
        <w:ind w:left="56"/>
        <w:outlineLvl w:val="1"/>
        <w:rPr>
          <w:rFonts w:hint="eastAsia" w:ascii="宋体" w:hAnsi="宋体" w:eastAsia="宋体" w:cs="宋体"/>
          <w:sz w:val="20"/>
          <w:szCs w:val="20"/>
        </w:rPr>
      </w:pPr>
      <w:r>
        <w:rPr>
          <w:rFonts w:hint="eastAsia" w:ascii="宋体" w:hAnsi="宋体" w:eastAsia="宋体" w:cs="宋体"/>
          <w:spacing w:val="-2"/>
          <w:sz w:val="20"/>
          <w:szCs w:val="20"/>
        </w:rPr>
        <w:t>16.1  物价波动引起的价格调整</w:t>
      </w:r>
    </w:p>
    <w:p w14:paraId="2945C715">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本款约定为：</w:t>
      </w:r>
    </w:p>
    <w:p w14:paraId="49A5AFFE">
      <w:pPr>
        <w:kinsoku w:val="0"/>
        <w:autoSpaceDE w:val="0"/>
        <w:autoSpaceDN w:val="0"/>
        <w:adjustRightInd w:val="0"/>
        <w:snapToGrid w:val="0"/>
        <w:spacing w:before="114" w:line="240" w:lineRule="auto"/>
        <w:ind w:left="40" w:right="85" w:firstLine="48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（1）除项目专用合同条款另有约定外，因物价波动引起的价格调整应按项目专</w:t>
      </w:r>
      <w:r>
        <w:rPr>
          <w:rFonts w:hint="eastAsia" w:ascii="宋体" w:hAnsi="宋体" w:eastAsia="宋体" w:cs="宋体"/>
          <w:snapToGrid w:val="0"/>
          <w:color w:val="000000"/>
          <w:spacing w:val="-2"/>
          <w:kern w:val="0"/>
          <w:sz w:val="20"/>
          <w:szCs w:val="20"/>
          <w:lang w:val="en-US" w:eastAsia="en-US" w:bidi="ar-SA"/>
        </w:rPr>
        <w:t>用合同条款数据表的规定，按照第</w:t>
      </w:r>
      <w:r>
        <w:rPr>
          <w:rFonts w:hint="eastAsia" w:ascii="宋体" w:hAnsi="宋体" w:eastAsia="宋体" w:cs="宋体"/>
          <w:snapToGrid w:val="0"/>
          <w:color w:val="000000"/>
          <w:spacing w:val="-21"/>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16.1.1 项或第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16.1.2 项约定的原则处理；或者</w:t>
      </w:r>
    </w:p>
    <w:p w14:paraId="5D1F517B">
      <w:pPr>
        <w:kinsoku w:val="0"/>
        <w:autoSpaceDE w:val="0"/>
        <w:autoSpaceDN w:val="0"/>
        <w:adjustRightInd w:val="0"/>
        <w:snapToGrid w:val="0"/>
        <w:spacing w:before="99" w:line="240" w:lineRule="auto"/>
        <w:ind w:left="39" w:right="85"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（2）在合同执行期间（包括工期拖延期间）由于人工、材料和设备价格的上涨</w:t>
      </w:r>
      <w:r>
        <w:rPr>
          <w:rFonts w:hint="eastAsia" w:ascii="宋体" w:hAnsi="宋体" w:eastAsia="宋体" w:cs="宋体"/>
          <w:snapToGrid w:val="0"/>
          <w:color w:val="000000"/>
          <w:spacing w:val="-1"/>
          <w:kern w:val="0"/>
          <w:sz w:val="20"/>
          <w:szCs w:val="20"/>
          <w:lang w:val="en-US" w:eastAsia="en-US" w:bidi="ar-SA"/>
        </w:rPr>
        <w:t>而引起工程施工成本增加的风险由承包人自行承担，合同价格不会</w:t>
      </w:r>
      <w:r>
        <w:rPr>
          <w:rFonts w:hint="eastAsia" w:ascii="宋体" w:hAnsi="宋体" w:eastAsia="宋体" w:cs="宋体"/>
          <w:snapToGrid w:val="0"/>
          <w:color w:val="000000"/>
          <w:spacing w:val="-2"/>
          <w:kern w:val="0"/>
          <w:sz w:val="20"/>
          <w:szCs w:val="20"/>
          <w:lang w:val="en-US" w:eastAsia="en-US" w:bidi="ar-SA"/>
        </w:rPr>
        <w:t>因此而调整。</w:t>
      </w:r>
    </w:p>
    <w:p w14:paraId="0FB6FAE4">
      <w:pPr>
        <w:spacing w:before="116" w:line="240" w:lineRule="auto"/>
        <w:ind w:left="527"/>
        <w:rPr>
          <w:rFonts w:hint="eastAsia" w:ascii="宋体" w:hAnsi="宋体" w:eastAsia="宋体" w:cs="宋体"/>
          <w:sz w:val="20"/>
          <w:szCs w:val="20"/>
        </w:rPr>
      </w:pPr>
      <w:r>
        <w:rPr>
          <w:rFonts w:hint="eastAsia" w:ascii="宋体" w:hAnsi="宋体" w:eastAsia="宋体" w:cs="宋体"/>
          <w:spacing w:val="-2"/>
          <w:sz w:val="20"/>
          <w:szCs w:val="20"/>
        </w:rPr>
        <w:t>16.1.1  采用价格指数调整价格差额</w:t>
      </w:r>
    </w:p>
    <w:p w14:paraId="177921A9">
      <w:pPr>
        <w:kinsoku w:val="0"/>
        <w:autoSpaceDE w:val="0"/>
        <w:autoSpaceDN w:val="0"/>
        <w:adjustRightInd w:val="0"/>
        <w:snapToGrid w:val="0"/>
        <w:spacing w:before="99" w:line="240" w:lineRule="auto"/>
        <w:ind w:left="53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"16.1.1.1"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2"/>
          <w:kern w:val="0"/>
          <w:sz w:val="20"/>
          <w:szCs w:val="20"/>
          <w:lang w:val="en-US" w:eastAsia="en-US" w:bidi="ar-SA"/>
        </w:rPr>
        <w:t>16.1.1.1</w:t>
      </w:r>
      <w:r>
        <w:rPr>
          <w:rFonts w:hint="eastAsia" w:ascii="宋体" w:hAnsi="宋体" w:eastAsia="宋体" w:cs="宋体"/>
          <w:snapToGrid w:val="0"/>
          <w:color w:val="000000"/>
          <w:spacing w:val="-2"/>
          <w:kern w:val="0"/>
          <w:sz w:val="20"/>
          <w:szCs w:val="20"/>
          <w:lang w:val="en-US" w:eastAsia="en-US" w:bidi="ar-SA"/>
        </w:rPr>
        <w:fldChar w:fldCharType="end"/>
      </w:r>
      <w:r>
        <w:rPr>
          <w:rFonts w:hint="eastAsia" w:ascii="宋体" w:hAnsi="宋体" w:eastAsia="宋体" w:cs="宋体"/>
          <w:snapToGrid w:val="0"/>
          <w:color w:val="000000"/>
          <w:spacing w:val="-2"/>
          <w:kern w:val="0"/>
          <w:sz w:val="20"/>
          <w:szCs w:val="20"/>
          <w:lang w:val="en-US" w:eastAsia="en-US" w:bidi="ar-SA"/>
        </w:rPr>
        <w:t xml:space="preserve">  价格调整公式</w:t>
      </w:r>
    </w:p>
    <w:p w14:paraId="28E0B96D">
      <w:pPr>
        <w:kinsoku w:val="0"/>
        <w:autoSpaceDE w:val="0"/>
        <w:autoSpaceDN w:val="0"/>
        <w:adjustRightInd w:val="0"/>
        <w:snapToGrid w:val="0"/>
        <w:spacing w:before="97"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价格调整公式后增加备注如下：</w:t>
      </w:r>
    </w:p>
    <w:p w14:paraId="5AE6C2DA">
      <w:pPr>
        <w:kinsoku w:val="0"/>
        <w:autoSpaceDE w:val="0"/>
        <w:autoSpaceDN w:val="0"/>
        <w:adjustRightInd w:val="0"/>
        <w:snapToGrid w:val="0"/>
        <w:spacing w:before="117" w:line="240" w:lineRule="auto"/>
        <w:ind w:left="78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position w:val="1"/>
          <w:sz w:val="20"/>
          <w:szCs w:val="20"/>
          <w:lang w:val="en-US" w:eastAsia="en-US" w:bidi="ar-SA"/>
        </w:rPr>
        <w:t>式中，</w:t>
      </w:r>
      <w:r>
        <w:rPr>
          <w:rFonts w:hint="eastAsia" w:ascii="宋体" w:hAnsi="宋体" w:eastAsia="宋体" w:cs="宋体"/>
          <w:b/>
          <w:bCs/>
          <w:snapToGrid w:val="0"/>
          <w:color w:val="000000"/>
          <w:spacing w:val="3"/>
          <w:kern w:val="0"/>
          <w:position w:val="1"/>
          <w:sz w:val="20"/>
          <w:szCs w:val="20"/>
          <w:lang w:val="en-US" w:eastAsia="en-US" w:bidi="ar-SA"/>
        </w:rPr>
        <w:t>A=1</w:t>
      </w:r>
      <w:r>
        <w:rPr>
          <w:rFonts w:hint="eastAsia" w:ascii="宋体" w:hAnsi="宋体" w:eastAsia="宋体" w:cs="宋体"/>
          <w:b/>
          <w:bCs/>
          <w:snapToGrid w:val="0"/>
          <w:color w:val="000000"/>
          <w:spacing w:val="-29"/>
          <w:kern w:val="0"/>
          <w:position w:val="1"/>
          <w:sz w:val="20"/>
          <w:szCs w:val="20"/>
          <w:lang w:val="en-US" w:eastAsia="en-US" w:bidi="ar-SA"/>
        </w:rPr>
        <w:t xml:space="preserve"> </w:t>
      </w:r>
      <w:r>
        <w:rPr>
          <w:rFonts w:hint="eastAsia" w:ascii="宋体" w:hAnsi="宋体" w:eastAsia="宋体" w:cs="宋体"/>
          <w:b/>
          <w:bCs/>
          <w:snapToGrid w:val="0"/>
          <w:color w:val="000000"/>
          <w:spacing w:val="-34"/>
          <w:kern w:val="0"/>
          <w:position w:val="1"/>
          <w:sz w:val="20"/>
          <w:szCs w:val="20"/>
          <w:lang w:val="en-US" w:eastAsia="en-US" w:bidi="ar-SA"/>
        </w:rPr>
        <w:t>－（</w:t>
      </w:r>
      <w:r>
        <w:rPr>
          <w:rFonts w:hint="eastAsia" w:ascii="宋体" w:hAnsi="宋体" w:eastAsia="宋体" w:cs="宋体"/>
          <w:b/>
          <w:bCs/>
          <w:snapToGrid w:val="0"/>
          <w:color w:val="000000"/>
          <w:spacing w:val="3"/>
          <w:kern w:val="0"/>
          <w:position w:val="1"/>
          <w:sz w:val="20"/>
          <w:szCs w:val="20"/>
          <w:lang w:val="en-US" w:eastAsia="en-US" w:bidi="ar-SA"/>
        </w:rPr>
        <w:t>B</w:t>
      </w:r>
      <w:r>
        <w:rPr>
          <w:rFonts w:hint="eastAsia" w:ascii="宋体" w:hAnsi="宋体" w:eastAsia="宋体" w:cs="宋体"/>
          <w:b/>
          <w:bCs/>
          <w:snapToGrid w:val="0"/>
          <w:color w:val="000000"/>
          <w:spacing w:val="3"/>
          <w:kern w:val="0"/>
          <w:position w:val="-1"/>
          <w:sz w:val="20"/>
          <w:szCs w:val="20"/>
          <w:lang w:val="en-US" w:eastAsia="en-US" w:bidi="ar-SA"/>
        </w:rPr>
        <w:t>1</w:t>
      </w:r>
      <w:r>
        <w:rPr>
          <w:rFonts w:hint="eastAsia" w:ascii="宋体" w:hAnsi="宋体" w:eastAsia="宋体" w:cs="宋体"/>
          <w:b/>
          <w:bCs/>
          <w:snapToGrid w:val="0"/>
          <w:color w:val="000000"/>
          <w:spacing w:val="3"/>
          <w:kern w:val="0"/>
          <w:position w:val="1"/>
          <w:sz w:val="20"/>
          <w:szCs w:val="20"/>
          <w:lang w:val="en-US" w:eastAsia="en-US" w:bidi="ar-SA"/>
        </w:rPr>
        <w:t>＋B</w:t>
      </w:r>
      <w:r>
        <w:rPr>
          <w:rFonts w:hint="eastAsia" w:ascii="宋体" w:hAnsi="宋体" w:eastAsia="宋体" w:cs="宋体"/>
          <w:b/>
          <w:bCs/>
          <w:snapToGrid w:val="0"/>
          <w:color w:val="000000"/>
          <w:spacing w:val="3"/>
          <w:kern w:val="0"/>
          <w:position w:val="-1"/>
          <w:sz w:val="20"/>
          <w:szCs w:val="20"/>
          <w:lang w:val="en-US" w:eastAsia="en-US" w:bidi="ar-SA"/>
        </w:rPr>
        <w:t>2</w:t>
      </w:r>
      <w:r>
        <w:rPr>
          <w:rFonts w:hint="eastAsia" w:ascii="宋体" w:hAnsi="宋体" w:eastAsia="宋体" w:cs="宋体"/>
          <w:b/>
          <w:bCs/>
          <w:snapToGrid w:val="0"/>
          <w:color w:val="000000"/>
          <w:spacing w:val="3"/>
          <w:kern w:val="0"/>
          <w:position w:val="1"/>
          <w:sz w:val="20"/>
          <w:szCs w:val="20"/>
          <w:lang w:val="en-US" w:eastAsia="en-US" w:bidi="ar-SA"/>
        </w:rPr>
        <w:t>＋B</w:t>
      </w:r>
      <w:r>
        <w:rPr>
          <w:rFonts w:hint="eastAsia" w:ascii="宋体" w:hAnsi="宋体" w:eastAsia="宋体" w:cs="宋体"/>
          <w:b/>
          <w:bCs/>
          <w:snapToGrid w:val="0"/>
          <w:color w:val="000000"/>
          <w:spacing w:val="3"/>
          <w:kern w:val="0"/>
          <w:position w:val="-1"/>
          <w:sz w:val="20"/>
          <w:szCs w:val="20"/>
          <w:lang w:val="en-US" w:eastAsia="en-US" w:bidi="ar-SA"/>
        </w:rPr>
        <w:t>3</w:t>
      </w:r>
      <w:r>
        <w:rPr>
          <w:rFonts w:hint="eastAsia" w:ascii="宋体" w:hAnsi="宋体" w:eastAsia="宋体" w:cs="宋体"/>
          <w:b/>
          <w:bCs/>
          <w:snapToGrid w:val="0"/>
          <w:color w:val="000000"/>
          <w:spacing w:val="-8"/>
          <w:kern w:val="0"/>
          <w:position w:val="-1"/>
          <w:sz w:val="20"/>
          <w:szCs w:val="20"/>
          <w:lang w:val="en-US" w:eastAsia="en-US" w:bidi="ar-SA"/>
        </w:rPr>
        <w:t xml:space="preserve"> </w:t>
      </w:r>
      <w:r>
        <w:rPr>
          <w:rFonts w:hint="eastAsia" w:ascii="宋体" w:hAnsi="宋体" w:eastAsia="宋体" w:cs="宋体"/>
          <w:b/>
          <w:bCs/>
          <w:snapToGrid w:val="0"/>
          <w:color w:val="000000"/>
          <w:spacing w:val="3"/>
          <w:kern w:val="0"/>
          <w:position w:val="1"/>
          <w:sz w:val="20"/>
          <w:szCs w:val="20"/>
          <w:lang w:val="en-US" w:eastAsia="en-US" w:bidi="ar-SA"/>
        </w:rPr>
        <w:t>+</w:t>
      </w:r>
      <w:r>
        <w:rPr>
          <w:rFonts w:hint="eastAsia" w:ascii="宋体" w:hAnsi="宋体" w:eastAsia="宋体" w:cs="宋体"/>
          <w:snapToGrid w:val="0"/>
          <w:color w:val="000000"/>
          <w:spacing w:val="-73"/>
          <w:kern w:val="0"/>
          <w:position w:val="1"/>
          <w:sz w:val="20"/>
          <w:szCs w:val="20"/>
          <w:lang w:val="en-US" w:eastAsia="en-US" w:bidi="ar-SA"/>
        </w:rPr>
        <w:t xml:space="preserve"> </w:t>
      </w:r>
      <w:r>
        <w:rPr>
          <w:rFonts w:hint="eastAsia" w:ascii="宋体" w:hAnsi="宋体" w:eastAsia="宋体" w:cs="宋体"/>
          <w:b/>
          <w:bCs/>
          <w:snapToGrid w:val="0"/>
          <w:color w:val="000000"/>
          <w:spacing w:val="3"/>
          <w:kern w:val="0"/>
          <w:position w:val="-1"/>
          <w:sz w:val="20"/>
          <w:szCs w:val="20"/>
          <w:lang w:val="en-US" w:eastAsia="en-US" w:bidi="ar-SA"/>
        </w:rPr>
        <w:t>……</w:t>
      </w:r>
      <w:r>
        <w:rPr>
          <w:rFonts w:hint="eastAsia" w:ascii="宋体" w:hAnsi="宋体" w:eastAsia="宋体" w:cs="宋体"/>
          <w:b/>
          <w:bCs/>
          <w:snapToGrid w:val="0"/>
          <w:color w:val="000000"/>
          <w:spacing w:val="-10"/>
          <w:kern w:val="0"/>
          <w:position w:val="-1"/>
          <w:sz w:val="20"/>
          <w:szCs w:val="20"/>
          <w:lang w:val="en-US" w:eastAsia="en-US" w:bidi="ar-SA"/>
        </w:rPr>
        <w:t xml:space="preserve"> </w:t>
      </w:r>
      <w:r>
        <w:rPr>
          <w:rFonts w:hint="eastAsia" w:ascii="宋体" w:hAnsi="宋体" w:eastAsia="宋体" w:cs="宋体"/>
          <w:b/>
          <w:bCs/>
          <w:snapToGrid w:val="0"/>
          <w:color w:val="000000"/>
          <w:spacing w:val="3"/>
          <w:kern w:val="0"/>
          <w:position w:val="1"/>
          <w:sz w:val="20"/>
          <w:szCs w:val="20"/>
          <w:lang w:val="en-US" w:eastAsia="en-US" w:bidi="ar-SA"/>
        </w:rPr>
        <w:t>+</w:t>
      </w:r>
      <w:r>
        <w:rPr>
          <w:rFonts w:hint="eastAsia" w:ascii="宋体" w:hAnsi="宋体" w:eastAsia="宋体" w:cs="宋体"/>
          <w:b/>
          <w:bCs/>
          <w:snapToGrid w:val="0"/>
          <w:color w:val="000000"/>
          <w:kern w:val="0"/>
          <w:position w:val="1"/>
          <w:sz w:val="20"/>
          <w:szCs w:val="20"/>
          <w:lang w:val="en-US" w:eastAsia="en-US" w:bidi="ar-SA"/>
        </w:rPr>
        <w:t>B</w:t>
      </w:r>
      <w:r>
        <w:rPr>
          <w:rFonts w:hint="eastAsia" w:ascii="宋体" w:hAnsi="宋体" w:eastAsia="宋体" w:cs="宋体"/>
          <w:b/>
          <w:bCs/>
          <w:snapToGrid w:val="0"/>
          <w:color w:val="000000"/>
          <w:kern w:val="0"/>
          <w:position w:val="-1"/>
          <w:sz w:val="20"/>
          <w:szCs w:val="20"/>
          <w:lang w:val="en-US" w:eastAsia="en-US" w:bidi="ar-SA"/>
        </w:rPr>
        <w:t>n</w:t>
      </w:r>
      <w:r>
        <w:rPr>
          <w:rFonts w:hint="eastAsia" w:ascii="宋体" w:hAnsi="宋体" w:eastAsia="宋体" w:cs="宋体"/>
          <w:b/>
          <w:bCs/>
          <w:snapToGrid w:val="0"/>
          <w:color w:val="000000"/>
          <w:spacing w:val="3"/>
          <w:kern w:val="0"/>
          <w:position w:val="1"/>
          <w:sz w:val="20"/>
          <w:szCs w:val="20"/>
          <w:lang w:val="en-US" w:eastAsia="en-US" w:bidi="ar-SA"/>
        </w:rPr>
        <w:t>）</w:t>
      </w:r>
      <w:r>
        <w:rPr>
          <w:rFonts w:hint="eastAsia" w:ascii="宋体" w:hAnsi="宋体" w:eastAsia="宋体" w:cs="宋体"/>
          <w:snapToGrid w:val="0"/>
          <w:color w:val="000000"/>
          <w:spacing w:val="3"/>
          <w:kern w:val="0"/>
          <w:position w:val="1"/>
          <w:sz w:val="20"/>
          <w:szCs w:val="20"/>
          <w:lang w:val="en-US" w:eastAsia="en-US" w:bidi="ar-SA"/>
        </w:rPr>
        <w:t>。</w:t>
      </w:r>
    </w:p>
    <w:p w14:paraId="4DBB95CC">
      <w:pPr>
        <w:kinsoku w:val="0"/>
        <w:autoSpaceDE w:val="0"/>
        <w:autoSpaceDN w:val="0"/>
        <w:adjustRightInd w:val="0"/>
        <w:snapToGrid w:val="0"/>
        <w:spacing w:before="83"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本目最后一段文字细化为：</w:t>
      </w:r>
    </w:p>
    <w:p w14:paraId="20D05438">
      <w:pPr>
        <w:kinsoku w:val="0"/>
        <w:autoSpaceDE w:val="0"/>
        <w:autoSpaceDN w:val="0"/>
        <w:adjustRightInd w:val="0"/>
        <w:snapToGrid w:val="0"/>
        <w:spacing w:before="114" w:line="240" w:lineRule="auto"/>
        <w:ind w:left="51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在采用价格调整公式进行调价时，还应遵守以下规定：</w:t>
      </w:r>
    </w:p>
    <w:p w14:paraId="2E396FF3">
      <w:pPr>
        <w:kinsoku w:val="0"/>
        <w:autoSpaceDE w:val="0"/>
        <w:autoSpaceDN w:val="0"/>
        <w:adjustRightInd w:val="0"/>
        <w:snapToGrid w:val="0"/>
        <w:spacing w:before="118" w:line="240" w:lineRule="auto"/>
        <w:ind w:left="37" w:firstLine="48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（1）以上价格调整公式中的各可调因子、定值权重，以及基本价格指数及其来源由发包人在投标函附录价格指数和权重表</w:t>
      </w:r>
      <w:r>
        <w:rPr>
          <w:rFonts w:hint="eastAsia" w:ascii="宋体" w:hAnsi="宋体" w:eastAsia="宋体" w:cs="宋体"/>
          <w:snapToGrid w:val="0"/>
          <w:color w:val="000000"/>
          <w:spacing w:val="-4"/>
          <w:kern w:val="0"/>
          <w:sz w:val="20"/>
          <w:szCs w:val="20"/>
          <w:lang w:val="en-US" w:eastAsia="en-US" w:bidi="ar-SA"/>
        </w:rPr>
        <w:t>中约定。价格指数应首先采用国家或省、</w:t>
      </w:r>
      <w:r>
        <w:rPr>
          <w:rFonts w:hint="eastAsia" w:ascii="宋体" w:hAnsi="宋体" w:eastAsia="宋体" w:cs="宋体"/>
          <w:snapToGrid w:val="0"/>
          <w:color w:val="000000"/>
          <w:spacing w:val="-1"/>
          <w:kern w:val="0"/>
          <w:sz w:val="20"/>
          <w:szCs w:val="20"/>
          <w:lang w:val="en-US" w:eastAsia="en-US" w:bidi="ar-SA"/>
        </w:rPr>
        <w:t>自治区、直辖市价格部门或统计部门提供的价格指数，缺乏上述价格指数时，可采</w:t>
      </w:r>
      <w:r>
        <w:rPr>
          <w:rFonts w:hint="eastAsia" w:ascii="宋体" w:hAnsi="宋体" w:eastAsia="宋体" w:cs="宋体"/>
          <w:snapToGrid w:val="0"/>
          <w:color w:val="000000"/>
          <w:spacing w:val="-4"/>
          <w:kern w:val="0"/>
          <w:sz w:val="20"/>
          <w:szCs w:val="20"/>
          <w:lang w:val="en-US" w:eastAsia="en-US" w:bidi="ar-SA"/>
        </w:rPr>
        <w:t>用上述部门提供的价格代替。</w:t>
      </w:r>
    </w:p>
    <w:p w14:paraId="4321C22B">
      <w:pPr>
        <w:kinsoku w:val="0"/>
        <w:autoSpaceDE w:val="0"/>
        <w:autoSpaceDN w:val="0"/>
        <w:adjustRightInd w:val="0"/>
        <w:snapToGrid w:val="0"/>
        <w:spacing w:before="3" w:line="240" w:lineRule="auto"/>
        <w:ind w:left="40" w:firstLine="482"/>
        <w:jc w:val="both"/>
        <w:textAlignment w:val="baseline"/>
        <w:rPr>
          <w:rFonts w:hint="eastAsia" w:ascii="宋体" w:hAnsi="宋体" w:eastAsia="宋体" w:cs="宋体"/>
          <w:sz w:val="20"/>
          <w:szCs w:val="20"/>
        </w:rPr>
      </w:pPr>
      <w:r>
        <w:rPr>
          <w:rFonts w:hint="eastAsia" w:ascii="宋体" w:hAnsi="宋体" w:eastAsia="宋体" w:cs="宋体"/>
          <w:snapToGrid w:val="0"/>
          <w:color w:val="000000"/>
          <w:spacing w:val="-2"/>
          <w:kern w:val="0"/>
          <w:sz w:val="20"/>
          <w:szCs w:val="20"/>
          <w:lang w:val="en-US" w:eastAsia="en-US" w:bidi="ar-SA"/>
        </w:rPr>
        <w:t>（2）价格调整公式中的变值权重，由发包人根据项目实际情况测算确定范围，</w:t>
      </w:r>
      <w:r>
        <w:rPr>
          <w:rFonts w:hint="eastAsia" w:ascii="宋体" w:hAnsi="宋体" w:eastAsia="宋体" w:cs="宋体"/>
          <w:snapToGrid w:val="0"/>
          <w:color w:val="000000"/>
          <w:kern w:val="0"/>
          <w:sz w:val="20"/>
          <w:szCs w:val="20"/>
          <w:lang w:val="en-US" w:eastAsia="en-US" w:bidi="ar-SA"/>
        </w:rPr>
        <w:t>并在投标函附录价格指数和权重表中约定范围；承包人在投标时在此范围内填写各</w:t>
      </w:r>
      <w:r>
        <w:rPr>
          <w:rFonts w:hint="eastAsia" w:ascii="宋体" w:hAnsi="宋体" w:eastAsia="宋体" w:cs="宋体"/>
          <w:snapToGrid w:val="0"/>
          <w:color w:val="000000"/>
          <w:spacing w:val="-2"/>
          <w:kern w:val="0"/>
          <w:sz w:val="20"/>
          <w:szCs w:val="20"/>
          <w:lang w:val="en-US" w:eastAsia="en-US" w:bidi="ar-SA"/>
        </w:rPr>
        <w:t>可调因子的权重，合同实施期间将按此权重进行调价。</w:t>
      </w:r>
    </w:p>
    <w:p w14:paraId="4360838E">
      <w:pPr>
        <w:spacing w:before="91" w:line="240" w:lineRule="auto"/>
        <w:ind w:left="61"/>
        <w:outlineLvl w:val="0"/>
        <w:rPr>
          <w:rFonts w:hint="eastAsia" w:ascii="宋体" w:hAnsi="宋体" w:eastAsia="宋体" w:cs="宋体"/>
          <w:sz w:val="20"/>
          <w:szCs w:val="20"/>
        </w:rPr>
      </w:pPr>
      <w:bookmarkStart w:id="26" w:name="bookmark51"/>
      <w:bookmarkEnd w:id="26"/>
      <w:r>
        <w:rPr>
          <w:rFonts w:hint="eastAsia" w:ascii="宋体" w:hAnsi="宋体" w:eastAsia="宋体" w:cs="宋体"/>
          <w:spacing w:val="-3"/>
          <w:sz w:val="20"/>
          <w:szCs w:val="20"/>
        </w:rPr>
        <w:t>17.  计量与支付</w:t>
      </w:r>
    </w:p>
    <w:p w14:paraId="6303B7AC">
      <w:pPr>
        <w:spacing w:before="310" w:line="240" w:lineRule="auto"/>
        <w:ind w:left="56"/>
        <w:rPr>
          <w:rFonts w:hint="eastAsia" w:ascii="宋体" w:hAnsi="宋体" w:eastAsia="宋体" w:cs="宋体"/>
          <w:sz w:val="20"/>
          <w:szCs w:val="20"/>
        </w:rPr>
      </w:pPr>
      <w:r>
        <w:rPr>
          <w:rFonts w:hint="eastAsia" w:ascii="宋体" w:hAnsi="宋体" w:eastAsia="宋体" w:cs="宋体"/>
          <w:spacing w:val="-6"/>
          <w:sz w:val="20"/>
          <w:szCs w:val="20"/>
        </w:rPr>
        <w:t>17.1</w:t>
      </w:r>
      <w:r>
        <w:rPr>
          <w:rFonts w:hint="eastAsia" w:ascii="宋体" w:hAnsi="宋体" w:eastAsia="宋体" w:cs="宋体"/>
          <w:spacing w:val="6"/>
          <w:sz w:val="20"/>
          <w:szCs w:val="20"/>
        </w:rPr>
        <w:t xml:space="preserve">  </w:t>
      </w:r>
      <w:r>
        <w:rPr>
          <w:rFonts w:hint="eastAsia" w:ascii="宋体" w:hAnsi="宋体" w:eastAsia="宋体" w:cs="宋体"/>
          <w:spacing w:val="-6"/>
          <w:sz w:val="20"/>
          <w:szCs w:val="20"/>
        </w:rPr>
        <w:t>计量</w:t>
      </w:r>
    </w:p>
    <w:p w14:paraId="67490B3A">
      <w:pPr>
        <w:spacing w:before="78" w:line="240" w:lineRule="auto"/>
        <w:ind w:left="527"/>
        <w:rPr>
          <w:rFonts w:hint="eastAsia" w:ascii="宋体" w:hAnsi="宋体" w:eastAsia="宋体" w:cs="宋体"/>
          <w:sz w:val="20"/>
          <w:szCs w:val="20"/>
        </w:rPr>
      </w:pPr>
      <w:r>
        <w:rPr>
          <w:rFonts w:hint="eastAsia" w:ascii="宋体" w:hAnsi="宋体" w:eastAsia="宋体" w:cs="宋体"/>
          <w:spacing w:val="-3"/>
          <w:sz w:val="20"/>
          <w:szCs w:val="20"/>
        </w:rPr>
        <w:t>17.1.2  计量方法</w:t>
      </w:r>
    </w:p>
    <w:p w14:paraId="375E7D19">
      <w:pPr>
        <w:kinsoku w:val="0"/>
        <w:autoSpaceDE w:val="0"/>
        <w:autoSpaceDN w:val="0"/>
        <w:adjustRightInd w:val="0"/>
        <w:snapToGrid w:val="0"/>
        <w:spacing w:before="96"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本项约定为：</w:t>
      </w:r>
    </w:p>
    <w:p w14:paraId="3F06EAA5">
      <w:pPr>
        <w:kinsoku w:val="0"/>
        <w:autoSpaceDE w:val="0"/>
        <w:autoSpaceDN w:val="0"/>
        <w:adjustRightInd w:val="0"/>
        <w:snapToGrid w:val="0"/>
        <w:spacing w:before="117" w:line="240" w:lineRule="auto"/>
        <w:ind w:left="38" w:right="33" w:firstLine="48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工程的计量应以净值为准，除非项目专用合同条款另有约定。工程量清单中各</w:t>
      </w:r>
      <w:r>
        <w:rPr>
          <w:rFonts w:hint="eastAsia" w:ascii="宋体" w:hAnsi="宋体" w:eastAsia="宋体" w:cs="宋体"/>
          <w:snapToGrid w:val="0"/>
          <w:color w:val="000000"/>
          <w:spacing w:val="-1"/>
          <w:kern w:val="0"/>
          <w:sz w:val="20"/>
          <w:szCs w:val="20"/>
          <w:lang w:val="en-US" w:eastAsia="en-US" w:bidi="ar-SA"/>
        </w:rPr>
        <w:t>个子目的具体计量方法按本合同文件工程量清单计量规</w:t>
      </w:r>
      <w:r>
        <w:rPr>
          <w:rFonts w:hint="eastAsia" w:ascii="宋体" w:hAnsi="宋体" w:eastAsia="宋体" w:cs="宋体"/>
          <w:snapToGrid w:val="0"/>
          <w:color w:val="000000"/>
          <w:spacing w:val="-2"/>
          <w:kern w:val="0"/>
          <w:sz w:val="20"/>
          <w:szCs w:val="20"/>
          <w:lang w:val="en-US" w:eastAsia="en-US" w:bidi="ar-SA"/>
        </w:rPr>
        <w:t>则中的规定执行。</w:t>
      </w:r>
    </w:p>
    <w:p w14:paraId="36087D6E">
      <w:pPr>
        <w:spacing w:before="1" w:line="240" w:lineRule="auto"/>
        <w:ind w:left="527"/>
        <w:outlineLvl w:val="2"/>
        <w:rPr>
          <w:rFonts w:hint="eastAsia" w:ascii="宋体" w:hAnsi="宋体" w:eastAsia="宋体" w:cs="宋体"/>
          <w:sz w:val="20"/>
          <w:szCs w:val="20"/>
        </w:rPr>
      </w:pPr>
      <w:r>
        <w:rPr>
          <w:rFonts w:hint="eastAsia" w:ascii="宋体" w:hAnsi="宋体" w:eastAsia="宋体" w:cs="宋体"/>
          <w:spacing w:val="-2"/>
          <w:sz w:val="20"/>
          <w:szCs w:val="20"/>
        </w:rPr>
        <w:t>17.1.4  单价子目的计量</w:t>
      </w:r>
    </w:p>
    <w:p w14:paraId="0BDBBAAC">
      <w:pPr>
        <w:kinsoku w:val="0"/>
        <w:autoSpaceDE w:val="0"/>
        <w:autoSpaceDN w:val="0"/>
        <w:adjustRightInd w:val="0"/>
        <w:snapToGrid w:val="0"/>
        <w:spacing w:before="9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本项补充：</w:t>
      </w:r>
    </w:p>
    <w:p w14:paraId="2EBA0A4A">
      <w:pPr>
        <w:kinsoku w:val="0"/>
        <w:autoSpaceDE w:val="0"/>
        <w:autoSpaceDN w:val="0"/>
        <w:adjustRightInd w:val="0"/>
        <w:snapToGrid w:val="0"/>
        <w:spacing w:before="118" w:line="240" w:lineRule="auto"/>
        <w:ind w:left="39" w:right="42"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（7）承包人未在已标价工程量清单中填入单价或总额价的</w:t>
      </w:r>
      <w:r>
        <w:rPr>
          <w:rFonts w:hint="eastAsia" w:ascii="宋体" w:hAnsi="宋体" w:eastAsia="宋体" w:cs="宋体"/>
          <w:snapToGrid w:val="0"/>
          <w:color w:val="000000"/>
          <w:spacing w:val="-4"/>
          <w:kern w:val="0"/>
          <w:sz w:val="20"/>
          <w:szCs w:val="20"/>
          <w:lang w:val="en-US" w:eastAsia="en-US" w:bidi="ar-SA"/>
        </w:rPr>
        <w:t>工程子目，将被认为</w:t>
      </w:r>
      <w:r>
        <w:rPr>
          <w:rFonts w:hint="eastAsia" w:ascii="宋体" w:hAnsi="宋体" w:eastAsia="宋体" w:cs="宋体"/>
          <w:snapToGrid w:val="0"/>
          <w:color w:val="000000"/>
          <w:spacing w:val="-1"/>
          <w:kern w:val="0"/>
          <w:sz w:val="20"/>
          <w:szCs w:val="20"/>
          <w:lang w:val="en-US" w:eastAsia="en-US" w:bidi="ar-SA"/>
        </w:rPr>
        <w:t>其已包含在本合同的其他子目的单价和总额价</w:t>
      </w:r>
      <w:r>
        <w:rPr>
          <w:rFonts w:hint="eastAsia" w:ascii="宋体" w:hAnsi="宋体" w:eastAsia="宋体" w:cs="宋体"/>
          <w:snapToGrid w:val="0"/>
          <w:color w:val="000000"/>
          <w:spacing w:val="-2"/>
          <w:kern w:val="0"/>
          <w:sz w:val="20"/>
          <w:szCs w:val="20"/>
          <w:lang w:val="en-US" w:eastAsia="en-US" w:bidi="ar-SA"/>
        </w:rPr>
        <w:t>中，发包人将不另行支付。</w:t>
      </w:r>
    </w:p>
    <w:p w14:paraId="7E0B2EC3">
      <w:pPr>
        <w:spacing w:before="20" w:line="240" w:lineRule="auto"/>
        <w:ind w:left="527"/>
        <w:outlineLvl w:val="2"/>
        <w:rPr>
          <w:rFonts w:hint="eastAsia" w:ascii="宋体" w:hAnsi="宋体" w:eastAsia="宋体" w:cs="宋体"/>
          <w:sz w:val="20"/>
          <w:szCs w:val="20"/>
        </w:rPr>
      </w:pPr>
      <w:r>
        <w:rPr>
          <w:rFonts w:hint="eastAsia" w:ascii="宋体" w:hAnsi="宋体" w:eastAsia="宋体" w:cs="宋体"/>
          <w:spacing w:val="-2"/>
          <w:sz w:val="20"/>
          <w:szCs w:val="20"/>
        </w:rPr>
        <w:t>17.1.5  总价子目的计量</w:t>
      </w:r>
    </w:p>
    <w:p w14:paraId="4F0CC545">
      <w:pPr>
        <w:kinsoku w:val="0"/>
        <w:autoSpaceDE w:val="0"/>
        <w:autoSpaceDN w:val="0"/>
        <w:adjustRightInd w:val="0"/>
        <w:snapToGrid w:val="0"/>
        <w:spacing w:before="98" w:line="240" w:lineRule="auto"/>
        <w:ind w:left="50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本项补充：</w:t>
      </w:r>
    </w:p>
    <w:p w14:paraId="7B8CCD96">
      <w:pPr>
        <w:kinsoku w:val="0"/>
        <w:autoSpaceDE w:val="0"/>
        <w:autoSpaceDN w:val="0"/>
        <w:adjustRightInd w:val="0"/>
        <w:snapToGrid w:val="0"/>
        <w:spacing w:before="115" w:line="240" w:lineRule="auto"/>
        <w:ind w:left="42" w:right="26" w:firstLine="46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本项目工程量清单中要求承包人以“总额”方式报价的子目，各子目的支付原</w:t>
      </w:r>
      <w:bookmarkStart w:id="27" w:name="bookmark52"/>
      <w:bookmarkEnd w:id="27"/>
      <w:r>
        <w:rPr>
          <w:rFonts w:hint="eastAsia" w:ascii="宋体" w:hAnsi="宋体" w:eastAsia="宋体" w:cs="宋体"/>
          <w:snapToGrid w:val="0"/>
          <w:color w:val="000000"/>
          <w:spacing w:val="-2"/>
          <w:kern w:val="0"/>
          <w:sz w:val="20"/>
          <w:szCs w:val="20"/>
          <w:lang w:val="en-US" w:eastAsia="en-US" w:bidi="ar-SA"/>
        </w:rPr>
        <w:t>则和支付进度按项目专用合同条款的规定执行。</w:t>
      </w:r>
    </w:p>
    <w:p w14:paraId="2B988B4C">
      <w:pPr>
        <w:spacing w:before="215" w:line="240" w:lineRule="auto"/>
        <w:ind w:left="56"/>
        <w:rPr>
          <w:rFonts w:hint="eastAsia" w:ascii="宋体" w:hAnsi="宋体" w:eastAsia="宋体" w:cs="宋体"/>
          <w:sz w:val="20"/>
          <w:szCs w:val="20"/>
        </w:rPr>
      </w:pPr>
      <w:r>
        <w:rPr>
          <w:rFonts w:hint="eastAsia" w:ascii="宋体" w:hAnsi="宋体" w:eastAsia="宋体" w:cs="宋体"/>
          <w:spacing w:val="-6"/>
          <w:sz w:val="20"/>
          <w:szCs w:val="20"/>
        </w:rPr>
        <w:t>17.2</w:t>
      </w:r>
      <w:r>
        <w:rPr>
          <w:rFonts w:hint="eastAsia" w:ascii="宋体" w:hAnsi="宋体" w:eastAsia="宋体" w:cs="宋体"/>
          <w:spacing w:val="8"/>
          <w:sz w:val="20"/>
          <w:szCs w:val="20"/>
        </w:rPr>
        <w:t xml:space="preserve">  </w:t>
      </w:r>
      <w:r>
        <w:rPr>
          <w:rFonts w:hint="eastAsia" w:ascii="宋体" w:hAnsi="宋体" w:eastAsia="宋体" w:cs="宋体"/>
          <w:spacing w:val="-6"/>
          <w:sz w:val="20"/>
          <w:szCs w:val="20"/>
        </w:rPr>
        <w:t>预付款</w:t>
      </w:r>
    </w:p>
    <w:p w14:paraId="5E2D27EA">
      <w:pPr>
        <w:spacing w:before="79" w:line="240" w:lineRule="auto"/>
        <w:ind w:left="527"/>
        <w:rPr>
          <w:rFonts w:hint="eastAsia" w:ascii="宋体" w:hAnsi="宋体" w:eastAsia="宋体" w:cs="宋体"/>
          <w:sz w:val="20"/>
          <w:szCs w:val="20"/>
        </w:rPr>
      </w:pPr>
      <w:r>
        <w:rPr>
          <w:rFonts w:hint="eastAsia" w:ascii="宋体" w:hAnsi="宋体" w:eastAsia="宋体" w:cs="宋体"/>
          <w:spacing w:val="-5"/>
          <w:sz w:val="20"/>
          <w:szCs w:val="20"/>
        </w:rPr>
        <w:t>17.2.1</w:t>
      </w:r>
      <w:r>
        <w:rPr>
          <w:rFonts w:hint="eastAsia" w:ascii="宋体" w:hAnsi="宋体" w:eastAsia="宋体" w:cs="宋体"/>
          <w:spacing w:val="20"/>
          <w:sz w:val="20"/>
          <w:szCs w:val="20"/>
        </w:rPr>
        <w:t xml:space="preserve"> </w:t>
      </w:r>
      <w:r>
        <w:rPr>
          <w:rFonts w:hint="eastAsia" w:ascii="宋体" w:hAnsi="宋体" w:eastAsia="宋体" w:cs="宋体"/>
          <w:spacing w:val="-5"/>
          <w:sz w:val="20"/>
          <w:szCs w:val="20"/>
        </w:rPr>
        <w:t>预付款</w:t>
      </w:r>
    </w:p>
    <w:p w14:paraId="20474F1A">
      <w:pPr>
        <w:kinsoku w:val="0"/>
        <w:autoSpaceDE w:val="0"/>
        <w:autoSpaceDN w:val="0"/>
        <w:adjustRightInd w:val="0"/>
        <w:snapToGrid w:val="0"/>
        <w:spacing w:before="9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本项约定为：</w:t>
      </w:r>
    </w:p>
    <w:p w14:paraId="2BA07691">
      <w:pPr>
        <w:kinsoku w:val="0"/>
        <w:autoSpaceDE w:val="0"/>
        <w:autoSpaceDN w:val="0"/>
        <w:adjustRightInd w:val="0"/>
        <w:snapToGrid w:val="0"/>
        <w:spacing w:before="113" w:line="240" w:lineRule="auto"/>
        <w:ind w:left="52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预付款包括开工预付款和材料、设备预付款。具体额度和预付办法如</w:t>
      </w:r>
      <w:r>
        <w:rPr>
          <w:rFonts w:hint="eastAsia" w:ascii="宋体" w:hAnsi="宋体" w:eastAsia="宋体" w:cs="宋体"/>
          <w:snapToGrid w:val="0"/>
          <w:color w:val="000000"/>
          <w:spacing w:val="-3"/>
          <w:kern w:val="0"/>
          <w:sz w:val="20"/>
          <w:szCs w:val="20"/>
          <w:lang w:val="en-US" w:eastAsia="en-US" w:bidi="ar-SA"/>
        </w:rPr>
        <w:t>下：</w:t>
      </w:r>
    </w:p>
    <w:p w14:paraId="638511B1">
      <w:pPr>
        <w:kinsoku w:val="0"/>
        <w:autoSpaceDE w:val="0"/>
        <w:autoSpaceDN w:val="0"/>
        <w:adjustRightInd w:val="0"/>
        <w:snapToGrid w:val="0"/>
        <w:spacing w:before="118" w:line="240" w:lineRule="auto"/>
        <w:ind w:left="40" w:right="30" w:firstLine="484"/>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（1）开工预付款的金额在项目专用合同条款数据表中约定。在承包人签订了合</w:t>
      </w:r>
      <w:r>
        <w:rPr>
          <w:rFonts w:hint="eastAsia" w:ascii="宋体" w:hAnsi="宋体" w:eastAsia="宋体" w:cs="宋体"/>
          <w:snapToGrid w:val="0"/>
          <w:color w:val="000000"/>
          <w:kern w:val="0"/>
          <w:sz w:val="20"/>
          <w:szCs w:val="20"/>
          <w:lang w:val="en-US" w:eastAsia="en-US" w:bidi="ar-SA"/>
        </w:rPr>
        <w:t>同协议书且承包人承诺的主要设备进场后，监理人应在当期进度付款证书中向承包</w:t>
      </w:r>
      <w:r>
        <w:rPr>
          <w:rFonts w:hint="eastAsia" w:ascii="宋体" w:hAnsi="宋体" w:eastAsia="宋体" w:cs="宋体"/>
          <w:snapToGrid w:val="0"/>
          <w:color w:val="000000"/>
          <w:spacing w:val="-5"/>
          <w:kern w:val="0"/>
          <w:sz w:val="20"/>
          <w:szCs w:val="20"/>
          <w:lang w:val="en-US" w:eastAsia="en-US" w:bidi="ar-SA"/>
        </w:rPr>
        <w:t>人支付开工预付款。</w:t>
      </w:r>
    </w:p>
    <w:p w14:paraId="5C13F7C9">
      <w:pPr>
        <w:kinsoku w:val="0"/>
        <w:autoSpaceDE w:val="0"/>
        <w:autoSpaceDN w:val="0"/>
        <w:adjustRightInd w:val="0"/>
        <w:snapToGrid w:val="0"/>
        <w:spacing w:before="5" w:line="240" w:lineRule="auto"/>
        <w:ind w:left="39" w:right="32" w:firstLine="478"/>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承包人不得将该预付款用于与本工程无关的支出，监理人有权监督承包人对该</w:t>
      </w:r>
      <w:r>
        <w:rPr>
          <w:rFonts w:hint="eastAsia" w:ascii="宋体" w:hAnsi="宋体" w:eastAsia="宋体" w:cs="宋体"/>
          <w:snapToGrid w:val="0"/>
          <w:color w:val="000000"/>
          <w:spacing w:val="1"/>
          <w:kern w:val="0"/>
          <w:sz w:val="20"/>
          <w:szCs w:val="20"/>
          <w:lang w:val="en-US" w:eastAsia="en-US" w:bidi="ar-SA"/>
        </w:rPr>
        <w:t>项费用的使用，如经查实承包人滥用开工预付款</w:t>
      </w:r>
      <w:r>
        <w:rPr>
          <w:rFonts w:hint="eastAsia" w:ascii="宋体" w:hAnsi="宋体" w:eastAsia="宋体" w:cs="宋体"/>
          <w:snapToGrid w:val="0"/>
          <w:color w:val="000000"/>
          <w:kern w:val="0"/>
          <w:sz w:val="20"/>
          <w:szCs w:val="20"/>
          <w:lang w:val="en-US" w:eastAsia="en-US" w:bidi="ar-SA"/>
        </w:rPr>
        <w:t>，发包人有权立即向银行索赔履约</w:t>
      </w:r>
      <w:r>
        <w:rPr>
          <w:rFonts w:hint="eastAsia" w:ascii="宋体" w:hAnsi="宋体" w:eastAsia="宋体" w:cs="宋体"/>
          <w:snapToGrid w:val="0"/>
          <w:color w:val="000000"/>
          <w:spacing w:val="-2"/>
          <w:kern w:val="0"/>
          <w:sz w:val="20"/>
          <w:szCs w:val="20"/>
          <w:lang w:val="en-US" w:eastAsia="en-US" w:bidi="ar-SA"/>
        </w:rPr>
        <w:t>保证金，并解除合同。</w:t>
      </w:r>
    </w:p>
    <w:p w14:paraId="0AF6C0E0">
      <w:pPr>
        <w:kinsoku w:val="0"/>
        <w:autoSpaceDE w:val="0"/>
        <w:autoSpaceDN w:val="0"/>
        <w:adjustRightInd w:val="0"/>
        <w:snapToGrid w:val="0"/>
        <w:spacing w:line="240" w:lineRule="auto"/>
        <w:ind w:right="29" w:firstLine="388" w:firstLineChars="2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（2）材料、设备预付款按项目专用合同条款数据表中所列主要材料、设备单据</w:t>
      </w:r>
      <w:r>
        <w:rPr>
          <w:rFonts w:hint="eastAsia" w:ascii="宋体" w:hAnsi="宋体" w:eastAsia="宋体" w:cs="宋体"/>
          <w:snapToGrid w:val="0"/>
          <w:color w:val="000000"/>
          <w:kern w:val="0"/>
          <w:sz w:val="20"/>
          <w:szCs w:val="20"/>
          <w:lang w:val="en-US" w:eastAsia="en-US" w:bidi="ar-SA"/>
        </w:rPr>
        <w:t>费用（进口的材料、设备为到岸价，国内采购的为出厂价或销售价，地方材料为堆</w:t>
      </w:r>
      <w:r>
        <w:rPr>
          <w:rFonts w:hint="eastAsia" w:ascii="宋体" w:hAnsi="宋体" w:eastAsia="宋体" w:cs="宋体"/>
          <w:snapToGrid w:val="0"/>
          <w:color w:val="000000"/>
          <w:spacing w:val="-4"/>
          <w:kern w:val="0"/>
          <w:sz w:val="20"/>
          <w:szCs w:val="20"/>
          <w:lang w:val="en-US" w:eastAsia="en-US" w:bidi="ar-SA"/>
        </w:rPr>
        <w:t>场价）的百分比支付。其预付条件为：</w:t>
      </w:r>
    </w:p>
    <w:p w14:paraId="30B0758E">
      <w:pPr>
        <w:kinsoku w:val="0"/>
        <w:autoSpaceDE w:val="0"/>
        <w:autoSpaceDN w:val="0"/>
        <w:adjustRightInd w:val="0"/>
        <w:snapToGrid w:val="0"/>
        <w:spacing w:line="240" w:lineRule="auto"/>
        <w:ind w:left="51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a.  材料、设备符合规范要求并经监理人认可；</w:t>
      </w:r>
    </w:p>
    <w:p w14:paraId="55D336DB">
      <w:pPr>
        <w:kinsoku w:val="0"/>
        <w:autoSpaceDE w:val="0"/>
        <w:autoSpaceDN w:val="0"/>
        <w:adjustRightInd w:val="0"/>
        <w:snapToGrid w:val="0"/>
        <w:spacing w:before="97" w:line="240" w:lineRule="auto"/>
        <w:ind w:left="50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b.  承包人已出具材料、设备费用凭证或支</w:t>
      </w:r>
      <w:r>
        <w:rPr>
          <w:rFonts w:hint="eastAsia" w:ascii="宋体" w:hAnsi="宋体" w:eastAsia="宋体" w:cs="宋体"/>
          <w:snapToGrid w:val="0"/>
          <w:color w:val="000000"/>
          <w:spacing w:val="-3"/>
          <w:kern w:val="0"/>
          <w:sz w:val="20"/>
          <w:szCs w:val="20"/>
          <w:lang w:val="en-US" w:eastAsia="en-US" w:bidi="ar-SA"/>
        </w:rPr>
        <w:t>付单据；</w:t>
      </w:r>
    </w:p>
    <w:p w14:paraId="0CB6243A">
      <w:pPr>
        <w:kinsoku w:val="0"/>
        <w:autoSpaceDE w:val="0"/>
        <w:autoSpaceDN w:val="0"/>
        <w:adjustRightInd w:val="0"/>
        <w:snapToGrid w:val="0"/>
        <w:spacing w:before="96" w:line="240" w:lineRule="auto"/>
        <w:ind w:left="40" w:right="1" w:firstLine="47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c.  材料、设备已在现场交货，</w:t>
      </w:r>
      <w:r>
        <w:rPr>
          <w:rFonts w:hint="eastAsia" w:ascii="宋体" w:hAnsi="宋体" w:eastAsia="宋体" w:cs="宋体"/>
          <w:snapToGrid w:val="0"/>
          <w:color w:val="000000"/>
          <w:spacing w:val="61"/>
          <w:kern w:val="0"/>
          <w:sz w:val="20"/>
          <w:szCs w:val="20"/>
          <w:lang w:val="en-US" w:eastAsia="en-US" w:bidi="ar-SA"/>
        </w:rPr>
        <w:t xml:space="preserve"> </w:t>
      </w:r>
      <w:r>
        <w:rPr>
          <w:rFonts w:hint="eastAsia" w:ascii="宋体" w:hAnsi="宋体" w:eastAsia="宋体" w:cs="宋体"/>
          <w:snapToGrid w:val="0"/>
          <w:color w:val="000000"/>
          <w:spacing w:val="-5"/>
          <w:kern w:val="0"/>
          <w:sz w:val="20"/>
          <w:szCs w:val="20"/>
          <w:lang w:val="en-US" w:eastAsia="en-US" w:bidi="ar-SA"/>
        </w:rPr>
        <w:t>且存储良好</w:t>
      </w:r>
      <w:r>
        <w:rPr>
          <w:rFonts w:hint="eastAsia" w:ascii="宋体" w:hAnsi="宋体" w:eastAsia="宋体" w:cs="宋体"/>
          <w:snapToGrid w:val="0"/>
          <w:color w:val="000000"/>
          <w:spacing w:val="-6"/>
          <w:kern w:val="0"/>
          <w:sz w:val="20"/>
          <w:szCs w:val="20"/>
          <w:lang w:val="en-US" w:eastAsia="en-US" w:bidi="ar-SA"/>
        </w:rPr>
        <w:t>，监理人认为材料、设备的存储方法</w:t>
      </w:r>
      <w:r>
        <w:rPr>
          <w:rFonts w:hint="eastAsia" w:ascii="宋体" w:hAnsi="宋体" w:eastAsia="宋体" w:cs="宋体"/>
          <w:snapToGrid w:val="0"/>
          <w:color w:val="000000"/>
          <w:spacing w:val="-8"/>
          <w:kern w:val="0"/>
          <w:sz w:val="20"/>
          <w:szCs w:val="20"/>
          <w:lang w:val="en-US" w:eastAsia="en-US" w:bidi="ar-SA"/>
        </w:rPr>
        <w:t>符合要求。</w:t>
      </w:r>
    </w:p>
    <w:p w14:paraId="47035A79">
      <w:pPr>
        <w:kinsoku w:val="0"/>
        <w:autoSpaceDE w:val="0"/>
        <w:autoSpaceDN w:val="0"/>
        <w:adjustRightInd w:val="0"/>
        <w:snapToGrid w:val="0"/>
        <w:spacing w:before="114" w:line="240" w:lineRule="auto"/>
        <w:ind w:left="37" w:right="44"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则监理人应将此项金额作为材料、设备预付款计入下一次的进度付款证书中。</w:t>
      </w:r>
      <w:r>
        <w:rPr>
          <w:rFonts w:hint="eastAsia" w:ascii="宋体" w:hAnsi="宋体" w:eastAsia="宋体" w:cs="宋体"/>
          <w:snapToGrid w:val="0"/>
          <w:color w:val="000000"/>
          <w:spacing w:val="-2"/>
          <w:kern w:val="0"/>
          <w:sz w:val="20"/>
          <w:szCs w:val="20"/>
          <w:lang w:val="en-US" w:eastAsia="en-US" w:bidi="ar-SA"/>
        </w:rPr>
        <w:t>在预计交工前</w:t>
      </w:r>
      <w:r>
        <w:rPr>
          <w:rFonts w:hint="eastAsia" w:ascii="宋体" w:hAnsi="宋体" w:eastAsia="宋体" w:cs="宋体"/>
          <w:snapToGrid w:val="0"/>
          <w:color w:val="000000"/>
          <w:spacing w:val="-50"/>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3 个月，将不再支付材料、设备预付</w:t>
      </w:r>
      <w:r>
        <w:rPr>
          <w:rFonts w:hint="eastAsia" w:ascii="宋体" w:hAnsi="宋体" w:eastAsia="宋体" w:cs="宋体"/>
          <w:snapToGrid w:val="0"/>
          <w:color w:val="000000"/>
          <w:spacing w:val="-3"/>
          <w:kern w:val="0"/>
          <w:sz w:val="20"/>
          <w:szCs w:val="20"/>
          <w:lang w:val="en-US" w:eastAsia="en-US" w:bidi="ar-SA"/>
        </w:rPr>
        <w:t>款。</w:t>
      </w:r>
    </w:p>
    <w:p w14:paraId="77B1D68C">
      <w:pPr>
        <w:spacing w:before="1" w:line="240" w:lineRule="auto"/>
        <w:ind w:left="536"/>
        <w:rPr>
          <w:rFonts w:hint="eastAsia" w:ascii="宋体" w:hAnsi="宋体" w:eastAsia="宋体" w:cs="宋体"/>
          <w:sz w:val="20"/>
          <w:szCs w:val="20"/>
        </w:rPr>
      </w:pPr>
      <w:r>
        <w:rPr>
          <w:rFonts w:hint="eastAsia" w:ascii="宋体" w:hAnsi="宋体" w:eastAsia="宋体" w:cs="宋体"/>
          <w:spacing w:val="-2"/>
          <w:sz w:val="20"/>
          <w:szCs w:val="20"/>
        </w:rPr>
        <w:t>17.2.2  预付款保函</w:t>
      </w:r>
    </w:p>
    <w:p w14:paraId="4BD0DE45">
      <w:pPr>
        <w:kinsoku w:val="0"/>
        <w:autoSpaceDE w:val="0"/>
        <w:autoSpaceDN w:val="0"/>
        <w:adjustRightInd w:val="0"/>
        <w:snapToGrid w:val="0"/>
        <w:spacing w:before="9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本项细化为：</w:t>
      </w:r>
    </w:p>
    <w:p w14:paraId="29A6E242">
      <w:pPr>
        <w:kinsoku w:val="0"/>
        <w:autoSpaceDE w:val="0"/>
        <w:autoSpaceDN w:val="0"/>
        <w:adjustRightInd w:val="0"/>
        <w:snapToGrid w:val="0"/>
        <w:spacing w:before="114" w:line="240" w:lineRule="auto"/>
        <w:ind w:left="38" w:firstLine="47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承包人无须向发包人提交预付款保函。发包人向承</w:t>
      </w:r>
      <w:r>
        <w:rPr>
          <w:rFonts w:hint="eastAsia" w:ascii="宋体" w:hAnsi="宋体" w:eastAsia="宋体" w:cs="宋体"/>
          <w:snapToGrid w:val="0"/>
          <w:color w:val="000000"/>
          <w:kern w:val="0"/>
          <w:sz w:val="20"/>
          <w:szCs w:val="20"/>
          <w:lang w:val="en-US" w:eastAsia="en-US" w:bidi="ar-SA"/>
        </w:rPr>
        <w:t>包人支付的预付款，应按照</w:t>
      </w:r>
      <w:r>
        <w:rPr>
          <w:rFonts w:hint="eastAsia" w:ascii="宋体" w:hAnsi="宋体" w:eastAsia="宋体" w:cs="宋体"/>
          <w:snapToGrid w:val="0"/>
          <w:color w:val="000000"/>
          <w:spacing w:val="-2"/>
          <w:kern w:val="0"/>
          <w:sz w:val="20"/>
          <w:szCs w:val="20"/>
          <w:lang w:val="en-US" w:eastAsia="en-US" w:bidi="ar-SA"/>
        </w:rPr>
        <w:t>本合同第 17.2.1</w:t>
      </w:r>
      <w:r>
        <w:rPr>
          <w:rFonts w:hint="eastAsia" w:ascii="宋体" w:hAnsi="宋体" w:eastAsia="宋体" w:cs="宋体"/>
          <w:snapToGrid w:val="0"/>
          <w:color w:val="000000"/>
          <w:spacing w:val="47"/>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项规定使用，承包人提交的履约保证金对预付款的正常使用承担保</w:t>
      </w:r>
      <w:r>
        <w:rPr>
          <w:rFonts w:hint="eastAsia" w:ascii="宋体" w:hAnsi="宋体" w:eastAsia="宋体" w:cs="宋体"/>
          <w:snapToGrid w:val="0"/>
          <w:color w:val="000000"/>
          <w:spacing w:val="-3"/>
          <w:kern w:val="0"/>
          <w:sz w:val="20"/>
          <w:szCs w:val="20"/>
          <w:lang w:val="en-US" w:eastAsia="en-US" w:bidi="ar-SA"/>
        </w:rPr>
        <w:t>证责任。</w:t>
      </w:r>
    </w:p>
    <w:p w14:paraId="48059F6A">
      <w:pPr>
        <w:spacing w:before="6" w:line="240" w:lineRule="auto"/>
        <w:ind w:left="476"/>
        <w:outlineLvl w:val="2"/>
        <w:rPr>
          <w:rFonts w:hint="eastAsia" w:ascii="宋体" w:hAnsi="宋体" w:eastAsia="宋体" w:cs="宋体"/>
          <w:sz w:val="20"/>
          <w:szCs w:val="20"/>
        </w:rPr>
      </w:pPr>
      <w:r>
        <w:rPr>
          <w:rFonts w:hint="eastAsia" w:ascii="宋体" w:hAnsi="宋体" w:eastAsia="宋体" w:cs="宋体"/>
          <w:spacing w:val="-2"/>
          <w:sz w:val="20"/>
          <w:szCs w:val="20"/>
        </w:rPr>
        <w:t>17.2.3  预付款的扣回与还清</w:t>
      </w:r>
    </w:p>
    <w:p w14:paraId="4752A150">
      <w:pPr>
        <w:kinsoku w:val="0"/>
        <w:autoSpaceDE w:val="0"/>
        <w:autoSpaceDN w:val="0"/>
        <w:adjustRightInd w:val="0"/>
        <w:snapToGrid w:val="0"/>
        <w:spacing w:before="98" w:line="240" w:lineRule="auto"/>
        <w:ind w:left="45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本项约定为：</w:t>
      </w:r>
    </w:p>
    <w:p w14:paraId="1AE2AF41">
      <w:pPr>
        <w:kinsoku w:val="0"/>
        <w:autoSpaceDE w:val="0"/>
        <w:autoSpaceDN w:val="0"/>
        <w:adjustRightInd w:val="0"/>
        <w:snapToGrid w:val="0"/>
        <w:spacing w:before="116" w:line="240" w:lineRule="auto"/>
        <w:ind w:left="37" w:firstLine="42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（1）开工预付款在进度付款证书的累计金额未达到签约合同价的30%之前</w:t>
      </w:r>
      <w:r>
        <w:rPr>
          <w:rFonts w:hint="eastAsia" w:ascii="宋体" w:hAnsi="宋体" w:eastAsia="宋体" w:cs="宋体"/>
          <w:snapToGrid w:val="0"/>
          <w:color w:val="000000"/>
          <w:spacing w:val="-1"/>
          <w:kern w:val="0"/>
          <w:sz w:val="20"/>
          <w:szCs w:val="20"/>
          <w:lang w:val="en-US" w:eastAsia="en-US" w:bidi="ar-SA"/>
        </w:rPr>
        <w:t>不予</w:t>
      </w:r>
      <w:r>
        <w:rPr>
          <w:rFonts w:hint="eastAsia" w:ascii="宋体" w:hAnsi="宋体" w:eastAsia="宋体" w:cs="宋体"/>
          <w:snapToGrid w:val="0"/>
          <w:color w:val="000000"/>
          <w:kern w:val="0"/>
          <w:sz w:val="20"/>
          <w:szCs w:val="20"/>
          <w:lang w:val="en-US" w:eastAsia="en-US" w:bidi="ar-SA"/>
        </w:rPr>
        <w:t>扣回，在达到签约合同价</w:t>
      </w:r>
      <w:r>
        <w:rPr>
          <w:rFonts w:hint="eastAsia" w:ascii="宋体" w:hAnsi="宋体" w:eastAsia="宋体" w:cs="宋体"/>
          <w:snapToGrid w:val="0"/>
          <w:color w:val="000000"/>
          <w:spacing w:val="-35"/>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t>30%之后，开始按</w:t>
      </w:r>
      <w:r>
        <w:rPr>
          <w:rFonts w:hint="eastAsia" w:ascii="宋体" w:hAnsi="宋体" w:eastAsia="宋体" w:cs="宋体"/>
          <w:snapToGrid w:val="0"/>
          <w:color w:val="000000"/>
          <w:spacing w:val="-1"/>
          <w:kern w:val="0"/>
          <w:sz w:val="20"/>
          <w:szCs w:val="20"/>
          <w:lang w:val="en-US" w:eastAsia="en-US" w:bidi="ar-SA"/>
        </w:rPr>
        <w:t>工程进度以固定比例（即每完成签约合同价的</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1%，扣回开工预付款的</w:t>
      </w:r>
      <w:r>
        <w:rPr>
          <w:rFonts w:hint="eastAsia" w:ascii="宋体" w:hAnsi="宋体" w:eastAsia="宋体" w:cs="宋体"/>
          <w:snapToGrid w:val="0"/>
          <w:color w:val="000000"/>
          <w:spacing w:val="-54"/>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2%）分期从各月的进度付款</w:t>
      </w:r>
      <w:r>
        <w:rPr>
          <w:rFonts w:hint="eastAsia" w:ascii="宋体" w:hAnsi="宋体" w:eastAsia="宋体" w:cs="宋体"/>
          <w:snapToGrid w:val="0"/>
          <w:color w:val="000000"/>
          <w:spacing w:val="-2"/>
          <w:kern w:val="0"/>
          <w:sz w:val="20"/>
          <w:szCs w:val="20"/>
          <w:lang w:val="en-US" w:eastAsia="en-US" w:bidi="ar-SA"/>
        </w:rPr>
        <w:t>证书中扣回，全部金额在进度付款证书的累计金额达到签约合同价的</w:t>
      </w:r>
      <w:r>
        <w:rPr>
          <w:rFonts w:hint="eastAsia" w:ascii="宋体" w:hAnsi="宋体" w:eastAsia="宋体" w:cs="宋体"/>
          <w:snapToGrid w:val="0"/>
          <w:color w:val="000000"/>
          <w:spacing w:val="-42"/>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80%时扣完。</w:t>
      </w:r>
    </w:p>
    <w:p w14:paraId="737494E2">
      <w:pPr>
        <w:kinsoku w:val="0"/>
        <w:autoSpaceDE w:val="0"/>
        <w:autoSpaceDN w:val="0"/>
        <w:adjustRightInd w:val="0"/>
        <w:snapToGrid w:val="0"/>
        <w:spacing w:before="95" w:line="240" w:lineRule="auto"/>
        <w:ind w:left="37" w:right="1" w:firstLine="427"/>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（2）当材料、设备已用于或安装在永久工程之中时，材料、设</w:t>
      </w:r>
      <w:r>
        <w:rPr>
          <w:rFonts w:hint="eastAsia" w:ascii="宋体" w:hAnsi="宋体" w:eastAsia="宋体" w:cs="宋体"/>
          <w:snapToGrid w:val="0"/>
          <w:color w:val="000000"/>
          <w:spacing w:val="-2"/>
          <w:kern w:val="0"/>
          <w:sz w:val="20"/>
          <w:szCs w:val="20"/>
          <w:lang w:val="en-US" w:eastAsia="en-US" w:bidi="ar-SA"/>
        </w:rPr>
        <w:t>备预付款应从进</w:t>
      </w:r>
      <w:r>
        <w:rPr>
          <w:rFonts w:hint="eastAsia" w:ascii="宋体" w:hAnsi="宋体" w:eastAsia="宋体" w:cs="宋体"/>
          <w:snapToGrid w:val="0"/>
          <w:color w:val="000000"/>
          <w:spacing w:val="-1"/>
          <w:kern w:val="0"/>
          <w:sz w:val="20"/>
          <w:szCs w:val="20"/>
          <w:lang w:val="en-US" w:eastAsia="en-US" w:bidi="ar-SA"/>
        </w:rPr>
        <w:t>度付款证书中扣回，扣回期不超过</w:t>
      </w:r>
      <w:r>
        <w:rPr>
          <w:rFonts w:hint="eastAsia" w:ascii="宋体" w:hAnsi="宋体" w:eastAsia="宋体" w:cs="宋体"/>
          <w:snapToGrid w:val="0"/>
          <w:color w:val="000000"/>
          <w:spacing w:val="-24"/>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3</w:t>
      </w:r>
      <w:r>
        <w:rPr>
          <w:rFonts w:hint="eastAsia" w:ascii="宋体" w:hAnsi="宋体" w:eastAsia="宋体" w:cs="宋体"/>
          <w:snapToGrid w:val="0"/>
          <w:color w:val="000000"/>
          <w:spacing w:val="26"/>
          <w:w w:val="10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个月。已经支付材料、设备预付款的材料、设</w:t>
      </w:r>
      <w:bookmarkStart w:id="28" w:name="bookmark53"/>
      <w:bookmarkEnd w:id="28"/>
      <w:r>
        <w:rPr>
          <w:rFonts w:hint="eastAsia" w:ascii="宋体" w:hAnsi="宋体" w:eastAsia="宋体" w:cs="宋体"/>
          <w:snapToGrid w:val="0"/>
          <w:color w:val="000000"/>
          <w:spacing w:val="-1"/>
          <w:kern w:val="0"/>
          <w:sz w:val="20"/>
          <w:szCs w:val="20"/>
          <w:lang w:val="en-US" w:eastAsia="en-US" w:bidi="ar-SA"/>
        </w:rPr>
        <w:t>备的所有权应属于发包人。</w:t>
      </w:r>
    </w:p>
    <w:p w14:paraId="14545373">
      <w:pPr>
        <w:spacing w:before="79" w:line="240" w:lineRule="auto"/>
        <w:ind w:left="56"/>
        <w:outlineLvl w:val="1"/>
        <w:rPr>
          <w:rFonts w:hint="eastAsia" w:ascii="宋体" w:hAnsi="宋体" w:eastAsia="宋体" w:cs="宋体"/>
          <w:sz w:val="20"/>
          <w:szCs w:val="20"/>
        </w:rPr>
      </w:pPr>
      <w:r>
        <w:rPr>
          <w:rFonts w:hint="eastAsia" w:ascii="宋体" w:hAnsi="宋体" w:eastAsia="宋体" w:cs="宋体"/>
          <w:spacing w:val="-3"/>
          <w:sz w:val="20"/>
          <w:szCs w:val="20"/>
        </w:rPr>
        <w:t>17.3  工程进度付款</w:t>
      </w:r>
    </w:p>
    <w:p w14:paraId="02FEBBBF">
      <w:pPr>
        <w:spacing w:before="78" w:line="240" w:lineRule="auto"/>
        <w:ind w:left="527"/>
        <w:outlineLvl w:val="2"/>
        <w:rPr>
          <w:rFonts w:hint="eastAsia" w:ascii="宋体" w:hAnsi="宋体" w:eastAsia="宋体" w:cs="宋体"/>
          <w:sz w:val="20"/>
          <w:szCs w:val="20"/>
        </w:rPr>
      </w:pPr>
      <w:r>
        <w:rPr>
          <w:rFonts w:hint="eastAsia" w:ascii="宋体" w:hAnsi="宋体" w:eastAsia="宋体" w:cs="宋体"/>
          <w:spacing w:val="-2"/>
          <w:sz w:val="20"/>
          <w:szCs w:val="20"/>
        </w:rPr>
        <w:t>17.3.3  进度付款证书和支付时间</w:t>
      </w:r>
    </w:p>
    <w:p w14:paraId="1A837840">
      <w:pPr>
        <w:kinsoku w:val="0"/>
        <w:autoSpaceDE w:val="0"/>
        <w:autoSpaceDN w:val="0"/>
        <w:adjustRightInd w:val="0"/>
        <w:snapToGrid w:val="0"/>
        <w:spacing w:before="96"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本项（1）</w:t>
      </w:r>
      <w:r>
        <w:rPr>
          <w:rFonts w:hint="eastAsia" w:ascii="宋体" w:hAnsi="宋体" w:eastAsia="宋体" w:cs="宋体"/>
          <w:snapToGrid w:val="0"/>
          <w:color w:val="000000"/>
          <w:spacing w:val="-60"/>
          <w:kern w:val="0"/>
          <w:sz w:val="20"/>
          <w:szCs w:val="20"/>
          <w:lang w:val="en-US" w:eastAsia="en-US" w:bidi="ar-SA"/>
        </w:rPr>
        <w:t xml:space="preserve"> </w:t>
      </w:r>
      <w:r>
        <w:rPr>
          <w:rFonts w:hint="eastAsia" w:ascii="宋体" w:hAnsi="宋体" w:eastAsia="宋体" w:cs="宋体"/>
          <w:snapToGrid w:val="0"/>
          <w:color w:val="000000"/>
          <w:spacing w:val="-11"/>
          <w:kern w:val="0"/>
          <w:sz w:val="20"/>
          <w:szCs w:val="20"/>
          <w:lang w:val="en-US" w:eastAsia="en-US" w:bidi="ar-SA"/>
        </w:rPr>
        <w:t>目补充：</w:t>
      </w:r>
    </w:p>
    <w:p w14:paraId="1C69343B">
      <w:pPr>
        <w:kinsoku w:val="0"/>
        <w:autoSpaceDE w:val="0"/>
        <w:autoSpaceDN w:val="0"/>
        <w:adjustRightInd w:val="0"/>
        <w:snapToGrid w:val="0"/>
        <w:spacing w:before="98" w:line="240" w:lineRule="auto"/>
        <w:ind w:left="37" w:right="4" w:firstLine="48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如果该付款周期应结算的价款经扣留和扣回后的款额少于项目专用合同条款数据表中列明的进度付款证书的最低金额，则该付款周期监理人可不核证支付，上述</w:t>
      </w:r>
      <w:r>
        <w:rPr>
          <w:rFonts w:hint="eastAsia" w:ascii="宋体" w:hAnsi="宋体" w:eastAsia="宋体" w:cs="宋体"/>
          <w:snapToGrid w:val="0"/>
          <w:color w:val="000000"/>
          <w:spacing w:val="1"/>
          <w:kern w:val="0"/>
          <w:sz w:val="20"/>
          <w:szCs w:val="20"/>
          <w:lang w:val="en-US" w:eastAsia="en-US" w:bidi="ar-SA"/>
        </w:rPr>
        <w:t>款额将按付款周期结转，直至累计应支付的款额达到</w:t>
      </w:r>
      <w:r>
        <w:rPr>
          <w:rFonts w:hint="eastAsia" w:ascii="宋体" w:hAnsi="宋体" w:eastAsia="宋体" w:cs="宋体"/>
          <w:snapToGrid w:val="0"/>
          <w:color w:val="000000"/>
          <w:kern w:val="0"/>
          <w:sz w:val="20"/>
          <w:szCs w:val="20"/>
          <w:lang w:val="en-US" w:eastAsia="en-US" w:bidi="ar-SA"/>
        </w:rPr>
        <w:t>项目专用合同条款数据表中列</w:t>
      </w:r>
      <w:r>
        <w:rPr>
          <w:rFonts w:hint="eastAsia" w:ascii="宋体" w:hAnsi="宋体" w:eastAsia="宋体" w:cs="宋体"/>
          <w:snapToGrid w:val="0"/>
          <w:color w:val="000000"/>
          <w:spacing w:val="-3"/>
          <w:kern w:val="0"/>
          <w:sz w:val="20"/>
          <w:szCs w:val="20"/>
          <w:lang w:val="en-US" w:eastAsia="en-US" w:bidi="ar-SA"/>
        </w:rPr>
        <w:t>明的进度付款证书的最低金额为止。</w:t>
      </w:r>
    </w:p>
    <w:p w14:paraId="1D79B93A">
      <w:pPr>
        <w:kinsoku w:val="0"/>
        <w:autoSpaceDE w:val="0"/>
        <w:autoSpaceDN w:val="0"/>
        <w:adjustRightInd w:val="0"/>
        <w:snapToGrid w:val="0"/>
        <w:spacing w:before="1"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本项（2）</w:t>
      </w:r>
      <w:r>
        <w:rPr>
          <w:rFonts w:hint="eastAsia" w:ascii="宋体" w:hAnsi="宋体" w:eastAsia="宋体" w:cs="宋体"/>
          <w:snapToGrid w:val="0"/>
          <w:color w:val="000000"/>
          <w:spacing w:val="-59"/>
          <w:kern w:val="0"/>
          <w:sz w:val="20"/>
          <w:szCs w:val="20"/>
          <w:lang w:val="en-US" w:eastAsia="en-US" w:bidi="ar-SA"/>
        </w:rPr>
        <w:t xml:space="preserve"> </w:t>
      </w:r>
      <w:r>
        <w:rPr>
          <w:rFonts w:hint="eastAsia" w:ascii="宋体" w:hAnsi="宋体" w:eastAsia="宋体" w:cs="宋体"/>
          <w:snapToGrid w:val="0"/>
          <w:color w:val="000000"/>
          <w:spacing w:val="-10"/>
          <w:kern w:val="0"/>
          <w:sz w:val="20"/>
          <w:szCs w:val="20"/>
          <w:lang w:val="en-US" w:eastAsia="en-US" w:bidi="ar-SA"/>
        </w:rPr>
        <w:t>目细化为：</w:t>
      </w:r>
    </w:p>
    <w:p w14:paraId="5A5EE287">
      <w:pPr>
        <w:kinsoku w:val="0"/>
        <w:autoSpaceDE w:val="0"/>
        <w:autoSpaceDN w:val="0"/>
        <w:adjustRightInd w:val="0"/>
        <w:snapToGrid w:val="0"/>
        <w:spacing w:before="96" w:line="240" w:lineRule="auto"/>
        <w:ind w:left="40" w:right="5" w:firstLine="48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发包人应在监理人收到进度付款申请单且承包人提交了合格的增值税专用发票后的28 天内，将进度应付款支付给承包人。</w:t>
      </w:r>
    </w:p>
    <w:p w14:paraId="5047304D">
      <w:pPr>
        <w:kinsoku w:val="0"/>
        <w:autoSpaceDE w:val="0"/>
        <w:autoSpaceDN w:val="0"/>
        <w:adjustRightInd w:val="0"/>
        <w:snapToGrid w:val="0"/>
        <w:spacing w:before="1" w:line="240" w:lineRule="auto"/>
        <w:ind w:right="4" w:firstLine="400" w:firstLineChars="2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发包人不按期支付的，按项目专用合同条款数据表中约定的利率向承包人支付</w:t>
      </w:r>
      <w:r>
        <w:rPr>
          <w:rFonts w:hint="eastAsia" w:ascii="宋体" w:hAnsi="宋体" w:eastAsia="宋体" w:cs="宋体"/>
          <w:snapToGrid w:val="0"/>
          <w:color w:val="000000"/>
          <w:spacing w:val="1"/>
          <w:kern w:val="0"/>
          <w:sz w:val="20"/>
          <w:szCs w:val="20"/>
          <w:lang w:val="en-US" w:eastAsia="en-US" w:bidi="ar-SA"/>
        </w:rPr>
        <w:t>逾期付款违约金。违约金计算基数为发包人的全部</w:t>
      </w:r>
      <w:r>
        <w:rPr>
          <w:rFonts w:hint="eastAsia" w:ascii="宋体" w:hAnsi="宋体" w:eastAsia="宋体" w:cs="宋体"/>
          <w:snapToGrid w:val="0"/>
          <w:color w:val="000000"/>
          <w:kern w:val="0"/>
          <w:sz w:val="20"/>
          <w:szCs w:val="20"/>
          <w:lang w:val="en-US" w:eastAsia="en-US" w:bidi="ar-SA"/>
        </w:rPr>
        <w:t>未付款额，时间从应付而未付该</w:t>
      </w:r>
      <w:r>
        <w:rPr>
          <w:rFonts w:hint="eastAsia" w:ascii="宋体" w:hAnsi="宋体" w:eastAsia="宋体" w:cs="宋体"/>
          <w:snapToGrid w:val="0"/>
          <w:color w:val="000000"/>
          <w:spacing w:val="-8"/>
          <w:kern w:val="0"/>
          <w:sz w:val="20"/>
          <w:szCs w:val="20"/>
          <w:lang w:val="en-US" w:eastAsia="en-US" w:bidi="ar-SA"/>
        </w:rPr>
        <w:t>款额之日算起（不计复利）。</w:t>
      </w:r>
    </w:p>
    <w:p w14:paraId="5B623ABA">
      <w:pPr>
        <w:kinsoku w:val="0"/>
        <w:autoSpaceDE w:val="0"/>
        <w:autoSpaceDN w:val="0"/>
        <w:adjustRightInd w:val="0"/>
        <w:snapToGrid w:val="0"/>
        <w:spacing w:before="1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本款补充第</w:t>
      </w:r>
      <w:r>
        <w:rPr>
          <w:rFonts w:hint="eastAsia" w:ascii="宋体" w:hAnsi="宋体" w:eastAsia="宋体" w:cs="宋体"/>
          <w:snapToGrid w:val="0"/>
          <w:color w:val="000000"/>
          <w:spacing w:val="-28"/>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17.3.5</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项：</w:t>
      </w:r>
    </w:p>
    <w:p w14:paraId="39A657A5">
      <w:pPr>
        <w:spacing w:before="117" w:line="240" w:lineRule="auto"/>
        <w:ind w:left="527"/>
        <w:outlineLvl w:val="2"/>
        <w:rPr>
          <w:rFonts w:hint="eastAsia" w:ascii="宋体" w:hAnsi="宋体" w:eastAsia="宋体" w:cs="宋体"/>
          <w:sz w:val="20"/>
          <w:szCs w:val="20"/>
        </w:rPr>
      </w:pPr>
      <w:r>
        <w:rPr>
          <w:rFonts w:hint="eastAsia" w:ascii="宋体" w:hAnsi="宋体" w:eastAsia="宋体" w:cs="宋体"/>
          <w:spacing w:val="-2"/>
          <w:sz w:val="20"/>
          <w:szCs w:val="20"/>
        </w:rPr>
        <w:t>17.3.5  农民工工资保证金</w:t>
      </w:r>
    </w:p>
    <w:p w14:paraId="30A17113">
      <w:pPr>
        <w:kinsoku w:val="0"/>
        <w:autoSpaceDE w:val="0"/>
        <w:autoSpaceDN w:val="0"/>
        <w:adjustRightInd w:val="0"/>
        <w:snapToGrid w:val="0"/>
        <w:spacing w:before="118" w:line="240" w:lineRule="auto"/>
        <w:ind w:left="40" w:right="50" w:firstLine="48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（1）为确保施工过程中农民工工资实时、足额发放到位， 承包</w:t>
      </w:r>
      <w:r>
        <w:rPr>
          <w:rFonts w:hint="eastAsia" w:ascii="宋体" w:hAnsi="宋体" w:eastAsia="宋体" w:cs="宋体"/>
          <w:snapToGrid w:val="0"/>
          <w:color w:val="000000"/>
          <w:spacing w:val="-7"/>
          <w:kern w:val="0"/>
          <w:sz w:val="20"/>
          <w:szCs w:val="20"/>
          <w:lang w:val="en-US" w:eastAsia="en-US" w:bidi="ar-SA"/>
        </w:rPr>
        <w:t>人应按照项目专</w:t>
      </w:r>
      <w:r>
        <w:rPr>
          <w:rFonts w:hint="eastAsia" w:ascii="宋体" w:hAnsi="宋体" w:eastAsia="宋体" w:cs="宋体"/>
          <w:snapToGrid w:val="0"/>
          <w:color w:val="000000"/>
          <w:spacing w:val="-2"/>
          <w:kern w:val="0"/>
          <w:sz w:val="20"/>
          <w:szCs w:val="20"/>
          <w:lang w:val="en-US" w:eastAsia="en-US" w:bidi="ar-SA"/>
        </w:rPr>
        <w:t>用合同条款约定的时间和金额缴存农民工工资保证金。</w:t>
      </w:r>
    </w:p>
    <w:p w14:paraId="63975CF4">
      <w:pPr>
        <w:kinsoku w:val="0"/>
        <w:autoSpaceDE w:val="0"/>
        <w:autoSpaceDN w:val="0"/>
        <w:adjustRightInd w:val="0"/>
        <w:snapToGrid w:val="0"/>
        <w:spacing w:before="133" w:line="240" w:lineRule="auto"/>
        <w:ind w:left="38" w:right="18"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（2）农民工工资保证金可采用银行保函或现金、支票形式。采用银行保函时，</w:t>
      </w:r>
      <w:r>
        <w:rPr>
          <w:rFonts w:hint="eastAsia" w:ascii="宋体" w:hAnsi="宋体" w:eastAsia="宋体" w:cs="宋体"/>
          <w:snapToGrid w:val="0"/>
          <w:color w:val="000000"/>
          <w:spacing w:val="1"/>
          <w:kern w:val="0"/>
          <w:sz w:val="20"/>
          <w:szCs w:val="20"/>
          <w:lang w:val="en-US" w:eastAsia="en-US" w:bidi="ar-SA"/>
        </w:rPr>
        <w:t>出具保函的银行须具有相应担保能力，且按照发包</w:t>
      </w:r>
      <w:r>
        <w:rPr>
          <w:rFonts w:hint="eastAsia" w:ascii="宋体" w:hAnsi="宋体" w:eastAsia="宋体" w:cs="宋体"/>
          <w:snapToGrid w:val="0"/>
          <w:color w:val="000000"/>
          <w:kern w:val="0"/>
          <w:sz w:val="20"/>
          <w:szCs w:val="20"/>
          <w:lang w:val="en-US" w:eastAsia="en-US" w:bidi="ar-SA"/>
        </w:rPr>
        <w:t>人批准的格式出具，所需费用由</w:t>
      </w:r>
      <w:r>
        <w:rPr>
          <w:rFonts w:hint="eastAsia" w:ascii="宋体" w:hAnsi="宋体" w:eastAsia="宋体" w:cs="宋体"/>
          <w:snapToGrid w:val="0"/>
          <w:color w:val="000000"/>
          <w:spacing w:val="-7"/>
          <w:kern w:val="0"/>
          <w:sz w:val="20"/>
          <w:szCs w:val="20"/>
          <w:lang w:val="en-US" w:eastAsia="en-US" w:bidi="ar-SA"/>
        </w:rPr>
        <w:t>承包人承担。</w:t>
      </w:r>
    </w:p>
    <w:p w14:paraId="2931FE74">
      <w:pPr>
        <w:kinsoku w:val="0"/>
        <w:autoSpaceDE w:val="0"/>
        <w:autoSpaceDN w:val="0"/>
        <w:adjustRightInd w:val="0"/>
        <w:snapToGrid w:val="0"/>
        <w:spacing w:before="133" w:line="240" w:lineRule="auto"/>
        <w:ind w:left="41" w:right="50" w:firstLine="48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（3）农民工工资保证金的扣留条件、返还时间按照项目专用合同条款的约定执</w:t>
      </w:r>
      <w:bookmarkStart w:id="29" w:name="bookmark54"/>
      <w:bookmarkEnd w:id="29"/>
      <w:r>
        <w:rPr>
          <w:rFonts w:hint="eastAsia" w:ascii="宋体" w:hAnsi="宋体" w:eastAsia="宋体" w:cs="宋体"/>
          <w:snapToGrid w:val="0"/>
          <w:color w:val="000000"/>
          <w:spacing w:val="-12"/>
          <w:kern w:val="0"/>
          <w:sz w:val="20"/>
          <w:szCs w:val="20"/>
          <w:lang w:val="en-US" w:eastAsia="en-US" w:bidi="ar-SA"/>
        </w:rPr>
        <w:t>行。</w:t>
      </w:r>
    </w:p>
    <w:p w14:paraId="3C4F0056">
      <w:pPr>
        <w:spacing w:line="240" w:lineRule="auto"/>
        <w:rPr>
          <w:rFonts w:hint="eastAsia" w:ascii="宋体" w:hAnsi="宋体" w:eastAsia="宋体" w:cs="宋体"/>
          <w:sz w:val="20"/>
          <w:szCs w:val="20"/>
        </w:rPr>
      </w:pPr>
    </w:p>
    <w:p w14:paraId="6BABB520">
      <w:pPr>
        <w:spacing w:before="79" w:line="240" w:lineRule="auto"/>
        <w:ind w:left="56"/>
        <w:rPr>
          <w:rFonts w:hint="eastAsia" w:ascii="宋体" w:hAnsi="宋体" w:eastAsia="宋体" w:cs="宋体"/>
          <w:sz w:val="20"/>
          <w:szCs w:val="20"/>
        </w:rPr>
      </w:pPr>
      <w:r>
        <w:rPr>
          <w:rFonts w:hint="eastAsia" w:ascii="宋体" w:hAnsi="宋体" w:eastAsia="宋体" w:cs="宋体"/>
          <w:spacing w:val="-3"/>
          <w:sz w:val="20"/>
          <w:szCs w:val="20"/>
        </w:rPr>
        <w:t>17.4  质量保证金</w:t>
      </w:r>
    </w:p>
    <w:p w14:paraId="081C005C">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第</w:t>
      </w:r>
      <w:r>
        <w:rPr>
          <w:rFonts w:hint="eastAsia" w:ascii="宋体" w:hAnsi="宋体" w:eastAsia="宋体" w:cs="宋体"/>
          <w:snapToGrid w:val="0"/>
          <w:color w:val="000000"/>
          <w:spacing w:val="-20"/>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17.4.1</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项、第</w:t>
      </w:r>
      <w:r>
        <w:rPr>
          <w:rFonts w:hint="eastAsia" w:ascii="宋体" w:hAnsi="宋体" w:eastAsia="宋体" w:cs="宋体"/>
          <w:snapToGrid w:val="0"/>
          <w:color w:val="000000"/>
          <w:spacing w:val="-31"/>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17.4.2</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项细化为：</w:t>
      </w:r>
    </w:p>
    <w:p w14:paraId="2771713B">
      <w:pPr>
        <w:kinsoku w:val="0"/>
        <w:autoSpaceDE w:val="0"/>
        <w:autoSpaceDN w:val="0"/>
        <w:adjustRightInd w:val="0"/>
        <w:snapToGrid w:val="0"/>
        <w:spacing w:before="97" w:line="240" w:lineRule="auto"/>
        <w:ind w:left="39" w:right="50" w:firstLine="497"/>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17.4.1  交工验收证书签发后</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14</w:t>
      </w:r>
      <w:r>
        <w:rPr>
          <w:rFonts w:hint="eastAsia" w:ascii="宋体" w:hAnsi="宋体" w:eastAsia="宋体" w:cs="宋体"/>
          <w:snapToGrid w:val="0"/>
          <w:color w:val="000000"/>
          <w:spacing w:val="15"/>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天内，承包人应向发包人缴纳质量保证金。质量</w:t>
      </w:r>
      <w:r>
        <w:rPr>
          <w:rFonts w:hint="eastAsia" w:ascii="宋体" w:hAnsi="宋体" w:eastAsia="宋体" w:cs="宋体"/>
          <w:snapToGrid w:val="0"/>
          <w:color w:val="000000"/>
          <w:spacing w:val="1"/>
          <w:kern w:val="0"/>
          <w:sz w:val="20"/>
          <w:szCs w:val="20"/>
          <w:lang w:val="en-US" w:eastAsia="en-US" w:bidi="ar-SA"/>
        </w:rPr>
        <w:t>保证金可采用银行保函或现金、支票形式，金额</w:t>
      </w:r>
      <w:r>
        <w:rPr>
          <w:rFonts w:hint="eastAsia" w:ascii="宋体" w:hAnsi="宋体" w:eastAsia="宋体" w:cs="宋体"/>
          <w:snapToGrid w:val="0"/>
          <w:color w:val="000000"/>
          <w:kern w:val="0"/>
          <w:sz w:val="20"/>
          <w:szCs w:val="20"/>
          <w:lang w:val="en-US" w:eastAsia="en-US" w:bidi="ar-SA"/>
        </w:rPr>
        <w:t>应符合项目专用合同条款数据表的</w:t>
      </w:r>
      <w:r>
        <w:rPr>
          <w:rFonts w:hint="eastAsia" w:ascii="宋体" w:hAnsi="宋体" w:eastAsia="宋体" w:cs="宋体"/>
          <w:snapToGrid w:val="0"/>
          <w:color w:val="000000"/>
          <w:spacing w:val="1"/>
          <w:kern w:val="0"/>
          <w:sz w:val="20"/>
          <w:szCs w:val="20"/>
          <w:lang w:val="en-US" w:eastAsia="en-US" w:bidi="ar-SA"/>
        </w:rPr>
        <w:t>规定。采用银行保函时，出具保函的银行须具</w:t>
      </w:r>
      <w:r>
        <w:rPr>
          <w:rFonts w:hint="eastAsia" w:ascii="宋体" w:hAnsi="宋体" w:eastAsia="宋体" w:cs="宋体"/>
          <w:snapToGrid w:val="0"/>
          <w:color w:val="000000"/>
          <w:kern w:val="0"/>
          <w:sz w:val="20"/>
          <w:szCs w:val="20"/>
          <w:lang w:val="en-US" w:eastAsia="en-US" w:bidi="ar-SA"/>
        </w:rPr>
        <w:t>有相应担保能力，且按照发包人批准</w:t>
      </w:r>
      <w:r>
        <w:rPr>
          <w:rFonts w:hint="eastAsia" w:ascii="宋体" w:hAnsi="宋体" w:eastAsia="宋体" w:cs="宋体"/>
          <w:snapToGrid w:val="0"/>
          <w:color w:val="000000"/>
          <w:spacing w:val="-3"/>
          <w:kern w:val="0"/>
          <w:sz w:val="20"/>
          <w:szCs w:val="20"/>
          <w:lang w:val="en-US" w:eastAsia="en-US" w:bidi="ar-SA"/>
        </w:rPr>
        <w:t>的格式出具，所需费用由承包人承担。</w:t>
      </w:r>
    </w:p>
    <w:p w14:paraId="11662D3C">
      <w:pPr>
        <w:kinsoku w:val="0"/>
        <w:autoSpaceDE w:val="0"/>
        <w:autoSpaceDN w:val="0"/>
        <w:adjustRightInd w:val="0"/>
        <w:snapToGrid w:val="0"/>
        <w:spacing w:before="1" w:line="240" w:lineRule="auto"/>
        <w:ind w:left="60" w:right="57" w:firstLine="45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质量保证金采用现金、支票形式提交的，发包人应在项目专用合同条款数据表</w:t>
      </w:r>
      <w:r>
        <w:rPr>
          <w:rFonts w:hint="eastAsia" w:ascii="宋体" w:hAnsi="宋体" w:eastAsia="宋体" w:cs="宋体"/>
          <w:snapToGrid w:val="0"/>
          <w:color w:val="000000"/>
          <w:spacing w:val="-4"/>
          <w:kern w:val="0"/>
          <w:sz w:val="20"/>
          <w:szCs w:val="20"/>
          <w:lang w:val="en-US" w:eastAsia="en-US" w:bidi="ar-SA"/>
        </w:rPr>
        <w:t>中明确是否计付利息以及利息的计算方式。</w:t>
      </w:r>
    </w:p>
    <w:p w14:paraId="4BCA17C6">
      <w:pPr>
        <w:kinsoku w:val="0"/>
        <w:autoSpaceDE w:val="0"/>
        <w:autoSpaceDN w:val="0"/>
        <w:adjustRightInd w:val="0"/>
        <w:snapToGrid w:val="0"/>
        <w:spacing w:before="1" w:line="240" w:lineRule="auto"/>
        <w:ind w:left="38" w:firstLine="498"/>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17.4.2  在第</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kern w:val="0"/>
          <w:sz w:val="20"/>
          <w:szCs w:val="20"/>
          <w:lang w:val="en-US" w:eastAsia="en-US" w:bidi="ar-SA"/>
        </w:rPr>
        <w:fldChar w:fldCharType="begin"/>
      </w:r>
      <w:r>
        <w:rPr>
          <w:rFonts w:hint="eastAsia" w:ascii="宋体" w:hAnsi="宋体" w:eastAsia="宋体" w:cs="宋体"/>
          <w:snapToGrid w:val="0"/>
          <w:color w:val="000000"/>
          <w:kern w:val="0"/>
          <w:sz w:val="20"/>
          <w:szCs w:val="20"/>
          <w:lang w:val="en-US" w:eastAsia="en-US" w:bidi="ar-SA"/>
        </w:rPr>
        <w:instrText xml:space="preserve"> HYPERLINK "1.1.4.5" </w:instrText>
      </w:r>
      <w:r>
        <w:rPr>
          <w:rFonts w:hint="eastAsia" w:ascii="宋体" w:hAnsi="宋体" w:eastAsia="宋体" w:cs="宋体"/>
          <w:snapToGrid w:val="0"/>
          <w:color w:val="000000"/>
          <w:kern w:val="0"/>
          <w:sz w:val="20"/>
          <w:szCs w:val="20"/>
          <w:lang w:val="en-US" w:eastAsia="en-US" w:bidi="ar-SA"/>
        </w:rPr>
        <w:fldChar w:fldCharType="separate"/>
      </w:r>
      <w:r>
        <w:rPr>
          <w:rFonts w:hint="eastAsia" w:ascii="宋体" w:hAnsi="宋体" w:eastAsia="宋体" w:cs="宋体"/>
          <w:snapToGrid w:val="0"/>
          <w:color w:val="000000"/>
          <w:spacing w:val="-3"/>
          <w:kern w:val="0"/>
          <w:sz w:val="20"/>
          <w:szCs w:val="20"/>
          <w:lang w:val="en-US" w:eastAsia="en-US" w:bidi="ar-SA"/>
        </w:rPr>
        <w:t>1.1.4.5</w:t>
      </w:r>
      <w:r>
        <w:rPr>
          <w:rFonts w:hint="eastAsia" w:ascii="宋体" w:hAnsi="宋体" w:eastAsia="宋体" w:cs="宋体"/>
          <w:snapToGrid w:val="0"/>
          <w:color w:val="000000"/>
          <w:spacing w:val="-3"/>
          <w:kern w:val="0"/>
          <w:sz w:val="20"/>
          <w:szCs w:val="20"/>
          <w:lang w:val="en-US" w:eastAsia="en-US" w:bidi="ar-SA"/>
        </w:rPr>
        <w:fldChar w:fldCharType="end"/>
      </w:r>
      <w:r>
        <w:rPr>
          <w:rFonts w:hint="eastAsia" w:ascii="宋体" w:hAnsi="宋体" w:eastAsia="宋体" w:cs="宋体"/>
          <w:snapToGrid w:val="0"/>
          <w:color w:val="000000"/>
          <w:spacing w:val="-3"/>
          <w:kern w:val="0"/>
          <w:sz w:val="20"/>
          <w:szCs w:val="20"/>
          <w:lang w:val="en-US" w:eastAsia="en-US" w:bidi="ar-SA"/>
        </w:rPr>
        <w:t xml:space="preserve">  目约定的缺陷责任期满，且质量监督机构已按</w:t>
      </w:r>
      <w:r>
        <w:rPr>
          <w:rFonts w:hint="eastAsia" w:ascii="宋体" w:hAnsi="宋体" w:eastAsia="宋体" w:cs="宋体"/>
          <w:snapToGrid w:val="0"/>
          <w:color w:val="000000"/>
          <w:spacing w:val="-4"/>
          <w:kern w:val="0"/>
          <w:sz w:val="20"/>
          <w:szCs w:val="20"/>
          <w:lang w:val="en-US" w:eastAsia="en-US" w:bidi="ar-SA"/>
        </w:rPr>
        <w:t>规定对工程质</w:t>
      </w:r>
      <w:r>
        <w:rPr>
          <w:rFonts w:hint="eastAsia" w:ascii="宋体" w:hAnsi="宋体" w:eastAsia="宋体" w:cs="宋体"/>
          <w:snapToGrid w:val="0"/>
          <w:color w:val="000000"/>
          <w:kern w:val="0"/>
          <w:sz w:val="20"/>
          <w:szCs w:val="20"/>
          <w:lang w:val="en-US" w:eastAsia="en-US" w:bidi="ar-SA"/>
        </w:rPr>
        <w:t>量检测鉴定合格，承包人向发包人申请到期应返还承包人剩余的质量保证金金额，</w:t>
      </w:r>
      <w:r>
        <w:rPr>
          <w:rFonts w:hint="eastAsia" w:ascii="宋体" w:hAnsi="宋体" w:eastAsia="宋体" w:cs="宋体"/>
          <w:snapToGrid w:val="0"/>
          <w:color w:val="000000"/>
          <w:spacing w:val="-2"/>
          <w:kern w:val="0"/>
          <w:sz w:val="20"/>
          <w:szCs w:val="20"/>
          <w:lang w:val="en-US" w:eastAsia="en-US" w:bidi="ar-SA"/>
        </w:rPr>
        <w:t>发包人应在</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14 天内会同承包人按照合同约定的内容核实承包人是否完成缺陷责任。</w:t>
      </w:r>
      <w:bookmarkStart w:id="30" w:name="bookmark55"/>
      <w:bookmarkEnd w:id="30"/>
      <w:r>
        <w:rPr>
          <w:rFonts w:hint="eastAsia" w:ascii="宋体" w:hAnsi="宋体" w:eastAsia="宋体" w:cs="宋体"/>
          <w:snapToGrid w:val="0"/>
          <w:color w:val="000000"/>
          <w:spacing w:val="-2"/>
          <w:kern w:val="0"/>
          <w:sz w:val="20"/>
          <w:szCs w:val="20"/>
          <w:lang w:val="en-US" w:eastAsia="en-US" w:bidi="ar-SA"/>
        </w:rPr>
        <w:t>如无异议，发包人应当在核实后将剩余保证金返还承包人。</w:t>
      </w:r>
    </w:p>
    <w:p w14:paraId="0A89F8B8">
      <w:pPr>
        <w:spacing w:before="230" w:line="240" w:lineRule="auto"/>
        <w:ind w:left="56"/>
        <w:outlineLvl w:val="1"/>
        <w:rPr>
          <w:rFonts w:hint="eastAsia" w:ascii="宋体" w:hAnsi="宋体" w:eastAsia="宋体" w:cs="宋体"/>
          <w:sz w:val="20"/>
          <w:szCs w:val="20"/>
        </w:rPr>
      </w:pPr>
      <w:r>
        <w:rPr>
          <w:rFonts w:hint="eastAsia" w:ascii="宋体" w:hAnsi="宋体" w:eastAsia="宋体" w:cs="宋体"/>
          <w:spacing w:val="-6"/>
          <w:sz w:val="20"/>
          <w:szCs w:val="20"/>
        </w:rPr>
        <w:t>17.5</w:t>
      </w:r>
      <w:r>
        <w:rPr>
          <w:rFonts w:hint="eastAsia" w:ascii="宋体" w:hAnsi="宋体" w:eastAsia="宋体" w:cs="宋体"/>
          <w:spacing w:val="9"/>
          <w:sz w:val="20"/>
          <w:szCs w:val="20"/>
        </w:rPr>
        <w:t xml:space="preserve">  </w:t>
      </w:r>
      <w:r>
        <w:rPr>
          <w:rFonts w:hint="eastAsia" w:ascii="宋体" w:hAnsi="宋体" w:eastAsia="宋体" w:cs="宋体"/>
          <w:spacing w:val="-6"/>
          <w:sz w:val="20"/>
          <w:szCs w:val="20"/>
        </w:rPr>
        <w:t>交工结算</w:t>
      </w:r>
    </w:p>
    <w:p w14:paraId="5301227F">
      <w:pPr>
        <w:spacing w:before="79" w:line="240" w:lineRule="auto"/>
        <w:ind w:left="527"/>
        <w:outlineLvl w:val="2"/>
        <w:rPr>
          <w:rFonts w:hint="eastAsia" w:ascii="宋体" w:hAnsi="宋体" w:eastAsia="宋体" w:cs="宋体"/>
          <w:sz w:val="20"/>
          <w:szCs w:val="20"/>
        </w:rPr>
      </w:pPr>
      <w:r>
        <w:rPr>
          <w:rFonts w:hint="eastAsia" w:ascii="宋体" w:hAnsi="宋体" w:eastAsia="宋体" w:cs="宋体"/>
          <w:spacing w:val="-2"/>
          <w:sz w:val="20"/>
          <w:szCs w:val="20"/>
        </w:rPr>
        <w:t>17.5.1  交工付款申请单</w:t>
      </w:r>
    </w:p>
    <w:p w14:paraId="674B9D70">
      <w:pPr>
        <w:kinsoku w:val="0"/>
        <w:autoSpaceDE w:val="0"/>
        <w:autoSpaceDN w:val="0"/>
        <w:adjustRightInd w:val="0"/>
        <w:snapToGrid w:val="0"/>
        <w:spacing w:before="97"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本项（1）</w:t>
      </w:r>
      <w:r>
        <w:rPr>
          <w:rFonts w:hint="eastAsia" w:ascii="宋体" w:hAnsi="宋体" w:eastAsia="宋体" w:cs="宋体"/>
          <w:snapToGrid w:val="0"/>
          <w:color w:val="000000"/>
          <w:spacing w:val="-63"/>
          <w:kern w:val="0"/>
          <w:sz w:val="20"/>
          <w:szCs w:val="20"/>
          <w:lang w:val="en-US" w:eastAsia="en-US" w:bidi="ar-SA"/>
        </w:rPr>
        <w:t xml:space="preserve"> </w:t>
      </w:r>
      <w:r>
        <w:rPr>
          <w:rFonts w:hint="eastAsia" w:ascii="宋体" w:hAnsi="宋体" w:eastAsia="宋体" w:cs="宋体"/>
          <w:snapToGrid w:val="0"/>
          <w:color w:val="000000"/>
          <w:spacing w:val="-11"/>
          <w:kern w:val="0"/>
          <w:sz w:val="20"/>
          <w:szCs w:val="20"/>
          <w:lang w:val="en-US" w:eastAsia="en-US" w:bidi="ar-SA"/>
        </w:rPr>
        <w:t>目约定为：</w:t>
      </w:r>
    </w:p>
    <w:p w14:paraId="063B286D">
      <w:pPr>
        <w:kinsoku w:val="0"/>
        <w:autoSpaceDE w:val="0"/>
        <w:autoSpaceDN w:val="0"/>
        <w:adjustRightInd w:val="0"/>
        <w:snapToGrid w:val="0"/>
        <w:spacing w:before="97" w:line="240" w:lineRule="auto"/>
        <w:ind w:left="39" w:right="52" w:firstLine="47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承包人向监理人提交交工付款申请单（包括相关证</w:t>
      </w:r>
      <w:r>
        <w:rPr>
          <w:rFonts w:hint="eastAsia" w:ascii="宋体" w:hAnsi="宋体" w:eastAsia="宋体" w:cs="宋体"/>
          <w:snapToGrid w:val="0"/>
          <w:color w:val="000000"/>
          <w:kern w:val="0"/>
          <w:sz w:val="20"/>
          <w:szCs w:val="20"/>
          <w:lang w:val="en-US" w:eastAsia="en-US" w:bidi="ar-SA"/>
        </w:rPr>
        <w:t>明材料）的份数在项目专用</w:t>
      </w:r>
      <w:r>
        <w:rPr>
          <w:rFonts w:hint="eastAsia" w:ascii="宋体" w:hAnsi="宋体" w:eastAsia="宋体" w:cs="宋体"/>
          <w:snapToGrid w:val="0"/>
          <w:color w:val="000000"/>
          <w:spacing w:val="1"/>
          <w:kern w:val="0"/>
          <w:sz w:val="20"/>
          <w:szCs w:val="20"/>
          <w:lang w:val="en-US" w:eastAsia="en-US" w:bidi="ar-SA"/>
        </w:rPr>
        <w:t>合同条款数据表中约定；期限：交工验收证书签发后42 天内。</w:t>
      </w:r>
    </w:p>
    <w:p w14:paraId="21E2BFB4">
      <w:pPr>
        <w:spacing w:line="240" w:lineRule="auto"/>
        <w:ind w:left="527"/>
        <w:outlineLvl w:val="2"/>
        <w:rPr>
          <w:rFonts w:hint="eastAsia" w:ascii="宋体" w:hAnsi="宋体" w:eastAsia="宋体" w:cs="宋体"/>
          <w:sz w:val="20"/>
          <w:szCs w:val="20"/>
        </w:rPr>
      </w:pPr>
      <w:r>
        <w:rPr>
          <w:rFonts w:hint="eastAsia" w:ascii="宋体" w:hAnsi="宋体" w:eastAsia="宋体" w:cs="宋体"/>
          <w:spacing w:val="-2"/>
          <w:sz w:val="20"/>
          <w:szCs w:val="20"/>
        </w:rPr>
        <w:t>17.5.2  交工付款证书及支付时间</w:t>
      </w:r>
    </w:p>
    <w:p w14:paraId="25E06C75">
      <w:pPr>
        <w:kinsoku w:val="0"/>
        <w:autoSpaceDE w:val="0"/>
        <w:autoSpaceDN w:val="0"/>
        <w:adjustRightInd w:val="0"/>
        <w:snapToGrid w:val="0"/>
        <w:spacing w:before="94" w:line="240" w:lineRule="auto"/>
        <w:ind w:left="50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本项（2）</w:t>
      </w:r>
      <w:r>
        <w:rPr>
          <w:rFonts w:hint="eastAsia" w:ascii="宋体" w:hAnsi="宋体" w:eastAsia="宋体" w:cs="宋体"/>
          <w:snapToGrid w:val="0"/>
          <w:color w:val="000000"/>
          <w:spacing w:val="-59"/>
          <w:kern w:val="0"/>
          <w:sz w:val="20"/>
          <w:szCs w:val="20"/>
          <w:lang w:val="en-US" w:eastAsia="en-US" w:bidi="ar-SA"/>
        </w:rPr>
        <w:t xml:space="preserve"> </w:t>
      </w:r>
      <w:r>
        <w:rPr>
          <w:rFonts w:hint="eastAsia" w:ascii="宋体" w:hAnsi="宋体" w:eastAsia="宋体" w:cs="宋体"/>
          <w:snapToGrid w:val="0"/>
          <w:color w:val="000000"/>
          <w:spacing w:val="-10"/>
          <w:kern w:val="0"/>
          <w:sz w:val="20"/>
          <w:szCs w:val="20"/>
          <w:lang w:val="en-US" w:eastAsia="en-US" w:bidi="ar-SA"/>
        </w:rPr>
        <w:t>目细化为：</w:t>
      </w:r>
    </w:p>
    <w:p w14:paraId="3B9342DC">
      <w:pPr>
        <w:kinsoku w:val="0"/>
        <w:autoSpaceDE w:val="0"/>
        <w:autoSpaceDN w:val="0"/>
        <w:adjustRightInd w:val="0"/>
        <w:snapToGrid w:val="0"/>
        <w:spacing w:before="97" w:line="240" w:lineRule="auto"/>
        <w:ind w:left="39" w:right="52" w:firstLine="478"/>
        <w:jc w:val="left"/>
        <w:textAlignment w:val="baseline"/>
        <w:rPr>
          <w:rFonts w:hint="eastAsia" w:ascii="宋体" w:hAnsi="宋体" w:eastAsia="宋体" w:cs="宋体"/>
          <w:snapToGrid w:val="0"/>
          <w:color w:val="000000"/>
          <w:spacing w:val="1"/>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发包人应在监理人出具交工付款证书且承包人提交了合格的增值税专用发票后的 14 天内，将应支付款支付给承包人。发包人不按期支付的，按第 17.3.3（2） 目</w:t>
      </w:r>
      <w:bookmarkStart w:id="31" w:name="bookmark56"/>
      <w:bookmarkEnd w:id="31"/>
      <w:r>
        <w:rPr>
          <w:rFonts w:hint="eastAsia" w:ascii="宋体" w:hAnsi="宋体" w:eastAsia="宋体" w:cs="宋体"/>
          <w:snapToGrid w:val="0"/>
          <w:color w:val="000000"/>
          <w:spacing w:val="1"/>
          <w:kern w:val="0"/>
          <w:sz w:val="20"/>
          <w:szCs w:val="20"/>
          <w:lang w:val="en-US" w:eastAsia="en-US" w:bidi="ar-SA"/>
        </w:rPr>
        <w:t>的约定，将逾期付款违约金支付给承包人。</w:t>
      </w:r>
    </w:p>
    <w:p w14:paraId="53ED61C4">
      <w:pPr>
        <w:spacing w:before="239" w:line="240" w:lineRule="auto"/>
        <w:ind w:left="56"/>
        <w:outlineLvl w:val="1"/>
        <w:rPr>
          <w:rFonts w:hint="eastAsia" w:ascii="宋体" w:hAnsi="宋体" w:eastAsia="宋体" w:cs="宋体"/>
          <w:sz w:val="20"/>
          <w:szCs w:val="20"/>
        </w:rPr>
      </w:pPr>
      <w:r>
        <w:rPr>
          <w:rFonts w:hint="eastAsia" w:ascii="宋体" w:hAnsi="宋体" w:eastAsia="宋体" w:cs="宋体"/>
          <w:spacing w:val="-5"/>
          <w:sz w:val="20"/>
          <w:szCs w:val="20"/>
        </w:rPr>
        <w:t>17.6</w:t>
      </w:r>
      <w:r>
        <w:rPr>
          <w:rFonts w:hint="eastAsia" w:ascii="宋体" w:hAnsi="宋体" w:eastAsia="宋体" w:cs="宋体"/>
          <w:spacing w:val="7"/>
          <w:sz w:val="20"/>
          <w:szCs w:val="20"/>
        </w:rPr>
        <w:t xml:space="preserve">  </w:t>
      </w:r>
      <w:r>
        <w:rPr>
          <w:rFonts w:hint="eastAsia" w:ascii="宋体" w:hAnsi="宋体" w:eastAsia="宋体" w:cs="宋体"/>
          <w:spacing w:val="-5"/>
          <w:sz w:val="20"/>
          <w:szCs w:val="20"/>
        </w:rPr>
        <w:t>最终结清</w:t>
      </w:r>
    </w:p>
    <w:p w14:paraId="30A4B351">
      <w:pPr>
        <w:spacing w:before="78" w:line="240" w:lineRule="auto"/>
        <w:ind w:left="527"/>
        <w:outlineLvl w:val="2"/>
        <w:rPr>
          <w:rFonts w:hint="eastAsia" w:ascii="宋体" w:hAnsi="宋体" w:eastAsia="宋体" w:cs="宋体"/>
          <w:sz w:val="20"/>
          <w:szCs w:val="20"/>
        </w:rPr>
      </w:pPr>
      <w:r>
        <w:rPr>
          <w:rFonts w:hint="eastAsia" w:ascii="宋体" w:hAnsi="宋体" w:eastAsia="宋体" w:cs="宋体"/>
          <w:spacing w:val="-2"/>
          <w:sz w:val="20"/>
          <w:szCs w:val="20"/>
        </w:rPr>
        <w:t>17.6.1  最终结清申请单</w:t>
      </w:r>
    </w:p>
    <w:p w14:paraId="561DFA51">
      <w:pPr>
        <w:kinsoku w:val="0"/>
        <w:autoSpaceDE w:val="0"/>
        <w:autoSpaceDN w:val="0"/>
        <w:adjustRightInd w:val="0"/>
        <w:snapToGrid w:val="0"/>
        <w:spacing w:before="97"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本项（1）</w:t>
      </w:r>
      <w:r>
        <w:rPr>
          <w:rFonts w:hint="eastAsia" w:ascii="宋体" w:hAnsi="宋体" w:eastAsia="宋体" w:cs="宋体"/>
          <w:snapToGrid w:val="0"/>
          <w:color w:val="000000"/>
          <w:spacing w:val="-63"/>
          <w:kern w:val="0"/>
          <w:sz w:val="20"/>
          <w:szCs w:val="20"/>
          <w:lang w:val="en-US" w:eastAsia="en-US" w:bidi="ar-SA"/>
        </w:rPr>
        <w:t xml:space="preserve"> </w:t>
      </w:r>
      <w:r>
        <w:rPr>
          <w:rFonts w:hint="eastAsia" w:ascii="宋体" w:hAnsi="宋体" w:eastAsia="宋体" w:cs="宋体"/>
          <w:snapToGrid w:val="0"/>
          <w:color w:val="000000"/>
          <w:spacing w:val="-11"/>
          <w:kern w:val="0"/>
          <w:sz w:val="20"/>
          <w:szCs w:val="20"/>
          <w:lang w:val="en-US" w:eastAsia="en-US" w:bidi="ar-SA"/>
        </w:rPr>
        <w:t>目约定为：</w:t>
      </w:r>
    </w:p>
    <w:p w14:paraId="2E660DF0">
      <w:pPr>
        <w:kinsoku w:val="0"/>
        <w:autoSpaceDE w:val="0"/>
        <w:autoSpaceDN w:val="0"/>
        <w:adjustRightInd w:val="0"/>
        <w:snapToGrid w:val="0"/>
        <w:spacing w:before="98" w:line="240" w:lineRule="auto"/>
        <w:ind w:left="39" w:right="106" w:firstLine="47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承包人向监理人提交最终结清申请单（包括相关证</w:t>
      </w:r>
      <w:r>
        <w:rPr>
          <w:rFonts w:hint="eastAsia" w:ascii="宋体" w:hAnsi="宋体" w:eastAsia="宋体" w:cs="宋体"/>
          <w:snapToGrid w:val="0"/>
          <w:color w:val="000000"/>
          <w:kern w:val="0"/>
          <w:sz w:val="20"/>
          <w:szCs w:val="20"/>
          <w:lang w:val="en-US" w:eastAsia="en-US" w:bidi="ar-SA"/>
        </w:rPr>
        <w:t>明材料）的份数在项目专用</w:t>
      </w:r>
      <w:r>
        <w:rPr>
          <w:rFonts w:hint="eastAsia" w:ascii="宋体" w:hAnsi="宋体" w:eastAsia="宋体" w:cs="宋体"/>
          <w:snapToGrid w:val="0"/>
          <w:color w:val="000000"/>
          <w:spacing w:val="-2"/>
          <w:kern w:val="0"/>
          <w:sz w:val="20"/>
          <w:szCs w:val="20"/>
          <w:lang w:val="en-US" w:eastAsia="en-US" w:bidi="ar-SA"/>
        </w:rPr>
        <w:t>合同条款数据表中约定；期限：缺陷责任期终止证书签发后</w:t>
      </w:r>
      <w:r>
        <w:rPr>
          <w:rFonts w:hint="eastAsia" w:ascii="宋体" w:hAnsi="宋体" w:eastAsia="宋体" w:cs="宋体"/>
          <w:snapToGrid w:val="0"/>
          <w:color w:val="000000"/>
          <w:spacing w:val="-25"/>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28 天内。</w:t>
      </w:r>
    </w:p>
    <w:p w14:paraId="19AFB220">
      <w:pPr>
        <w:kinsoku w:val="0"/>
        <w:autoSpaceDE w:val="0"/>
        <w:autoSpaceDN w:val="0"/>
        <w:adjustRightInd w:val="0"/>
        <w:snapToGrid w:val="0"/>
        <w:spacing w:before="1" w:line="240" w:lineRule="auto"/>
        <w:ind w:left="39" w:right="111" w:firstLine="481"/>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最终结清申请单中的总金额应认为是代表了根据合同规定应付给承包人的全部</w:t>
      </w:r>
      <w:r>
        <w:rPr>
          <w:rFonts w:hint="eastAsia" w:ascii="宋体" w:hAnsi="宋体" w:eastAsia="宋体" w:cs="宋体"/>
          <w:snapToGrid w:val="0"/>
          <w:color w:val="000000"/>
          <w:spacing w:val="-5"/>
          <w:kern w:val="0"/>
          <w:sz w:val="20"/>
          <w:szCs w:val="20"/>
          <w:lang w:val="en-US" w:eastAsia="en-US" w:bidi="ar-SA"/>
        </w:rPr>
        <w:t>款项的最后结算。</w:t>
      </w:r>
    </w:p>
    <w:p w14:paraId="59889F99">
      <w:pPr>
        <w:spacing w:line="240" w:lineRule="auto"/>
        <w:ind w:left="527"/>
        <w:outlineLvl w:val="2"/>
        <w:rPr>
          <w:rFonts w:hint="eastAsia" w:ascii="宋体" w:hAnsi="宋体" w:eastAsia="宋体" w:cs="宋体"/>
          <w:sz w:val="20"/>
          <w:szCs w:val="20"/>
        </w:rPr>
      </w:pPr>
      <w:r>
        <w:rPr>
          <w:rFonts w:hint="eastAsia" w:ascii="宋体" w:hAnsi="宋体" w:eastAsia="宋体" w:cs="宋体"/>
          <w:spacing w:val="-2"/>
          <w:sz w:val="20"/>
          <w:szCs w:val="20"/>
        </w:rPr>
        <w:t>17.6.2  最终结清证书和支付时间</w:t>
      </w:r>
    </w:p>
    <w:p w14:paraId="202FDD64">
      <w:pPr>
        <w:kinsoku w:val="0"/>
        <w:autoSpaceDE w:val="0"/>
        <w:autoSpaceDN w:val="0"/>
        <w:adjustRightInd w:val="0"/>
        <w:snapToGrid w:val="0"/>
        <w:spacing w:before="96"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本项（2）</w:t>
      </w:r>
      <w:r>
        <w:rPr>
          <w:rFonts w:hint="eastAsia" w:ascii="宋体" w:hAnsi="宋体" w:eastAsia="宋体" w:cs="宋体"/>
          <w:snapToGrid w:val="0"/>
          <w:color w:val="000000"/>
          <w:spacing w:val="-59"/>
          <w:kern w:val="0"/>
          <w:sz w:val="20"/>
          <w:szCs w:val="20"/>
          <w:lang w:val="en-US" w:eastAsia="en-US" w:bidi="ar-SA"/>
        </w:rPr>
        <w:t xml:space="preserve"> </w:t>
      </w:r>
      <w:r>
        <w:rPr>
          <w:rFonts w:hint="eastAsia" w:ascii="宋体" w:hAnsi="宋体" w:eastAsia="宋体" w:cs="宋体"/>
          <w:snapToGrid w:val="0"/>
          <w:color w:val="000000"/>
          <w:spacing w:val="-10"/>
          <w:kern w:val="0"/>
          <w:sz w:val="20"/>
          <w:szCs w:val="20"/>
          <w:lang w:val="en-US" w:eastAsia="en-US" w:bidi="ar-SA"/>
        </w:rPr>
        <w:t>目细化为：</w:t>
      </w:r>
    </w:p>
    <w:p w14:paraId="0139DF95">
      <w:pPr>
        <w:kinsoku w:val="0"/>
        <w:autoSpaceDE w:val="0"/>
        <w:autoSpaceDN w:val="0"/>
        <w:adjustRightInd w:val="0"/>
        <w:snapToGrid w:val="0"/>
        <w:spacing w:before="97" w:line="240" w:lineRule="auto"/>
        <w:ind w:left="40" w:firstLine="484"/>
        <w:jc w:val="both"/>
        <w:textAlignment w:val="baseline"/>
        <w:rPr>
          <w:rFonts w:hint="eastAsia" w:ascii="宋体" w:hAnsi="宋体" w:eastAsia="宋体" w:cs="宋体"/>
          <w:sz w:val="20"/>
          <w:szCs w:val="20"/>
        </w:rPr>
      </w:pPr>
      <w:r>
        <w:rPr>
          <w:rFonts w:hint="eastAsia" w:ascii="宋体" w:hAnsi="宋体" w:eastAsia="宋体" w:cs="宋体"/>
          <w:snapToGrid w:val="0"/>
          <w:color w:val="000000"/>
          <w:spacing w:val="-3"/>
          <w:kern w:val="0"/>
          <w:sz w:val="20"/>
          <w:szCs w:val="20"/>
          <w:lang w:val="en-US" w:eastAsia="en-US" w:bidi="ar-SA"/>
        </w:rPr>
        <w:t>（2）发包人应在监理人出具最终结清证书且承包人提交了合格的增值税专用发</w:t>
      </w:r>
      <w:r>
        <w:rPr>
          <w:rFonts w:hint="eastAsia" w:ascii="宋体" w:hAnsi="宋体" w:eastAsia="宋体" w:cs="宋体"/>
          <w:snapToGrid w:val="0"/>
          <w:color w:val="000000"/>
          <w:spacing w:val="-7"/>
          <w:kern w:val="0"/>
          <w:sz w:val="20"/>
          <w:szCs w:val="20"/>
          <w:lang w:val="en-US" w:eastAsia="en-US" w:bidi="ar-SA"/>
        </w:rPr>
        <w:t>票后的</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14</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天内，将应支付款支付给承包人。发包人不按</w:t>
      </w:r>
      <w:r>
        <w:rPr>
          <w:rFonts w:hint="eastAsia" w:ascii="宋体" w:hAnsi="宋体" w:eastAsia="宋体" w:cs="宋体"/>
          <w:snapToGrid w:val="0"/>
          <w:color w:val="000000"/>
          <w:spacing w:val="-8"/>
          <w:kern w:val="0"/>
          <w:sz w:val="20"/>
          <w:szCs w:val="20"/>
          <w:lang w:val="en-US" w:eastAsia="en-US" w:bidi="ar-SA"/>
        </w:rPr>
        <w:t>期支付的，</w:t>
      </w:r>
      <w:r>
        <w:rPr>
          <w:rFonts w:hint="eastAsia" w:ascii="宋体" w:hAnsi="宋体" w:eastAsia="宋体" w:cs="宋体"/>
          <w:snapToGrid w:val="0"/>
          <w:color w:val="000000"/>
          <w:spacing w:val="58"/>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按第</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17.3.3（2）</w:t>
      </w:r>
      <w:r>
        <w:rPr>
          <w:rFonts w:hint="eastAsia" w:ascii="宋体" w:hAnsi="宋体" w:eastAsia="宋体" w:cs="宋体"/>
          <w:snapToGrid w:val="0"/>
          <w:color w:val="000000"/>
          <w:spacing w:val="-3"/>
          <w:kern w:val="0"/>
          <w:sz w:val="20"/>
          <w:szCs w:val="20"/>
          <w:lang w:val="en-US" w:eastAsia="en-US" w:bidi="ar-SA"/>
        </w:rPr>
        <w:t>目的约定，将逾期付款违约金支付给承包人。</w:t>
      </w:r>
    </w:p>
    <w:p w14:paraId="2395A344">
      <w:pPr>
        <w:spacing w:before="92" w:line="240" w:lineRule="auto"/>
        <w:ind w:left="61"/>
        <w:outlineLvl w:val="0"/>
        <w:rPr>
          <w:rFonts w:hint="eastAsia" w:ascii="宋体" w:hAnsi="宋体" w:eastAsia="宋体" w:cs="宋体"/>
          <w:sz w:val="20"/>
          <w:szCs w:val="20"/>
        </w:rPr>
      </w:pPr>
      <w:r>
        <w:rPr>
          <w:rFonts w:hint="eastAsia" w:ascii="宋体" w:hAnsi="宋体" w:eastAsia="宋体" w:cs="宋体"/>
          <w:spacing w:val="-7"/>
          <w:sz w:val="20"/>
          <w:szCs w:val="20"/>
        </w:rPr>
        <w:t>18.</w:t>
      </w:r>
      <w:r>
        <w:rPr>
          <w:rFonts w:hint="eastAsia" w:ascii="宋体" w:hAnsi="宋体" w:eastAsia="宋体" w:cs="宋体"/>
          <w:spacing w:val="8"/>
          <w:sz w:val="20"/>
          <w:szCs w:val="20"/>
        </w:rPr>
        <w:t xml:space="preserve">  </w:t>
      </w:r>
      <w:r>
        <w:rPr>
          <w:rFonts w:hint="eastAsia" w:ascii="宋体" w:hAnsi="宋体" w:eastAsia="宋体" w:cs="宋体"/>
          <w:spacing w:val="-7"/>
          <w:sz w:val="20"/>
          <w:szCs w:val="20"/>
        </w:rPr>
        <w:t>交工验收</w:t>
      </w:r>
    </w:p>
    <w:p w14:paraId="5FD39BF4">
      <w:pPr>
        <w:spacing w:before="312" w:line="240" w:lineRule="auto"/>
        <w:ind w:left="56"/>
        <w:outlineLvl w:val="1"/>
        <w:rPr>
          <w:rFonts w:hint="eastAsia" w:ascii="宋体" w:hAnsi="宋体" w:eastAsia="宋体" w:cs="宋体"/>
          <w:sz w:val="20"/>
          <w:szCs w:val="20"/>
        </w:rPr>
      </w:pPr>
      <w:r>
        <w:rPr>
          <w:rFonts w:hint="eastAsia" w:ascii="宋体" w:hAnsi="宋体" w:eastAsia="宋体" w:cs="宋体"/>
          <w:spacing w:val="-3"/>
          <w:sz w:val="20"/>
          <w:szCs w:val="20"/>
        </w:rPr>
        <w:t>18.2  交工验收申请报告</w:t>
      </w:r>
    </w:p>
    <w:p w14:paraId="0936CB00">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4"/>
          <w:kern w:val="0"/>
          <w:sz w:val="20"/>
          <w:szCs w:val="20"/>
          <w:lang w:val="en-US" w:eastAsia="en-US" w:bidi="ar-SA"/>
        </w:rPr>
        <w:t>本款第（2）项约定为：</w:t>
      </w:r>
    </w:p>
    <w:p w14:paraId="0A5BA8A3">
      <w:pPr>
        <w:kinsoku w:val="0"/>
        <w:autoSpaceDE w:val="0"/>
        <w:autoSpaceDN w:val="0"/>
        <w:adjustRightInd w:val="0"/>
        <w:snapToGrid w:val="0"/>
        <w:spacing w:before="97" w:line="240" w:lineRule="auto"/>
        <w:ind w:left="40" w:right="107" w:firstLine="47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竣工资料的内容：承包人应按照《公路工程竣</w:t>
      </w:r>
      <w:r>
        <w:rPr>
          <w:rFonts w:hint="eastAsia" w:ascii="宋体" w:hAnsi="宋体" w:eastAsia="宋体" w:cs="宋体"/>
          <w:snapToGrid w:val="0"/>
          <w:color w:val="000000"/>
          <w:kern w:val="0"/>
          <w:sz w:val="20"/>
          <w:szCs w:val="20"/>
          <w:lang w:val="en-US" w:eastAsia="en-US" w:bidi="ar-SA"/>
        </w:rPr>
        <w:t>（交）工验收办法》和相关规定</w:t>
      </w:r>
      <w:r>
        <w:rPr>
          <w:rFonts w:hint="eastAsia" w:ascii="宋体" w:hAnsi="宋体" w:eastAsia="宋体" w:cs="宋体"/>
          <w:snapToGrid w:val="0"/>
          <w:color w:val="000000"/>
          <w:spacing w:val="-2"/>
          <w:kern w:val="0"/>
          <w:sz w:val="20"/>
          <w:szCs w:val="20"/>
          <w:lang w:val="en-US" w:eastAsia="en-US" w:bidi="ar-SA"/>
        </w:rPr>
        <w:t>编制竣工资料。</w:t>
      </w:r>
    </w:p>
    <w:p w14:paraId="375AA000">
      <w:pPr>
        <w:kinsoku w:val="0"/>
        <w:autoSpaceDE w:val="0"/>
        <w:autoSpaceDN w:val="0"/>
        <w:adjustRightInd w:val="0"/>
        <w:snapToGrid w:val="0"/>
        <w:spacing w:before="1" w:line="240" w:lineRule="auto"/>
        <w:ind w:left="519"/>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竣工资料的份数在项目专用合同条款数据表中约定。</w:t>
      </w:r>
    </w:p>
    <w:p w14:paraId="18635D62">
      <w:pPr>
        <w:spacing w:before="78" w:line="240" w:lineRule="auto"/>
        <w:ind w:left="56"/>
        <w:rPr>
          <w:rFonts w:hint="eastAsia" w:ascii="宋体" w:hAnsi="宋体" w:eastAsia="宋体" w:cs="宋体"/>
          <w:sz w:val="20"/>
          <w:szCs w:val="20"/>
        </w:rPr>
      </w:pPr>
      <w:bookmarkStart w:id="32" w:name="bookmark58"/>
      <w:bookmarkEnd w:id="32"/>
      <w:r>
        <w:rPr>
          <w:rFonts w:hint="eastAsia" w:ascii="宋体" w:hAnsi="宋体" w:eastAsia="宋体" w:cs="宋体"/>
          <w:spacing w:val="-6"/>
          <w:sz w:val="20"/>
          <w:szCs w:val="20"/>
        </w:rPr>
        <w:t>18.3</w:t>
      </w:r>
      <w:r>
        <w:rPr>
          <w:rFonts w:hint="eastAsia" w:ascii="宋体" w:hAnsi="宋体" w:eastAsia="宋体" w:cs="宋体"/>
          <w:spacing w:val="5"/>
          <w:sz w:val="20"/>
          <w:szCs w:val="20"/>
        </w:rPr>
        <w:t xml:space="preserve">  </w:t>
      </w:r>
      <w:r>
        <w:rPr>
          <w:rFonts w:hint="eastAsia" w:ascii="宋体" w:hAnsi="宋体" w:eastAsia="宋体" w:cs="宋体"/>
          <w:spacing w:val="-6"/>
          <w:sz w:val="20"/>
          <w:szCs w:val="20"/>
        </w:rPr>
        <w:t>验收</w:t>
      </w:r>
    </w:p>
    <w:p w14:paraId="749F742D">
      <w:pPr>
        <w:kinsoku w:val="0"/>
        <w:autoSpaceDE w:val="0"/>
        <w:autoSpaceDN w:val="0"/>
        <w:adjustRightInd w:val="0"/>
        <w:snapToGrid w:val="0"/>
        <w:spacing w:before="79"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23"/>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18.3.2</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项补充：</w:t>
      </w:r>
    </w:p>
    <w:p w14:paraId="06441461">
      <w:pPr>
        <w:kinsoku w:val="0"/>
        <w:autoSpaceDE w:val="0"/>
        <w:autoSpaceDN w:val="0"/>
        <w:adjustRightInd w:val="0"/>
        <w:snapToGrid w:val="0"/>
        <w:spacing w:before="97" w:line="240" w:lineRule="auto"/>
        <w:ind w:left="39" w:right="106" w:firstLine="483"/>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交工验收由发包人主持，由发包人、监理人、质监、设计、施工、运营、管理</w:t>
      </w:r>
      <w:r>
        <w:rPr>
          <w:rFonts w:hint="eastAsia" w:ascii="宋体" w:hAnsi="宋体" w:eastAsia="宋体" w:cs="宋体"/>
          <w:snapToGrid w:val="0"/>
          <w:color w:val="000000"/>
          <w:spacing w:val="1"/>
          <w:kern w:val="0"/>
          <w:sz w:val="20"/>
          <w:szCs w:val="20"/>
          <w:lang w:val="en-US" w:eastAsia="en-US" w:bidi="ar-SA"/>
        </w:rPr>
        <w:t>养护等有关部门代表组成交工验收小组，对本项</w:t>
      </w:r>
      <w:r>
        <w:rPr>
          <w:rFonts w:hint="eastAsia" w:ascii="宋体" w:hAnsi="宋体" w:eastAsia="宋体" w:cs="宋体"/>
          <w:snapToGrid w:val="0"/>
          <w:color w:val="000000"/>
          <w:kern w:val="0"/>
          <w:sz w:val="20"/>
          <w:szCs w:val="20"/>
          <w:lang w:val="en-US" w:eastAsia="en-US" w:bidi="ar-SA"/>
        </w:rPr>
        <w:t>目的工程质量进行评定，并写出交工验收报告报交通运输主管部门备案。承包人应按发包人的要求提交竣工资料，完</w:t>
      </w:r>
      <w:r>
        <w:rPr>
          <w:rFonts w:hint="eastAsia" w:ascii="宋体" w:hAnsi="宋体" w:eastAsia="宋体" w:cs="宋体"/>
          <w:snapToGrid w:val="0"/>
          <w:color w:val="000000"/>
          <w:spacing w:val="-5"/>
          <w:kern w:val="0"/>
          <w:sz w:val="20"/>
          <w:szCs w:val="20"/>
          <w:lang w:val="en-US" w:eastAsia="en-US" w:bidi="ar-SA"/>
        </w:rPr>
        <w:t>成交工验收准备工作。</w:t>
      </w:r>
    </w:p>
    <w:p w14:paraId="649575A1">
      <w:pPr>
        <w:kinsoku w:val="0"/>
        <w:autoSpaceDE w:val="0"/>
        <w:autoSpaceDN w:val="0"/>
        <w:adjustRightInd w:val="0"/>
        <w:snapToGrid w:val="0"/>
        <w:spacing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8"/>
          <w:kern w:val="0"/>
          <w:sz w:val="20"/>
          <w:szCs w:val="20"/>
          <w:lang w:val="en-US" w:eastAsia="en-US" w:bidi="ar-SA"/>
        </w:rPr>
        <w:t>第</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18.3.5</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8"/>
          <w:kern w:val="0"/>
          <w:sz w:val="20"/>
          <w:szCs w:val="20"/>
          <w:lang w:val="en-US" w:eastAsia="en-US" w:bidi="ar-SA"/>
        </w:rPr>
        <w:t>项约定为：</w:t>
      </w:r>
    </w:p>
    <w:p w14:paraId="3A9EB06B">
      <w:pPr>
        <w:kinsoku w:val="0"/>
        <w:autoSpaceDE w:val="0"/>
        <w:autoSpaceDN w:val="0"/>
        <w:adjustRightInd w:val="0"/>
        <w:snapToGrid w:val="0"/>
        <w:spacing w:before="95" w:line="240" w:lineRule="auto"/>
        <w:ind w:left="43" w:right="161" w:firstLine="476"/>
        <w:jc w:val="left"/>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1"/>
          <w:kern w:val="0"/>
          <w:sz w:val="20"/>
          <w:szCs w:val="20"/>
          <w:lang w:val="en-US" w:eastAsia="en-US" w:bidi="ar-SA"/>
        </w:rPr>
        <w:t>经验收合格工程的实际交工日期，以最终提交交工验收申请报告的日期为准，</w:t>
      </w:r>
      <w:r>
        <w:rPr>
          <w:rFonts w:hint="eastAsia" w:ascii="宋体" w:hAnsi="宋体" w:eastAsia="宋体" w:cs="宋体"/>
          <w:snapToGrid w:val="0"/>
          <w:color w:val="000000"/>
          <w:spacing w:val="-4"/>
          <w:kern w:val="0"/>
          <w:sz w:val="20"/>
          <w:szCs w:val="20"/>
          <w:lang w:val="en-US" w:eastAsia="en-US" w:bidi="ar-SA"/>
        </w:rPr>
        <w:t>并在交工验收证书中写明。</w:t>
      </w:r>
    </w:p>
    <w:p w14:paraId="45AD7E9E">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本款补充第</w:t>
      </w:r>
      <w:r>
        <w:rPr>
          <w:rFonts w:hint="eastAsia" w:ascii="宋体" w:hAnsi="宋体" w:eastAsia="宋体" w:cs="宋体"/>
          <w:snapToGrid w:val="0"/>
          <w:color w:val="000000"/>
          <w:spacing w:val="-28"/>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18.3.7</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项：</w:t>
      </w:r>
    </w:p>
    <w:p w14:paraId="02132425">
      <w:pPr>
        <w:kinsoku w:val="0"/>
        <w:autoSpaceDE w:val="0"/>
        <w:autoSpaceDN w:val="0"/>
        <w:adjustRightInd w:val="0"/>
        <w:snapToGrid w:val="0"/>
        <w:spacing w:before="95" w:line="240" w:lineRule="auto"/>
        <w:ind w:left="41" w:right="1" w:firstLine="47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组织办理交工验收和签发交工验收证书的费用由发包人</w:t>
      </w:r>
      <w:r>
        <w:rPr>
          <w:rFonts w:hint="eastAsia" w:ascii="宋体" w:hAnsi="宋体" w:eastAsia="宋体" w:cs="宋体"/>
          <w:snapToGrid w:val="0"/>
          <w:color w:val="000000"/>
          <w:kern w:val="0"/>
          <w:sz w:val="20"/>
          <w:szCs w:val="20"/>
          <w:lang w:val="en-US" w:eastAsia="en-US" w:bidi="ar-SA"/>
        </w:rPr>
        <w:t>承担。但按照第 18.3.4</w:t>
      </w:r>
      <w:r>
        <w:rPr>
          <w:rFonts w:hint="eastAsia" w:ascii="宋体" w:hAnsi="宋体" w:eastAsia="宋体" w:cs="宋体"/>
          <w:snapToGrid w:val="0"/>
          <w:color w:val="000000"/>
          <w:spacing w:val="-2"/>
          <w:kern w:val="0"/>
          <w:sz w:val="20"/>
          <w:szCs w:val="20"/>
          <w:lang w:val="en-US" w:eastAsia="en-US" w:bidi="ar-SA"/>
        </w:rPr>
        <w:t>项规定达不到合格标准的交工验收费用由承包人承担。</w:t>
      </w:r>
    </w:p>
    <w:p w14:paraId="5241ED5D">
      <w:pPr>
        <w:spacing w:before="256" w:line="240" w:lineRule="auto"/>
        <w:ind w:left="39"/>
        <w:rPr>
          <w:rFonts w:hint="eastAsia" w:ascii="宋体" w:hAnsi="宋体" w:eastAsia="宋体" w:cs="宋体"/>
          <w:sz w:val="20"/>
          <w:szCs w:val="20"/>
        </w:rPr>
      </w:pPr>
      <w:bookmarkStart w:id="33" w:name="bookmark59"/>
      <w:bookmarkEnd w:id="33"/>
      <w:r>
        <w:rPr>
          <w:rFonts w:hint="eastAsia" w:ascii="宋体" w:hAnsi="宋体" w:eastAsia="宋体" w:cs="宋体"/>
          <w:spacing w:val="-4"/>
          <w:sz w:val="20"/>
          <w:szCs w:val="20"/>
        </w:rPr>
        <w:t>本条补充第</w:t>
      </w:r>
      <w:r>
        <w:rPr>
          <w:rFonts w:hint="eastAsia" w:ascii="宋体" w:hAnsi="宋体" w:eastAsia="宋体" w:cs="宋体"/>
          <w:spacing w:val="-24"/>
          <w:sz w:val="20"/>
          <w:szCs w:val="20"/>
        </w:rPr>
        <w:t xml:space="preserve"> </w:t>
      </w:r>
      <w:r>
        <w:rPr>
          <w:rFonts w:hint="eastAsia" w:ascii="宋体" w:hAnsi="宋体" w:eastAsia="宋体" w:cs="宋体"/>
          <w:spacing w:val="-4"/>
          <w:sz w:val="20"/>
          <w:szCs w:val="20"/>
        </w:rPr>
        <w:t>18.9 款：</w:t>
      </w:r>
    </w:p>
    <w:p w14:paraId="4EAD8E3C">
      <w:pPr>
        <w:spacing w:before="316" w:line="240" w:lineRule="auto"/>
        <w:ind w:left="56"/>
        <w:outlineLvl w:val="1"/>
        <w:rPr>
          <w:rFonts w:hint="eastAsia" w:ascii="宋体" w:hAnsi="宋体" w:eastAsia="宋体" w:cs="宋体"/>
          <w:sz w:val="20"/>
          <w:szCs w:val="20"/>
        </w:rPr>
      </w:pPr>
      <w:r>
        <w:rPr>
          <w:rFonts w:hint="eastAsia" w:ascii="宋体" w:hAnsi="宋体" w:eastAsia="宋体" w:cs="宋体"/>
          <w:spacing w:val="-3"/>
          <w:sz w:val="20"/>
          <w:szCs w:val="20"/>
        </w:rPr>
        <w:t>18.9  竣工文件</w:t>
      </w:r>
    </w:p>
    <w:p w14:paraId="753BB99D">
      <w:pPr>
        <w:kinsoku w:val="0"/>
        <w:autoSpaceDE w:val="0"/>
        <w:autoSpaceDN w:val="0"/>
        <w:adjustRightInd w:val="0"/>
        <w:snapToGrid w:val="0"/>
        <w:spacing w:before="78" w:line="240" w:lineRule="auto"/>
        <w:ind w:left="41" w:right="6" w:firstLine="477"/>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1"/>
          <w:kern w:val="0"/>
          <w:sz w:val="20"/>
          <w:szCs w:val="20"/>
          <w:lang w:val="en-US" w:eastAsia="en-US" w:bidi="ar-SA"/>
        </w:rPr>
        <w:t>承包人应按照《公路工程竣（交）工验收办法》</w:t>
      </w:r>
      <w:r>
        <w:rPr>
          <w:rFonts w:hint="eastAsia" w:ascii="宋体" w:hAnsi="宋体" w:eastAsia="宋体" w:cs="宋体"/>
          <w:snapToGrid w:val="0"/>
          <w:color w:val="000000"/>
          <w:kern w:val="0"/>
          <w:sz w:val="20"/>
          <w:szCs w:val="20"/>
          <w:lang w:val="en-US" w:eastAsia="en-US" w:bidi="ar-SA"/>
        </w:rPr>
        <w:t>的相关规定，在缺陷责任期内</w:t>
      </w:r>
      <w:r>
        <w:rPr>
          <w:rFonts w:hint="eastAsia" w:ascii="宋体" w:hAnsi="宋体" w:eastAsia="宋体" w:cs="宋体"/>
          <w:snapToGrid w:val="0"/>
          <w:color w:val="000000"/>
          <w:spacing w:val="-2"/>
          <w:kern w:val="0"/>
          <w:sz w:val="20"/>
          <w:szCs w:val="20"/>
          <w:lang w:val="en-US" w:eastAsia="en-US" w:bidi="ar-SA"/>
        </w:rPr>
        <w:t>为竣工验收补充竣工资料，并在签发缺陷责任期终止证书之前提交。</w:t>
      </w:r>
    </w:p>
    <w:p w14:paraId="5CC30549">
      <w:pPr>
        <w:spacing w:before="92" w:line="240" w:lineRule="auto"/>
        <w:ind w:left="61"/>
        <w:outlineLvl w:val="0"/>
        <w:rPr>
          <w:rFonts w:hint="eastAsia" w:ascii="宋体" w:hAnsi="宋体" w:eastAsia="宋体" w:cs="宋体"/>
          <w:sz w:val="20"/>
          <w:szCs w:val="20"/>
        </w:rPr>
      </w:pPr>
      <w:bookmarkStart w:id="34" w:name="bookmark60"/>
      <w:bookmarkEnd w:id="34"/>
      <w:r>
        <w:rPr>
          <w:rFonts w:hint="eastAsia" w:ascii="宋体" w:hAnsi="宋体" w:eastAsia="宋体" w:cs="宋体"/>
          <w:spacing w:val="-3"/>
          <w:sz w:val="20"/>
          <w:szCs w:val="20"/>
        </w:rPr>
        <w:t>19.  缺陷责任与保修责任</w:t>
      </w:r>
    </w:p>
    <w:p w14:paraId="27DDFFE4">
      <w:pPr>
        <w:spacing w:before="313" w:line="240" w:lineRule="auto"/>
        <w:ind w:left="56"/>
        <w:rPr>
          <w:rFonts w:hint="eastAsia" w:ascii="宋体" w:hAnsi="宋体" w:eastAsia="宋体" w:cs="宋体"/>
          <w:sz w:val="20"/>
          <w:szCs w:val="20"/>
        </w:rPr>
      </w:pPr>
      <w:r>
        <w:rPr>
          <w:rFonts w:hint="eastAsia" w:ascii="宋体" w:hAnsi="宋体" w:eastAsia="宋体" w:cs="宋体"/>
          <w:spacing w:val="-3"/>
          <w:sz w:val="20"/>
          <w:szCs w:val="20"/>
        </w:rPr>
        <w:t>19.2  缺陷责任</w:t>
      </w:r>
    </w:p>
    <w:p w14:paraId="15378BD3">
      <w:pPr>
        <w:kinsoku w:val="0"/>
        <w:autoSpaceDE w:val="0"/>
        <w:autoSpaceDN w:val="0"/>
        <w:adjustRightInd w:val="0"/>
        <w:snapToGrid w:val="0"/>
        <w:spacing w:before="79"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第</w:t>
      </w:r>
      <w:r>
        <w:rPr>
          <w:rFonts w:hint="eastAsia" w:ascii="宋体" w:hAnsi="宋体" w:eastAsia="宋体" w:cs="宋体"/>
          <w:snapToGrid w:val="0"/>
          <w:color w:val="000000"/>
          <w:spacing w:val="-23"/>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19.2.2</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9"/>
          <w:kern w:val="0"/>
          <w:sz w:val="20"/>
          <w:szCs w:val="20"/>
          <w:lang w:val="en-US" w:eastAsia="en-US" w:bidi="ar-SA"/>
        </w:rPr>
        <w:t>项补充：</w:t>
      </w:r>
    </w:p>
    <w:p w14:paraId="6088490D">
      <w:pPr>
        <w:kinsoku w:val="0"/>
        <w:autoSpaceDE w:val="0"/>
        <w:autoSpaceDN w:val="0"/>
        <w:adjustRightInd w:val="0"/>
        <w:snapToGrid w:val="0"/>
        <w:spacing w:before="95" w:line="240" w:lineRule="auto"/>
        <w:ind w:left="40" w:right="7" w:firstLine="47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在缺陷责任期内，承包人应尽快完成在交工验收证</w:t>
      </w:r>
      <w:r>
        <w:rPr>
          <w:rFonts w:hint="eastAsia" w:ascii="宋体" w:hAnsi="宋体" w:eastAsia="宋体" w:cs="宋体"/>
          <w:snapToGrid w:val="0"/>
          <w:color w:val="000000"/>
          <w:kern w:val="0"/>
          <w:sz w:val="20"/>
          <w:szCs w:val="20"/>
          <w:lang w:val="en-US" w:eastAsia="en-US" w:bidi="ar-SA"/>
        </w:rPr>
        <w:t>书中写明的未完成工作，并</w:t>
      </w:r>
      <w:bookmarkStart w:id="35" w:name="bookmark61"/>
      <w:bookmarkEnd w:id="35"/>
      <w:r>
        <w:rPr>
          <w:rFonts w:hint="eastAsia" w:ascii="宋体" w:hAnsi="宋体" w:eastAsia="宋体" w:cs="宋体"/>
          <w:snapToGrid w:val="0"/>
          <w:color w:val="000000"/>
          <w:spacing w:val="-1"/>
          <w:kern w:val="0"/>
          <w:sz w:val="20"/>
          <w:szCs w:val="20"/>
          <w:lang w:val="en-US" w:eastAsia="en-US" w:bidi="ar-SA"/>
        </w:rPr>
        <w:t>完成对本工程缺陷的修复或监理人指令的修补工作。</w:t>
      </w:r>
    </w:p>
    <w:p w14:paraId="630C602A">
      <w:pPr>
        <w:spacing w:before="217" w:line="240" w:lineRule="auto"/>
        <w:ind w:left="56"/>
        <w:outlineLvl w:val="1"/>
        <w:rPr>
          <w:rFonts w:hint="eastAsia" w:ascii="宋体" w:hAnsi="宋体" w:eastAsia="宋体" w:cs="宋体"/>
          <w:sz w:val="20"/>
          <w:szCs w:val="20"/>
        </w:rPr>
      </w:pPr>
      <w:r>
        <w:rPr>
          <w:rFonts w:hint="eastAsia" w:ascii="宋体" w:hAnsi="宋体" w:eastAsia="宋体" w:cs="宋体"/>
          <w:spacing w:val="-3"/>
          <w:sz w:val="20"/>
          <w:szCs w:val="20"/>
        </w:rPr>
        <w:t>19.5  承包人的进入权</w:t>
      </w:r>
    </w:p>
    <w:p w14:paraId="565F4BCE">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本款补充：</w:t>
      </w:r>
    </w:p>
    <w:p w14:paraId="45C93103">
      <w:pPr>
        <w:kinsoku w:val="0"/>
        <w:autoSpaceDE w:val="0"/>
        <w:autoSpaceDN w:val="0"/>
        <w:adjustRightInd w:val="0"/>
        <w:snapToGrid w:val="0"/>
        <w:spacing w:before="117" w:line="240" w:lineRule="auto"/>
        <w:ind w:left="38" w:right="22" w:firstLine="47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承包人在缺陷修复施工过程中，应服从管养单位的有关安全管理规定，由于承</w:t>
      </w:r>
      <w:r>
        <w:rPr>
          <w:rFonts w:hint="eastAsia" w:ascii="宋体" w:hAnsi="宋体" w:eastAsia="宋体" w:cs="宋体"/>
          <w:snapToGrid w:val="0"/>
          <w:color w:val="000000"/>
          <w:spacing w:val="-1"/>
          <w:kern w:val="0"/>
          <w:sz w:val="20"/>
          <w:szCs w:val="20"/>
          <w:lang w:val="en-US" w:eastAsia="en-US" w:bidi="ar-SA"/>
        </w:rPr>
        <w:t>包人自身原因造成的人员伤亡、设备和材料的损毁及罚款等责任由</w:t>
      </w:r>
      <w:r>
        <w:rPr>
          <w:rFonts w:hint="eastAsia" w:ascii="宋体" w:hAnsi="宋体" w:eastAsia="宋体" w:cs="宋体"/>
          <w:snapToGrid w:val="0"/>
          <w:color w:val="000000"/>
          <w:spacing w:val="-2"/>
          <w:kern w:val="0"/>
          <w:sz w:val="20"/>
          <w:szCs w:val="20"/>
          <w:lang w:val="en-US" w:eastAsia="en-US" w:bidi="ar-SA"/>
        </w:rPr>
        <w:t>承包人自负。</w:t>
      </w:r>
    </w:p>
    <w:p w14:paraId="2A2813B6">
      <w:pPr>
        <w:spacing w:before="218" w:line="240" w:lineRule="auto"/>
        <w:ind w:left="56"/>
        <w:outlineLvl w:val="1"/>
        <w:rPr>
          <w:rFonts w:hint="eastAsia" w:ascii="宋体" w:hAnsi="宋体" w:eastAsia="宋体" w:cs="宋体"/>
          <w:sz w:val="20"/>
          <w:szCs w:val="20"/>
        </w:rPr>
      </w:pPr>
      <w:bookmarkStart w:id="36" w:name="bookmark62"/>
      <w:bookmarkEnd w:id="36"/>
      <w:r>
        <w:rPr>
          <w:rFonts w:hint="eastAsia" w:ascii="宋体" w:hAnsi="宋体" w:eastAsia="宋体" w:cs="宋体"/>
          <w:spacing w:val="-3"/>
          <w:sz w:val="20"/>
          <w:szCs w:val="20"/>
        </w:rPr>
        <w:t>19.7  保修责任</w:t>
      </w:r>
    </w:p>
    <w:p w14:paraId="377D415A">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本款细化为：</w:t>
      </w:r>
    </w:p>
    <w:p w14:paraId="06999FA1">
      <w:pPr>
        <w:kinsoku w:val="0"/>
        <w:autoSpaceDE w:val="0"/>
        <w:autoSpaceDN w:val="0"/>
        <w:adjustRightInd w:val="0"/>
        <w:snapToGrid w:val="0"/>
        <w:spacing w:before="119" w:line="240" w:lineRule="auto"/>
        <w:ind w:left="37" w:right="3"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（1）保修期自实际交工日期起计算，具体期限在项目专用合同条款数据表中约</w:t>
      </w:r>
      <w:r>
        <w:rPr>
          <w:rFonts w:hint="eastAsia" w:ascii="宋体" w:hAnsi="宋体" w:eastAsia="宋体" w:cs="宋体"/>
          <w:snapToGrid w:val="0"/>
          <w:color w:val="000000"/>
          <w:spacing w:val="1"/>
          <w:kern w:val="0"/>
          <w:sz w:val="20"/>
          <w:szCs w:val="20"/>
          <w:lang w:val="en-US" w:eastAsia="en-US" w:bidi="ar-SA"/>
        </w:rPr>
        <w:t>定。保修期与缺陷责任期重叠的期间内，承包人的保</w:t>
      </w:r>
      <w:r>
        <w:rPr>
          <w:rFonts w:hint="eastAsia" w:ascii="宋体" w:hAnsi="宋体" w:eastAsia="宋体" w:cs="宋体"/>
          <w:snapToGrid w:val="0"/>
          <w:color w:val="000000"/>
          <w:kern w:val="0"/>
          <w:sz w:val="20"/>
          <w:szCs w:val="20"/>
          <w:lang w:val="en-US" w:eastAsia="en-US" w:bidi="ar-SA"/>
        </w:rPr>
        <w:t>修责任同缺陷责任。在缺陷责</w:t>
      </w:r>
      <w:r>
        <w:rPr>
          <w:rFonts w:hint="eastAsia" w:ascii="宋体" w:hAnsi="宋体" w:eastAsia="宋体" w:cs="宋体"/>
          <w:snapToGrid w:val="0"/>
          <w:color w:val="000000"/>
          <w:spacing w:val="1"/>
          <w:kern w:val="0"/>
          <w:sz w:val="20"/>
          <w:szCs w:val="20"/>
          <w:lang w:val="en-US" w:eastAsia="en-US" w:bidi="ar-SA"/>
        </w:rPr>
        <w:t>任期满后的保修期内，承包人可不在工地留有</w:t>
      </w:r>
      <w:r>
        <w:rPr>
          <w:rFonts w:hint="eastAsia" w:ascii="宋体" w:hAnsi="宋体" w:eastAsia="宋体" w:cs="宋体"/>
          <w:snapToGrid w:val="0"/>
          <w:color w:val="000000"/>
          <w:kern w:val="0"/>
          <w:sz w:val="20"/>
          <w:szCs w:val="20"/>
          <w:lang w:val="en-US" w:eastAsia="en-US" w:bidi="ar-SA"/>
        </w:rPr>
        <w:t>办事人员和机械设备，但必须随时与发包人保持联系，在保修期内承包人应对由于施工质量原因造成的损坏自费进行修</w:t>
      </w:r>
      <w:r>
        <w:rPr>
          <w:rFonts w:hint="eastAsia" w:ascii="宋体" w:hAnsi="宋体" w:eastAsia="宋体" w:cs="宋体"/>
          <w:snapToGrid w:val="0"/>
          <w:color w:val="000000"/>
          <w:spacing w:val="-11"/>
          <w:kern w:val="0"/>
          <w:sz w:val="20"/>
          <w:szCs w:val="20"/>
          <w:lang w:val="en-US" w:eastAsia="en-US" w:bidi="ar-SA"/>
        </w:rPr>
        <w:t>复。</w:t>
      </w:r>
    </w:p>
    <w:p w14:paraId="4E670DE7">
      <w:pPr>
        <w:kinsoku w:val="0"/>
        <w:autoSpaceDE w:val="0"/>
        <w:autoSpaceDN w:val="0"/>
        <w:adjustRightInd w:val="0"/>
        <w:snapToGrid w:val="0"/>
        <w:spacing w:before="112" w:line="240" w:lineRule="auto"/>
        <w:ind w:left="40" w:right="4" w:firstLine="48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（2）在全部工程交工验收前，已经发包人提前验收的单位工程，其保修期的起</w:t>
      </w:r>
      <w:r>
        <w:rPr>
          <w:rFonts w:hint="eastAsia" w:ascii="宋体" w:hAnsi="宋体" w:eastAsia="宋体" w:cs="宋体"/>
          <w:snapToGrid w:val="0"/>
          <w:color w:val="000000"/>
          <w:spacing w:val="-6"/>
          <w:kern w:val="0"/>
          <w:sz w:val="20"/>
          <w:szCs w:val="20"/>
          <w:lang w:val="en-US" w:eastAsia="en-US" w:bidi="ar-SA"/>
        </w:rPr>
        <w:t>算日期相应提前。</w:t>
      </w:r>
    </w:p>
    <w:p w14:paraId="261CEF77">
      <w:pPr>
        <w:kinsoku w:val="0"/>
        <w:autoSpaceDE w:val="0"/>
        <w:autoSpaceDN w:val="0"/>
        <w:adjustRightInd w:val="0"/>
        <w:snapToGrid w:val="0"/>
        <w:spacing w:before="115"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（3）工程保修期终止后</w:t>
      </w:r>
      <w:r>
        <w:rPr>
          <w:rFonts w:hint="eastAsia" w:ascii="宋体" w:hAnsi="宋体" w:eastAsia="宋体" w:cs="宋体"/>
          <w:snapToGrid w:val="0"/>
          <w:color w:val="000000"/>
          <w:spacing w:val="-48"/>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28 天内，监理人签发保修期终止证书。</w:t>
      </w:r>
    </w:p>
    <w:p w14:paraId="42C6742B">
      <w:pPr>
        <w:kinsoku w:val="0"/>
        <w:autoSpaceDE w:val="0"/>
        <w:autoSpaceDN w:val="0"/>
        <w:adjustRightInd w:val="0"/>
        <w:snapToGrid w:val="0"/>
        <w:spacing w:before="96" w:line="240" w:lineRule="auto"/>
        <w:ind w:left="42" w:right="4" w:firstLine="481"/>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3"/>
          <w:kern w:val="0"/>
          <w:sz w:val="20"/>
          <w:szCs w:val="20"/>
          <w:lang w:val="en-US" w:eastAsia="en-US" w:bidi="ar-SA"/>
        </w:rPr>
        <w:t>（4）若承包人不履行保修义务和责任，则承包人应承担由于违约造成的法律后</w:t>
      </w:r>
      <w:r>
        <w:rPr>
          <w:rFonts w:hint="eastAsia" w:ascii="宋体" w:hAnsi="宋体" w:eastAsia="宋体" w:cs="宋体"/>
          <w:snapToGrid w:val="0"/>
          <w:color w:val="000000"/>
          <w:kern w:val="0"/>
          <w:sz w:val="20"/>
          <w:szCs w:val="20"/>
          <w:lang w:val="en-US" w:eastAsia="en-US" w:bidi="ar-SA"/>
        </w:rPr>
        <w:t>果，并由发包人将其违约行为上报省级交通运输主管部门，作为不良记录纳入公路</w:t>
      </w:r>
      <w:r>
        <w:rPr>
          <w:rFonts w:hint="eastAsia" w:ascii="宋体" w:hAnsi="宋体" w:eastAsia="宋体" w:cs="宋体"/>
          <w:snapToGrid w:val="0"/>
          <w:color w:val="000000"/>
          <w:spacing w:val="-4"/>
          <w:kern w:val="0"/>
          <w:sz w:val="20"/>
          <w:szCs w:val="20"/>
          <w:lang w:val="en-US" w:eastAsia="en-US" w:bidi="ar-SA"/>
        </w:rPr>
        <w:t>建设市场</w:t>
      </w:r>
      <w:r>
        <w:rPr>
          <w:rFonts w:hint="eastAsia" w:ascii="宋体" w:hAnsi="宋体" w:eastAsia="宋体" w:cs="宋体"/>
          <w:snapToGrid w:val="0"/>
          <w:color w:val="000000"/>
          <w:spacing w:val="-4"/>
          <w:kern w:val="0"/>
          <w:sz w:val="20"/>
          <w:szCs w:val="20"/>
          <w:lang w:val="en-US" w:eastAsia="zh-CN" w:bidi="ar-SA"/>
        </w:rPr>
        <w:t>监督</w:t>
      </w:r>
      <w:r>
        <w:rPr>
          <w:rFonts w:hint="eastAsia" w:ascii="宋体" w:hAnsi="宋体" w:eastAsia="宋体" w:cs="宋体"/>
          <w:snapToGrid w:val="0"/>
          <w:color w:val="000000"/>
          <w:spacing w:val="-4"/>
          <w:kern w:val="0"/>
          <w:sz w:val="20"/>
          <w:szCs w:val="20"/>
          <w:lang w:val="en-US" w:eastAsia="en-US" w:bidi="ar-SA"/>
        </w:rPr>
        <w:t>管理系统。</w:t>
      </w:r>
    </w:p>
    <w:p w14:paraId="2CEDDD6F">
      <w:pPr>
        <w:spacing w:before="91" w:line="240" w:lineRule="auto"/>
        <w:ind w:left="34"/>
        <w:outlineLvl w:val="0"/>
        <w:rPr>
          <w:rFonts w:hint="eastAsia" w:ascii="宋体" w:hAnsi="宋体" w:eastAsia="宋体" w:cs="宋体"/>
          <w:sz w:val="20"/>
          <w:szCs w:val="20"/>
        </w:rPr>
      </w:pPr>
      <w:bookmarkStart w:id="37" w:name="bookmark63"/>
      <w:bookmarkEnd w:id="37"/>
      <w:r>
        <w:rPr>
          <w:rFonts w:hint="eastAsia" w:ascii="宋体" w:hAnsi="宋体" w:eastAsia="宋体" w:cs="宋体"/>
          <w:spacing w:val="-1"/>
          <w:sz w:val="20"/>
          <w:szCs w:val="20"/>
        </w:rPr>
        <w:t>20.  保险</w:t>
      </w:r>
    </w:p>
    <w:p w14:paraId="07E06A11">
      <w:pPr>
        <w:spacing w:before="313"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20.1 工程保险</w:t>
      </w:r>
    </w:p>
    <w:p w14:paraId="354906E3">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本款约定为：</w:t>
      </w:r>
    </w:p>
    <w:p w14:paraId="688ACEF5">
      <w:pPr>
        <w:kinsoku w:val="0"/>
        <w:autoSpaceDE w:val="0"/>
        <w:autoSpaceDN w:val="0"/>
        <w:adjustRightInd w:val="0"/>
        <w:snapToGrid w:val="0"/>
        <w:spacing w:before="115" w:line="240" w:lineRule="auto"/>
        <w:ind w:left="38" w:right="91" w:firstLine="48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建筑工程一切险的投保内容：为本合同工程的永久工程、临时工程和设备及已</w:t>
      </w:r>
      <w:r>
        <w:rPr>
          <w:rFonts w:hint="eastAsia" w:ascii="宋体" w:hAnsi="宋体" w:eastAsia="宋体" w:cs="宋体"/>
          <w:snapToGrid w:val="0"/>
          <w:color w:val="000000"/>
          <w:spacing w:val="-2"/>
          <w:kern w:val="0"/>
          <w:sz w:val="20"/>
          <w:szCs w:val="20"/>
          <w:lang w:val="en-US" w:eastAsia="en-US" w:bidi="ar-SA"/>
        </w:rPr>
        <w:t>运至施工工地用于永久工程的材料和设备所投的保险。</w:t>
      </w:r>
    </w:p>
    <w:p w14:paraId="26AB6DC3">
      <w:pPr>
        <w:kinsoku w:val="0"/>
        <w:autoSpaceDE w:val="0"/>
        <w:autoSpaceDN w:val="0"/>
        <w:adjustRightInd w:val="0"/>
        <w:snapToGrid w:val="0"/>
        <w:spacing w:line="240" w:lineRule="auto"/>
        <w:ind w:left="51" w:right="86" w:firstLine="46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保险金额：工程量清单第 100</w:t>
      </w:r>
      <w:r>
        <w:rPr>
          <w:rFonts w:hint="eastAsia" w:ascii="宋体" w:hAnsi="宋体" w:eastAsia="宋体" w:cs="宋体"/>
          <w:snapToGrid w:val="0"/>
          <w:color w:val="000000"/>
          <w:spacing w:val="37"/>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章（不含建筑工程一切险及第三者责任险的保险</w:t>
      </w:r>
      <w:r>
        <w:rPr>
          <w:rFonts w:hint="eastAsia" w:ascii="宋体" w:hAnsi="宋体" w:eastAsia="宋体" w:cs="宋体"/>
          <w:snapToGrid w:val="0"/>
          <w:color w:val="000000"/>
          <w:spacing w:val="-6"/>
          <w:kern w:val="0"/>
          <w:sz w:val="20"/>
          <w:szCs w:val="20"/>
          <w:lang w:val="en-US" w:eastAsia="en-US" w:bidi="ar-SA"/>
        </w:rPr>
        <w:t>费）至第</w:t>
      </w:r>
      <w:r>
        <w:rPr>
          <w:rFonts w:hint="eastAsia" w:ascii="宋体" w:hAnsi="宋体" w:eastAsia="宋体" w:cs="宋体"/>
          <w:snapToGrid w:val="0"/>
          <w:color w:val="000000"/>
          <w:spacing w:val="-45"/>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700</w:t>
      </w:r>
      <w:r>
        <w:rPr>
          <w:rFonts w:hint="eastAsia" w:ascii="宋体" w:hAnsi="宋体" w:eastAsia="宋体" w:cs="宋体"/>
          <w:snapToGrid w:val="0"/>
          <w:color w:val="000000"/>
          <w:spacing w:val="18"/>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章的合计金额。</w:t>
      </w:r>
    </w:p>
    <w:p w14:paraId="74D42077">
      <w:pPr>
        <w:kinsoku w:val="0"/>
        <w:autoSpaceDE w:val="0"/>
        <w:autoSpaceDN w:val="0"/>
        <w:adjustRightInd w:val="0"/>
        <w:snapToGrid w:val="0"/>
        <w:spacing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保险费率：在项目专用合同条款数据表中约定。</w:t>
      </w:r>
    </w:p>
    <w:p w14:paraId="25BB997B">
      <w:pPr>
        <w:kinsoku w:val="0"/>
        <w:autoSpaceDE w:val="0"/>
        <w:autoSpaceDN w:val="0"/>
        <w:adjustRightInd w:val="0"/>
        <w:snapToGrid w:val="0"/>
        <w:spacing w:before="117" w:line="240" w:lineRule="auto"/>
        <w:ind w:left="58" w:right="90" w:firstLine="46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保险期限：开工日起直至本合同工程签发缺陷责</w:t>
      </w:r>
      <w:r>
        <w:rPr>
          <w:rFonts w:hint="eastAsia" w:ascii="宋体" w:hAnsi="宋体" w:eastAsia="宋体" w:cs="宋体"/>
          <w:snapToGrid w:val="0"/>
          <w:color w:val="000000"/>
          <w:kern w:val="0"/>
          <w:sz w:val="20"/>
          <w:szCs w:val="20"/>
          <w:lang w:val="en-US" w:eastAsia="en-US" w:bidi="ar-SA"/>
        </w:rPr>
        <w:t>任期终止证书止（即合同工期+缺陷责任期）。</w:t>
      </w:r>
    </w:p>
    <w:p w14:paraId="0A040969">
      <w:pPr>
        <w:kinsoku w:val="0"/>
        <w:autoSpaceDE w:val="0"/>
        <w:autoSpaceDN w:val="0"/>
        <w:adjustRightInd w:val="0"/>
        <w:snapToGrid w:val="0"/>
        <w:spacing w:line="240" w:lineRule="auto"/>
        <w:ind w:left="40" w:right="88" w:firstLine="478"/>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承包人应以发包人和承包人的共同名义投保建筑</w:t>
      </w:r>
      <w:r>
        <w:rPr>
          <w:rFonts w:hint="eastAsia" w:ascii="宋体" w:hAnsi="宋体" w:eastAsia="宋体" w:cs="宋体"/>
          <w:snapToGrid w:val="0"/>
          <w:color w:val="000000"/>
          <w:kern w:val="0"/>
          <w:sz w:val="20"/>
          <w:szCs w:val="20"/>
          <w:lang w:val="en-US" w:eastAsia="en-US" w:bidi="ar-SA"/>
        </w:rPr>
        <w:t>工程一切险。建筑工程一切险</w:t>
      </w:r>
      <w:r>
        <w:rPr>
          <w:rFonts w:hint="eastAsia" w:ascii="宋体" w:hAnsi="宋体" w:eastAsia="宋体" w:cs="宋体"/>
          <w:snapToGrid w:val="0"/>
          <w:color w:val="000000"/>
          <w:spacing w:val="-2"/>
          <w:kern w:val="0"/>
          <w:sz w:val="20"/>
          <w:szCs w:val="20"/>
          <w:lang w:val="en-US" w:eastAsia="en-US" w:bidi="ar-SA"/>
        </w:rPr>
        <w:t>的保险费由承包人报价时列入工程量清单第 100</w:t>
      </w:r>
      <w:r>
        <w:rPr>
          <w:rFonts w:hint="eastAsia" w:ascii="宋体" w:hAnsi="宋体" w:eastAsia="宋体" w:cs="宋体"/>
          <w:snapToGrid w:val="0"/>
          <w:color w:val="000000"/>
          <w:spacing w:val="38"/>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章内。发包人在接到保险单后，将</w:t>
      </w:r>
      <w:bookmarkStart w:id="38" w:name="bookmark64"/>
      <w:bookmarkEnd w:id="38"/>
      <w:r>
        <w:rPr>
          <w:rFonts w:hint="eastAsia" w:ascii="宋体" w:hAnsi="宋体" w:eastAsia="宋体" w:cs="宋体"/>
          <w:snapToGrid w:val="0"/>
          <w:color w:val="000000"/>
          <w:spacing w:val="-3"/>
          <w:kern w:val="0"/>
          <w:sz w:val="20"/>
          <w:szCs w:val="20"/>
          <w:lang w:val="en-US" w:eastAsia="en-US" w:bidi="ar-SA"/>
        </w:rPr>
        <w:t>按照保险单的费用直接向承包人支付。</w:t>
      </w:r>
    </w:p>
    <w:p w14:paraId="2054F4A5">
      <w:pPr>
        <w:spacing w:before="227"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20.4  第三者责任险</w:t>
      </w:r>
    </w:p>
    <w:p w14:paraId="65D8F9FB">
      <w:pPr>
        <w:spacing w:line="240" w:lineRule="auto"/>
        <w:rPr>
          <w:rFonts w:hint="eastAsia" w:ascii="宋体" w:hAnsi="宋体" w:eastAsia="宋体" w:cs="宋体"/>
          <w:sz w:val="20"/>
          <w:szCs w:val="20"/>
        </w:rPr>
      </w:pPr>
    </w:p>
    <w:p w14:paraId="0CA38D84">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第</w:t>
      </w:r>
      <w:r>
        <w:rPr>
          <w:rFonts w:hint="eastAsia" w:ascii="宋体" w:hAnsi="宋体" w:eastAsia="宋体" w:cs="宋体"/>
          <w:snapToGrid w:val="0"/>
          <w:color w:val="000000"/>
          <w:spacing w:val="-47"/>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20.4.2 项补充：</w:t>
      </w:r>
    </w:p>
    <w:p w14:paraId="4218285C">
      <w:pPr>
        <w:kinsoku w:val="0"/>
        <w:autoSpaceDE w:val="0"/>
        <w:autoSpaceDN w:val="0"/>
        <w:adjustRightInd w:val="0"/>
        <w:snapToGrid w:val="0"/>
        <w:spacing w:before="95" w:line="240" w:lineRule="auto"/>
        <w:ind w:left="37" w:right="86" w:firstLine="48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第三者责任险的保险费由承包人报价时列入工程量清单第 100</w:t>
      </w:r>
      <w:r>
        <w:rPr>
          <w:rFonts w:hint="eastAsia" w:ascii="宋体" w:hAnsi="宋体" w:eastAsia="宋体" w:cs="宋体"/>
          <w:snapToGrid w:val="0"/>
          <w:color w:val="000000"/>
          <w:spacing w:val="38"/>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章内。发包人在</w:t>
      </w:r>
      <w:bookmarkStart w:id="39" w:name="bookmark65"/>
      <w:bookmarkEnd w:id="39"/>
      <w:r>
        <w:rPr>
          <w:rFonts w:hint="eastAsia" w:ascii="宋体" w:hAnsi="宋体" w:eastAsia="宋体" w:cs="宋体"/>
          <w:snapToGrid w:val="0"/>
          <w:color w:val="000000"/>
          <w:spacing w:val="-2"/>
          <w:kern w:val="0"/>
          <w:sz w:val="20"/>
          <w:szCs w:val="20"/>
          <w:lang w:val="en-US" w:eastAsia="en-US" w:bidi="ar-SA"/>
        </w:rPr>
        <w:t>接到保险单后，将按照保险单的费用直接向承包人支付。</w:t>
      </w:r>
    </w:p>
    <w:p w14:paraId="692824E1">
      <w:pPr>
        <w:spacing w:before="238"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20.5  其他保险</w:t>
      </w:r>
    </w:p>
    <w:p w14:paraId="2BBA3B7F">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本款约定为：</w:t>
      </w:r>
    </w:p>
    <w:p w14:paraId="2EB2BC9C">
      <w:pPr>
        <w:kinsoku w:val="0"/>
        <w:autoSpaceDE w:val="0"/>
        <w:autoSpaceDN w:val="0"/>
        <w:adjustRightInd w:val="0"/>
        <w:snapToGrid w:val="0"/>
        <w:spacing w:before="115" w:line="240" w:lineRule="auto"/>
        <w:ind w:left="40" w:right="92" w:firstLine="4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承包人应为其施工设备等办理保险，其投保金额应足以现场重置。办理本款保</w:t>
      </w:r>
      <w:r>
        <w:rPr>
          <w:rFonts w:hint="eastAsia" w:ascii="宋体" w:hAnsi="宋体" w:eastAsia="宋体" w:cs="宋体"/>
          <w:snapToGrid w:val="0"/>
          <w:color w:val="000000"/>
          <w:kern w:val="0"/>
          <w:sz w:val="20"/>
          <w:szCs w:val="20"/>
          <w:lang w:val="en-US" w:eastAsia="en-US" w:bidi="ar-SA"/>
        </w:rPr>
        <w:t>险的一切费用均由承包人承担，并包括在工程量清单的单价及总额价中，发包人不</w:t>
      </w:r>
      <w:r>
        <w:rPr>
          <w:rFonts w:hint="eastAsia" w:ascii="宋体" w:hAnsi="宋体" w:eastAsia="宋体" w:cs="宋体"/>
          <w:snapToGrid w:val="0"/>
          <w:color w:val="000000"/>
          <w:spacing w:val="-8"/>
          <w:kern w:val="0"/>
          <w:sz w:val="20"/>
          <w:szCs w:val="20"/>
          <w:lang w:val="en-US" w:eastAsia="en-US" w:bidi="ar-SA"/>
        </w:rPr>
        <w:t>单独支付。</w:t>
      </w:r>
    </w:p>
    <w:p w14:paraId="214DAEE8">
      <w:pPr>
        <w:spacing w:before="217"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20.6  对各项保险的一般要求</w:t>
      </w:r>
    </w:p>
    <w:p w14:paraId="6956E43B">
      <w:pPr>
        <w:spacing w:before="78" w:line="240" w:lineRule="auto"/>
        <w:ind w:left="424"/>
        <w:outlineLvl w:val="2"/>
        <w:rPr>
          <w:rFonts w:hint="eastAsia" w:ascii="宋体" w:hAnsi="宋体" w:eastAsia="宋体" w:cs="宋体"/>
          <w:sz w:val="20"/>
          <w:szCs w:val="20"/>
        </w:rPr>
      </w:pPr>
      <w:r>
        <w:rPr>
          <w:rFonts w:hint="eastAsia" w:ascii="宋体" w:hAnsi="宋体" w:eastAsia="宋体" w:cs="宋体"/>
          <w:spacing w:val="-1"/>
          <w:sz w:val="20"/>
          <w:szCs w:val="20"/>
        </w:rPr>
        <w:t>20.6.1  保险凭证</w:t>
      </w:r>
    </w:p>
    <w:p w14:paraId="48F3FA50">
      <w:pPr>
        <w:kinsoku w:val="0"/>
        <w:autoSpaceDE w:val="0"/>
        <w:autoSpaceDN w:val="0"/>
        <w:adjustRightInd w:val="0"/>
        <w:snapToGrid w:val="0"/>
        <w:spacing w:before="100"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本项约定为：</w:t>
      </w:r>
    </w:p>
    <w:p w14:paraId="2A66ADC0">
      <w:pPr>
        <w:kinsoku w:val="0"/>
        <w:autoSpaceDE w:val="0"/>
        <w:autoSpaceDN w:val="0"/>
        <w:adjustRightInd w:val="0"/>
        <w:snapToGrid w:val="0"/>
        <w:spacing w:before="113" w:line="240" w:lineRule="auto"/>
        <w:ind w:firstLine="380" w:firstLineChars="20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承包人向发包人提交各项保险生效的证据和保险单副本的期限：开</w:t>
      </w:r>
      <w:r>
        <w:rPr>
          <w:rFonts w:hint="eastAsia" w:ascii="宋体" w:hAnsi="宋体" w:eastAsia="宋体" w:cs="宋体"/>
          <w:snapToGrid w:val="0"/>
          <w:color w:val="000000"/>
          <w:spacing w:val="-6"/>
          <w:kern w:val="0"/>
          <w:sz w:val="20"/>
          <w:szCs w:val="20"/>
          <w:lang w:val="en-US" w:eastAsia="en-US" w:bidi="ar-SA"/>
        </w:rPr>
        <w:t>工后</w:t>
      </w:r>
      <w:r>
        <w:rPr>
          <w:rFonts w:hint="eastAsia" w:ascii="宋体" w:hAnsi="宋体" w:eastAsia="宋体" w:cs="宋体"/>
          <w:snapToGrid w:val="0"/>
          <w:color w:val="000000"/>
          <w:spacing w:val="-46"/>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56</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天内。</w:t>
      </w:r>
    </w:p>
    <w:p w14:paraId="5BA848FB">
      <w:pPr>
        <w:spacing w:before="99" w:line="240" w:lineRule="auto"/>
        <w:ind w:left="424"/>
        <w:rPr>
          <w:rFonts w:hint="eastAsia" w:ascii="宋体" w:hAnsi="宋体" w:eastAsia="宋体" w:cs="宋体"/>
          <w:sz w:val="20"/>
          <w:szCs w:val="20"/>
          <w:lang w:eastAsia="zh-CN"/>
        </w:rPr>
      </w:pPr>
      <w:r>
        <w:rPr>
          <w:rFonts w:hint="eastAsia" w:ascii="宋体" w:hAnsi="宋体" w:eastAsia="宋体" w:cs="宋体"/>
          <w:spacing w:val="-1"/>
          <w:sz w:val="20"/>
          <w:szCs w:val="20"/>
        </w:rPr>
        <w:t>20.6.3  持续保险</w:t>
      </w:r>
    </w:p>
    <w:p w14:paraId="26B399C9">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本项补充：</w:t>
      </w:r>
    </w:p>
    <w:p w14:paraId="5F4D2D33">
      <w:pPr>
        <w:kinsoku w:val="0"/>
        <w:autoSpaceDE w:val="0"/>
        <w:autoSpaceDN w:val="0"/>
        <w:adjustRightInd w:val="0"/>
        <w:snapToGrid w:val="0"/>
        <w:spacing w:before="113" w:line="240" w:lineRule="auto"/>
        <w:ind w:left="51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在整个合同期内，承包人应按合同条款规定保证足够的保险额。</w:t>
      </w:r>
    </w:p>
    <w:p w14:paraId="356DE45A">
      <w:pPr>
        <w:spacing w:before="115" w:line="240" w:lineRule="auto"/>
        <w:ind w:left="424"/>
        <w:outlineLvl w:val="2"/>
        <w:rPr>
          <w:rFonts w:hint="eastAsia" w:ascii="宋体" w:hAnsi="宋体" w:eastAsia="宋体" w:cs="宋体"/>
          <w:sz w:val="20"/>
          <w:szCs w:val="20"/>
        </w:rPr>
      </w:pPr>
      <w:r>
        <w:rPr>
          <w:rFonts w:hint="eastAsia" w:ascii="宋体" w:hAnsi="宋体" w:eastAsia="宋体" w:cs="宋体"/>
          <w:spacing w:val="-1"/>
          <w:sz w:val="20"/>
          <w:szCs w:val="20"/>
        </w:rPr>
        <w:t>20.6.4  保险金不足的补偿</w:t>
      </w:r>
    </w:p>
    <w:p w14:paraId="38AC0552">
      <w:pPr>
        <w:kinsoku w:val="0"/>
        <w:autoSpaceDE w:val="0"/>
        <w:autoSpaceDN w:val="0"/>
        <w:adjustRightInd w:val="0"/>
        <w:snapToGrid w:val="0"/>
        <w:spacing w:before="97"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本项细化为：</w:t>
      </w:r>
    </w:p>
    <w:p w14:paraId="4245B438">
      <w:pPr>
        <w:kinsoku w:val="0"/>
        <w:autoSpaceDE w:val="0"/>
        <w:autoSpaceDN w:val="0"/>
        <w:adjustRightInd w:val="0"/>
        <w:snapToGrid w:val="0"/>
        <w:spacing w:before="114" w:line="240" w:lineRule="auto"/>
        <w:ind w:left="44" w:right="87" w:firstLine="47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保险金不足以补偿损失的（包括免赔额和超过赔偿限额的部分</w:t>
      </w:r>
      <w:r>
        <w:rPr>
          <w:rFonts w:hint="eastAsia" w:ascii="宋体" w:hAnsi="宋体" w:eastAsia="宋体" w:cs="宋体"/>
          <w:snapToGrid w:val="0"/>
          <w:color w:val="000000"/>
          <w:spacing w:val="-61"/>
          <w:w w:val="96"/>
          <w:kern w:val="0"/>
          <w:sz w:val="20"/>
          <w:szCs w:val="20"/>
          <w:lang w:val="en-US" w:eastAsia="en-US" w:bidi="ar-SA"/>
        </w:rPr>
        <w:t>），</w:t>
      </w:r>
      <w:r>
        <w:rPr>
          <w:rFonts w:hint="eastAsia" w:ascii="宋体" w:hAnsi="宋体" w:eastAsia="宋体" w:cs="宋体"/>
          <w:snapToGrid w:val="0"/>
          <w:color w:val="000000"/>
          <w:spacing w:val="-3"/>
          <w:kern w:val="0"/>
          <w:sz w:val="20"/>
          <w:szCs w:val="20"/>
          <w:lang w:val="en-US" w:eastAsia="en-US" w:bidi="ar-SA"/>
        </w:rPr>
        <w:t>应由承包人和（或）发包人按合同约定负责补偿。</w:t>
      </w:r>
    </w:p>
    <w:p w14:paraId="0F6F8BA8">
      <w:pPr>
        <w:spacing w:line="240" w:lineRule="auto"/>
        <w:ind w:left="424"/>
        <w:outlineLvl w:val="2"/>
        <w:rPr>
          <w:rFonts w:hint="eastAsia" w:ascii="宋体" w:hAnsi="宋体" w:eastAsia="宋体" w:cs="宋体"/>
          <w:sz w:val="20"/>
          <w:szCs w:val="20"/>
        </w:rPr>
      </w:pPr>
      <w:r>
        <w:rPr>
          <w:rFonts w:hint="eastAsia" w:ascii="宋体" w:hAnsi="宋体" w:eastAsia="宋体" w:cs="宋体"/>
          <w:spacing w:val="-1"/>
          <w:sz w:val="20"/>
          <w:szCs w:val="20"/>
        </w:rPr>
        <w:t>20.6.5  未按约定投保的补救</w:t>
      </w:r>
    </w:p>
    <w:p w14:paraId="5AC7902E">
      <w:pPr>
        <w:kinsoku w:val="0"/>
        <w:autoSpaceDE w:val="0"/>
        <w:autoSpaceDN w:val="0"/>
        <w:adjustRightInd w:val="0"/>
        <w:snapToGrid w:val="0"/>
        <w:spacing w:before="96" w:line="240" w:lineRule="auto"/>
        <w:ind w:left="430"/>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本项（2）</w:t>
      </w:r>
      <w:r>
        <w:rPr>
          <w:rFonts w:hint="eastAsia" w:ascii="宋体" w:hAnsi="宋体" w:eastAsia="宋体" w:cs="宋体"/>
          <w:snapToGrid w:val="0"/>
          <w:color w:val="000000"/>
          <w:spacing w:val="-65"/>
          <w:kern w:val="0"/>
          <w:sz w:val="20"/>
          <w:szCs w:val="20"/>
          <w:lang w:val="en-US" w:eastAsia="en-US" w:bidi="ar-SA"/>
        </w:rPr>
        <w:t xml:space="preserve"> </w:t>
      </w:r>
      <w:r>
        <w:rPr>
          <w:rFonts w:hint="eastAsia" w:ascii="宋体" w:hAnsi="宋体" w:eastAsia="宋体" w:cs="宋体"/>
          <w:snapToGrid w:val="0"/>
          <w:color w:val="000000"/>
          <w:spacing w:val="-10"/>
          <w:kern w:val="0"/>
          <w:sz w:val="20"/>
          <w:szCs w:val="20"/>
          <w:lang w:val="en-US" w:eastAsia="en-US" w:bidi="ar-SA"/>
        </w:rPr>
        <w:t>目细化为：</w:t>
      </w:r>
    </w:p>
    <w:p w14:paraId="0BAFC227">
      <w:pPr>
        <w:kinsoku w:val="0"/>
        <w:autoSpaceDE w:val="0"/>
        <w:autoSpaceDN w:val="0"/>
        <w:adjustRightInd w:val="0"/>
        <w:snapToGrid w:val="0"/>
        <w:spacing w:before="96" w:line="240" w:lineRule="auto"/>
        <w:ind w:left="40" w:firstLine="395"/>
        <w:jc w:val="both"/>
        <w:textAlignment w:val="baseline"/>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（2）由于负有投保义务的一方当事人未按合同约定办理某</w:t>
      </w:r>
      <w:r>
        <w:rPr>
          <w:rFonts w:hint="eastAsia" w:ascii="宋体" w:hAnsi="宋体" w:eastAsia="宋体" w:cs="宋体"/>
          <w:snapToGrid w:val="0"/>
          <w:color w:val="000000"/>
          <w:spacing w:val="-1"/>
          <w:kern w:val="0"/>
          <w:sz w:val="20"/>
          <w:szCs w:val="20"/>
          <w:lang w:val="en-US" w:eastAsia="en-US" w:bidi="ar-SA"/>
        </w:rPr>
        <w:t>项保险，或未按保险</w:t>
      </w:r>
      <w:r>
        <w:rPr>
          <w:rFonts w:hint="eastAsia" w:ascii="宋体" w:hAnsi="宋体" w:eastAsia="宋体" w:cs="宋体"/>
          <w:snapToGrid w:val="0"/>
          <w:color w:val="000000"/>
          <w:spacing w:val="-4"/>
          <w:kern w:val="0"/>
          <w:sz w:val="20"/>
          <w:szCs w:val="20"/>
          <w:lang w:val="en-US" w:eastAsia="en-US" w:bidi="ar-SA"/>
        </w:rPr>
        <w:t>单规定的条件和期限及时向保险人报告事故情况，或未按要求的保险期限进行投</w:t>
      </w:r>
      <w:r>
        <w:rPr>
          <w:rFonts w:hint="eastAsia" w:ascii="宋体" w:hAnsi="宋体" w:eastAsia="宋体" w:cs="宋体"/>
          <w:snapToGrid w:val="0"/>
          <w:color w:val="000000"/>
          <w:spacing w:val="-5"/>
          <w:kern w:val="0"/>
          <w:sz w:val="20"/>
          <w:szCs w:val="20"/>
          <w:lang w:val="en-US" w:eastAsia="en-US" w:bidi="ar-SA"/>
        </w:rPr>
        <w:t>保，</w:t>
      </w:r>
      <w:r>
        <w:rPr>
          <w:rFonts w:hint="eastAsia" w:ascii="宋体" w:hAnsi="宋体" w:eastAsia="宋体" w:cs="宋体"/>
          <w:snapToGrid w:val="0"/>
          <w:color w:val="000000"/>
          <w:kern w:val="0"/>
          <w:sz w:val="20"/>
          <w:szCs w:val="20"/>
          <w:lang w:val="en-US" w:eastAsia="en-US" w:bidi="ar-SA"/>
        </w:rPr>
        <w:t>或未按要求投保足够的保险金额，导致受益人未能或未能全部得到保险人的赔偿，</w:t>
      </w:r>
      <w:r>
        <w:rPr>
          <w:rFonts w:hint="eastAsia" w:ascii="宋体" w:hAnsi="宋体" w:eastAsia="宋体" w:cs="宋体"/>
          <w:snapToGrid w:val="0"/>
          <w:color w:val="000000"/>
          <w:spacing w:val="-2"/>
          <w:kern w:val="0"/>
          <w:sz w:val="20"/>
          <w:szCs w:val="20"/>
          <w:lang w:val="en-US" w:eastAsia="en-US" w:bidi="ar-SA"/>
        </w:rPr>
        <w:t>原应从该项保险得到的保险金应由负有投保义务的一方当事人支付。</w:t>
      </w:r>
    </w:p>
    <w:p w14:paraId="3DD87982">
      <w:pPr>
        <w:spacing w:before="92" w:line="240" w:lineRule="auto"/>
        <w:ind w:left="34"/>
        <w:outlineLvl w:val="0"/>
        <w:rPr>
          <w:rFonts w:hint="eastAsia" w:ascii="宋体" w:hAnsi="宋体" w:eastAsia="宋体" w:cs="宋体"/>
          <w:sz w:val="20"/>
          <w:szCs w:val="20"/>
        </w:rPr>
      </w:pPr>
      <w:r>
        <w:rPr>
          <w:rFonts w:hint="eastAsia" w:ascii="宋体" w:hAnsi="宋体" w:eastAsia="宋体" w:cs="宋体"/>
          <w:spacing w:val="-1"/>
          <w:sz w:val="20"/>
          <w:szCs w:val="20"/>
        </w:rPr>
        <w:t>21.  不可抗力</w:t>
      </w:r>
    </w:p>
    <w:p w14:paraId="6380B196">
      <w:pPr>
        <w:spacing w:before="314"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21.1  不可抗力的确认</w:t>
      </w:r>
    </w:p>
    <w:p w14:paraId="5F88A4A0">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第</w:t>
      </w:r>
      <w:r>
        <w:rPr>
          <w:rFonts w:hint="eastAsia" w:ascii="宋体" w:hAnsi="宋体" w:eastAsia="宋体" w:cs="宋体"/>
          <w:snapToGrid w:val="0"/>
          <w:color w:val="000000"/>
          <w:spacing w:val="-54"/>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21.1.1</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项细化为：</w:t>
      </w:r>
    </w:p>
    <w:p w14:paraId="25124612">
      <w:pPr>
        <w:kinsoku w:val="0"/>
        <w:autoSpaceDE w:val="0"/>
        <w:autoSpaceDN w:val="0"/>
        <w:adjustRightInd w:val="0"/>
        <w:snapToGrid w:val="0"/>
        <w:spacing w:before="99" w:line="240" w:lineRule="auto"/>
        <w:ind w:left="36" w:right="74"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不可抗力是指承包人和发包人在订立合同时不可预见，在工程施工过程中不可</w:t>
      </w:r>
      <w:r>
        <w:rPr>
          <w:rFonts w:hint="eastAsia" w:ascii="宋体" w:hAnsi="宋体" w:eastAsia="宋体" w:cs="宋体"/>
          <w:snapToGrid w:val="0"/>
          <w:color w:val="000000"/>
          <w:spacing w:val="-2"/>
          <w:kern w:val="0"/>
          <w:sz w:val="20"/>
          <w:szCs w:val="20"/>
          <w:lang w:val="en-US" w:eastAsia="en-US" w:bidi="ar-SA"/>
        </w:rPr>
        <w:t>避免发生并不能克服的自然灾害和社会性突发事件。包括但不限于：</w:t>
      </w:r>
    </w:p>
    <w:p w14:paraId="647EEF6C">
      <w:pPr>
        <w:kinsoku w:val="0"/>
        <w:autoSpaceDE w:val="0"/>
        <w:autoSpaceDN w:val="0"/>
        <w:adjustRightInd w:val="0"/>
        <w:snapToGrid w:val="0"/>
        <w:spacing w:before="1" w:line="240" w:lineRule="auto"/>
        <w:ind w:left="39" w:right="71"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（1）地震、海啸、火山爆发、泥石流、暴雨（雪）、台风、龙卷风、水灾等自</w:t>
      </w:r>
      <w:r>
        <w:rPr>
          <w:rFonts w:hint="eastAsia" w:ascii="宋体" w:hAnsi="宋体" w:eastAsia="宋体" w:cs="宋体"/>
          <w:snapToGrid w:val="0"/>
          <w:color w:val="000000"/>
          <w:spacing w:val="-13"/>
          <w:kern w:val="0"/>
          <w:sz w:val="20"/>
          <w:szCs w:val="20"/>
          <w:lang w:val="en-US" w:eastAsia="en-US" w:bidi="ar-SA"/>
        </w:rPr>
        <w:t>然灾害；</w:t>
      </w:r>
    </w:p>
    <w:p w14:paraId="4A7997DF">
      <w:pPr>
        <w:kinsoku w:val="0"/>
        <w:autoSpaceDE w:val="0"/>
        <w:autoSpaceDN w:val="0"/>
        <w:adjustRightInd w:val="0"/>
        <w:snapToGrid w:val="0"/>
        <w:spacing w:before="115" w:line="240" w:lineRule="auto"/>
        <w:ind w:left="61" w:right="66" w:firstLine="46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（2）战争、骚乱、暴动，但纯属承包人或其分包人派遣与雇用的人员由于本合</w:t>
      </w:r>
      <w:r>
        <w:rPr>
          <w:rFonts w:hint="eastAsia" w:ascii="宋体" w:hAnsi="宋体" w:eastAsia="宋体" w:cs="宋体"/>
          <w:snapToGrid w:val="0"/>
          <w:color w:val="000000"/>
          <w:spacing w:val="-7"/>
          <w:kern w:val="0"/>
          <w:sz w:val="20"/>
          <w:szCs w:val="20"/>
          <w:lang w:val="en-US" w:eastAsia="en-US" w:bidi="ar-SA"/>
        </w:rPr>
        <w:t>同工程施工原因引起者除外；</w:t>
      </w:r>
    </w:p>
    <w:p w14:paraId="62F48E38">
      <w:pPr>
        <w:kinsoku w:val="0"/>
        <w:autoSpaceDE w:val="0"/>
        <w:autoSpaceDN w:val="0"/>
        <w:adjustRightInd w:val="0"/>
        <w:snapToGrid w:val="0"/>
        <w:spacing w:before="11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（3）核反应、辐射或放射性污染；</w:t>
      </w:r>
    </w:p>
    <w:p w14:paraId="5A099AC3">
      <w:pPr>
        <w:kinsoku w:val="0"/>
        <w:autoSpaceDE w:val="0"/>
        <w:autoSpaceDN w:val="0"/>
        <w:adjustRightInd w:val="0"/>
        <w:snapToGrid w:val="0"/>
        <w:spacing w:before="9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（4）空中飞行物体坠落或非发包人或承包人责任</w:t>
      </w:r>
      <w:r>
        <w:rPr>
          <w:rFonts w:hint="eastAsia" w:ascii="宋体" w:hAnsi="宋体" w:eastAsia="宋体" w:cs="宋体"/>
          <w:snapToGrid w:val="0"/>
          <w:color w:val="000000"/>
          <w:spacing w:val="-3"/>
          <w:kern w:val="0"/>
          <w:sz w:val="20"/>
          <w:szCs w:val="20"/>
          <w:lang w:val="en-US" w:eastAsia="en-US" w:bidi="ar-SA"/>
        </w:rPr>
        <w:t>造成的爆炸、火灾；</w:t>
      </w:r>
    </w:p>
    <w:p w14:paraId="0B9A9C1E">
      <w:pPr>
        <w:kinsoku w:val="0"/>
        <w:autoSpaceDE w:val="0"/>
        <w:autoSpaceDN w:val="0"/>
        <w:adjustRightInd w:val="0"/>
        <w:snapToGrid w:val="0"/>
        <w:spacing w:before="9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9"/>
          <w:kern w:val="0"/>
          <w:sz w:val="20"/>
          <w:szCs w:val="20"/>
          <w:lang w:val="en-US" w:eastAsia="en-US" w:bidi="ar-SA"/>
        </w:rPr>
        <w:t>（5）瘟疫；</w:t>
      </w:r>
    </w:p>
    <w:p w14:paraId="2C13B381">
      <w:pPr>
        <w:kinsoku w:val="0"/>
        <w:autoSpaceDE w:val="0"/>
        <w:autoSpaceDN w:val="0"/>
        <w:adjustRightInd w:val="0"/>
        <w:snapToGrid w:val="0"/>
        <w:spacing w:before="9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（6）项目专用合同条款约定的其他情形。</w:t>
      </w:r>
    </w:p>
    <w:p w14:paraId="1BD2E977">
      <w:pPr>
        <w:spacing w:before="318"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21.3  不可抗力后果及其处理</w:t>
      </w:r>
    </w:p>
    <w:p w14:paraId="631ABAD2">
      <w:pPr>
        <w:spacing w:before="78" w:line="240" w:lineRule="auto"/>
        <w:ind w:left="504"/>
        <w:outlineLvl w:val="2"/>
        <w:rPr>
          <w:rFonts w:hint="eastAsia" w:ascii="宋体" w:hAnsi="宋体" w:eastAsia="宋体" w:cs="宋体"/>
          <w:sz w:val="20"/>
          <w:szCs w:val="20"/>
        </w:rPr>
      </w:pPr>
      <w:r>
        <w:rPr>
          <w:rFonts w:hint="eastAsia" w:ascii="宋体" w:hAnsi="宋体" w:eastAsia="宋体" w:cs="宋体"/>
          <w:spacing w:val="-1"/>
          <w:sz w:val="20"/>
          <w:szCs w:val="20"/>
        </w:rPr>
        <w:t>21.3.4  因不可抗力解除合同</w:t>
      </w:r>
    </w:p>
    <w:p w14:paraId="16FA1150">
      <w:pPr>
        <w:kinsoku w:val="0"/>
        <w:autoSpaceDE w:val="0"/>
        <w:autoSpaceDN w:val="0"/>
        <w:adjustRightInd w:val="0"/>
        <w:snapToGrid w:val="0"/>
        <w:spacing w:before="100"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本项细化为：</w:t>
      </w:r>
    </w:p>
    <w:p w14:paraId="662C358A">
      <w:pPr>
        <w:kinsoku w:val="0"/>
        <w:autoSpaceDE w:val="0"/>
        <w:autoSpaceDN w:val="0"/>
        <w:adjustRightInd w:val="0"/>
        <w:snapToGrid w:val="0"/>
        <w:spacing w:before="114" w:line="240" w:lineRule="auto"/>
        <w:ind w:left="61" w:right="66" w:firstLine="457"/>
        <w:jc w:val="left"/>
        <w:textAlignment w:val="baseline"/>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en-US" w:bidi="ar-SA"/>
        </w:rPr>
        <w:t>合同一方当事人因不可抗力不能履行合同的，应当及时通知对方解除合同。合</w:t>
      </w:r>
      <w:r>
        <w:rPr>
          <w:rFonts w:hint="eastAsia" w:ascii="宋体" w:hAnsi="宋体" w:eastAsia="宋体" w:cs="宋体"/>
          <w:snapToGrid w:val="0"/>
          <w:color w:val="000000"/>
          <w:spacing w:val="-1"/>
          <w:kern w:val="0"/>
          <w:sz w:val="20"/>
          <w:szCs w:val="20"/>
          <w:lang w:val="en-US" w:eastAsia="en-US" w:bidi="ar-SA"/>
        </w:rPr>
        <w:t>同解除后，承包人应按照第</w:t>
      </w:r>
      <w:r>
        <w:rPr>
          <w:rFonts w:hint="eastAsia" w:ascii="宋体" w:hAnsi="宋体" w:eastAsia="宋体" w:cs="宋体"/>
          <w:snapToGrid w:val="0"/>
          <w:color w:val="000000"/>
          <w:spacing w:val="-38"/>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22.2.5</w:t>
      </w:r>
      <w:r>
        <w:rPr>
          <w:rFonts w:hint="eastAsia" w:ascii="宋体" w:hAnsi="宋体" w:eastAsia="宋体" w:cs="宋体"/>
          <w:snapToGrid w:val="0"/>
          <w:color w:val="000000"/>
          <w:spacing w:val="30"/>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项约定撤离施工场地。</w:t>
      </w:r>
      <w:r>
        <w:rPr>
          <w:rFonts w:hint="eastAsia" w:ascii="宋体" w:hAnsi="宋体" w:eastAsia="宋体" w:cs="宋体"/>
          <w:snapToGrid w:val="0"/>
          <w:color w:val="000000"/>
          <w:spacing w:val="-2"/>
          <w:kern w:val="0"/>
          <w:sz w:val="20"/>
          <w:szCs w:val="20"/>
          <w:lang w:val="en-US" w:eastAsia="en-US" w:bidi="ar-SA"/>
        </w:rPr>
        <w:t>已经订货的材料、设备由</w:t>
      </w:r>
      <w:r>
        <w:rPr>
          <w:rFonts w:hint="eastAsia" w:ascii="宋体" w:hAnsi="宋体" w:eastAsia="宋体" w:cs="宋体"/>
          <w:snapToGrid w:val="0"/>
          <w:color w:val="000000"/>
          <w:kern w:val="0"/>
          <w:sz w:val="20"/>
          <w:szCs w:val="20"/>
          <w:lang w:val="en-US" w:eastAsia="en-US" w:bidi="ar-SA"/>
        </w:rPr>
        <w:t>订货方负责退货或解除订货合同，不能退还的货款和因退货、解除订货合同发生的</w:t>
      </w:r>
      <w:r>
        <w:rPr>
          <w:rFonts w:hint="eastAsia" w:ascii="宋体" w:hAnsi="宋体" w:eastAsia="宋体" w:cs="宋体"/>
          <w:snapToGrid w:val="0"/>
          <w:color w:val="000000"/>
          <w:spacing w:val="-4"/>
          <w:kern w:val="0"/>
          <w:sz w:val="20"/>
          <w:szCs w:val="20"/>
          <w:lang w:val="en-US" w:eastAsia="en-US" w:bidi="ar-SA"/>
        </w:rPr>
        <w:t>费用，由发包人承担，因未及时退货造成的损失由责任方承担。合同解除后的</w:t>
      </w:r>
      <w:r>
        <w:rPr>
          <w:rFonts w:hint="eastAsia" w:ascii="宋体" w:hAnsi="宋体" w:eastAsia="宋体" w:cs="宋体"/>
          <w:snapToGrid w:val="0"/>
          <w:color w:val="000000"/>
          <w:spacing w:val="-5"/>
          <w:kern w:val="0"/>
          <w:sz w:val="20"/>
          <w:szCs w:val="20"/>
          <w:lang w:val="en-US" w:eastAsia="en-US" w:bidi="ar-SA"/>
        </w:rPr>
        <w:t>付款，</w:t>
      </w:r>
      <w:r>
        <w:rPr>
          <w:rFonts w:hint="eastAsia" w:ascii="宋体" w:hAnsi="宋体" w:eastAsia="宋体" w:cs="宋体"/>
          <w:snapToGrid w:val="0"/>
          <w:color w:val="000000"/>
          <w:spacing w:val="-2"/>
          <w:kern w:val="0"/>
          <w:sz w:val="20"/>
          <w:szCs w:val="20"/>
          <w:lang w:val="en-US" w:eastAsia="en-US" w:bidi="ar-SA"/>
        </w:rPr>
        <w:t>参照第</w:t>
      </w:r>
      <w:r>
        <w:rPr>
          <w:rFonts w:hint="eastAsia" w:ascii="宋体" w:hAnsi="宋体" w:eastAsia="宋体" w:cs="宋体"/>
          <w:snapToGrid w:val="0"/>
          <w:color w:val="000000"/>
          <w:spacing w:val="-19"/>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22.2.4</w:t>
      </w:r>
      <w:r>
        <w:rPr>
          <w:rFonts w:hint="eastAsia" w:ascii="宋体" w:hAnsi="宋体" w:eastAsia="宋体" w:cs="宋体"/>
          <w:snapToGrid w:val="0"/>
          <w:color w:val="000000"/>
          <w:spacing w:val="38"/>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项约定，由监理人按第</w:t>
      </w:r>
      <w:r>
        <w:rPr>
          <w:rFonts w:hint="eastAsia" w:ascii="宋体" w:hAnsi="宋体" w:eastAsia="宋体" w:cs="宋体"/>
          <w:snapToGrid w:val="0"/>
          <w:color w:val="000000"/>
          <w:spacing w:val="-26"/>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3.5</w:t>
      </w:r>
      <w:r>
        <w:rPr>
          <w:rFonts w:hint="eastAsia" w:ascii="宋体" w:hAnsi="宋体" w:eastAsia="宋体" w:cs="宋体"/>
          <w:snapToGrid w:val="0"/>
          <w:color w:val="000000"/>
          <w:spacing w:val="34"/>
          <w:w w:val="101"/>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款商定或确定，但由于解除合同应赔偿的</w:t>
      </w:r>
      <w:r>
        <w:rPr>
          <w:rFonts w:hint="eastAsia" w:ascii="宋体" w:hAnsi="宋体" w:eastAsia="宋体" w:cs="宋体"/>
          <w:snapToGrid w:val="0"/>
          <w:color w:val="000000"/>
          <w:spacing w:val="-4"/>
          <w:kern w:val="0"/>
          <w:sz w:val="20"/>
          <w:szCs w:val="20"/>
          <w:lang w:val="en-US" w:eastAsia="en-US" w:bidi="ar-SA"/>
        </w:rPr>
        <w:t>承包人损失不予考虑。</w:t>
      </w:r>
    </w:p>
    <w:p w14:paraId="6F7E0B50">
      <w:pPr>
        <w:spacing w:before="91" w:line="240" w:lineRule="auto"/>
        <w:ind w:left="34"/>
        <w:outlineLvl w:val="0"/>
        <w:rPr>
          <w:rFonts w:hint="eastAsia" w:ascii="宋体" w:hAnsi="宋体" w:eastAsia="宋体" w:cs="宋体"/>
          <w:sz w:val="20"/>
          <w:szCs w:val="20"/>
        </w:rPr>
      </w:pPr>
      <w:bookmarkStart w:id="40" w:name="bookmark69"/>
      <w:bookmarkEnd w:id="40"/>
      <w:r>
        <w:rPr>
          <w:rFonts w:hint="eastAsia" w:ascii="宋体" w:hAnsi="宋体" w:eastAsia="宋体" w:cs="宋体"/>
          <w:spacing w:val="-1"/>
          <w:sz w:val="20"/>
          <w:szCs w:val="20"/>
        </w:rPr>
        <w:t>22.  违约</w:t>
      </w:r>
    </w:p>
    <w:p w14:paraId="5BD9D400">
      <w:pPr>
        <w:spacing w:before="313"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22.1  承包人违约</w:t>
      </w:r>
    </w:p>
    <w:p w14:paraId="1E5EF5CC">
      <w:pPr>
        <w:spacing w:before="78" w:line="240" w:lineRule="auto"/>
        <w:ind w:left="513"/>
        <w:outlineLvl w:val="2"/>
        <w:rPr>
          <w:rFonts w:hint="eastAsia" w:ascii="宋体" w:hAnsi="宋体" w:eastAsia="宋体" w:cs="宋体"/>
          <w:sz w:val="20"/>
          <w:szCs w:val="20"/>
        </w:rPr>
      </w:pPr>
      <w:r>
        <w:rPr>
          <w:rFonts w:hint="eastAsia" w:ascii="宋体" w:hAnsi="宋体" w:eastAsia="宋体" w:cs="宋体"/>
          <w:spacing w:val="-1"/>
          <w:sz w:val="20"/>
          <w:szCs w:val="20"/>
        </w:rPr>
        <w:t>22.1.1  承包人违约的情形</w:t>
      </w:r>
    </w:p>
    <w:p w14:paraId="0CB7CE9A">
      <w:pPr>
        <w:kinsoku w:val="0"/>
        <w:autoSpaceDE w:val="0"/>
        <w:autoSpaceDN w:val="0"/>
        <w:adjustRightInd w:val="0"/>
        <w:snapToGrid w:val="0"/>
        <w:spacing w:before="96"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本项（2）</w:t>
      </w:r>
      <w:r>
        <w:rPr>
          <w:rFonts w:hint="eastAsia" w:ascii="宋体" w:hAnsi="宋体" w:eastAsia="宋体" w:cs="宋体"/>
          <w:snapToGrid w:val="0"/>
          <w:color w:val="000000"/>
          <w:spacing w:val="-65"/>
          <w:kern w:val="0"/>
          <w:sz w:val="20"/>
          <w:szCs w:val="20"/>
          <w:lang w:val="en-US" w:eastAsia="en-US" w:bidi="ar-SA"/>
        </w:rPr>
        <w:t xml:space="preserve"> </w:t>
      </w:r>
      <w:r>
        <w:rPr>
          <w:rFonts w:hint="eastAsia" w:ascii="宋体" w:hAnsi="宋体" w:eastAsia="宋体" w:cs="宋体"/>
          <w:snapToGrid w:val="0"/>
          <w:color w:val="000000"/>
          <w:spacing w:val="-10"/>
          <w:kern w:val="0"/>
          <w:sz w:val="20"/>
          <w:szCs w:val="20"/>
          <w:lang w:val="en-US" w:eastAsia="en-US" w:bidi="ar-SA"/>
        </w:rPr>
        <w:t>目细化为：</w:t>
      </w:r>
    </w:p>
    <w:p w14:paraId="62AF19DA">
      <w:pPr>
        <w:kinsoku w:val="0"/>
        <w:autoSpaceDE w:val="0"/>
        <w:autoSpaceDN w:val="0"/>
        <w:adjustRightInd w:val="0"/>
        <w:snapToGrid w:val="0"/>
        <w:spacing w:before="97" w:line="240" w:lineRule="auto"/>
        <w:ind w:left="61" w:right="73" w:firstLine="462"/>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（2）承包人违反第</w:t>
      </w:r>
      <w:r>
        <w:rPr>
          <w:rFonts w:hint="eastAsia" w:ascii="宋体" w:hAnsi="宋体" w:eastAsia="宋体" w:cs="宋体"/>
          <w:snapToGrid w:val="0"/>
          <w:color w:val="000000"/>
          <w:spacing w:val="-37"/>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5.3</w:t>
      </w:r>
      <w:r>
        <w:rPr>
          <w:rFonts w:hint="eastAsia" w:ascii="宋体" w:hAnsi="宋体" w:eastAsia="宋体" w:cs="宋体"/>
          <w:snapToGrid w:val="0"/>
          <w:color w:val="000000"/>
          <w:spacing w:val="20"/>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款或第</w:t>
      </w:r>
      <w:r>
        <w:rPr>
          <w:rFonts w:hint="eastAsia" w:ascii="宋体" w:hAnsi="宋体" w:eastAsia="宋体" w:cs="宋体"/>
          <w:snapToGrid w:val="0"/>
          <w:color w:val="000000"/>
          <w:spacing w:val="-40"/>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6.4</w:t>
      </w:r>
      <w:r>
        <w:rPr>
          <w:rFonts w:hint="eastAsia" w:ascii="宋体" w:hAnsi="宋体" w:eastAsia="宋体" w:cs="宋体"/>
          <w:snapToGrid w:val="0"/>
          <w:color w:val="000000"/>
          <w:spacing w:val="20"/>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款的约定，未经监理人批准，私自将已按合</w:t>
      </w:r>
      <w:r>
        <w:rPr>
          <w:rFonts w:hint="eastAsia" w:ascii="宋体" w:hAnsi="宋体" w:eastAsia="宋体" w:cs="宋体"/>
          <w:snapToGrid w:val="0"/>
          <w:color w:val="000000"/>
          <w:spacing w:val="-3"/>
          <w:kern w:val="0"/>
          <w:sz w:val="20"/>
          <w:szCs w:val="20"/>
          <w:lang w:val="en-US" w:eastAsia="en-US" w:bidi="ar-SA"/>
        </w:rPr>
        <w:t>同约定进入施工场地的施工设备、临时设施、材料或工程设备撤离施工场地；</w:t>
      </w:r>
    </w:p>
    <w:p w14:paraId="316343FA">
      <w:pPr>
        <w:kinsoku w:val="0"/>
        <w:autoSpaceDE w:val="0"/>
        <w:autoSpaceDN w:val="0"/>
        <w:adjustRightInd w:val="0"/>
        <w:snapToGrid w:val="0"/>
        <w:spacing w:before="1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本项（7）</w:t>
      </w:r>
      <w:r>
        <w:rPr>
          <w:rFonts w:hint="eastAsia" w:ascii="宋体" w:hAnsi="宋体" w:eastAsia="宋体" w:cs="宋体"/>
          <w:snapToGrid w:val="0"/>
          <w:color w:val="000000"/>
          <w:spacing w:val="-65"/>
          <w:kern w:val="0"/>
          <w:sz w:val="20"/>
          <w:szCs w:val="20"/>
          <w:lang w:val="en-US" w:eastAsia="en-US" w:bidi="ar-SA"/>
        </w:rPr>
        <w:t xml:space="preserve"> </w:t>
      </w:r>
      <w:r>
        <w:rPr>
          <w:rFonts w:hint="eastAsia" w:ascii="宋体" w:hAnsi="宋体" w:eastAsia="宋体" w:cs="宋体"/>
          <w:snapToGrid w:val="0"/>
          <w:color w:val="000000"/>
          <w:spacing w:val="-10"/>
          <w:kern w:val="0"/>
          <w:sz w:val="20"/>
          <w:szCs w:val="20"/>
          <w:lang w:val="en-US" w:eastAsia="en-US" w:bidi="ar-SA"/>
        </w:rPr>
        <w:t>目细化为：</w:t>
      </w:r>
    </w:p>
    <w:p w14:paraId="73ACAA4B">
      <w:pPr>
        <w:kinsoku w:val="0"/>
        <w:autoSpaceDE w:val="0"/>
        <w:autoSpaceDN w:val="0"/>
        <w:adjustRightInd w:val="0"/>
        <w:snapToGrid w:val="0"/>
        <w:spacing w:before="96"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（7）承包人未能按期开工；</w:t>
      </w:r>
    </w:p>
    <w:p w14:paraId="7AA3B55A">
      <w:pPr>
        <w:kinsoku w:val="0"/>
        <w:autoSpaceDE w:val="0"/>
        <w:autoSpaceDN w:val="0"/>
        <w:adjustRightInd w:val="0"/>
        <w:snapToGrid w:val="0"/>
        <w:spacing w:before="97" w:line="240" w:lineRule="auto"/>
        <w:ind w:left="49" w:right="62" w:firstLine="47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（8）承包人违反第</w:t>
      </w:r>
      <w:r>
        <w:rPr>
          <w:rFonts w:hint="eastAsia" w:ascii="宋体" w:hAnsi="宋体" w:eastAsia="宋体" w:cs="宋体"/>
          <w:snapToGrid w:val="0"/>
          <w:color w:val="000000"/>
          <w:spacing w:val="-46"/>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4.6</w:t>
      </w:r>
      <w:r>
        <w:rPr>
          <w:rFonts w:hint="eastAsia" w:ascii="宋体" w:hAnsi="宋体" w:eastAsia="宋体" w:cs="宋体"/>
          <w:snapToGrid w:val="0"/>
          <w:color w:val="000000"/>
          <w:spacing w:val="20"/>
          <w:w w:val="10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款或第</w:t>
      </w:r>
      <w:r>
        <w:rPr>
          <w:rFonts w:hint="eastAsia" w:ascii="宋体" w:hAnsi="宋体" w:eastAsia="宋体" w:cs="宋体"/>
          <w:snapToGrid w:val="0"/>
          <w:color w:val="000000"/>
          <w:spacing w:val="-40"/>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6.3</w:t>
      </w:r>
      <w:r>
        <w:rPr>
          <w:rFonts w:hint="eastAsia" w:ascii="宋体" w:hAnsi="宋体" w:eastAsia="宋体" w:cs="宋体"/>
          <w:snapToGrid w:val="0"/>
          <w:color w:val="000000"/>
          <w:spacing w:val="20"/>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款的</w:t>
      </w:r>
      <w:r>
        <w:rPr>
          <w:rFonts w:hint="eastAsia" w:ascii="宋体" w:hAnsi="宋体" w:eastAsia="宋体" w:cs="宋体"/>
          <w:snapToGrid w:val="0"/>
          <w:color w:val="000000"/>
          <w:spacing w:val="-2"/>
          <w:kern w:val="0"/>
          <w:sz w:val="20"/>
          <w:szCs w:val="20"/>
          <w:lang w:val="en-US" w:eastAsia="en-US" w:bidi="ar-SA"/>
        </w:rPr>
        <w:t>规定，未按承诺或未按监理人的要求及</w:t>
      </w:r>
      <w:r>
        <w:rPr>
          <w:rFonts w:hint="eastAsia" w:ascii="宋体" w:hAnsi="宋体" w:eastAsia="宋体" w:cs="宋体"/>
          <w:snapToGrid w:val="0"/>
          <w:color w:val="000000"/>
          <w:spacing w:val="-1"/>
          <w:kern w:val="0"/>
          <w:sz w:val="20"/>
          <w:szCs w:val="20"/>
          <w:lang w:val="en-US" w:eastAsia="en-US" w:bidi="ar-SA"/>
        </w:rPr>
        <w:t>时配备称职的主要管理人员、技术骨干或关键施工设备；</w:t>
      </w:r>
    </w:p>
    <w:p w14:paraId="7C067035">
      <w:pPr>
        <w:kinsoku w:val="0"/>
        <w:autoSpaceDE w:val="0"/>
        <w:autoSpaceDN w:val="0"/>
        <w:adjustRightInd w:val="0"/>
        <w:snapToGrid w:val="0"/>
        <w:spacing w:before="114" w:line="240" w:lineRule="auto"/>
        <w:ind w:left="37" w:right="66" w:firstLine="487"/>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（9）经监理人和发包人检查，发现承包人有安全问题或有违反安全管理规章制</w:t>
      </w:r>
      <w:r>
        <w:rPr>
          <w:rFonts w:hint="eastAsia" w:ascii="宋体" w:hAnsi="宋体" w:eastAsia="宋体" w:cs="宋体"/>
          <w:snapToGrid w:val="0"/>
          <w:color w:val="000000"/>
          <w:spacing w:val="-11"/>
          <w:kern w:val="0"/>
          <w:sz w:val="20"/>
          <w:szCs w:val="20"/>
          <w:lang w:val="en-US" w:eastAsia="en-US" w:bidi="ar-SA"/>
        </w:rPr>
        <w:t>度的情况；</w:t>
      </w:r>
    </w:p>
    <w:p w14:paraId="1416860B">
      <w:pPr>
        <w:kinsoku w:val="0"/>
        <w:autoSpaceDE w:val="0"/>
        <w:autoSpaceDN w:val="0"/>
        <w:adjustRightInd w:val="0"/>
        <w:snapToGrid w:val="0"/>
        <w:spacing w:before="115"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（10）承包人不按合同约定履行义务的其</w:t>
      </w:r>
      <w:r>
        <w:rPr>
          <w:rFonts w:hint="eastAsia" w:ascii="宋体" w:hAnsi="宋体" w:eastAsia="宋体" w:cs="宋体"/>
          <w:snapToGrid w:val="0"/>
          <w:color w:val="000000"/>
          <w:spacing w:val="-3"/>
          <w:kern w:val="0"/>
          <w:sz w:val="20"/>
          <w:szCs w:val="20"/>
          <w:lang w:val="en-US" w:eastAsia="en-US" w:bidi="ar-SA"/>
        </w:rPr>
        <w:t>他情况。</w:t>
      </w:r>
    </w:p>
    <w:p w14:paraId="43719B95">
      <w:pPr>
        <w:spacing w:before="96" w:line="240" w:lineRule="auto"/>
        <w:ind w:left="504"/>
        <w:outlineLvl w:val="2"/>
        <w:rPr>
          <w:rFonts w:hint="eastAsia" w:ascii="宋体" w:hAnsi="宋体" w:eastAsia="宋体" w:cs="宋体"/>
          <w:sz w:val="20"/>
          <w:szCs w:val="20"/>
        </w:rPr>
      </w:pPr>
      <w:r>
        <w:rPr>
          <w:rFonts w:hint="eastAsia" w:ascii="宋体" w:hAnsi="宋体" w:eastAsia="宋体" w:cs="宋体"/>
          <w:spacing w:val="-1"/>
          <w:sz w:val="20"/>
          <w:szCs w:val="20"/>
        </w:rPr>
        <w:t>22.1.2  对承包人违约的处理</w:t>
      </w:r>
    </w:p>
    <w:p w14:paraId="6D0E5234">
      <w:pPr>
        <w:kinsoku w:val="0"/>
        <w:autoSpaceDE w:val="0"/>
        <w:autoSpaceDN w:val="0"/>
        <w:adjustRightInd w:val="0"/>
        <w:snapToGrid w:val="0"/>
        <w:spacing w:before="97"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1"/>
          <w:kern w:val="0"/>
          <w:sz w:val="20"/>
          <w:szCs w:val="20"/>
          <w:lang w:val="en-US" w:eastAsia="en-US" w:bidi="ar-SA"/>
        </w:rPr>
        <w:t>本项补充：</w:t>
      </w:r>
    </w:p>
    <w:p w14:paraId="69E66273">
      <w:pPr>
        <w:kinsoku w:val="0"/>
        <w:autoSpaceDE w:val="0"/>
        <w:autoSpaceDN w:val="0"/>
        <w:adjustRightInd w:val="0"/>
        <w:snapToGrid w:val="0"/>
        <w:spacing w:before="118" w:line="240" w:lineRule="auto"/>
        <w:ind w:left="38" w:right="64" w:firstLine="486"/>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（4）承包人发生第</w:t>
      </w:r>
      <w:r>
        <w:rPr>
          <w:rFonts w:hint="eastAsia" w:ascii="宋体" w:hAnsi="宋体" w:eastAsia="宋体" w:cs="宋体"/>
          <w:snapToGrid w:val="0"/>
          <w:color w:val="000000"/>
          <w:spacing w:val="-45"/>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22.1.1 项约定的违约情况时，无论发包人是否解除合同，发</w:t>
      </w:r>
      <w:r>
        <w:rPr>
          <w:rFonts w:hint="eastAsia" w:ascii="宋体" w:hAnsi="宋体" w:eastAsia="宋体" w:cs="宋体"/>
          <w:snapToGrid w:val="0"/>
          <w:color w:val="000000"/>
          <w:spacing w:val="1"/>
          <w:kern w:val="0"/>
          <w:sz w:val="20"/>
          <w:szCs w:val="20"/>
          <w:lang w:val="en-US" w:eastAsia="en-US" w:bidi="ar-SA"/>
        </w:rPr>
        <w:t>包人均有权向承包人课以项目专用合同条款中规</w:t>
      </w:r>
      <w:r>
        <w:rPr>
          <w:rFonts w:hint="eastAsia" w:ascii="宋体" w:hAnsi="宋体" w:eastAsia="宋体" w:cs="宋体"/>
          <w:snapToGrid w:val="0"/>
          <w:color w:val="000000"/>
          <w:kern w:val="0"/>
          <w:sz w:val="20"/>
          <w:szCs w:val="20"/>
          <w:lang w:val="en-US" w:eastAsia="en-US" w:bidi="ar-SA"/>
        </w:rPr>
        <w:t>定的违约金，并由发包人将其违约</w:t>
      </w:r>
      <w:r>
        <w:rPr>
          <w:rFonts w:hint="eastAsia" w:ascii="宋体" w:hAnsi="宋体" w:eastAsia="宋体" w:cs="宋体"/>
          <w:snapToGrid w:val="0"/>
          <w:color w:val="000000"/>
          <w:spacing w:val="1"/>
          <w:kern w:val="0"/>
          <w:sz w:val="20"/>
          <w:szCs w:val="20"/>
          <w:lang w:val="en-US" w:eastAsia="en-US" w:bidi="ar-SA"/>
        </w:rPr>
        <w:t>行为上报省级交通运输主管部门，作为不良记</w:t>
      </w:r>
      <w:r>
        <w:rPr>
          <w:rFonts w:hint="eastAsia" w:ascii="宋体" w:hAnsi="宋体" w:eastAsia="宋体" w:cs="宋体"/>
          <w:snapToGrid w:val="0"/>
          <w:color w:val="000000"/>
          <w:kern w:val="0"/>
          <w:sz w:val="20"/>
          <w:szCs w:val="20"/>
          <w:lang w:val="en-US" w:eastAsia="en-US" w:bidi="ar-SA"/>
        </w:rPr>
        <w:t>录纳入公路建设市场</w:t>
      </w:r>
      <w:r>
        <w:rPr>
          <w:rFonts w:hint="eastAsia" w:ascii="宋体" w:hAnsi="宋体" w:eastAsia="宋体" w:cs="宋体"/>
          <w:snapToGrid w:val="0"/>
          <w:color w:val="000000"/>
          <w:kern w:val="0"/>
          <w:sz w:val="20"/>
          <w:szCs w:val="20"/>
          <w:lang w:val="en-US" w:eastAsia="zh-CN" w:bidi="ar-SA"/>
        </w:rPr>
        <w:t>监督</w:t>
      </w:r>
      <w:r>
        <w:rPr>
          <w:rFonts w:hint="eastAsia" w:ascii="宋体" w:hAnsi="宋体" w:eastAsia="宋体" w:cs="宋体"/>
          <w:snapToGrid w:val="0"/>
          <w:color w:val="000000"/>
          <w:kern w:val="0"/>
          <w:sz w:val="20"/>
          <w:szCs w:val="20"/>
          <w:lang w:val="en-US" w:eastAsia="en-US" w:bidi="ar-SA"/>
        </w:rPr>
        <w:t>管理系</w:t>
      </w:r>
      <w:bookmarkStart w:id="41" w:name="bookmark70"/>
      <w:bookmarkEnd w:id="41"/>
      <w:r>
        <w:rPr>
          <w:rFonts w:hint="eastAsia" w:ascii="宋体" w:hAnsi="宋体" w:eastAsia="宋体" w:cs="宋体"/>
          <w:snapToGrid w:val="0"/>
          <w:color w:val="000000"/>
          <w:spacing w:val="-5"/>
          <w:kern w:val="0"/>
          <w:sz w:val="20"/>
          <w:szCs w:val="20"/>
          <w:lang w:val="en-US" w:eastAsia="en-US" w:bidi="ar-SA"/>
        </w:rPr>
        <w:t>统。</w:t>
      </w:r>
    </w:p>
    <w:p w14:paraId="232B68BE">
      <w:pPr>
        <w:spacing w:before="217"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22.2  发包人违约</w:t>
      </w:r>
    </w:p>
    <w:p w14:paraId="7B71CD4D">
      <w:pPr>
        <w:spacing w:before="78" w:line="240" w:lineRule="auto"/>
        <w:ind w:left="513"/>
        <w:outlineLvl w:val="2"/>
        <w:rPr>
          <w:rFonts w:hint="eastAsia" w:ascii="宋体" w:hAnsi="宋体" w:eastAsia="宋体" w:cs="宋体"/>
          <w:sz w:val="20"/>
          <w:szCs w:val="20"/>
        </w:rPr>
      </w:pPr>
      <w:r>
        <w:rPr>
          <w:rFonts w:hint="eastAsia" w:ascii="宋体" w:hAnsi="宋体" w:eastAsia="宋体" w:cs="宋体"/>
          <w:spacing w:val="-1"/>
          <w:sz w:val="20"/>
          <w:szCs w:val="20"/>
        </w:rPr>
        <w:t>22.2.1 发包人违约的情形</w:t>
      </w:r>
    </w:p>
    <w:p w14:paraId="1FF7C7D8">
      <w:pPr>
        <w:kinsoku w:val="0"/>
        <w:autoSpaceDE w:val="0"/>
        <w:autoSpaceDN w:val="0"/>
        <w:adjustRightInd w:val="0"/>
        <w:snapToGrid w:val="0"/>
        <w:spacing w:before="97"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本项（5）</w:t>
      </w:r>
      <w:r>
        <w:rPr>
          <w:rFonts w:hint="eastAsia" w:ascii="宋体" w:hAnsi="宋体" w:eastAsia="宋体" w:cs="宋体"/>
          <w:snapToGrid w:val="0"/>
          <w:color w:val="000000"/>
          <w:spacing w:val="-65"/>
          <w:kern w:val="0"/>
          <w:sz w:val="20"/>
          <w:szCs w:val="20"/>
          <w:lang w:val="en-US" w:eastAsia="en-US" w:bidi="ar-SA"/>
        </w:rPr>
        <w:t xml:space="preserve"> </w:t>
      </w:r>
      <w:r>
        <w:rPr>
          <w:rFonts w:hint="eastAsia" w:ascii="宋体" w:hAnsi="宋体" w:eastAsia="宋体" w:cs="宋体"/>
          <w:snapToGrid w:val="0"/>
          <w:color w:val="000000"/>
          <w:spacing w:val="-10"/>
          <w:kern w:val="0"/>
          <w:sz w:val="20"/>
          <w:szCs w:val="20"/>
          <w:lang w:val="en-US" w:eastAsia="en-US" w:bidi="ar-SA"/>
        </w:rPr>
        <w:t>目细化为：</w:t>
      </w:r>
    </w:p>
    <w:p w14:paraId="3984AEEF">
      <w:pPr>
        <w:kinsoku w:val="0"/>
        <w:autoSpaceDE w:val="0"/>
        <w:autoSpaceDN w:val="0"/>
        <w:adjustRightInd w:val="0"/>
        <w:snapToGrid w:val="0"/>
        <w:spacing w:before="98" w:line="240" w:lineRule="auto"/>
        <w:ind w:left="40" w:right="66" w:firstLine="48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（5）发包人无正当理由不按时返还履约保证金、质量保证金或农民工工资保证</w:t>
      </w:r>
      <w:r>
        <w:rPr>
          <w:rFonts w:hint="eastAsia" w:ascii="宋体" w:hAnsi="宋体" w:eastAsia="宋体" w:cs="宋体"/>
          <w:snapToGrid w:val="0"/>
          <w:color w:val="000000"/>
          <w:spacing w:val="-4"/>
          <w:kern w:val="0"/>
          <w:sz w:val="20"/>
          <w:szCs w:val="20"/>
          <w:lang w:val="en-US" w:eastAsia="en-US" w:bidi="ar-SA"/>
        </w:rPr>
        <w:t>金的；</w:t>
      </w:r>
    </w:p>
    <w:p w14:paraId="1E2B69CD">
      <w:pPr>
        <w:kinsoku w:val="0"/>
        <w:autoSpaceDE w:val="0"/>
        <w:autoSpaceDN w:val="0"/>
        <w:adjustRightInd w:val="0"/>
        <w:snapToGrid w:val="0"/>
        <w:spacing w:before="111"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（6）发包人不履行合同约定其他义务的。</w:t>
      </w:r>
    </w:p>
    <w:p w14:paraId="397D702F">
      <w:pPr>
        <w:spacing w:before="98" w:line="240" w:lineRule="auto"/>
        <w:ind w:left="504"/>
        <w:rPr>
          <w:rFonts w:hint="eastAsia" w:ascii="宋体" w:hAnsi="宋体" w:eastAsia="宋体" w:cs="宋体"/>
          <w:sz w:val="20"/>
          <w:szCs w:val="20"/>
          <w:lang w:eastAsia="zh-CN"/>
        </w:rPr>
      </w:pPr>
      <w:r>
        <w:rPr>
          <w:rFonts w:hint="eastAsia" w:ascii="宋体" w:hAnsi="宋体" w:eastAsia="宋体" w:cs="宋体"/>
          <w:spacing w:val="-1"/>
          <w:sz w:val="20"/>
          <w:szCs w:val="20"/>
        </w:rPr>
        <w:t>22.2.2  承包人有权暂停施工</w:t>
      </w:r>
    </w:p>
    <w:p w14:paraId="5442B398">
      <w:pPr>
        <w:kinsoku w:val="0"/>
        <w:autoSpaceDE w:val="0"/>
        <w:autoSpaceDN w:val="0"/>
        <w:adjustRightInd w:val="0"/>
        <w:snapToGrid w:val="0"/>
        <w:spacing w:before="78" w:line="240" w:lineRule="auto"/>
        <w:ind w:left="50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本项细化为：</w:t>
      </w:r>
    </w:p>
    <w:p w14:paraId="2AC55948">
      <w:pPr>
        <w:kinsoku w:val="0"/>
        <w:autoSpaceDE w:val="0"/>
        <w:autoSpaceDN w:val="0"/>
        <w:adjustRightInd w:val="0"/>
        <w:snapToGrid w:val="0"/>
        <w:spacing w:before="113" w:line="240" w:lineRule="auto"/>
        <w:ind w:left="38" w:right="46" w:firstLine="47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7"/>
          <w:kern w:val="0"/>
          <w:sz w:val="20"/>
          <w:szCs w:val="20"/>
          <w:lang w:val="en-US" w:eastAsia="en-US" w:bidi="ar-SA"/>
        </w:rPr>
        <w:t>发包人发生除第 22.2.1（4）、（5）</w:t>
      </w:r>
      <w:r>
        <w:rPr>
          <w:rFonts w:hint="eastAsia" w:ascii="宋体" w:hAnsi="宋体" w:eastAsia="宋体" w:cs="宋体"/>
          <w:snapToGrid w:val="0"/>
          <w:color w:val="000000"/>
          <w:spacing w:val="-46"/>
          <w:kern w:val="0"/>
          <w:sz w:val="20"/>
          <w:szCs w:val="20"/>
          <w:lang w:val="en-US" w:eastAsia="en-US" w:bidi="ar-SA"/>
        </w:rPr>
        <w:t xml:space="preserve"> </w:t>
      </w:r>
      <w:r>
        <w:rPr>
          <w:rFonts w:hint="eastAsia" w:ascii="宋体" w:hAnsi="宋体" w:eastAsia="宋体" w:cs="宋体"/>
          <w:snapToGrid w:val="0"/>
          <w:color w:val="000000"/>
          <w:spacing w:val="-7"/>
          <w:kern w:val="0"/>
          <w:sz w:val="20"/>
          <w:szCs w:val="20"/>
          <w:lang w:val="en-US" w:eastAsia="en-US" w:bidi="ar-SA"/>
        </w:rPr>
        <w:t>目以外的违约情况时，承包人可向发包人发</w:t>
      </w:r>
      <w:r>
        <w:rPr>
          <w:rFonts w:hint="eastAsia" w:ascii="宋体" w:hAnsi="宋体" w:eastAsia="宋体" w:cs="宋体"/>
          <w:snapToGrid w:val="0"/>
          <w:color w:val="000000"/>
          <w:spacing w:val="-3"/>
          <w:kern w:val="0"/>
          <w:sz w:val="20"/>
          <w:szCs w:val="20"/>
          <w:lang w:val="en-US" w:eastAsia="en-US" w:bidi="ar-SA"/>
        </w:rPr>
        <w:t>出通知，要求发包人采取有效措施纠正违约行为。发包人收到承包人通知</w:t>
      </w:r>
      <w:r>
        <w:rPr>
          <w:rFonts w:hint="eastAsia" w:ascii="宋体" w:hAnsi="宋体" w:eastAsia="宋体" w:cs="宋体"/>
          <w:snapToGrid w:val="0"/>
          <w:color w:val="000000"/>
          <w:spacing w:val="-4"/>
          <w:kern w:val="0"/>
          <w:sz w:val="20"/>
          <w:szCs w:val="20"/>
          <w:lang w:val="en-US" w:eastAsia="en-US" w:bidi="ar-SA"/>
        </w:rPr>
        <w:t>后的</w:t>
      </w:r>
      <w:r>
        <w:rPr>
          <w:rFonts w:hint="eastAsia" w:ascii="宋体" w:hAnsi="宋体" w:eastAsia="宋体" w:cs="宋体"/>
          <w:snapToGrid w:val="0"/>
          <w:color w:val="000000"/>
          <w:spacing w:val="-54"/>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28</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4"/>
          <w:kern w:val="0"/>
          <w:sz w:val="20"/>
          <w:szCs w:val="20"/>
          <w:lang w:val="en-US" w:eastAsia="en-US" w:bidi="ar-SA"/>
        </w:rPr>
        <w:t>天</w:t>
      </w:r>
      <w:r>
        <w:rPr>
          <w:rFonts w:hint="eastAsia" w:ascii="宋体" w:hAnsi="宋体" w:eastAsia="宋体" w:cs="宋体"/>
          <w:snapToGrid w:val="0"/>
          <w:color w:val="000000"/>
          <w:kern w:val="0"/>
          <w:sz w:val="20"/>
          <w:szCs w:val="20"/>
          <w:lang w:val="en-US" w:eastAsia="en-US" w:bidi="ar-SA"/>
        </w:rPr>
        <w:t>内仍不履行合同义务，承包人有权暂停施工，并通知监理人，发包人应承担由此增</w:t>
      </w:r>
      <w:r>
        <w:rPr>
          <w:rFonts w:hint="eastAsia" w:ascii="宋体" w:hAnsi="宋体" w:eastAsia="宋体" w:cs="宋体"/>
          <w:snapToGrid w:val="0"/>
          <w:color w:val="000000"/>
          <w:spacing w:val="-2"/>
          <w:kern w:val="0"/>
          <w:sz w:val="20"/>
          <w:szCs w:val="20"/>
          <w:lang w:val="en-US" w:eastAsia="en-US" w:bidi="ar-SA"/>
        </w:rPr>
        <w:t>加的费用和（或）工期延误，并支付承包人合理利润。</w:t>
      </w:r>
    </w:p>
    <w:p w14:paraId="233B7BD7">
      <w:pPr>
        <w:kinsoku w:val="0"/>
        <w:autoSpaceDE w:val="0"/>
        <w:autoSpaceDN w:val="0"/>
        <w:adjustRightInd w:val="0"/>
        <w:snapToGrid w:val="0"/>
        <w:spacing w:before="10" w:line="240" w:lineRule="auto"/>
        <w:ind w:left="41" w:right="47" w:firstLine="470"/>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发包人发生第</w:t>
      </w:r>
      <w:r>
        <w:rPr>
          <w:rFonts w:hint="eastAsia" w:ascii="宋体" w:hAnsi="宋体" w:eastAsia="宋体" w:cs="宋体"/>
          <w:snapToGrid w:val="0"/>
          <w:color w:val="000000"/>
          <w:spacing w:val="-55"/>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22.2.1（5）</w:t>
      </w:r>
      <w:r>
        <w:rPr>
          <w:rFonts w:hint="eastAsia" w:ascii="宋体" w:hAnsi="宋体" w:eastAsia="宋体" w:cs="宋体"/>
          <w:snapToGrid w:val="0"/>
          <w:color w:val="000000"/>
          <w:spacing w:val="-69"/>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目的违约情况时，承包人可向发包</w:t>
      </w:r>
      <w:r>
        <w:rPr>
          <w:rFonts w:hint="eastAsia" w:ascii="宋体" w:hAnsi="宋体" w:eastAsia="宋体" w:cs="宋体"/>
          <w:snapToGrid w:val="0"/>
          <w:color w:val="000000"/>
          <w:spacing w:val="-3"/>
          <w:kern w:val="0"/>
          <w:sz w:val="20"/>
          <w:szCs w:val="20"/>
          <w:lang w:val="en-US" w:eastAsia="en-US" w:bidi="ar-SA"/>
        </w:rPr>
        <w:t>人发出通知，要求发包人采取有效措施纠正违约行为。发包人收到承包人通知后的</w:t>
      </w:r>
      <w:r>
        <w:rPr>
          <w:rFonts w:hint="eastAsia" w:ascii="宋体" w:hAnsi="宋体" w:eastAsia="宋体" w:cs="宋体"/>
          <w:snapToGrid w:val="0"/>
          <w:color w:val="000000"/>
          <w:spacing w:val="-54"/>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28</w:t>
      </w:r>
      <w:r>
        <w:rPr>
          <w:rFonts w:hint="eastAsia" w:ascii="宋体" w:hAnsi="宋体" w:eastAsia="宋体" w:cs="宋体"/>
          <w:snapToGrid w:val="0"/>
          <w:color w:val="000000"/>
          <w:spacing w:val="14"/>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天</w:t>
      </w:r>
      <w:r>
        <w:rPr>
          <w:rFonts w:hint="eastAsia" w:ascii="宋体" w:hAnsi="宋体" w:eastAsia="宋体" w:cs="宋体"/>
          <w:snapToGrid w:val="0"/>
          <w:color w:val="000000"/>
          <w:spacing w:val="-4"/>
          <w:kern w:val="0"/>
          <w:sz w:val="20"/>
          <w:szCs w:val="20"/>
          <w:lang w:val="en-US" w:eastAsia="en-US" w:bidi="ar-SA"/>
        </w:rPr>
        <w:t>内仍不返还履</w:t>
      </w:r>
      <w:r>
        <w:rPr>
          <w:rFonts w:hint="eastAsia" w:ascii="宋体" w:hAnsi="宋体" w:eastAsia="宋体" w:cs="宋体"/>
          <w:snapToGrid w:val="0"/>
          <w:color w:val="000000"/>
          <w:kern w:val="0"/>
          <w:sz w:val="20"/>
          <w:szCs w:val="20"/>
          <w:lang w:val="en-US" w:eastAsia="en-US" w:bidi="ar-SA"/>
        </w:rPr>
        <w:t>约保证金、质量保证金或农民工工资保证金的，发包人应按项目专用合同条款的约</w:t>
      </w:r>
      <w:r>
        <w:rPr>
          <w:rFonts w:hint="eastAsia" w:ascii="宋体" w:hAnsi="宋体" w:eastAsia="宋体" w:cs="宋体"/>
          <w:snapToGrid w:val="0"/>
          <w:color w:val="000000"/>
          <w:spacing w:val="-1"/>
          <w:kern w:val="0"/>
          <w:sz w:val="20"/>
          <w:szCs w:val="20"/>
          <w:lang w:val="en-US" w:eastAsia="en-US" w:bidi="ar-SA"/>
        </w:rPr>
        <w:t>定向承包人支付逾期返还保证金的违约金。</w:t>
      </w:r>
    </w:p>
    <w:p w14:paraId="6A908B25">
      <w:pPr>
        <w:spacing w:before="9" w:line="240" w:lineRule="auto"/>
        <w:ind w:left="504"/>
        <w:outlineLvl w:val="2"/>
        <w:rPr>
          <w:rFonts w:hint="eastAsia" w:ascii="宋体" w:hAnsi="宋体" w:eastAsia="宋体" w:cs="宋体"/>
          <w:sz w:val="20"/>
          <w:szCs w:val="20"/>
        </w:rPr>
      </w:pPr>
      <w:r>
        <w:rPr>
          <w:rFonts w:hint="eastAsia" w:ascii="宋体" w:hAnsi="宋体" w:eastAsia="宋体" w:cs="宋体"/>
          <w:spacing w:val="-1"/>
          <w:sz w:val="20"/>
          <w:szCs w:val="20"/>
        </w:rPr>
        <w:t>22.2.4  解除合同后的付款</w:t>
      </w:r>
    </w:p>
    <w:p w14:paraId="67925D92">
      <w:pPr>
        <w:kinsoku w:val="0"/>
        <w:autoSpaceDE w:val="0"/>
        <w:autoSpaceDN w:val="0"/>
        <w:adjustRightInd w:val="0"/>
        <w:snapToGrid w:val="0"/>
        <w:spacing w:before="95"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0"/>
          <w:kern w:val="0"/>
          <w:sz w:val="20"/>
          <w:szCs w:val="20"/>
          <w:lang w:val="en-US" w:eastAsia="en-US" w:bidi="ar-SA"/>
        </w:rPr>
        <w:t>本项（2）</w:t>
      </w:r>
      <w:r>
        <w:rPr>
          <w:rFonts w:hint="eastAsia" w:ascii="宋体" w:hAnsi="宋体" w:eastAsia="宋体" w:cs="宋体"/>
          <w:snapToGrid w:val="0"/>
          <w:color w:val="000000"/>
          <w:spacing w:val="-65"/>
          <w:kern w:val="0"/>
          <w:sz w:val="20"/>
          <w:szCs w:val="20"/>
          <w:lang w:val="en-US" w:eastAsia="en-US" w:bidi="ar-SA"/>
        </w:rPr>
        <w:t xml:space="preserve"> </w:t>
      </w:r>
      <w:r>
        <w:rPr>
          <w:rFonts w:hint="eastAsia" w:ascii="宋体" w:hAnsi="宋体" w:eastAsia="宋体" w:cs="宋体"/>
          <w:snapToGrid w:val="0"/>
          <w:color w:val="000000"/>
          <w:spacing w:val="-10"/>
          <w:kern w:val="0"/>
          <w:sz w:val="20"/>
          <w:szCs w:val="20"/>
          <w:lang w:val="en-US" w:eastAsia="en-US" w:bidi="ar-SA"/>
        </w:rPr>
        <w:t>目细化为：</w:t>
      </w:r>
    </w:p>
    <w:p w14:paraId="5F5ACA60">
      <w:pPr>
        <w:kinsoku w:val="0"/>
        <w:autoSpaceDE w:val="0"/>
        <w:autoSpaceDN w:val="0"/>
        <w:adjustRightInd w:val="0"/>
        <w:snapToGrid w:val="0"/>
        <w:spacing w:before="99" w:line="240" w:lineRule="auto"/>
        <w:ind w:left="41" w:firstLine="482"/>
        <w:jc w:val="left"/>
        <w:textAlignment w:val="baseline"/>
        <w:rPr>
          <w:rFonts w:hint="eastAsia" w:ascii="宋体" w:hAnsi="宋体" w:eastAsia="宋体" w:cs="宋体"/>
          <w:sz w:val="20"/>
          <w:szCs w:val="20"/>
        </w:rPr>
      </w:pPr>
      <w:r>
        <w:rPr>
          <w:rFonts w:hint="eastAsia" w:ascii="宋体" w:hAnsi="宋体" w:eastAsia="宋体" w:cs="宋体"/>
          <w:snapToGrid w:val="0"/>
          <w:color w:val="000000"/>
          <w:spacing w:val="-2"/>
          <w:kern w:val="0"/>
          <w:sz w:val="20"/>
          <w:szCs w:val="20"/>
          <w:lang w:val="en-US" w:eastAsia="en-US" w:bidi="ar-SA"/>
        </w:rPr>
        <w:t>（2）承包人为该工程施工订购并已付款的材料、工程设备和其他物品的金额。</w:t>
      </w:r>
      <w:r>
        <w:rPr>
          <w:rFonts w:hint="eastAsia" w:ascii="宋体" w:hAnsi="宋体" w:eastAsia="宋体" w:cs="宋体"/>
          <w:snapToGrid w:val="0"/>
          <w:color w:val="000000"/>
          <w:spacing w:val="-3"/>
          <w:kern w:val="0"/>
          <w:sz w:val="20"/>
          <w:szCs w:val="20"/>
          <w:lang w:val="en-US" w:eastAsia="en-US" w:bidi="ar-SA"/>
        </w:rPr>
        <w:t>发包人付款后，该材料、工程设备和其他物品归发包人所有；</w:t>
      </w:r>
    </w:p>
    <w:p w14:paraId="4CBEA872">
      <w:pPr>
        <w:spacing w:before="92" w:line="240" w:lineRule="auto"/>
        <w:ind w:left="34"/>
        <w:outlineLvl w:val="0"/>
        <w:rPr>
          <w:rFonts w:hint="eastAsia" w:ascii="宋体" w:hAnsi="宋体" w:eastAsia="宋体" w:cs="宋体"/>
          <w:sz w:val="20"/>
          <w:szCs w:val="20"/>
        </w:rPr>
      </w:pPr>
      <w:bookmarkStart w:id="42" w:name="bookmark71"/>
      <w:bookmarkEnd w:id="42"/>
      <w:r>
        <w:rPr>
          <w:rFonts w:hint="eastAsia" w:ascii="宋体" w:hAnsi="宋体" w:eastAsia="宋体" w:cs="宋体"/>
          <w:spacing w:val="-3"/>
          <w:sz w:val="20"/>
          <w:szCs w:val="20"/>
        </w:rPr>
        <w:t>23.</w:t>
      </w:r>
      <w:r>
        <w:rPr>
          <w:rFonts w:hint="eastAsia" w:ascii="宋体" w:hAnsi="宋体" w:eastAsia="宋体" w:cs="宋体"/>
          <w:spacing w:val="8"/>
          <w:sz w:val="20"/>
          <w:szCs w:val="20"/>
        </w:rPr>
        <w:t xml:space="preserve">  </w:t>
      </w:r>
      <w:r>
        <w:rPr>
          <w:rFonts w:hint="eastAsia" w:ascii="宋体" w:hAnsi="宋体" w:eastAsia="宋体" w:cs="宋体"/>
          <w:spacing w:val="-3"/>
          <w:sz w:val="20"/>
          <w:szCs w:val="20"/>
        </w:rPr>
        <w:t>索赔</w:t>
      </w:r>
    </w:p>
    <w:p w14:paraId="7D8F9664">
      <w:pPr>
        <w:spacing w:before="314"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23.1  承包人索赔的提出</w:t>
      </w:r>
    </w:p>
    <w:p w14:paraId="46E451CD">
      <w:pPr>
        <w:spacing w:line="240" w:lineRule="auto"/>
        <w:rPr>
          <w:rFonts w:hint="eastAsia" w:ascii="宋体" w:hAnsi="宋体" w:eastAsia="宋体" w:cs="宋体"/>
          <w:sz w:val="20"/>
          <w:szCs w:val="20"/>
        </w:rPr>
      </w:pPr>
    </w:p>
    <w:p w14:paraId="25B0AE83">
      <w:pPr>
        <w:kinsoku w:val="0"/>
        <w:autoSpaceDE w:val="0"/>
        <w:autoSpaceDN w:val="0"/>
        <w:adjustRightInd w:val="0"/>
        <w:snapToGrid w:val="0"/>
        <w:spacing w:before="79"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本款第（4）项细化为：</w:t>
      </w:r>
    </w:p>
    <w:p w14:paraId="25D93BED">
      <w:pPr>
        <w:kinsoku w:val="0"/>
        <w:autoSpaceDE w:val="0"/>
        <w:autoSpaceDN w:val="0"/>
        <w:adjustRightInd w:val="0"/>
        <w:snapToGrid w:val="0"/>
        <w:spacing w:before="99" w:line="240" w:lineRule="auto"/>
        <w:ind w:left="42" w:right="48" w:firstLine="481"/>
        <w:jc w:val="both"/>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1"/>
          <w:kern w:val="0"/>
          <w:sz w:val="20"/>
          <w:szCs w:val="20"/>
          <w:lang w:val="en-US" w:eastAsia="en-US" w:bidi="ar-SA"/>
        </w:rPr>
        <w:t>（4）在索赔事件影响结束后的</w:t>
      </w:r>
      <w:r>
        <w:rPr>
          <w:rFonts w:hint="eastAsia" w:ascii="宋体" w:hAnsi="宋体" w:eastAsia="宋体" w:cs="宋体"/>
          <w:snapToGrid w:val="0"/>
          <w:color w:val="000000"/>
          <w:spacing w:val="-37"/>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28</w:t>
      </w:r>
      <w:r>
        <w:rPr>
          <w:rFonts w:hint="eastAsia" w:ascii="宋体" w:hAnsi="宋体" w:eastAsia="宋体" w:cs="宋体"/>
          <w:snapToGrid w:val="0"/>
          <w:color w:val="000000"/>
          <w:spacing w:val="31"/>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天内，承包人应向监理人递交最终索赔通知</w:t>
      </w:r>
      <w:r>
        <w:rPr>
          <w:rFonts w:hint="eastAsia" w:ascii="宋体" w:hAnsi="宋体" w:eastAsia="宋体" w:cs="宋体"/>
          <w:snapToGrid w:val="0"/>
          <w:color w:val="000000"/>
          <w:kern w:val="0"/>
          <w:sz w:val="20"/>
          <w:szCs w:val="20"/>
          <w:lang w:val="en-US" w:eastAsia="en-US" w:bidi="ar-SA"/>
        </w:rPr>
        <w:t>书，说明最终要求索赔的追加付款金额和（或）延长的工期，并附必要的记录和证</w:t>
      </w:r>
      <w:bookmarkStart w:id="43" w:name="bookmark72"/>
      <w:bookmarkEnd w:id="43"/>
      <w:r>
        <w:rPr>
          <w:rFonts w:hint="eastAsia" w:ascii="宋体" w:hAnsi="宋体" w:eastAsia="宋体" w:cs="宋体"/>
          <w:snapToGrid w:val="0"/>
          <w:color w:val="000000"/>
          <w:spacing w:val="-10"/>
          <w:kern w:val="0"/>
          <w:sz w:val="20"/>
          <w:szCs w:val="20"/>
          <w:lang w:val="en-US" w:eastAsia="en-US" w:bidi="ar-SA"/>
        </w:rPr>
        <w:t>明材料。</w:t>
      </w:r>
    </w:p>
    <w:p w14:paraId="483DAA13">
      <w:pPr>
        <w:spacing w:before="227" w:line="240" w:lineRule="auto"/>
        <w:ind w:left="33"/>
        <w:outlineLvl w:val="1"/>
        <w:rPr>
          <w:rFonts w:hint="eastAsia" w:ascii="宋体" w:hAnsi="宋体" w:eastAsia="宋体" w:cs="宋体"/>
          <w:sz w:val="20"/>
          <w:szCs w:val="20"/>
        </w:rPr>
      </w:pPr>
      <w:r>
        <w:rPr>
          <w:rFonts w:hint="eastAsia" w:ascii="宋体" w:hAnsi="宋体" w:eastAsia="宋体" w:cs="宋体"/>
          <w:spacing w:val="-1"/>
          <w:sz w:val="20"/>
          <w:szCs w:val="20"/>
        </w:rPr>
        <w:t>23.2  承包人索赔处理程序</w:t>
      </w:r>
    </w:p>
    <w:p w14:paraId="12DFE360">
      <w:pPr>
        <w:kinsoku w:val="0"/>
        <w:autoSpaceDE w:val="0"/>
        <w:autoSpaceDN w:val="0"/>
        <w:adjustRightInd w:val="0"/>
        <w:snapToGrid w:val="0"/>
        <w:spacing w:before="78" w:line="240" w:lineRule="auto"/>
        <w:ind w:left="519"/>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5"/>
          <w:kern w:val="0"/>
          <w:sz w:val="20"/>
          <w:szCs w:val="20"/>
          <w:lang w:val="en-US" w:eastAsia="en-US" w:bidi="ar-SA"/>
        </w:rPr>
        <w:t>本款第（2）项细化为：</w:t>
      </w:r>
    </w:p>
    <w:p w14:paraId="5698E7CC">
      <w:pPr>
        <w:kinsoku w:val="0"/>
        <w:autoSpaceDE w:val="0"/>
        <w:autoSpaceDN w:val="0"/>
        <w:adjustRightInd w:val="0"/>
        <w:snapToGrid w:val="0"/>
        <w:spacing w:before="96" w:line="240" w:lineRule="auto"/>
        <w:ind w:left="38" w:right="48" w:firstLine="486"/>
        <w:jc w:val="both"/>
        <w:textAlignment w:val="baseline"/>
        <w:rPr>
          <w:rFonts w:hint="eastAsia" w:ascii="宋体" w:hAnsi="宋体" w:eastAsia="宋体" w:cs="宋体"/>
          <w:sz w:val="20"/>
          <w:szCs w:val="20"/>
          <w:lang w:eastAsia="zh-CN"/>
        </w:rPr>
      </w:pPr>
      <w:r>
        <w:rPr>
          <w:rFonts w:hint="eastAsia" w:ascii="宋体" w:hAnsi="宋体" w:eastAsia="宋体" w:cs="宋体"/>
          <w:snapToGrid w:val="0"/>
          <w:color w:val="000000"/>
          <w:spacing w:val="-1"/>
          <w:kern w:val="0"/>
          <w:sz w:val="20"/>
          <w:szCs w:val="20"/>
          <w:lang w:val="en-US" w:eastAsia="en-US" w:bidi="ar-SA"/>
        </w:rPr>
        <w:t>（2）监理人应按第</w:t>
      </w:r>
      <w:r>
        <w:rPr>
          <w:rFonts w:hint="eastAsia" w:ascii="宋体" w:hAnsi="宋体" w:eastAsia="宋体" w:cs="宋体"/>
          <w:snapToGrid w:val="0"/>
          <w:color w:val="000000"/>
          <w:spacing w:val="-50"/>
          <w:kern w:val="0"/>
          <w:sz w:val="20"/>
          <w:szCs w:val="20"/>
          <w:lang w:val="en-US" w:eastAsia="en-US" w:bidi="ar-SA"/>
        </w:rPr>
        <w:t xml:space="preserve"> </w:t>
      </w:r>
      <w:r>
        <w:rPr>
          <w:rFonts w:hint="eastAsia" w:ascii="宋体" w:hAnsi="宋体" w:eastAsia="宋体" w:cs="宋体"/>
          <w:snapToGrid w:val="0"/>
          <w:color w:val="000000"/>
          <w:spacing w:val="-1"/>
          <w:kern w:val="0"/>
          <w:sz w:val="20"/>
          <w:szCs w:val="20"/>
          <w:lang w:val="en-US" w:eastAsia="en-US" w:bidi="ar-SA"/>
        </w:rPr>
        <w:t>3.5 款商定或确定追加</w:t>
      </w:r>
      <w:r>
        <w:rPr>
          <w:rFonts w:hint="eastAsia" w:ascii="宋体" w:hAnsi="宋体" w:eastAsia="宋体" w:cs="宋体"/>
          <w:snapToGrid w:val="0"/>
          <w:color w:val="000000"/>
          <w:spacing w:val="-2"/>
          <w:kern w:val="0"/>
          <w:sz w:val="20"/>
          <w:szCs w:val="20"/>
          <w:lang w:val="en-US" w:eastAsia="en-US" w:bidi="ar-SA"/>
        </w:rPr>
        <w:t>的付款和（或）延长的工期，并在收</w:t>
      </w:r>
      <w:r>
        <w:rPr>
          <w:rFonts w:hint="eastAsia" w:ascii="宋体" w:hAnsi="宋体" w:eastAsia="宋体" w:cs="宋体"/>
          <w:snapToGrid w:val="0"/>
          <w:color w:val="000000"/>
          <w:spacing w:val="-3"/>
          <w:kern w:val="0"/>
          <w:sz w:val="20"/>
          <w:szCs w:val="20"/>
          <w:lang w:val="en-US" w:eastAsia="en-US" w:bidi="ar-SA"/>
        </w:rPr>
        <w:t>到上述索赔通知书或有关索赔的进一步证明材料后的</w:t>
      </w:r>
      <w:r>
        <w:rPr>
          <w:rFonts w:hint="eastAsia" w:ascii="宋体" w:hAnsi="宋体" w:eastAsia="宋体" w:cs="宋体"/>
          <w:snapToGrid w:val="0"/>
          <w:color w:val="000000"/>
          <w:spacing w:val="-40"/>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42 天内，将索赔处理结果报发包人批准后答复承包人。如果承包人提出的索赔要求未能遵守第</w:t>
      </w:r>
      <w:r>
        <w:rPr>
          <w:rFonts w:hint="eastAsia" w:ascii="宋体" w:hAnsi="宋体" w:eastAsia="宋体" w:cs="宋体"/>
          <w:snapToGrid w:val="0"/>
          <w:color w:val="000000"/>
          <w:spacing w:val="-46"/>
          <w:kern w:val="0"/>
          <w:sz w:val="20"/>
          <w:szCs w:val="20"/>
          <w:lang w:val="en-US" w:eastAsia="en-US" w:bidi="ar-SA"/>
        </w:rPr>
        <w:t xml:space="preserve"> </w:t>
      </w:r>
      <w:r>
        <w:rPr>
          <w:rFonts w:hint="eastAsia" w:ascii="宋体" w:hAnsi="宋体" w:eastAsia="宋体" w:cs="宋体"/>
          <w:snapToGrid w:val="0"/>
          <w:color w:val="000000"/>
          <w:spacing w:val="-3"/>
          <w:kern w:val="0"/>
          <w:sz w:val="20"/>
          <w:szCs w:val="20"/>
          <w:lang w:val="en-US" w:eastAsia="en-US" w:bidi="ar-SA"/>
        </w:rPr>
        <w:t>23.1（2）~（4）项</w:t>
      </w:r>
      <w:r>
        <w:rPr>
          <w:rFonts w:hint="eastAsia" w:ascii="宋体" w:hAnsi="宋体" w:eastAsia="宋体" w:cs="宋体"/>
          <w:snapToGrid w:val="0"/>
          <w:color w:val="000000"/>
          <w:kern w:val="0"/>
          <w:sz w:val="20"/>
          <w:szCs w:val="20"/>
          <w:lang w:val="en-US" w:eastAsia="en-US" w:bidi="ar-SA"/>
        </w:rPr>
        <w:t>的规定，则承包人只限于索赔由监理人按当时记录予以核实的那部分款额和（或）</w:t>
      </w:r>
      <w:r>
        <w:rPr>
          <w:rFonts w:hint="eastAsia" w:ascii="宋体" w:hAnsi="宋体" w:eastAsia="宋体" w:cs="宋体"/>
          <w:snapToGrid w:val="0"/>
          <w:color w:val="000000"/>
          <w:spacing w:val="-6"/>
          <w:kern w:val="0"/>
          <w:sz w:val="20"/>
          <w:szCs w:val="20"/>
          <w:lang w:val="en-US" w:eastAsia="en-US" w:bidi="ar-SA"/>
        </w:rPr>
        <w:t>工期延长天数。</w:t>
      </w:r>
    </w:p>
    <w:p w14:paraId="2579D2F6">
      <w:pPr>
        <w:spacing w:before="91" w:line="240" w:lineRule="auto"/>
        <w:ind w:left="34"/>
        <w:outlineLvl w:val="0"/>
        <w:rPr>
          <w:rFonts w:hint="eastAsia" w:ascii="宋体" w:hAnsi="宋体" w:eastAsia="宋体" w:cs="宋体"/>
          <w:sz w:val="20"/>
          <w:szCs w:val="20"/>
        </w:rPr>
      </w:pPr>
      <w:bookmarkStart w:id="44" w:name="bookmark73"/>
      <w:bookmarkEnd w:id="44"/>
      <w:r>
        <w:rPr>
          <w:rFonts w:hint="eastAsia" w:ascii="宋体" w:hAnsi="宋体" w:eastAsia="宋体" w:cs="宋体"/>
          <w:spacing w:val="-2"/>
          <w:sz w:val="20"/>
          <w:szCs w:val="20"/>
        </w:rPr>
        <w:t>24.</w:t>
      </w:r>
      <w:r>
        <w:rPr>
          <w:rFonts w:hint="eastAsia" w:ascii="宋体" w:hAnsi="宋体" w:eastAsia="宋体" w:cs="宋体"/>
          <w:spacing w:val="8"/>
          <w:sz w:val="20"/>
          <w:szCs w:val="20"/>
        </w:rPr>
        <w:t xml:space="preserve">  </w:t>
      </w:r>
      <w:r>
        <w:rPr>
          <w:rFonts w:hint="eastAsia" w:ascii="宋体" w:hAnsi="宋体" w:eastAsia="宋体" w:cs="宋体"/>
          <w:spacing w:val="-2"/>
          <w:sz w:val="20"/>
          <w:szCs w:val="20"/>
        </w:rPr>
        <w:t>争议的解决</w:t>
      </w:r>
    </w:p>
    <w:p w14:paraId="0B1571A4">
      <w:pPr>
        <w:spacing w:before="312" w:line="240" w:lineRule="auto"/>
        <w:ind w:left="33"/>
        <w:outlineLvl w:val="1"/>
        <w:rPr>
          <w:rFonts w:hint="eastAsia" w:ascii="宋体" w:hAnsi="宋体" w:eastAsia="宋体" w:cs="宋体"/>
          <w:sz w:val="20"/>
          <w:szCs w:val="20"/>
        </w:rPr>
      </w:pPr>
      <w:r>
        <w:rPr>
          <w:rFonts w:hint="eastAsia" w:ascii="宋体" w:hAnsi="宋体" w:eastAsia="宋体" w:cs="宋体"/>
          <w:spacing w:val="-3"/>
          <w:sz w:val="20"/>
          <w:szCs w:val="20"/>
        </w:rPr>
        <w:t>24.3</w:t>
      </w:r>
      <w:r>
        <w:rPr>
          <w:rFonts w:hint="eastAsia" w:ascii="宋体" w:hAnsi="宋体" w:eastAsia="宋体" w:cs="宋体"/>
          <w:spacing w:val="11"/>
          <w:sz w:val="20"/>
          <w:szCs w:val="20"/>
        </w:rPr>
        <w:t xml:space="preserve">  </w:t>
      </w:r>
      <w:r>
        <w:rPr>
          <w:rFonts w:hint="eastAsia" w:ascii="宋体" w:hAnsi="宋体" w:eastAsia="宋体" w:cs="宋体"/>
          <w:spacing w:val="-3"/>
          <w:sz w:val="20"/>
          <w:szCs w:val="20"/>
        </w:rPr>
        <w:t>争议评审</w:t>
      </w:r>
    </w:p>
    <w:p w14:paraId="37942B30">
      <w:pPr>
        <w:kinsoku w:val="0"/>
        <w:autoSpaceDE w:val="0"/>
        <w:autoSpaceDN w:val="0"/>
        <w:adjustRightInd w:val="0"/>
        <w:snapToGrid w:val="0"/>
        <w:spacing w:before="78" w:line="240" w:lineRule="auto"/>
        <w:ind w:left="518"/>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6"/>
          <w:kern w:val="0"/>
          <w:sz w:val="20"/>
          <w:szCs w:val="20"/>
          <w:lang w:val="en-US" w:eastAsia="en-US" w:bidi="ar-SA"/>
        </w:rPr>
        <w:t>第</w:t>
      </w:r>
      <w:r>
        <w:rPr>
          <w:rFonts w:hint="eastAsia" w:ascii="宋体" w:hAnsi="宋体" w:eastAsia="宋体" w:cs="宋体"/>
          <w:snapToGrid w:val="0"/>
          <w:color w:val="000000"/>
          <w:spacing w:val="-55"/>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24.3.1</w:t>
      </w:r>
      <w:r>
        <w:rPr>
          <w:rFonts w:hint="eastAsia" w:ascii="宋体" w:hAnsi="宋体" w:eastAsia="宋体" w:cs="宋体"/>
          <w:snapToGrid w:val="0"/>
          <w:color w:val="000000"/>
          <w:spacing w:val="13"/>
          <w:kern w:val="0"/>
          <w:sz w:val="20"/>
          <w:szCs w:val="20"/>
          <w:lang w:val="en-US" w:eastAsia="en-US" w:bidi="ar-SA"/>
        </w:rPr>
        <w:t xml:space="preserve"> </w:t>
      </w:r>
      <w:r>
        <w:rPr>
          <w:rFonts w:hint="eastAsia" w:ascii="宋体" w:hAnsi="宋体" w:eastAsia="宋体" w:cs="宋体"/>
          <w:snapToGrid w:val="0"/>
          <w:color w:val="000000"/>
          <w:spacing w:val="-6"/>
          <w:kern w:val="0"/>
          <w:sz w:val="20"/>
          <w:szCs w:val="20"/>
          <w:lang w:val="en-US" w:eastAsia="en-US" w:bidi="ar-SA"/>
        </w:rPr>
        <w:t>项补充：</w:t>
      </w:r>
    </w:p>
    <w:p w14:paraId="665D018B">
      <w:pPr>
        <w:kinsoku w:val="0"/>
        <w:autoSpaceDE w:val="0"/>
        <w:autoSpaceDN w:val="0"/>
        <w:adjustRightInd w:val="0"/>
        <w:snapToGrid w:val="0"/>
        <w:spacing w:before="97" w:line="240" w:lineRule="auto"/>
        <w:ind w:left="38" w:firstLine="48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争议评审组由</w:t>
      </w:r>
      <w:r>
        <w:rPr>
          <w:rFonts w:hint="eastAsia" w:ascii="宋体" w:hAnsi="宋体" w:eastAsia="宋体" w:cs="宋体"/>
          <w:snapToGrid w:val="0"/>
          <w:color w:val="000000"/>
          <w:spacing w:val="-32"/>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3</w:t>
      </w:r>
      <w:r>
        <w:rPr>
          <w:rFonts w:hint="eastAsia" w:ascii="宋体" w:hAnsi="宋体" w:eastAsia="宋体" w:cs="宋体"/>
          <w:snapToGrid w:val="0"/>
          <w:color w:val="000000"/>
          <w:spacing w:val="21"/>
          <w:w w:val="101"/>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人或</w:t>
      </w:r>
      <w:r>
        <w:rPr>
          <w:rFonts w:hint="eastAsia" w:ascii="宋体" w:hAnsi="宋体" w:eastAsia="宋体" w:cs="宋体"/>
          <w:snapToGrid w:val="0"/>
          <w:color w:val="000000"/>
          <w:spacing w:val="-39"/>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5</w:t>
      </w:r>
      <w:r>
        <w:rPr>
          <w:rFonts w:hint="eastAsia" w:ascii="宋体" w:hAnsi="宋体" w:eastAsia="宋体" w:cs="宋体"/>
          <w:snapToGrid w:val="0"/>
          <w:color w:val="000000"/>
          <w:spacing w:val="18"/>
          <w:w w:val="101"/>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人组成，专家的聘请方法可由发包人和承包人共同协商</w:t>
      </w:r>
      <w:r>
        <w:rPr>
          <w:rFonts w:hint="eastAsia" w:ascii="宋体" w:hAnsi="宋体" w:eastAsia="宋体" w:cs="宋体"/>
          <w:snapToGrid w:val="0"/>
          <w:color w:val="000000"/>
          <w:spacing w:val="1"/>
          <w:kern w:val="0"/>
          <w:sz w:val="20"/>
          <w:szCs w:val="20"/>
          <w:lang w:val="en-US" w:eastAsia="en-US" w:bidi="ar-SA"/>
        </w:rPr>
        <w:t>确定，亦可请政府主管部门推荐或通过合同争议调</w:t>
      </w:r>
      <w:r>
        <w:rPr>
          <w:rFonts w:hint="eastAsia" w:ascii="宋体" w:hAnsi="宋体" w:eastAsia="宋体" w:cs="宋体"/>
          <w:snapToGrid w:val="0"/>
          <w:color w:val="000000"/>
          <w:kern w:val="0"/>
          <w:sz w:val="20"/>
          <w:szCs w:val="20"/>
          <w:lang w:val="en-US" w:eastAsia="en-US" w:bidi="ar-SA"/>
        </w:rPr>
        <w:t>解机构聘请，并经双方认同。争</w:t>
      </w:r>
      <w:r>
        <w:rPr>
          <w:rFonts w:hint="eastAsia" w:ascii="宋体" w:hAnsi="宋体" w:eastAsia="宋体" w:cs="宋体"/>
          <w:snapToGrid w:val="0"/>
          <w:color w:val="000000"/>
          <w:spacing w:val="1"/>
          <w:kern w:val="0"/>
          <w:sz w:val="20"/>
          <w:szCs w:val="20"/>
          <w:lang w:val="en-US" w:eastAsia="en-US" w:bidi="ar-SA"/>
        </w:rPr>
        <w:t>议评审组成员应与合同双方均无利害关系。争</w:t>
      </w:r>
      <w:r>
        <w:rPr>
          <w:rFonts w:hint="eastAsia" w:ascii="宋体" w:hAnsi="宋体" w:eastAsia="宋体" w:cs="宋体"/>
          <w:snapToGrid w:val="0"/>
          <w:color w:val="000000"/>
          <w:kern w:val="0"/>
          <w:sz w:val="20"/>
          <w:szCs w:val="20"/>
          <w:lang w:val="en-US" w:eastAsia="en-US" w:bidi="ar-SA"/>
        </w:rPr>
        <w:t>议评审组的各项费用由发包人和承包</w:t>
      </w:r>
      <w:r>
        <w:rPr>
          <w:rFonts w:hint="eastAsia" w:ascii="宋体" w:hAnsi="宋体" w:eastAsia="宋体" w:cs="宋体"/>
          <w:snapToGrid w:val="0"/>
          <w:color w:val="000000"/>
          <w:spacing w:val="-7"/>
          <w:kern w:val="0"/>
          <w:sz w:val="20"/>
          <w:szCs w:val="20"/>
          <w:lang w:val="en-US" w:eastAsia="en-US" w:bidi="ar-SA"/>
        </w:rPr>
        <w:t>人平均分担。</w:t>
      </w:r>
    </w:p>
    <w:p w14:paraId="70E7B114">
      <w:pPr>
        <w:spacing w:before="239" w:line="240" w:lineRule="auto"/>
        <w:ind w:left="39"/>
        <w:rPr>
          <w:rFonts w:hint="eastAsia" w:ascii="宋体" w:hAnsi="宋体" w:eastAsia="宋体" w:cs="宋体"/>
          <w:sz w:val="20"/>
          <w:szCs w:val="20"/>
        </w:rPr>
      </w:pPr>
      <w:r>
        <w:rPr>
          <w:rFonts w:hint="eastAsia" w:ascii="宋体" w:hAnsi="宋体" w:eastAsia="宋体" w:cs="宋体"/>
          <w:spacing w:val="-1"/>
          <w:sz w:val="20"/>
          <w:szCs w:val="20"/>
        </w:rPr>
        <w:t>本条补充第</w:t>
      </w:r>
      <w:r>
        <w:rPr>
          <w:rFonts w:hint="eastAsia" w:ascii="宋体" w:hAnsi="宋体" w:eastAsia="宋体" w:cs="宋体"/>
          <w:spacing w:val="-54"/>
          <w:sz w:val="20"/>
          <w:szCs w:val="20"/>
        </w:rPr>
        <w:t xml:space="preserve"> </w:t>
      </w:r>
      <w:r>
        <w:rPr>
          <w:rFonts w:hint="eastAsia" w:ascii="宋体" w:hAnsi="宋体" w:eastAsia="宋体" w:cs="宋体"/>
          <w:spacing w:val="-1"/>
          <w:sz w:val="20"/>
          <w:szCs w:val="20"/>
        </w:rPr>
        <w:t>24.4 款、第</w:t>
      </w:r>
      <w:r>
        <w:rPr>
          <w:rFonts w:hint="eastAsia" w:ascii="宋体" w:hAnsi="宋体" w:eastAsia="宋体" w:cs="宋体"/>
          <w:spacing w:val="-55"/>
          <w:sz w:val="20"/>
          <w:szCs w:val="20"/>
        </w:rPr>
        <w:t xml:space="preserve"> </w:t>
      </w:r>
      <w:r>
        <w:rPr>
          <w:rFonts w:hint="eastAsia" w:ascii="宋体" w:hAnsi="宋体" w:eastAsia="宋体" w:cs="宋体"/>
          <w:spacing w:val="-1"/>
          <w:sz w:val="20"/>
          <w:szCs w:val="20"/>
        </w:rPr>
        <w:t>24.5 款（适用于采用仲裁方式最终解决争议的项目</w:t>
      </w:r>
      <w:r>
        <w:rPr>
          <w:rFonts w:hint="eastAsia" w:ascii="宋体" w:hAnsi="宋体" w:eastAsia="宋体" w:cs="宋体"/>
          <w:spacing w:val="-64"/>
          <w:sz w:val="20"/>
          <w:szCs w:val="20"/>
        </w:rPr>
        <w:t>）：</w:t>
      </w:r>
    </w:p>
    <w:p w14:paraId="56846690">
      <w:pPr>
        <w:spacing w:before="317" w:line="240" w:lineRule="auto"/>
        <w:ind w:left="33"/>
        <w:outlineLvl w:val="1"/>
        <w:rPr>
          <w:rFonts w:hint="eastAsia" w:ascii="宋体" w:hAnsi="宋体" w:eastAsia="宋体" w:cs="宋体"/>
          <w:sz w:val="20"/>
          <w:szCs w:val="20"/>
        </w:rPr>
      </w:pPr>
      <w:bookmarkStart w:id="45" w:name="bookmark74"/>
      <w:bookmarkEnd w:id="45"/>
      <w:r>
        <w:rPr>
          <w:rFonts w:hint="eastAsia" w:ascii="宋体" w:hAnsi="宋体" w:eastAsia="宋体" w:cs="宋体"/>
          <w:spacing w:val="-2"/>
          <w:sz w:val="20"/>
          <w:szCs w:val="20"/>
        </w:rPr>
        <w:t>24.4</w:t>
      </w:r>
      <w:r>
        <w:rPr>
          <w:rFonts w:hint="eastAsia" w:ascii="宋体" w:hAnsi="宋体" w:eastAsia="宋体" w:cs="宋体"/>
          <w:spacing w:val="6"/>
          <w:sz w:val="20"/>
          <w:szCs w:val="20"/>
        </w:rPr>
        <w:t xml:space="preserve">  </w:t>
      </w:r>
      <w:r>
        <w:rPr>
          <w:rFonts w:hint="eastAsia" w:ascii="宋体" w:hAnsi="宋体" w:eastAsia="宋体" w:cs="宋体"/>
          <w:spacing w:val="-2"/>
          <w:sz w:val="20"/>
          <w:szCs w:val="20"/>
        </w:rPr>
        <w:t>仲裁</w:t>
      </w:r>
    </w:p>
    <w:p w14:paraId="2D1F0AD3">
      <w:pPr>
        <w:kinsoku w:val="0"/>
        <w:autoSpaceDE w:val="0"/>
        <w:autoSpaceDN w:val="0"/>
        <w:adjustRightInd w:val="0"/>
        <w:snapToGrid w:val="0"/>
        <w:spacing w:before="79" w:line="240" w:lineRule="auto"/>
        <w:ind w:left="39" w:right="2"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（1）对于未能友好解决或未能通过争议评审解决的争议，发包人或承包人任一</w:t>
      </w:r>
      <w:r>
        <w:rPr>
          <w:rFonts w:hint="eastAsia" w:ascii="宋体" w:hAnsi="宋体" w:eastAsia="宋体" w:cs="宋体"/>
          <w:snapToGrid w:val="0"/>
          <w:color w:val="000000"/>
          <w:spacing w:val="-2"/>
          <w:kern w:val="0"/>
          <w:sz w:val="20"/>
          <w:szCs w:val="20"/>
          <w:lang w:val="en-US" w:eastAsia="en-US" w:bidi="ar-SA"/>
        </w:rPr>
        <w:t>方均有权提交给第</w:t>
      </w:r>
      <w:r>
        <w:rPr>
          <w:rFonts w:hint="eastAsia" w:ascii="宋体" w:hAnsi="宋体" w:eastAsia="宋体" w:cs="宋体"/>
          <w:snapToGrid w:val="0"/>
          <w:color w:val="000000"/>
          <w:spacing w:val="-52"/>
          <w:kern w:val="0"/>
          <w:sz w:val="20"/>
          <w:szCs w:val="20"/>
          <w:lang w:val="en-US" w:eastAsia="en-US" w:bidi="ar-SA"/>
        </w:rPr>
        <w:t xml:space="preserve"> </w:t>
      </w:r>
      <w:r>
        <w:rPr>
          <w:rFonts w:hint="eastAsia" w:ascii="宋体" w:hAnsi="宋体" w:eastAsia="宋体" w:cs="宋体"/>
          <w:snapToGrid w:val="0"/>
          <w:color w:val="000000"/>
          <w:spacing w:val="-2"/>
          <w:kern w:val="0"/>
          <w:sz w:val="20"/>
          <w:szCs w:val="20"/>
          <w:lang w:val="en-US" w:eastAsia="en-US" w:bidi="ar-SA"/>
        </w:rPr>
        <w:t>24.1 款约定的仲裁委员会仲裁。</w:t>
      </w:r>
    </w:p>
    <w:p w14:paraId="61DF825E">
      <w:pPr>
        <w:kinsoku w:val="0"/>
        <w:autoSpaceDE w:val="0"/>
        <w:autoSpaceDN w:val="0"/>
        <w:adjustRightInd w:val="0"/>
        <w:snapToGrid w:val="0"/>
        <w:spacing w:before="98" w:line="240" w:lineRule="auto"/>
        <w:ind w:left="39" w:right="2" w:firstLine="485"/>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（2）仲裁可在交工之前或之后进行，但发包人、监理人和承包人各自的义务不</w:t>
      </w:r>
      <w:r>
        <w:rPr>
          <w:rFonts w:hint="eastAsia" w:ascii="宋体" w:hAnsi="宋体" w:eastAsia="宋体" w:cs="宋体"/>
          <w:snapToGrid w:val="0"/>
          <w:color w:val="000000"/>
          <w:kern w:val="0"/>
          <w:sz w:val="20"/>
          <w:szCs w:val="20"/>
          <w:lang w:val="en-US" w:eastAsia="en-US" w:bidi="ar-SA"/>
        </w:rPr>
        <w:t>得因在工程实施期间进行仲裁而有所改变。如果仲裁是在终止合同的情况下进行，</w:t>
      </w:r>
      <w:r>
        <w:rPr>
          <w:rFonts w:hint="eastAsia" w:ascii="宋体" w:hAnsi="宋体" w:eastAsia="宋体" w:cs="宋体"/>
          <w:snapToGrid w:val="0"/>
          <w:color w:val="000000"/>
          <w:spacing w:val="-2"/>
          <w:kern w:val="0"/>
          <w:sz w:val="20"/>
          <w:szCs w:val="20"/>
          <w:lang w:val="en-US" w:eastAsia="en-US" w:bidi="ar-SA"/>
        </w:rPr>
        <w:t>则对合同工程应采取保护措施，措施费由败诉方承担。</w:t>
      </w:r>
    </w:p>
    <w:p w14:paraId="48560373">
      <w:pPr>
        <w:kinsoku w:val="0"/>
        <w:autoSpaceDE w:val="0"/>
        <w:autoSpaceDN w:val="0"/>
        <w:adjustRightInd w:val="0"/>
        <w:snapToGrid w:val="0"/>
        <w:spacing w:before="11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（3）仲裁裁决是终局性的并对发包人和承包人双方具有约束力。</w:t>
      </w:r>
    </w:p>
    <w:p w14:paraId="7AD5F8A9">
      <w:pPr>
        <w:kinsoku w:val="0"/>
        <w:autoSpaceDE w:val="0"/>
        <w:autoSpaceDN w:val="0"/>
        <w:adjustRightInd w:val="0"/>
        <w:snapToGrid w:val="0"/>
        <w:spacing w:before="97" w:line="240" w:lineRule="auto"/>
        <w:ind w:left="524"/>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2"/>
          <w:kern w:val="0"/>
          <w:sz w:val="20"/>
          <w:szCs w:val="20"/>
          <w:lang w:val="en-US" w:eastAsia="en-US" w:bidi="ar-SA"/>
        </w:rPr>
        <w:t>（4）全部仲裁费用应由败诉方承担；或按仲裁委员会裁决的比例分担。</w:t>
      </w:r>
    </w:p>
    <w:p w14:paraId="1112AEBB">
      <w:pPr>
        <w:spacing w:before="317" w:line="240" w:lineRule="auto"/>
        <w:ind w:left="33"/>
        <w:outlineLvl w:val="1"/>
        <w:rPr>
          <w:rFonts w:hint="eastAsia" w:ascii="宋体" w:hAnsi="宋体" w:eastAsia="宋体" w:cs="宋体"/>
          <w:sz w:val="20"/>
          <w:szCs w:val="20"/>
        </w:rPr>
      </w:pPr>
      <w:bookmarkStart w:id="46" w:name="bookmark75"/>
      <w:bookmarkEnd w:id="46"/>
      <w:r>
        <w:rPr>
          <w:rFonts w:hint="eastAsia" w:ascii="宋体" w:hAnsi="宋体" w:eastAsia="宋体" w:cs="宋体"/>
          <w:spacing w:val="-1"/>
          <w:sz w:val="20"/>
          <w:szCs w:val="20"/>
        </w:rPr>
        <w:t>24.5  仲裁的执行</w:t>
      </w:r>
    </w:p>
    <w:p w14:paraId="022473FB">
      <w:pPr>
        <w:kinsoku w:val="0"/>
        <w:autoSpaceDE w:val="0"/>
        <w:autoSpaceDN w:val="0"/>
        <w:adjustRightInd w:val="0"/>
        <w:snapToGrid w:val="0"/>
        <w:spacing w:before="79" w:line="240" w:lineRule="auto"/>
        <w:ind w:left="38" w:right="2"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（1）任何一方不履行仲裁机构的裁决的，对方可以向有管辖权的人民法院申请</w:t>
      </w:r>
      <w:r>
        <w:rPr>
          <w:rFonts w:hint="eastAsia" w:ascii="宋体" w:hAnsi="宋体" w:eastAsia="宋体" w:cs="宋体"/>
          <w:snapToGrid w:val="0"/>
          <w:color w:val="000000"/>
          <w:spacing w:val="-10"/>
          <w:kern w:val="0"/>
          <w:sz w:val="20"/>
          <w:szCs w:val="20"/>
          <w:lang w:val="en-US" w:eastAsia="en-US" w:bidi="ar-SA"/>
        </w:rPr>
        <w:t>执行。</w:t>
      </w:r>
    </w:p>
    <w:p w14:paraId="198B1880">
      <w:pPr>
        <w:kinsoku w:val="0"/>
        <w:autoSpaceDE w:val="0"/>
        <w:autoSpaceDN w:val="0"/>
        <w:adjustRightInd w:val="0"/>
        <w:snapToGrid w:val="0"/>
        <w:spacing w:before="118" w:line="240" w:lineRule="auto"/>
        <w:ind w:left="38" w:right="1" w:firstLine="486"/>
        <w:jc w:val="left"/>
        <w:textAlignment w:val="baseline"/>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spacing w:val="-3"/>
          <w:kern w:val="0"/>
          <w:sz w:val="20"/>
          <w:szCs w:val="20"/>
          <w:lang w:val="en-US" w:eastAsia="en-US" w:bidi="ar-SA"/>
        </w:rPr>
        <w:t>（2）任何一方提出证据证明裁决有《中华人民共和国仲裁法》第五十八条规定</w:t>
      </w:r>
      <w:r>
        <w:rPr>
          <w:rFonts w:hint="eastAsia" w:ascii="宋体" w:hAnsi="宋体" w:eastAsia="宋体" w:cs="宋体"/>
          <w:snapToGrid w:val="0"/>
          <w:color w:val="000000"/>
          <w:kern w:val="0"/>
          <w:sz w:val="20"/>
          <w:szCs w:val="20"/>
          <w:lang w:val="en-US" w:eastAsia="en-US" w:bidi="ar-SA"/>
        </w:rPr>
        <w:t>情形之一的，可以向仲裁委员会所在地的中级人民法院申请撤销裁决。人民法院认定执行该裁决违背社会公共利益的，裁定不予执行。仲裁裁决被人民法院裁定不予执行的，当事人可以根据双方达成的书面仲裁协议重新申请仲裁，也可以向人民法</w:t>
      </w:r>
      <w:r>
        <w:rPr>
          <w:rFonts w:hint="eastAsia" w:ascii="宋体" w:hAnsi="宋体" w:eastAsia="宋体" w:cs="宋体"/>
          <w:snapToGrid w:val="0"/>
          <w:color w:val="000000"/>
          <w:spacing w:val="-9"/>
          <w:kern w:val="0"/>
          <w:sz w:val="20"/>
          <w:szCs w:val="20"/>
          <w:lang w:val="en-US" w:eastAsia="en-US" w:bidi="ar-SA"/>
        </w:rPr>
        <w:t>院起诉。</w:t>
      </w:r>
    </w:p>
    <w:p w14:paraId="66496F4F">
      <w:pPr>
        <w:spacing w:line="226" w:lineRule="auto"/>
        <w:rPr>
          <w:rFonts w:ascii="宋体" w:hAnsi="宋体" w:eastAsia="宋体" w:cs="宋体"/>
          <w:sz w:val="27"/>
          <w:szCs w:val="27"/>
        </w:rPr>
        <w:sectPr>
          <w:pgSz w:w="11905" w:h="16840"/>
          <w:pgMar w:top="1182" w:right="1416" w:bottom="1171" w:left="1416" w:header="849" w:footer="937" w:gutter="0"/>
          <w:pgNumType w:fmt="decimal"/>
          <w:cols w:space="720" w:num="1"/>
        </w:sectPr>
      </w:pPr>
    </w:p>
    <w:p w14:paraId="40A054F5">
      <w:pPr>
        <w:pStyle w:val="2"/>
        <w:spacing w:line="258" w:lineRule="auto"/>
      </w:pPr>
    </w:p>
    <w:p w14:paraId="4DB974AF">
      <w:pPr>
        <w:spacing w:before="101" w:line="241" w:lineRule="auto"/>
        <w:ind w:left="3015"/>
        <w:rPr>
          <w:rFonts w:ascii="宋体" w:hAnsi="宋体" w:eastAsia="宋体" w:cs="宋体"/>
          <w:sz w:val="15"/>
          <w:szCs w:val="15"/>
        </w:rPr>
      </w:pPr>
      <w:r>
        <w:rPr>
          <w:rFonts w:ascii="宋体" w:hAnsi="宋体" w:eastAsia="宋体" w:cs="宋体"/>
          <w:b/>
          <w:bCs/>
          <w:spacing w:val="6"/>
          <w:sz w:val="31"/>
          <w:szCs w:val="31"/>
        </w:rPr>
        <w:t>B.项目专用合同条款</w:t>
      </w:r>
    </w:p>
    <w:p w14:paraId="258366C2">
      <w:pPr>
        <w:pStyle w:val="2"/>
        <w:spacing w:line="436" w:lineRule="auto"/>
      </w:pPr>
    </w:p>
    <w:p w14:paraId="020B235D">
      <w:pPr>
        <w:spacing w:before="78" w:line="220" w:lineRule="auto"/>
        <w:ind w:left="12"/>
        <w:rPr>
          <w:rFonts w:ascii="宋体" w:hAnsi="宋体" w:eastAsia="宋体" w:cs="宋体"/>
          <w:sz w:val="24"/>
          <w:szCs w:val="24"/>
        </w:rPr>
      </w:pPr>
      <w:r>
        <w:rPr>
          <w:rFonts w:ascii="宋体" w:hAnsi="宋体" w:eastAsia="宋体" w:cs="宋体"/>
          <w:spacing w:val="-15"/>
          <w:sz w:val="24"/>
          <w:szCs w:val="24"/>
        </w:rPr>
        <w:t>说</w:t>
      </w:r>
      <w:r>
        <w:rPr>
          <w:rFonts w:ascii="宋体" w:hAnsi="宋体" w:eastAsia="宋体" w:cs="宋体"/>
          <w:spacing w:val="15"/>
          <w:sz w:val="24"/>
          <w:szCs w:val="24"/>
        </w:rPr>
        <w:t xml:space="preserve">  </w:t>
      </w:r>
      <w:r>
        <w:rPr>
          <w:rFonts w:ascii="宋体" w:hAnsi="宋体" w:eastAsia="宋体" w:cs="宋体"/>
          <w:spacing w:val="-15"/>
          <w:sz w:val="24"/>
          <w:szCs w:val="24"/>
        </w:rPr>
        <w:t>明：</w:t>
      </w:r>
    </w:p>
    <w:p w14:paraId="5C63B1F5">
      <w:pPr>
        <w:spacing w:before="182" w:line="360" w:lineRule="auto"/>
        <w:ind w:left="8" w:firstLine="498"/>
        <w:rPr>
          <w:rFonts w:ascii="宋体" w:hAnsi="宋体" w:eastAsia="宋体" w:cs="宋体"/>
          <w:sz w:val="24"/>
          <w:szCs w:val="24"/>
        </w:rPr>
      </w:pPr>
      <w:r>
        <w:rPr>
          <w:rFonts w:ascii="宋体" w:hAnsi="宋体" w:eastAsia="宋体" w:cs="宋体"/>
          <w:spacing w:val="1"/>
          <w:sz w:val="24"/>
          <w:szCs w:val="24"/>
        </w:rPr>
        <w:t>1. 招标人在根据本范本编制项目招标文件中的“项目专用合同条款”时，可根据</w:t>
      </w:r>
      <w:r>
        <w:rPr>
          <w:rFonts w:ascii="宋体" w:hAnsi="宋体" w:eastAsia="宋体" w:cs="宋体"/>
          <w:spacing w:val="-1"/>
          <w:sz w:val="24"/>
          <w:szCs w:val="24"/>
        </w:rPr>
        <w:t>招标项目的具体特点和实际需要，对“通用</w:t>
      </w:r>
      <w:r>
        <w:rPr>
          <w:rFonts w:ascii="宋体" w:hAnsi="宋体" w:eastAsia="宋体" w:cs="宋体"/>
          <w:spacing w:val="-2"/>
          <w:sz w:val="24"/>
          <w:szCs w:val="24"/>
        </w:rPr>
        <w:t>合同条款”及“公路工程专用合同条款”进行补充和细化，除“通用合同条款”明确“专用合同条款”可做出不同约定及“公路工</w:t>
      </w:r>
      <w:r>
        <w:rPr>
          <w:rFonts w:ascii="宋体" w:hAnsi="宋体" w:eastAsia="宋体" w:cs="宋体"/>
          <w:spacing w:val="2"/>
          <w:sz w:val="24"/>
          <w:szCs w:val="24"/>
        </w:rPr>
        <w:t>程专用合同条款”明确“项目专用合同条款</w:t>
      </w:r>
      <w:r>
        <w:rPr>
          <w:rFonts w:ascii="宋体" w:hAnsi="宋体" w:eastAsia="宋体" w:cs="宋体"/>
          <w:spacing w:val="1"/>
          <w:sz w:val="24"/>
          <w:szCs w:val="24"/>
        </w:rPr>
        <w:t>” 可做出不同约定外，补充和细化的内容</w:t>
      </w:r>
      <w:r>
        <w:rPr>
          <w:rFonts w:ascii="宋体" w:hAnsi="宋体" w:eastAsia="宋体" w:cs="宋体"/>
          <w:spacing w:val="-8"/>
          <w:sz w:val="24"/>
          <w:szCs w:val="24"/>
        </w:rPr>
        <w:t>不得与“通用合同条款”及“公路工程专用合同条款”强制性</w:t>
      </w:r>
      <w:r>
        <w:rPr>
          <w:rFonts w:ascii="宋体" w:hAnsi="宋体" w:eastAsia="宋体" w:cs="宋体"/>
          <w:spacing w:val="-9"/>
          <w:sz w:val="24"/>
          <w:szCs w:val="24"/>
        </w:rPr>
        <w:t>规定相抵触。同时， 补充、</w:t>
      </w:r>
      <w:r>
        <w:rPr>
          <w:rFonts w:ascii="宋体" w:hAnsi="宋体" w:eastAsia="宋体" w:cs="宋体"/>
          <w:spacing w:val="-2"/>
          <w:sz w:val="24"/>
          <w:szCs w:val="24"/>
        </w:rPr>
        <w:t>细化或约定的不同内容，不得违反法律、行政法规的强制性规定和平等、自愿、公平和</w:t>
      </w:r>
      <w:r>
        <w:rPr>
          <w:rFonts w:ascii="宋体" w:hAnsi="宋体" w:eastAsia="宋体" w:cs="宋体"/>
          <w:spacing w:val="-6"/>
          <w:sz w:val="24"/>
          <w:szCs w:val="24"/>
        </w:rPr>
        <w:t>诚实信用原则。</w:t>
      </w:r>
    </w:p>
    <w:p w14:paraId="4F7E385B">
      <w:pPr>
        <w:spacing w:line="219" w:lineRule="auto"/>
        <w:ind w:left="492"/>
        <w:rPr>
          <w:rFonts w:ascii="宋体" w:hAnsi="宋体" w:eastAsia="宋体" w:cs="宋体"/>
          <w:sz w:val="24"/>
          <w:szCs w:val="24"/>
        </w:rPr>
      </w:pPr>
      <w:r>
        <w:rPr>
          <w:rFonts w:ascii="宋体" w:hAnsi="宋体" w:eastAsia="宋体" w:cs="宋体"/>
          <w:spacing w:val="-1"/>
          <w:sz w:val="24"/>
          <w:szCs w:val="24"/>
        </w:rPr>
        <w:t>2. 项目专用合同条款的编号应与通用合同条款和公路工程专用合同条款一致。</w:t>
      </w:r>
    </w:p>
    <w:p w14:paraId="7AC19244">
      <w:pPr>
        <w:spacing w:before="182" w:line="220" w:lineRule="auto"/>
        <w:ind w:left="494"/>
        <w:rPr>
          <w:rFonts w:ascii="宋体" w:hAnsi="宋体" w:eastAsia="宋体" w:cs="宋体"/>
          <w:sz w:val="24"/>
          <w:szCs w:val="24"/>
        </w:rPr>
      </w:pPr>
      <w:r>
        <w:rPr>
          <w:rFonts w:ascii="宋体" w:hAnsi="宋体" w:eastAsia="宋体" w:cs="宋体"/>
          <w:spacing w:val="-3"/>
          <w:sz w:val="24"/>
          <w:szCs w:val="24"/>
        </w:rPr>
        <w:t>3. 项目专用合同条款可对下列内容进行补充和细化：</w:t>
      </w:r>
    </w:p>
    <w:p w14:paraId="529A1697">
      <w:pPr>
        <w:spacing w:before="183" w:line="360" w:lineRule="auto"/>
        <w:ind w:left="9" w:right="85" w:firstLine="522"/>
        <w:rPr>
          <w:rFonts w:ascii="宋体" w:hAnsi="宋体" w:eastAsia="宋体" w:cs="宋体"/>
          <w:sz w:val="24"/>
          <w:szCs w:val="24"/>
        </w:rPr>
      </w:pPr>
      <w:r>
        <w:rPr>
          <w:rFonts w:ascii="宋体" w:hAnsi="宋体" w:eastAsia="宋体" w:cs="宋体"/>
          <w:sz w:val="24"/>
          <w:szCs w:val="24"/>
        </w:rPr>
        <w:t>(1)“通用合同条款”中明确指出“专用合同条款”可对“通用合同条款”进行修</w:t>
      </w:r>
      <w:r>
        <w:rPr>
          <w:rFonts w:ascii="宋体" w:hAnsi="宋体" w:eastAsia="宋体" w:cs="宋体"/>
          <w:spacing w:val="-5"/>
          <w:sz w:val="24"/>
          <w:szCs w:val="24"/>
        </w:rPr>
        <w:t>改的内容</w:t>
      </w:r>
      <w:r>
        <w:rPr>
          <w:rFonts w:hint="eastAsia" w:ascii="宋体" w:hAnsi="宋体" w:cs="宋体"/>
          <w:spacing w:val="-5"/>
          <w:sz w:val="24"/>
          <w:szCs w:val="24"/>
          <w:lang w:eastAsia="zh-CN"/>
        </w:rPr>
        <w:t>（</w:t>
      </w:r>
      <w:r>
        <w:rPr>
          <w:rFonts w:ascii="宋体" w:hAnsi="宋体" w:eastAsia="宋体" w:cs="宋体"/>
          <w:spacing w:val="-5"/>
          <w:sz w:val="24"/>
          <w:szCs w:val="24"/>
        </w:rPr>
        <w:t>在“通用合同条款”中用“应按合同约定”、“应按专用合同条款约定”“除</w:t>
      </w:r>
      <w:r>
        <w:rPr>
          <w:rFonts w:ascii="宋体" w:hAnsi="宋体" w:eastAsia="宋体" w:cs="宋体"/>
          <w:spacing w:val="-2"/>
          <w:sz w:val="24"/>
          <w:szCs w:val="24"/>
        </w:rPr>
        <w:t>合同另有约定外”、“除专用合同条款另有约定外”、“在专用合同条款中约定”等多</w:t>
      </w:r>
      <w:r>
        <w:rPr>
          <w:rFonts w:ascii="宋体" w:hAnsi="宋体" w:eastAsia="宋体" w:cs="宋体"/>
          <w:spacing w:val="-7"/>
          <w:sz w:val="24"/>
          <w:szCs w:val="24"/>
        </w:rPr>
        <w:t>种文字形式表达</w:t>
      </w:r>
      <w:r>
        <w:rPr>
          <w:rFonts w:hint="eastAsia" w:ascii="宋体" w:hAnsi="宋体" w:cs="宋体"/>
          <w:spacing w:val="-7"/>
          <w:sz w:val="24"/>
          <w:szCs w:val="24"/>
          <w:lang w:eastAsia="zh-CN"/>
        </w:rPr>
        <w:t>）</w:t>
      </w:r>
      <w:r>
        <w:rPr>
          <w:rFonts w:ascii="宋体" w:hAnsi="宋体" w:eastAsia="宋体" w:cs="宋体"/>
          <w:spacing w:val="-7"/>
          <w:sz w:val="24"/>
          <w:szCs w:val="24"/>
        </w:rPr>
        <w:t>；</w:t>
      </w:r>
    </w:p>
    <w:p w14:paraId="212010C4">
      <w:pPr>
        <w:spacing w:line="360" w:lineRule="auto"/>
        <w:ind w:left="9" w:right="84" w:firstLine="522"/>
        <w:rPr>
          <w:rFonts w:ascii="宋体" w:hAnsi="宋体" w:eastAsia="宋体" w:cs="宋体"/>
          <w:sz w:val="24"/>
          <w:szCs w:val="24"/>
        </w:rPr>
      </w:pPr>
      <w:r>
        <w:rPr>
          <w:rFonts w:ascii="宋体" w:hAnsi="宋体" w:eastAsia="宋体" w:cs="宋体"/>
          <w:sz w:val="24"/>
          <w:szCs w:val="24"/>
        </w:rPr>
        <w:t>(2)“公路工程专用合同条款”中明确指出“项目专用合同条款”可对“公路工程</w:t>
      </w:r>
      <w:r>
        <w:rPr>
          <w:rFonts w:ascii="宋体" w:hAnsi="宋体" w:eastAsia="宋体" w:cs="宋体"/>
          <w:spacing w:val="-2"/>
          <w:sz w:val="24"/>
          <w:szCs w:val="24"/>
        </w:rPr>
        <w:t>专用合同条款”进行修改的内容（在“公路工程专用合同条款”中用“除项目专用合同条款另有约定外”、“项目专用合同条款可能约定的”、“项目专用合同条款约定的其</w:t>
      </w:r>
      <w:r>
        <w:rPr>
          <w:rFonts w:ascii="宋体" w:hAnsi="宋体" w:eastAsia="宋体" w:cs="宋体"/>
          <w:spacing w:val="-5"/>
          <w:sz w:val="24"/>
          <w:szCs w:val="24"/>
        </w:rPr>
        <w:t>他情形”等多种文字形式表达</w:t>
      </w:r>
      <w:r>
        <w:rPr>
          <w:rFonts w:ascii="宋体" w:hAnsi="宋体" w:eastAsia="宋体" w:cs="宋体"/>
          <w:spacing w:val="1"/>
          <w:sz w:val="24"/>
          <w:szCs w:val="24"/>
        </w:rPr>
        <w:t>）；</w:t>
      </w:r>
    </w:p>
    <w:p w14:paraId="0AD1FC6B">
      <w:pPr>
        <w:spacing w:line="219" w:lineRule="auto"/>
        <w:ind w:left="531"/>
        <w:rPr>
          <w:rFonts w:ascii="宋体" w:hAnsi="宋体" w:eastAsia="宋体" w:cs="宋体"/>
          <w:sz w:val="24"/>
          <w:szCs w:val="24"/>
        </w:rPr>
      </w:pPr>
      <w:r>
        <w:rPr>
          <w:rFonts w:ascii="宋体" w:hAnsi="宋体" w:eastAsia="宋体" w:cs="宋体"/>
          <w:spacing w:val="-6"/>
          <w:sz w:val="24"/>
          <w:szCs w:val="24"/>
        </w:rPr>
        <w:t>(3)其他需要补充、细化的内容。</w:t>
      </w:r>
    </w:p>
    <w:p w14:paraId="16EBBD6C">
      <w:pPr>
        <w:pStyle w:val="2"/>
        <w:spacing w:line="250" w:lineRule="auto"/>
      </w:pPr>
    </w:p>
    <w:p w14:paraId="24BD25B0">
      <w:pPr>
        <w:pStyle w:val="2"/>
        <w:spacing w:line="250" w:lineRule="auto"/>
      </w:pPr>
    </w:p>
    <w:p w14:paraId="02666E07">
      <w:pPr>
        <w:pStyle w:val="2"/>
        <w:spacing w:line="250" w:lineRule="auto"/>
      </w:pPr>
    </w:p>
    <w:p w14:paraId="1D5C6C6E">
      <w:pPr>
        <w:pStyle w:val="2"/>
        <w:spacing w:line="250" w:lineRule="auto"/>
      </w:pPr>
    </w:p>
    <w:p w14:paraId="030F7C3C">
      <w:pPr>
        <w:pStyle w:val="2"/>
        <w:spacing w:line="250" w:lineRule="auto"/>
      </w:pPr>
    </w:p>
    <w:p w14:paraId="449560D7">
      <w:pPr>
        <w:pStyle w:val="2"/>
        <w:spacing w:line="250" w:lineRule="auto"/>
      </w:pPr>
    </w:p>
    <w:p w14:paraId="5A004E16">
      <w:pPr>
        <w:pStyle w:val="2"/>
        <w:spacing w:line="250" w:lineRule="auto"/>
      </w:pPr>
    </w:p>
    <w:p w14:paraId="0C890C89">
      <w:pPr>
        <w:pStyle w:val="2"/>
        <w:spacing w:line="251" w:lineRule="auto"/>
      </w:pPr>
    </w:p>
    <w:p w14:paraId="280F5FD0">
      <w:pPr>
        <w:pStyle w:val="2"/>
        <w:spacing w:line="251" w:lineRule="auto"/>
      </w:pPr>
    </w:p>
    <w:p w14:paraId="53577F3E">
      <w:pPr>
        <w:pStyle w:val="2"/>
        <w:spacing w:line="251" w:lineRule="auto"/>
      </w:pPr>
    </w:p>
    <w:p w14:paraId="2179A1EA">
      <w:pPr>
        <w:pStyle w:val="2"/>
        <w:spacing w:line="251" w:lineRule="auto"/>
      </w:pPr>
    </w:p>
    <w:p w14:paraId="5993D7F9">
      <w:pPr>
        <w:pStyle w:val="2"/>
        <w:spacing w:line="251" w:lineRule="auto"/>
      </w:pPr>
    </w:p>
    <w:p w14:paraId="1FAA8E01">
      <w:pPr>
        <w:pStyle w:val="2"/>
        <w:spacing w:line="251" w:lineRule="auto"/>
      </w:pPr>
    </w:p>
    <w:p w14:paraId="17DD5684">
      <w:pPr>
        <w:spacing w:before="59"/>
        <w:ind w:left="6" w:right="2"/>
        <w:jc w:val="both"/>
        <w:rPr>
          <w:rFonts w:ascii="宋体" w:hAnsi="宋体" w:eastAsia="宋体" w:cs="宋体"/>
          <w:sz w:val="18"/>
          <w:szCs w:val="18"/>
        </w:rPr>
      </w:pPr>
    </w:p>
    <w:p w14:paraId="61EAF446">
      <w:pPr>
        <w:rPr>
          <w:rFonts w:ascii="宋体" w:hAnsi="宋体" w:eastAsia="宋体" w:cs="宋体"/>
          <w:sz w:val="18"/>
          <w:szCs w:val="18"/>
        </w:rPr>
        <w:sectPr>
          <w:footerReference r:id="rId41" w:type="default"/>
          <w:pgSz w:w="11905" w:h="16840"/>
          <w:pgMar w:top="1182" w:right="1331" w:bottom="1171" w:left="1416" w:header="849" w:footer="937" w:gutter="0"/>
          <w:pgNumType w:fmt="decimal"/>
          <w:cols w:space="720" w:num="1"/>
        </w:sectPr>
      </w:pPr>
    </w:p>
    <w:p w14:paraId="55FF65EC">
      <w:pPr>
        <w:pStyle w:val="2"/>
        <w:spacing w:line="285" w:lineRule="auto"/>
      </w:pPr>
    </w:p>
    <w:p w14:paraId="385F5861">
      <w:pPr>
        <w:spacing w:before="101" w:line="225" w:lineRule="auto"/>
        <w:ind w:left="2899"/>
        <w:rPr>
          <w:rFonts w:ascii="宋体" w:hAnsi="宋体" w:eastAsia="宋体" w:cs="宋体"/>
          <w:sz w:val="31"/>
          <w:szCs w:val="31"/>
        </w:rPr>
      </w:pPr>
      <w:r>
        <w:rPr>
          <w:rFonts w:ascii="宋体" w:hAnsi="宋体" w:eastAsia="宋体" w:cs="宋体"/>
          <w:b/>
          <w:bCs/>
          <w:spacing w:val="6"/>
          <w:sz w:val="31"/>
          <w:szCs w:val="31"/>
        </w:rPr>
        <w:t>项目专用合同条款数据表</w:t>
      </w:r>
    </w:p>
    <w:p w14:paraId="23FAEFA5">
      <w:pPr>
        <w:pStyle w:val="2"/>
        <w:spacing w:line="306" w:lineRule="auto"/>
      </w:pPr>
    </w:p>
    <w:p w14:paraId="44DD67B1">
      <w:pPr>
        <w:spacing w:before="68" w:line="374" w:lineRule="auto"/>
        <w:ind w:left="121" w:right="250" w:firstLine="1"/>
        <w:jc w:val="both"/>
        <w:rPr>
          <w:rFonts w:ascii="宋体" w:hAnsi="宋体" w:eastAsia="宋体" w:cs="宋体"/>
          <w:sz w:val="21"/>
          <w:szCs w:val="21"/>
        </w:rPr>
      </w:pPr>
      <w:r>
        <w:rPr>
          <w:rFonts w:ascii="宋体" w:hAnsi="宋体" w:eastAsia="宋体" w:cs="宋体"/>
          <w:spacing w:val="1"/>
          <w:sz w:val="21"/>
          <w:szCs w:val="21"/>
        </w:rPr>
        <w:t>说明：本数据表是项目专用合同条款中适用于本项目</w:t>
      </w:r>
      <w:r>
        <w:rPr>
          <w:rFonts w:ascii="宋体" w:hAnsi="宋体" w:eastAsia="宋体" w:cs="宋体"/>
          <w:sz w:val="21"/>
          <w:szCs w:val="21"/>
        </w:rPr>
        <w:t>的信息和数据的归纳与提示，是项目专用合同</w:t>
      </w:r>
      <w:r>
        <w:rPr>
          <w:rFonts w:ascii="宋体" w:hAnsi="宋体" w:eastAsia="宋体" w:cs="宋体"/>
          <w:spacing w:val="1"/>
          <w:sz w:val="21"/>
          <w:szCs w:val="21"/>
        </w:rPr>
        <w:t>条款的组成部分。第九章“投标文件格式”的投标函附录中的数</w:t>
      </w:r>
      <w:r>
        <w:rPr>
          <w:rFonts w:ascii="宋体" w:hAnsi="宋体" w:eastAsia="宋体" w:cs="宋体"/>
          <w:sz w:val="21"/>
          <w:szCs w:val="21"/>
        </w:rPr>
        <w:t>据（供投标人确认）与本表所列有</w:t>
      </w:r>
      <w:r>
        <w:rPr>
          <w:rFonts w:ascii="宋体" w:hAnsi="宋体" w:eastAsia="宋体" w:cs="宋体"/>
          <w:spacing w:val="-1"/>
          <w:sz w:val="21"/>
          <w:szCs w:val="21"/>
        </w:rPr>
        <w:t>重复。编写招标文件的单位应仔细校核，不使数据出现差错或不一致。</w:t>
      </w:r>
    </w:p>
    <w:tbl>
      <w:tblPr>
        <w:tblStyle w:val="8"/>
        <w:tblW w:w="9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349"/>
        <w:gridCol w:w="7171"/>
      </w:tblGrid>
      <w:tr w14:paraId="2B40D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07" w:type="dxa"/>
            <w:vAlign w:val="top"/>
          </w:tcPr>
          <w:p w14:paraId="341EB432">
            <w:pPr>
              <w:pStyle w:val="9"/>
              <w:spacing w:before="226" w:line="221" w:lineRule="auto"/>
              <w:ind w:left="248"/>
            </w:pPr>
            <w:r>
              <w:rPr>
                <w:b/>
                <w:bCs/>
                <w:spacing w:val="-4"/>
              </w:rPr>
              <w:t>序号</w:t>
            </w:r>
          </w:p>
        </w:tc>
        <w:tc>
          <w:tcPr>
            <w:tcW w:w="1349" w:type="dxa"/>
            <w:vAlign w:val="top"/>
          </w:tcPr>
          <w:p w14:paraId="4D43C902">
            <w:pPr>
              <w:pStyle w:val="9"/>
              <w:spacing w:before="225" w:line="220" w:lineRule="auto"/>
              <w:ind w:left="365"/>
            </w:pPr>
            <w:r>
              <w:rPr>
                <w:b/>
                <w:bCs/>
                <w:spacing w:val="-6"/>
              </w:rPr>
              <w:t>条目号</w:t>
            </w:r>
          </w:p>
        </w:tc>
        <w:tc>
          <w:tcPr>
            <w:tcW w:w="7171" w:type="dxa"/>
            <w:vAlign w:val="top"/>
          </w:tcPr>
          <w:p w14:paraId="0AA62EE6">
            <w:pPr>
              <w:pStyle w:val="9"/>
              <w:spacing w:before="225" w:line="220" w:lineRule="auto"/>
              <w:ind w:left="3064"/>
            </w:pPr>
            <w:r>
              <w:rPr>
                <w:b/>
                <w:bCs/>
                <w:spacing w:val="-4"/>
              </w:rPr>
              <w:t>信息或数据</w:t>
            </w:r>
          </w:p>
        </w:tc>
      </w:tr>
      <w:tr w14:paraId="09734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1369E1C0">
            <w:pPr>
              <w:spacing w:line="268" w:lineRule="auto"/>
              <w:rPr>
                <w:rFonts w:ascii="Arial"/>
                <w:sz w:val="21"/>
              </w:rPr>
            </w:pPr>
          </w:p>
          <w:p w14:paraId="76054C36">
            <w:pPr>
              <w:pStyle w:val="9"/>
              <w:spacing w:before="68" w:line="241" w:lineRule="auto"/>
              <w:ind w:left="421"/>
            </w:pPr>
            <w:r>
              <w:t>1</w:t>
            </w:r>
          </w:p>
        </w:tc>
        <w:tc>
          <w:tcPr>
            <w:tcW w:w="1349" w:type="dxa"/>
            <w:vAlign w:val="top"/>
          </w:tcPr>
          <w:p w14:paraId="1FA04BF5">
            <w:pPr>
              <w:spacing w:line="267" w:lineRule="auto"/>
              <w:rPr>
                <w:rFonts w:ascii="Arial"/>
                <w:sz w:val="21"/>
              </w:rPr>
            </w:pPr>
          </w:p>
          <w:p w14:paraId="622EA380">
            <w:pPr>
              <w:pStyle w:val="9"/>
              <w:spacing w:before="69" w:line="239" w:lineRule="auto"/>
              <w:ind w:left="324"/>
            </w:pPr>
            <w:r>
              <w:rPr>
                <w:spacing w:val="-4"/>
              </w:rPr>
              <w:t>1.1.2.2</w:t>
            </w:r>
          </w:p>
        </w:tc>
        <w:tc>
          <w:tcPr>
            <w:tcW w:w="7171" w:type="dxa"/>
            <w:vAlign w:val="top"/>
          </w:tcPr>
          <w:p w14:paraId="48272703">
            <w:pPr>
              <w:pStyle w:val="9"/>
              <w:spacing w:before="138" w:line="220" w:lineRule="auto"/>
              <w:ind w:left="115"/>
            </w:pPr>
            <w:r>
              <w:rPr>
                <w:spacing w:val="-12"/>
              </w:rPr>
              <w:t>发包人：</w:t>
            </w:r>
            <w:r>
              <w:rPr>
                <w:rFonts w:hint="eastAsia"/>
                <w:spacing w:val="4"/>
                <w:sz w:val="20"/>
                <w:szCs w:val="20"/>
              </w:rPr>
              <w:t>云浮市云安区地方公路和交通运输管理站</w:t>
            </w:r>
          </w:p>
          <w:p w14:paraId="5591F071">
            <w:pPr>
              <w:pStyle w:val="9"/>
              <w:spacing w:before="148" w:line="220" w:lineRule="auto"/>
              <w:ind w:left="112"/>
              <w:rPr>
                <w:rFonts w:hint="eastAsia"/>
                <w:spacing w:val="1"/>
                <w:lang w:val="en-US" w:eastAsia="zh-CN"/>
              </w:rPr>
            </w:pPr>
            <w:r>
              <w:rPr>
                <w:spacing w:val="-9"/>
              </w:rPr>
              <w:t>地址：</w:t>
            </w:r>
            <w:r>
              <w:rPr>
                <w:spacing w:val="1"/>
              </w:rPr>
              <w:t xml:space="preserve"> </w:t>
            </w:r>
            <w:r>
              <w:rPr>
                <w:rFonts w:hint="eastAsia"/>
                <w:spacing w:val="1"/>
                <w:lang w:val="en-US" w:eastAsia="zh-CN"/>
              </w:rPr>
              <w:t>广东省云浮市云安区云泰大道云聚花园1号楼6楼</w:t>
            </w:r>
          </w:p>
          <w:p w14:paraId="64DCC09B">
            <w:pPr>
              <w:pStyle w:val="9"/>
              <w:spacing w:before="148" w:line="220" w:lineRule="auto"/>
              <w:ind w:left="112"/>
              <w:rPr>
                <w:rFonts w:hint="default" w:eastAsia="宋体"/>
                <w:lang w:val="en-US" w:eastAsia="zh-CN"/>
              </w:rPr>
            </w:pPr>
            <w:r>
              <w:rPr>
                <w:spacing w:val="1"/>
              </w:rPr>
              <w:t xml:space="preserve"> </w:t>
            </w:r>
            <w:r>
              <w:rPr>
                <w:spacing w:val="-9"/>
              </w:rPr>
              <w:t>邮政编码：</w:t>
            </w:r>
            <w:r>
              <w:rPr>
                <w:rFonts w:hint="eastAsia"/>
                <w:spacing w:val="-9"/>
                <w:lang w:val="en-US" w:eastAsia="zh-CN"/>
              </w:rPr>
              <w:t>527500</w:t>
            </w:r>
          </w:p>
        </w:tc>
      </w:tr>
      <w:tr w14:paraId="4E9A4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76CAD7B5">
            <w:pPr>
              <w:spacing w:line="269" w:lineRule="auto"/>
              <w:rPr>
                <w:rFonts w:ascii="Arial"/>
                <w:sz w:val="21"/>
              </w:rPr>
            </w:pPr>
          </w:p>
          <w:p w14:paraId="76DEC623">
            <w:pPr>
              <w:pStyle w:val="9"/>
              <w:spacing w:before="68" w:line="241" w:lineRule="auto"/>
              <w:ind w:left="408"/>
            </w:pPr>
            <w:r>
              <w:t>2</w:t>
            </w:r>
          </w:p>
        </w:tc>
        <w:tc>
          <w:tcPr>
            <w:tcW w:w="1349" w:type="dxa"/>
            <w:vAlign w:val="top"/>
          </w:tcPr>
          <w:p w14:paraId="79F3014C">
            <w:pPr>
              <w:spacing w:line="268" w:lineRule="auto"/>
              <w:rPr>
                <w:rFonts w:ascii="Arial"/>
                <w:sz w:val="21"/>
              </w:rPr>
            </w:pPr>
          </w:p>
          <w:p w14:paraId="4FCB13C0">
            <w:pPr>
              <w:pStyle w:val="9"/>
              <w:spacing w:before="69" w:line="239" w:lineRule="auto"/>
              <w:ind w:left="324"/>
            </w:pPr>
            <w:r>
              <w:rPr>
                <w:spacing w:val="-4"/>
              </w:rPr>
              <w:t>1.1.2.6</w:t>
            </w:r>
          </w:p>
        </w:tc>
        <w:tc>
          <w:tcPr>
            <w:tcW w:w="7171" w:type="dxa"/>
            <w:vAlign w:val="top"/>
          </w:tcPr>
          <w:p w14:paraId="243CFE6D">
            <w:pPr>
              <w:pStyle w:val="9"/>
              <w:spacing w:before="140" w:line="222" w:lineRule="auto"/>
              <w:ind w:left="113"/>
            </w:pPr>
            <w:r>
              <w:rPr>
                <w:spacing w:val="-11"/>
              </w:rPr>
              <w:t>监理人：</w:t>
            </w:r>
          </w:p>
          <w:p w14:paraId="7F41B61F">
            <w:pPr>
              <w:pStyle w:val="9"/>
              <w:spacing w:before="146" w:line="220" w:lineRule="auto"/>
              <w:ind w:left="112"/>
            </w:pPr>
            <w:r>
              <w:rPr>
                <w:spacing w:val="-9"/>
              </w:rPr>
              <w:t>地址：</w:t>
            </w:r>
            <w:r>
              <w:rPr>
                <w:spacing w:val="1"/>
              </w:rPr>
              <w:t xml:space="preserve">                </w:t>
            </w:r>
            <w:r>
              <w:rPr>
                <w:spacing w:val="-9"/>
              </w:rPr>
              <w:t>邮政编码：</w:t>
            </w:r>
          </w:p>
        </w:tc>
      </w:tr>
      <w:tr w14:paraId="39E5B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322590DA">
            <w:pPr>
              <w:spacing w:line="269" w:lineRule="auto"/>
              <w:rPr>
                <w:rFonts w:ascii="Arial"/>
                <w:sz w:val="21"/>
              </w:rPr>
            </w:pPr>
          </w:p>
          <w:p w14:paraId="44384235">
            <w:pPr>
              <w:pStyle w:val="9"/>
              <w:spacing w:before="68"/>
              <w:ind w:left="410"/>
            </w:pPr>
            <w:r>
              <w:t>3</w:t>
            </w:r>
          </w:p>
        </w:tc>
        <w:tc>
          <w:tcPr>
            <w:tcW w:w="1349" w:type="dxa"/>
            <w:vAlign w:val="top"/>
          </w:tcPr>
          <w:p w14:paraId="7241B7CA">
            <w:pPr>
              <w:spacing w:line="269" w:lineRule="auto"/>
              <w:rPr>
                <w:rFonts w:ascii="Arial"/>
                <w:sz w:val="21"/>
              </w:rPr>
            </w:pPr>
          </w:p>
          <w:p w14:paraId="4169AE25">
            <w:pPr>
              <w:pStyle w:val="9"/>
              <w:spacing w:before="69" w:line="239" w:lineRule="auto"/>
              <w:ind w:left="273"/>
            </w:pPr>
            <w:r>
              <w:fldChar w:fldCharType="begin"/>
            </w:r>
            <w:r>
              <w:instrText xml:space="preserve"> HYPERLINK "1.1.2.10" </w:instrText>
            </w:r>
            <w:r>
              <w:fldChar w:fldCharType="separate"/>
            </w:r>
            <w:r>
              <w:rPr>
                <w:spacing w:val="-3"/>
              </w:rPr>
              <w:t>1.1.2.10</w:t>
            </w:r>
            <w:r>
              <w:rPr>
                <w:spacing w:val="-3"/>
              </w:rPr>
              <w:fldChar w:fldCharType="end"/>
            </w:r>
          </w:p>
        </w:tc>
        <w:tc>
          <w:tcPr>
            <w:tcW w:w="7171" w:type="dxa"/>
            <w:vAlign w:val="top"/>
          </w:tcPr>
          <w:p w14:paraId="4AAE44B5">
            <w:pPr>
              <w:pStyle w:val="9"/>
              <w:spacing w:before="140" w:line="221" w:lineRule="auto"/>
              <w:ind w:left="112"/>
            </w:pPr>
            <w:r>
              <w:rPr>
                <w:spacing w:val="-11"/>
              </w:rPr>
              <w:t>试验人：</w:t>
            </w:r>
          </w:p>
          <w:p w14:paraId="013E70B4">
            <w:pPr>
              <w:pStyle w:val="9"/>
              <w:spacing w:before="147" w:line="220" w:lineRule="auto"/>
              <w:ind w:left="112"/>
            </w:pPr>
            <w:r>
              <w:rPr>
                <w:spacing w:val="-9"/>
              </w:rPr>
              <w:t>地址：</w:t>
            </w:r>
            <w:r>
              <w:rPr>
                <w:spacing w:val="1"/>
              </w:rPr>
              <w:t xml:space="preserve">                </w:t>
            </w:r>
            <w:r>
              <w:rPr>
                <w:spacing w:val="-9"/>
              </w:rPr>
              <w:t>邮政编码：</w:t>
            </w:r>
          </w:p>
        </w:tc>
      </w:tr>
      <w:tr w14:paraId="3772A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907" w:type="dxa"/>
            <w:vAlign w:val="top"/>
          </w:tcPr>
          <w:p w14:paraId="501F7DCE">
            <w:pPr>
              <w:spacing w:line="371" w:lineRule="auto"/>
              <w:rPr>
                <w:rFonts w:ascii="Arial"/>
                <w:sz w:val="21"/>
              </w:rPr>
            </w:pPr>
          </w:p>
          <w:p w14:paraId="0E0D4EC9">
            <w:pPr>
              <w:pStyle w:val="9"/>
              <w:spacing w:before="68" w:line="241" w:lineRule="auto"/>
              <w:ind w:left="405"/>
            </w:pPr>
            <w:r>
              <w:t>4</w:t>
            </w:r>
          </w:p>
        </w:tc>
        <w:tc>
          <w:tcPr>
            <w:tcW w:w="1349" w:type="dxa"/>
            <w:vAlign w:val="top"/>
          </w:tcPr>
          <w:p w14:paraId="716A7E63">
            <w:pPr>
              <w:spacing w:line="371" w:lineRule="auto"/>
              <w:rPr>
                <w:rFonts w:ascii="Arial"/>
                <w:sz w:val="21"/>
              </w:rPr>
            </w:pPr>
          </w:p>
          <w:p w14:paraId="648423DF">
            <w:pPr>
              <w:pStyle w:val="9"/>
              <w:spacing w:before="68" w:line="239" w:lineRule="auto"/>
              <w:ind w:left="324"/>
            </w:pPr>
            <w:r>
              <w:rPr>
                <w:spacing w:val="-4"/>
              </w:rPr>
              <w:t>1.1.4.5</w:t>
            </w:r>
          </w:p>
        </w:tc>
        <w:tc>
          <w:tcPr>
            <w:tcW w:w="7171" w:type="dxa"/>
            <w:vAlign w:val="top"/>
          </w:tcPr>
          <w:p w14:paraId="4B83707F">
            <w:pPr>
              <w:pStyle w:val="9"/>
              <w:spacing w:before="226" w:line="338" w:lineRule="auto"/>
              <w:ind w:left="117" w:right="107" w:hanging="5"/>
            </w:pPr>
            <w:r>
              <w:rPr>
                <w:spacing w:val="-3"/>
              </w:rPr>
              <w:t>缺陷责任期：自实际交工日期起计算</w:t>
            </w:r>
            <w:r>
              <w:rPr>
                <w:spacing w:val="-3"/>
                <w:u w:val="single" w:color="auto"/>
              </w:rPr>
              <w:t xml:space="preserve">  </w:t>
            </w:r>
            <w:r>
              <w:rPr>
                <w:rFonts w:hint="eastAsia"/>
                <w:spacing w:val="-3"/>
                <w:u w:val="single" w:color="auto"/>
                <w:lang w:val="en-US" w:eastAsia="zh-CN"/>
              </w:rPr>
              <w:t>2</w:t>
            </w:r>
            <w:r>
              <w:rPr>
                <w:spacing w:val="-3"/>
                <w:u w:val="single" w:color="auto"/>
              </w:rPr>
              <w:t xml:space="preserve">  </w:t>
            </w:r>
            <w:r>
              <w:rPr>
                <w:spacing w:val="-96"/>
              </w:rPr>
              <w:t xml:space="preserve"> </w:t>
            </w:r>
            <w:r>
              <w:rPr>
                <w:spacing w:val="-3"/>
              </w:rPr>
              <w:t>年</w:t>
            </w:r>
            <w:r>
              <w:rPr>
                <w:spacing w:val="-23"/>
                <w:position w:val="10"/>
                <w:sz w:val="10"/>
                <w:szCs w:val="10"/>
              </w:rPr>
              <w:t xml:space="preserve"> </w:t>
            </w:r>
            <w:r>
              <w:rPr>
                <w:spacing w:val="-3"/>
              </w:rPr>
              <w:t xml:space="preserve">, </w:t>
            </w:r>
            <w:r>
              <w:rPr>
                <w:spacing w:val="-3"/>
                <w:u w:val="single" w:color="auto"/>
              </w:rPr>
              <w:t>其中</w:t>
            </w:r>
            <w:r>
              <w:rPr>
                <w:spacing w:val="-4"/>
                <w:u w:val="single" w:color="auto"/>
              </w:rPr>
              <w:t>绿化工程的施工养护期自</w:t>
            </w:r>
            <w:r>
              <w:rPr>
                <w:spacing w:val="-1"/>
                <w:u w:val="single" w:color="auto"/>
              </w:rPr>
              <w:t xml:space="preserve">实际交工日期起计算 </w:t>
            </w:r>
            <w:r>
              <w:rPr>
                <w:rFonts w:hint="eastAsia"/>
                <w:spacing w:val="-1"/>
                <w:u w:val="single" w:color="auto"/>
                <w:lang w:val="en-US" w:eastAsia="zh-CN"/>
              </w:rPr>
              <w:t>/</w:t>
            </w:r>
            <w:r>
              <w:rPr>
                <w:spacing w:val="-1"/>
                <w:u w:val="single" w:color="auto"/>
              </w:rPr>
              <w:t xml:space="preserve">  个月。</w:t>
            </w:r>
          </w:p>
        </w:tc>
      </w:tr>
      <w:tr w14:paraId="38941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907" w:type="dxa"/>
            <w:vAlign w:val="top"/>
          </w:tcPr>
          <w:p w14:paraId="4F844D03">
            <w:pPr>
              <w:spacing w:line="377" w:lineRule="auto"/>
              <w:rPr>
                <w:rFonts w:ascii="Arial"/>
                <w:sz w:val="21"/>
              </w:rPr>
            </w:pPr>
          </w:p>
          <w:p w14:paraId="33647C80">
            <w:pPr>
              <w:pStyle w:val="9"/>
              <w:spacing w:before="68"/>
              <w:ind w:left="410"/>
            </w:pPr>
            <w:r>
              <w:t>5</w:t>
            </w:r>
          </w:p>
        </w:tc>
        <w:tc>
          <w:tcPr>
            <w:tcW w:w="1349" w:type="dxa"/>
            <w:vAlign w:val="top"/>
          </w:tcPr>
          <w:p w14:paraId="2A1CC66C">
            <w:pPr>
              <w:spacing w:line="377" w:lineRule="auto"/>
              <w:rPr>
                <w:rFonts w:ascii="Arial"/>
                <w:sz w:val="21"/>
              </w:rPr>
            </w:pPr>
          </w:p>
          <w:p w14:paraId="6730708E">
            <w:pPr>
              <w:pStyle w:val="9"/>
              <w:spacing w:before="68" w:line="239" w:lineRule="auto"/>
              <w:ind w:left="430"/>
            </w:pPr>
            <w:r>
              <w:rPr>
                <w:spacing w:val="-5"/>
              </w:rPr>
              <w:t>1.6.3</w:t>
            </w:r>
          </w:p>
        </w:tc>
        <w:tc>
          <w:tcPr>
            <w:tcW w:w="7171" w:type="dxa"/>
            <w:vAlign w:val="top"/>
          </w:tcPr>
          <w:p w14:paraId="6D6C5B94">
            <w:pPr>
              <w:pStyle w:val="9"/>
              <w:spacing w:before="249" w:line="334" w:lineRule="auto"/>
              <w:ind w:left="112" w:right="112" w:firstLine="20"/>
            </w:pPr>
            <w:r>
              <w:t>图纸需要修改和补充的，应由监理人取得发包人同</w:t>
            </w:r>
            <w:r>
              <w:rPr>
                <w:spacing w:val="-1"/>
              </w:rPr>
              <w:t>意后，在该工程或工程相</w:t>
            </w:r>
            <w:r>
              <w:rPr>
                <w:spacing w:val="-2"/>
              </w:rPr>
              <w:t>应部位施工前</w:t>
            </w:r>
            <w:r>
              <w:rPr>
                <w:spacing w:val="-2"/>
                <w:u w:val="single" w:color="auto"/>
              </w:rPr>
              <w:t xml:space="preserve"> </w:t>
            </w:r>
            <w:r>
              <w:rPr>
                <w:rFonts w:hint="eastAsia"/>
                <w:spacing w:val="-2"/>
                <w:u w:val="single" w:color="auto"/>
                <w:lang w:val="en-US" w:eastAsia="zh-CN"/>
              </w:rPr>
              <w:t>7</w:t>
            </w:r>
            <w:r>
              <w:rPr>
                <w:spacing w:val="-93"/>
              </w:rPr>
              <w:t xml:space="preserve"> </w:t>
            </w:r>
            <w:r>
              <w:rPr>
                <w:rFonts w:hint="eastAsia"/>
                <w:spacing w:val="-93"/>
                <w:lang w:val="en-US" w:eastAsia="zh-CN"/>
              </w:rPr>
              <w:t xml:space="preserve"> </w:t>
            </w:r>
            <w:r>
              <w:rPr>
                <w:spacing w:val="-2"/>
              </w:rPr>
              <w:t>天签发图纸修改图给承</w:t>
            </w:r>
            <w:r>
              <w:rPr>
                <w:spacing w:val="-3"/>
              </w:rPr>
              <w:t>包人。</w:t>
            </w:r>
          </w:p>
        </w:tc>
      </w:tr>
      <w:tr w14:paraId="7C883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39699722">
            <w:pPr>
              <w:spacing w:line="271" w:lineRule="auto"/>
              <w:rPr>
                <w:rFonts w:ascii="Arial"/>
                <w:sz w:val="21"/>
              </w:rPr>
            </w:pPr>
          </w:p>
          <w:p w14:paraId="15CCD4CF">
            <w:pPr>
              <w:pStyle w:val="9"/>
              <w:spacing w:before="68"/>
              <w:ind w:left="408"/>
            </w:pPr>
            <w:r>
              <w:t>6</w:t>
            </w:r>
          </w:p>
        </w:tc>
        <w:tc>
          <w:tcPr>
            <w:tcW w:w="1349" w:type="dxa"/>
            <w:vAlign w:val="top"/>
          </w:tcPr>
          <w:p w14:paraId="49EACE6B">
            <w:pPr>
              <w:spacing w:line="272" w:lineRule="auto"/>
              <w:rPr>
                <w:rFonts w:ascii="Arial"/>
                <w:sz w:val="21"/>
              </w:rPr>
            </w:pPr>
          </w:p>
          <w:p w14:paraId="5B2E7A5E">
            <w:pPr>
              <w:pStyle w:val="9"/>
              <w:spacing w:before="68" w:line="239" w:lineRule="auto"/>
              <w:ind w:left="419"/>
            </w:pPr>
            <w:r>
              <w:rPr>
                <w:spacing w:val="-3"/>
              </w:rPr>
              <w:t>3.1.1</w:t>
            </w:r>
          </w:p>
        </w:tc>
        <w:tc>
          <w:tcPr>
            <w:tcW w:w="7171" w:type="dxa"/>
            <w:vAlign w:val="top"/>
          </w:tcPr>
          <w:p w14:paraId="2488766B">
            <w:pPr>
              <w:pStyle w:val="9"/>
              <w:spacing w:before="142" w:line="220" w:lineRule="auto"/>
              <w:ind w:left="113"/>
            </w:pPr>
            <w:r>
              <w:rPr>
                <w:spacing w:val="-3"/>
              </w:rPr>
              <w:t>监理人在行使下列权力前需要经发包人事先批准：</w:t>
            </w:r>
          </w:p>
          <w:p w14:paraId="555CEEC6">
            <w:pPr>
              <w:pStyle w:val="9"/>
              <w:spacing w:before="149" w:line="220" w:lineRule="auto"/>
              <w:ind w:left="149"/>
            </w:pPr>
            <w:r>
              <w:rPr>
                <w:spacing w:val="-2"/>
              </w:rPr>
              <w:t>(6)根据第 15.3 款发出的变更指示，均需要</w:t>
            </w:r>
            <w:r>
              <w:rPr>
                <w:spacing w:val="-3"/>
              </w:rPr>
              <w:t>经发包人事先批准。</w:t>
            </w:r>
          </w:p>
        </w:tc>
      </w:tr>
      <w:tr w14:paraId="61611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7" w:type="dxa"/>
            <w:vAlign w:val="center"/>
          </w:tcPr>
          <w:p w14:paraId="20CFED54">
            <w:pPr>
              <w:pStyle w:val="9"/>
              <w:spacing w:before="68"/>
              <w:ind w:left="408"/>
              <w:rPr>
                <w:rFonts w:hint="eastAsia" w:eastAsia="宋体"/>
                <w:lang w:val="en-US" w:eastAsia="zh-CN"/>
              </w:rPr>
            </w:pPr>
            <w:r>
              <w:rPr>
                <w:rFonts w:hint="eastAsia"/>
                <w:lang w:val="en-US" w:eastAsia="zh-CN"/>
              </w:rPr>
              <w:t>7</w:t>
            </w:r>
          </w:p>
        </w:tc>
        <w:tc>
          <w:tcPr>
            <w:tcW w:w="1349" w:type="dxa"/>
            <w:vAlign w:val="center"/>
          </w:tcPr>
          <w:p w14:paraId="5DA89501">
            <w:pPr>
              <w:pStyle w:val="9"/>
              <w:spacing w:before="68" w:line="239" w:lineRule="auto"/>
              <w:jc w:val="center"/>
              <w:rPr>
                <w:rFonts w:hint="default" w:eastAsia="宋体"/>
                <w:spacing w:val="-3"/>
                <w:lang w:val="en-US" w:eastAsia="zh-CN"/>
              </w:rPr>
            </w:pPr>
            <w:r>
              <w:rPr>
                <w:rFonts w:hint="eastAsia"/>
                <w:spacing w:val="-3"/>
                <w:lang w:val="en-US" w:eastAsia="zh-CN"/>
              </w:rPr>
              <w:t>4.6.3(1)</w:t>
            </w:r>
          </w:p>
        </w:tc>
        <w:tc>
          <w:tcPr>
            <w:tcW w:w="7171" w:type="dxa"/>
            <w:vAlign w:val="top"/>
          </w:tcPr>
          <w:p w14:paraId="21C18D78">
            <w:pPr>
              <w:pStyle w:val="9"/>
              <w:spacing w:before="150" w:line="219" w:lineRule="auto"/>
              <w:ind w:left="115"/>
              <w:rPr>
                <w:spacing w:val="-1"/>
              </w:rPr>
            </w:pPr>
            <w:r>
              <w:rPr>
                <w:rFonts w:hint="eastAsia"/>
                <w:spacing w:val="-1"/>
              </w:rPr>
              <w:t>需缴纳违约金金额：项目经理</w:t>
            </w:r>
            <w:r>
              <w:rPr>
                <w:rFonts w:hint="eastAsia"/>
                <w:spacing w:val="-1"/>
                <w:u w:val="single"/>
              </w:rPr>
              <w:t xml:space="preserve">  /  </w:t>
            </w:r>
            <w:r>
              <w:rPr>
                <w:rFonts w:hint="eastAsia"/>
                <w:spacing w:val="-1"/>
              </w:rPr>
              <w:t xml:space="preserve"> 万元/人次，总工程师</w:t>
            </w:r>
            <w:r>
              <w:rPr>
                <w:rFonts w:hint="eastAsia"/>
                <w:spacing w:val="-1"/>
                <w:u w:val="single"/>
              </w:rPr>
              <w:t xml:space="preserve">  /  </w:t>
            </w:r>
            <w:r>
              <w:rPr>
                <w:rFonts w:hint="eastAsia"/>
                <w:spacing w:val="-1"/>
              </w:rPr>
              <w:t xml:space="preserve"> 万元/人次，其他主要管理人员</w:t>
            </w:r>
            <w:r>
              <w:rPr>
                <w:rFonts w:hint="eastAsia"/>
                <w:spacing w:val="-1"/>
                <w:u w:val="single"/>
              </w:rPr>
              <w:t xml:space="preserve">  /  </w:t>
            </w:r>
            <w:r>
              <w:rPr>
                <w:rFonts w:hint="eastAsia"/>
                <w:spacing w:val="-1"/>
              </w:rPr>
              <w:t>万元/人次。</w:t>
            </w:r>
          </w:p>
        </w:tc>
      </w:tr>
      <w:tr w14:paraId="74867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7" w:type="dxa"/>
            <w:vAlign w:val="top"/>
          </w:tcPr>
          <w:p w14:paraId="6C19B64D">
            <w:pPr>
              <w:spacing w:line="272" w:lineRule="auto"/>
              <w:rPr>
                <w:rFonts w:ascii="Arial"/>
                <w:sz w:val="21"/>
              </w:rPr>
            </w:pPr>
          </w:p>
          <w:p w14:paraId="24597672">
            <w:pPr>
              <w:pStyle w:val="9"/>
              <w:spacing w:before="69"/>
              <w:ind w:left="411"/>
              <w:rPr>
                <w:rFonts w:hint="eastAsia" w:eastAsia="宋体"/>
                <w:lang w:val="en-US" w:eastAsia="zh-CN"/>
              </w:rPr>
            </w:pPr>
            <w:r>
              <w:rPr>
                <w:rFonts w:hint="eastAsia"/>
                <w:lang w:val="en-US" w:eastAsia="zh-CN"/>
              </w:rPr>
              <w:t>8</w:t>
            </w:r>
          </w:p>
        </w:tc>
        <w:tc>
          <w:tcPr>
            <w:tcW w:w="1349" w:type="dxa"/>
            <w:vAlign w:val="top"/>
          </w:tcPr>
          <w:p w14:paraId="62FCC440">
            <w:pPr>
              <w:spacing w:line="273" w:lineRule="auto"/>
              <w:rPr>
                <w:rFonts w:ascii="Arial"/>
                <w:sz w:val="21"/>
              </w:rPr>
            </w:pPr>
          </w:p>
          <w:p w14:paraId="6B2A629C">
            <w:pPr>
              <w:pStyle w:val="9"/>
              <w:spacing w:before="68" w:line="239" w:lineRule="auto"/>
              <w:ind w:left="419"/>
            </w:pPr>
            <w:r>
              <w:rPr>
                <w:spacing w:val="-3"/>
              </w:rPr>
              <w:t>5.2.1</w:t>
            </w:r>
          </w:p>
        </w:tc>
        <w:tc>
          <w:tcPr>
            <w:tcW w:w="7171" w:type="dxa"/>
            <w:vAlign w:val="top"/>
          </w:tcPr>
          <w:p w14:paraId="46F67F70">
            <w:pPr>
              <w:pStyle w:val="9"/>
              <w:spacing w:before="143" w:line="219" w:lineRule="auto"/>
              <w:ind w:left="115"/>
            </w:pPr>
            <w:r>
              <w:rPr>
                <w:spacing w:val="-1"/>
              </w:rPr>
              <w:t>发包人是否提供材料或工程设备：</w:t>
            </w:r>
            <w:r>
              <w:rPr>
                <w:spacing w:val="-1"/>
                <w:u w:val="single" w:color="auto"/>
              </w:rPr>
              <w:t xml:space="preserve"> 否</w:t>
            </w:r>
            <w:r>
              <w:rPr>
                <w:spacing w:val="2"/>
                <w:u w:val="single" w:color="auto"/>
              </w:rPr>
              <w:t xml:space="preserve">  </w:t>
            </w:r>
          </w:p>
          <w:p w14:paraId="6B6ED08D">
            <w:pPr>
              <w:pStyle w:val="9"/>
              <w:spacing w:before="150" w:line="219" w:lineRule="auto"/>
              <w:ind w:left="115"/>
            </w:pPr>
            <w:r>
              <w:rPr>
                <w:spacing w:val="-1"/>
              </w:rPr>
              <w:t>如发包人负责提供部分材料或工程设备，相关规定如下：</w:t>
            </w:r>
            <w:r>
              <w:rPr>
                <w:spacing w:val="1"/>
                <w:u w:val="single" w:color="auto"/>
              </w:rPr>
              <w:t xml:space="preserve">    </w:t>
            </w:r>
            <w:r>
              <w:rPr>
                <w:rFonts w:hint="eastAsia"/>
                <w:spacing w:val="1"/>
                <w:u w:val="single" w:color="auto"/>
                <w:lang w:val="en-US" w:eastAsia="zh-CN"/>
              </w:rPr>
              <w:t>/</w:t>
            </w:r>
            <w:r>
              <w:rPr>
                <w:spacing w:val="1"/>
                <w:u w:val="single" w:color="auto"/>
              </w:rPr>
              <w:t xml:space="preserve">    </w:t>
            </w:r>
          </w:p>
        </w:tc>
      </w:tr>
      <w:tr w14:paraId="44AD4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7" w:type="dxa"/>
            <w:vAlign w:val="top"/>
          </w:tcPr>
          <w:p w14:paraId="7385FAAB">
            <w:pPr>
              <w:spacing w:line="272" w:lineRule="auto"/>
              <w:rPr>
                <w:rFonts w:ascii="Arial"/>
                <w:sz w:val="21"/>
              </w:rPr>
            </w:pPr>
          </w:p>
          <w:p w14:paraId="09705902">
            <w:pPr>
              <w:pStyle w:val="9"/>
              <w:spacing w:before="68"/>
              <w:ind w:left="407"/>
              <w:rPr>
                <w:rFonts w:hint="eastAsia" w:eastAsia="宋体"/>
                <w:lang w:val="en-US" w:eastAsia="zh-CN"/>
              </w:rPr>
            </w:pPr>
            <w:r>
              <w:rPr>
                <w:rFonts w:hint="eastAsia"/>
                <w:lang w:val="en-US" w:eastAsia="zh-CN"/>
              </w:rPr>
              <w:t>9</w:t>
            </w:r>
          </w:p>
        </w:tc>
        <w:tc>
          <w:tcPr>
            <w:tcW w:w="1349" w:type="dxa"/>
            <w:vAlign w:val="top"/>
          </w:tcPr>
          <w:p w14:paraId="6B1752E5">
            <w:pPr>
              <w:spacing w:line="273" w:lineRule="auto"/>
              <w:rPr>
                <w:rFonts w:ascii="Arial"/>
                <w:sz w:val="21"/>
              </w:rPr>
            </w:pPr>
          </w:p>
          <w:p w14:paraId="551E79EA">
            <w:pPr>
              <w:pStyle w:val="9"/>
              <w:spacing w:before="68" w:line="239" w:lineRule="auto"/>
              <w:ind w:left="521"/>
            </w:pPr>
            <w:r>
              <w:rPr>
                <w:spacing w:val="-4"/>
              </w:rPr>
              <w:t>6.2</w:t>
            </w:r>
          </w:p>
        </w:tc>
        <w:tc>
          <w:tcPr>
            <w:tcW w:w="7171" w:type="dxa"/>
            <w:vAlign w:val="top"/>
          </w:tcPr>
          <w:p w14:paraId="37FCCB68">
            <w:pPr>
              <w:pStyle w:val="9"/>
              <w:spacing w:before="143" w:line="219" w:lineRule="auto"/>
              <w:ind w:left="115"/>
            </w:pPr>
            <w:r>
              <w:rPr>
                <w:spacing w:val="-1"/>
              </w:rPr>
              <w:t>发包人是否提供施工设备和临时设施：</w:t>
            </w:r>
            <w:r>
              <w:rPr>
                <w:spacing w:val="-1"/>
                <w:u w:val="single" w:color="auto"/>
              </w:rPr>
              <w:t xml:space="preserve"> 否</w:t>
            </w:r>
            <w:r>
              <w:rPr>
                <w:spacing w:val="3"/>
                <w:u w:val="single" w:color="auto"/>
              </w:rPr>
              <w:t xml:space="preserve">  </w:t>
            </w:r>
          </w:p>
          <w:p w14:paraId="2A125852">
            <w:pPr>
              <w:pStyle w:val="9"/>
              <w:spacing w:before="150" w:line="219" w:lineRule="auto"/>
              <w:ind w:left="115"/>
            </w:pPr>
            <w:r>
              <w:rPr>
                <w:spacing w:val="-1"/>
              </w:rPr>
              <w:t>如发包人负责提供部分施工设备和临时设施，相关规定如下：</w:t>
            </w:r>
            <w:r>
              <w:rPr>
                <w:spacing w:val="1"/>
                <w:u w:val="single" w:color="auto"/>
              </w:rPr>
              <w:t xml:space="preserve">   </w:t>
            </w:r>
            <w:r>
              <w:rPr>
                <w:rFonts w:hint="eastAsia"/>
                <w:spacing w:val="1"/>
                <w:u w:val="single" w:color="auto"/>
                <w:lang w:val="en-US" w:eastAsia="zh-CN"/>
              </w:rPr>
              <w:t>/</w:t>
            </w:r>
            <w:r>
              <w:rPr>
                <w:spacing w:val="1"/>
                <w:u w:val="single" w:color="auto"/>
              </w:rPr>
              <w:t xml:space="preserve">     </w:t>
            </w:r>
          </w:p>
        </w:tc>
      </w:tr>
      <w:tr w14:paraId="324C0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907" w:type="dxa"/>
            <w:vAlign w:val="top"/>
          </w:tcPr>
          <w:p w14:paraId="134DE70F">
            <w:pPr>
              <w:spacing w:line="335" w:lineRule="auto"/>
              <w:rPr>
                <w:rFonts w:ascii="Arial"/>
                <w:sz w:val="21"/>
              </w:rPr>
            </w:pPr>
          </w:p>
          <w:p w14:paraId="40433D48">
            <w:pPr>
              <w:spacing w:line="336" w:lineRule="auto"/>
              <w:rPr>
                <w:rFonts w:ascii="Arial"/>
                <w:sz w:val="21"/>
              </w:rPr>
            </w:pPr>
          </w:p>
          <w:p w14:paraId="45DBB28F">
            <w:pPr>
              <w:pStyle w:val="9"/>
              <w:spacing w:before="68"/>
              <w:ind w:left="407"/>
              <w:rPr>
                <w:rFonts w:hint="default" w:eastAsia="宋体"/>
                <w:lang w:val="en-US" w:eastAsia="zh-CN"/>
              </w:rPr>
            </w:pPr>
            <w:r>
              <w:rPr>
                <w:rFonts w:hint="eastAsia"/>
                <w:lang w:val="en-US" w:eastAsia="zh-CN"/>
              </w:rPr>
              <w:t>10</w:t>
            </w:r>
          </w:p>
        </w:tc>
        <w:tc>
          <w:tcPr>
            <w:tcW w:w="1349" w:type="dxa"/>
            <w:vAlign w:val="top"/>
          </w:tcPr>
          <w:p w14:paraId="09BB081D">
            <w:pPr>
              <w:spacing w:line="335" w:lineRule="auto"/>
              <w:rPr>
                <w:rFonts w:ascii="Arial"/>
                <w:sz w:val="21"/>
              </w:rPr>
            </w:pPr>
          </w:p>
          <w:p w14:paraId="6D8F4689">
            <w:pPr>
              <w:spacing w:line="336" w:lineRule="auto"/>
              <w:rPr>
                <w:rFonts w:ascii="Arial"/>
                <w:sz w:val="21"/>
              </w:rPr>
            </w:pPr>
          </w:p>
          <w:p w14:paraId="5005E58B">
            <w:pPr>
              <w:pStyle w:val="9"/>
              <w:spacing w:before="68" w:line="239" w:lineRule="auto"/>
              <w:ind w:left="415"/>
            </w:pPr>
            <w:r>
              <w:rPr>
                <w:spacing w:val="-2"/>
              </w:rPr>
              <w:t>8.1.1</w:t>
            </w:r>
          </w:p>
        </w:tc>
        <w:tc>
          <w:tcPr>
            <w:tcW w:w="7171" w:type="dxa"/>
            <w:vAlign w:val="top"/>
          </w:tcPr>
          <w:p w14:paraId="6A88C3D5">
            <w:pPr>
              <w:pStyle w:val="9"/>
              <w:spacing w:before="144" w:line="351" w:lineRule="auto"/>
              <w:ind w:left="112" w:right="109" w:firstLine="3"/>
            </w:pPr>
            <w:r>
              <w:t>发包人提供测量基准点、基准线和水准点及其书面资料的期限：</w:t>
            </w:r>
            <w:r>
              <w:rPr>
                <w:u w:val="single" w:color="auto"/>
              </w:rPr>
              <w:t>在签订施工</w:t>
            </w:r>
            <w:r>
              <w:rPr>
                <w:spacing w:val="-1"/>
                <w:u w:val="single" w:color="auto"/>
              </w:rPr>
              <w:t>承包合同后一个月内。</w:t>
            </w:r>
          </w:p>
          <w:p w14:paraId="132A3E33">
            <w:pPr>
              <w:pStyle w:val="9"/>
              <w:spacing w:before="1" w:line="286" w:lineRule="auto"/>
              <w:ind w:left="121" w:right="110" w:hanging="9"/>
            </w:pPr>
            <w:r>
              <w:t>承包人将施工控制网资料报送监理人审批的期限：</w:t>
            </w:r>
            <w:r>
              <w:rPr>
                <w:u w:val="single" w:color="auto"/>
              </w:rPr>
              <w:t>在收到发包人提供的上述</w:t>
            </w:r>
            <w:r>
              <w:rPr>
                <w:spacing w:val="-3"/>
                <w:u w:val="single" w:color="auto"/>
              </w:rPr>
              <w:t>资料一个月内。</w:t>
            </w:r>
          </w:p>
        </w:tc>
      </w:tr>
    </w:tbl>
    <w:p w14:paraId="2718DD22">
      <w:pPr>
        <w:pStyle w:val="2"/>
        <w:spacing w:line="274" w:lineRule="auto"/>
      </w:pPr>
    </w:p>
    <w:p w14:paraId="3021DE96">
      <w:pPr>
        <w:pStyle w:val="2"/>
        <w:spacing w:line="275" w:lineRule="auto"/>
      </w:pPr>
    </w:p>
    <w:p w14:paraId="65F2E53E">
      <w:pPr>
        <w:spacing w:line="217" w:lineRule="auto"/>
        <w:rPr>
          <w:rFonts w:ascii="宋体" w:hAnsi="宋体" w:eastAsia="宋体" w:cs="宋体"/>
          <w:sz w:val="18"/>
          <w:szCs w:val="18"/>
        </w:rPr>
        <w:sectPr>
          <w:headerReference r:id="rId42" w:type="default"/>
          <w:footerReference r:id="rId43" w:type="default"/>
          <w:pgSz w:w="11905" w:h="16840"/>
          <w:pgMar w:top="1182" w:right="1169" w:bottom="1171" w:left="1303" w:header="849" w:footer="937" w:gutter="0"/>
          <w:pgNumType w:fmt="decimal"/>
          <w:cols w:space="720" w:num="1"/>
        </w:sectPr>
      </w:pPr>
    </w:p>
    <w:p w14:paraId="56B5C9FF">
      <w:pPr>
        <w:spacing w:line="234" w:lineRule="exact"/>
      </w:pPr>
    </w:p>
    <w:tbl>
      <w:tblPr>
        <w:tblStyle w:val="8"/>
        <w:tblW w:w="9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349"/>
        <w:gridCol w:w="7171"/>
      </w:tblGrid>
      <w:tr w14:paraId="7BAE3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07" w:type="dxa"/>
            <w:vAlign w:val="top"/>
          </w:tcPr>
          <w:p w14:paraId="4BACA2D4">
            <w:pPr>
              <w:pStyle w:val="9"/>
              <w:spacing w:before="226" w:line="221" w:lineRule="auto"/>
              <w:ind w:left="248"/>
            </w:pPr>
            <w:r>
              <w:rPr>
                <w:b/>
                <w:bCs/>
                <w:spacing w:val="-4"/>
              </w:rPr>
              <w:t>序号</w:t>
            </w:r>
          </w:p>
        </w:tc>
        <w:tc>
          <w:tcPr>
            <w:tcW w:w="1349" w:type="dxa"/>
            <w:vAlign w:val="top"/>
          </w:tcPr>
          <w:p w14:paraId="3057A729">
            <w:pPr>
              <w:pStyle w:val="9"/>
              <w:spacing w:before="225" w:line="220" w:lineRule="auto"/>
              <w:ind w:left="365"/>
            </w:pPr>
            <w:r>
              <w:rPr>
                <w:b/>
                <w:bCs/>
                <w:spacing w:val="-6"/>
              </w:rPr>
              <w:t>条目号</w:t>
            </w:r>
          </w:p>
        </w:tc>
        <w:tc>
          <w:tcPr>
            <w:tcW w:w="7171" w:type="dxa"/>
            <w:vAlign w:val="top"/>
          </w:tcPr>
          <w:p w14:paraId="75875B12">
            <w:pPr>
              <w:pStyle w:val="9"/>
              <w:spacing w:before="225" w:line="220" w:lineRule="auto"/>
              <w:ind w:left="3064"/>
            </w:pPr>
            <w:r>
              <w:rPr>
                <w:b/>
                <w:bCs/>
                <w:spacing w:val="-4"/>
              </w:rPr>
              <w:t>信息或数据</w:t>
            </w:r>
          </w:p>
        </w:tc>
      </w:tr>
      <w:tr w14:paraId="1BE30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702D1FF5">
            <w:pPr>
              <w:pStyle w:val="9"/>
              <w:spacing w:before="221" w:line="241" w:lineRule="auto"/>
              <w:ind w:left="369"/>
              <w:rPr>
                <w:rFonts w:hint="default" w:eastAsia="宋体"/>
                <w:spacing w:val="-11"/>
                <w:lang w:val="en-US" w:eastAsia="zh-CN"/>
              </w:rPr>
            </w:pPr>
            <w:r>
              <w:rPr>
                <w:rFonts w:hint="eastAsia"/>
                <w:spacing w:val="-11"/>
                <w:lang w:val="en-US" w:eastAsia="zh-CN"/>
              </w:rPr>
              <w:t>11</w:t>
            </w:r>
          </w:p>
        </w:tc>
        <w:tc>
          <w:tcPr>
            <w:tcW w:w="1349" w:type="dxa"/>
            <w:vAlign w:val="top"/>
          </w:tcPr>
          <w:p w14:paraId="5F32D8A8">
            <w:pPr>
              <w:pStyle w:val="9"/>
              <w:spacing w:before="221" w:line="232" w:lineRule="auto"/>
              <w:ind w:left="273"/>
              <w:rPr>
                <w:rFonts w:hint="default" w:eastAsia="宋体"/>
                <w:spacing w:val="-5"/>
                <w:lang w:val="en-US" w:eastAsia="zh-CN"/>
              </w:rPr>
            </w:pPr>
            <w:r>
              <w:rPr>
                <w:rFonts w:hint="eastAsia"/>
                <w:spacing w:val="-5"/>
                <w:lang w:val="en-US" w:eastAsia="zh-CN"/>
              </w:rPr>
              <w:t>11.3.(2)</w:t>
            </w:r>
          </w:p>
        </w:tc>
        <w:tc>
          <w:tcPr>
            <w:tcW w:w="7171" w:type="dxa"/>
            <w:vAlign w:val="top"/>
          </w:tcPr>
          <w:p w14:paraId="47692775">
            <w:pPr>
              <w:pStyle w:val="9"/>
              <w:spacing w:before="207" w:line="232" w:lineRule="auto"/>
              <w:ind w:left="111"/>
              <w:rPr>
                <w:rFonts w:hint="eastAsia"/>
                <w:spacing w:val="-5"/>
              </w:rPr>
            </w:pPr>
            <w:r>
              <w:rPr>
                <w:rFonts w:hint="eastAsia"/>
                <w:spacing w:val="-5"/>
              </w:rPr>
              <w:t xml:space="preserve">如顺延合同工期在 </w:t>
            </w:r>
            <w:r>
              <w:rPr>
                <w:rFonts w:hint="eastAsia"/>
                <w:spacing w:val="-5"/>
                <w:u w:val="single"/>
              </w:rPr>
              <w:t xml:space="preserve"> 9 </w:t>
            </w:r>
            <w:r>
              <w:rPr>
                <w:rFonts w:hint="eastAsia"/>
                <w:spacing w:val="-5"/>
              </w:rPr>
              <w:t xml:space="preserve"> 个月及以内的，发包人将不予增加费用；</w:t>
            </w:r>
          </w:p>
          <w:p w14:paraId="11555FD6">
            <w:pPr>
              <w:pStyle w:val="9"/>
              <w:spacing w:before="207" w:line="232" w:lineRule="auto"/>
              <w:ind w:left="111"/>
              <w:rPr>
                <w:spacing w:val="-5"/>
              </w:rPr>
            </w:pPr>
            <w:r>
              <w:rPr>
                <w:rFonts w:hint="eastAsia"/>
                <w:spacing w:val="-5"/>
              </w:rPr>
              <w:t xml:space="preserve">如顺延合同工期在 </w:t>
            </w:r>
            <w:r>
              <w:rPr>
                <w:rFonts w:hint="eastAsia"/>
                <w:spacing w:val="-5"/>
                <w:u w:val="single"/>
              </w:rPr>
              <w:t xml:space="preserve"> 9 </w:t>
            </w:r>
            <w:r>
              <w:rPr>
                <w:rFonts w:hint="eastAsia"/>
                <w:spacing w:val="-5"/>
              </w:rPr>
              <w:t xml:space="preserve"> 个月以上的，发包人将按如下原则给予补偿：详见专用合同条款。</w:t>
            </w:r>
          </w:p>
        </w:tc>
      </w:tr>
      <w:tr w14:paraId="204B7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6C806C85">
            <w:pPr>
              <w:pStyle w:val="9"/>
              <w:spacing w:before="221" w:line="241" w:lineRule="auto"/>
              <w:ind w:left="369"/>
              <w:rPr>
                <w:rFonts w:hint="eastAsia" w:eastAsia="宋体"/>
                <w:lang w:val="en-US" w:eastAsia="zh-CN"/>
              </w:rPr>
            </w:pPr>
            <w:r>
              <w:rPr>
                <w:spacing w:val="-11"/>
              </w:rPr>
              <w:t>1</w:t>
            </w:r>
            <w:r>
              <w:rPr>
                <w:rFonts w:hint="eastAsia"/>
                <w:spacing w:val="-11"/>
                <w:lang w:val="en-US" w:eastAsia="zh-CN"/>
              </w:rPr>
              <w:t>2</w:t>
            </w:r>
          </w:p>
        </w:tc>
        <w:tc>
          <w:tcPr>
            <w:tcW w:w="1349" w:type="dxa"/>
            <w:vAlign w:val="top"/>
          </w:tcPr>
          <w:p w14:paraId="75756C00">
            <w:pPr>
              <w:pStyle w:val="9"/>
              <w:spacing w:before="221" w:line="232" w:lineRule="auto"/>
            </w:pPr>
            <w:r>
              <w:rPr>
                <w:spacing w:val="-5"/>
              </w:rPr>
              <w:t>11.3</w:t>
            </w:r>
            <w:r>
              <w:rPr>
                <w:rFonts w:hint="eastAsia"/>
                <w:spacing w:val="-5"/>
                <w:lang w:eastAsia="zh-CN"/>
              </w:rPr>
              <w:t>(</w:t>
            </w:r>
            <w:r>
              <w:rPr>
                <w:rFonts w:hint="eastAsia"/>
                <w:spacing w:val="6"/>
                <w:lang w:val="en-US" w:eastAsia="zh-CN"/>
              </w:rPr>
              <w:t>2)</w:t>
            </w:r>
            <w:r>
              <w:rPr>
                <w:spacing w:val="-5"/>
              </w:rPr>
              <w:t>4</w:t>
            </w:r>
            <w:r>
              <w:rPr>
                <w:rFonts w:hint="eastAsia"/>
                <w:spacing w:val="-5"/>
                <w:lang w:eastAsia="zh-CN"/>
              </w:rPr>
              <w:t>)</w:t>
            </w:r>
          </w:p>
        </w:tc>
        <w:tc>
          <w:tcPr>
            <w:tcW w:w="7171" w:type="dxa"/>
            <w:vAlign w:val="top"/>
          </w:tcPr>
          <w:p w14:paraId="7967854E">
            <w:pPr>
              <w:pStyle w:val="9"/>
              <w:spacing w:before="207" w:line="232" w:lineRule="auto"/>
              <w:ind w:left="111"/>
            </w:pPr>
            <w:r>
              <w:rPr>
                <w:spacing w:val="-5"/>
              </w:rPr>
              <w:t>仅对超出</w:t>
            </w:r>
            <w:r>
              <w:rPr>
                <w:spacing w:val="-93"/>
              </w:rPr>
              <w:t xml:space="preserve"> </w:t>
            </w:r>
            <w:r>
              <w:rPr>
                <w:spacing w:val="15"/>
                <w:u w:val="single" w:color="auto"/>
              </w:rPr>
              <w:t xml:space="preserve"> </w:t>
            </w:r>
            <w:r>
              <w:rPr>
                <w:rFonts w:hint="eastAsia"/>
                <w:spacing w:val="15"/>
                <w:u w:val="single" w:color="auto"/>
                <w:lang w:val="en-US" w:eastAsia="zh-CN"/>
              </w:rPr>
              <w:t>9</w:t>
            </w:r>
            <w:r>
              <w:rPr>
                <w:spacing w:val="15"/>
                <w:u w:val="single" w:color="auto"/>
              </w:rPr>
              <w:t xml:space="preserve"> </w:t>
            </w:r>
            <w:r>
              <w:rPr>
                <w:spacing w:val="-97"/>
              </w:rPr>
              <w:t xml:space="preserve"> </w:t>
            </w:r>
            <w:r>
              <w:rPr>
                <w:spacing w:val="-5"/>
              </w:rPr>
              <w:t>个月</w:t>
            </w:r>
            <w:r>
              <w:rPr>
                <w:spacing w:val="-18"/>
                <w:position w:val="10"/>
                <w:sz w:val="10"/>
                <w:szCs w:val="10"/>
              </w:rPr>
              <w:t xml:space="preserve"> </w:t>
            </w:r>
            <w:r>
              <w:rPr>
                <w:spacing w:val="-5"/>
              </w:rPr>
              <w:t>以上部分进行补偿。</w:t>
            </w:r>
          </w:p>
        </w:tc>
      </w:tr>
      <w:tr w14:paraId="5D88C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05A72AF5">
            <w:pPr>
              <w:pStyle w:val="9"/>
              <w:spacing w:before="221" w:line="241" w:lineRule="auto"/>
              <w:ind w:left="369"/>
              <w:rPr>
                <w:rFonts w:hint="eastAsia" w:eastAsia="宋体"/>
                <w:lang w:val="en-US" w:eastAsia="zh-CN"/>
              </w:rPr>
            </w:pPr>
            <w:r>
              <w:rPr>
                <w:spacing w:val="-11"/>
              </w:rPr>
              <w:t>1</w:t>
            </w:r>
            <w:r>
              <w:rPr>
                <w:rFonts w:hint="eastAsia"/>
                <w:spacing w:val="-11"/>
                <w:lang w:val="en-US" w:eastAsia="zh-CN"/>
              </w:rPr>
              <w:t>3</w:t>
            </w:r>
          </w:p>
        </w:tc>
        <w:tc>
          <w:tcPr>
            <w:tcW w:w="1349" w:type="dxa"/>
            <w:vAlign w:val="top"/>
          </w:tcPr>
          <w:p w14:paraId="7E9E38C5">
            <w:pPr>
              <w:pStyle w:val="9"/>
              <w:spacing w:before="221" w:line="232" w:lineRule="auto"/>
              <w:ind w:left="220"/>
            </w:pPr>
            <w:r>
              <w:rPr>
                <w:spacing w:val="-5"/>
              </w:rPr>
              <w:t>11.5</w:t>
            </w:r>
            <w:r>
              <w:rPr>
                <w:rFonts w:hint="eastAsia"/>
                <w:spacing w:val="-5"/>
                <w:lang w:eastAsia="zh-CN"/>
              </w:rPr>
              <w:t>(</w:t>
            </w:r>
            <w:r>
              <w:rPr>
                <w:spacing w:val="-5"/>
              </w:rPr>
              <w:t>3</w:t>
            </w:r>
            <w:r>
              <w:rPr>
                <w:rFonts w:hint="eastAsia"/>
                <w:spacing w:val="-5"/>
                <w:lang w:eastAsia="zh-CN"/>
              </w:rPr>
              <w:t>)</w:t>
            </w:r>
          </w:p>
        </w:tc>
        <w:tc>
          <w:tcPr>
            <w:tcW w:w="7171" w:type="dxa"/>
            <w:vAlign w:val="top"/>
          </w:tcPr>
          <w:p w14:paraId="5AF20CD4">
            <w:pPr>
              <w:pStyle w:val="9"/>
              <w:spacing w:before="221" w:line="220" w:lineRule="auto"/>
              <w:ind w:left="111"/>
            </w:pPr>
            <w:r>
              <w:rPr>
                <w:spacing w:val="-1"/>
              </w:rPr>
              <w:t>逾期交工违约金：</w:t>
            </w:r>
            <w:r>
              <w:rPr>
                <w:spacing w:val="-1"/>
                <w:u w:val="single" w:color="auto"/>
              </w:rPr>
              <w:t xml:space="preserve"> </w:t>
            </w:r>
            <w:r>
              <w:rPr>
                <w:rFonts w:hint="eastAsia"/>
                <w:spacing w:val="-1"/>
                <w:u w:val="single" w:color="auto"/>
                <w:lang w:val="en-US" w:eastAsia="zh-CN"/>
              </w:rPr>
              <w:t>/</w:t>
            </w:r>
            <w:r>
              <w:rPr>
                <w:spacing w:val="-1"/>
                <w:u w:val="single" w:color="auto"/>
              </w:rPr>
              <w:t xml:space="preserve"> </w:t>
            </w:r>
            <w:r>
              <w:rPr>
                <w:spacing w:val="-94"/>
              </w:rPr>
              <w:t xml:space="preserve"> </w:t>
            </w:r>
            <w:r>
              <w:rPr>
                <w:spacing w:val="-1"/>
              </w:rPr>
              <w:t>元/天</w:t>
            </w:r>
          </w:p>
        </w:tc>
      </w:tr>
      <w:tr w14:paraId="10493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70851C17">
            <w:pPr>
              <w:pStyle w:val="9"/>
              <w:spacing w:before="221"/>
              <w:ind w:left="369"/>
              <w:rPr>
                <w:rFonts w:hint="eastAsia" w:eastAsia="宋体"/>
                <w:lang w:val="en-US" w:eastAsia="zh-CN"/>
              </w:rPr>
            </w:pPr>
            <w:r>
              <w:rPr>
                <w:spacing w:val="-11"/>
              </w:rPr>
              <w:t>1</w:t>
            </w:r>
            <w:r>
              <w:rPr>
                <w:rFonts w:hint="eastAsia"/>
                <w:spacing w:val="-11"/>
                <w:lang w:val="en-US" w:eastAsia="zh-CN"/>
              </w:rPr>
              <w:t>4</w:t>
            </w:r>
          </w:p>
        </w:tc>
        <w:tc>
          <w:tcPr>
            <w:tcW w:w="1349" w:type="dxa"/>
            <w:vAlign w:val="top"/>
          </w:tcPr>
          <w:p w14:paraId="6B9308B2">
            <w:pPr>
              <w:pStyle w:val="9"/>
              <w:spacing w:before="221" w:line="232" w:lineRule="auto"/>
              <w:ind w:left="220"/>
            </w:pPr>
            <w:r>
              <w:rPr>
                <w:spacing w:val="-5"/>
              </w:rPr>
              <w:t>11.5</w:t>
            </w:r>
            <w:r>
              <w:rPr>
                <w:rFonts w:hint="eastAsia"/>
                <w:spacing w:val="-5"/>
                <w:lang w:eastAsia="zh-CN"/>
              </w:rPr>
              <w:t>(</w:t>
            </w:r>
            <w:r>
              <w:rPr>
                <w:spacing w:val="-5"/>
              </w:rPr>
              <w:t>3</w:t>
            </w:r>
            <w:r>
              <w:rPr>
                <w:rFonts w:hint="eastAsia"/>
                <w:spacing w:val="-5"/>
                <w:lang w:eastAsia="zh-CN"/>
              </w:rPr>
              <w:t>)</w:t>
            </w:r>
          </w:p>
        </w:tc>
        <w:tc>
          <w:tcPr>
            <w:tcW w:w="7171" w:type="dxa"/>
            <w:vAlign w:val="top"/>
          </w:tcPr>
          <w:p w14:paraId="51C1A9C1">
            <w:pPr>
              <w:pStyle w:val="9"/>
              <w:spacing w:before="205" w:line="232" w:lineRule="auto"/>
              <w:ind w:left="111"/>
              <w:rPr>
                <w:sz w:val="10"/>
                <w:szCs w:val="10"/>
              </w:rPr>
            </w:pPr>
            <w:r>
              <w:rPr>
                <w:spacing w:val="-1"/>
              </w:rPr>
              <w:t>逾期交工违约金限额：</w:t>
            </w:r>
            <w:r>
              <w:rPr>
                <w:spacing w:val="-1"/>
                <w:u w:val="single" w:color="auto"/>
              </w:rPr>
              <w:t xml:space="preserve"> </w:t>
            </w:r>
            <w:r>
              <w:rPr>
                <w:rFonts w:hint="eastAsia"/>
                <w:spacing w:val="-1"/>
                <w:u w:val="single" w:color="auto"/>
                <w:lang w:val="en-US" w:eastAsia="zh-CN"/>
              </w:rPr>
              <w:t>1</w:t>
            </w:r>
            <w:r>
              <w:rPr>
                <w:spacing w:val="-1"/>
                <w:u w:val="single" w:color="auto"/>
              </w:rPr>
              <w:t xml:space="preserve"> </w:t>
            </w:r>
            <w:r>
              <w:rPr>
                <w:spacing w:val="-87"/>
              </w:rPr>
              <w:t xml:space="preserve"> </w:t>
            </w:r>
            <w:r>
              <w:rPr>
                <w:spacing w:val="-1"/>
              </w:rPr>
              <w:t>%签约合同价</w:t>
            </w:r>
          </w:p>
        </w:tc>
      </w:tr>
      <w:tr w14:paraId="464B0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07" w:type="dxa"/>
            <w:vAlign w:val="top"/>
          </w:tcPr>
          <w:p w14:paraId="29CEF931">
            <w:pPr>
              <w:pStyle w:val="9"/>
              <w:spacing w:before="220" w:line="241" w:lineRule="auto"/>
              <w:ind w:left="369"/>
              <w:rPr>
                <w:rFonts w:hint="eastAsia" w:eastAsia="宋体"/>
                <w:lang w:val="en-US" w:eastAsia="zh-CN"/>
              </w:rPr>
            </w:pPr>
            <w:r>
              <w:rPr>
                <w:spacing w:val="-11"/>
              </w:rPr>
              <w:t>1</w:t>
            </w:r>
            <w:r>
              <w:rPr>
                <w:rFonts w:hint="eastAsia"/>
                <w:spacing w:val="-11"/>
                <w:lang w:val="en-US" w:eastAsia="zh-CN"/>
              </w:rPr>
              <w:t>5</w:t>
            </w:r>
          </w:p>
        </w:tc>
        <w:tc>
          <w:tcPr>
            <w:tcW w:w="1349" w:type="dxa"/>
            <w:vAlign w:val="top"/>
          </w:tcPr>
          <w:p w14:paraId="26F17DF6">
            <w:pPr>
              <w:pStyle w:val="9"/>
              <w:spacing w:before="220" w:line="239" w:lineRule="auto"/>
              <w:ind w:left="483"/>
            </w:pPr>
            <w:r>
              <w:rPr>
                <w:spacing w:val="-6"/>
              </w:rPr>
              <w:t>11.6</w:t>
            </w:r>
          </w:p>
        </w:tc>
        <w:tc>
          <w:tcPr>
            <w:tcW w:w="7171" w:type="dxa"/>
            <w:vAlign w:val="top"/>
          </w:tcPr>
          <w:p w14:paraId="6437F277">
            <w:pPr>
              <w:pStyle w:val="9"/>
              <w:spacing w:before="206" w:line="233" w:lineRule="auto"/>
              <w:ind w:left="113"/>
              <w:rPr>
                <w:sz w:val="10"/>
                <w:szCs w:val="10"/>
              </w:rPr>
            </w:pPr>
            <w:r>
              <w:rPr>
                <w:spacing w:val="-1"/>
              </w:rPr>
              <w:t>提前交工的奖金：</w:t>
            </w:r>
            <w:r>
              <w:rPr>
                <w:spacing w:val="-1"/>
                <w:u w:val="single" w:color="auto"/>
              </w:rPr>
              <w:t xml:space="preserve"> </w:t>
            </w:r>
            <w:r>
              <w:rPr>
                <w:rFonts w:hint="eastAsia"/>
                <w:spacing w:val="-1"/>
                <w:u w:val="single" w:color="auto"/>
                <w:lang w:val="en-US" w:eastAsia="zh-CN"/>
              </w:rPr>
              <w:t>/</w:t>
            </w:r>
            <w:r>
              <w:rPr>
                <w:spacing w:val="-1"/>
                <w:u w:val="single" w:color="auto"/>
              </w:rPr>
              <w:t xml:space="preserve"> </w:t>
            </w:r>
            <w:r>
              <w:rPr>
                <w:spacing w:val="-95"/>
              </w:rPr>
              <w:t xml:space="preserve"> </w:t>
            </w:r>
            <w:r>
              <w:rPr>
                <w:spacing w:val="-1"/>
              </w:rPr>
              <w:t>元/天</w:t>
            </w:r>
          </w:p>
        </w:tc>
      </w:tr>
      <w:tr w14:paraId="1D90F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4FFADCA4">
            <w:pPr>
              <w:pStyle w:val="9"/>
              <w:spacing w:before="221"/>
              <w:ind w:left="369"/>
              <w:rPr>
                <w:rFonts w:hint="eastAsia" w:eastAsia="宋体"/>
                <w:lang w:val="en-US" w:eastAsia="zh-CN"/>
              </w:rPr>
            </w:pPr>
            <w:r>
              <w:rPr>
                <w:spacing w:val="-11"/>
              </w:rPr>
              <w:t>1</w:t>
            </w:r>
            <w:r>
              <w:rPr>
                <w:rFonts w:hint="eastAsia"/>
                <w:spacing w:val="-11"/>
                <w:lang w:val="en-US" w:eastAsia="zh-CN"/>
              </w:rPr>
              <w:t>6</w:t>
            </w:r>
          </w:p>
        </w:tc>
        <w:tc>
          <w:tcPr>
            <w:tcW w:w="1349" w:type="dxa"/>
            <w:vAlign w:val="top"/>
          </w:tcPr>
          <w:p w14:paraId="6CD1A9CD">
            <w:pPr>
              <w:pStyle w:val="9"/>
              <w:spacing w:before="221" w:line="239" w:lineRule="auto"/>
              <w:ind w:left="483"/>
            </w:pPr>
            <w:r>
              <w:rPr>
                <w:spacing w:val="-6"/>
              </w:rPr>
              <w:t>11.6</w:t>
            </w:r>
          </w:p>
        </w:tc>
        <w:tc>
          <w:tcPr>
            <w:tcW w:w="7171" w:type="dxa"/>
            <w:vAlign w:val="top"/>
          </w:tcPr>
          <w:p w14:paraId="59E7D583">
            <w:pPr>
              <w:pStyle w:val="9"/>
              <w:spacing w:before="207" w:line="231" w:lineRule="auto"/>
              <w:ind w:left="113"/>
              <w:rPr>
                <w:sz w:val="10"/>
                <w:szCs w:val="10"/>
              </w:rPr>
            </w:pPr>
            <w:r>
              <w:rPr>
                <w:spacing w:val="-1"/>
              </w:rPr>
              <w:t>提前交工的奖金限额：</w:t>
            </w:r>
            <w:r>
              <w:rPr>
                <w:spacing w:val="-1"/>
                <w:u w:val="single" w:color="auto"/>
              </w:rPr>
              <w:t xml:space="preserve"> </w:t>
            </w:r>
            <w:r>
              <w:rPr>
                <w:rFonts w:hint="eastAsia"/>
                <w:spacing w:val="-1"/>
                <w:u w:val="single" w:color="auto"/>
                <w:lang w:val="en-US" w:eastAsia="zh-CN"/>
              </w:rPr>
              <w:t>/</w:t>
            </w:r>
            <w:r>
              <w:rPr>
                <w:spacing w:val="-1"/>
                <w:u w:val="single" w:color="auto"/>
              </w:rPr>
              <w:t xml:space="preserve"> </w:t>
            </w:r>
            <w:r>
              <w:rPr>
                <w:spacing w:val="-90"/>
              </w:rPr>
              <w:t xml:space="preserve"> </w:t>
            </w:r>
            <w:r>
              <w:rPr>
                <w:spacing w:val="-1"/>
              </w:rPr>
              <w:t>%签约合同价</w:t>
            </w:r>
          </w:p>
        </w:tc>
      </w:tr>
      <w:tr w14:paraId="0592A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3A0E80C3">
            <w:pPr>
              <w:spacing w:line="269" w:lineRule="auto"/>
              <w:rPr>
                <w:rFonts w:ascii="Arial"/>
                <w:sz w:val="21"/>
              </w:rPr>
            </w:pPr>
          </w:p>
          <w:p w14:paraId="1842A8FB">
            <w:pPr>
              <w:pStyle w:val="9"/>
              <w:spacing w:before="68"/>
              <w:ind w:left="369"/>
              <w:rPr>
                <w:rFonts w:hint="eastAsia" w:eastAsia="宋体"/>
                <w:lang w:val="en-US" w:eastAsia="zh-CN"/>
              </w:rPr>
            </w:pPr>
            <w:r>
              <w:rPr>
                <w:spacing w:val="-11"/>
              </w:rPr>
              <w:t>1</w:t>
            </w:r>
            <w:r>
              <w:rPr>
                <w:rFonts w:hint="eastAsia"/>
                <w:spacing w:val="-11"/>
                <w:lang w:val="en-US" w:eastAsia="zh-CN"/>
              </w:rPr>
              <w:t>7</w:t>
            </w:r>
          </w:p>
        </w:tc>
        <w:tc>
          <w:tcPr>
            <w:tcW w:w="1349" w:type="dxa"/>
            <w:vAlign w:val="top"/>
          </w:tcPr>
          <w:p w14:paraId="118AF455">
            <w:pPr>
              <w:spacing w:line="269" w:lineRule="auto"/>
              <w:rPr>
                <w:rFonts w:ascii="Arial"/>
                <w:sz w:val="21"/>
              </w:rPr>
            </w:pPr>
          </w:p>
          <w:p w14:paraId="435F118F">
            <w:pPr>
              <w:pStyle w:val="9"/>
              <w:spacing w:before="69" w:line="239" w:lineRule="auto"/>
              <w:ind w:left="430"/>
            </w:pPr>
            <w:r>
              <w:rPr>
                <w:spacing w:val="-5"/>
              </w:rPr>
              <w:t>13.11</w:t>
            </w:r>
          </w:p>
        </w:tc>
        <w:tc>
          <w:tcPr>
            <w:tcW w:w="7171" w:type="dxa"/>
            <w:vAlign w:val="top"/>
          </w:tcPr>
          <w:p w14:paraId="4148E9DE">
            <w:pPr>
              <w:pStyle w:val="9"/>
              <w:spacing w:before="138" w:line="288" w:lineRule="auto"/>
              <w:ind w:left="111" w:right="107"/>
              <w:rPr>
                <w:sz w:val="10"/>
                <w:szCs w:val="10"/>
              </w:rPr>
            </w:pPr>
            <w:r>
              <w:rPr>
                <w:spacing w:val="1"/>
              </w:rPr>
              <w:t>优质优价价款：合同工程量清单各章（100</w:t>
            </w:r>
            <w:r>
              <w:rPr>
                <w:spacing w:val="-34"/>
              </w:rPr>
              <w:t xml:space="preserve"> </w:t>
            </w:r>
            <w:r>
              <w:rPr>
                <w:spacing w:val="1"/>
              </w:rPr>
              <w:t>章除外）合计金额的</w:t>
            </w:r>
            <w:r>
              <w:rPr>
                <w:spacing w:val="-100"/>
              </w:rPr>
              <w:t xml:space="preserve"> </w:t>
            </w:r>
            <w:r>
              <w:rPr>
                <w:spacing w:val="2"/>
                <w:u w:val="single" w:color="auto"/>
              </w:rPr>
              <w:t xml:space="preserve"> </w:t>
            </w:r>
            <w:r>
              <w:rPr>
                <w:rFonts w:hint="eastAsia"/>
                <w:spacing w:val="2"/>
                <w:u w:val="single" w:color="auto"/>
                <w:lang w:val="en-US" w:eastAsia="zh-CN"/>
              </w:rPr>
              <w:t>/</w:t>
            </w:r>
            <w:r>
              <w:rPr>
                <w:spacing w:val="2"/>
                <w:u w:val="single" w:color="auto"/>
              </w:rPr>
              <w:t xml:space="preserve"> </w:t>
            </w:r>
            <w:r>
              <w:rPr>
                <w:spacing w:val="-101"/>
              </w:rPr>
              <w:t xml:space="preserve"> </w:t>
            </w:r>
            <w:r>
              <w:rPr>
                <w:spacing w:val="1"/>
              </w:rPr>
              <w:t>%</w:t>
            </w:r>
            <w:r>
              <w:t>（含</w:t>
            </w:r>
            <w:r>
              <w:rPr>
                <w:spacing w:val="-1"/>
              </w:rPr>
              <w:t>税金）</w:t>
            </w:r>
          </w:p>
        </w:tc>
      </w:tr>
      <w:tr w14:paraId="37747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907" w:type="dxa"/>
            <w:vAlign w:val="top"/>
          </w:tcPr>
          <w:p w14:paraId="4C755D57">
            <w:pPr>
              <w:spacing w:line="468" w:lineRule="auto"/>
              <w:rPr>
                <w:rFonts w:ascii="Arial"/>
                <w:sz w:val="21"/>
              </w:rPr>
            </w:pPr>
          </w:p>
          <w:p w14:paraId="64A09629">
            <w:pPr>
              <w:pStyle w:val="9"/>
              <w:spacing w:before="68"/>
              <w:ind w:left="369"/>
              <w:rPr>
                <w:rFonts w:hint="eastAsia" w:eastAsia="宋体"/>
                <w:lang w:eastAsia="zh-CN"/>
              </w:rPr>
            </w:pPr>
            <w:r>
              <w:rPr>
                <w:spacing w:val="-6"/>
              </w:rPr>
              <w:t>1</w:t>
            </w:r>
            <w:r>
              <w:rPr>
                <w:rFonts w:hint="eastAsia"/>
                <w:spacing w:val="-6"/>
                <w:lang w:val="en-US" w:eastAsia="zh-CN"/>
              </w:rPr>
              <w:t>8</w:t>
            </w:r>
          </w:p>
        </w:tc>
        <w:tc>
          <w:tcPr>
            <w:tcW w:w="1349" w:type="dxa"/>
            <w:vAlign w:val="top"/>
          </w:tcPr>
          <w:p w14:paraId="02D5A9B2">
            <w:pPr>
              <w:spacing w:line="468" w:lineRule="auto"/>
              <w:rPr>
                <w:rFonts w:ascii="Arial"/>
                <w:sz w:val="21"/>
              </w:rPr>
            </w:pPr>
          </w:p>
          <w:p w14:paraId="3124FDE8">
            <w:pPr>
              <w:pStyle w:val="9"/>
              <w:spacing w:before="69" w:line="239" w:lineRule="auto"/>
              <w:ind w:left="273"/>
            </w:pPr>
            <w:r>
              <w:fldChar w:fldCharType="begin"/>
            </w:r>
            <w:r>
              <w:instrText xml:space="preserve"> HYPERLINK "15.4.4.2" </w:instrText>
            </w:r>
            <w:r>
              <w:fldChar w:fldCharType="separate"/>
            </w:r>
            <w:r>
              <w:rPr>
                <w:spacing w:val="-3"/>
              </w:rPr>
              <w:t>15.4.4.2</w:t>
            </w:r>
            <w:r>
              <w:rPr>
                <w:spacing w:val="-3"/>
              </w:rPr>
              <w:fldChar w:fldCharType="end"/>
            </w:r>
          </w:p>
        </w:tc>
        <w:tc>
          <w:tcPr>
            <w:tcW w:w="7171" w:type="dxa"/>
            <w:vAlign w:val="top"/>
          </w:tcPr>
          <w:p w14:paraId="37DD59DD">
            <w:pPr>
              <w:pStyle w:val="9"/>
              <w:spacing w:before="139" w:line="220" w:lineRule="auto"/>
              <w:ind w:left="112"/>
            </w:pPr>
            <w:r>
              <w:rPr>
                <w:spacing w:val="-4"/>
              </w:rPr>
              <w:t>应急抢险工程变更金额确定原则：</w:t>
            </w:r>
          </w:p>
          <w:p w14:paraId="168A8C40">
            <w:pPr>
              <w:pStyle w:val="9"/>
              <w:spacing w:before="149" w:line="220" w:lineRule="auto"/>
              <w:ind w:left="133"/>
            </w:pPr>
            <w:r>
              <w:rPr>
                <w:spacing w:val="-3"/>
              </w:rPr>
              <w:t>□变更金额=审批的变更预算</w:t>
            </w:r>
          </w:p>
          <w:p w14:paraId="07EDD73F">
            <w:pPr>
              <w:pStyle w:val="9"/>
              <w:spacing w:before="150" w:line="220" w:lineRule="auto"/>
              <w:ind w:left="133"/>
            </w:pPr>
            <w:r>
              <w:rPr>
                <w:rFonts w:hint="eastAsia"/>
                <w:spacing w:val="-2"/>
                <w:lang w:eastAsia="zh-CN"/>
              </w:rPr>
              <w:t>☑</w:t>
            </w:r>
            <w:r>
              <w:rPr>
                <w:spacing w:val="-2"/>
              </w:rPr>
              <w:t>变更金额=审批的变更预算×（1-中标下浮率）</w:t>
            </w:r>
          </w:p>
        </w:tc>
      </w:tr>
      <w:tr w14:paraId="12377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7" w:type="dxa"/>
            <w:vAlign w:val="top"/>
          </w:tcPr>
          <w:p w14:paraId="4C022526">
            <w:pPr>
              <w:spacing w:line="270" w:lineRule="auto"/>
              <w:rPr>
                <w:rFonts w:ascii="Arial"/>
                <w:sz w:val="21"/>
              </w:rPr>
            </w:pPr>
          </w:p>
          <w:p w14:paraId="59201350">
            <w:pPr>
              <w:pStyle w:val="9"/>
              <w:spacing w:before="68"/>
              <w:ind w:left="369"/>
              <w:rPr>
                <w:rFonts w:hint="eastAsia" w:eastAsia="宋体"/>
                <w:lang w:eastAsia="zh-CN"/>
              </w:rPr>
            </w:pPr>
            <w:r>
              <w:rPr>
                <w:spacing w:val="-11"/>
              </w:rPr>
              <w:t>1</w:t>
            </w:r>
            <w:r>
              <w:rPr>
                <w:rFonts w:hint="eastAsia"/>
                <w:spacing w:val="-11"/>
                <w:lang w:val="en-US" w:eastAsia="zh-CN"/>
              </w:rPr>
              <w:t>9</w:t>
            </w:r>
          </w:p>
        </w:tc>
        <w:tc>
          <w:tcPr>
            <w:tcW w:w="1349" w:type="dxa"/>
            <w:vAlign w:val="top"/>
          </w:tcPr>
          <w:p w14:paraId="590C55C9">
            <w:pPr>
              <w:spacing w:line="270" w:lineRule="auto"/>
              <w:rPr>
                <w:rFonts w:ascii="Arial"/>
                <w:sz w:val="21"/>
              </w:rPr>
            </w:pPr>
          </w:p>
          <w:p w14:paraId="4ACF8D9A">
            <w:pPr>
              <w:pStyle w:val="9"/>
              <w:spacing w:before="68" w:line="239" w:lineRule="auto"/>
              <w:ind w:left="378"/>
            </w:pPr>
            <w:r>
              <w:rPr>
                <w:spacing w:val="-4"/>
              </w:rPr>
              <w:t>15.5.2</w:t>
            </w:r>
          </w:p>
        </w:tc>
        <w:tc>
          <w:tcPr>
            <w:tcW w:w="7171" w:type="dxa"/>
            <w:vAlign w:val="top"/>
          </w:tcPr>
          <w:p w14:paraId="3D301CF0">
            <w:pPr>
              <w:pStyle w:val="9"/>
              <w:spacing w:before="141" w:line="287" w:lineRule="auto"/>
              <w:ind w:left="113" w:right="112" w:hanging="1"/>
            </w:pPr>
            <w:r>
              <w:t>承包人提出的合理化建议降低了合同价格或者提高了工程经济效益的，发包</w:t>
            </w:r>
            <w:r>
              <w:rPr>
                <w:spacing w:val="-2"/>
              </w:rPr>
              <w:t>人按所节约成本的</w:t>
            </w:r>
            <w:r>
              <w:rPr>
                <w:spacing w:val="-2"/>
                <w:u w:val="single" w:color="auto"/>
              </w:rPr>
              <w:t xml:space="preserve"> </w:t>
            </w:r>
            <w:r>
              <w:rPr>
                <w:rFonts w:hint="eastAsia"/>
                <w:spacing w:val="-2"/>
                <w:u w:val="single" w:color="auto"/>
                <w:lang w:val="en-US" w:eastAsia="zh-CN"/>
              </w:rPr>
              <w:t>/</w:t>
            </w:r>
            <w:r>
              <w:rPr>
                <w:spacing w:val="-2"/>
                <w:u w:val="single" w:color="auto"/>
              </w:rPr>
              <w:t xml:space="preserve"> </w:t>
            </w:r>
            <w:r>
              <w:rPr>
                <w:spacing w:val="-86"/>
              </w:rPr>
              <w:t xml:space="preserve"> </w:t>
            </w:r>
            <w:r>
              <w:rPr>
                <w:spacing w:val="-2"/>
              </w:rPr>
              <w:t>%或增加收益的</w:t>
            </w:r>
            <w:r>
              <w:rPr>
                <w:spacing w:val="-2"/>
                <w:u w:val="single" w:color="auto"/>
              </w:rPr>
              <w:t xml:space="preserve"> </w:t>
            </w:r>
            <w:r>
              <w:rPr>
                <w:rFonts w:hint="eastAsia"/>
                <w:spacing w:val="-2"/>
                <w:u w:val="single" w:color="auto"/>
                <w:lang w:val="en-US" w:eastAsia="zh-CN"/>
              </w:rPr>
              <w:t>/</w:t>
            </w:r>
            <w:r>
              <w:rPr>
                <w:spacing w:val="-2"/>
                <w:u w:val="single" w:color="auto"/>
              </w:rPr>
              <w:t xml:space="preserve"> </w:t>
            </w:r>
            <w:r>
              <w:rPr>
                <w:spacing w:val="-102"/>
              </w:rPr>
              <w:t xml:space="preserve"> </w:t>
            </w:r>
            <w:r>
              <w:rPr>
                <w:spacing w:val="-2"/>
              </w:rPr>
              <w:t>%给予奖励。</w:t>
            </w:r>
          </w:p>
        </w:tc>
      </w:tr>
      <w:tr w14:paraId="5381C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7" w:type="dxa"/>
            <w:vAlign w:val="top"/>
          </w:tcPr>
          <w:p w14:paraId="377F50C2">
            <w:pPr>
              <w:spacing w:line="271" w:lineRule="auto"/>
              <w:rPr>
                <w:rFonts w:ascii="Arial"/>
                <w:sz w:val="21"/>
              </w:rPr>
            </w:pPr>
          </w:p>
          <w:p w14:paraId="5A5786E3">
            <w:pPr>
              <w:pStyle w:val="9"/>
              <w:spacing w:before="68"/>
              <w:ind w:left="369"/>
              <w:rPr>
                <w:rFonts w:hint="default" w:eastAsia="宋体"/>
                <w:lang w:val="en-US" w:eastAsia="zh-CN"/>
              </w:rPr>
            </w:pPr>
            <w:r>
              <w:rPr>
                <w:rFonts w:hint="eastAsia"/>
                <w:spacing w:val="-6"/>
                <w:lang w:val="en-US" w:eastAsia="zh-CN"/>
              </w:rPr>
              <w:t>20</w:t>
            </w:r>
          </w:p>
        </w:tc>
        <w:tc>
          <w:tcPr>
            <w:tcW w:w="1349" w:type="dxa"/>
            <w:vAlign w:val="top"/>
          </w:tcPr>
          <w:p w14:paraId="2410E1B8">
            <w:pPr>
              <w:spacing w:line="271" w:lineRule="auto"/>
              <w:rPr>
                <w:rFonts w:ascii="Arial"/>
                <w:sz w:val="21"/>
              </w:rPr>
            </w:pPr>
          </w:p>
          <w:p w14:paraId="7AD1930F">
            <w:pPr>
              <w:pStyle w:val="9"/>
              <w:spacing w:before="68" w:line="239" w:lineRule="auto"/>
              <w:ind w:left="483"/>
            </w:pPr>
            <w:r>
              <w:rPr>
                <w:spacing w:val="-6"/>
              </w:rPr>
              <w:t>16.1</w:t>
            </w:r>
          </w:p>
        </w:tc>
        <w:tc>
          <w:tcPr>
            <w:tcW w:w="7171" w:type="dxa"/>
            <w:vAlign w:val="top"/>
          </w:tcPr>
          <w:p w14:paraId="45F13E6F">
            <w:pPr>
              <w:pStyle w:val="9"/>
              <w:spacing w:before="141" w:line="218" w:lineRule="auto"/>
              <w:ind w:left="133"/>
            </w:pPr>
            <w:r>
              <w:rPr>
                <w:spacing w:val="-2"/>
              </w:rPr>
              <w:t>□因物价波动引起的价格调整按照</w:t>
            </w:r>
            <w:r>
              <w:rPr>
                <w:spacing w:val="-2"/>
                <w:u w:val="single" w:color="auto"/>
              </w:rPr>
              <w:t xml:space="preserve">    </w:t>
            </w:r>
            <w:r>
              <w:rPr>
                <w:spacing w:val="-81"/>
              </w:rPr>
              <w:t xml:space="preserve"> </w:t>
            </w:r>
            <w:r>
              <w:rPr>
                <w:spacing w:val="-2"/>
              </w:rPr>
              <w:t>项约定的原则处理</w:t>
            </w:r>
          </w:p>
          <w:p w14:paraId="44BCD4B5">
            <w:pPr>
              <w:pStyle w:val="9"/>
              <w:spacing w:before="136" w:line="232" w:lineRule="auto"/>
              <w:ind w:left="133"/>
              <w:rPr>
                <w:sz w:val="10"/>
                <w:szCs w:val="10"/>
              </w:rPr>
            </w:pPr>
            <w:r>
              <w:rPr>
                <w:rFonts w:hint="eastAsia"/>
                <w:spacing w:val="-3"/>
                <w:lang w:eastAsia="zh-CN"/>
              </w:rPr>
              <w:t>☑</w:t>
            </w:r>
            <w:r>
              <w:rPr>
                <w:spacing w:val="-3"/>
              </w:rPr>
              <w:t>合同期内不调价</w:t>
            </w:r>
          </w:p>
        </w:tc>
      </w:tr>
      <w:tr w14:paraId="06724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907" w:type="dxa"/>
            <w:vAlign w:val="top"/>
          </w:tcPr>
          <w:p w14:paraId="7BAA4A2E">
            <w:pPr>
              <w:spacing w:line="470" w:lineRule="auto"/>
              <w:rPr>
                <w:rFonts w:ascii="Arial"/>
                <w:sz w:val="21"/>
              </w:rPr>
            </w:pPr>
          </w:p>
          <w:p w14:paraId="4AACFC06">
            <w:pPr>
              <w:pStyle w:val="9"/>
              <w:spacing w:before="68"/>
              <w:ind w:left="356"/>
            </w:pPr>
            <w:r>
              <w:rPr>
                <w:spacing w:val="-5"/>
              </w:rPr>
              <w:t>2</w:t>
            </w:r>
            <w:r>
              <w:rPr>
                <w:rFonts w:hint="eastAsia"/>
                <w:spacing w:val="-5"/>
                <w:lang w:val="en-US" w:eastAsia="zh-CN"/>
              </w:rPr>
              <w:t>1</w:t>
            </w:r>
          </w:p>
        </w:tc>
        <w:tc>
          <w:tcPr>
            <w:tcW w:w="1349" w:type="dxa"/>
            <w:vAlign w:val="top"/>
          </w:tcPr>
          <w:p w14:paraId="7F0FA500">
            <w:pPr>
              <w:spacing w:line="470" w:lineRule="auto"/>
              <w:rPr>
                <w:rFonts w:ascii="Arial"/>
                <w:sz w:val="21"/>
              </w:rPr>
            </w:pPr>
          </w:p>
          <w:p w14:paraId="213716A1">
            <w:pPr>
              <w:pStyle w:val="9"/>
              <w:spacing w:before="68" w:line="239" w:lineRule="auto"/>
              <w:ind w:left="378"/>
            </w:pPr>
            <w:r>
              <w:rPr>
                <w:spacing w:val="-4"/>
              </w:rPr>
              <w:t>17.1.7</w:t>
            </w:r>
          </w:p>
        </w:tc>
        <w:tc>
          <w:tcPr>
            <w:tcW w:w="7171" w:type="dxa"/>
            <w:vAlign w:val="top"/>
          </w:tcPr>
          <w:p w14:paraId="2F99A850">
            <w:pPr>
              <w:pStyle w:val="9"/>
              <w:spacing w:before="140" w:line="220" w:lineRule="auto"/>
              <w:ind w:left="114"/>
            </w:pPr>
            <w:r>
              <w:rPr>
                <w:spacing w:val="-4"/>
              </w:rPr>
              <w:t>路面备料款的暂定计量和支付：</w:t>
            </w:r>
          </w:p>
          <w:p w14:paraId="02F7642A">
            <w:pPr>
              <w:pStyle w:val="9"/>
              <w:spacing w:before="150" w:line="287" w:lineRule="auto"/>
              <w:ind w:left="112" w:right="108"/>
            </w:pPr>
            <w:r>
              <w:rPr>
                <w:spacing w:val="-3"/>
              </w:rPr>
              <w:t>计量数量：以承包人实际进场并经监理人和发包人代表验收确认数量的</w:t>
            </w:r>
            <w:r>
              <w:rPr>
                <w:spacing w:val="-103"/>
              </w:rPr>
              <w:t xml:space="preserve"> </w:t>
            </w:r>
            <w:r>
              <w:rPr>
                <w:spacing w:val="35"/>
                <w:u w:val="single" w:color="auto"/>
              </w:rPr>
              <w:t xml:space="preserve"> </w:t>
            </w:r>
            <w:r>
              <w:rPr>
                <w:rFonts w:hint="eastAsia"/>
                <w:spacing w:val="35"/>
                <w:u w:val="single" w:color="auto"/>
                <w:lang w:val="en-US" w:eastAsia="zh-CN"/>
              </w:rPr>
              <w:t>/</w:t>
            </w:r>
            <w:r>
              <w:rPr>
                <w:spacing w:val="35"/>
                <w:u w:val="single" w:color="auto"/>
              </w:rPr>
              <w:t xml:space="preserve"> </w:t>
            </w:r>
            <w:r>
              <w:rPr>
                <w:spacing w:val="-102"/>
              </w:rPr>
              <w:t xml:space="preserve"> </w:t>
            </w:r>
            <w:r>
              <w:rPr>
                <w:spacing w:val="-3"/>
              </w:rPr>
              <w:t>%</w:t>
            </w:r>
            <w:r>
              <w:rPr>
                <w:spacing w:val="-10"/>
              </w:rPr>
              <w:t>计。</w:t>
            </w:r>
          </w:p>
        </w:tc>
      </w:tr>
      <w:tr w14:paraId="0BA26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49A76FF9">
            <w:pPr>
              <w:pStyle w:val="9"/>
              <w:spacing w:before="225" w:line="241" w:lineRule="auto"/>
              <w:ind w:left="356"/>
              <w:rPr>
                <w:rFonts w:hint="eastAsia" w:eastAsia="宋体"/>
                <w:lang w:val="en-US" w:eastAsia="zh-CN"/>
              </w:rPr>
            </w:pPr>
            <w:r>
              <w:rPr>
                <w:spacing w:val="-5"/>
              </w:rPr>
              <w:t>2</w:t>
            </w:r>
            <w:r>
              <w:rPr>
                <w:rFonts w:hint="eastAsia"/>
                <w:spacing w:val="-5"/>
                <w:lang w:val="en-US" w:eastAsia="zh-CN"/>
              </w:rPr>
              <w:t>2</w:t>
            </w:r>
          </w:p>
        </w:tc>
        <w:tc>
          <w:tcPr>
            <w:tcW w:w="1349" w:type="dxa"/>
            <w:vAlign w:val="top"/>
          </w:tcPr>
          <w:p w14:paraId="707E1456">
            <w:pPr>
              <w:pStyle w:val="9"/>
              <w:spacing w:before="225" w:line="232" w:lineRule="auto"/>
              <w:ind w:left="126"/>
            </w:pPr>
            <w:r>
              <w:rPr>
                <w:spacing w:val="-3"/>
              </w:rPr>
              <w:t>17.2.1</w:t>
            </w:r>
            <w:r>
              <w:rPr>
                <w:rFonts w:hint="eastAsia"/>
                <w:spacing w:val="-3"/>
                <w:lang w:eastAsia="zh-CN"/>
              </w:rPr>
              <w:t>(</w:t>
            </w:r>
            <w:r>
              <w:rPr>
                <w:spacing w:val="-3"/>
              </w:rPr>
              <w:t>1</w:t>
            </w:r>
            <w:r>
              <w:rPr>
                <w:rFonts w:hint="eastAsia"/>
                <w:spacing w:val="-3"/>
                <w:lang w:eastAsia="zh-CN"/>
              </w:rPr>
              <w:t>)</w:t>
            </w:r>
          </w:p>
        </w:tc>
        <w:tc>
          <w:tcPr>
            <w:tcW w:w="7171" w:type="dxa"/>
            <w:vAlign w:val="top"/>
          </w:tcPr>
          <w:p w14:paraId="44FB2A72">
            <w:pPr>
              <w:pStyle w:val="9"/>
              <w:spacing w:before="209" w:line="232" w:lineRule="auto"/>
              <w:ind w:left="113"/>
              <w:rPr>
                <w:sz w:val="10"/>
                <w:szCs w:val="10"/>
              </w:rPr>
            </w:pPr>
            <w:r>
              <w:rPr>
                <w:spacing w:val="-1"/>
              </w:rPr>
              <w:t>开工预付款金额：</w:t>
            </w:r>
            <w:r>
              <w:rPr>
                <w:spacing w:val="-1"/>
                <w:u w:val="single" w:color="auto"/>
              </w:rPr>
              <w:t xml:space="preserve"> </w:t>
            </w:r>
            <w:r>
              <w:rPr>
                <w:rFonts w:hint="eastAsia"/>
                <w:spacing w:val="-1"/>
                <w:u w:val="single" w:color="auto"/>
                <w:lang w:val="en-US" w:eastAsia="zh-CN"/>
              </w:rPr>
              <w:t>30</w:t>
            </w:r>
            <w:r>
              <w:rPr>
                <w:spacing w:val="-1"/>
                <w:u w:val="single" w:color="auto"/>
              </w:rPr>
              <w:t xml:space="preserve"> </w:t>
            </w:r>
            <w:r>
              <w:rPr>
                <w:spacing w:val="-93"/>
              </w:rPr>
              <w:t xml:space="preserve"> </w:t>
            </w:r>
            <w:r>
              <w:rPr>
                <w:spacing w:val="-1"/>
              </w:rPr>
              <w:t>%签约合同价</w:t>
            </w:r>
            <w:r>
              <w:rPr>
                <w:rFonts w:hint="eastAsia"/>
                <w:spacing w:val="8"/>
                <w:sz w:val="20"/>
                <w:szCs w:val="20"/>
              </w:rPr>
              <w:t>（含</w:t>
            </w:r>
            <w:r>
              <w:rPr>
                <w:rFonts w:hint="eastAsia"/>
                <w:spacing w:val="8"/>
                <w:sz w:val="20"/>
                <w:szCs w:val="20"/>
                <w:u w:val="single"/>
                <w:lang w:val="en-US" w:eastAsia="zh-CN"/>
              </w:rPr>
              <w:t xml:space="preserve"> 3 </w:t>
            </w:r>
            <w:r>
              <w:rPr>
                <w:rFonts w:hint="eastAsia"/>
                <w:spacing w:val="8"/>
                <w:sz w:val="20"/>
                <w:szCs w:val="20"/>
                <w:lang w:val="en-US" w:eastAsia="zh-CN"/>
              </w:rPr>
              <w:t>%</w:t>
            </w:r>
            <w:r>
              <w:rPr>
                <w:rFonts w:hint="eastAsia"/>
                <w:spacing w:val="8"/>
                <w:sz w:val="20"/>
                <w:szCs w:val="20"/>
              </w:rPr>
              <w:t>工人工资保证金</w:t>
            </w:r>
            <w:r>
              <w:rPr>
                <w:rFonts w:hint="eastAsia"/>
                <w:spacing w:val="8"/>
                <w:sz w:val="20"/>
                <w:szCs w:val="20"/>
                <w:lang w:eastAsia="zh-CN"/>
              </w:rPr>
              <w:t>）</w:t>
            </w:r>
            <w:r>
              <w:rPr>
                <w:rFonts w:hint="eastAsia"/>
                <w:spacing w:val="8"/>
                <w:sz w:val="20"/>
                <w:szCs w:val="20"/>
              </w:rPr>
              <w:t>，建设单位一次性提取资金存入施工企业工资保证金专用账户，该资金视为建设单位已付施工企业的工程款。</w:t>
            </w:r>
          </w:p>
        </w:tc>
      </w:tr>
      <w:tr w14:paraId="0FF26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4BDBF214">
            <w:pPr>
              <w:pStyle w:val="9"/>
              <w:spacing w:before="225" w:line="241" w:lineRule="auto"/>
              <w:ind w:left="356"/>
              <w:rPr>
                <w:rFonts w:hint="eastAsia" w:eastAsia="宋体"/>
                <w:lang w:val="en-US" w:eastAsia="zh-CN"/>
              </w:rPr>
            </w:pPr>
            <w:r>
              <w:rPr>
                <w:spacing w:val="-5"/>
              </w:rPr>
              <w:t>2</w:t>
            </w:r>
            <w:r>
              <w:rPr>
                <w:rFonts w:hint="eastAsia"/>
                <w:spacing w:val="-5"/>
                <w:lang w:val="en-US" w:eastAsia="zh-CN"/>
              </w:rPr>
              <w:t>3</w:t>
            </w:r>
          </w:p>
        </w:tc>
        <w:tc>
          <w:tcPr>
            <w:tcW w:w="1349" w:type="dxa"/>
            <w:vAlign w:val="top"/>
          </w:tcPr>
          <w:p w14:paraId="23F63DE7">
            <w:pPr>
              <w:pStyle w:val="9"/>
              <w:spacing w:before="225" w:line="232" w:lineRule="auto"/>
              <w:ind w:left="126"/>
            </w:pPr>
            <w:r>
              <w:rPr>
                <w:spacing w:val="-3"/>
              </w:rPr>
              <w:t>17.2.1</w:t>
            </w:r>
            <w:r>
              <w:rPr>
                <w:rFonts w:hint="eastAsia"/>
                <w:spacing w:val="-3"/>
                <w:lang w:eastAsia="zh-CN"/>
              </w:rPr>
              <w:t>(</w:t>
            </w:r>
            <w:r>
              <w:rPr>
                <w:spacing w:val="-3"/>
              </w:rPr>
              <w:t>2</w:t>
            </w:r>
            <w:r>
              <w:rPr>
                <w:rFonts w:hint="eastAsia"/>
                <w:spacing w:val="-3"/>
                <w:lang w:eastAsia="zh-CN"/>
              </w:rPr>
              <w:t>)</w:t>
            </w:r>
          </w:p>
        </w:tc>
        <w:tc>
          <w:tcPr>
            <w:tcW w:w="7171" w:type="dxa"/>
            <w:vAlign w:val="top"/>
          </w:tcPr>
          <w:p w14:paraId="2728E5B0">
            <w:pPr>
              <w:pStyle w:val="9"/>
              <w:spacing w:before="209" w:line="233" w:lineRule="auto"/>
              <w:ind w:left="112"/>
              <w:rPr>
                <w:sz w:val="10"/>
                <w:szCs w:val="10"/>
              </w:rPr>
            </w:pPr>
            <w:r>
              <w:t>材料、设备预付款比例：</w:t>
            </w:r>
            <w:r>
              <w:rPr>
                <w:u w:val="single" w:color="auto"/>
              </w:rPr>
              <w:t xml:space="preserve"> </w:t>
            </w:r>
            <w:r>
              <w:rPr>
                <w:rFonts w:hint="eastAsia"/>
                <w:u w:val="single" w:color="auto"/>
                <w:lang w:val="en-US" w:eastAsia="zh-CN"/>
              </w:rPr>
              <w:t>水泥、砂石、钢材</w:t>
            </w:r>
            <w:r>
              <w:rPr>
                <w:u w:val="single" w:color="auto"/>
              </w:rPr>
              <w:t xml:space="preserve"> </w:t>
            </w:r>
            <w:r>
              <w:rPr>
                <w:spacing w:val="-95"/>
              </w:rPr>
              <w:t xml:space="preserve"> </w:t>
            </w:r>
            <w:r>
              <w:t>等主要材</w:t>
            </w:r>
            <w:r>
              <w:rPr>
                <w:spacing w:val="-1"/>
              </w:rPr>
              <w:t xml:space="preserve">料、设备单据所列费用的 </w:t>
            </w:r>
            <w:r>
              <w:rPr>
                <w:spacing w:val="-1"/>
                <w:u w:val="single" w:color="auto"/>
              </w:rPr>
              <w:t xml:space="preserve"> </w:t>
            </w:r>
            <w:r>
              <w:rPr>
                <w:rFonts w:hint="eastAsia"/>
                <w:spacing w:val="-1"/>
                <w:u w:val="single" w:color="auto"/>
                <w:lang w:val="en-US" w:eastAsia="zh-CN"/>
              </w:rPr>
              <w:t>60</w:t>
            </w:r>
            <w:r>
              <w:rPr>
                <w:spacing w:val="-1"/>
                <w:u w:val="single" w:color="auto"/>
              </w:rPr>
              <w:t xml:space="preserve"> </w:t>
            </w:r>
            <w:r>
              <w:rPr>
                <w:spacing w:val="-103"/>
              </w:rPr>
              <w:t xml:space="preserve"> </w:t>
            </w:r>
            <w:r>
              <w:rPr>
                <w:spacing w:val="-1"/>
              </w:rPr>
              <w:t>%</w:t>
            </w:r>
          </w:p>
        </w:tc>
      </w:tr>
      <w:tr w14:paraId="49319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907" w:type="dxa"/>
            <w:vAlign w:val="top"/>
          </w:tcPr>
          <w:p w14:paraId="415D02AE">
            <w:pPr>
              <w:pStyle w:val="9"/>
              <w:spacing w:before="224"/>
              <w:ind w:left="356"/>
              <w:rPr>
                <w:rFonts w:hint="eastAsia" w:eastAsia="宋体"/>
                <w:lang w:val="en-US" w:eastAsia="zh-CN"/>
              </w:rPr>
            </w:pPr>
            <w:r>
              <w:rPr>
                <w:spacing w:val="-5"/>
              </w:rPr>
              <w:t>2</w:t>
            </w:r>
            <w:r>
              <w:rPr>
                <w:rFonts w:hint="eastAsia"/>
                <w:spacing w:val="-5"/>
                <w:lang w:val="en-US" w:eastAsia="zh-CN"/>
              </w:rPr>
              <w:t>4</w:t>
            </w:r>
          </w:p>
        </w:tc>
        <w:tc>
          <w:tcPr>
            <w:tcW w:w="1349" w:type="dxa"/>
            <w:vAlign w:val="top"/>
          </w:tcPr>
          <w:p w14:paraId="767DDEB1">
            <w:pPr>
              <w:pStyle w:val="9"/>
              <w:spacing w:before="224" w:line="239" w:lineRule="auto"/>
              <w:ind w:left="378"/>
            </w:pPr>
            <w:r>
              <w:rPr>
                <w:spacing w:val="-4"/>
              </w:rPr>
              <w:t>17.3.2</w:t>
            </w:r>
          </w:p>
        </w:tc>
        <w:tc>
          <w:tcPr>
            <w:tcW w:w="7171" w:type="dxa"/>
            <w:vAlign w:val="top"/>
          </w:tcPr>
          <w:p w14:paraId="0A8F2E33">
            <w:pPr>
              <w:pStyle w:val="9"/>
              <w:spacing w:before="224" w:line="220" w:lineRule="auto"/>
              <w:ind w:left="111"/>
            </w:pPr>
            <w:r>
              <w:t>承包人在每个付款周期末向监理人提交进度付款申请单</w:t>
            </w:r>
            <w:r>
              <w:rPr>
                <w:spacing w:val="-1"/>
              </w:rPr>
              <w:t>的份数：</w:t>
            </w:r>
            <w:r>
              <w:rPr>
                <w:spacing w:val="-1"/>
                <w:u w:val="single" w:color="auto"/>
              </w:rPr>
              <w:t xml:space="preserve"> </w:t>
            </w:r>
            <w:r>
              <w:rPr>
                <w:rFonts w:hint="eastAsia"/>
                <w:spacing w:val="-1"/>
                <w:u w:val="single" w:color="auto"/>
                <w:lang w:val="en-US" w:eastAsia="zh-CN"/>
              </w:rPr>
              <w:t>6</w:t>
            </w:r>
            <w:r>
              <w:rPr>
                <w:spacing w:val="-1"/>
                <w:u w:val="single" w:color="auto"/>
              </w:rPr>
              <w:t xml:space="preserve"> </w:t>
            </w:r>
            <w:r>
              <w:rPr>
                <w:spacing w:val="-97"/>
              </w:rPr>
              <w:t xml:space="preserve"> </w:t>
            </w:r>
            <w:r>
              <w:rPr>
                <w:spacing w:val="-1"/>
              </w:rPr>
              <w:t>份</w:t>
            </w:r>
          </w:p>
        </w:tc>
      </w:tr>
      <w:tr w14:paraId="37244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44D8A377">
            <w:pPr>
              <w:pStyle w:val="9"/>
              <w:spacing w:before="226" w:line="241" w:lineRule="auto"/>
              <w:ind w:left="356"/>
              <w:rPr>
                <w:rFonts w:hint="eastAsia" w:eastAsia="宋体"/>
                <w:lang w:val="en-US" w:eastAsia="zh-CN"/>
              </w:rPr>
            </w:pPr>
            <w:r>
              <w:rPr>
                <w:spacing w:val="-5"/>
              </w:rPr>
              <w:t>2</w:t>
            </w:r>
            <w:r>
              <w:rPr>
                <w:rFonts w:hint="eastAsia"/>
                <w:spacing w:val="-5"/>
                <w:lang w:val="en-US" w:eastAsia="zh-CN"/>
              </w:rPr>
              <w:t>5</w:t>
            </w:r>
          </w:p>
        </w:tc>
        <w:tc>
          <w:tcPr>
            <w:tcW w:w="1349" w:type="dxa"/>
            <w:vAlign w:val="top"/>
          </w:tcPr>
          <w:p w14:paraId="078D06A8">
            <w:pPr>
              <w:pStyle w:val="9"/>
              <w:spacing w:before="226" w:line="222" w:lineRule="auto"/>
              <w:ind w:left="220"/>
            </w:pPr>
            <w:r>
              <w:rPr>
                <w:spacing w:val="-3"/>
              </w:rPr>
              <w:t>17.3.3(1)</w:t>
            </w:r>
          </w:p>
        </w:tc>
        <w:tc>
          <w:tcPr>
            <w:tcW w:w="7171" w:type="dxa"/>
            <w:vAlign w:val="top"/>
          </w:tcPr>
          <w:p w14:paraId="09608650">
            <w:pPr>
              <w:pStyle w:val="9"/>
              <w:spacing w:before="210" w:line="232" w:lineRule="auto"/>
              <w:ind w:left="110"/>
              <w:rPr>
                <w:sz w:val="10"/>
                <w:szCs w:val="10"/>
              </w:rPr>
            </w:pPr>
            <w:r>
              <w:rPr>
                <w:spacing w:val="-1"/>
              </w:rPr>
              <w:t>进度付款证书最低限额：</w:t>
            </w:r>
            <w:r>
              <w:rPr>
                <w:spacing w:val="-1"/>
                <w:u w:val="single" w:color="auto"/>
              </w:rPr>
              <w:t xml:space="preserve"> </w:t>
            </w:r>
            <w:r>
              <w:rPr>
                <w:rFonts w:hint="eastAsia"/>
                <w:spacing w:val="-1"/>
                <w:u w:val="single" w:color="auto"/>
                <w:lang w:val="en-US" w:eastAsia="zh-CN"/>
              </w:rPr>
              <w:t>100</w:t>
            </w:r>
            <w:r>
              <w:rPr>
                <w:spacing w:val="-91"/>
              </w:rPr>
              <w:t xml:space="preserve"> </w:t>
            </w:r>
            <w:r>
              <w:rPr>
                <w:spacing w:val="-1"/>
              </w:rPr>
              <w:t>万元</w:t>
            </w:r>
          </w:p>
        </w:tc>
      </w:tr>
      <w:tr w14:paraId="586B6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907" w:type="dxa"/>
            <w:vAlign w:val="top"/>
          </w:tcPr>
          <w:p w14:paraId="67670C17">
            <w:pPr>
              <w:pStyle w:val="9"/>
              <w:spacing w:before="225"/>
              <w:ind w:left="356"/>
              <w:rPr>
                <w:rFonts w:hint="eastAsia" w:eastAsia="宋体"/>
                <w:lang w:val="en-US" w:eastAsia="zh-CN"/>
              </w:rPr>
            </w:pPr>
            <w:r>
              <w:rPr>
                <w:spacing w:val="-5"/>
              </w:rPr>
              <w:t>2</w:t>
            </w:r>
            <w:r>
              <w:rPr>
                <w:rFonts w:hint="eastAsia"/>
                <w:spacing w:val="-5"/>
                <w:lang w:val="en-US" w:eastAsia="zh-CN"/>
              </w:rPr>
              <w:t>6</w:t>
            </w:r>
          </w:p>
        </w:tc>
        <w:tc>
          <w:tcPr>
            <w:tcW w:w="1349" w:type="dxa"/>
            <w:vAlign w:val="top"/>
          </w:tcPr>
          <w:p w14:paraId="7D7E7EB9">
            <w:pPr>
              <w:pStyle w:val="9"/>
              <w:spacing w:before="226" w:line="222" w:lineRule="auto"/>
              <w:ind w:left="220"/>
            </w:pPr>
            <w:r>
              <w:rPr>
                <w:spacing w:val="-3"/>
              </w:rPr>
              <w:t>17.3.3(2)</w:t>
            </w:r>
          </w:p>
        </w:tc>
        <w:tc>
          <w:tcPr>
            <w:tcW w:w="7171" w:type="dxa"/>
            <w:vAlign w:val="top"/>
          </w:tcPr>
          <w:p w14:paraId="021C4FFD">
            <w:pPr>
              <w:pStyle w:val="9"/>
              <w:spacing w:before="212" w:line="232" w:lineRule="auto"/>
              <w:ind w:left="110"/>
              <w:rPr>
                <w:sz w:val="10"/>
                <w:szCs w:val="10"/>
              </w:rPr>
            </w:pPr>
            <w:r>
              <w:rPr>
                <w:spacing w:val="-1"/>
              </w:rPr>
              <w:t>逾期付款违约金的利率：</w:t>
            </w:r>
            <w:r>
              <w:rPr>
                <w:rFonts w:hint="eastAsia"/>
                <w:spacing w:val="19"/>
                <w:sz w:val="20"/>
                <w:szCs w:val="20"/>
                <w:u w:val="single" w:color="010101"/>
              </w:rPr>
              <w:t>中国人民银行短期贷款利率加手续费</w:t>
            </w:r>
          </w:p>
        </w:tc>
      </w:tr>
    </w:tbl>
    <w:p w14:paraId="52908400">
      <w:pPr>
        <w:pStyle w:val="2"/>
        <w:spacing w:line="431" w:lineRule="auto"/>
      </w:pPr>
    </w:p>
    <w:p w14:paraId="791C61CF">
      <w:pPr>
        <w:spacing w:before="21" w:line="217" w:lineRule="auto"/>
        <w:ind w:left="118"/>
        <w:rPr>
          <w:rFonts w:ascii="宋体" w:hAnsi="宋体" w:eastAsia="宋体" w:cs="宋体"/>
          <w:sz w:val="18"/>
          <w:szCs w:val="18"/>
        </w:rPr>
      </w:pPr>
    </w:p>
    <w:p w14:paraId="45EA19D1">
      <w:pPr>
        <w:spacing w:line="217" w:lineRule="auto"/>
        <w:rPr>
          <w:rFonts w:ascii="宋体" w:hAnsi="宋体" w:eastAsia="宋体" w:cs="宋体"/>
          <w:sz w:val="18"/>
          <w:szCs w:val="18"/>
        </w:rPr>
        <w:sectPr>
          <w:headerReference r:id="rId44" w:type="default"/>
          <w:footerReference r:id="rId45" w:type="default"/>
          <w:pgSz w:w="11905" w:h="16840"/>
          <w:pgMar w:top="1182" w:right="1169" w:bottom="1171" w:left="1303" w:header="849" w:footer="937" w:gutter="0"/>
          <w:pgNumType w:fmt="decimal"/>
          <w:cols w:space="720" w:num="1"/>
        </w:sectPr>
      </w:pPr>
    </w:p>
    <w:p w14:paraId="4E8E4E31">
      <w:pPr>
        <w:spacing w:line="234" w:lineRule="exact"/>
      </w:pPr>
    </w:p>
    <w:tbl>
      <w:tblPr>
        <w:tblStyle w:val="8"/>
        <w:tblW w:w="9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6"/>
        <w:gridCol w:w="1349"/>
        <w:gridCol w:w="7171"/>
      </w:tblGrid>
      <w:tr w14:paraId="3617C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906" w:type="dxa"/>
            <w:vAlign w:val="top"/>
          </w:tcPr>
          <w:p w14:paraId="10C17943">
            <w:pPr>
              <w:pStyle w:val="9"/>
              <w:spacing w:before="226" w:line="221" w:lineRule="auto"/>
              <w:ind w:left="248"/>
            </w:pPr>
            <w:r>
              <w:rPr>
                <w:b/>
                <w:bCs/>
                <w:spacing w:val="-4"/>
              </w:rPr>
              <w:t>序号</w:t>
            </w:r>
          </w:p>
        </w:tc>
        <w:tc>
          <w:tcPr>
            <w:tcW w:w="1349" w:type="dxa"/>
            <w:vAlign w:val="top"/>
          </w:tcPr>
          <w:p w14:paraId="40464B8B">
            <w:pPr>
              <w:pStyle w:val="9"/>
              <w:spacing w:before="225" w:line="220" w:lineRule="auto"/>
              <w:ind w:left="366"/>
            </w:pPr>
            <w:r>
              <w:rPr>
                <w:b/>
                <w:bCs/>
                <w:spacing w:val="-6"/>
              </w:rPr>
              <w:t>条目号</w:t>
            </w:r>
          </w:p>
        </w:tc>
        <w:tc>
          <w:tcPr>
            <w:tcW w:w="7171" w:type="dxa"/>
            <w:vAlign w:val="top"/>
          </w:tcPr>
          <w:p w14:paraId="01531841">
            <w:pPr>
              <w:pStyle w:val="9"/>
              <w:spacing w:before="225" w:line="220" w:lineRule="auto"/>
              <w:ind w:left="3065"/>
            </w:pPr>
            <w:r>
              <w:rPr>
                <w:b/>
                <w:bCs/>
                <w:spacing w:val="-4"/>
              </w:rPr>
              <w:t>信息或数据</w:t>
            </w:r>
          </w:p>
        </w:tc>
      </w:tr>
      <w:tr w14:paraId="1F345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906" w:type="dxa"/>
            <w:vAlign w:val="top"/>
          </w:tcPr>
          <w:p w14:paraId="60E6A118">
            <w:pPr>
              <w:spacing w:line="265" w:lineRule="auto"/>
              <w:rPr>
                <w:rFonts w:ascii="Arial"/>
                <w:sz w:val="21"/>
              </w:rPr>
            </w:pPr>
          </w:p>
          <w:p w14:paraId="07CAA54F">
            <w:pPr>
              <w:spacing w:line="266" w:lineRule="auto"/>
              <w:rPr>
                <w:rFonts w:ascii="Arial"/>
                <w:sz w:val="21"/>
              </w:rPr>
            </w:pPr>
          </w:p>
          <w:p w14:paraId="0639E8FB">
            <w:pPr>
              <w:spacing w:line="266" w:lineRule="auto"/>
              <w:rPr>
                <w:rFonts w:ascii="Arial"/>
                <w:sz w:val="21"/>
              </w:rPr>
            </w:pPr>
          </w:p>
          <w:p w14:paraId="01DF58F1">
            <w:pPr>
              <w:spacing w:line="266" w:lineRule="auto"/>
              <w:rPr>
                <w:rFonts w:ascii="Arial"/>
                <w:sz w:val="21"/>
              </w:rPr>
            </w:pPr>
          </w:p>
          <w:p w14:paraId="137F2D91">
            <w:pPr>
              <w:pStyle w:val="9"/>
              <w:spacing w:before="68"/>
              <w:ind w:left="356"/>
              <w:rPr>
                <w:rFonts w:hint="eastAsia" w:eastAsia="宋体"/>
                <w:lang w:val="en-US" w:eastAsia="zh-CN"/>
              </w:rPr>
            </w:pPr>
            <w:r>
              <w:rPr>
                <w:spacing w:val="-5"/>
              </w:rPr>
              <w:t>2</w:t>
            </w:r>
            <w:r>
              <w:rPr>
                <w:rFonts w:hint="eastAsia"/>
                <w:spacing w:val="-5"/>
                <w:lang w:val="en-US" w:eastAsia="zh-CN"/>
              </w:rPr>
              <w:t>7</w:t>
            </w:r>
          </w:p>
        </w:tc>
        <w:tc>
          <w:tcPr>
            <w:tcW w:w="1349" w:type="dxa"/>
            <w:vAlign w:val="top"/>
          </w:tcPr>
          <w:p w14:paraId="0E405EEC">
            <w:pPr>
              <w:spacing w:line="265" w:lineRule="auto"/>
              <w:rPr>
                <w:rFonts w:ascii="Arial"/>
                <w:sz w:val="21"/>
              </w:rPr>
            </w:pPr>
          </w:p>
          <w:p w14:paraId="6DD55BA3">
            <w:pPr>
              <w:spacing w:line="266" w:lineRule="auto"/>
              <w:rPr>
                <w:rFonts w:ascii="Arial"/>
                <w:sz w:val="21"/>
              </w:rPr>
            </w:pPr>
          </w:p>
          <w:p w14:paraId="00C4178E">
            <w:pPr>
              <w:spacing w:line="266" w:lineRule="auto"/>
              <w:rPr>
                <w:rFonts w:ascii="Arial"/>
                <w:sz w:val="21"/>
              </w:rPr>
            </w:pPr>
          </w:p>
          <w:p w14:paraId="004992AE">
            <w:pPr>
              <w:spacing w:line="266" w:lineRule="auto"/>
              <w:rPr>
                <w:rFonts w:ascii="Arial"/>
                <w:sz w:val="21"/>
              </w:rPr>
            </w:pPr>
          </w:p>
          <w:p w14:paraId="650266DB">
            <w:pPr>
              <w:pStyle w:val="9"/>
              <w:spacing w:before="68" w:line="239" w:lineRule="auto"/>
              <w:ind w:left="379"/>
            </w:pPr>
            <w:r>
              <w:rPr>
                <w:spacing w:val="-4"/>
              </w:rPr>
              <w:t>17.4.1</w:t>
            </w:r>
          </w:p>
        </w:tc>
        <w:tc>
          <w:tcPr>
            <w:tcW w:w="7171" w:type="dxa"/>
            <w:vAlign w:val="top"/>
          </w:tcPr>
          <w:p w14:paraId="62E9A016">
            <w:pPr>
              <w:pStyle w:val="9"/>
              <w:spacing w:before="123" w:line="356" w:lineRule="auto"/>
              <w:ind w:left="112" w:right="106" w:firstLine="1"/>
              <w:jc w:val="both"/>
              <w:rPr>
                <w:rFonts w:hint="eastAsia" w:eastAsia="宋体"/>
                <w:sz w:val="10"/>
                <w:szCs w:val="10"/>
                <w:lang w:eastAsia="zh-CN"/>
              </w:rPr>
            </w:pPr>
            <w:r>
              <w:t>质量保证金限额：</w:t>
            </w:r>
            <w:r>
              <w:rPr>
                <w:u w:val="single" w:color="auto"/>
              </w:rPr>
              <w:t xml:space="preserve"> </w:t>
            </w:r>
            <w:r>
              <w:rPr>
                <w:rFonts w:hint="eastAsia"/>
                <w:u w:val="single" w:color="auto"/>
                <w:lang w:val="en-US" w:eastAsia="zh-CN"/>
              </w:rPr>
              <w:t>3</w:t>
            </w:r>
            <w:r>
              <w:rPr>
                <w:u w:val="single" w:color="auto"/>
              </w:rPr>
              <w:t xml:space="preserve"> </w:t>
            </w:r>
            <w:r>
              <w:rPr>
                <w:spacing w:val="-90"/>
              </w:rPr>
              <w:t xml:space="preserve"> </w:t>
            </w:r>
            <w:r>
              <w:t>%合同价格。若交工验收时承包人具备被招标项目所</w:t>
            </w:r>
            <w:r>
              <w:rPr>
                <w:spacing w:val="-3"/>
              </w:rPr>
              <w:t>在地省级交通主管部门评定的最高信用等级，发包人给予</w:t>
            </w:r>
            <w:r>
              <w:rPr>
                <w:spacing w:val="-101"/>
              </w:rPr>
              <w:t xml:space="preserve"> </w:t>
            </w:r>
            <w:r>
              <w:rPr>
                <w:u w:val="single" w:color="auto"/>
              </w:rPr>
              <w:t xml:space="preserve"> </w:t>
            </w:r>
            <w:r>
              <w:rPr>
                <w:rFonts w:hint="eastAsia"/>
                <w:u w:val="single" w:color="auto"/>
                <w:lang w:val="en-US" w:eastAsia="zh-CN"/>
              </w:rPr>
              <w:t>/</w:t>
            </w:r>
            <w:r>
              <w:rPr>
                <w:u w:val="single" w:color="auto"/>
              </w:rPr>
              <w:t xml:space="preserve"> </w:t>
            </w:r>
            <w:r>
              <w:rPr>
                <w:spacing w:val="-103"/>
              </w:rPr>
              <w:t xml:space="preserve"> </w:t>
            </w:r>
            <w:r>
              <w:rPr>
                <w:spacing w:val="-3"/>
              </w:rPr>
              <w:t>%工程价款结算</w:t>
            </w:r>
            <w:r>
              <w:rPr>
                <w:spacing w:val="-1"/>
              </w:rPr>
              <w:t>总额质量保证金的优惠。</w:t>
            </w:r>
          </w:p>
          <w:p w14:paraId="44F69743">
            <w:pPr>
              <w:pStyle w:val="9"/>
              <w:spacing w:before="1" w:line="219" w:lineRule="auto"/>
              <w:ind w:left="114"/>
            </w:pPr>
            <w:r>
              <w:rPr>
                <w:spacing w:val="-5"/>
              </w:rPr>
              <w:t>质量保证金是否计付利息：</w:t>
            </w:r>
          </w:p>
          <w:p w14:paraId="04B8DD0A">
            <w:pPr>
              <w:pStyle w:val="9"/>
              <w:spacing w:before="149" w:line="288" w:lineRule="auto"/>
              <w:ind w:left="134" w:right="1706"/>
            </w:pPr>
            <w:r>
              <w:rPr>
                <w:spacing w:val="-1"/>
              </w:rPr>
              <w:t>□是，利息的计算方式：</w:t>
            </w:r>
            <w:r>
              <w:rPr>
                <w:spacing w:val="-1"/>
                <w:u w:val="single" w:color="auto"/>
              </w:rPr>
              <w:t xml:space="preserve">                             </w:t>
            </w:r>
            <w:r>
              <w:rPr>
                <w:rFonts w:hint="eastAsia"/>
                <w:spacing w:val="-8"/>
                <w:lang w:eastAsia="zh-CN"/>
              </w:rPr>
              <w:t>☑</w:t>
            </w:r>
            <w:r>
              <w:rPr>
                <w:spacing w:val="-8"/>
              </w:rPr>
              <w:t>否</w:t>
            </w:r>
          </w:p>
        </w:tc>
      </w:tr>
      <w:tr w14:paraId="55806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6" w:type="dxa"/>
            <w:vAlign w:val="top"/>
          </w:tcPr>
          <w:p w14:paraId="36A6E512">
            <w:pPr>
              <w:pStyle w:val="9"/>
              <w:spacing w:before="222"/>
              <w:ind w:left="356"/>
            </w:pPr>
            <w:r>
              <w:rPr>
                <w:spacing w:val="-5"/>
              </w:rPr>
              <w:t>27</w:t>
            </w:r>
          </w:p>
        </w:tc>
        <w:tc>
          <w:tcPr>
            <w:tcW w:w="1349" w:type="dxa"/>
            <w:vAlign w:val="top"/>
          </w:tcPr>
          <w:p w14:paraId="36790197">
            <w:pPr>
              <w:pStyle w:val="9"/>
              <w:spacing w:before="222" w:line="232" w:lineRule="auto"/>
              <w:ind w:left="127"/>
            </w:pPr>
            <w:r>
              <w:rPr>
                <w:spacing w:val="-3"/>
              </w:rPr>
              <w:t>17.5.1</w:t>
            </w:r>
            <w:r>
              <w:rPr>
                <w:rFonts w:hint="eastAsia"/>
                <w:spacing w:val="-3"/>
                <w:lang w:eastAsia="zh-CN"/>
              </w:rPr>
              <w:t>(</w:t>
            </w:r>
            <w:r>
              <w:rPr>
                <w:spacing w:val="-3"/>
              </w:rPr>
              <w:t>1</w:t>
            </w:r>
            <w:r>
              <w:rPr>
                <w:rFonts w:hint="eastAsia"/>
                <w:spacing w:val="-3"/>
                <w:lang w:eastAsia="zh-CN"/>
              </w:rPr>
              <w:t>)</w:t>
            </w:r>
          </w:p>
        </w:tc>
        <w:tc>
          <w:tcPr>
            <w:tcW w:w="7171" w:type="dxa"/>
            <w:vAlign w:val="top"/>
          </w:tcPr>
          <w:p w14:paraId="6F41ED1D">
            <w:pPr>
              <w:pStyle w:val="9"/>
              <w:spacing w:before="222" w:line="219" w:lineRule="auto"/>
              <w:ind w:left="113"/>
            </w:pPr>
            <w:r>
              <w:t>承包人向监理人提交交工付款申请单</w:t>
            </w:r>
            <w:r>
              <w:rPr>
                <w:rFonts w:hint="eastAsia"/>
                <w:lang w:eastAsia="zh-CN"/>
              </w:rPr>
              <w:t>（</w:t>
            </w:r>
            <w:r>
              <w:t>包括相关证明材料</w:t>
            </w:r>
            <w:r>
              <w:rPr>
                <w:rFonts w:hint="eastAsia"/>
                <w:lang w:eastAsia="zh-CN"/>
              </w:rPr>
              <w:t>）</w:t>
            </w:r>
            <w:r>
              <w:rPr>
                <w:spacing w:val="-1"/>
              </w:rPr>
              <w:t>的份数：</w:t>
            </w:r>
            <w:r>
              <w:rPr>
                <w:spacing w:val="-1"/>
                <w:u w:val="single" w:color="auto"/>
              </w:rPr>
              <w:t xml:space="preserve"> </w:t>
            </w:r>
            <w:r>
              <w:rPr>
                <w:rFonts w:hint="eastAsia"/>
                <w:spacing w:val="-1"/>
                <w:u w:val="single" w:color="auto"/>
                <w:lang w:val="en-US" w:eastAsia="zh-CN"/>
              </w:rPr>
              <w:t>6</w:t>
            </w:r>
            <w:r>
              <w:rPr>
                <w:spacing w:val="-1"/>
                <w:u w:val="single" w:color="auto"/>
              </w:rPr>
              <w:t xml:space="preserve"> </w:t>
            </w:r>
            <w:r>
              <w:rPr>
                <w:spacing w:val="-97"/>
              </w:rPr>
              <w:t xml:space="preserve"> </w:t>
            </w:r>
            <w:r>
              <w:rPr>
                <w:spacing w:val="-1"/>
              </w:rPr>
              <w:t>份</w:t>
            </w:r>
          </w:p>
        </w:tc>
      </w:tr>
      <w:tr w14:paraId="6C7D5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6" w:type="dxa"/>
            <w:vAlign w:val="top"/>
          </w:tcPr>
          <w:p w14:paraId="48144CDF">
            <w:pPr>
              <w:pStyle w:val="9"/>
              <w:spacing w:before="222"/>
              <w:ind w:left="356"/>
            </w:pPr>
            <w:r>
              <w:rPr>
                <w:spacing w:val="-5"/>
              </w:rPr>
              <w:t>28</w:t>
            </w:r>
          </w:p>
        </w:tc>
        <w:tc>
          <w:tcPr>
            <w:tcW w:w="1349" w:type="dxa"/>
            <w:vAlign w:val="top"/>
          </w:tcPr>
          <w:p w14:paraId="241BF75A">
            <w:pPr>
              <w:pStyle w:val="9"/>
              <w:spacing w:before="222" w:line="232" w:lineRule="auto"/>
              <w:ind w:left="127"/>
            </w:pPr>
            <w:r>
              <w:rPr>
                <w:spacing w:val="-3"/>
              </w:rPr>
              <w:t>17.6.1</w:t>
            </w:r>
            <w:r>
              <w:rPr>
                <w:rFonts w:hint="eastAsia"/>
                <w:spacing w:val="-3"/>
                <w:lang w:eastAsia="zh-CN"/>
              </w:rPr>
              <w:t>(</w:t>
            </w:r>
            <w:r>
              <w:rPr>
                <w:spacing w:val="-3"/>
              </w:rPr>
              <w:t>1</w:t>
            </w:r>
            <w:r>
              <w:rPr>
                <w:rFonts w:hint="eastAsia"/>
                <w:spacing w:val="-3"/>
                <w:lang w:eastAsia="zh-CN"/>
              </w:rPr>
              <w:t>)</w:t>
            </w:r>
          </w:p>
        </w:tc>
        <w:tc>
          <w:tcPr>
            <w:tcW w:w="7171" w:type="dxa"/>
            <w:vAlign w:val="top"/>
          </w:tcPr>
          <w:p w14:paraId="3A68CBAD">
            <w:pPr>
              <w:pStyle w:val="9"/>
              <w:spacing w:before="222" w:line="219" w:lineRule="auto"/>
              <w:ind w:left="113"/>
            </w:pPr>
            <w:r>
              <w:t>承包人向监理人提交最终结清申请单</w:t>
            </w:r>
            <w:r>
              <w:rPr>
                <w:rFonts w:hint="eastAsia"/>
                <w:lang w:eastAsia="zh-CN"/>
              </w:rPr>
              <w:t>（</w:t>
            </w:r>
            <w:r>
              <w:t>包括相关证明材料</w:t>
            </w:r>
            <w:r>
              <w:rPr>
                <w:rFonts w:hint="eastAsia"/>
                <w:lang w:eastAsia="zh-CN"/>
              </w:rPr>
              <w:t>）</w:t>
            </w:r>
            <w:r>
              <w:rPr>
                <w:spacing w:val="-1"/>
              </w:rPr>
              <w:t>的份数：</w:t>
            </w:r>
            <w:r>
              <w:rPr>
                <w:spacing w:val="-1"/>
                <w:u w:val="single" w:color="auto"/>
              </w:rPr>
              <w:t xml:space="preserve"> </w:t>
            </w:r>
            <w:r>
              <w:rPr>
                <w:rFonts w:hint="eastAsia"/>
                <w:spacing w:val="-1"/>
                <w:u w:val="single" w:color="auto"/>
                <w:lang w:val="en-US" w:eastAsia="zh-CN"/>
              </w:rPr>
              <w:t>6</w:t>
            </w:r>
            <w:r>
              <w:rPr>
                <w:spacing w:val="-1"/>
                <w:u w:val="single" w:color="auto"/>
              </w:rPr>
              <w:t xml:space="preserve"> </w:t>
            </w:r>
            <w:r>
              <w:rPr>
                <w:spacing w:val="-97"/>
              </w:rPr>
              <w:t xml:space="preserve"> </w:t>
            </w:r>
            <w:r>
              <w:rPr>
                <w:spacing w:val="-1"/>
              </w:rPr>
              <w:t>份</w:t>
            </w:r>
          </w:p>
        </w:tc>
      </w:tr>
      <w:tr w14:paraId="54614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6" w:type="dxa"/>
            <w:vAlign w:val="top"/>
          </w:tcPr>
          <w:p w14:paraId="011DF2B5">
            <w:pPr>
              <w:pStyle w:val="9"/>
              <w:spacing w:before="223"/>
              <w:ind w:left="356"/>
            </w:pPr>
            <w:r>
              <w:rPr>
                <w:spacing w:val="-5"/>
              </w:rPr>
              <w:t>29</w:t>
            </w:r>
          </w:p>
        </w:tc>
        <w:tc>
          <w:tcPr>
            <w:tcW w:w="1349" w:type="dxa"/>
            <w:vAlign w:val="top"/>
          </w:tcPr>
          <w:p w14:paraId="29EBD493">
            <w:pPr>
              <w:pStyle w:val="9"/>
              <w:spacing w:before="223" w:line="232" w:lineRule="auto"/>
              <w:ind w:left="221"/>
            </w:pPr>
            <w:r>
              <w:rPr>
                <w:spacing w:val="-5"/>
              </w:rPr>
              <w:t>18.2</w:t>
            </w:r>
            <w:r>
              <w:rPr>
                <w:rFonts w:hint="eastAsia"/>
                <w:spacing w:val="-5"/>
                <w:lang w:eastAsia="zh-CN"/>
              </w:rPr>
              <w:t>(</w:t>
            </w:r>
            <w:r>
              <w:rPr>
                <w:spacing w:val="-5"/>
              </w:rPr>
              <w:t>2</w:t>
            </w:r>
            <w:r>
              <w:rPr>
                <w:rFonts w:hint="eastAsia"/>
                <w:spacing w:val="-5"/>
                <w:lang w:eastAsia="zh-CN"/>
              </w:rPr>
              <w:t>)</w:t>
            </w:r>
          </w:p>
        </w:tc>
        <w:tc>
          <w:tcPr>
            <w:tcW w:w="7171" w:type="dxa"/>
            <w:vAlign w:val="top"/>
          </w:tcPr>
          <w:p w14:paraId="0F5912E3">
            <w:pPr>
              <w:pStyle w:val="9"/>
              <w:spacing w:before="222" w:line="220" w:lineRule="auto"/>
              <w:ind w:left="114"/>
            </w:pPr>
            <w:r>
              <w:rPr>
                <w:spacing w:val="-1"/>
              </w:rPr>
              <w:t>竣工资料的份数：</w:t>
            </w:r>
            <w:r>
              <w:rPr>
                <w:spacing w:val="-1"/>
                <w:u w:val="single" w:color="auto"/>
              </w:rPr>
              <w:t xml:space="preserve"> </w:t>
            </w:r>
            <w:r>
              <w:rPr>
                <w:rFonts w:hint="eastAsia"/>
                <w:spacing w:val="15"/>
                <w:sz w:val="20"/>
                <w:szCs w:val="20"/>
                <w:u w:val="single" w:color="010101"/>
              </w:rPr>
              <w:t>纸质版 8 份，  电子版 1 份</w:t>
            </w:r>
            <w:r>
              <w:rPr>
                <w:spacing w:val="-1"/>
                <w:u w:val="single" w:color="auto"/>
              </w:rPr>
              <w:t xml:space="preserve"> </w:t>
            </w:r>
          </w:p>
        </w:tc>
      </w:tr>
      <w:tr w14:paraId="151B5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9" w:hRule="atLeast"/>
        </w:trPr>
        <w:tc>
          <w:tcPr>
            <w:tcW w:w="906" w:type="dxa"/>
            <w:vAlign w:val="top"/>
          </w:tcPr>
          <w:p w14:paraId="77D2C525">
            <w:pPr>
              <w:spacing w:line="317" w:lineRule="auto"/>
              <w:rPr>
                <w:rFonts w:ascii="Arial"/>
                <w:sz w:val="21"/>
              </w:rPr>
            </w:pPr>
          </w:p>
          <w:p w14:paraId="427EA964">
            <w:pPr>
              <w:spacing w:line="317" w:lineRule="auto"/>
              <w:rPr>
                <w:rFonts w:ascii="Arial"/>
                <w:sz w:val="21"/>
              </w:rPr>
            </w:pPr>
          </w:p>
          <w:p w14:paraId="303AB275">
            <w:pPr>
              <w:pStyle w:val="9"/>
              <w:spacing w:before="68"/>
              <w:ind w:left="357"/>
            </w:pPr>
            <w:r>
              <w:rPr>
                <w:spacing w:val="-6"/>
              </w:rPr>
              <w:t>30</w:t>
            </w:r>
          </w:p>
        </w:tc>
        <w:tc>
          <w:tcPr>
            <w:tcW w:w="1349" w:type="dxa"/>
            <w:vAlign w:val="top"/>
          </w:tcPr>
          <w:p w14:paraId="5318FED5">
            <w:pPr>
              <w:spacing w:line="317" w:lineRule="auto"/>
              <w:rPr>
                <w:rFonts w:ascii="Arial"/>
                <w:sz w:val="21"/>
              </w:rPr>
            </w:pPr>
          </w:p>
          <w:p w14:paraId="0F6B9343">
            <w:pPr>
              <w:spacing w:line="318" w:lineRule="auto"/>
              <w:rPr>
                <w:rFonts w:ascii="Arial"/>
                <w:sz w:val="21"/>
              </w:rPr>
            </w:pPr>
          </w:p>
          <w:p w14:paraId="7FF4B492">
            <w:pPr>
              <w:pStyle w:val="9"/>
              <w:spacing w:before="68" w:line="239" w:lineRule="auto"/>
              <w:ind w:left="379"/>
            </w:pPr>
            <w:r>
              <w:rPr>
                <w:spacing w:val="-4"/>
              </w:rPr>
              <w:t>18.5.1</w:t>
            </w:r>
          </w:p>
        </w:tc>
        <w:tc>
          <w:tcPr>
            <w:tcW w:w="7171" w:type="dxa"/>
            <w:vAlign w:val="top"/>
          </w:tcPr>
          <w:p w14:paraId="7F3D57DD">
            <w:pPr>
              <w:pStyle w:val="9"/>
              <w:spacing w:before="307" w:line="220" w:lineRule="auto"/>
              <w:ind w:left="115"/>
            </w:pPr>
            <w:r>
              <w:rPr>
                <w:spacing w:val="-1"/>
              </w:rPr>
              <w:t>单位工程或工程设备是否需投入施工期运行：</w:t>
            </w:r>
            <w:r>
              <w:rPr>
                <w:spacing w:val="-1"/>
                <w:u w:val="single" w:color="auto"/>
              </w:rPr>
              <w:t xml:space="preserve"> 是</w:t>
            </w:r>
            <w:r>
              <w:rPr>
                <w:spacing w:val="6"/>
                <w:u w:val="single" w:color="auto"/>
              </w:rPr>
              <w:t xml:space="preserve">  </w:t>
            </w:r>
          </w:p>
          <w:p w14:paraId="5D58346D">
            <w:pPr>
              <w:pStyle w:val="9"/>
              <w:spacing w:before="148" w:line="354" w:lineRule="auto"/>
              <w:ind w:left="115" w:right="111"/>
            </w:pPr>
            <w:r>
              <w:t>如单位工程或工程设备需要进行施工期运行，需要施工期运行的单位工程或</w:t>
            </w:r>
            <w:r>
              <w:rPr>
                <w:spacing w:val="-2"/>
              </w:rPr>
              <w:t>工程设备规定如下：</w:t>
            </w:r>
            <w:r>
              <w:rPr>
                <w:u w:val="single" w:color="auto"/>
              </w:rPr>
              <w:t xml:space="preserve"> </w:t>
            </w:r>
            <w:r>
              <w:rPr>
                <w:rFonts w:hint="eastAsia"/>
                <w:u w:val="single" w:color="auto"/>
                <w:lang w:val="en-US" w:eastAsia="zh-CN"/>
              </w:rPr>
              <w:t>/</w:t>
            </w:r>
            <w:r>
              <w:rPr>
                <w:u w:val="single" w:color="auto"/>
              </w:rPr>
              <w:t xml:space="preserve"> </w:t>
            </w:r>
          </w:p>
        </w:tc>
      </w:tr>
      <w:tr w14:paraId="3C207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906" w:type="dxa"/>
            <w:vAlign w:val="top"/>
          </w:tcPr>
          <w:p w14:paraId="4FE3A96A">
            <w:pPr>
              <w:spacing w:line="271" w:lineRule="auto"/>
              <w:rPr>
                <w:rFonts w:ascii="Arial"/>
                <w:sz w:val="21"/>
              </w:rPr>
            </w:pPr>
          </w:p>
          <w:p w14:paraId="65FAEA61">
            <w:pPr>
              <w:pStyle w:val="9"/>
              <w:spacing w:before="68"/>
              <w:ind w:left="357"/>
            </w:pPr>
            <w:r>
              <w:rPr>
                <w:spacing w:val="-6"/>
              </w:rPr>
              <w:t>31</w:t>
            </w:r>
          </w:p>
        </w:tc>
        <w:tc>
          <w:tcPr>
            <w:tcW w:w="1349" w:type="dxa"/>
            <w:vAlign w:val="top"/>
          </w:tcPr>
          <w:p w14:paraId="1D545F5A">
            <w:pPr>
              <w:spacing w:line="271" w:lineRule="auto"/>
              <w:rPr>
                <w:rFonts w:ascii="Arial"/>
                <w:sz w:val="21"/>
              </w:rPr>
            </w:pPr>
          </w:p>
          <w:p w14:paraId="2F1FEB77">
            <w:pPr>
              <w:pStyle w:val="9"/>
              <w:spacing w:before="68" w:line="239" w:lineRule="auto"/>
              <w:ind w:left="379"/>
            </w:pPr>
            <w:r>
              <w:rPr>
                <w:spacing w:val="-4"/>
              </w:rPr>
              <w:t>18.6.1</w:t>
            </w:r>
          </w:p>
        </w:tc>
        <w:tc>
          <w:tcPr>
            <w:tcW w:w="7171" w:type="dxa"/>
            <w:vAlign w:val="top"/>
          </w:tcPr>
          <w:p w14:paraId="2438972D">
            <w:pPr>
              <w:pStyle w:val="9"/>
              <w:spacing w:before="140" w:line="219" w:lineRule="auto"/>
              <w:ind w:left="114"/>
            </w:pPr>
            <w:r>
              <w:rPr>
                <w:spacing w:val="-1"/>
              </w:rPr>
              <w:t>本工程及工程设备是否进行试运行：</w:t>
            </w:r>
            <w:r>
              <w:rPr>
                <w:spacing w:val="-1"/>
                <w:u w:val="single" w:color="auto"/>
              </w:rPr>
              <w:t xml:space="preserve"> 否</w:t>
            </w:r>
            <w:r>
              <w:rPr>
                <w:spacing w:val="4"/>
                <w:u w:val="single" w:color="auto"/>
              </w:rPr>
              <w:t xml:space="preserve">  </w:t>
            </w:r>
          </w:p>
          <w:p w14:paraId="5C3C5FE9">
            <w:pPr>
              <w:pStyle w:val="9"/>
              <w:spacing w:before="150" w:line="219" w:lineRule="auto"/>
              <w:ind w:left="116"/>
            </w:pPr>
            <w:r>
              <w:rPr>
                <w:spacing w:val="-1"/>
              </w:rPr>
              <w:t>如本工程及工程设备需要进行试运行，试运行的具体规定如下：</w:t>
            </w:r>
            <w:r>
              <w:rPr>
                <w:spacing w:val="3"/>
                <w:u w:val="single" w:color="auto"/>
              </w:rPr>
              <w:t xml:space="preserve"> </w:t>
            </w:r>
            <w:r>
              <w:rPr>
                <w:rFonts w:hint="eastAsia"/>
                <w:spacing w:val="3"/>
                <w:u w:val="single" w:color="auto"/>
                <w:lang w:val="en-US" w:eastAsia="zh-CN"/>
              </w:rPr>
              <w:t>/</w:t>
            </w:r>
            <w:r>
              <w:rPr>
                <w:spacing w:val="3"/>
                <w:u w:val="single" w:color="auto"/>
              </w:rPr>
              <w:t xml:space="preserve"> </w:t>
            </w:r>
          </w:p>
        </w:tc>
      </w:tr>
      <w:tr w14:paraId="32F6D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7" w:hRule="atLeast"/>
        </w:trPr>
        <w:tc>
          <w:tcPr>
            <w:tcW w:w="906" w:type="dxa"/>
            <w:vAlign w:val="top"/>
          </w:tcPr>
          <w:p w14:paraId="7D2CA558">
            <w:pPr>
              <w:spacing w:line="245" w:lineRule="auto"/>
              <w:rPr>
                <w:rFonts w:ascii="Arial"/>
                <w:sz w:val="21"/>
              </w:rPr>
            </w:pPr>
          </w:p>
          <w:p w14:paraId="23486128">
            <w:pPr>
              <w:spacing w:line="245" w:lineRule="auto"/>
              <w:rPr>
                <w:rFonts w:ascii="Arial"/>
                <w:sz w:val="21"/>
              </w:rPr>
            </w:pPr>
          </w:p>
          <w:p w14:paraId="04A608F0">
            <w:pPr>
              <w:spacing w:line="246" w:lineRule="auto"/>
              <w:rPr>
                <w:rFonts w:ascii="Arial"/>
                <w:sz w:val="21"/>
              </w:rPr>
            </w:pPr>
          </w:p>
          <w:p w14:paraId="329A2477">
            <w:pPr>
              <w:spacing w:line="246" w:lineRule="auto"/>
              <w:rPr>
                <w:rFonts w:ascii="Arial"/>
                <w:sz w:val="21"/>
              </w:rPr>
            </w:pPr>
          </w:p>
          <w:p w14:paraId="6CF67DDD">
            <w:pPr>
              <w:spacing w:line="246" w:lineRule="auto"/>
              <w:rPr>
                <w:rFonts w:ascii="Arial"/>
                <w:sz w:val="21"/>
              </w:rPr>
            </w:pPr>
          </w:p>
          <w:p w14:paraId="0B217D3F">
            <w:pPr>
              <w:spacing w:line="246" w:lineRule="auto"/>
              <w:rPr>
                <w:rFonts w:ascii="Arial"/>
                <w:sz w:val="21"/>
              </w:rPr>
            </w:pPr>
          </w:p>
          <w:p w14:paraId="09493CF6">
            <w:pPr>
              <w:spacing w:line="246" w:lineRule="auto"/>
              <w:rPr>
                <w:rFonts w:ascii="Arial"/>
                <w:sz w:val="21"/>
              </w:rPr>
            </w:pPr>
          </w:p>
          <w:p w14:paraId="5DA1311E">
            <w:pPr>
              <w:spacing w:line="246" w:lineRule="auto"/>
              <w:rPr>
                <w:rFonts w:ascii="Arial"/>
                <w:sz w:val="21"/>
              </w:rPr>
            </w:pPr>
          </w:p>
          <w:p w14:paraId="0A340EA4">
            <w:pPr>
              <w:spacing w:line="246" w:lineRule="auto"/>
              <w:rPr>
                <w:rFonts w:ascii="Arial"/>
                <w:sz w:val="21"/>
              </w:rPr>
            </w:pPr>
          </w:p>
          <w:p w14:paraId="5844EF59">
            <w:pPr>
              <w:spacing w:line="246" w:lineRule="auto"/>
              <w:rPr>
                <w:rFonts w:ascii="Arial"/>
                <w:sz w:val="21"/>
              </w:rPr>
            </w:pPr>
          </w:p>
          <w:p w14:paraId="5BDA8273">
            <w:pPr>
              <w:pStyle w:val="9"/>
              <w:spacing w:before="68"/>
              <w:ind w:left="357"/>
            </w:pPr>
            <w:r>
              <w:rPr>
                <w:spacing w:val="-6"/>
              </w:rPr>
              <w:t>32</w:t>
            </w:r>
          </w:p>
        </w:tc>
        <w:tc>
          <w:tcPr>
            <w:tcW w:w="1349" w:type="dxa"/>
            <w:vAlign w:val="top"/>
          </w:tcPr>
          <w:p w14:paraId="46661E6A">
            <w:pPr>
              <w:spacing w:line="245" w:lineRule="auto"/>
              <w:rPr>
                <w:rFonts w:ascii="Arial"/>
                <w:sz w:val="21"/>
              </w:rPr>
            </w:pPr>
          </w:p>
          <w:p w14:paraId="7D80CE7F">
            <w:pPr>
              <w:spacing w:line="245" w:lineRule="auto"/>
              <w:rPr>
                <w:rFonts w:ascii="Arial"/>
                <w:sz w:val="21"/>
              </w:rPr>
            </w:pPr>
          </w:p>
          <w:p w14:paraId="620C0637">
            <w:pPr>
              <w:spacing w:line="246" w:lineRule="auto"/>
              <w:rPr>
                <w:rFonts w:ascii="Arial"/>
                <w:sz w:val="21"/>
              </w:rPr>
            </w:pPr>
          </w:p>
          <w:p w14:paraId="0CEBE9C4">
            <w:pPr>
              <w:spacing w:line="246" w:lineRule="auto"/>
              <w:rPr>
                <w:rFonts w:ascii="Arial"/>
                <w:sz w:val="21"/>
              </w:rPr>
            </w:pPr>
          </w:p>
          <w:p w14:paraId="0962DB59">
            <w:pPr>
              <w:spacing w:line="246" w:lineRule="auto"/>
              <w:rPr>
                <w:rFonts w:ascii="Arial"/>
                <w:sz w:val="21"/>
              </w:rPr>
            </w:pPr>
          </w:p>
          <w:p w14:paraId="66EAC09E">
            <w:pPr>
              <w:spacing w:line="246" w:lineRule="auto"/>
              <w:rPr>
                <w:rFonts w:ascii="Arial"/>
                <w:sz w:val="21"/>
              </w:rPr>
            </w:pPr>
          </w:p>
          <w:p w14:paraId="50684477">
            <w:pPr>
              <w:spacing w:line="246" w:lineRule="auto"/>
              <w:rPr>
                <w:rFonts w:ascii="Arial"/>
                <w:sz w:val="21"/>
              </w:rPr>
            </w:pPr>
          </w:p>
          <w:p w14:paraId="1C4B5C97">
            <w:pPr>
              <w:spacing w:line="246" w:lineRule="auto"/>
              <w:rPr>
                <w:rFonts w:ascii="Arial"/>
                <w:sz w:val="21"/>
              </w:rPr>
            </w:pPr>
          </w:p>
          <w:p w14:paraId="601AB2FC">
            <w:pPr>
              <w:spacing w:line="246" w:lineRule="auto"/>
              <w:rPr>
                <w:rFonts w:ascii="Arial"/>
                <w:sz w:val="21"/>
              </w:rPr>
            </w:pPr>
          </w:p>
          <w:p w14:paraId="3649B421">
            <w:pPr>
              <w:spacing w:line="246" w:lineRule="auto"/>
              <w:rPr>
                <w:rFonts w:ascii="Arial"/>
                <w:sz w:val="21"/>
              </w:rPr>
            </w:pPr>
          </w:p>
          <w:p w14:paraId="2066FF1F">
            <w:pPr>
              <w:pStyle w:val="9"/>
              <w:spacing w:before="68" w:line="232" w:lineRule="auto"/>
              <w:ind w:left="221"/>
            </w:pPr>
            <w:r>
              <w:rPr>
                <w:spacing w:val="-6"/>
              </w:rPr>
              <w:t>19.7</w:t>
            </w:r>
            <w:r>
              <w:rPr>
                <w:rFonts w:hint="eastAsia"/>
                <w:spacing w:val="-6"/>
                <w:lang w:eastAsia="zh-CN"/>
              </w:rPr>
              <w:t>(</w:t>
            </w:r>
            <w:r>
              <w:rPr>
                <w:spacing w:val="-6"/>
              </w:rPr>
              <w:t>1</w:t>
            </w:r>
            <w:r>
              <w:rPr>
                <w:rFonts w:hint="eastAsia"/>
                <w:spacing w:val="-6"/>
                <w:lang w:eastAsia="zh-CN"/>
              </w:rPr>
              <w:t>)</w:t>
            </w:r>
          </w:p>
        </w:tc>
        <w:tc>
          <w:tcPr>
            <w:tcW w:w="7171" w:type="dxa"/>
            <w:vAlign w:val="top"/>
          </w:tcPr>
          <w:p w14:paraId="6BE1F8F5">
            <w:pPr>
              <w:pStyle w:val="9"/>
              <w:spacing w:before="128" w:line="232" w:lineRule="auto"/>
              <w:ind w:left="114"/>
            </w:pPr>
            <w:r>
              <w:rPr>
                <w:spacing w:val="-2"/>
              </w:rPr>
              <w:t>保修期</w:t>
            </w:r>
            <w:r>
              <w:rPr>
                <w:spacing w:val="-20"/>
                <w:position w:val="9"/>
                <w:sz w:val="10"/>
                <w:szCs w:val="10"/>
              </w:rPr>
              <w:t xml:space="preserve"> </w:t>
            </w:r>
            <w:r>
              <w:rPr>
                <w:spacing w:val="-2"/>
              </w:rPr>
              <w:t>:</w:t>
            </w:r>
          </w:p>
          <w:p w14:paraId="30C9092D">
            <w:pPr>
              <w:pStyle w:val="9"/>
              <w:spacing w:before="149" w:line="219" w:lineRule="auto"/>
              <w:ind w:left="147"/>
            </w:pPr>
            <w:r>
              <w:rPr>
                <w:spacing w:val="-3"/>
              </w:rPr>
              <w:t>自本项目实际交工日期之日起计算</w:t>
            </w:r>
            <w:r>
              <w:rPr>
                <w:spacing w:val="-3"/>
                <w:u w:val="single" w:color="auto"/>
              </w:rPr>
              <w:t xml:space="preserve"> </w:t>
            </w:r>
            <w:r>
              <w:rPr>
                <w:rFonts w:hint="eastAsia"/>
                <w:spacing w:val="-3"/>
                <w:u w:val="single" w:color="auto"/>
                <w:lang w:val="en-US" w:eastAsia="zh-CN"/>
              </w:rPr>
              <w:t>5</w:t>
            </w:r>
            <w:r>
              <w:rPr>
                <w:spacing w:val="-3"/>
                <w:u w:val="single" w:color="auto"/>
              </w:rPr>
              <w:t xml:space="preserve"> </w:t>
            </w:r>
            <w:r>
              <w:rPr>
                <w:spacing w:val="-96"/>
              </w:rPr>
              <w:t xml:space="preserve"> </w:t>
            </w:r>
            <w:r>
              <w:rPr>
                <w:spacing w:val="-3"/>
              </w:rPr>
              <w:t>年（绿化工程、房建工程除外</w:t>
            </w:r>
            <w:r>
              <w:rPr>
                <w:spacing w:val="-1"/>
              </w:rPr>
              <w:t>）；</w:t>
            </w:r>
          </w:p>
          <w:p w14:paraId="7C542E00">
            <w:pPr>
              <w:pStyle w:val="9"/>
              <w:spacing w:before="152" w:line="351" w:lineRule="auto"/>
              <w:ind w:left="113" w:right="109" w:firstLine="1"/>
            </w:pPr>
            <w:r>
              <w:t>绿化工程：自本项目实际交工日期之日起计算</w:t>
            </w:r>
            <w:r>
              <w:rPr>
                <w:spacing w:val="-102"/>
              </w:rPr>
              <w:t xml:space="preserve"> </w:t>
            </w:r>
            <w:r>
              <w:rPr>
                <w:u w:val="single" w:color="auto"/>
              </w:rPr>
              <w:t xml:space="preserve"> </w:t>
            </w:r>
            <w:r>
              <w:rPr>
                <w:rFonts w:hint="eastAsia"/>
                <w:u w:val="single" w:color="auto"/>
                <w:lang w:val="en-US" w:eastAsia="zh-CN"/>
              </w:rPr>
              <w:t>6</w:t>
            </w:r>
            <w:r>
              <w:rPr>
                <w:u w:val="single" w:color="auto"/>
              </w:rPr>
              <w:t xml:space="preserve"> </w:t>
            </w:r>
            <w:r>
              <w:rPr>
                <w:spacing w:val="-95"/>
              </w:rPr>
              <w:t xml:space="preserve"> </w:t>
            </w:r>
            <w:r>
              <w:t>个月后，移交发包</w:t>
            </w:r>
            <w:r>
              <w:rPr>
                <w:spacing w:val="-1"/>
              </w:rPr>
              <w:t>人或发</w:t>
            </w:r>
            <w:r>
              <w:rPr>
                <w:spacing w:val="-3"/>
              </w:rPr>
              <w:t>包人委托的养护单位进行后续的管理养护工作；</w:t>
            </w:r>
          </w:p>
          <w:p w14:paraId="293534BF">
            <w:pPr>
              <w:pStyle w:val="9"/>
              <w:spacing w:line="219" w:lineRule="auto"/>
              <w:ind w:left="114"/>
            </w:pPr>
            <w:r>
              <w:rPr>
                <w:spacing w:val="-2"/>
              </w:rPr>
              <w:t>房建工程：自该房建工程竣工验收合格之日起计</w:t>
            </w:r>
            <w:r>
              <w:rPr>
                <w:spacing w:val="-3"/>
              </w:rPr>
              <w:t>算，其中：</w:t>
            </w:r>
          </w:p>
          <w:p w14:paraId="7B28128F">
            <w:pPr>
              <w:pStyle w:val="9"/>
              <w:spacing w:before="151" w:line="351" w:lineRule="auto"/>
              <w:ind w:left="128" w:right="115" w:hanging="9"/>
            </w:pPr>
            <w:r>
              <w:rPr>
                <w:spacing w:val="-3"/>
              </w:rPr>
              <w:t>（1）地基基础工程和主体结构工程，为设计文件规定的该工程的合理</w:t>
            </w:r>
            <w:r>
              <w:rPr>
                <w:spacing w:val="-4"/>
              </w:rPr>
              <w:t>使用年</w:t>
            </w:r>
            <w:r>
              <w:rPr>
                <w:spacing w:val="-19"/>
              </w:rPr>
              <w:t>限；</w:t>
            </w:r>
          </w:p>
          <w:p w14:paraId="207EFB7E">
            <w:pPr>
              <w:pStyle w:val="9"/>
              <w:spacing w:before="1" w:line="219" w:lineRule="auto"/>
              <w:ind w:left="119"/>
            </w:pPr>
            <w:r>
              <w:rPr>
                <w:spacing w:val="-13"/>
              </w:rPr>
              <w:t>（2）屋面防水工程、有防水要求的卫生间、房间和外墙面的防渗漏，为</w:t>
            </w:r>
            <w:r>
              <w:rPr>
                <w:spacing w:val="-104"/>
              </w:rPr>
              <w:t xml:space="preserve"> </w:t>
            </w:r>
            <w:r>
              <w:rPr>
                <w:spacing w:val="35"/>
                <w:u w:val="single" w:color="auto"/>
              </w:rPr>
              <w:t xml:space="preserve"> </w:t>
            </w:r>
            <w:r>
              <w:rPr>
                <w:rFonts w:hint="eastAsia"/>
                <w:spacing w:val="35"/>
                <w:u w:val="single" w:color="auto"/>
                <w:lang w:val="en-US" w:eastAsia="zh-CN"/>
              </w:rPr>
              <w:t>/</w:t>
            </w:r>
            <w:r>
              <w:rPr>
                <w:spacing w:val="35"/>
                <w:u w:val="single" w:color="auto"/>
              </w:rPr>
              <w:t xml:space="preserve"> </w:t>
            </w:r>
            <w:r>
              <w:rPr>
                <w:spacing w:val="-96"/>
              </w:rPr>
              <w:t xml:space="preserve"> </w:t>
            </w:r>
            <w:r>
              <w:rPr>
                <w:spacing w:val="-13"/>
              </w:rPr>
              <w:t>年；</w:t>
            </w:r>
          </w:p>
          <w:p w14:paraId="775A5118">
            <w:pPr>
              <w:pStyle w:val="9"/>
              <w:spacing w:before="150" w:line="220" w:lineRule="auto"/>
              <w:ind w:left="119"/>
            </w:pPr>
            <w:r>
              <w:rPr>
                <w:spacing w:val="-6"/>
              </w:rPr>
              <w:t>（3）装修工程为</w:t>
            </w:r>
            <w:r>
              <w:rPr>
                <w:spacing w:val="-90"/>
              </w:rPr>
              <w:t xml:space="preserve"> </w:t>
            </w:r>
            <w:r>
              <w:rPr>
                <w:u w:val="single" w:color="auto"/>
              </w:rPr>
              <w:t xml:space="preserve"> </w:t>
            </w:r>
            <w:r>
              <w:rPr>
                <w:rFonts w:hint="eastAsia"/>
                <w:u w:val="single" w:color="auto"/>
                <w:lang w:val="en-US" w:eastAsia="zh-CN"/>
              </w:rPr>
              <w:t>/</w:t>
            </w:r>
            <w:r>
              <w:rPr>
                <w:u w:val="single" w:color="auto"/>
              </w:rPr>
              <w:t xml:space="preserve"> </w:t>
            </w:r>
            <w:r>
              <w:rPr>
                <w:spacing w:val="-96"/>
              </w:rPr>
              <w:t xml:space="preserve"> </w:t>
            </w:r>
            <w:r>
              <w:rPr>
                <w:spacing w:val="-6"/>
              </w:rPr>
              <w:t>年；</w:t>
            </w:r>
          </w:p>
          <w:p w14:paraId="5F1C9AC3">
            <w:pPr>
              <w:pStyle w:val="9"/>
              <w:spacing w:before="150" w:line="220" w:lineRule="auto"/>
              <w:ind w:left="119"/>
            </w:pPr>
            <w:r>
              <w:rPr>
                <w:spacing w:val="-3"/>
              </w:rPr>
              <w:t>（4）电气管线、给排水管道、设备安装工程为</w:t>
            </w:r>
            <w:r>
              <w:rPr>
                <w:rFonts w:hint="eastAsia"/>
                <w:spacing w:val="-3"/>
                <w:lang w:val="en-US" w:eastAsia="zh-CN"/>
              </w:rPr>
              <w:t xml:space="preserve"> </w:t>
            </w:r>
            <w:r>
              <w:rPr>
                <w:rFonts w:hint="eastAsia"/>
                <w:u w:val="single" w:color="auto"/>
                <w:lang w:val="en-US" w:eastAsia="zh-CN"/>
              </w:rPr>
              <w:t xml:space="preserve">/ </w:t>
            </w:r>
            <w:r>
              <w:rPr>
                <w:spacing w:val="-3"/>
              </w:rPr>
              <w:t>年；</w:t>
            </w:r>
          </w:p>
          <w:p w14:paraId="29C239DE">
            <w:pPr>
              <w:pStyle w:val="9"/>
              <w:spacing w:before="149" w:line="219" w:lineRule="auto"/>
              <w:ind w:left="119"/>
            </w:pPr>
            <w:r>
              <w:rPr>
                <w:spacing w:val="-4"/>
              </w:rPr>
              <w:t>（5）供热与供冷系统，为</w:t>
            </w:r>
            <w:r>
              <w:rPr>
                <w:spacing w:val="-88"/>
              </w:rPr>
              <w:t xml:space="preserve"> </w:t>
            </w:r>
            <w:r>
              <w:rPr>
                <w:u w:val="single" w:color="auto"/>
              </w:rPr>
              <w:t xml:space="preserve"> </w:t>
            </w:r>
            <w:r>
              <w:rPr>
                <w:rFonts w:hint="eastAsia"/>
                <w:u w:val="single" w:color="auto"/>
                <w:lang w:val="en-US" w:eastAsia="zh-CN"/>
              </w:rPr>
              <w:t>/</w:t>
            </w:r>
            <w:r>
              <w:rPr>
                <w:spacing w:val="-97"/>
              </w:rPr>
              <w:t xml:space="preserve"> </w:t>
            </w:r>
            <w:r>
              <w:rPr>
                <w:spacing w:val="-4"/>
              </w:rPr>
              <w:t>个采暖期、供冷期；</w:t>
            </w:r>
          </w:p>
          <w:p w14:paraId="4DE9344D">
            <w:pPr>
              <w:pStyle w:val="9"/>
              <w:spacing w:before="152" w:line="219" w:lineRule="auto"/>
              <w:ind w:left="119"/>
            </w:pPr>
            <w:r>
              <w:rPr>
                <w:spacing w:val="-2"/>
              </w:rPr>
              <w:t>（6）附属区内的给排水设施、道路、电力等配套工程为</w:t>
            </w:r>
            <w:r>
              <w:rPr>
                <w:spacing w:val="-94"/>
              </w:rPr>
              <w:t xml:space="preserve"> </w:t>
            </w:r>
            <w:r>
              <w:rPr>
                <w:u w:val="single" w:color="auto"/>
              </w:rPr>
              <w:t xml:space="preserve"> </w:t>
            </w:r>
            <w:r>
              <w:rPr>
                <w:rFonts w:hint="eastAsia"/>
                <w:u w:val="single" w:color="auto"/>
                <w:lang w:val="en-US" w:eastAsia="zh-CN"/>
              </w:rPr>
              <w:t>/</w:t>
            </w:r>
            <w:r>
              <w:rPr>
                <w:u w:val="single" w:color="auto"/>
              </w:rPr>
              <w:t xml:space="preserve"> </w:t>
            </w:r>
            <w:r>
              <w:rPr>
                <w:spacing w:val="-96"/>
              </w:rPr>
              <w:t xml:space="preserve"> </w:t>
            </w:r>
            <w:r>
              <w:rPr>
                <w:spacing w:val="-3"/>
              </w:rPr>
              <w:t>年；</w:t>
            </w:r>
          </w:p>
          <w:p w14:paraId="0251CAD9">
            <w:pPr>
              <w:pStyle w:val="9"/>
              <w:spacing w:before="151" w:line="220" w:lineRule="auto"/>
              <w:ind w:left="119"/>
            </w:pPr>
            <w:r>
              <w:rPr>
                <w:spacing w:val="-2"/>
              </w:rPr>
              <w:t>（7）其他约定如下：</w:t>
            </w:r>
            <w:r>
              <w:rPr>
                <w:u w:val="single" w:color="auto"/>
              </w:rPr>
              <w:t xml:space="preserve"> </w:t>
            </w:r>
            <w:r>
              <w:rPr>
                <w:rFonts w:hint="eastAsia"/>
                <w:u w:val="single" w:color="auto"/>
                <w:lang w:val="en-US" w:eastAsia="zh-CN"/>
              </w:rPr>
              <w:t>/</w:t>
            </w:r>
            <w:r>
              <w:rPr>
                <w:u w:val="single" w:color="auto"/>
              </w:rPr>
              <w:t xml:space="preserve"> </w:t>
            </w:r>
          </w:p>
        </w:tc>
      </w:tr>
    </w:tbl>
    <w:p w14:paraId="59C54327">
      <w:pPr>
        <w:pStyle w:val="2"/>
        <w:spacing w:line="254" w:lineRule="auto"/>
      </w:pPr>
    </w:p>
    <w:p w14:paraId="118FBC3D">
      <w:pPr>
        <w:pStyle w:val="2"/>
        <w:spacing w:line="254" w:lineRule="auto"/>
      </w:pPr>
    </w:p>
    <w:p w14:paraId="4FD58DC6">
      <w:pPr>
        <w:spacing w:line="242" w:lineRule="auto"/>
        <w:rPr>
          <w:rFonts w:ascii="宋体" w:hAnsi="宋体" w:eastAsia="宋体" w:cs="宋体"/>
          <w:sz w:val="18"/>
          <w:szCs w:val="18"/>
        </w:rPr>
        <w:sectPr>
          <w:headerReference r:id="rId46" w:type="default"/>
          <w:footerReference r:id="rId47" w:type="default"/>
          <w:pgSz w:w="11905" w:h="16840"/>
          <w:pgMar w:top="1182" w:right="1169" w:bottom="1171" w:left="1303" w:header="849" w:footer="937" w:gutter="0"/>
          <w:pgNumType w:fmt="decimal"/>
          <w:cols w:space="720" w:num="1"/>
        </w:sectPr>
      </w:pPr>
    </w:p>
    <w:p w14:paraId="50B4221F">
      <w:pPr>
        <w:spacing w:line="234" w:lineRule="exact"/>
      </w:pPr>
    </w:p>
    <w:tbl>
      <w:tblPr>
        <w:tblStyle w:val="8"/>
        <w:tblW w:w="9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7"/>
        <w:gridCol w:w="1349"/>
        <w:gridCol w:w="7171"/>
      </w:tblGrid>
      <w:tr w14:paraId="6483B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907" w:type="dxa"/>
            <w:vAlign w:val="top"/>
          </w:tcPr>
          <w:p w14:paraId="6F7FEC48">
            <w:pPr>
              <w:pStyle w:val="9"/>
              <w:spacing w:before="226" w:line="221" w:lineRule="auto"/>
              <w:ind w:left="248"/>
            </w:pPr>
            <w:r>
              <w:rPr>
                <w:b/>
                <w:bCs/>
                <w:spacing w:val="-4"/>
              </w:rPr>
              <w:t>序号</w:t>
            </w:r>
          </w:p>
        </w:tc>
        <w:tc>
          <w:tcPr>
            <w:tcW w:w="1349" w:type="dxa"/>
            <w:vAlign w:val="top"/>
          </w:tcPr>
          <w:p w14:paraId="7489AB14">
            <w:pPr>
              <w:pStyle w:val="9"/>
              <w:spacing w:before="225" w:line="220" w:lineRule="auto"/>
              <w:ind w:left="365"/>
            </w:pPr>
            <w:r>
              <w:rPr>
                <w:b/>
                <w:bCs/>
                <w:spacing w:val="-6"/>
              </w:rPr>
              <w:t>条目号</w:t>
            </w:r>
          </w:p>
        </w:tc>
        <w:tc>
          <w:tcPr>
            <w:tcW w:w="7171" w:type="dxa"/>
            <w:vAlign w:val="top"/>
          </w:tcPr>
          <w:p w14:paraId="430458AF">
            <w:pPr>
              <w:pStyle w:val="9"/>
              <w:spacing w:before="225" w:line="220" w:lineRule="auto"/>
              <w:ind w:left="3064"/>
            </w:pPr>
            <w:r>
              <w:rPr>
                <w:b/>
                <w:bCs/>
                <w:spacing w:val="-4"/>
              </w:rPr>
              <w:t>信息或数据</w:t>
            </w:r>
          </w:p>
        </w:tc>
      </w:tr>
      <w:tr w14:paraId="669D0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3A62BFB6">
            <w:pPr>
              <w:pStyle w:val="9"/>
              <w:spacing w:before="222"/>
              <w:ind w:left="357"/>
            </w:pPr>
            <w:r>
              <w:rPr>
                <w:spacing w:val="-6"/>
              </w:rPr>
              <w:t>33</w:t>
            </w:r>
          </w:p>
        </w:tc>
        <w:tc>
          <w:tcPr>
            <w:tcW w:w="1349" w:type="dxa"/>
            <w:vAlign w:val="top"/>
          </w:tcPr>
          <w:p w14:paraId="470B6123">
            <w:pPr>
              <w:pStyle w:val="9"/>
              <w:spacing w:before="222" w:line="239" w:lineRule="auto"/>
              <w:ind w:left="470"/>
            </w:pPr>
            <w:r>
              <w:rPr>
                <w:spacing w:val="-3"/>
              </w:rPr>
              <w:t>20.1</w:t>
            </w:r>
          </w:p>
        </w:tc>
        <w:tc>
          <w:tcPr>
            <w:tcW w:w="7171" w:type="dxa"/>
            <w:vAlign w:val="top"/>
          </w:tcPr>
          <w:p w14:paraId="4D97EB82">
            <w:pPr>
              <w:pStyle w:val="9"/>
              <w:spacing w:before="208" w:line="232" w:lineRule="auto"/>
              <w:ind w:left="114"/>
            </w:pPr>
            <w:r>
              <w:rPr>
                <w:spacing w:val="-1"/>
              </w:rPr>
              <w:t>建筑工程一切险及第三者责任险的保险费率：</w:t>
            </w:r>
            <w:r>
              <w:rPr>
                <w:spacing w:val="-1"/>
                <w:u w:val="single" w:color="auto"/>
              </w:rPr>
              <w:t xml:space="preserve"> </w:t>
            </w:r>
            <w:r>
              <w:rPr>
                <w:rFonts w:hint="eastAsia"/>
                <w:spacing w:val="-1"/>
                <w:u w:val="single" w:color="auto"/>
                <w:lang w:val="en-US" w:eastAsia="zh-CN"/>
              </w:rPr>
              <w:t>4</w:t>
            </w:r>
            <w:r>
              <w:rPr>
                <w:spacing w:val="-86"/>
              </w:rPr>
              <w:t xml:space="preserve"> </w:t>
            </w:r>
            <w:r>
              <w:rPr>
                <w:spacing w:val="-1"/>
              </w:rPr>
              <w:t>‰</w:t>
            </w:r>
            <w:r>
              <w:rPr>
                <w:spacing w:val="-22"/>
                <w:position w:val="10"/>
                <w:sz w:val="10"/>
                <w:szCs w:val="10"/>
              </w:rPr>
              <w:t xml:space="preserve"> </w:t>
            </w:r>
            <w:r>
              <w:rPr>
                <w:spacing w:val="-1"/>
              </w:rPr>
              <w:t>;</w:t>
            </w:r>
          </w:p>
        </w:tc>
      </w:tr>
      <w:tr w14:paraId="06DAB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7B6E5241">
            <w:pPr>
              <w:pStyle w:val="9"/>
              <w:spacing w:before="222"/>
              <w:ind w:left="357"/>
            </w:pPr>
            <w:r>
              <w:rPr>
                <w:spacing w:val="-6"/>
              </w:rPr>
              <w:t>34</w:t>
            </w:r>
          </w:p>
        </w:tc>
        <w:tc>
          <w:tcPr>
            <w:tcW w:w="1349" w:type="dxa"/>
            <w:vAlign w:val="top"/>
          </w:tcPr>
          <w:p w14:paraId="42C58835">
            <w:pPr>
              <w:pStyle w:val="9"/>
              <w:spacing w:before="222" w:line="239" w:lineRule="auto"/>
              <w:ind w:left="365"/>
            </w:pPr>
            <w:r>
              <w:rPr>
                <w:spacing w:val="-2"/>
              </w:rPr>
              <w:t>20.4.2</w:t>
            </w:r>
          </w:p>
        </w:tc>
        <w:tc>
          <w:tcPr>
            <w:tcW w:w="7171" w:type="dxa"/>
            <w:vAlign w:val="top"/>
          </w:tcPr>
          <w:p w14:paraId="785B100D">
            <w:pPr>
              <w:pStyle w:val="9"/>
              <w:spacing w:before="222" w:line="220" w:lineRule="auto"/>
              <w:ind w:left="112"/>
            </w:pPr>
            <w:r>
              <w:rPr>
                <w:spacing w:val="-1"/>
              </w:rPr>
              <w:t>第三者责任险的最低投保金额：</w:t>
            </w:r>
            <w:r>
              <w:rPr>
                <w:spacing w:val="-1"/>
                <w:u w:val="single" w:color="auto"/>
              </w:rPr>
              <w:t xml:space="preserve"> </w:t>
            </w:r>
            <w:r>
              <w:rPr>
                <w:rFonts w:hint="eastAsia"/>
                <w:spacing w:val="-1"/>
                <w:u w:val="single" w:color="auto"/>
                <w:lang w:val="en-US" w:eastAsia="zh-CN"/>
              </w:rPr>
              <w:t>200</w:t>
            </w:r>
            <w:r>
              <w:rPr>
                <w:spacing w:val="-79"/>
              </w:rPr>
              <w:t xml:space="preserve"> </w:t>
            </w:r>
            <w:r>
              <w:rPr>
                <w:spacing w:val="-1"/>
              </w:rPr>
              <w:t>万元，事故次数不限</w:t>
            </w:r>
            <w:r>
              <w:rPr>
                <w:rFonts w:hint="eastAsia"/>
                <w:spacing w:val="-1"/>
                <w:lang w:eastAsia="zh-CN"/>
              </w:rPr>
              <w:t>（</w:t>
            </w:r>
            <w:r>
              <w:rPr>
                <w:spacing w:val="-1"/>
              </w:rPr>
              <w:t>不计免赔额</w:t>
            </w:r>
            <w:r>
              <w:rPr>
                <w:rFonts w:hint="eastAsia"/>
                <w:spacing w:val="-1"/>
                <w:lang w:eastAsia="zh-CN"/>
              </w:rPr>
              <w:t>）</w:t>
            </w:r>
          </w:p>
        </w:tc>
      </w:tr>
      <w:tr w14:paraId="2487A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07" w:type="dxa"/>
            <w:vAlign w:val="top"/>
          </w:tcPr>
          <w:p w14:paraId="7C825A8F">
            <w:pPr>
              <w:pStyle w:val="9"/>
              <w:spacing w:before="222"/>
              <w:ind w:left="357"/>
            </w:pPr>
            <w:r>
              <w:rPr>
                <w:spacing w:val="-6"/>
              </w:rPr>
              <w:t>35</w:t>
            </w:r>
          </w:p>
        </w:tc>
        <w:tc>
          <w:tcPr>
            <w:tcW w:w="1349" w:type="dxa"/>
            <w:vAlign w:val="top"/>
          </w:tcPr>
          <w:p w14:paraId="2FEEC28A">
            <w:pPr>
              <w:pStyle w:val="9"/>
              <w:spacing w:before="222" w:line="239" w:lineRule="auto"/>
              <w:ind w:left="365"/>
            </w:pPr>
            <w:r>
              <w:rPr>
                <w:spacing w:val="-2"/>
              </w:rPr>
              <w:t>21.1.1</w:t>
            </w:r>
          </w:p>
        </w:tc>
        <w:tc>
          <w:tcPr>
            <w:tcW w:w="7171" w:type="dxa"/>
            <w:vAlign w:val="top"/>
          </w:tcPr>
          <w:p w14:paraId="7D9A6551">
            <w:pPr>
              <w:pStyle w:val="9"/>
              <w:spacing w:before="222" w:line="220" w:lineRule="auto"/>
              <w:ind w:left="114"/>
            </w:pPr>
            <w:r>
              <w:rPr>
                <w:spacing w:val="-3"/>
              </w:rPr>
              <w:t>21.1.1</w:t>
            </w:r>
            <w:r>
              <w:rPr>
                <w:spacing w:val="45"/>
              </w:rPr>
              <w:t xml:space="preserve"> </w:t>
            </w:r>
            <w:r>
              <w:rPr>
                <w:spacing w:val="-3"/>
              </w:rPr>
              <w:t>(6</w:t>
            </w:r>
            <w:r>
              <w:rPr>
                <w:rFonts w:hint="eastAsia"/>
                <w:spacing w:val="-3"/>
                <w:lang w:eastAsia="zh-CN"/>
              </w:rPr>
              <w:t>）</w:t>
            </w:r>
            <w:r>
              <w:rPr>
                <w:spacing w:val="-3"/>
              </w:rPr>
              <w:t>不可抗力的其他情形：</w:t>
            </w:r>
            <w:r>
              <w:rPr>
                <w:u w:val="single" w:color="auto"/>
              </w:rPr>
              <w:t xml:space="preserve"> </w:t>
            </w:r>
            <w:r>
              <w:rPr>
                <w:rFonts w:hint="eastAsia"/>
                <w:u w:val="single" w:color="auto"/>
                <w:lang w:val="en-US" w:eastAsia="zh-CN"/>
              </w:rPr>
              <w:t>/</w:t>
            </w:r>
            <w:r>
              <w:rPr>
                <w:u w:val="single" w:color="auto"/>
              </w:rPr>
              <w:t xml:space="preserve"> </w:t>
            </w:r>
          </w:p>
        </w:tc>
      </w:tr>
      <w:tr w14:paraId="3DFF3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907" w:type="dxa"/>
            <w:vAlign w:val="top"/>
          </w:tcPr>
          <w:p w14:paraId="33488D2E">
            <w:pPr>
              <w:spacing w:line="468" w:lineRule="auto"/>
              <w:rPr>
                <w:rFonts w:ascii="Arial"/>
                <w:sz w:val="21"/>
              </w:rPr>
            </w:pPr>
          </w:p>
          <w:p w14:paraId="03124037">
            <w:pPr>
              <w:pStyle w:val="9"/>
              <w:spacing w:before="68"/>
              <w:ind w:left="357"/>
            </w:pPr>
            <w:r>
              <w:rPr>
                <w:spacing w:val="-3"/>
              </w:rPr>
              <w:t>36</w:t>
            </w:r>
          </w:p>
        </w:tc>
        <w:tc>
          <w:tcPr>
            <w:tcW w:w="1349" w:type="dxa"/>
            <w:vAlign w:val="top"/>
          </w:tcPr>
          <w:p w14:paraId="0D76A22E">
            <w:pPr>
              <w:spacing w:line="468" w:lineRule="auto"/>
              <w:rPr>
                <w:rFonts w:ascii="Arial"/>
                <w:sz w:val="21"/>
              </w:rPr>
            </w:pPr>
          </w:p>
          <w:p w14:paraId="14F34BFD">
            <w:pPr>
              <w:pStyle w:val="9"/>
              <w:spacing w:before="68" w:line="239" w:lineRule="auto"/>
              <w:ind w:left="470"/>
            </w:pPr>
            <w:r>
              <w:rPr>
                <w:spacing w:val="-3"/>
              </w:rPr>
              <w:t>24.1</w:t>
            </w:r>
          </w:p>
        </w:tc>
        <w:tc>
          <w:tcPr>
            <w:tcW w:w="7171" w:type="dxa"/>
            <w:vAlign w:val="top"/>
          </w:tcPr>
          <w:p w14:paraId="233CD4EA">
            <w:pPr>
              <w:pStyle w:val="9"/>
              <w:spacing w:before="138" w:line="352" w:lineRule="auto"/>
              <w:ind w:left="112" w:right="109" w:firstLine="4"/>
            </w:pPr>
            <w:r>
              <w:t>争议的最终解决方式：</w:t>
            </w:r>
            <w:r>
              <w:rPr>
                <w:u w:val="single" w:color="auto"/>
              </w:rPr>
              <w:t xml:space="preserve">  仲裁  </w:t>
            </w:r>
            <w:r>
              <w:rPr>
                <w:spacing w:val="-94"/>
              </w:rPr>
              <w:t xml:space="preserve"> </w:t>
            </w:r>
            <w:r>
              <w:t>或向</w:t>
            </w:r>
            <w:r>
              <w:rPr>
                <w:u w:val="single" w:color="auto"/>
              </w:rPr>
              <w:t>项目所在地有管辖权的人民法院</w:t>
            </w:r>
            <w:r>
              <w:t>提</w:t>
            </w:r>
            <w:r>
              <w:rPr>
                <w:spacing w:val="-1"/>
              </w:rPr>
              <w:t>起诉</w:t>
            </w:r>
            <w:r>
              <w:rPr>
                <w:spacing w:val="-10"/>
              </w:rPr>
              <w:t>讼。</w:t>
            </w:r>
          </w:p>
          <w:p w14:paraId="19A2F758">
            <w:pPr>
              <w:pStyle w:val="9"/>
              <w:spacing w:line="218" w:lineRule="auto"/>
              <w:ind w:left="115"/>
            </w:pPr>
            <w:r>
              <w:rPr>
                <w:spacing w:val="-1"/>
              </w:rPr>
              <w:t>如采用仲裁，仲裁委员会名称</w:t>
            </w:r>
            <w:r>
              <w:rPr>
                <w:spacing w:val="4"/>
              </w:rPr>
              <w:t>：</w:t>
            </w:r>
            <w:r>
              <w:rPr>
                <w:rFonts w:hint="eastAsia"/>
                <w:spacing w:val="-1"/>
                <w:u w:val="single" w:color="auto"/>
                <w:lang w:val="en-US" w:eastAsia="zh-CN"/>
              </w:rPr>
              <w:t>云浮</w:t>
            </w:r>
            <w:r>
              <w:rPr>
                <w:spacing w:val="-1"/>
                <w:u w:val="single" w:color="auto"/>
              </w:rPr>
              <w:t>仲裁委员会</w:t>
            </w:r>
            <w:r>
              <w:rPr>
                <w:spacing w:val="-1"/>
              </w:rPr>
              <w:t>。</w:t>
            </w:r>
          </w:p>
        </w:tc>
      </w:tr>
      <w:tr w14:paraId="4E996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907" w:type="dxa"/>
            <w:vAlign w:val="top"/>
          </w:tcPr>
          <w:p w14:paraId="516F58A2">
            <w:pPr>
              <w:spacing w:line="289" w:lineRule="auto"/>
              <w:rPr>
                <w:rFonts w:ascii="Arial"/>
                <w:sz w:val="21"/>
              </w:rPr>
            </w:pPr>
          </w:p>
          <w:p w14:paraId="5C47E6D6">
            <w:pPr>
              <w:spacing w:line="289" w:lineRule="auto"/>
              <w:rPr>
                <w:rFonts w:ascii="Arial"/>
                <w:sz w:val="21"/>
              </w:rPr>
            </w:pPr>
          </w:p>
          <w:p w14:paraId="321D86EC">
            <w:pPr>
              <w:spacing w:line="289" w:lineRule="auto"/>
              <w:rPr>
                <w:rFonts w:ascii="Arial"/>
                <w:sz w:val="21"/>
              </w:rPr>
            </w:pPr>
          </w:p>
          <w:p w14:paraId="5239152C">
            <w:pPr>
              <w:pStyle w:val="9"/>
              <w:spacing w:before="68"/>
              <w:ind w:left="357"/>
            </w:pPr>
            <w:r>
              <w:rPr>
                <w:spacing w:val="-3"/>
              </w:rPr>
              <w:t>37</w:t>
            </w:r>
          </w:p>
        </w:tc>
        <w:tc>
          <w:tcPr>
            <w:tcW w:w="1349" w:type="dxa"/>
            <w:vAlign w:val="top"/>
          </w:tcPr>
          <w:p w14:paraId="096CFC25">
            <w:pPr>
              <w:spacing w:line="289" w:lineRule="auto"/>
              <w:rPr>
                <w:rFonts w:ascii="Arial"/>
                <w:sz w:val="21"/>
              </w:rPr>
            </w:pPr>
          </w:p>
          <w:p w14:paraId="0FDBBC41">
            <w:pPr>
              <w:spacing w:line="289" w:lineRule="auto"/>
              <w:rPr>
                <w:rFonts w:ascii="Arial"/>
                <w:sz w:val="21"/>
              </w:rPr>
            </w:pPr>
          </w:p>
          <w:p w14:paraId="63AAC4FA">
            <w:pPr>
              <w:spacing w:line="289" w:lineRule="auto"/>
              <w:rPr>
                <w:rFonts w:ascii="Arial"/>
                <w:sz w:val="21"/>
              </w:rPr>
            </w:pPr>
          </w:p>
          <w:p w14:paraId="152E10F5">
            <w:pPr>
              <w:pStyle w:val="9"/>
              <w:spacing w:before="68" w:line="239" w:lineRule="auto"/>
              <w:ind w:left="470"/>
            </w:pPr>
            <w:r>
              <w:rPr>
                <w:spacing w:val="-3"/>
              </w:rPr>
              <w:t>25.4</w:t>
            </w:r>
          </w:p>
        </w:tc>
        <w:tc>
          <w:tcPr>
            <w:tcW w:w="7171" w:type="dxa"/>
            <w:vAlign w:val="top"/>
          </w:tcPr>
          <w:p w14:paraId="69D4E0DC">
            <w:pPr>
              <w:pStyle w:val="9"/>
              <w:spacing w:before="125" w:line="352" w:lineRule="auto"/>
              <w:ind w:left="117" w:right="110"/>
            </w:pPr>
            <w:r>
              <w:t>结算单元按合同约定完成并通过质量中间验收，原则上</w:t>
            </w:r>
            <w:r>
              <w:rPr>
                <w:spacing w:val="-99"/>
              </w:rPr>
              <w:t xml:space="preserve"> </w:t>
            </w:r>
            <w:r>
              <w:rPr>
                <w:spacing w:val="1"/>
                <w:u w:val="single" w:color="auto"/>
              </w:rPr>
              <w:t xml:space="preserve"> </w:t>
            </w:r>
            <w:r>
              <w:rPr>
                <w:rFonts w:hint="eastAsia"/>
                <w:spacing w:val="1"/>
                <w:u w:val="single" w:color="auto"/>
                <w:lang w:val="en-US" w:eastAsia="zh-CN"/>
              </w:rPr>
              <w:t>3</w:t>
            </w:r>
            <w:r>
              <w:rPr>
                <w:spacing w:val="-102"/>
              </w:rPr>
              <w:t xml:space="preserve"> </w:t>
            </w:r>
            <w:r>
              <w:t>个月内完成过程</w:t>
            </w:r>
            <w:r>
              <w:rPr>
                <w:spacing w:val="-3"/>
              </w:rPr>
              <w:t>结算文件的编制、审核、签认工作。</w:t>
            </w:r>
          </w:p>
          <w:p w14:paraId="60A08E74">
            <w:pPr>
              <w:pStyle w:val="9"/>
              <w:spacing w:line="314" w:lineRule="auto"/>
              <w:ind w:left="113" w:right="110" w:firstLine="2"/>
            </w:pPr>
            <w:r>
              <w:rPr>
                <w:spacing w:val="-2"/>
              </w:rPr>
              <w:t>未按要求完成过程结算的费用项，最高支付金额为发包</w:t>
            </w:r>
            <w:r>
              <w:rPr>
                <w:spacing w:val="-3"/>
              </w:rPr>
              <w:t>人审核确认的</w:t>
            </w:r>
            <w:r>
              <w:rPr>
                <w:spacing w:val="-3"/>
                <w:u w:val="single" w:color="auto"/>
              </w:rPr>
              <w:t xml:space="preserve"> </w:t>
            </w:r>
            <w:r>
              <w:rPr>
                <w:rFonts w:hint="eastAsia"/>
                <w:spacing w:val="-3"/>
                <w:u w:val="single" w:color="auto"/>
                <w:lang w:val="en-US" w:eastAsia="zh-CN"/>
              </w:rPr>
              <w:t>97</w:t>
            </w:r>
            <w:r>
              <w:rPr>
                <w:spacing w:val="-3"/>
                <w:u w:val="single" w:color="auto"/>
              </w:rPr>
              <w:t xml:space="preserve"> </w:t>
            </w:r>
            <w:r>
              <w:rPr>
                <w:spacing w:val="-102"/>
              </w:rPr>
              <w:t xml:space="preserve"> </w:t>
            </w:r>
            <w:r>
              <w:rPr>
                <w:spacing w:val="-3"/>
              </w:rPr>
              <w:t>%</w:t>
            </w:r>
            <w:r>
              <w:rPr>
                <w:spacing w:val="-24"/>
                <w:position w:val="10"/>
                <w:sz w:val="10"/>
                <w:szCs w:val="10"/>
              </w:rPr>
              <w:t xml:space="preserve"> </w:t>
            </w:r>
            <w:r>
              <w:rPr>
                <w:rFonts w:hint="eastAsia"/>
                <w:spacing w:val="-24"/>
                <w:position w:val="10"/>
                <w:sz w:val="10"/>
                <w:szCs w:val="10"/>
                <w:lang w:eastAsia="zh-CN"/>
              </w:rPr>
              <w:t>，</w:t>
            </w:r>
            <w:r>
              <w:rPr>
                <w:spacing w:val="1"/>
              </w:rPr>
              <w:t>过程结算后方可支付剩余金额。完工结算率低于</w:t>
            </w:r>
            <w:r>
              <w:rPr>
                <w:spacing w:val="-24"/>
              </w:rPr>
              <w:t xml:space="preserve"> </w:t>
            </w:r>
            <w:r>
              <w:rPr>
                <w:spacing w:val="1"/>
              </w:rPr>
              <w:t>30%的合同段，在后续计量</w:t>
            </w:r>
            <w:r>
              <w:rPr>
                <w:spacing w:val="-4"/>
              </w:rPr>
              <w:t>支付中可暂扣</w:t>
            </w:r>
            <w:r>
              <w:rPr>
                <w:spacing w:val="-4"/>
                <w:u w:val="single" w:color="auto"/>
              </w:rPr>
              <w:t xml:space="preserve"> </w:t>
            </w:r>
            <w:r>
              <w:rPr>
                <w:rFonts w:hint="eastAsia"/>
                <w:spacing w:val="-4"/>
                <w:u w:val="single" w:color="auto"/>
                <w:lang w:val="en-US" w:eastAsia="zh-CN"/>
              </w:rPr>
              <w:t>10</w:t>
            </w:r>
            <w:r>
              <w:rPr>
                <w:spacing w:val="-4"/>
                <w:u w:val="single" w:color="auto"/>
              </w:rPr>
              <w:t xml:space="preserve"> </w:t>
            </w:r>
            <w:r>
              <w:rPr>
                <w:spacing w:val="-87"/>
              </w:rPr>
              <w:t xml:space="preserve"> </w:t>
            </w:r>
            <w:r>
              <w:rPr>
                <w:spacing w:val="-4"/>
              </w:rPr>
              <w:t>%</w:t>
            </w:r>
            <w:r>
              <w:rPr>
                <w:spacing w:val="-25"/>
                <w:position w:val="10"/>
                <w:sz w:val="10"/>
                <w:szCs w:val="10"/>
              </w:rPr>
              <w:t xml:space="preserve"> </w:t>
            </w:r>
            <w:r>
              <w:rPr>
                <w:spacing w:val="-4"/>
              </w:rPr>
              <w:t>的工程进度款。</w:t>
            </w:r>
          </w:p>
        </w:tc>
      </w:tr>
    </w:tbl>
    <w:p w14:paraId="5F7C3C6C">
      <w:pPr>
        <w:pStyle w:val="2"/>
      </w:pPr>
    </w:p>
    <w:p w14:paraId="74B2FC38">
      <w:pPr>
        <w:pStyle w:val="2"/>
      </w:pPr>
    </w:p>
    <w:p w14:paraId="096CD2DF">
      <w:pPr>
        <w:pStyle w:val="2"/>
      </w:pPr>
    </w:p>
    <w:p w14:paraId="7B22D2E6">
      <w:pPr>
        <w:pStyle w:val="2"/>
      </w:pPr>
    </w:p>
    <w:p w14:paraId="7433C388">
      <w:pPr>
        <w:pStyle w:val="2"/>
      </w:pPr>
    </w:p>
    <w:p w14:paraId="55D47A9A">
      <w:pPr>
        <w:pStyle w:val="2"/>
      </w:pPr>
    </w:p>
    <w:p w14:paraId="490D2FB5">
      <w:pPr>
        <w:pStyle w:val="2"/>
      </w:pPr>
    </w:p>
    <w:p w14:paraId="165C980A">
      <w:pPr>
        <w:pStyle w:val="2"/>
      </w:pPr>
    </w:p>
    <w:p w14:paraId="7706FECD">
      <w:pPr>
        <w:pStyle w:val="2"/>
        <w:spacing w:line="241" w:lineRule="auto"/>
      </w:pPr>
    </w:p>
    <w:p w14:paraId="37E41035">
      <w:pPr>
        <w:pStyle w:val="2"/>
        <w:spacing w:line="241" w:lineRule="auto"/>
      </w:pPr>
    </w:p>
    <w:p w14:paraId="39E92C30">
      <w:pPr>
        <w:pStyle w:val="2"/>
        <w:spacing w:line="241" w:lineRule="auto"/>
      </w:pPr>
    </w:p>
    <w:p w14:paraId="417D6992">
      <w:pPr>
        <w:pStyle w:val="2"/>
        <w:spacing w:line="241" w:lineRule="auto"/>
      </w:pPr>
    </w:p>
    <w:p w14:paraId="7663FEA7">
      <w:pPr>
        <w:pStyle w:val="2"/>
        <w:spacing w:line="241" w:lineRule="auto"/>
      </w:pPr>
    </w:p>
    <w:p w14:paraId="165CF5EF">
      <w:pPr>
        <w:pStyle w:val="2"/>
        <w:spacing w:line="241" w:lineRule="auto"/>
      </w:pPr>
    </w:p>
    <w:p w14:paraId="2513AE01">
      <w:pPr>
        <w:pStyle w:val="2"/>
        <w:spacing w:line="241" w:lineRule="auto"/>
      </w:pPr>
    </w:p>
    <w:p w14:paraId="67D92AFC">
      <w:pPr>
        <w:pStyle w:val="2"/>
        <w:spacing w:line="241" w:lineRule="auto"/>
      </w:pPr>
    </w:p>
    <w:p w14:paraId="3FCF0C93">
      <w:pPr>
        <w:pStyle w:val="2"/>
        <w:spacing w:line="241" w:lineRule="auto"/>
      </w:pPr>
    </w:p>
    <w:p w14:paraId="22A92296">
      <w:pPr>
        <w:pStyle w:val="2"/>
        <w:spacing w:line="241" w:lineRule="auto"/>
      </w:pPr>
    </w:p>
    <w:p w14:paraId="3E99DFFB">
      <w:pPr>
        <w:pStyle w:val="2"/>
        <w:spacing w:line="241" w:lineRule="auto"/>
      </w:pPr>
    </w:p>
    <w:p w14:paraId="32172C95">
      <w:pPr>
        <w:pStyle w:val="2"/>
        <w:spacing w:line="241" w:lineRule="auto"/>
      </w:pPr>
    </w:p>
    <w:p w14:paraId="7B3F94A5">
      <w:pPr>
        <w:pStyle w:val="2"/>
        <w:spacing w:line="241" w:lineRule="auto"/>
      </w:pPr>
    </w:p>
    <w:p w14:paraId="00A7CE45">
      <w:pPr>
        <w:pStyle w:val="2"/>
        <w:spacing w:line="241" w:lineRule="auto"/>
      </w:pPr>
    </w:p>
    <w:p w14:paraId="34EF2FBD">
      <w:pPr>
        <w:pStyle w:val="2"/>
        <w:spacing w:line="241" w:lineRule="auto"/>
      </w:pPr>
    </w:p>
    <w:p w14:paraId="4F268957">
      <w:pPr>
        <w:pStyle w:val="2"/>
        <w:spacing w:line="241" w:lineRule="auto"/>
      </w:pPr>
    </w:p>
    <w:p w14:paraId="41240F8E">
      <w:pPr>
        <w:pStyle w:val="2"/>
        <w:spacing w:line="241" w:lineRule="auto"/>
      </w:pPr>
    </w:p>
    <w:p w14:paraId="6B3EEF6B">
      <w:pPr>
        <w:pStyle w:val="2"/>
        <w:spacing w:line="241" w:lineRule="auto"/>
      </w:pPr>
    </w:p>
    <w:p w14:paraId="70500A66">
      <w:pPr>
        <w:pStyle w:val="2"/>
        <w:spacing w:line="241" w:lineRule="auto"/>
      </w:pPr>
    </w:p>
    <w:p w14:paraId="07AD8783">
      <w:pPr>
        <w:pStyle w:val="2"/>
        <w:spacing w:line="241" w:lineRule="auto"/>
      </w:pPr>
    </w:p>
    <w:p w14:paraId="7EAD2128">
      <w:pPr>
        <w:pStyle w:val="2"/>
        <w:spacing w:line="241" w:lineRule="auto"/>
      </w:pPr>
    </w:p>
    <w:p w14:paraId="15A6494B">
      <w:pPr>
        <w:pStyle w:val="2"/>
        <w:spacing w:line="241" w:lineRule="auto"/>
      </w:pPr>
    </w:p>
    <w:p w14:paraId="2D4E79A8">
      <w:pPr>
        <w:spacing w:line="217" w:lineRule="auto"/>
        <w:rPr>
          <w:rFonts w:ascii="宋体" w:hAnsi="宋体" w:eastAsia="宋体" w:cs="宋体"/>
          <w:sz w:val="18"/>
          <w:szCs w:val="18"/>
        </w:rPr>
        <w:sectPr>
          <w:headerReference r:id="rId48" w:type="default"/>
          <w:footerReference r:id="rId49" w:type="default"/>
          <w:pgSz w:w="11905" w:h="16840"/>
          <w:pgMar w:top="1182" w:right="1169" w:bottom="1171" w:left="1303" w:header="849" w:footer="937" w:gutter="0"/>
          <w:pgNumType w:fmt="decimal"/>
          <w:cols w:space="720" w:num="1"/>
        </w:sectPr>
      </w:pPr>
    </w:p>
    <w:p w14:paraId="7B8615C2">
      <w:pPr>
        <w:pStyle w:val="2"/>
        <w:spacing w:line="285" w:lineRule="auto"/>
      </w:pPr>
    </w:p>
    <w:p w14:paraId="5D1F18B3">
      <w:pPr>
        <w:spacing w:before="101" w:line="225" w:lineRule="auto"/>
        <w:ind w:left="3269"/>
        <w:rPr>
          <w:rFonts w:ascii="宋体" w:hAnsi="宋体" w:eastAsia="宋体" w:cs="宋体"/>
          <w:sz w:val="31"/>
          <w:szCs w:val="31"/>
        </w:rPr>
      </w:pPr>
      <w:r>
        <w:rPr>
          <w:rFonts w:ascii="宋体" w:hAnsi="宋体" w:eastAsia="宋体" w:cs="宋体"/>
          <w:b/>
          <w:bCs/>
          <w:spacing w:val="5"/>
          <w:sz w:val="31"/>
          <w:szCs w:val="31"/>
        </w:rPr>
        <w:t>项目专用合同条款</w:t>
      </w:r>
    </w:p>
    <w:p w14:paraId="540A7B4C">
      <w:pPr>
        <w:pStyle w:val="2"/>
        <w:spacing w:line="437" w:lineRule="auto"/>
      </w:pPr>
    </w:p>
    <w:p w14:paraId="54BDB07F">
      <w:pPr>
        <w:spacing w:before="78" w:line="361" w:lineRule="auto"/>
        <w:ind w:left="8" w:firstLine="483"/>
        <w:jc w:val="both"/>
        <w:rPr>
          <w:rFonts w:ascii="宋体" w:hAnsi="宋体" w:eastAsia="宋体" w:cs="宋体"/>
          <w:sz w:val="24"/>
          <w:szCs w:val="24"/>
        </w:rPr>
      </w:pPr>
      <w:r>
        <w:rPr>
          <w:rFonts w:ascii="宋体" w:hAnsi="宋体" w:eastAsia="宋体" w:cs="宋体"/>
          <w:spacing w:val="-2"/>
          <w:sz w:val="24"/>
          <w:szCs w:val="24"/>
        </w:rPr>
        <w:t>说明：本部分所列的项目专用合同条款是对“公路工程专用合同条款”中规定必须在项目专用合同条款中明确的内容的集中，招标人编制的“项目专用合同条款”不限于</w:t>
      </w:r>
      <w:r>
        <w:rPr>
          <w:rFonts w:ascii="宋体" w:hAnsi="宋体" w:eastAsia="宋体" w:cs="宋体"/>
          <w:spacing w:val="-5"/>
          <w:sz w:val="24"/>
          <w:szCs w:val="24"/>
        </w:rPr>
        <w:t>本部分所列内容。合同条款中如果国家或有关部门颁布了新的技术标准或规范， 则应采</w:t>
      </w:r>
      <w:r>
        <w:rPr>
          <w:rFonts w:ascii="宋体" w:hAnsi="宋体" w:eastAsia="宋体" w:cs="宋体"/>
          <w:spacing w:val="-4"/>
          <w:sz w:val="24"/>
          <w:szCs w:val="24"/>
        </w:rPr>
        <w:t>用新的标准或规范进行执行。</w:t>
      </w:r>
    </w:p>
    <w:p w14:paraId="40057AC8">
      <w:pPr>
        <w:pStyle w:val="2"/>
        <w:spacing w:line="382" w:lineRule="auto"/>
      </w:pPr>
    </w:p>
    <w:p w14:paraId="756ACCE6">
      <w:pPr>
        <w:spacing w:before="78" w:line="220" w:lineRule="auto"/>
        <w:ind w:left="507"/>
        <w:rPr>
          <w:rFonts w:ascii="宋体" w:hAnsi="宋体" w:eastAsia="宋体" w:cs="宋体"/>
          <w:sz w:val="24"/>
          <w:szCs w:val="24"/>
        </w:rPr>
      </w:pPr>
      <w:r>
        <w:rPr>
          <w:rFonts w:ascii="宋体" w:hAnsi="宋体" w:eastAsia="宋体" w:cs="宋体"/>
          <w:b/>
          <w:bCs/>
          <w:spacing w:val="-7"/>
          <w:sz w:val="24"/>
          <w:szCs w:val="24"/>
        </w:rPr>
        <w:t>1.一般约定</w:t>
      </w:r>
    </w:p>
    <w:p w14:paraId="3FFF61B4">
      <w:pPr>
        <w:spacing w:before="182" w:line="220" w:lineRule="auto"/>
        <w:ind w:left="507"/>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6"/>
          <w:sz w:val="24"/>
          <w:szCs w:val="24"/>
        </w:rPr>
        <w:t xml:space="preserve"> </w:t>
      </w:r>
      <w:r>
        <w:rPr>
          <w:rFonts w:ascii="宋体" w:hAnsi="宋体" w:eastAsia="宋体" w:cs="宋体"/>
          <w:spacing w:val="-6"/>
          <w:sz w:val="24"/>
          <w:szCs w:val="24"/>
        </w:rPr>
        <w:t>词语定义</w:t>
      </w:r>
    </w:p>
    <w:p w14:paraId="034B07A5">
      <w:pPr>
        <w:spacing w:before="181" w:line="220" w:lineRule="auto"/>
        <w:ind w:left="489"/>
        <w:rPr>
          <w:rFonts w:ascii="宋体" w:hAnsi="宋体" w:eastAsia="宋体" w:cs="宋体"/>
          <w:sz w:val="24"/>
          <w:szCs w:val="24"/>
        </w:rPr>
      </w:pPr>
      <w:r>
        <w:rPr>
          <w:rFonts w:ascii="宋体" w:hAnsi="宋体" w:eastAsia="宋体" w:cs="宋体"/>
          <w:spacing w:val="-9"/>
          <w:sz w:val="24"/>
          <w:szCs w:val="24"/>
        </w:rPr>
        <w:t>第</w:t>
      </w:r>
      <w:r>
        <w:rPr>
          <w:rFonts w:ascii="宋体" w:hAnsi="宋体" w:eastAsia="宋体" w:cs="宋体"/>
          <w:spacing w:val="36"/>
          <w:sz w:val="24"/>
          <w:szCs w:val="24"/>
        </w:rPr>
        <w:t xml:space="preserve"> </w:t>
      </w:r>
      <w:r>
        <w:rPr>
          <w:rFonts w:ascii="宋体" w:hAnsi="宋体" w:eastAsia="宋体" w:cs="宋体"/>
          <w:spacing w:val="-9"/>
          <w:sz w:val="24"/>
          <w:szCs w:val="24"/>
        </w:rPr>
        <w:t>1.1.2</w:t>
      </w:r>
      <w:r>
        <w:rPr>
          <w:rFonts w:ascii="宋体" w:hAnsi="宋体" w:eastAsia="宋体" w:cs="宋体"/>
          <w:spacing w:val="-50"/>
          <w:sz w:val="24"/>
          <w:szCs w:val="24"/>
        </w:rPr>
        <w:t xml:space="preserve"> </w:t>
      </w:r>
      <w:r>
        <w:rPr>
          <w:rFonts w:ascii="宋体" w:hAnsi="宋体" w:eastAsia="宋体" w:cs="宋体"/>
          <w:spacing w:val="-9"/>
          <w:sz w:val="24"/>
          <w:szCs w:val="24"/>
        </w:rPr>
        <w:t>款细化为：</w:t>
      </w:r>
    </w:p>
    <w:p w14:paraId="2FE4B6BA">
      <w:pPr>
        <w:spacing w:before="182" w:line="220" w:lineRule="auto"/>
        <w:ind w:left="507"/>
        <w:rPr>
          <w:rFonts w:ascii="宋体" w:hAnsi="宋体" w:eastAsia="宋体" w:cs="宋体"/>
          <w:sz w:val="24"/>
          <w:szCs w:val="24"/>
        </w:rPr>
      </w:pPr>
      <w:r>
        <w:rPr>
          <w:rFonts w:ascii="宋体" w:hAnsi="宋体" w:eastAsia="宋体" w:cs="宋体"/>
          <w:spacing w:val="-3"/>
          <w:sz w:val="24"/>
          <w:szCs w:val="24"/>
        </w:rPr>
        <w:t>1.1.2</w:t>
      </w:r>
      <w:r>
        <w:rPr>
          <w:rFonts w:ascii="宋体" w:hAnsi="宋体" w:eastAsia="宋体" w:cs="宋体"/>
          <w:spacing w:val="-48"/>
          <w:sz w:val="24"/>
          <w:szCs w:val="24"/>
        </w:rPr>
        <w:t xml:space="preserve"> </w:t>
      </w:r>
      <w:r>
        <w:rPr>
          <w:rFonts w:ascii="宋体" w:hAnsi="宋体" w:eastAsia="宋体" w:cs="宋体"/>
          <w:spacing w:val="-3"/>
          <w:sz w:val="24"/>
          <w:szCs w:val="24"/>
        </w:rPr>
        <w:t>合同当事人和人员</w:t>
      </w:r>
    </w:p>
    <w:p w14:paraId="28120906">
      <w:pPr>
        <w:spacing w:before="181" w:line="219" w:lineRule="auto"/>
        <w:ind w:left="490"/>
        <w:rPr>
          <w:rFonts w:ascii="宋体" w:hAnsi="宋体" w:eastAsia="宋体" w:cs="宋体"/>
          <w:sz w:val="24"/>
          <w:szCs w:val="24"/>
        </w:rPr>
      </w:pPr>
      <w:r>
        <w:rPr>
          <w:rFonts w:ascii="宋体" w:hAnsi="宋体" w:eastAsia="宋体" w:cs="宋体"/>
          <w:spacing w:val="-7"/>
          <w:sz w:val="24"/>
          <w:szCs w:val="24"/>
        </w:rPr>
        <w:t>本项补充第</w:t>
      </w:r>
      <w:r>
        <w:rPr>
          <w:rFonts w:ascii="宋体" w:hAnsi="宋体" w:eastAsia="宋体" w:cs="宋体"/>
          <w:spacing w:val="-30"/>
          <w:sz w:val="24"/>
          <w:szCs w:val="24"/>
        </w:rPr>
        <w:t xml:space="preserve"> </w:t>
      </w:r>
      <w:r>
        <w:rPr>
          <w:rFonts w:ascii="宋体" w:hAnsi="宋体" w:eastAsia="宋体" w:cs="宋体"/>
          <w:spacing w:val="-7"/>
          <w:sz w:val="24"/>
          <w:szCs w:val="24"/>
        </w:rPr>
        <w:t>1.1.2.9 目～第</w:t>
      </w:r>
      <w:r>
        <w:rPr>
          <w:rFonts w:ascii="宋体" w:hAnsi="宋体" w:eastAsia="宋体" w:cs="宋体"/>
          <w:spacing w:val="-33"/>
          <w:sz w:val="24"/>
          <w:szCs w:val="24"/>
        </w:rPr>
        <w:t xml:space="preserve"> </w:t>
      </w:r>
      <w:r>
        <w:rPr>
          <w:rFonts w:ascii="宋体" w:hAnsi="宋体" w:eastAsia="宋体" w:cs="宋体"/>
          <w:spacing w:val="-7"/>
          <w:sz w:val="24"/>
          <w:szCs w:val="24"/>
        </w:rPr>
        <w:t>1.1.2.14 目：</w:t>
      </w:r>
    </w:p>
    <w:p w14:paraId="0A810EB8">
      <w:pPr>
        <w:spacing w:before="183" w:line="220" w:lineRule="auto"/>
        <w:ind w:left="507"/>
        <w:rPr>
          <w:rFonts w:ascii="宋体" w:hAnsi="宋体" w:eastAsia="宋体" w:cs="宋体"/>
          <w:sz w:val="24"/>
          <w:szCs w:val="24"/>
        </w:rPr>
      </w:pPr>
      <w:r>
        <w:rPr>
          <w:rFonts w:ascii="宋体" w:hAnsi="宋体" w:eastAsia="宋体" w:cs="宋体"/>
          <w:spacing w:val="-7"/>
          <w:sz w:val="24"/>
          <w:szCs w:val="24"/>
        </w:rPr>
        <w:t>1.1.2.9</w:t>
      </w:r>
      <w:r>
        <w:rPr>
          <w:rFonts w:ascii="宋体" w:hAnsi="宋体" w:eastAsia="宋体" w:cs="宋体"/>
          <w:spacing w:val="-41"/>
          <w:sz w:val="24"/>
          <w:szCs w:val="24"/>
        </w:rPr>
        <w:t xml:space="preserve"> </w:t>
      </w:r>
      <w:r>
        <w:rPr>
          <w:rFonts w:ascii="宋体" w:hAnsi="宋体" w:eastAsia="宋体" w:cs="宋体"/>
          <w:spacing w:val="-7"/>
          <w:sz w:val="24"/>
          <w:szCs w:val="24"/>
        </w:rPr>
        <w:t>发包人代表：</w:t>
      </w:r>
    </w:p>
    <w:p w14:paraId="07356A99">
      <w:pPr>
        <w:spacing w:before="183" w:line="360" w:lineRule="auto"/>
        <w:ind w:left="8" w:firstLine="484"/>
        <w:rPr>
          <w:rFonts w:ascii="宋体" w:hAnsi="宋体" w:eastAsia="宋体" w:cs="宋体"/>
          <w:sz w:val="24"/>
          <w:szCs w:val="24"/>
        </w:rPr>
      </w:pPr>
      <w:r>
        <w:rPr>
          <w:rFonts w:ascii="宋体" w:hAnsi="宋体" w:eastAsia="宋体" w:cs="宋体"/>
          <w:spacing w:val="-2"/>
          <w:sz w:val="24"/>
          <w:szCs w:val="24"/>
        </w:rPr>
        <w:t>发包人代表（或称发包人驻地代表）是发包人派出到合同段执行发包人授予的一定</w:t>
      </w:r>
      <w:r>
        <w:rPr>
          <w:rFonts w:ascii="宋体" w:hAnsi="宋体" w:eastAsia="宋体" w:cs="宋体"/>
          <w:spacing w:val="-4"/>
          <w:sz w:val="24"/>
          <w:szCs w:val="24"/>
        </w:rPr>
        <w:t>权力及职责的现场管理人员。</w:t>
      </w:r>
    </w:p>
    <w:p w14:paraId="388E4272">
      <w:pPr>
        <w:spacing w:line="219" w:lineRule="auto"/>
        <w:ind w:left="507"/>
        <w:rPr>
          <w:rFonts w:ascii="宋体" w:hAnsi="宋体" w:eastAsia="宋体" w:cs="宋体"/>
          <w:sz w:val="24"/>
          <w:szCs w:val="24"/>
        </w:rPr>
      </w:pPr>
      <w:r>
        <w:rPr>
          <w:rFonts w:ascii="宋体" w:hAnsi="宋体" w:eastAsia="宋体" w:cs="宋体"/>
          <w:spacing w:val="-4"/>
          <w:sz w:val="24"/>
          <w:szCs w:val="24"/>
        </w:rPr>
        <w:t>1.1.2.10</w:t>
      </w:r>
      <w:r>
        <w:rPr>
          <w:rFonts w:ascii="宋体" w:hAnsi="宋体" w:eastAsia="宋体" w:cs="宋体"/>
          <w:spacing w:val="-50"/>
          <w:sz w:val="24"/>
          <w:szCs w:val="24"/>
        </w:rPr>
        <w:t xml:space="preserve"> </w:t>
      </w:r>
      <w:r>
        <w:rPr>
          <w:rFonts w:ascii="宋体" w:hAnsi="宋体" w:eastAsia="宋体" w:cs="宋体"/>
          <w:spacing w:val="-4"/>
          <w:sz w:val="24"/>
          <w:szCs w:val="24"/>
        </w:rPr>
        <w:t>试验检测中心承包人（试验人</w:t>
      </w:r>
      <w:r>
        <w:rPr>
          <w:rFonts w:ascii="宋体" w:hAnsi="宋体" w:eastAsia="宋体" w:cs="宋体"/>
          <w:spacing w:val="-3"/>
          <w:sz w:val="24"/>
          <w:szCs w:val="24"/>
        </w:rPr>
        <w:t>）：</w:t>
      </w:r>
    </w:p>
    <w:p w14:paraId="5748EEB8">
      <w:pPr>
        <w:spacing w:before="183" w:line="360" w:lineRule="auto"/>
        <w:ind w:left="10" w:firstLine="483"/>
        <w:rPr>
          <w:rFonts w:ascii="宋体" w:hAnsi="宋体" w:eastAsia="宋体" w:cs="宋体"/>
          <w:sz w:val="24"/>
          <w:szCs w:val="24"/>
        </w:rPr>
      </w:pPr>
      <w:r>
        <w:rPr>
          <w:rFonts w:ascii="宋体" w:hAnsi="宋体" w:eastAsia="宋体" w:cs="宋体"/>
          <w:spacing w:val="-2"/>
          <w:sz w:val="24"/>
          <w:szCs w:val="24"/>
        </w:rPr>
        <w:t>受发包人委托实施本合同工程试验检测工作管理的法人或其他组织，代表发包人对本合同工程进行抽检，以及对承包人的试验检测工作进行现场管理。</w:t>
      </w:r>
    </w:p>
    <w:p w14:paraId="0C1C545F">
      <w:pPr>
        <w:spacing w:before="1" w:line="218" w:lineRule="auto"/>
        <w:ind w:left="507"/>
        <w:rPr>
          <w:rFonts w:ascii="宋体" w:hAnsi="宋体" w:eastAsia="宋体" w:cs="宋体"/>
          <w:sz w:val="24"/>
          <w:szCs w:val="24"/>
        </w:rPr>
      </w:pPr>
      <w:r>
        <w:rPr>
          <w:rFonts w:ascii="宋体" w:hAnsi="宋体" w:eastAsia="宋体" w:cs="宋体"/>
          <w:spacing w:val="-4"/>
          <w:sz w:val="24"/>
          <w:szCs w:val="24"/>
        </w:rPr>
        <w:t>1.1.2.11</w:t>
      </w:r>
      <w:r>
        <w:rPr>
          <w:rFonts w:ascii="宋体" w:hAnsi="宋体" w:eastAsia="宋体" w:cs="宋体"/>
          <w:spacing w:val="-44"/>
          <w:sz w:val="24"/>
          <w:szCs w:val="24"/>
        </w:rPr>
        <w:t xml:space="preserve"> </w:t>
      </w:r>
      <w:r>
        <w:rPr>
          <w:rFonts w:ascii="宋体" w:hAnsi="宋体" w:eastAsia="宋体" w:cs="宋体"/>
          <w:spacing w:val="-4"/>
          <w:sz w:val="24"/>
          <w:szCs w:val="24"/>
        </w:rPr>
        <w:t>第三方监测、风险管理及科研单位：</w:t>
      </w:r>
    </w:p>
    <w:p w14:paraId="3BD880A8">
      <w:pPr>
        <w:spacing w:before="183" w:line="219" w:lineRule="auto"/>
        <w:ind w:left="494"/>
        <w:rPr>
          <w:rFonts w:ascii="宋体" w:hAnsi="宋体" w:eastAsia="宋体" w:cs="宋体"/>
          <w:sz w:val="24"/>
          <w:szCs w:val="24"/>
        </w:rPr>
      </w:pPr>
      <w:r>
        <w:rPr>
          <w:rFonts w:ascii="宋体" w:hAnsi="宋体" w:eastAsia="宋体" w:cs="宋体"/>
          <w:spacing w:val="-1"/>
          <w:sz w:val="24"/>
          <w:szCs w:val="24"/>
        </w:rPr>
        <w:t>受发包人委托实施本合同工程监测、风险管</w:t>
      </w:r>
      <w:r>
        <w:rPr>
          <w:rFonts w:ascii="宋体" w:hAnsi="宋体" w:eastAsia="宋体" w:cs="宋体"/>
          <w:spacing w:val="-2"/>
          <w:sz w:val="24"/>
          <w:szCs w:val="24"/>
        </w:rPr>
        <w:t>理及科研任务的法人或其他组织。</w:t>
      </w:r>
    </w:p>
    <w:p w14:paraId="5D5C7566">
      <w:pPr>
        <w:spacing w:before="184" w:line="220" w:lineRule="auto"/>
        <w:ind w:left="507"/>
        <w:rPr>
          <w:rFonts w:ascii="宋体" w:hAnsi="宋体" w:eastAsia="宋体" w:cs="宋体"/>
          <w:sz w:val="24"/>
          <w:szCs w:val="24"/>
        </w:rPr>
      </w:pPr>
      <w:r>
        <w:rPr>
          <w:rFonts w:ascii="宋体" w:hAnsi="宋体" w:eastAsia="宋体" w:cs="宋体"/>
          <w:spacing w:val="-7"/>
          <w:sz w:val="24"/>
          <w:szCs w:val="24"/>
        </w:rPr>
        <w:t>1.1.2.12</w:t>
      </w:r>
      <w:r>
        <w:rPr>
          <w:rFonts w:ascii="宋体" w:hAnsi="宋体" w:eastAsia="宋体" w:cs="宋体"/>
          <w:spacing w:val="-40"/>
          <w:sz w:val="24"/>
          <w:szCs w:val="24"/>
        </w:rPr>
        <w:t xml:space="preserve"> </w:t>
      </w:r>
      <w:r>
        <w:rPr>
          <w:rFonts w:ascii="宋体" w:hAnsi="宋体" w:eastAsia="宋体" w:cs="宋体"/>
          <w:spacing w:val="-7"/>
          <w:sz w:val="24"/>
          <w:szCs w:val="24"/>
        </w:rPr>
        <w:t>质量总监：</w:t>
      </w:r>
    </w:p>
    <w:p w14:paraId="0D6B38A4">
      <w:pPr>
        <w:spacing w:before="182" w:line="360" w:lineRule="auto"/>
        <w:ind w:left="9" w:firstLine="486"/>
        <w:jc w:val="both"/>
        <w:rPr>
          <w:rFonts w:ascii="宋体" w:hAnsi="宋体" w:eastAsia="宋体" w:cs="宋体"/>
          <w:sz w:val="24"/>
          <w:szCs w:val="24"/>
        </w:rPr>
      </w:pPr>
      <w:r>
        <w:rPr>
          <w:rFonts w:ascii="宋体" w:hAnsi="宋体" w:eastAsia="宋体" w:cs="宋体"/>
          <w:spacing w:val="-2"/>
          <w:sz w:val="24"/>
          <w:szCs w:val="24"/>
        </w:rPr>
        <w:t>高速公路</w:t>
      </w:r>
      <w:r>
        <w:rPr>
          <w:rFonts w:hint="eastAsia" w:ascii="宋体" w:hAnsi="宋体" w:cs="宋体"/>
          <w:spacing w:val="-2"/>
          <w:sz w:val="24"/>
          <w:szCs w:val="24"/>
          <w:lang w:eastAsia="zh-CN"/>
        </w:rPr>
        <w:t>（</w:t>
      </w:r>
      <w:r>
        <w:rPr>
          <w:rFonts w:ascii="宋体" w:hAnsi="宋体" w:eastAsia="宋体" w:cs="宋体"/>
          <w:spacing w:val="-2"/>
          <w:sz w:val="24"/>
          <w:szCs w:val="24"/>
        </w:rPr>
        <w:t>含改扩建</w:t>
      </w:r>
      <w:r>
        <w:rPr>
          <w:rFonts w:hint="eastAsia" w:ascii="宋体" w:hAnsi="宋体" w:cs="宋体"/>
          <w:spacing w:val="-2"/>
          <w:sz w:val="24"/>
          <w:szCs w:val="24"/>
          <w:lang w:eastAsia="zh-CN"/>
        </w:rPr>
        <w:t>）</w:t>
      </w:r>
      <w:r>
        <w:rPr>
          <w:rFonts w:ascii="宋体" w:hAnsi="宋体" w:eastAsia="宋体" w:cs="宋体"/>
          <w:spacing w:val="-2"/>
          <w:sz w:val="24"/>
          <w:szCs w:val="24"/>
        </w:rPr>
        <w:t>施工合同段应设置质量总监，承包人直接派驻，不隶属于项目部，代表承包人对项目部进行监管，是项目质量监督体系直接责任人，严格执行相关质量验收标准，负责项目质量总体策划，协助项目经理建立质量保证体系，督促各系统落</w:t>
      </w:r>
      <w:r>
        <w:rPr>
          <w:rFonts w:ascii="宋体" w:hAnsi="宋体" w:eastAsia="宋体" w:cs="宋体"/>
          <w:spacing w:val="-7"/>
          <w:sz w:val="24"/>
          <w:szCs w:val="24"/>
        </w:rPr>
        <w:t>实质量责任。</w:t>
      </w:r>
    </w:p>
    <w:p w14:paraId="048056BF">
      <w:pPr>
        <w:spacing w:before="1" w:line="220" w:lineRule="auto"/>
        <w:ind w:left="507"/>
        <w:rPr>
          <w:rFonts w:ascii="宋体" w:hAnsi="宋体" w:eastAsia="宋体" w:cs="宋体"/>
          <w:sz w:val="24"/>
          <w:szCs w:val="24"/>
        </w:rPr>
      </w:pPr>
      <w:r>
        <w:rPr>
          <w:rFonts w:ascii="宋体" w:hAnsi="宋体" w:eastAsia="宋体" w:cs="宋体"/>
          <w:spacing w:val="-7"/>
          <w:sz w:val="24"/>
          <w:szCs w:val="24"/>
        </w:rPr>
        <w:t>1.1.2.13</w:t>
      </w:r>
      <w:r>
        <w:rPr>
          <w:rFonts w:ascii="宋体" w:hAnsi="宋体" w:eastAsia="宋体" w:cs="宋体"/>
          <w:spacing w:val="-39"/>
          <w:sz w:val="24"/>
          <w:szCs w:val="24"/>
        </w:rPr>
        <w:t xml:space="preserve"> </w:t>
      </w:r>
      <w:r>
        <w:rPr>
          <w:rFonts w:ascii="宋体" w:hAnsi="宋体" w:eastAsia="宋体" w:cs="宋体"/>
          <w:spacing w:val="-7"/>
          <w:sz w:val="24"/>
          <w:szCs w:val="24"/>
        </w:rPr>
        <w:t>安全总监：</w:t>
      </w:r>
    </w:p>
    <w:p w14:paraId="759EEB57">
      <w:pPr>
        <w:spacing w:before="181" w:line="361" w:lineRule="auto"/>
        <w:ind w:left="9" w:firstLine="486"/>
        <w:jc w:val="both"/>
        <w:rPr>
          <w:rFonts w:ascii="宋体" w:hAnsi="宋体" w:eastAsia="宋体" w:cs="宋体"/>
          <w:sz w:val="24"/>
          <w:szCs w:val="24"/>
        </w:rPr>
      </w:pPr>
      <w:r>
        <w:rPr>
          <w:rFonts w:ascii="宋体" w:hAnsi="宋体" w:eastAsia="宋体" w:cs="宋体"/>
          <w:spacing w:val="-2"/>
          <w:sz w:val="24"/>
          <w:szCs w:val="24"/>
        </w:rPr>
        <w:t>高速公路</w:t>
      </w:r>
      <w:r>
        <w:rPr>
          <w:rFonts w:hint="eastAsia" w:ascii="宋体" w:hAnsi="宋体" w:cs="宋体"/>
          <w:spacing w:val="-2"/>
          <w:sz w:val="24"/>
          <w:szCs w:val="24"/>
          <w:lang w:eastAsia="zh-CN"/>
        </w:rPr>
        <w:t>（</w:t>
      </w:r>
      <w:r>
        <w:rPr>
          <w:rFonts w:ascii="宋体" w:hAnsi="宋体" w:eastAsia="宋体" w:cs="宋体"/>
          <w:spacing w:val="-2"/>
          <w:sz w:val="24"/>
          <w:szCs w:val="24"/>
        </w:rPr>
        <w:t>含改扩建</w:t>
      </w:r>
      <w:r>
        <w:rPr>
          <w:rFonts w:hint="eastAsia" w:ascii="宋体" w:hAnsi="宋体" w:cs="宋体"/>
          <w:spacing w:val="-2"/>
          <w:sz w:val="24"/>
          <w:szCs w:val="24"/>
          <w:lang w:eastAsia="zh-CN"/>
        </w:rPr>
        <w:t>）</w:t>
      </w:r>
      <w:r>
        <w:rPr>
          <w:rFonts w:ascii="宋体" w:hAnsi="宋体" w:eastAsia="宋体" w:cs="宋体"/>
          <w:spacing w:val="-2"/>
          <w:sz w:val="24"/>
          <w:szCs w:val="24"/>
        </w:rPr>
        <w:t>施工合同段应设置安全总监，承包人直接派驻，不隶属于项目部，代表承包人对项目部进行监管，是项目安全监督体系直接责任人，严格执行安全法</w:t>
      </w:r>
      <w:r>
        <w:rPr>
          <w:rFonts w:ascii="宋体" w:hAnsi="宋体" w:eastAsia="宋体" w:cs="宋体"/>
          <w:spacing w:val="-6"/>
          <w:sz w:val="24"/>
          <w:szCs w:val="24"/>
        </w:rPr>
        <w:t>律法规、标准及规章制度，</w:t>
      </w:r>
      <w:r>
        <w:rPr>
          <w:rFonts w:ascii="宋体" w:hAnsi="宋体" w:eastAsia="宋体" w:cs="宋体"/>
          <w:spacing w:val="49"/>
          <w:sz w:val="24"/>
          <w:szCs w:val="24"/>
        </w:rPr>
        <w:t xml:space="preserve"> </w:t>
      </w:r>
      <w:r>
        <w:rPr>
          <w:rFonts w:ascii="宋体" w:hAnsi="宋体" w:eastAsia="宋体" w:cs="宋体"/>
          <w:spacing w:val="-6"/>
          <w:sz w:val="24"/>
          <w:szCs w:val="24"/>
        </w:rPr>
        <w:t>对项目安全管理体系建设、安全生产、教育培训等工作负综</w:t>
      </w:r>
      <w:r>
        <w:rPr>
          <w:rFonts w:ascii="宋体" w:hAnsi="宋体" w:eastAsia="宋体" w:cs="宋体"/>
          <w:spacing w:val="-7"/>
          <w:sz w:val="24"/>
          <w:szCs w:val="24"/>
        </w:rPr>
        <w:t>合监督责任。</w:t>
      </w:r>
    </w:p>
    <w:p w14:paraId="27A7E874">
      <w:pPr>
        <w:spacing w:line="361" w:lineRule="auto"/>
        <w:rPr>
          <w:rFonts w:ascii="宋体" w:hAnsi="宋体" w:eastAsia="宋体" w:cs="宋体"/>
          <w:sz w:val="24"/>
          <w:szCs w:val="24"/>
        </w:rPr>
        <w:sectPr>
          <w:footerReference r:id="rId50" w:type="default"/>
          <w:pgSz w:w="11905" w:h="16840"/>
          <w:pgMar w:top="1182" w:right="1416" w:bottom="1171" w:left="1416" w:header="849" w:footer="937" w:gutter="0"/>
          <w:pgNumType w:fmt="decimal"/>
          <w:cols w:space="720" w:num="1"/>
        </w:sectPr>
      </w:pPr>
    </w:p>
    <w:p w14:paraId="066E7363">
      <w:pPr>
        <w:pStyle w:val="2"/>
        <w:spacing w:line="267" w:lineRule="auto"/>
      </w:pPr>
    </w:p>
    <w:p w14:paraId="4FFB6436">
      <w:pPr>
        <w:spacing w:before="78" w:line="220" w:lineRule="auto"/>
        <w:ind w:left="507"/>
        <w:rPr>
          <w:rFonts w:ascii="宋体" w:hAnsi="宋体" w:eastAsia="宋体" w:cs="宋体"/>
          <w:sz w:val="24"/>
          <w:szCs w:val="24"/>
        </w:rPr>
      </w:pPr>
      <w:r>
        <w:rPr>
          <w:rFonts w:ascii="宋体" w:hAnsi="宋体" w:eastAsia="宋体" w:cs="宋体"/>
          <w:spacing w:val="-7"/>
          <w:sz w:val="24"/>
          <w:szCs w:val="24"/>
        </w:rPr>
        <w:t>1.1.2.14</w:t>
      </w:r>
      <w:r>
        <w:rPr>
          <w:rFonts w:ascii="宋体" w:hAnsi="宋体" w:eastAsia="宋体" w:cs="宋体"/>
          <w:spacing w:val="-43"/>
          <w:sz w:val="24"/>
          <w:szCs w:val="24"/>
        </w:rPr>
        <w:t xml:space="preserve"> </w:t>
      </w:r>
      <w:r>
        <w:rPr>
          <w:rFonts w:ascii="宋体" w:hAnsi="宋体" w:eastAsia="宋体" w:cs="宋体"/>
          <w:spacing w:val="-7"/>
          <w:sz w:val="24"/>
          <w:szCs w:val="24"/>
        </w:rPr>
        <w:t>项目部：</w:t>
      </w:r>
    </w:p>
    <w:p w14:paraId="4754A126">
      <w:pPr>
        <w:spacing w:before="182" w:line="360" w:lineRule="auto"/>
        <w:ind w:left="18" w:right="15" w:firstLine="470"/>
        <w:rPr>
          <w:rFonts w:ascii="宋体" w:hAnsi="宋体" w:eastAsia="宋体" w:cs="宋体"/>
          <w:sz w:val="24"/>
          <w:szCs w:val="24"/>
        </w:rPr>
      </w:pPr>
      <w:r>
        <w:rPr>
          <w:rFonts w:ascii="宋体" w:hAnsi="宋体" w:eastAsia="宋体" w:cs="宋体"/>
          <w:spacing w:val="-8"/>
          <w:sz w:val="24"/>
          <w:szCs w:val="24"/>
        </w:rPr>
        <w:t>根据《广东省公路工程施工项目部管理指南（试行）》，</w:t>
      </w:r>
      <w:r>
        <w:rPr>
          <w:rFonts w:ascii="宋体" w:hAnsi="宋体" w:eastAsia="宋体" w:cs="宋体"/>
          <w:spacing w:val="-45"/>
          <w:sz w:val="24"/>
          <w:szCs w:val="24"/>
        </w:rPr>
        <w:t xml:space="preserve"> </w:t>
      </w:r>
      <w:r>
        <w:rPr>
          <w:rFonts w:ascii="宋体" w:hAnsi="宋体" w:eastAsia="宋体" w:cs="宋体"/>
          <w:spacing w:val="-8"/>
          <w:sz w:val="24"/>
          <w:szCs w:val="24"/>
        </w:rPr>
        <w:t>项目部指</w:t>
      </w:r>
      <w:r>
        <w:rPr>
          <w:rFonts w:ascii="宋体" w:hAnsi="宋体" w:eastAsia="宋体" w:cs="宋体"/>
          <w:spacing w:val="-9"/>
          <w:sz w:val="24"/>
          <w:szCs w:val="24"/>
        </w:rPr>
        <w:t>由施工单位成立，</w:t>
      </w:r>
      <w:r>
        <w:rPr>
          <w:rFonts w:ascii="宋体" w:hAnsi="宋体" w:eastAsia="宋体" w:cs="宋体"/>
          <w:spacing w:val="-5"/>
          <w:sz w:val="24"/>
          <w:szCs w:val="24"/>
        </w:rPr>
        <w:t>负责项目施工的授权机构。</w:t>
      </w:r>
    </w:p>
    <w:p w14:paraId="6E129094">
      <w:pPr>
        <w:spacing w:line="219" w:lineRule="auto"/>
        <w:ind w:left="489"/>
        <w:rPr>
          <w:rFonts w:ascii="宋体" w:hAnsi="宋体" w:eastAsia="宋体" w:cs="宋体"/>
          <w:sz w:val="24"/>
          <w:szCs w:val="24"/>
        </w:rPr>
      </w:pPr>
      <w:r>
        <w:rPr>
          <w:rFonts w:ascii="宋体" w:hAnsi="宋体" w:eastAsia="宋体" w:cs="宋体"/>
          <w:spacing w:val="-10"/>
          <w:sz w:val="24"/>
          <w:szCs w:val="24"/>
        </w:rPr>
        <w:t>第</w:t>
      </w:r>
      <w:r>
        <w:rPr>
          <w:rFonts w:ascii="宋体" w:hAnsi="宋体" w:eastAsia="宋体" w:cs="宋体"/>
          <w:spacing w:val="-29"/>
          <w:sz w:val="24"/>
          <w:szCs w:val="24"/>
        </w:rPr>
        <w:t xml:space="preserve"> </w:t>
      </w:r>
      <w:r>
        <w:rPr>
          <w:rFonts w:ascii="宋体" w:hAnsi="宋体" w:eastAsia="宋体" w:cs="宋体"/>
          <w:spacing w:val="-10"/>
          <w:sz w:val="24"/>
          <w:szCs w:val="24"/>
        </w:rPr>
        <w:t>1.1.3.9</w:t>
      </w:r>
      <w:r>
        <w:rPr>
          <w:rFonts w:ascii="宋体" w:hAnsi="宋体" w:eastAsia="宋体" w:cs="宋体"/>
          <w:spacing w:val="55"/>
          <w:sz w:val="24"/>
          <w:szCs w:val="24"/>
        </w:rPr>
        <w:t xml:space="preserve"> </w:t>
      </w:r>
      <w:r>
        <w:rPr>
          <w:rFonts w:ascii="宋体" w:hAnsi="宋体" w:eastAsia="宋体" w:cs="宋体"/>
          <w:spacing w:val="-10"/>
          <w:sz w:val="24"/>
          <w:szCs w:val="24"/>
        </w:rPr>
        <w:t>目细化为：</w:t>
      </w:r>
    </w:p>
    <w:p w14:paraId="220276EE">
      <w:pPr>
        <w:spacing w:before="182" w:line="360" w:lineRule="auto"/>
        <w:ind w:left="9" w:right="84" w:firstLine="497"/>
        <w:jc w:val="both"/>
        <w:rPr>
          <w:rFonts w:ascii="宋体" w:hAnsi="宋体" w:eastAsia="宋体" w:cs="宋体"/>
          <w:sz w:val="24"/>
          <w:szCs w:val="24"/>
        </w:rPr>
      </w:pPr>
      <w:r>
        <w:rPr>
          <w:rFonts w:ascii="宋体" w:hAnsi="宋体" w:eastAsia="宋体" w:cs="宋体"/>
          <w:spacing w:val="-5"/>
          <w:sz w:val="24"/>
          <w:szCs w:val="24"/>
        </w:rPr>
        <w:t>1.1.3.9 施工场地（或称工地、现场</w:t>
      </w:r>
      <w:r>
        <w:rPr>
          <w:rFonts w:ascii="宋体" w:hAnsi="宋体" w:eastAsia="宋体" w:cs="宋体"/>
          <w:spacing w:val="-13"/>
          <w:sz w:val="24"/>
          <w:szCs w:val="24"/>
        </w:rPr>
        <w:t>）</w:t>
      </w:r>
      <w:r>
        <w:rPr>
          <w:rFonts w:ascii="宋体" w:hAnsi="宋体" w:eastAsia="宋体" w:cs="宋体"/>
          <w:spacing w:val="38"/>
          <w:sz w:val="24"/>
          <w:szCs w:val="24"/>
        </w:rPr>
        <w:t xml:space="preserve"> </w:t>
      </w:r>
      <w:r>
        <w:rPr>
          <w:rFonts w:ascii="宋体" w:hAnsi="宋体" w:eastAsia="宋体" w:cs="宋体"/>
          <w:spacing w:val="-13"/>
          <w:sz w:val="24"/>
          <w:szCs w:val="24"/>
        </w:rPr>
        <w:t>：</w:t>
      </w:r>
      <w:r>
        <w:rPr>
          <w:rFonts w:ascii="宋体" w:hAnsi="宋体" w:eastAsia="宋体" w:cs="宋体"/>
          <w:spacing w:val="-6"/>
          <w:sz w:val="24"/>
          <w:szCs w:val="24"/>
        </w:rPr>
        <w:t>指用于合同工程施工的场所，以及在合同</w:t>
      </w:r>
      <w:r>
        <w:rPr>
          <w:rFonts w:ascii="宋体" w:hAnsi="宋体" w:eastAsia="宋体" w:cs="宋体"/>
          <w:spacing w:val="-5"/>
          <w:sz w:val="24"/>
          <w:szCs w:val="24"/>
        </w:rPr>
        <w:t>中指定作为施工场地组成部分的其他场所。本合同中除特别说明之外， 施工场地应包含</w:t>
      </w:r>
      <w:r>
        <w:rPr>
          <w:rFonts w:ascii="宋体" w:hAnsi="宋体" w:eastAsia="宋体" w:cs="宋体"/>
          <w:spacing w:val="-2"/>
          <w:sz w:val="24"/>
          <w:szCs w:val="24"/>
        </w:rPr>
        <w:t>加工制造场地、拼装场地（适用于特大桥梁工程中钢结构工程</w:t>
      </w:r>
      <w:r>
        <w:rPr>
          <w:rFonts w:ascii="宋体" w:hAnsi="宋体" w:eastAsia="宋体" w:cs="宋体"/>
          <w:spacing w:val="-3"/>
          <w:sz w:val="24"/>
          <w:szCs w:val="24"/>
        </w:rPr>
        <w:t>）、工地连接场地（适用</w:t>
      </w:r>
      <w:r>
        <w:rPr>
          <w:rFonts w:ascii="宋体" w:hAnsi="宋体" w:eastAsia="宋体" w:cs="宋体"/>
          <w:spacing w:val="-2"/>
          <w:sz w:val="24"/>
          <w:szCs w:val="24"/>
        </w:rPr>
        <w:t>于特大桥梁工程中钢结构工程）、架设场地（适用于特大桥梁工程中主缆、斜拉索及吊</w:t>
      </w:r>
      <w:r>
        <w:rPr>
          <w:rFonts w:ascii="宋体" w:hAnsi="宋体" w:eastAsia="宋体" w:cs="宋体"/>
          <w:spacing w:val="-9"/>
          <w:sz w:val="24"/>
          <w:szCs w:val="24"/>
        </w:rPr>
        <w:t>索）等。</w:t>
      </w:r>
    </w:p>
    <w:p w14:paraId="137D9A81">
      <w:pPr>
        <w:spacing w:line="360" w:lineRule="auto"/>
        <w:ind w:left="18" w:firstLine="470"/>
        <w:rPr>
          <w:rFonts w:ascii="宋体" w:hAnsi="宋体" w:eastAsia="宋体" w:cs="宋体"/>
          <w:sz w:val="24"/>
          <w:szCs w:val="24"/>
        </w:rPr>
      </w:pPr>
      <w:r>
        <w:rPr>
          <w:rFonts w:ascii="宋体" w:hAnsi="宋体" w:eastAsia="宋体" w:cs="宋体"/>
          <w:spacing w:val="-6"/>
          <w:sz w:val="24"/>
          <w:szCs w:val="24"/>
        </w:rPr>
        <w:t>加工制造场地：指承包人为完成本合同工程而进行板单元及各种零部件加工、矫正、</w:t>
      </w:r>
      <w:r>
        <w:rPr>
          <w:rFonts w:ascii="宋体" w:hAnsi="宋体" w:eastAsia="宋体" w:cs="宋体"/>
          <w:spacing w:val="-2"/>
          <w:sz w:val="24"/>
          <w:szCs w:val="24"/>
        </w:rPr>
        <w:t>喷涂作业的场地。（适用于特大桥梁工程中钢结构工程）</w:t>
      </w:r>
    </w:p>
    <w:p w14:paraId="700868F3">
      <w:pPr>
        <w:spacing w:line="360" w:lineRule="auto"/>
        <w:ind w:left="8" w:right="85" w:firstLine="480"/>
        <w:rPr>
          <w:rFonts w:ascii="宋体" w:hAnsi="宋体" w:eastAsia="宋体" w:cs="宋体"/>
          <w:sz w:val="24"/>
          <w:szCs w:val="24"/>
        </w:rPr>
      </w:pPr>
      <w:r>
        <w:rPr>
          <w:rFonts w:ascii="宋体" w:hAnsi="宋体" w:eastAsia="宋体" w:cs="宋体"/>
          <w:spacing w:val="-2"/>
          <w:sz w:val="24"/>
          <w:szCs w:val="24"/>
        </w:rPr>
        <w:t>拼装场地：指承包人利用板单元及各种零部件，完成钢结构梁段、节段拼装、防腐</w:t>
      </w:r>
      <w:r>
        <w:rPr>
          <w:rFonts w:ascii="宋体" w:hAnsi="宋体" w:eastAsia="宋体" w:cs="宋体"/>
          <w:spacing w:val="-6"/>
          <w:sz w:val="24"/>
          <w:szCs w:val="24"/>
        </w:rPr>
        <w:t>涂装施工，以及成品件存放、出运的场地。本合同中除特别说明之外，</w:t>
      </w:r>
      <w:r>
        <w:rPr>
          <w:rFonts w:ascii="宋体" w:hAnsi="宋体" w:eastAsia="宋体" w:cs="宋体"/>
          <w:spacing w:val="50"/>
          <w:sz w:val="24"/>
          <w:szCs w:val="24"/>
        </w:rPr>
        <w:t xml:space="preserve"> </w:t>
      </w:r>
      <w:r>
        <w:rPr>
          <w:rFonts w:ascii="宋体" w:hAnsi="宋体" w:eastAsia="宋体" w:cs="宋体"/>
          <w:spacing w:val="-6"/>
          <w:sz w:val="24"/>
          <w:szCs w:val="24"/>
        </w:rPr>
        <w:t>拼装场地应包括</w:t>
      </w:r>
      <w:r>
        <w:rPr>
          <w:rFonts w:ascii="宋体" w:hAnsi="宋体" w:eastAsia="宋体" w:cs="宋体"/>
          <w:spacing w:val="-2"/>
          <w:sz w:val="24"/>
          <w:szCs w:val="24"/>
        </w:rPr>
        <w:t>仓库、拼装厂房、涂装厂房、存梁场地、出运码头等。（适用于特大桥梁工程中钢结构</w:t>
      </w:r>
      <w:r>
        <w:rPr>
          <w:rFonts w:ascii="宋体" w:hAnsi="宋体" w:eastAsia="宋体" w:cs="宋体"/>
          <w:spacing w:val="-6"/>
          <w:sz w:val="24"/>
          <w:szCs w:val="24"/>
        </w:rPr>
        <w:t>工程）</w:t>
      </w:r>
    </w:p>
    <w:p w14:paraId="728D9D22">
      <w:pPr>
        <w:spacing w:line="220" w:lineRule="auto"/>
        <w:ind w:left="507"/>
        <w:rPr>
          <w:rFonts w:ascii="宋体" w:hAnsi="宋体" w:eastAsia="宋体" w:cs="宋体"/>
          <w:sz w:val="24"/>
          <w:szCs w:val="24"/>
        </w:rPr>
      </w:pPr>
      <w:r>
        <w:rPr>
          <w:rFonts w:ascii="宋体" w:hAnsi="宋体" w:eastAsia="宋体" w:cs="宋体"/>
          <w:spacing w:val="-5"/>
          <w:sz w:val="24"/>
          <w:szCs w:val="24"/>
        </w:rPr>
        <w:t>1.1.6</w:t>
      </w:r>
      <w:r>
        <w:rPr>
          <w:rFonts w:ascii="宋体" w:hAnsi="宋体" w:eastAsia="宋体" w:cs="宋体"/>
          <w:spacing w:val="-48"/>
          <w:sz w:val="24"/>
          <w:szCs w:val="24"/>
        </w:rPr>
        <w:t xml:space="preserve"> </w:t>
      </w:r>
      <w:r>
        <w:rPr>
          <w:rFonts w:ascii="宋体" w:hAnsi="宋体" w:eastAsia="宋体" w:cs="宋体"/>
          <w:spacing w:val="-5"/>
          <w:sz w:val="24"/>
          <w:szCs w:val="24"/>
        </w:rPr>
        <w:t>其他</w:t>
      </w:r>
    </w:p>
    <w:p w14:paraId="09F5063B">
      <w:pPr>
        <w:spacing w:before="181" w:line="220" w:lineRule="auto"/>
        <w:ind w:left="489"/>
        <w:rPr>
          <w:rFonts w:ascii="宋体" w:hAnsi="宋体" w:eastAsia="宋体" w:cs="宋体"/>
          <w:sz w:val="24"/>
          <w:szCs w:val="24"/>
        </w:rPr>
      </w:pPr>
      <w:r>
        <w:rPr>
          <w:rFonts w:ascii="宋体" w:hAnsi="宋体" w:eastAsia="宋体" w:cs="宋体"/>
          <w:spacing w:val="-9"/>
          <w:sz w:val="24"/>
          <w:szCs w:val="24"/>
        </w:rPr>
        <w:t>第</w:t>
      </w:r>
      <w:r>
        <w:rPr>
          <w:rFonts w:ascii="宋体" w:hAnsi="宋体" w:eastAsia="宋体" w:cs="宋体"/>
          <w:spacing w:val="-26"/>
          <w:sz w:val="24"/>
          <w:szCs w:val="24"/>
        </w:rPr>
        <w:t xml:space="preserve"> </w:t>
      </w:r>
      <w:r>
        <w:rPr>
          <w:rFonts w:ascii="宋体" w:hAnsi="宋体" w:eastAsia="宋体" w:cs="宋体"/>
          <w:spacing w:val="-9"/>
          <w:sz w:val="24"/>
          <w:szCs w:val="24"/>
        </w:rPr>
        <w:t>1.1.6.6 目至第</w:t>
      </w:r>
      <w:r>
        <w:rPr>
          <w:rFonts w:ascii="宋体" w:hAnsi="宋体" w:eastAsia="宋体" w:cs="宋体"/>
          <w:spacing w:val="-33"/>
          <w:sz w:val="24"/>
          <w:szCs w:val="24"/>
        </w:rPr>
        <w:t xml:space="preserve"> </w:t>
      </w:r>
      <w:r>
        <w:rPr>
          <w:rFonts w:ascii="宋体" w:hAnsi="宋体" w:eastAsia="宋体" w:cs="宋体"/>
          <w:spacing w:val="-9"/>
          <w:sz w:val="24"/>
          <w:szCs w:val="24"/>
        </w:rPr>
        <w:t>1.1.6.8 目细化为：</w:t>
      </w:r>
    </w:p>
    <w:p w14:paraId="4076C788">
      <w:pPr>
        <w:spacing w:before="183" w:line="360" w:lineRule="auto"/>
        <w:ind w:left="12" w:right="87" w:firstLine="494"/>
        <w:rPr>
          <w:rFonts w:ascii="宋体" w:hAnsi="宋体" w:eastAsia="宋体" w:cs="宋体"/>
          <w:sz w:val="24"/>
          <w:szCs w:val="24"/>
        </w:rPr>
      </w:pPr>
      <w:r>
        <w:rPr>
          <w:rFonts w:ascii="宋体" w:hAnsi="宋体" w:eastAsia="宋体" w:cs="宋体"/>
          <w:spacing w:val="-1"/>
          <w:sz w:val="24"/>
          <w:szCs w:val="24"/>
        </w:rPr>
        <w:t>1.1.6.6</w:t>
      </w:r>
      <w:r>
        <w:rPr>
          <w:rFonts w:ascii="宋体" w:hAnsi="宋体" w:eastAsia="宋体" w:cs="宋体"/>
          <w:spacing w:val="-40"/>
          <w:sz w:val="24"/>
          <w:szCs w:val="24"/>
        </w:rPr>
        <w:t xml:space="preserve"> </w:t>
      </w:r>
      <w:r>
        <w:rPr>
          <w:rFonts w:ascii="宋体" w:hAnsi="宋体" w:eastAsia="宋体" w:cs="宋体"/>
          <w:spacing w:val="-1"/>
          <w:sz w:val="24"/>
          <w:szCs w:val="24"/>
        </w:rPr>
        <w:t>转包：指承包人违反法律和不履行合同约定的责任和义务，将中标工程全部委托或以施工分包的名义将中标工程支解后全部委托给其他</w:t>
      </w:r>
      <w:r>
        <w:rPr>
          <w:rFonts w:ascii="宋体" w:hAnsi="宋体" w:eastAsia="宋体" w:cs="宋体"/>
          <w:spacing w:val="-2"/>
          <w:sz w:val="24"/>
          <w:szCs w:val="24"/>
        </w:rPr>
        <w:t>施工企业施工的行为。</w:t>
      </w:r>
    </w:p>
    <w:p w14:paraId="01446C0B">
      <w:pPr>
        <w:spacing w:line="360" w:lineRule="auto"/>
        <w:ind w:left="10" w:right="85" w:firstLine="496"/>
        <w:rPr>
          <w:rFonts w:ascii="宋体" w:hAnsi="宋体" w:eastAsia="宋体" w:cs="宋体"/>
          <w:sz w:val="24"/>
          <w:szCs w:val="24"/>
        </w:rPr>
      </w:pPr>
      <w:r>
        <w:rPr>
          <w:rFonts w:ascii="宋体" w:hAnsi="宋体" w:eastAsia="宋体" w:cs="宋体"/>
          <w:spacing w:val="-2"/>
          <w:sz w:val="24"/>
          <w:szCs w:val="24"/>
        </w:rPr>
        <w:t>1.1.6.7 施工分包：指承包人将其所承包工程中的部分单位工程、分部工程或者分项工程发包给专业分包人，整体结算，由分包人自行编制施工方案和组织完成全部施工作业并能独立控制分包工程质量、施工进度、生产安全等的施工活动。</w:t>
      </w:r>
    </w:p>
    <w:p w14:paraId="71785DAF">
      <w:pPr>
        <w:spacing w:line="360" w:lineRule="auto"/>
        <w:ind w:left="8" w:right="84" w:firstLine="498"/>
        <w:rPr>
          <w:rFonts w:ascii="宋体" w:hAnsi="宋体" w:eastAsia="宋体" w:cs="宋体"/>
          <w:sz w:val="24"/>
          <w:szCs w:val="24"/>
        </w:rPr>
      </w:pPr>
      <w:r>
        <w:rPr>
          <w:rFonts w:ascii="宋体" w:hAnsi="宋体" w:eastAsia="宋体" w:cs="宋体"/>
          <w:spacing w:val="-1"/>
          <w:sz w:val="24"/>
          <w:szCs w:val="24"/>
        </w:rPr>
        <w:t>1.1.6.8</w:t>
      </w:r>
      <w:r>
        <w:rPr>
          <w:rFonts w:ascii="宋体" w:hAnsi="宋体" w:eastAsia="宋体" w:cs="宋体"/>
          <w:spacing w:val="-45"/>
          <w:sz w:val="24"/>
          <w:szCs w:val="24"/>
        </w:rPr>
        <w:t xml:space="preserve"> </w:t>
      </w:r>
      <w:r>
        <w:rPr>
          <w:rFonts w:ascii="宋体" w:hAnsi="宋体" w:eastAsia="宋体" w:cs="宋体"/>
          <w:spacing w:val="-1"/>
          <w:sz w:val="24"/>
          <w:szCs w:val="24"/>
        </w:rPr>
        <w:t>劳务合作：指承包人（分包人）与他人合作完成的其他以劳务活动为主，</w:t>
      </w:r>
      <w:r>
        <w:rPr>
          <w:rFonts w:ascii="宋体" w:hAnsi="宋体" w:eastAsia="宋体" w:cs="宋体"/>
          <w:spacing w:val="-2"/>
          <w:sz w:val="24"/>
          <w:szCs w:val="24"/>
        </w:rPr>
        <w:t>由劳务企业提供劳务作业人员及所需机具（不限制规模</w:t>
      </w:r>
      <w:r>
        <w:rPr>
          <w:rFonts w:ascii="宋体" w:hAnsi="宋体" w:eastAsia="宋体" w:cs="宋体"/>
          <w:spacing w:val="9"/>
          <w:sz w:val="24"/>
          <w:szCs w:val="24"/>
        </w:rPr>
        <w:t>），</w:t>
      </w:r>
      <w:r>
        <w:rPr>
          <w:rFonts w:ascii="宋体" w:hAnsi="宋体" w:eastAsia="宋体" w:cs="宋体"/>
          <w:spacing w:val="-2"/>
          <w:sz w:val="24"/>
          <w:szCs w:val="24"/>
        </w:rPr>
        <w:t>由承包人（分包人</w:t>
      </w:r>
      <w:r>
        <w:rPr>
          <w:rFonts w:ascii="宋体" w:hAnsi="宋体" w:eastAsia="宋体" w:cs="宋体"/>
          <w:spacing w:val="-3"/>
          <w:sz w:val="24"/>
          <w:szCs w:val="24"/>
        </w:rPr>
        <w:t>）负责施</w:t>
      </w:r>
      <w:r>
        <w:rPr>
          <w:rFonts w:ascii="宋体" w:hAnsi="宋体" w:eastAsia="宋体" w:cs="宋体"/>
          <w:spacing w:val="-2"/>
          <w:sz w:val="24"/>
          <w:szCs w:val="24"/>
        </w:rPr>
        <w:t>工方案编制和组织实施并统一控制工程质量、施工进度、主要材料采购、生产安全等的</w:t>
      </w:r>
      <w:r>
        <w:rPr>
          <w:rFonts w:ascii="宋体" w:hAnsi="宋体" w:eastAsia="宋体" w:cs="宋体"/>
          <w:spacing w:val="-7"/>
          <w:sz w:val="24"/>
          <w:szCs w:val="24"/>
        </w:rPr>
        <w:t>施工活动。</w:t>
      </w:r>
    </w:p>
    <w:p w14:paraId="3F7F4553">
      <w:pPr>
        <w:spacing w:before="1" w:line="218" w:lineRule="auto"/>
        <w:ind w:left="490"/>
        <w:rPr>
          <w:rFonts w:ascii="宋体" w:hAnsi="宋体" w:eastAsia="宋体" w:cs="宋体"/>
          <w:sz w:val="24"/>
          <w:szCs w:val="24"/>
        </w:rPr>
      </w:pPr>
      <w:r>
        <w:rPr>
          <w:rFonts w:ascii="宋体" w:hAnsi="宋体" w:eastAsia="宋体" w:cs="宋体"/>
          <w:spacing w:val="-7"/>
          <w:sz w:val="24"/>
          <w:szCs w:val="24"/>
        </w:rPr>
        <w:t>本项补充第</w:t>
      </w:r>
      <w:r>
        <w:rPr>
          <w:rFonts w:ascii="宋体" w:hAnsi="宋体" w:eastAsia="宋体" w:cs="宋体"/>
          <w:spacing w:val="-23"/>
          <w:sz w:val="24"/>
          <w:szCs w:val="24"/>
        </w:rPr>
        <w:t xml:space="preserve"> </w:t>
      </w:r>
      <w:r>
        <w:rPr>
          <w:rFonts w:ascii="宋体" w:hAnsi="宋体" w:eastAsia="宋体" w:cs="宋体"/>
          <w:spacing w:val="-7"/>
          <w:sz w:val="24"/>
          <w:szCs w:val="24"/>
        </w:rPr>
        <w:t>1.1.6.10 目～第</w:t>
      </w:r>
      <w:r>
        <w:rPr>
          <w:rFonts w:ascii="宋体" w:hAnsi="宋体" w:eastAsia="宋体" w:cs="宋体"/>
          <w:spacing w:val="-33"/>
          <w:sz w:val="24"/>
          <w:szCs w:val="24"/>
        </w:rPr>
        <w:t xml:space="preserve"> </w:t>
      </w:r>
      <w:r>
        <w:rPr>
          <w:rFonts w:ascii="宋体" w:hAnsi="宋体" w:eastAsia="宋体" w:cs="宋体"/>
          <w:spacing w:val="-7"/>
          <w:sz w:val="24"/>
          <w:szCs w:val="24"/>
        </w:rPr>
        <w:t>1.1.6.14 目：</w:t>
      </w:r>
    </w:p>
    <w:p w14:paraId="61344F90">
      <w:pPr>
        <w:spacing w:before="183" w:line="220" w:lineRule="auto"/>
        <w:ind w:left="507"/>
        <w:rPr>
          <w:rFonts w:ascii="宋体" w:hAnsi="宋体" w:eastAsia="宋体" w:cs="宋体"/>
          <w:sz w:val="24"/>
          <w:szCs w:val="24"/>
        </w:rPr>
      </w:pPr>
      <w:r>
        <w:rPr>
          <w:rFonts w:ascii="宋体" w:hAnsi="宋体" w:eastAsia="宋体" w:cs="宋体"/>
          <w:spacing w:val="-6"/>
          <w:sz w:val="24"/>
          <w:szCs w:val="24"/>
        </w:rPr>
        <w:t>1.1.6.10</w:t>
      </w:r>
      <w:r>
        <w:rPr>
          <w:rFonts w:ascii="宋体" w:hAnsi="宋体" w:eastAsia="宋体" w:cs="宋体"/>
          <w:spacing w:val="-39"/>
          <w:sz w:val="24"/>
          <w:szCs w:val="24"/>
        </w:rPr>
        <w:t xml:space="preserve"> </w:t>
      </w:r>
      <w:r>
        <w:rPr>
          <w:rFonts w:ascii="宋体" w:hAnsi="宋体" w:eastAsia="宋体" w:cs="宋体"/>
          <w:spacing w:val="-6"/>
          <w:sz w:val="24"/>
          <w:szCs w:val="24"/>
        </w:rPr>
        <w:t>首件工程认可制：</w:t>
      </w:r>
    </w:p>
    <w:p w14:paraId="59F812A0">
      <w:pPr>
        <w:spacing w:before="183" w:line="362" w:lineRule="auto"/>
        <w:ind w:left="8" w:right="71" w:firstLine="480"/>
        <w:rPr>
          <w:rFonts w:ascii="宋体" w:hAnsi="宋体" w:eastAsia="宋体" w:cs="宋体"/>
          <w:sz w:val="24"/>
          <w:szCs w:val="24"/>
        </w:rPr>
      </w:pPr>
      <w:r>
        <w:rPr>
          <w:rFonts w:ascii="宋体" w:hAnsi="宋体" w:eastAsia="宋体" w:cs="宋体"/>
          <w:sz w:val="24"/>
          <w:szCs w:val="24"/>
        </w:rPr>
        <w:t>在分部分项工程正式批量施工前，开展首件（段/节）产品</w:t>
      </w:r>
      <w:r>
        <w:rPr>
          <w:rFonts w:ascii="宋体" w:hAnsi="宋体" w:eastAsia="宋体" w:cs="宋体"/>
          <w:spacing w:val="-1"/>
          <w:sz w:val="24"/>
          <w:szCs w:val="24"/>
        </w:rPr>
        <w:t>建造或实施首批试验性施工，用以验证并完善施工工艺和质量管控措施，用于指导后续同类工</w:t>
      </w:r>
      <w:r>
        <w:rPr>
          <w:rFonts w:ascii="宋体" w:hAnsi="宋体" w:eastAsia="宋体" w:cs="宋体"/>
          <w:spacing w:val="-2"/>
          <w:sz w:val="24"/>
          <w:szCs w:val="24"/>
        </w:rPr>
        <w:t>程标准化施工。</w:t>
      </w:r>
    </w:p>
    <w:p w14:paraId="265CA4C7">
      <w:pPr>
        <w:spacing w:line="362" w:lineRule="auto"/>
        <w:rPr>
          <w:rFonts w:ascii="宋体" w:hAnsi="宋体" w:eastAsia="宋体" w:cs="宋体"/>
          <w:sz w:val="24"/>
          <w:szCs w:val="24"/>
        </w:rPr>
        <w:sectPr>
          <w:footerReference r:id="rId51" w:type="default"/>
          <w:pgSz w:w="11905" w:h="16840"/>
          <w:pgMar w:top="1182" w:right="1331" w:bottom="1171" w:left="1416" w:header="849" w:footer="937" w:gutter="0"/>
          <w:pgNumType w:fmt="decimal"/>
          <w:cols w:space="720" w:num="1"/>
        </w:sectPr>
      </w:pPr>
    </w:p>
    <w:p w14:paraId="2BB01DD8">
      <w:pPr>
        <w:pStyle w:val="2"/>
        <w:spacing w:line="268" w:lineRule="auto"/>
      </w:pPr>
    </w:p>
    <w:p w14:paraId="2063CCE5">
      <w:pPr>
        <w:spacing w:before="78" w:line="360" w:lineRule="auto"/>
        <w:ind w:left="38" w:right="186" w:firstLine="451"/>
        <w:rPr>
          <w:rFonts w:ascii="宋体" w:hAnsi="宋体" w:eastAsia="宋体" w:cs="宋体"/>
          <w:sz w:val="24"/>
          <w:szCs w:val="24"/>
        </w:rPr>
      </w:pPr>
      <w:r>
        <w:rPr>
          <w:rFonts w:ascii="宋体" w:hAnsi="宋体" w:eastAsia="宋体" w:cs="宋体"/>
          <w:spacing w:val="-2"/>
          <w:sz w:val="24"/>
          <w:szCs w:val="24"/>
        </w:rPr>
        <w:t>开工前，项目部应根据项目首件工程管理相关规定编制首件工程计划，明确合同段</w:t>
      </w:r>
      <w:r>
        <w:rPr>
          <w:rFonts w:ascii="宋体" w:hAnsi="宋体" w:eastAsia="宋体" w:cs="宋体"/>
          <w:spacing w:val="-5"/>
          <w:sz w:val="24"/>
          <w:szCs w:val="24"/>
        </w:rPr>
        <w:t>内各分部分项工程首件施工安排。</w:t>
      </w:r>
    </w:p>
    <w:p w14:paraId="32441A4E">
      <w:pPr>
        <w:spacing w:line="360" w:lineRule="auto"/>
        <w:ind w:left="9" w:right="186" w:firstLine="482"/>
        <w:jc w:val="both"/>
        <w:rPr>
          <w:rFonts w:ascii="宋体" w:hAnsi="宋体" w:eastAsia="宋体" w:cs="宋体"/>
          <w:sz w:val="24"/>
          <w:szCs w:val="24"/>
        </w:rPr>
      </w:pPr>
      <w:r>
        <w:rPr>
          <w:rFonts w:ascii="宋体" w:hAnsi="宋体" w:eastAsia="宋体" w:cs="宋体"/>
          <w:spacing w:val="-2"/>
          <w:sz w:val="24"/>
          <w:szCs w:val="24"/>
        </w:rPr>
        <w:t>分部分项工程施工开始前，项目部应编制首件工程施工方案和开工报告报监理单位</w:t>
      </w:r>
      <w:r>
        <w:rPr>
          <w:rFonts w:ascii="宋体" w:hAnsi="宋体" w:eastAsia="宋体" w:cs="宋体"/>
          <w:spacing w:val="-6"/>
          <w:sz w:val="24"/>
          <w:szCs w:val="24"/>
        </w:rPr>
        <w:t>审批。监理单位审批后，</w:t>
      </w:r>
      <w:r>
        <w:rPr>
          <w:rFonts w:ascii="宋体" w:hAnsi="宋体" w:eastAsia="宋体" w:cs="宋体"/>
          <w:spacing w:val="49"/>
          <w:sz w:val="24"/>
          <w:szCs w:val="24"/>
        </w:rPr>
        <w:t xml:space="preserve"> </w:t>
      </w:r>
      <w:r>
        <w:rPr>
          <w:rFonts w:ascii="宋体" w:hAnsi="宋体" w:eastAsia="宋体" w:cs="宋体"/>
          <w:spacing w:val="-6"/>
          <w:sz w:val="24"/>
          <w:szCs w:val="24"/>
        </w:rPr>
        <w:t>项目部严格按照首件工程施工方案组织施工，施工过程中按照</w:t>
      </w:r>
      <w:r>
        <w:rPr>
          <w:rFonts w:ascii="宋体" w:hAnsi="宋体" w:eastAsia="宋体" w:cs="宋体"/>
          <w:spacing w:val="-1"/>
          <w:sz w:val="24"/>
          <w:szCs w:val="24"/>
        </w:rPr>
        <w:t>相关要求详细做好施工记录，包括材料使用、施工</w:t>
      </w:r>
      <w:r>
        <w:rPr>
          <w:rFonts w:ascii="宋体" w:hAnsi="宋体" w:eastAsia="宋体" w:cs="宋体"/>
          <w:spacing w:val="-2"/>
          <w:sz w:val="24"/>
          <w:szCs w:val="24"/>
        </w:rPr>
        <w:t>步骤、质量检验数据等。</w:t>
      </w:r>
    </w:p>
    <w:p w14:paraId="13ED0763">
      <w:pPr>
        <w:spacing w:line="360" w:lineRule="auto"/>
        <w:ind w:left="8" w:firstLine="484"/>
        <w:jc w:val="both"/>
        <w:rPr>
          <w:rFonts w:ascii="宋体" w:hAnsi="宋体" w:eastAsia="宋体" w:cs="宋体"/>
          <w:sz w:val="24"/>
          <w:szCs w:val="24"/>
        </w:rPr>
      </w:pPr>
      <w:r>
        <w:rPr>
          <w:rFonts w:ascii="宋体" w:hAnsi="宋体" w:eastAsia="宋体" w:cs="宋体"/>
          <w:spacing w:val="-3"/>
          <w:sz w:val="24"/>
          <w:szCs w:val="24"/>
        </w:rPr>
        <w:t>首件工程施工结束后，由项目总工程师牵头组织对首件工程进行全面质量</w:t>
      </w:r>
      <w:r>
        <w:rPr>
          <w:rFonts w:ascii="宋体" w:hAnsi="宋体" w:eastAsia="宋体" w:cs="宋体"/>
          <w:spacing w:val="-4"/>
          <w:sz w:val="24"/>
          <w:szCs w:val="24"/>
        </w:rPr>
        <w:t>检查评价，</w:t>
      </w:r>
      <w:r>
        <w:rPr>
          <w:rFonts w:ascii="宋体" w:hAnsi="宋体" w:eastAsia="宋体" w:cs="宋体"/>
          <w:sz w:val="24"/>
          <w:szCs w:val="24"/>
        </w:rPr>
        <w:t>从工程实体质量、施工工艺执行情况等多方面进行评估。检查合格后，编制首件总结，</w:t>
      </w:r>
      <w:r>
        <w:rPr>
          <w:rFonts w:ascii="宋体" w:hAnsi="宋体" w:eastAsia="宋体" w:cs="宋体"/>
          <w:spacing w:val="-1"/>
          <w:sz w:val="24"/>
          <w:szCs w:val="24"/>
        </w:rPr>
        <w:t>梳理施工过程中的经验、问题及改进措施，并向监理单位</w:t>
      </w:r>
      <w:r>
        <w:rPr>
          <w:rFonts w:ascii="宋体" w:hAnsi="宋体" w:eastAsia="宋体" w:cs="宋体"/>
          <w:spacing w:val="-2"/>
          <w:sz w:val="24"/>
          <w:szCs w:val="24"/>
        </w:rPr>
        <w:t>提出首件验收申请。</w:t>
      </w:r>
    </w:p>
    <w:p w14:paraId="4EAD6FF3">
      <w:pPr>
        <w:spacing w:before="3" w:line="359" w:lineRule="auto"/>
        <w:ind w:left="9" w:right="186" w:firstLine="483"/>
        <w:jc w:val="both"/>
        <w:rPr>
          <w:rFonts w:ascii="宋体" w:hAnsi="宋体" w:eastAsia="宋体" w:cs="宋体"/>
          <w:sz w:val="24"/>
          <w:szCs w:val="24"/>
        </w:rPr>
      </w:pPr>
      <w:r>
        <w:rPr>
          <w:rFonts w:ascii="宋体" w:hAnsi="宋体" w:eastAsia="宋体" w:cs="宋体"/>
          <w:spacing w:val="-2"/>
          <w:sz w:val="24"/>
          <w:szCs w:val="24"/>
        </w:rPr>
        <w:t>首件工程经验收合格后，应作为后续同类工程的施工标杆。项目部应严格按照首件工程总结的施工工艺，开展后续同类工程施工，落实“样板引路”的理念，确保施工质</w:t>
      </w:r>
      <w:r>
        <w:rPr>
          <w:rFonts w:ascii="宋体" w:hAnsi="宋体" w:eastAsia="宋体" w:cs="宋体"/>
          <w:spacing w:val="-7"/>
          <w:sz w:val="24"/>
          <w:szCs w:val="24"/>
        </w:rPr>
        <w:t>量的稳定性。</w:t>
      </w:r>
    </w:p>
    <w:p w14:paraId="28576FD0">
      <w:pPr>
        <w:spacing w:line="219" w:lineRule="auto"/>
        <w:ind w:left="507"/>
        <w:rPr>
          <w:rFonts w:ascii="宋体" w:hAnsi="宋体" w:eastAsia="宋体" w:cs="宋体"/>
          <w:sz w:val="24"/>
          <w:szCs w:val="24"/>
        </w:rPr>
      </w:pPr>
      <w:r>
        <w:rPr>
          <w:rFonts w:ascii="宋体" w:hAnsi="宋体" w:eastAsia="宋体" w:cs="宋体"/>
          <w:spacing w:val="-5"/>
          <w:sz w:val="24"/>
          <w:szCs w:val="24"/>
        </w:rPr>
        <w:t>1.1.6.11“管、监”分离：</w:t>
      </w:r>
    </w:p>
    <w:p w14:paraId="5B0A77B0">
      <w:pPr>
        <w:spacing w:before="182" w:line="220" w:lineRule="auto"/>
        <w:ind w:left="488"/>
        <w:rPr>
          <w:rFonts w:ascii="宋体" w:hAnsi="宋体" w:eastAsia="宋体" w:cs="宋体"/>
          <w:sz w:val="24"/>
          <w:szCs w:val="24"/>
        </w:rPr>
      </w:pPr>
      <w:r>
        <w:rPr>
          <w:rFonts w:ascii="宋体" w:hAnsi="宋体" w:eastAsia="宋体" w:cs="宋体"/>
          <w:spacing w:val="-1"/>
          <w:sz w:val="24"/>
          <w:szCs w:val="24"/>
        </w:rPr>
        <w:t>施工单位针对施工生产活动建立的管理职能和监督职能相</w:t>
      </w:r>
      <w:r>
        <w:rPr>
          <w:rFonts w:ascii="宋体" w:hAnsi="宋体" w:eastAsia="宋体" w:cs="宋体"/>
          <w:spacing w:val="-2"/>
          <w:sz w:val="24"/>
          <w:szCs w:val="24"/>
        </w:rPr>
        <w:t>互分离的管理制度。</w:t>
      </w:r>
    </w:p>
    <w:p w14:paraId="118BE2D9">
      <w:pPr>
        <w:spacing w:before="182" w:line="220" w:lineRule="auto"/>
        <w:ind w:left="507"/>
        <w:rPr>
          <w:rFonts w:ascii="宋体" w:hAnsi="宋体" w:eastAsia="宋体" w:cs="宋体"/>
          <w:sz w:val="24"/>
          <w:szCs w:val="24"/>
        </w:rPr>
      </w:pPr>
      <w:r>
        <w:rPr>
          <w:rFonts w:ascii="宋体" w:hAnsi="宋体" w:eastAsia="宋体" w:cs="宋体"/>
          <w:spacing w:val="-7"/>
          <w:sz w:val="24"/>
          <w:szCs w:val="24"/>
        </w:rPr>
        <w:t>1.1.6.12</w:t>
      </w:r>
      <w:r>
        <w:rPr>
          <w:rFonts w:ascii="宋体" w:hAnsi="宋体" w:eastAsia="宋体" w:cs="宋体"/>
          <w:spacing w:val="-44"/>
          <w:sz w:val="24"/>
          <w:szCs w:val="24"/>
        </w:rPr>
        <w:t xml:space="preserve"> </w:t>
      </w:r>
      <w:r>
        <w:rPr>
          <w:rFonts w:ascii="宋体" w:hAnsi="宋体" w:eastAsia="宋体" w:cs="宋体"/>
          <w:spacing w:val="-7"/>
          <w:sz w:val="24"/>
          <w:szCs w:val="24"/>
        </w:rPr>
        <w:t>三检制：</w:t>
      </w:r>
    </w:p>
    <w:p w14:paraId="75921C62">
      <w:pPr>
        <w:spacing w:before="182" w:line="220" w:lineRule="auto"/>
        <w:ind w:left="488"/>
        <w:rPr>
          <w:rFonts w:ascii="宋体" w:hAnsi="宋体" w:eastAsia="宋体" w:cs="宋体"/>
          <w:sz w:val="24"/>
          <w:szCs w:val="24"/>
        </w:rPr>
      </w:pPr>
      <w:r>
        <w:rPr>
          <w:rFonts w:ascii="宋体" w:hAnsi="宋体" w:eastAsia="宋体" w:cs="宋体"/>
          <w:spacing w:val="-1"/>
          <w:sz w:val="24"/>
          <w:szCs w:val="24"/>
        </w:rPr>
        <w:t>施工单位针对工序管理建立的自检、互检、专检</w:t>
      </w:r>
      <w:r>
        <w:rPr>
          <w:rFonts w:ascii="宋体" w:hAnsi="宋体" w:eastAsia="宋体" w:cs="宋体"/>
          <w:spacing w:val="-2"/>
          <w:sz w:val="24"/>
          <w:szCs w:val="24"/>
        </w:rPr>
        <w:t>相结合的质量检验制度。</w:t>
      </w:r>
    </w:p>
    <w:p w14:paraId="0A051FAF">
      <w:pPr>
        <w:spacing w:before="182" w:line="220" w:lineRule="auto"/>
        <w:ind w:left="507"/>
        <w:rPr>
          <w:rFonts w:ascii="宋体" w:hAnsi="宋体" w:eastAsia="宋体" w:cs="宋体"/>
          <w:sz w:val="24"/>
          <w:szCs w:val="24"/>
        </w:rPr>
      </w:pPr>
      <w:r>
        <w:rPr>
          <w:rFonts w:ascii="宋体" w:hAnsi="宋体" w:eastAsia="宋体" w:cs="宋体"/>
          <w:spacing w:val="-5"/>
          <w:sz w:val="24"/>
          <w:szCs w:val="24"/>
        </w:rPr>
        <w:t>1.1.6.13</w:t>
      </w:r>
      <w:r>
        <w:rPr>
          <w:rFonts w:ascii="宋体" w:hAnsi="宋体" w:eastAsia="宋体" w:cs="宋体"/>
          <w:spacing w:val="-40"/>
          <w:sz w:val="24"/>
          <w:szCs w:val="24"/>
        </w:rPr>
        <w:t xml:space="preserve"> </w:t>
      </w:r>
      <w:r>
        <w:rPr>
          <w:rFonts w:ascii="宋体" w:hAnsi="宋体" w:eastAsia="宋体" w:cs="宋体"/>
          <w:spacing w:val="-5"/>
          <w:sz w:val="24"/>
          <w:szCs w:val="24"/>
        </w:rPr>
        <w:t>工序验收一次性通过率：</w:t>
      </w:r>
    </w:p>
    <w:p w14:paraId="465C0EA5">
      <w:pPr>
        <w:spacing w:before="182" w:line="220" w:lineRule="auto"/>
        <w:ind w:left="493"/>
        <w:rPr>
          <w:rFonts w:ascii="宋体" w:hAnsi="宋体" w:eastAsia="宋体" w:cs="宋体"/>
          <w:sz w:val="24"/>
          <w:szCs w:val="24"/>
        </w:rPr>
      </w:pPr>
      <w:r>
        <w:rPr>
          <w:rFonts w:ascii="宋体" w:hAnsi="宋体" w:eastAsia="宋体" w:cs="宋体"/>
          <w:spacing w:val="-1"/>
          <w:sz w:val="24"/>
          <w:szCs w:val="24"/>
        </w:rPr>
        <w:t>一定周期内，某项（或全部）工序首次检查验收通过</w:t>
      </w:r>
      <w:r>
        <w:rPr>
          <w:rFonts w:ascii="宋体" w:hAnsi="宋体" w:eastAsia="宋体" w:cs="宋体"/>
          <w:spacing w:val="-2"/>
          <w:sz w:val="24"/>
          <w:szCs w:val="24"/>
        </w:rPr>
        <w:t>的次数占验收总次数的比率。</w:t>
      </w:r>
    </w:p>
    <w:p w14:paraId="55B48B86">
      <w:pPr>
        <w:spacing w:before="182" w:line="220" w:lineRule="auto"/>
        <w:ind w:left="507"/>
        <w:rPr>
          <w:rFonts w:ascii="宋体" w:hAnsi="宋体" w:eastAsia="宋体" w:cs="宋体"/>
          <w:sz w:val="24"/>
          <w:szCs w:val="24"/>
        </w:rPr>
      </w:pPr>
      <w:r>
        <w:rPr>
          <w:rFonts w:ascii="宋体" w:hAnsi="宋体" w:eastAsia="宋体" w:cs="宋体"/>
          <w:spacing w:val="-6"/>
          <w:sz w:val="24"/>
          <w:szCs w:val="24"/>
        </w:rPr>
        <w:t>1.1.6.14</w:t>
      </w:r>
      <w:r>
        <w:rPr>
          <w:rFonts w:ascii="宋体" w:hAnsi="宋体" w:eastAsia="宋体" w:cs="宋体"/>
          <w:spacing w:val="-48"/>
          <w:sz w:val="24"/>
          <w:szCs w:val="24"/>
        </w:rPr>
        <w:t xml:space="preserve"> </w:t>
      </w:r>
      <w:r>
        <w:rPr>
          <w:rFonts w:ascii="宋体" w:hAnsi="宋体" w:eastAsia="宋体" w:cs="宋体"/>
          <w:spacing w:val="-6"/>
          <w:sz w:val="24"/>
          <w:szCs w:val="24"/>
        </w:rPr>
        <w:t>差异化管理：</w:t>
      </w:r>
    </w:p>
    <w:p w14:paraId="3FFC0FBE">
      <w:pPr>
        <w:spacing w:before="182" w:line="360" w:lineRule="auto"/>
        <w:ind w:left="31" w:right="186" w:firstLine="456"/>
        <w:rPr>
          <w:rFonts w:ascii="宋体" w:hAnsi="宋体" w:eastAsia="宋体" w:cs="宋体"/>
          <w:sz w:val="24"/>
          <w:szCs w:val="24"/>
        </w:rPr>
      </w:pPr>
      <w:r>
        <w:rPr>
          <w:rFonts w:ascii="宋体" w:hAnsi="宋体" w:eastAsia="宋体" w:cs="宋体"/>
          <w:spacing w:val="-2"/>
          <w:sz w:val="24"/>
          <w:szCs w:val="24"/>
        </w:rPr>
        <w:t>对工序验收一次性通过率较低的班组重新组织技术交底和技能培训，加强施工过程</w:t>
      </w:r>
      <w:r>
        <w:rPr>
          <w:rFonts w:ascii="宋体" w:hAnsi="宋体" w:eastAsia="宋体" w:cs="宋体"/>
          <w:spacing w:val="-4"/>
          <w:sz w:val="24"/>
          <w:szCs w:val="24"/>
        </w:rPr>
        <w:t>中重点指导和管控，实施差异化管理。</w:t>
      </w:r>
    </w:p>
    <w:p w14:paraId="08FFAD49">
      <w:pPr>
        <w:spacing w:line="360" w:lineRule="auto"/>
        <w:ind w:left="12" w:right="186" w:firstLine="494"/>
        <w:rPr>
          <w:rFonts w:ascii="宋体" w:hAnsi="宋体" w:eastAsia="宋体" w:cs="宋体"/>
          <w:sz w:val="24"/>
          <w:szCs w:val="24"/>
        </w:rPr>
      </w:pPr>
      <w:r>
        <w:rPr>
          <w:rFonts w:ascii="宋体" w:hAnsi="宋体" w:eastAsia="宋体" w:cs="宋体"/>
          <w:spacing w:val="-4"/>
          <w:sz w:val="24"/>
          <w:szCs w:val="24"/>
        </w:rPr>
        <w:t>1.1.6.15</w:t>
      </w:r>
      <w:r>
        <w:rPr>
          <w:rFonts w:ascii="宋体" w:hAnsi="宋体" w:eastAsia="宋体" w:cs="宋体"/>
          <w:spacing w:val="-47"/>
          <w:sz w:val="24"/>
          <w:szCs w:val="24"/>
        </w:rPr>
        <w:t xml:space="preserve"> </w:t>
      </w:r>
      <w:r>
        <w:rPr>
          <w:rFonts w:ascii="宋体" w:hAnsi="宋体" w:eastAsia="宋体" w:cs="宋体"/>
          <w:spacing w:val="-4"/>
          <w:sz w:val="24"/>
          <w:szCs w:val="24"/>
        </w:rPr>
        <w:t>工艺评审：指承包人在施工组织设计的基础上，结合图纸（含补充和修改</w:t>
      </w:r>
      <w:r>
        <w:rPr>
          <w:rFonts w:ascii="宋体" w:hAnsi="宋体" w:eastAsia="宋体" w:cs="宋体"/>
          <w:spacing w:val="-6"/>
          <w:sz w:val="24"/>
          <w:szCs w:val="24"/>
        </w:rPr>
        <w:t>部分）、技术规范和发包人要求，</w:t>
      </w:r>
      <w:r>
        <w:rPr>
          <w:rFonts w:ascii="宋体" w:hAnsi="宋体" w:eastAsia="宋体" w:cs="宋体"/>
          <w:spacing w:val="50"/>
          <w:sz w:val="24"/>
          <w:szCs w:val="24"/>
        </w:rPr>
        <w:t xml:space="preserve"> </w:t>
      </w:r>
      <w:r>
        <w:rPr>
          <w:rFonts w:ascii="宋体" w:hAnsi="宋体" w:eastAsia="宋体" w:cs="宋体"/>
          <w:spacing w:val="-6"/>
          <w:sz w:val="24"/>
          <w:szCs w:val="24"/>
        </w:rPr>
        <w:t>对生产过程中可能涉及到的各种工艺或方案</w:t>
      </w:r>
      <w:r>
        <w:rPr>
          <w:rFonts w:ascii="宋体" w:hAnsi="宋体" w:eastAsia="宋体" w:cs="宋体"/>
          <w:spacing w:val="-7"/>
          <w:sz w:val="24"/>
          <w:szCs w:val="24"/>
        </w:rPr>
        <w:t>，如切割</w:t>
      </w:r>
      <w:r>
        <w:rPr>
          <w:rFonts w:ascii="宋体" w:hAnsi="宋体" w:eastAsia="宋体" w:cs="宋体"/>
          <w:spacing w:val="-1"/>
          <w:sz w:val="24"/>
          <w:szCs w:val="24"/>
        </w:rPr>
        <w:t>工艺、焊接工艺、表面处理及涂装工艺等进</w:t>
      </w:r>
      <w:r>
        <w:rPr>
          <w:rFonts w:ascii="宋体" w:hAnsi="宋体" w:eastAsia="宋体" w:cs="宋体"/>
          <w:spacing w:val="-2"/>
          <w:sz w:val="24"/>
          <w:szCs w:val="24"/>
        </w:rPr>
        <w:t>行的设计、试验、评定的过程。</w:t>
      </w:r>
    </w:p>
    <w:p w14:paraId="76D7E476">
      <w:pPr>
        <w:spacing w:line="360" w:lineRule="auto"/>
        <w:ind w:left="9" w:right="186" w:firstLine="497"/>
        <w:rPr>
          <w:rFonts w:ascii="宋体" w:hAnsi="宋体" w:eastAsia="宋体" w:cs="宋体"/>
          <w:sz w:val="24"/>
          <w:szCs w:val="24"/>
        </w:rPr>
      </w:pPr>
      <w:r>
        <w:rPr>
          <w:rFonts w:ascii="宋体" w:hAnsi="宋体" w:eastAsia="宋体" w:cs="宋体"/>
          <w:spacing w:val="1"/>
          <w:sz w:val="24"/>
          <w:szCs w:val="24"/>
        </w:rPr>
        <w:t>1.1.6.16 人员资格考核：指承包人按照发包人的要求，</w:t>
      </w:r>
      <w:r>
        <w:rPr>
          <w:rFonts w:ascii="宋体" w:hAnsi="宋体" w:eastAsia="宋体" w:cs="宋体"/>
          <w:sz w:val="24"/>
          <w:szCs w:val="24"/>
        </w:rPr>
        <w:t>在工艺方案通过认证后，</w:t>
      </w:r>
      <w:r>
        <w:rPr>
          <w:rFonts w:ascii="宋体" w:hAnsi="宋体" w:eastAsia="宋体" w:cs="宋体"/>
          <w:spacing w:val="-2"/>
          <w:sz w:val="24"/>
          <w:szCs w:val="24"/>
        </w:rPr>
        <w:t>由承包人负责对工艺从业人员进行岗前培训，监理人负责完成对上述人员的考核，并在</w:t>
      </w:r>
      <w:r>
        <w:rPr>
          <w:rFonts w:ascii="宋体" w:hAnsi="宋体" w:eastAsia="宋体" w:cs="宋体"/>
          <w:spacing w:val="-3"/>
          <w:sz w:val="24"/>
          <w:szCs w:val="24"/>
        </w:rPr>
        <w:t>通过考核后进行登记和发证的过程。</w:t>
      </w:r>
    </w:p>
    <w:p w14:paraId="0B346189">
      <w:pPr>
        <w:spacing w:line="360" w:lineRule="auto"/>
        <w:ind w:left="12" w:right="186" w:firstLine="494"/>
        <w:rPr>
          <w:rFonts w:ascii="宋体" w:hAnsi="宋体" w:eastAsia="宋体" w:cs="宋体"/>
          <w:sz w:val="24"/>
          <w:szCs w:val="24"/>
        </w:rPr>
      </w:pPr>
      <w:r>
        <w:rPr>
          <w:rFonts w:ascii="宋体" w:hAnsi="宋体" w:eastAsia="宋体" w:cs="宋体"/>
          <w:spacing w:val="-6"/>
          <w:sz w:val="24"/>
          <w:szCs w:val="24"/>
        </w:rPr>
        <w:t>1.1.6.17</w:t>
      </w:r>
      <w:r>
        <w:rPr>
          <w:rFonts w:ascii="宋体" w:hAnsi="宋体" w:eastAsia="宋体" w:cs="宋体"/>
          <w:spacing w:val="-49"/>
          <w:sz w:val="24"/>
          <w:szCs w:val="24"/>
        </w:rPr>
        <w:t xml:space="preserve"> </w:t>
      </w:r>
      <w:r>
        <w:rPr>
          <w:rFonts w:ascii="宋体" w:hAnsi="宋体" w:eastAsia="宋体" w:cs="宋体"/>
          <w:spacing w:val="-6"/>
          <w:sz w:val="24"/>
          <w:szCs w:val="24"/>
        </w:rPr>
        <w:t>车间：指用于钢结构制造、制作及涂装等相关生产工序的厂房，</w:t>
      </w:r>
      <w:r>
        <w:rPr>
          <w:rFonts w:ascii="宋体" w:hAnsi="宋体" w:eastAsia="宋体" w:cs="宋体"/>
          <w:spacing w:val="-28"/>
          <w:sz w:val="24"/>
          <w:szCs w:val="24"/>
        </w:rPr>
        <w:t xml:space="preserve"> </w:t>
      </w:r>
      <w:r>
        <w:rPr>
          <w:rFonts w:ascii="宋体" w:hAnsi="宋体" w:eastAsia="宋体" w:cs="宋体"/>
          <w:spacing w:val="-6"/>
          <w:sz w:val="24"/>
          <w:szCs w:val="24"/>
        </w:rPr>
        <w:t>泛指室内</w:t>
      </w:r>
      <w:r>
        <w:rPr>
          <w:rFonts w:ascii="宋体" w:hAnsi="宋体" w:eastAsia="宋体" w:cs="宋体"/>
          <w:spacing w:val="-2"/>
          <w:sz w:val="24"/>
          <w:szCs w:val="24"/>
        </w:rPr>
        <w:t>工作环境。（适用于特大桥梁工程中钢结构工程）</w:t>
      </w:r>
    </w:p>
    <w:p w14:paraId="218B5FC7">
      <w:pPr>
        <w:spacing w:before="2" w:line="361" w:lineRule="auto"/>
        <w:ind w:left="16" w:right="186" w:firstLine="490"/>
        <w:rPr>
          <w:rFonts w:ascii="宋体" w:hAnsi="宋体" w:eastAsia="宋体" w:cs="宋体"/>
          <w:sz w:val="24"/>
          <w:szCs w:val="24"/>
        </w:rPr>
      </w:pPr>
      <w:r>
        <w:rPr>
          <w:rFonts w:ascii="宋体" w:hAnsi="宋体" w:eastAsia="宋体" w:cs="宋体"/>
          <w:spacing w:val="1"/>
          <w:sz w:val="24"/>
          <w:szCs w:val="24"/>
        </w:rPr>
        <w:t>1.1.6.18 预拼装：为减少桥位高空架设作业的难度和加快速</w:t>
      </w:r>
      <w:r>
        <w:rPr>
          <w:rFonts w:ascii="宋体" w:hAnsi="宋体" w:eastAsia="宋体" w:cs="宋体"/>
          <w:sz w:val="24"/>
          <w:szCs w:val="24"/>
        </w:rPr>
        <w:t>度，确保桥位吊装线</w:t>
      </w:r>
      <w:r>
        <w:rPr>
          <w:rFonts w:ascii="宋体" w:hAnsi="宋体" w:eastAsia="宋体" w:cs="宋体"/>
          <w:spacing w:val="-6"/>
          <w:sz w:val="24"/>
          <w:szCs w:val="24"/>
        </w:rPr>
        <w:t>型和精度，将钢结构梁节段按照拼装线型进行拼装，以修正梁段尺寸</w:t>
      </w:r>
      <w:r>
        <w:rPr>
          <w:rFonts w:ascii="宋体" w:hAnsi="宋体" w:eastAsia="宋体" w:cs="宋体"/>
          <w:spacing w:val="-7"/>
          <w:sz w:val="24"/>
          <w:szCs w:val="24"/>
        </w:rPr>
        <w:t>、接口匹配，</w:t>
      </w:r>
      <w:r>
        <w:rPr>
          <w:rFonts w:ascii="宋体" w:hAnsi="宋体" w:eastAsia="宋体" w:cs="宋体"/>
          <w:spacing w:val="50"/>
          <w:sz w:val="24"/>
          <w:szCs w:val="24"/>
        </w:rPr>
        <w:t xml:space="preserve"> </w:t>
      </w:r>
      <w:r>
        <w:rPr>
          <w:rFonts w:ascii="宋体" w:hAnsi="宋体" w:eastAsia="宋体" w:cs="宋体"/>
          <w:spacing w:val="-7"/>
          <w:sz w:val="24"/>
          <w:szCs w:val="24"/>
        </w:rPr>
        <w:t>划线</w:t>
      </w:r>
    </w:p>
    <w:p w14:paraId="6C21A100">
      <w:pPr>
        <w:spacing w:line="361" w:lineRule="auto"/>
        <w:rPr>
          <w:rFonts w:ascii="宋体" w:hAnsi="宋体" w:eastAsia="宋体" w:cs="宋体"/>
          <w:sz w:val="24"/>
          <w:szCs w:val="24"/>
        </w:rPr>
        <w:sectPr>
          <w:headerReference r:id="rId52" w:type="default"/>
          <w:footerReference r:id="rId53" w:type="default"/>
          <w:pgSz w:w="11905" w:h="16840"/>
          <w:pgMar w:top="1182" w:right="1229" w:bottom="1171" w:left="1416" w:header="849" w:footer="937" w:gutter="0"/>
          <w:pgNumType w:fmt="decimal"/>
          <w:cols w:space="720" w:num="1"/>
        </w:sectPr>
      </w:pPr>
    </w:p>
    <w:p w14:paraId="01318613">
      <w:pPr>
        <w:pStyle w:val="2"/>
        <w:spacing w:line="268" w:lineRule="auto"/>
      </w:pPr>
    </w:p>
    <w:p w14:paraId="6DDCAB6F">
      <w:pPr>
        <w:spacing w:before="78" w:line="360" w:lineRule="auto"/>
        <w:ind w:left="12" w:right="218" w:firstLine="2"/>
        <w:rPr>
          <w:rFonts w:ascii="宋体" w:hAnsi="宋体" w:eastAsia="宋体" w:cs="宋体"/>
          <w:sz w:val="24"/>
          <w:szCs w:val="24"/>
        </w:rPr>
      </w:pPr>
      <w:r>
        <w:rPr>
          <w:rFonts w:ascii="宋体" w:hAnsi="宋体" w:eastAsia="宋体" w:cs="宋体"/>
          <w:spacing w:val="-2"/>
          <w:sz w:val="24"/>
          <w:szCs w:val="24"/>
        </w:rPr>
        <w:t>定位组焊纵向接口临时连接件，这个过程称“预拼装”。（适用于特大桥梁工程中</w:t>
      </w:r>
      <w:r>
        <w:rPr>
          <w:rFonts w:ascii="宋体" w:hAnsi="宋体" w:eastAsia="宋体" w:cs="宋体"/>
          <w:spacing w:val="-3"/>
          <w:sz w:val="24"/>
          <w:szCs w:val="24"/>
        </w:rPr>
        <w:t>钢结</w:t>
      </w:r>
      <w:r>
        <w:rPr>
          <w:rFonts w:ascii="宋体" w:hAnsi="宋体" w:eastAsia="宋体" w:cs="宋体"/>
          <w:spacing w:val="-6"/>
          <w:sz w:val="24"/>
          <w:szCs w:val="24"/>
        </w:rPr>
        <w:t>构工程）</w:t>
      </w:r>
    </w:p>
    <w:p w14:paraId="7BC1F13F">
      <w:pPr>
        <w:spacing w:line="219" w:lineRule="auto"/>
        <w:ind w:left="507"/>
        <w:rPr>
          <w:rFonts w:ascii="宋体" w:hAnsi="宋体" w:eastAsia="宋体" w:cs="宋体"/>
          <w:sz w:val="24"/>
          <w:szCs w:val="24"/>
        </w:rPr>
      </w:pPr>
      <w:r>
        <w:rPr>
          <w:rFonts w:ascii="宋体" w:hAnsi="宋体" w:eastAsia="宋体" w:cs="宋体"/>
          <w:spacing w:val="-6"/>
          <w:sz w:val="24"/>
          <w:szCs w:val="24"/>
        </w:rPr>
        <w:t>1.6</w:t>
      </w:r>
      <w:r>
        <w:rPr>
          <w:rFonts w:ascii="宋体" w:hAnsi="宋体" w:eastAsia="宋体" w:cs="宋体"/>
          <w:spacing w:val="41"/>
          <w:sz w:val="24"/>
          <w:szCs w:val="24"/>
        </w:rPr>
        <w:t xml:space="preserve"> </w:t>
      </w:r>
      <w:r>
        <w:rPr>
          <w:rFonts w:ascii="宋体" w:hAnsi="宋体" w:eastAsia="宋体" w:cs="宋体"/>
          <w:spacing w:val="-6"/>
          <w:sz w:val="24"/>
          <w:szCs w:val="24"/>
        </w:rPr>
        <w:t>图纸和承包人文件</w:t>
      </w:r>
    </w:p>
    <w:p w14:paraId="061DFA2D">
      <w:pPr>
        <w:spacing w:before="182" w:line="219" w:lineRule="auto"/>
        <w:ind w:left="507"/>
        <w:rPr>
          <w:rFonts w:ascii="宋体" w:hAnsi="宋体" w:eastAsia="宋体" w:cs="宋体"/>
          <w:sz w:val="24"/>
          <w:szCs w:val="24"/>
        </w:rPr>
      </w:pPr>
      <w:r>
        <w:rPr>
          <w:rFonts w:ascii="宋体" w:hAnsi="宋体" w:eastAsia="宋体" w:cs="宋体"/>
          <w:spacing w:val="-6"/>
          <w:sz w:val="24"/>
          <w:szCs w:val="24"/>
        </w:rPr>
        <w:t>1.6.1</w:t>
      </w:r>
      <w:r>
        <w:rPr>
          <w:rFonts w:ascii="宋体" w:hAnsi="宋体" w:eastAsia="宋体" w:cs="宋体"/>
          <w:spacing w:val="-22"/>
          <w:sz w:val="24"/>
          <w:szCs w:val="24"/>
        </w:rPr>
        <w:t xml:space="preserve"> </w:t>
      </w:r>
      <w:r>
        <w:rPr>
          <w:rFonts w:ascii="宋体" w:hAnsi="宋体" w:eastAsia="宋体" w:cs="宋体"/>
          <w:spacing w:val="-6"/>
          <w:sz w:val="24"/>
          <w:szCs w:val="24"/>
        </w:rPr>
        <w:t>图纸的提供</w:t>
      </w:r>
    </w:p>
    <w:p w14:paraId="0B592DEC">
      <w:pPr>
        <w:spacing w:before="183" w:line="219" w:lineRule="auto"/>
        <w:ind w:left="490"/>
        <w:rPr>
          <w:rFonts w:ascii="宋体" w:hAnsi="宋体" w:eastAsia="宋体" w:cs="宋体"/>
          <w:sz w:val="24"/>
          <w:szCs w:val="24"/>
        </w:rPr>
      </w:pPr>
      <w:r>
        <w:rPr>
          <w:rFonts w:ascii="宋体" w:hAnsi="宋体" w:eastAsia="宋体" w:cs="宋体"/>
          <w:spacing w:val="-10"/>
          <w:sz w:val="24"/>
          <w:szCs w:val="24"/>
        </w:rPr>
        <w:t>本项细化为：</w:t>
      </w:r>
    </w:p>
    <w:p w14:paraId="0F238754">
      <w:pPr>
        <w:spacing w:before="183" w:line="360" w:lineRule="auto"/>
        <w:ind w:left="9" w:right="191" w:firstLine="483"/>
        <w:jc w:val="both"/>
        <w:rPr>
          <w:rFonts w:ascii="宋体" w:hAnsi="宋体" w:eastAsia="宋体" w:cs="宋体"/>
          <w:sz w:val="24"/>
          <w:szCs w:val="24"/>
        </w:rPr>
      </w:pPr>
      <w:r>
        <w:rPr>
          <w:rFonts w:ascii="宋体" w:hAnsi="宋体" w:eastAsia="宋体" w:cs="宋体"/>
          <w:spacing w:val="1"/>
          <w:sz w:val="24"/>
          <w:szCs w:val="24"/>
        </w:rPr>
        <w:t>发包人应在发出中标通知书之后</w:t>
      </w:r>
      <w:r>
        <w:rPr>
          <w:rFonts w:ascii="宋体" w:hAnsi="宋体" w:eastAsia="宋体" w:cs="宋体"/>
          <w:spacing w:val="-46"/>
          <w:sz w:val="24"/>
          <w:szCs w:val="24"/>
        </w:rPr>
        <w:t xml:space="preserve"> </w:t>
      </w:r>
      <w:r>
        <w:rPr>
          <w:rFonts w:ascii="宋体" w:hAnsi="宋体" w:eastAsia="宋体" w:cs="宋体"/>
          <w:spacing w:val="1"/>
          <w:sz w:val="24"/>
          <w:szCs w:val="24"/>
        </w:rPr>
        <w:t>42</w:t>
      </w:r>
      <w:r>
        <w:rPr>
          <w:rFonts w:ascii="宋体" w:hAnsi="宋体" w:eastAsia="宋体" w:cs="宋体"/>
          <w:spacing w:val="-43"/>
          <w:sz w:val="24"/>
          <w:szCs w:val="24"/>
        </w:rPr>
        <w:t xml:space="preserve"> </w:t>
      </w:r>
      <w:r>
        <w:rPr>
          <w:rFonts w:ascii="宋体" w:hAnsi="宋体" w:eastAsia="宋体" w:cs="宋体"/>
          <w:spacing w:val="1"/>
          <w:sz w:val="24"/>
          <w:szCs w:val="24"/>
        </w:rPr>
        <w:t>天内，</w:t>
      </w:r>
      <w:r>
        <w:rPr>
          <w:rFonts w:ascii="宋体" w:hAnsi="宋体" w:eastAsia="宋体" w:cs="宋体"/>
          <w:sz w:val="24"/>
          <w:szCs w:val="24"/>
        </w:rPr>
        <w:t>向承包人免费提供由发包人或其委托的</w:t>
      </w:r>
      <w:r>
        <w:rPr>
          <w:rFonts w:ascii="宋体" w:hAnsi="宋体" w:eastAsia="宋体" w:cs="宋体"/>
          <w:spacing w:val="-2"/>
          <w:sz w:val="24"/>
          <w:szCs w:val="24"/>
        </w:rPr>
        <w:t>设计单位设计的施工图纸、技术规范和其他技术资料</w:t>
      </w:r>
      <w:r>
        <w:rPr>
          <w:rFonts w:ascii="宋体" w:hAnsi="宋体" w:eastAsia="宋体" w:cs="宋体"/>
          <w:spacing w:val="-39"/>
          <w:sz w:val="24"/>
          <w:szCs w:val="24"/>
        </w:rPr>
        <w:t xml:space="preserve"> </w:t>
      </w:r>
      <w:r>
        <w:rPr>
          <w:rFonts w:ascii="宋体" w:hAnsi="宋体" w:eastAsia="宋体" w:cs="宋体"/>
          <w:spacing w:val="-2"/>
          <w:sz w:val="24"/>
          <w:szCs w:val="24"/>
        </w:rPr>
        <w:t>2</w:t>
      </w:r>
      <w:r>
        <w:rPr>
          <w:rFonts w:ascii="宋体" w:hAnsi="宋体" w:eastAsia="宋体" w:cs="宋体"/>
          <w:spacing w:val="-51"/>
          <w:sz w:val="24"/>
          <w:szCs w:val="24"/>
        </w:rPr>
        <w:t xml:space="preserve"> </w:t>
      </w:r>
      <w:r>
        <w:rPr>
          <w:rFonts w:ascii="宋体" w:hAnsi="宋体" w:eastAsia="宋体" w:cs="宋体"/>
          <w:spacing w:val="-2"/>
          <w:sz w:val="24"/>
          <w:szCs w:val="24"/>
        </w:rPr>
        <w:t>份，并向承包人进行技术交底。</w:t>
      </w:r>
      <w:r>
        <w:rPr>
          <w:rFonts w:ascii="宋体" w:hAnsi="宋体" w:eastAsia="宋体" w:cs="宋体"/>
          <w:spacing w:val="-6"/>
          <w:sz w:val="24"/>
          <w:szCs w:val="24"/>
        </w:rPr>
        <w:t>承包人需要更多份数时，应自费复制。上述图纸、技术规范和其他技术资</w:t>
      </w:r>
      <w:r>
        <w:rPr>
          <w:rFonts w:ascii="宋体" w:hAnsi="宋体" w:eastAsia="宋体" w:cs="宋体"/>
          <w:spacing w:val="-7"/>
          <w:sz w:val="24"/>
          <w:szCs w:val="24"/>
        </w:rPr>
        <w:t>料，</w:t>
      </w:r>
      <w:r>
        <w:rPr>
          <w:rFonts w:ascii="宋体" w:hAnsi="宋体" w:eastAsia="宋体" w:cs="宋体"/>
          <w:spacing w:val="55"/>
          <w:sz w:val="24"/>
          <w:szCs w:val="24"/>
        </w:rPr>
        <w:t xml:space="preserve"> </w:t>
      </w:r>
      <w:r>
        <w:rPr>
          <w:rFonts w:ascii="宋体" w:hAnsi="宋体" w:eastAsia="宋体" w:cs="宋体"/>
          <w:spacing w:val="-7"/>
          <w:sz w:val="24"/>
          <w:szCs w:val="24"/>
        </w:rPr>
        <w:t>未经发包</w:t>
      </w:r>
      <w:r>
        <w:rPr>
          <w:rFonts w:ascii="宋体" w:hAnsi="宋体" w:eastAsia="宋体" w:cs="宋体"/>
          <w:spacing w:val="-2"/>
          <w:sz w:val="24"/>
          <w:szCs w:val="24"/>
        </w:rPr>
        <w:t>人同意，承包人不得提供给与本工程无关的第三方</w:t>
      </w:r>
      <w:r>
        <w:rPr>
          <w:rFonts w:hint="eastAsia" w:ascii="宋体" w:hAnsi="宋体" w:cs="宋体"/>
          <w:spacing w:val="-2"/>
          <w:sz w:val="24"/>
          <w:szCs w:val="24"/>
          <w:lang w:eastAsia="zh-CN"/>
        </w:rPr>
        <w:t>，</w:t>
      </w:r>
      <w:r>
        <w:rPr>
          <w:rFonts w:ascii="宋体" w:hAnsi="宋体" w:eastAsia="宋体" w:cs="宋体"/>
          <w:spacing w:val="-2"/>
          <w:sz w:val="24"/>
          <w:szCs w:val="24"/>
        </w:rPr>
        <w:t>否则视为承包人违约并按</w:t>
      </w:r>
      <w:r>
        <w:rPr>
          <w:rFonts w:ascii="宋体" w:hAnsi="宋体" w:eastAsia="宋体" w:cs="宋体"/>
          <w:spacing w:val="-48"/>
          <w:sz w:val="24"/>
          <w:szCs w:val="24"/>
        </w:rPr>
        <w:t xml:space="preserve"> </w:t>
      </w:r>
      <w:r>
        <w:rPr>
          <w:rFonts w:ascii="宋体" w:hAnsi="宋体" w:eastAsia="宋体" w:cs="宋体"/>
          <w:spacing w:val="-2"/>
          <w:sz w:val="24"/>
          <w:szCs w:val="24"/>
        </w:rPr>
        <w:t>22.1</w:t>
      </w:r>
      <w:r>
        <w:rPr>
          <w:rFonts w:ascii="宋体" w:hAnsi="宋体" w:eastAsia="宋体" w:cs="宋体"/>
          <w:spacing w:val="-50"/>
          <w:sz w:val="24"/>
          <w:szCs w:val="24"/>
        </w:rPr>
        <w:t xml:space="preserve"> </w:t>
      </w:r>
      <w:r>
        <w:rPr>
          <w:rFonts w:ascii="宋体" w:hAnsi="宋体" w:eastAsia="宋体" w:cs="宋体"/>
          <w:spacing w:val="-2"/>
          <w:sz w:val="24"/>
          <w:szCs w:val="24"/>
        </w:rPr>
        <w:t>款处理，造成发包人损失的，承包人应赔偿发包人的全部损失，且发包人有权从合同价款中</w:t>
      </w:r>
      <w:r>
        <w:rPr>
          <w:rFonts w:ascii="宋体" w:hAnsi="宋体" w:eastAsia="宋体" w:cs="宋体"/>
          <w:spacing w:val="-8"/>
          <w:sz w:val="24"/>
          <w:szCs w:val="24"/>
        </w:rPr>
        <w:t>予以扣除。</w:t>
      </w:r>
    </w:p>
    <w:p w14:paraId="422A1F10">
      <w:pPr>
        <w:spacing w:line="219" w:lineRule="auto"/>
        <w:ind w:left="507"/>
        <w:rPr>
          <w:rFonts w:ascii="宋体" w:hAnsi="宋体" w:eastAsia="宋体" w:cs="宋体"/>
          <w:sz w:val="24"/>
          <w:szCs w:val="24"/>
        </w:rPr>
      </w:pPr>
      <w:r>
        <w:rPr>
          <w:rFonts w:ascii="宋体" w:hAnsi="宋体" w:eastAsia="宋体" w:cs="宋体"/>
          <w:spacing w:val="-6"/>
          <w:sz w:val="24"/>
          <w:szCs w:val="24"/>
        </w:rPr>
        <w:t>1.6.3</w:t>
      </w:r>
      <w:r>
        <w:rPr>
          <w:rFonts w:ascii="宋体" w:hAnsi="宋体" w:eastAsia="宋体" w:cs="宋体"/>
          <w:spacing w:val="-22"/>
          <w:sz w:val="24"/>
          <w:szCs w:val="24"/>
        </w:rPr>
        <w:t xml:space="preserve"> </w:t>
      </w:r>
      <w:r>
        <w:rPr>
          <w:rFonts w:ascii="宋体" w:hAnsi="宋体" w:eastAsia="宋体" w:cs="宋体"/>
          <w:spacing w:val="-6"/>
          <w:sz w:val="24"/>
          <w:szCs w:val="24"/>
        </w:rPr>
        <w:t>图纸的修改</w:t>
      </w:r>
    </w:p>
    <w:p w14:paraId="7FA2CFFE">
      <w:pPr>
        <w:spacing w:before="183" w:line="219" w:lineRule="auto"/>
        <w:ind w:left="490"/>
        <w:rPr>
          <w:rFonts w:ascii="宋体" w:hAnsi="宋体" w:eastAsia="宋体" w:cs="宋体"/>
          <w:sz w:val="24"/>
          <w:szCs w:val="24"/>
        </w:rPr>
      </w:pPr>
      <w:r>
        <w:rPr>
          <w:rFonts w:ascii="宋体" w:hAnsi="宋体" w:eastAsia="宋体" w:cs="宋体"/>
          <w:spacing w:val="-11"/>
          <w:sz w:val="24"/>
          <w:szCs w:val="24"/>
        </w:rPr>
        <w:t>本项补充：</w:t>
      </w:r>
    </w:p>
    <w:p w14:paraId="1318603D">
      <w:pPr>
        <w:spacing w:before="183" w:line="360" w:lineRule="auto"/>
        <w:ind w:left="9" w:right="205" w:firstLine="480"/>
        <w:rPr>
          <w:rFonts w:ascii="宋体" w:hAnsi="宋体" w:eastAsia="宋体" w:cs="宋体"/>
          <w:sz w:val="24"/>
          <w:szCs w:val="24"/>
        </w:rPr>
      </w:pPr>
      <w:r>
        <w:rPr>
          <w:rFonts w:ascii="宋体" w:hAnsi="宋体" w:eastAsia="宋体" w:cs="宋体"/>
          <w:spacing w:val="-2"/>
          <w:sz w:val="24"/>
          <w:szCs w:val="24"/>
        </w:rPr>
        <w:t>承包人不得对施工图的任何部分进行修改，所有设计修改必须经设计单位认可及发</w:t>
      </w:r>
      <w:r>
        <w:rPr>
          <w:rFonts w:ascii="宋体" w:hAnsi="宋体" w:eastAsia="宋体" w:cs="宋体"/>
          <w:spacing w:val="-3"/>
          <w:sz w:val="24"/>
          <w:szCs w:val="24"/>
        </w:rPr>
        <w:t>包人同意，否则视为承包人违约并按</w:t>
      </w:r>
      <w:r>
        <w:rPr>
          <w:rFonts w:ascii="宋体" w:hAnsi="宋体" w:eastAsia="宋体" w:cs="宋体"/>
          <w:spacing w:val="-33"/>
          <w:sz w:val="24"/>
          <w:szCs w:val="24"/>
        </w:rPr>
        <w:t xml:space="preserve"> </w:t>
      </w:r>
      <w:r>
        <w:rPr>
          <w:rFonts w:ascii="宋体" w:hAnsi="宋体" w:eastAsia="宋体" w:cs="宋体"/>
          <w:spacing w:val="-3"/>
          <w:sz w:val="24"/>
          <w:szCs w:val="24"/>
        </w:rPr>
        <w:t>22.1</w:t>
      </w:r>
      <w:r>
        <w:rPr>
          <w:rFonts w:ascii="宋体" w:hAnsi="宋体" w:eastAsia="宋体" w:cs="宋体"/>
          <w:spacing w:val="-49"/>
          <w:sz w:val="24"/>
          <w:szCs w:val="24"/>
        </w:rPr>
        <w:t xml:space="preserve"> </w:t>
      </w:r>
      <w:r>
        <w:rPr>
          <w:rFonts w:ascii="宋体" w:hAnsi="宋体" w:eastAsia="宋体" w:cs="宋体"/>
          <w:spacing w:val="-3"/>
          <w:sz w:val="24"/>
          <w:szCs w:val="24"/>
        </w:rPr>
        <w:t>款处理。</w:t>
      </w:r>
    </w:p>
    <w:p w14:paraId="08B9428E">
      <w:pPr>
        <w:spacing w:before="1" w:line="220" w:lineRule="auto"/>
        <w:ind w:left="507"/>
        <w:rPr>
          <w:rFonts w:ascii="宋体" w:hAnsi="宋体" w:eastAsia="宋体" w:cs="宋体"/>
          <w:sz w:val="24"/>
          <w:szCs w:val="24"/>
        </w:rPr>
      </w:pPr>
      <w:r>
        <w:rPr>
          <w:rFonts w:ascii="宋体" w:hAnsi="宋体" w:eastAsia="宋体" w:cs="宋体"/>
          <w:spacing w:val="-6"/>
          <w:sz w:val="24"/>
          <w:szCs w:val="24"/>
        </w:rPr>
        <w:t>1.6.4</w:t>
      </w:r>
      <w:r>
        <w:rPr>
          <w:rFonts w:ascii="宋体" w:hAnsi="宋体" w:eastAsia="宋体" w:cs="宋体"/>
          <w:spacing w:val="-22"/>
          <w:sz w:val="24"/>
          <w:szCs w:val="24"/>
        </w:rPr>
        <w:t xml:space="preserve"> </w:t>
      </w:r>
      <w:r>
        <w:rPr>
          <w:rFonts w:ascii="宋体" w:hAnsi="宋体" w:eastAsia="宋体" w:cs="宋体"/>
          <w:spacing w:val="-6"/>
          <w:sz w:val="24"/>
          <w:szCs w:val="24"/>
        </w:rPr>
        <w:t>图纸的错误</w:t>
      </w:r>
    </w:p>
    <w:p w14:paraId="10A1DAD6">
      <w:pPr>
        <w:spacing w:before="181" w:line="219" w:lineRule="auto"/>
        <w:ind w:left="490"/>
        <w:rPr>
          <w:rFonts w:ascii="宋体" w:hAnsi="宋体" w:eastAsia="宋体" w:cs="宋体"/>
          <w:sz w:val="24"/>
          <w:szCs w:val="24"/>
        </w:rPr>
      </w:pPr>
      <w:r>
        <w:rPr>
          <w:rFonts w:ascii="宋体" w:hAnsi="宋体" w:eastAsia="宋体" w:cs="宋体"/>
          <w:spacing w:val="-10"/>
          <w:sz w:val="24"/>
          <w:szCs w:val="24"/>
        </w:rPr>
        <w:t>本项细化为：</w:t>
      </w:r>
    </w:p>
    <w:p w14:paraId="0AD9EA73">
      <w:pPr>
        <w:spacing w:before="183" w:line="360" w:lineRule="auto"/>
        <w:ind w:left="9" w:right="205" w:firstLine="480"/>
        <w:jc w:val="both"/>
        <w:rPr>
          <w:rFonts w:ascii="宋体" w:hAnsi="宋体" w:eastAsia="宋体" w:cs="宋体"/>
          <w:sz w:val="24"/>
          <w:szCs w:val="24"/>
        </w:rPr>
      </w:pPr>
      <w:r>
        <w:rPr>
          <w:rFonts w:ascii="宋体" w:hAnsi="宋体" w:eastAsia="宋体" w:cs="宋体"/>
          <w:spacing w:val="-2"/>
          <w:sz w:val="24"/>
          <w:szCs w:val="24"/>
        </w:rPr>
        <w:t>承包人须组织相关技术工作人员对有关的工程设计、技术规范、图纸或其他资料进</w:t>
      </w:r>
      <w:r>
        <w:rPr>
          <w:rFonts w:ascii="宋体" w:hAnsi="宋体" w:eastAsia="宋体" w:cs="宋体"/>
          <w:spacing w:val="-6"/>
          <w:sz w:val="24"/>
          <w:szCs w:val="24"/>
        </w:rPr>
        <w:t>行复核，发现资料中的任何差错、遗漏或缺陷后，</w:t>
      </w:r>
      <w:r>
        <w:rPr>
          <w:rFonts w:ascii="宋体" w:hAnsi="宋体" w:eastAsia="宋体" w:cs="宋体"/>
          <w:spacing w:val="51"/>
          <w:sz w:val="24"/>
          <w:szCs w:val="24"/>
        </w:rPr>
        <w:t xml:space="preserve"> </w:t>
      </w:r>
      <w:r>
        <w:rPr>
          <w:rFonts w:ascii="宋体" w:hAnsi="宋体" w:eastAsia="宋体" w:cs="宋体"/>
          <w:spacing w:val="-6"/>
          <w:sz w:val="24"/>
          <w:szCs w:val="24"/>
        </w:rPr>
        <w:t>应及时通知监理人。承包人未能</w:t>
      </w:r>
      <w:r>
        <w:rPr>
          <w:rFonts w:ascii="宋体" w:hAnsi="宋体" w:eastAsia="宋体" w:cs="宋体"/>
          <w:spacing w:val="-7"/>
          <w:sz w:val="24"/>
          <w:szCs w:val="24"/>
        </w:rPr>
        <w:t>在合</w:t>
      </w:r>
      <w:r>
        <w:rPr>
          <w:rFonts w:ascii="宋体" w:hAnsi="宋体" w:eastAsia="宋体" w:cs="宋体"/>
          <w:spacing w:val="-2"/>
          <w:sz w:val="24"/>
          <w:szCs w:val="24"/>
        </w:rPr>
        <w:t>同规定的时间内将发现的有关工程设计、技术规范、图纸或其他资料中的差错、遗漏或缺陷通知监理人的，由此造成的一切损失和责任均由承包人承担。</w:t>
      </w:r>
    </w:p>
    <w:p w14:paraId="4F3103E3">
      <w:pPr>
        <w:spacing w:line="360" w:lineRule="auto"/>
        <w:ind w:left="10" w:right="138" w:firstLine="479"/>
        <w:rPr>
          <w:rFonts w:ascii="宋体" w:hAnsi="宋体" w:eastAsia="宋体" w:cs="宋体"/>
          <w:sz w:val="24"/>
          <w:szCs w:val="24"/>
        </w:rPr>
      </w:pPr>
      <w:r>
        <w:rPr>
          <w:rFonts w:ascii="宋体" w:hAnsi="宋体" w:eastAsia="宋体" w:cs="宋体"/>
          <w:spacing w:val="-8"/>
          <w:sz w:val="24"/>
          <w:szCs w:val="24"/>
        </w:rPr>
        <w:t>针对图纸与工程量清单的差、错、漏等问题，</w:t>
      </w:r>
      <w:r>
        <w:rPr>
          <w:rFonts w:ascii="宋体" w:hAnsi="宋体" w:eastAsia="宋体" w:cs="宋体"/>
          <w:spacing w:val="-68"/>
          <w:sz w:val="24"/>
          <w:szCs w:val="24"/>
        </w:rPr>
        <w:t xml:space="preserve"> </w:t>
      </w:r>
      <w:r>
        <w:rPr>
          <w:rFonts w:ascii="宋体" w:hAnsi="宋体" w:eastAsia="宋体" w:cs="宋体"/>
          <w:spacing w:val="-8"/>
          <w:sz w:val="24"/>
          <w:szCs w:val="24"/>
        </w:rPr>
        <w:t>承包人应在</w:t>
      </w:r>
      <w:r>
        <w:rPr>
          <w:rFonts w:ascii="宋体" w:hAnsi="宋体" w:eastAsia="宋体" w:cs="宋体"/>
          <w:spacing w:val="-9"/>
          <w:sz w:val="24"/>
          <w:szCs w:val="24"/>
        </w:rPr>
        <w:t>合同签订后</w:t>
      </w:r>
      <w:r>
        <w:rPr>
          <w:rFonts w:ascii="宋体" w:hAnsi="宋体" w:eastAsia="宋体" w:cs="宋体"/>
          <w:spacing w:val="-46"/>
          <w:sz w:val="24"/>
          <w:szCs w:val="24"/>
        </w:rPr>
        <w:t xml:space="preserve"> </w:t>
      </w:r>
      <w:r>
        <w:rPr>
          <w:rFonts w:ascii="宋体" w:hAnsi="宋体" w:eastAsia="宋体" w:cs="宋体"/>
          <w:spacing w:val="-9"/>
          <w:sz w:val="24"/>
          <w:szCs w:val="24"/>
        </w:rPr>
        <w:t>3</w:t>
      </w:r>
      <w:r>
        <w:rPr>
          <w:rFonts w:ascii="宋体" w:hAnsi="宋体" w:eastAsia="宋体" w:cs="宋体"/>
          <w:spacing w:val="-50"/>
          <w:sz w:val="24"/>
          <w:szCs w:val="24"/>
        </w:rPr>
        <w:t xml:space="preserve"> </w:t>
      </w:r>
      <w:r>
        <w:rPr>
          <w:rFonts w:ascii="宋体" w:hAnsi="宋体" w:eastAsia="宋体" w:cs="宋体"/>
          <w:spacing w:val="-9"/>
          <w:sz w:val="24"/>
          <w:szCs w:val="24"/>
        </w:rPr>
        <w:t>个月内提出，</w:t>
      </w:r>
      <w:r>
        <w:rPr>
          <w:rFonts w:ascii="宋体" w:hAnsi="宋体" w:eastAsia="宋体" w:cs="宋体"/>
          <w:spacing w:val="-2"/>
          <w:sz w:val="24"/>
          <w:szCs w:val="24"/>
        </w:rPr>
        <w:t>合同签订后</w:t>
      </w:r>
      <w:r>
        <w:rPr>
          <w:rFonts w:ascii="宋体" w:hAnsi="宋体" w:eastAsia="宋体" w:cs="宋体"/>
          <w:spacing w:val="-49"/>
          <w:sz w:val="24"/>
          <w:szCs w:val="24"/>
        </w:rPr>
        <w:t xml:space="preserve"> </w:t>
      </w:r>
      <w:r>
        <w:rPr>
          <w:rFonts w:ascii="宋体" w:hAnsi="宋体" w:eastAsia="宋体" w:cs="宋体"/>
          <w:spacing w:val="-2"/>
          <w:sz w:val="24"/>
          <w:szCs w:val="24"/>
        </w:rPr>
        <w:t>6</w:t>
      </w:r>
      <w:r>
        <w:rPr>
          <w:rFonts w:ascii="宋体" w:hAnsi="宋体" w:eastAsia="宋体" w:cs="宋体"/>
          <w:spacing w:val="-51"/>
          <w:sz w:val="24"/>
          <w:szCs w:val="24"/>
        </w:rPr>
        <w:t xml:space="preserve"> </w:t>
      </w:r>
      <w:r>
        <w:rPr>
          <w:rFonts w:ascii="宋体" w:hAnsi="宋体" w:eastAsia="宋体" w:cs="宋体"/>
          <w:spacing w:val="-2"/>
          <w:sz w:val="24"/>
          <w:szCs w:val="24"/>
        </w:rPr>
        <w:t>个月内完成设计工程量核查，统一作为一次变更处理。</w:t>
      </w:r>
    </w:p>
    <w:p w14:paraId="0D4A626B">
      <w:pPr>
        <w:spacing w:before="1" w:line="219" w:lineRule="auto"/>
        <w:ind w:left="492"/>
        <w:rPr>
          <w:rFonts w:ascii="宋体" w:hAnsi="宋体" w:eastAsia="宋体" w:cs="宋体"/>
          <w:sz w:val="24"/>
          <w:szCs w:val="24"/>
        </w:rPr>
      </w:pPr>
      <w:r>
        <w:rPr>
          <w:rFonts w:ascii="宋体" w:hAnsi="宋体" w:eastAsia="宋体" w:cs="宋体"/>
          <w:b/>
          <w:bCs/>
          <w:spacing w:val="-6"/>
          <w:sz w:val="24"/>
          <w:szCs w:val="24"/>
        </w:rPr>
        <w:t>2.</w:t>
      </w:r>
      <w:r>
        <w:rPr>
          <w:rFonts w:ascii="宋体" w:hAnsi="宋体" w:eastAsia="宋体" w:cs="宋体"/>
          <w:spacing w:val="18"/>
          <w:sz w:val="24"/>
          <w:szCs w:val="24"/>
        </w:rPr>
        <w:t xml:space="preserve"> </w:t>
      </w:r>
      <w:r>
        <w:rPr>
          <w:rFonts w:ascii="宋体" w:hAnsi="宋体" w:eastAsia="宋体" w:cs="宋体"/>
          <w:b/>
          <w:bCs/>
          <w:spacing w:val="-6"/>
          <w:sz w:val="24"/>
          <w:szCs w:val="24"/>
        </w:rPr>
        <w:t>发包人义务</w:t>
      </w:r>
    </w:p>
    <w:p w14:paraId="160CB14A">
      <w:pPr>
        <w:spacing w:before="182" w:line="219" w:lineRule="auto"/>
        <w:ind w:left="492"/>
        <w:rPr>
          <w:rFonts w:ascii="宋体" w:hAnsi="宋体" w:eastAsia="宋体" w:cs="宋体"/>
          <w:sz w:val="24"/>
          <w:szCs w:val="24"/>
        </w:rPr>
      </w:pPr>
      <w:r>
        <w:rPr>
          <w:rFonts w:ascii="宋体" w:hAnsi="宋体" w:eastAsia="宋体" w:cs="宋体"/>
          <w:spacing w:val="-2"/>
          <w:sz w:val="24"/>
          <w:szCs w:val="24"/>
        </w:rPr>
        <w:t>2.3 提供施工场地</w:t>
      </w:r>
    </w:p>
    <w:p w14:paraId="071388C0">
      <w:pPr>
        <w:spacing w:before="184" w:line="219" w:lineRule="auto"/>
        <w:ind w:left="490"/>
        <w:rPr>
          <w:rFonts w:ascii="宋体" w:hAnsi="宋体" w:eastAsia="宋体" w:cs="宋体"/>
          <w:sz w:val="24"/>
          <w:szCs w:val="24"/>
        </w:rPr>
      </w:pPr>
      <w:r>
        <w:rPr>
          <w:rFonts w:ascii="宋体" w:hAnsi="宋体" w:eastAsia="宋体" w:cs="宋体"/>
          <w:spacing w:val="-11"/>
          <w:sz w:val="24"/>
          <w:szCs w:val="24"/>
        </w:rPr>
        <w:t>本款补充：</w:t>
      </w:r>
    </w:p>
    <w:p w14:paraId="31AEAA35">
      <w:pPr>
        <w:spacing w:before="184" w:line="361" w:lineRule="auto"/>
        <w:ind w:left="9" w:firstLine="480"/>
        <w:jc w:val="both"/>
        <w:rPr>
          <w:rFonts w:ascii="宋体" w:hAnsi="宋体" w:eastAsia="宋体" w:cs="宋体"/>
          <w:sz w:val="24"/>
          <w:szCs w:val="24"/>
        </w:rPr>
      </w:pPr>
      <w:r>
        <w:rPr>
          <w:rFonts w:ascii="宋体" w:hAnsi="宋体" w:eastAsia="宋体" w:cs="宋体"/>
          <w:spacing w:val="-3"/>
          <w:sz w:val="24"/>
          <w:szCs w:val="24"/>
        </w:rPr>
        <w:t>承包人应主动协助发包人做好本合同段范围内土地征收、房屋拆迁及管线迁改工作。</w:t>
      </w:r>
      <w:r>
        <w:rPr>
          <w:rFonts w:ascii="宋体" w:hAnsi="宋体" w:eastAsia="宋体" w:cs="宋体"/>
          <w:spacing w:val="-2"/>
          <w:sz w:val="24"/>
          <w:szCs w:val="24"/>
        </w:rPr>
        <w:t>如果由于发包人未能按照本款规定办妥永久占地征用手续，影响承包人工程施工的，承</w:t>
      </w:r>
      <w:r>
        <w:rPr>
          <w:rFonts w:ascii="宋体" w:hAnsi="宋体" w:eastAsia="宋体" w:cs="宋体"/>
          <w:spacing w:val="-6"/>
          <w:sz w:val="24"/>
          <w:szCs w:val="24"/>
        </w:rPr>
        <w:t>包人须及时调整工程施工组织安排，合理组织和安排工程施工。造成工期延误的，</w:t>
      </w:r>
      <w:r>
        <w:rPr>
          <w:rFonts w:ascii="宋体" w:hAnsi="宋体" w:eastAsia="宋体" w:cs="宋体"/>
          <w:spacing w:val="49"/>
          <w:sz w:val="24"/>
          <w:szCs w:val="24"/>
        </w:rPr>
        <w:t xml:space="preserve"> </w:t>
      </w:r>
      <w:r>
        <w:rPr>
          <w:rFonts w:ascii="宋体" w:hAnsi="宋体" w:eastAsia="宋体" w:cs="宋体"/>
          <w:spacing w:val="-6"/>
          <w:sz w:val="24"/>
          <w:szCs w:val="24"/>
        </w:rPr>
        <w:t>按照</w:t>
      </w:r>
      <w:r>
        <w:rPr>
          <w:rFonts w:ascii="宋体" w:hAnsi="宋体" w:eastAsia="宋体" w:cs="宋体"/>
          <w:spacing w:val="-7"/>
          <w:sz w:val="24"/>
          <w:szCs w:val="24"/>
        </w:rPr>
        <w:t>第</w:t>
      </w:r>
      <w:r>
        <w:rPr>
          <w:rFonts w:ascii="宋体" w:hAnsi="宋体" w:eastAsia="宋体" w:cs="宋体"/>
          <w:spacing w:val="-26"/>
          <w:sz w:val="24"/>
          <w:szCs w:val="24"/>
        </w:rPr>
        <w:t xml:space="preserve"> </w:t>
      </w:r>
      <w:r>
        <w:rPr>
          <w:rFonts w:ascii="宋体" w:hAnsi="宋体" w:eastAsia="宋体" w:cs="宋体"/>
          <w:spacing w:val="-7"/>
          <w:sz w:val="24"/>
          <w:szCs w:val="24"/>
        </w:rPr>
        <w:t>11.3</w:t>
      </w:r>
      <w:r>
        <w:rPr>
          <w:rFonts w:ascii="宋体" w:hAnsi="宋体" w:eastAsia="宋体" w:cs="宋体"/>
          <w:spacing w:val="-49"/>
          <w:sz w:val="24"/>
          <w:szCs w:val="24"/>
        </w:rPr>
        <w:t xml:space="preserve"> </w:t>
      </w:r>
      <w:r>
        <w:rPr>
          <w:rFonts w:ascii="宋体" w:hAnsi="宋体" w:eastAsia="宋体" w:cs="宋体"/>
          <w:spacing w:val="-7"/>
          <w:sz w:val="24"/>
          <w:szCs w:val="24"/>
        </w:rPr>
        <w:t>款的约定办理。</w:t>
      </w:r>
    </w:p>
    <w:p w14:paraId="7FA58105">
      <w:pPr>
        <w:spacing w:line="361" w:lineRule="auto"/>
        <w:rPr>
          <w:rFonts w:ascii="宋体" w:hAnsi="宋体" w:eastAsia="宋体" w:cs="宋体"/>
          <w:sz w:val="24"/>
          <w:szCs w:val="24"/>
        </w:rPr>
        <w:sectPr>
          <w:headerReference r:id="rId54" w:type="default"/>
          <w:footerReference r:id="rId55" w:type="default"/>
          <w:pgSz w:w="11905" w:h="16840"/>
          <w:pgMar w:top="1182" w:right="1211" w:bottom="1171" w:left="1416" w:header="849" w:footer="937" w:gutter="0"/>
          <w:pgNumType w:fmt="decimal"/>
          <w:cols w:space="720" w:num="1"/>
        </w:sectPr>
      </w:pPr>
    </w:p>
    <w:p w14:paraId="2E135D93">
      <w:pPr>
        <w:pStyle w:val="2"/>
        <w:spacing w:line="268" w:lineRule="auto"/>
      </w:pPr>
    </w:p>
    <w:p w14:paraId="6AB413E9">
      <w:pPr>
        <w:spacing w:before="78" w:line="360" w:lineRule="auto"/>
        <w:ind w:left="48" w:right="1" w:firstLine="438"/>
        <w:rPr>
          <w:rFonts w:ascii="宋体" w:hAnsi="宋体" w:eastAsia="宋体" w:cs="宋体"/>
          <w:sz w:val="24"/>
          <w:szCs w:val="24"/>
        </w:rPr>
      </w:pPr>
      <w:r>
        <w:rPr>
          <w:rFonts w:ascii="宋体" w:hAnsi="宋体" w:eastAsia="宋体" w:cs="宋体"/>
          <w:spacing w:val="-2"/>
          <w:sz w:val="24"/>
          <w:szCs w:val="24"/>
        </w:rPr>
        <w:t>但如果由于承包人未能按照本款规定提交占地计划，因而影响发包人办理永久工程</w:t>
      </w:r>
      <w:r>
        <w:rPr>
          <w:rFonts w:ascii="宋体" w:hAnsi="宋体" w:eastAsia="宋体" w:cs="宋体"/>
          <w:spacing w:val="-3"/>
          <w:sz w:val="24"/>
          <w:szCs w:val="24"/>
        </w:rPr>
        <w:t>占地征用手续而导致延误工期或增加费用，则由承包人自行负责。</w:t>
      </w:r>
    </w:p>
    <w:p w14:paraId="497E9DE1">
      <w:pPr>
        <w:spacing w:line="219" w:lineRule="auto"/>
        <w:ind w:left="492"/>
        <w:rPr>
          <w:rFonts w:ascii="宋体" w:hAnsi="宋体" w:eastAsia="宋体" w:cs="宋体"/>
          <w:sz w:val="24"/>
          <w:szCs w:val="24"/>
        </w:rPr>
      </w:pPr>
      <w:r>
        <w:rPr>
          <w:rFonts w:ascii="宋体" w:hAnsi="宋体" w:eastAsia="宋体" w:cs="宋体"/>
          <w:spacing w:val="-3"/>
          <w:sz w:val="24"/>
          <w:szCs w:val="24"/>
        </w:rPr>
        <w:t>2.8</w:t>
      </w:r>
      <w:r>
        <w:rPr>
          <w:rFonts w:ascii="宋体" w:hAnsi="宋体" w:eastAsia="宋体" w:cs="宋体"/>
          <w:spacing w:val="-50"/>
          <w:sz w:val="24"/>
          <w:szCs w:val="24"/>
        </w:rPr>
        <w:t xml:space="preserve"> </w:t>
      </w:r>
      <w:r>
        <w:rPr>
          <w:rFonts w:ascii="宋体" w:hAnsi="宋体" w:eastAsia="宋体" w:cs="宋体"/>
          <w:spacing w:val="-3"/>
          <w:sz w:val="24"/>
          <w:szCs w:val="24"/>
        </w:rPr>
        <w:t>其他义务</w:t>
      </w:r>
    </w:p>
    <w:p w14:paraId="57A03B1F">
      <w:pPr>
        <w:spacing w:before="182" w:line="219" w:lineRule="auto"/>
        <w:ind w:left="490"/>
        <w:rPr>
          <w:rFonts w:ascii="宋体" w:hAnsi="宋体" w:eastAsia="宋体" w:cs="宋体"/>
          <w:sz w:val="24"/>
          <w:szCs w:val="24"/>
        </w:rPr>
      </w:pPr>
      <w:r>
        <w:rPr>
          <w:rFonts w:ascii="宋体" w:hAnsi="宋体" w:eastAsia="宋体" w:cs="宋体"/>
          <w:spacing w:val="-11"/>
          <w:sz w:val="24"/>
          <w:szCs w:val="24"/>
        </w:rPr>
        <w:t>本款补充：</w:t>
      </w:r>
    </w:p>
    <w:p w14:paraId="3292AF3F">
      <w:pPr>
        <w:spacing w:before="183" w:line="360" w:lineRule="auto"/>
        <w:ind w:left="21" w:right="1" w:firstLine="474"/>
        <w:rPr>
          <w:rFonts w:ascii="宋体" w:hAnsi="宋体" w:eastAsia="宋体" w:cs="宋体"/>
          <w:sz w:val="24"/>
          <w:szCs w:val="24"/>
        </w:rPr>
      </w:pPr>
      <w:r>
        <w:rPr>
          <w:rFonts w:ascii="宋体" w:hAnsi="宋体" w:eastAsia="宋体" w:cs="宋体"/>
          <w:spacing w:val="1"/>
          <w:sz w:val="24"/>
          <w:szCs w:val="24"/>
        </w:rPr>
        <w:t>（1）发包人不提供进出施工现场的水、陆交通通道，不提供水、电、通讯的接入</w:t>
      </w:r>
      <w:r>
        <w:rPr>
          <w:rFonts w:ascii="宋体" w:hAnsi="宋体" w:eastAsia="宋体" w:cs="宋体"/>
          <w:spacing w:val="-2"/>
          <w:sz w:val="24"/>
          <w:szCs w:val="24"/>
        </w:rPr>
        <w:t>点及施工船舶临时停泊水域及停靠码头，由承包人自行落实解决，相关费用已包含在合</w:t>
      </w:r>
      <w:r>
        <w:rPr>
          <w:rFonts w:ascii="宋体" w:hAnsi="宋体" w:eastAsia="宋体" w:cs="宋体"/>
          <w:spacing w:val="-3"/>
          <w:sz w:val="24"/>
          <w:szCs w:val="24"/>
        </w:rPr>
        <w:t>同价格中，发包人不另行支付（除合同另有约定外）。</w:t>
      </w:r>
    </w:p>
    <w:p w14:paraId="220B6F9A">
      <w:pPr>
        <w:spacing w:line="360" w:lineRule="auto"/>
        <w:ind w:left="8" w:firstLine="487"/>
        <w:rPr>
          <w:rFonts w:ascii="宋体" w:hAnsi="宋体" w:eastAsia="宋体" w:cs="宋体"/>
          <w:sz w:val="24"/>
          <w:szCs w:val="24"/>
        </w:rPr>
      </w:pPr>
      <w:r>
        <w:rPr>
          <w:rFonts w:ascii="宋体" w:hAnsi="宋体" w:eastAsia="宋体" w:cs="宋体"/>
          <w:spacing w:val="1"/>
          <w:sz w:val="24"/>
          <w:szCs w:val="24"/>
        </w:rPr>
        <w:t>（2）施工过程中的淤泥、弃方、建筑垃圾等抛弃地点（倾倒区）由承包人自行解</w:t>
      </w:r>
      <w:r>
        <w:rPr>
          <w:rFonts w:ascii="宋体" w:hAnsi="宋体" w:eastAsia="宋体" w:cs="宋体"/>
          <w:spacing w:val="-2"/>
          <w:sz w:val="24"/>
          <w:szCs w:val="24"/>
        </w:rPr>
        <w:t>决，并负责办理相关许可手续，承担因申请和使用倾倒区的一切费用（含环境监测、渔</w:t>
      </w:r>
      <w:r>
        <w:rPr>
          <w:rFonts w:ascii="宋体" w:hAnsi="宋体" w:eastAsia="宋体" w:cs="宋体"/>
          <w:spacing w:val="-1"/>
          <w:sz w:val="24"/>
          <w:szCs w:val="24"/>
        </w:rPr>
        <w:t>业资源补偿等</w:t>
      </w:r>
      <w:r>
        <w:rPr>
          <w:rFonts w:ascii="宋体" w:hAnsi="宋体" w:eastAsia="宋体" w:cs="宋体"/>
          <w:spacing w:val="-10"/>
          <w:sz w:val="24"/>
          <w:szCs w:val="24"/>
        </w:rPr>
        <w:t>），</w:t>
      </w:r>
      <w:r>
        <w:rPr>
          <w:rFonts w:ascii="宋体" w:hAnsi="宋体" w:eastAsia="宋体" w:cs="宋体"/>
          <w:spacing w:val="-1"/>
          <w:sz w:val="24"/>
          <w:szCs w:val="24"/>
        </w:rPr>
        <w:t>相关费用已包含在合同价格中（除合同另有约定外）。如承包人不按</w:t>
      </w:r>
      <w:r>
        <w:rPr>
          <w:rFonts w:ascii="宋体" w:hAnsi="宋体" w:eastAsia="宋体" w:cs="宋体"/>
          <w:spacing w:val="-5"/>
          <w:sz w:val="24"/>
          <w:szCs w:val="24"/>
        </w:rPr>
        <w:t>要求倾倒淤泥、弃方、建筑垃圾等引起的一切责任（包括违约金、赔偿等） 均由承包人</w:t>
      </w:r>
      <w:r>
        <w:rPr>
          <w:rFonts w:ascii="宋体" w:hAnsi="宋体" w:eastAsia="宋体" w:cs="宋体"/>
          <w:spacing w:val="-10"/>
          <w:sz w:val="24"/>
          <w:szCs w:val="24"/>
        </w:rPr>
        <w:t>负责。</w:t>
      </w:r>
    </w:p>
    <w:p w14:paraId="615492D7">
      <w:pPr>
        <w:spacing w:before="2" w:line="359" w:lineRule="auto"/>
        <w:ind w:left="13" w:right="98" w:firstLine="482"/>
        <w:rPr>
          <w:rFonts w:ascii="宋体" w:hAnsi="宋体" w:eastAsia="宋体" w:cs="宋体"/>
          <w:sz w:val="24"/>
          <w:szCs w:val="24"/>
        </w:rPr>
      </w:pPr>
      <w:r>
        <w:rPr>
          <w:rFonts w:ascii="宋体" w:hAnsi="宋体" w:eastAsia="宋体" w:cs="宋体"/>
          <w:spacing w:val="1"/>
          <w:sz w:val="24"/>
          <w:szCs w:val="24"/>
        </w:rPr>
        <w:t>（3）发包人原则上与承包人签订合同前应向承包人提供工程款支付担保</w:t>
      </w:r>
    </w:p>
    <w:p w14:paraId="7F597720">
      <w:pPr>
        <w:spacing w:line="222" w:lineRule="auto"/>
        <w:ind w:left="494"/>
        <w:rPr>
          <w:rFonts w:ascii="宋体" w:hAnsi="宋体" w:eastAsia="宋体" w:cs="宋体"/>
          <w:sz w:val="24"/>
          <w:szCs w:val="24"/>
        </w:rPr>
      </w:pPr>
      <w:r>
        <w:rPr>
          <w:rFonts w:ascii="宋体" w:hAnsi="宋体" w:eastAsia="宋体" w:cs="宋体"/>
          <w:b/>
          <w:bCs/>
          <w:spacing w:val="-5"/>
          <w:sz w:val="24"/>
          <w:szCs w:val="24"/>
        </w:rPr>
        <w:t>3.监理人</w:t>
      </w:r>
    </w:p>
    <w:p w14:paraId="19A6F1C9">
      <w:pPr>
        <w:spacing w:before="178" w:line="220" w:lineRule="auto"/>
        <w:ind w:left="494"/>
        <w:rPr>
          <w:rFonts w:ascii="宋体" w:hAnsi="宋体" w:eastAsia="宋体" w:cs="宋体"/>
          <w:sz w:val="24"/>
          <w:szCs w:val="24"/>
        </w:rPr>
      </w:pPr>
      <w:r>
        <w:rPr>
          <w:rFonts w:ascii="宋体" w:hAnsi="宋体" w:eastAsia="宋体" w:cs="宋体"/>
          <w:spacing w:val="-2"/>
          <w:sz w:val="24"/>
          <w:szCs w:val="24"/>
        </w:rPr>
        <w:t>3.1 监理人的职责和权力</w:t>
      </w:r>
    </w:p>
    <w:p w14:paraId="016E5BEA">
      <w:pPr>
        <w:spacing w:before="181" w:line="220"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2"/>
          <w:sz w:val="24"/>
          <w:szCs w:val="24"/>
        </w:rPr>
        <w:t xml:space="preserve"> </w:t>
      </w:r>
      <w:r>
        <w:rPr>
          <w:rFonts w:ascii="宋体" w:hAnsi="宋体" w:eastAsia="宋体" w:cs="宋体"/>
          <w:spacing w:val="-8"/>
          <w:sz w:val="24"/>
          <w:szCs w:val="24"/>
        </w:rPr>
        <w:t>3.1.1</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716524BB">
      <w:pPr>
        <w:spacing w:before="182" w:line="219" w:lineRule="auto"/>
        <w:ind w:left="494"/>
        <w:rPr>
          <w:rFonts w:ascii="宋体" w:hAnsi="宋体" w:eastAsia="宋体" w:cs="宋体"/>
          <w:sz w:val="24"/>
          <w:szCs w:val="24"/>
        </w:rPr>
      </w:pPr>
      <w:r>
        <w:rPr>
          <w:rFonts w:ascii="宋体" w:hAnsi="宋体" w:eastAsia="宋体" w:cs="宋体"/>
          <w:spacing w:val="-5"/>
          <w:sz w:val="24"/>
          <w:szCs w:val="24"/>
        </w:rPr>
        <w:t>3.1.1（6）本项细化为：</w:t>
      </w:r>
    </w:p>
    <w:p w14:paraId="0323B44F">
      <w:pPr>
        <w:spacing w:before="183" w:line="220" w:lineRule="auto"/>
        <w:ind w:left="495"/>
        <w:rPr>
          <w:rFonts w:ascii="宋体" w:hAnsi="宋体" w:eastAsia="宋体" w:cs="宋体"/>
          <w:sz w:val="24"/>
          <w:szCs w:val="24"/>
        </w:rPr>
      </w:pPr>
      <w:r>
        <w:rPr>
          <w:rFonts w:ascii="宋体" w:hAnsi="宋体" w:eastAsia="宋体" w:cs="宋体"/>
          <w:spacing w:val="-3"/>
          <w:sz w:val="24"/>
          <w:szCs w:val="24"/>
        </w:rPr>
        <w:t>（6）根据第</w:t>
      </w:r>
      <w:r>
        <w:rPr>
          <w:rFonts w:ascii="宋体" w:hAnsi="宋体" w:eastAsia="宋体" w:cs="宋体"/>
          <w:spacing w:val="46"/>
          <w:sz w:val="24"/>
          <w:szCs w:val="24"/>
        </w:rPr>
        <w:t xml:space="preserve"> </w:t>
      </w:r>
      <w:r>
        <w:rPr>
          <w:rFonts w:ascii="宋体" w:hAnsi="宋体" w:eastAsia="宋体" w:cs="宋体"/>
          <w:spacing w:val="-3"/>
          <w:sz w:val="24"/>
          <w:szCs w:val="24"/>
        </w:rPr>
        <w:t>15.3 款发出的变更指示，均需要经发包人事先批准。</w:t>
      </w:r>
    </w:p>
    <w:p w14:paraId="6B0AE904">
      <w:pPr>
        <w:spacing w:before="183" w:line="360" w:lineRule="auto"/>
        <w:ind w:left="10" w:right="74" w:firstLine="480"/>
        <w:rPr>
          <w:rFonts w:ascii="宋体" w:hAnsi="宋体" w:eastAsia="宋体" w:cs="宋体"/>
          <w:sz w:val="24"/>
          <w:szCs w:val="24"/>
        </w:rPr>
      </w:pPr>
      <w:r>
        <w:rPr>
          <w:rFonts w:ascii="宋体" w:hAnsi="宋体" w:eastAsia="宋体" w:cs="宋体"/>
          <w:spacing w:val="-2"/>
          <w:sz w:val="24"/>
          <w:szCs w:val="24"/>
        </w:rPr>
        <w:t>增加以下内容：监理人关于本合同段工程的有关决定，都必须抄送发包人。发包人</w:t>
      </w:r>
      <w:r>
        <w:rPr>
          <w:rFonts w:ascii="宋体" w:hAnsi="宋体" w:eastAsia="宋体" w:cs="宋体"/>
          <w:spacing w:val="-1"/>
          <w:sz w:val="24"/>
          <w:szCs w:val="24"/>
        </w:rPr>
        <w:t>和承包人双方对工程施工的有关协议或决定，必须抄送监理人。监</w:t>
      </w:r>
      <w:r>
        <w:rPr>
          <w:rFonts w:ascii="宋体" w:hAnsi="宋体" w:eastAsia="宋体" w:cs="宋体"/>
          <w:spacing w:val="-2"/>
          <w:sz w:val="24"/>
          <w:szCs w:val="24"/>
        </w:rPr>
        <w:t>理人涉及工程变更、</w:t>
      </w:r>
      <w:r>
        <w:rPr>
          <w:rFonts w:ascii="宋体" w:hAnsi="宋体" w:eastAsia="宋体" w:cs="宋体"/>
          <w:spacing w:val="-7"/>
          <w:sz w:val="24"/>
          <w:szCs w:val="24"/>
        </w:rPr>
        <w:t>工程量增减、议价、索赔、改变工期、改变技术标准、改变重大施工技术方案，</w:t>
      </w:r>
      <w:r>
        <w:rPr>
          <w:rFonts w:ascii="宋体" w:hAnsi="宋体" w:eastAsia="宋体" w:cs="宋体"/>
          <w:spacing w:val="86"/>
          <w:sz w:val="24"/>
          <w:szCs w:val="24"/>
        </w:rPr>
        <w:t xml:space="preserve"> </w:t>
      </w:r>
      <w:r>
        <w:rPr>
          <w:rFonts w:ascii="宋体" w:hAnsi="宋体" w:eastAsia="宋体" w:cs="宋体"/>
          <w:spacing w:val="-7"/>
          <w:sz w:val="24"/>
          <w:szCs w:val="24"/>
        </w:rPr>
        <w:t>以及与</w:t>
      </w:r>
      <w:r>
        <w:rPr>
          <w:rFonts w:ascii="宋体" w:hAnsi="宋体" w:eastAsia="宋体" w:cs="宋体"/>
          <w:spacing w:val="-1"/>
          <w:sz w:val="24"/>
          <w:szCs w:val="24"/>
        </w:rPr>
        <w:t>费用有关的指令，均需事先与发包人协商，</w:t>
      </w:r>
      <w:r>
        <w:rPr>
          <w:rFonts w:ascii="宋体" w:hAnsi="宋体" w:eastAsia="宋体" w:cs="宋体"/>
          <w:spacing w:val="-2"/>
          <w:sz w:val="24"/>
          <w:szCs w:val="24"/>
        </w:rPr>
        <w:t>发包人书面认可后方能生效。</w:t>
      </w:r>
    </w:p>
    <w:p w14:paraId="14CE4F1F">
      <w:pPr>
        <w:spacing w:before="1" w:line="219"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2"/>
          <w:sz w:val="24"/>
          <w:szCs w:val="24"/>
        </w:rPr>
        <w:t xml:space="preserve"> </w:t>
      </w:r>
      <w:r>
        <w:rPr>
          <w:rFonts w:ascii="宋体" w:hAnsi="宋体" w:eastAsia="宋体" w:cs="宋体"/>
          <w:spacing w:val="-8"/>
          <w:sz w:val="24"/>
          <w:szCs w:val="24"/>
        </w:rPr>
        <w:t>3.1.2</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32BD25C7">
      <w:pPr>
        <w:spacing w:before="182" w:line="360" w:lineRule="auto"/>
        <w:ind w:left="9" w:right="87" w:firstLine="494"/>
        <w:jc w:val="both"/>
        <w:rPr>
          <w:rFonts w:ascii="宋体" w:hAnsi="宋体" w:eastAsia="宋体" w:cs="宋体"/>
          <w:sz w:val="24"/>
          <w:szCs w:val="24"/>
        </w:rPr>
      </w:pPr>
      <w:r>
        <w:rPr>
          <w:rFonts w:ascii="宋体" w:hAnsi="宋体" w:eastAsia="宋体" w:cs="宋体"/>
          <w:spacing w:val="-2"/>
          <w:sz w:val="24"/>
          <w:szCs w:val="24"/>
        </w:rPr>
        <w:t>除本合同规定必须经发包人另行批准的事项外，如果监理人已经行使了上述职权，</w:t>
      </w:r>
      <w:r>
        <w:rPr>
          <w:rFonts w:ascii="宋体" w:hAnsi="宋体" w:eastAsia="宋体" w:cs="宋体"/>
          <w:spacing w:val="-5"/>
          <w:sz w:val="24"/>
          <w:szCs w:val="24"/>
        </w:rPr>
        <w:t>都应认为已从发包人处取得了必要的批准。但如果监理人的某些决定不妥或有错误， 不</w:t>
      </w:r>
      <w:r>
        <w:rPr>
          <w:rFonts w:ascii="宋体" w:hAnsi="宋体" w:eastAsia="宋体" w:cs="宋体"/>
          <w:spacing w:val="-2"/>
          <w:sz w:val="24"/>
          <w:szCs w:val="24"/>
        </w:rPr>
        <w:t>妨碍政府监督部门或发包人事后进行撤销或变更。</w:t>
      </w:r>
    </w:p>
    <w:p w14:paraId="236CAE67">
      <w:pPr>
        <w:spacing w:before="1" w:line="218" w:lineRule="auto"/>
        <w:ind w:left="490"/>
        <w:rPr>
          <w:rFonts w:ascii="宋体" w:hAnsi="宋体" w:eastAsia="宋体" w:cs="宋体"/>
          <w:sz w:val="24"/>
          <w:szCs w:val="24"/>
        </w:rPr>
      </w:pPr>
      <w:r>
        <w:rPr>
          <w:rFonts w:ascii="宋体" w:hAnsi="宋体" w:eastAsia="宋体" w:cs="宋体"/>
          <w:spacing w:val="-4"/>
          <w:sz w:val="24"/>
          <w:szCs w:val="24"/>
        </w:rPr>
        <w:t>本条增加第 3.6</w:t>
      </w:r>
      <w:r>
        <w:rPr>
          <w:rFonts w:ascii="宋体" w:hAnsi="宋体" w:eastAsia="宋体" w:cs="宋体"/>
          <w:spacing w:val="10"/>
          <w:sz w:val="24"/>
          <w:szCs w:val="24"/>
        </w:rPr>
        <w:t xml:space="preserve"> </w:t>
      </w:r>
      <w:r>
        <w:rPr>
          <w:rFonts w:ascii="宋体" w:hAnsi="宋体" w:eastAsia="宋体" w:cs="宋体"/>
          <w:spacing w:val="-4"/>
          <w:sz w:val="24"/>
          <w:szCs w:val="24"/>
        </w:rPr>
        <w:t>款和第</w:t>
      </w:r>
      <w:r>
        <w:rPr>
          <w:rFonts w:ascii="宋体" w:hAnsi="宋体" w:eastAsia="宋体" w:cs="宋体"/>
          <w:spacing w:val="14"/>
          <w:sz w:val="24"/>
          <w:szCs w:val="24"/>
        </w:rPr>
        <w:t xml:space="preserve"> </w:t>
      </w:r>
      <w:r>
        <w:rPr>
          <w:rFonts w:ascii="宋体" w:hAnsi="宋体" w:eastAsia="宋体" w:cs="宋体"/>
          <w:spacing w:val="-4"/>
          <w:sz w:val="24"/>
          <w:szCs w:val="24"/>
        </w:rPr>
        <w:t>3.7</w:t>
      </w:r>
      <w:r>
        <w:rPr>
          <w:rFonts w:ascii="宋体" w:hAnsi="宋体" w:eastAsia="宋体" w:cs="宋体"/>
          <w:spacing w:val="10"/>
          <w:sz w:val="24"/>
          <w:szCs w:val="24"/>
        </w:rPr>
        <w:t xml:space="preserve"> </w:t>
      </w:r>
      <w:r>
        <w:rPr>
          <w:rFonts w:ascii="宋体" w:hAnsi="宋体" w:eastAsia="宋体" w:cs="宋体"/>
          <w:spacing w:val="-4"/>
          <w:sz w:val="24"/>
          <w:szCs w:val="24"/>
        </w:rPr>
        <w:t>款：</w:t>
      </w:r>
    </w:p>
    <w:p w14:paraId="4F599B14">
      <w:pPr>
        <w:spacing w:before="183" w:line="220" w:lineRule="auto"/>
        <w:ind w:left="494"/>
        <w:rPr>
          <w:rFonts w:ascii="宋体" w:hAnsi="宋体" w:eastAsia="宋体" w:cs="宋体"/>
          <w:sz w:val="24"/>
          <w:szCs w:val="24"/>
        </w:rPr>
      </w:pPr>
      <w:r>
        <w:rPr>
          <w:rFonts w:ascii="宋体" w:hAnsi="宋体" w:eastAsia="宋体" w:cs="宋体"/>
          <w:spacing w:val="-1"/>
          <w:sz w:val="24"/>
          <w:szCs w:val="24"/>
        </w:rPr>
        <w:t>3.6 发包人、监理人、试验人、承包人、风险管理等单位的关系</w:t>
      </w:r>
    </w:p>
    <w:p w14:paraId="0C9FAFAE">
      <w:pPr>
        <w:spacing w:before="183" w:line="360" w:lineRule="auto"/>
        <w:ind w:left="8" w:firstLine="485"/>
        <w:rPr>
          <w:rFonts w:ascii="宋体" w:hAnsi="宋体" w:eastAsia="宋体" w:cs="宋体"/>
          <w:sz w:val="24"/>
          <w:szCs w:val="24"/>
        </w:rPr>
      </w:pPr>
      <w:r>
        <w:rPr>
          <w:rFonts w:ascii="宋体" w:hAnsi="宋体" w:eastAsia="宋体" w:cs="宋体"/>
          <w:sz w:val="24"/>
          <w:szCs w:val="24"/>
        </w:rPr>
        <w:t>3.6.1</w:t>
      </w:r>
      <w:r>
        <w:rPr>
          <w:rFonts w:ascii="宋体" w:hAnsi="宋体" w:eastAsia="宋体" w:cs="宋体"/>
          <w:spacing w:val="-51"/>
          <w:sz w:val="24"/>
          <w:szCs w:val="24"/>
        </w:rPr>
        <w:t xml:space="preserve"> </w:t>
      </w:r>
      <w:r>
        <w:rPr>
          <w:rFonts w:ascii="宋体" w:hAnsi="宋体" w:eastAsia="宋体" w:cs="宋体"/>
          <w:sz w:val="24"/>
          <w:szCs w:val="24"/>
        </w:rPr>
        <w:t>在整个建设过程中，发包人与监理人、试</w:t>
      </w:r>
      <w:r>
        <w:rPr>
          <w:rFonts w:ascii="宋体" w:hAnsi="宋体" w:eastAsia="宋体" w:cs="宋体"/>
          <w:spacing w:val="-1"/>
          <w:sz w:val="24"/>
          <w:szCs w:val="24"/>
        </w:rPr>
        <w:t>验人、第三方监测、风险管理单位</w:t>
      </w:r>
      <w:r>
        <w:rPr>
          <w:rFonts w:ascii="宋体" w:hAnsi="宋体" w:eastAsia="宋体" w:cs="宋体"/>
          <w:spacing w:val="-5"/>
          <w:sz w:val="24"/>
          <w:szCs w:val="24"/>
        </w:rPr>
        <w:t>之间是委托与被委托的关系，同时也是建设命运共同体</w:t>
      </w:r>
      <w:r>
        <w:rPr>
          <w:rFonts w:ascii="宋体" w:hAnsi="宋体" w:eastAsia="宋体" w:cs="宋体"/>
          <w:spacing w:val="-6"/>
          <w:sz w:val="24"/>
          <w:szCs w:val="24"/>
        </w:rPr>
        <w:t>，努力营造“共建、共管、共创、</w:t>
      </w:r>
      <w:r>
        <w:rPr>
          <w:rFonts w:ascii="宋体" w:hAnsi="宋体" w:eastAsia="宋体" w:cs="宋体"/>
          <w:spacing w:val="-5"/>
          <w:sz w:val="24"/>
          <w:szCs w:val="24"/>
        </w:rPr>
        <w:t>共享”的建设环境；监理人与承包人是监理与被监理的</w:t>
      </w:r>
      <w:r>
        <w:rPr>
          <w:rFonts w:ascii="宋体" w:hAnsi="宋体" w:eastAsia="宋体" w:cs="宋体"/>
          <w:spacing w:val="-6"/>
          <w:sz w:val="24"/>
          <w:szCs w:val="24"/>
        </w:rPr>
        <w:t>关系；承包人在项目实施过程中，</w:t>
      </w:r>
      <w:r>
        <w:rPr>
          <w:rFonts w:ascii="宋体" w:hAnsi="宋体" w:eastAsia="宋体" w:cs="宋体"/>
          <w:spacing w:val="-2"/>
          <w:sz w:val="24"/>
          <w:szCs w:val="24"/>
        </w:rPr>
        <w:t>必须接受发包人的统一管理，同时应按合同规定接受监理人和试验人的监督和管理。任何与施工承包合同有关的施工活动，都必须同时经发包人或发包人委托的监理人审查认定，认为符合合同规定，发包人才同意计量。承包人应服从发包人的统一协调，积极配合发包人委托的单位开展工作，相关费用已包含在合同总价中。</w:t>
      </w:r>
    </w:p>
    <w:p w14:paraId="635FC977">
      <w:pPr>
        <w:spacing w:before="78" w:line="360" w:lineRule="auto"/>
        <w:ind w:left="8" w:firstLine="5"/>
        <w:jc w:val="both"/>
        <w:rPr>
          <w:rFonts w:ascii="宋体" w:hAnsi="宋体" w:eastAsia="宋体" w:cs="宋体"/>
          <w:sz w:val="24"/>
          <w:szCs w:val="24"/>
        </w:rPr>
      </w:pPr>
      <w:r>
        <w:rPr>
          <w:rFonts w:ascii="宋体" w:hAnsi="宋体" w:eastAsia="宋体" w:cs="宋体"/>
          <w:sz w:val="24"/>
          <w:szCs w:val="24"/>
        </w:rPr>
        <w:t>3.6.2</w:t>
      </w:r>
      <w:r>
        <w:rPr>
          <w:rFonts w:ascii="宋体" w:hAnsi="宋体" w:eastAsia="宋体" w:cs="宋体"/>
          <w:spacing w:val="-49"/>
          <w:sz w:val="24"/>
          <w:szCs w:val="24"/>
        </w:rPr>
        <w:t xml:space="preserve"> </w:t>
      </w:r>
      <w:r>
        <w:rPr>
          <w:rFonts w:ascii="宋体" w:hAnsi="宋体" w:eastAsia="宋体" w:cs="宋体"/>
          <w:sz w:val="24"/>
          <w:szCs w:val="24"/>
        </w:rPr>
        <w:t>本项目工程实行承包人自检、社会监</w:t>
      </w:r>
      <w:r>
        <w:rPr>
          <w:rFonts w:ascii="宋体" w:hAnsi="宋体" w:eastAsia="宋体" w:cs="宋体"/>
          <w:spacing w:val="-1"/>
          <w:sz w:val="24"/>
          <w:szCs w:val="24"/>
        </w:rPr>
        <w:t>理（含试验人）、发包人管理和政府监</w:t>
      </w:r>
      <w:r>
        <w:rPr>
          <w:rFonts w:ascii="宋体" w:hAnsi="宋体" w:eastAsia="宋体" w:cs="宋体"/>
          <w:spacing w:val="-2"/>
          <w:sz w:val="24"/>
          <w:szCs w:val="24"/>
        </w:rPr>
        <w:t>督的质量保证体系。对工程质量出现问题而降低质量标准或返工而造成的一切经济和工期损失，由承包人承担，并视为承包人违约；监理人根据监理合同规定负监理不周的责</w:t>
      </w:r>
      <w:r>
        <w:rPr>
          <w:rFonts w:ascii="宋体" w:hAnsi="宋体" w:eastAsia="宋体" w:cs="宋体"/>
          <w:spacing w:val="-1"/>
          <w:sz w:val="24"/>
          <w:szCs w:val="24"/>
        </w:rPr>
        <w:t>任。监理人对某一分部或分项工程的认可不影响政府机构或发包人</w:t>
      </w:r>
      <w:r>
        <w:rPr>
          <w:rFonts w:ascii="宋体" w:hAnsi="宋体" w:eastAsia="宋体" w:cs="宋体"/>
          <w:spacing w:val="-2"/>
          <w:sz w:val="24"/>
          <w:szCs w:val="24"/>
        </w:rPr>
        <w:t>在事后的否定。</w:t>
      </w:r>
    </w:p>
    <w:p w14:paraId="5BB20C8D">
      <w:pPr>
        <w:spacing w:line="219" w:lineRule="auto"/>
        <w:ind w:left="494"/>
        <w:rPr>
          <w:rFonts w:ascii="宋体" w:hAnsi="宋体" w:eastAsia="宋体" w:cs="宋体"/>
          <w:sz w:val="24"/>
          <w:szCs w:val="24"/>
        </w:rPr>
      </w:pPr>
      <w:r>
        <w:rPr>
          <w:rFonts w:ascii="宋体" w:hAnsi="宋体" w:eastAsia="宋体" w:cs="宋体"/>
          <w:spacing w:val="-2"/>
          <w:sz w:val="24"/>
          <w:szCs w:val="24"/>
        </w:rPr>
        <w:t>3.7 发包人代表（或称发包人驻地代表）</w:t>
      </w:r>
    </w:p>
    <w:p w14:paraId="7D29ED2F">
      <w:pPr>
        <w:spacing w:before="182" w:line="360" w:lineRule="auto"/>
        <w:ind w:left="10" w:right="3" w:firstLine="483"/>
        <w:rPr>
          <w:rFonts w:ascii="宋体" w:hAnsi="宋体" w:eastAsia="宋体" w:cs="宋体"/>
          <w:sz w:val="24"/>
          <w:szCs w:val="24"/>
        </w:rPr>
      </w:pPr>
      <w:r>
        <w:rPr>
          <w:rFonts w:ascii="宋体" w:hAnsi="宋体" w:eastAsia="宋体" w:cs="宋体"/>
          <w:spacing w:val="-1"/>
          <w:sz w:val="24"/>
          <w:szCs w:val="24"/>
        </w:rPr>
        <w:t>3.7.1</w:t>
      </w:r>
      <w:r>
        <w:rPr>
          <w:rFonts w:ascii="宋体" w:hAnsi="宋体" w:eastAsia="宋体" w:cs="宋体"/>
          <w:spacing w:val="-28"/>
          <w:sz w:val="24"/>
          <w:szCs w:val="24"/>
        </w:rPr>
        <w:t xml:space="preserve"> </w:t>
      </w:r>
      <w:r>
        <w:rPr>
          <w:rFonts w:ascii="宋体" w:hAnsi="宋体" w:eastAsia="宋体" w:cs="宋体"/>
          <w:spacing w:val="-1"/>
          <w:sz w:val="24"/>
          <w:szCs w:val="24"/>
        </w:rPr>
        <w:t>发包人代表根据发包人的授权，代表发包人履行项目管理和控制职责，具体</w:t>
      </w:r>
      <w:r>
        <w:rPr>
          <w:rFonts w:ascii="宋体" w:hAnsi="宋体" w:eastAsia="宋体" w:cs="宋体"/>
          <w:spacing w:val="-3"/>
          <w:sz w:val="24"/>
          <w:szCs w:val="24"/>
        </w:rPr>
        <w:t>职责和权限由发包人另行明确。</w:t>
      </w:r>
    </w:p>
    <w:p w14:paraId="179CCB11">
      <w:pPr>
        <w:spacing w:before="2" w:line="359" w:lineRule="auto"/>
        <w:ind w:left="14" w:right="3" w:firstLine="480"/>
        <w:rPr>
          <w:rFonts w:ascii="宋体" w:hAnsi="宋体" w:eastAsia="宋体" w:cs="宋体"/>
          <w:sz w:val="24"/>
          <w:szCs w:val="24"/>
        </w:rPr>
      </w:pPr>
      <w:r>
        <w:rPr>
          <w:rFonts w:ascii="宋体" w:hAnsi="宋体" w:eastAsia="宋体" w:cs="宋体"/>
          <w:spacing w:val="-1"/>
          <w:sz w:val="24"/>
          <w:szCs w:val="24"/>
        </w:rPr>
        <w:t>3.7.2</w:t>
      </w:r>
      <w:r>
        <w:rPr>
          <w:rFonts w:ascii="宋体" w:hAnsi="宋体" w:eastAsia="宋体" w:cs="宋体"/>
          <w:spacing w:val="-28"/>
          <w:sz w:val="24"/>
          <w:szCs w:val="24"/>
        </w:rPr>
        <w:t xml:space="preserve"> </w:t>
      </w:r>
      <w:r>
        <w:rPr>
          <w:rFonts w:ascii="宋体" w:hAnsi="宋体" w:eastAsia="宋体" w:cs="宋体"/>
          <w:spacing w:val="-1"/>
          <w:sz w:val="24"/>
          <w:szCs w:val="24"/>
        </w:rPr>
        <w:t>发包人代表对承包人的现场工程质量、进度、安全、文明环保等进行检查和</w:t>
      </w:r>
      <w:r>
        <w:rPr>
          <w:rFonts w:ascii="宋体" w:hAnsi="宋体" w:eastAsia="宋体" w:cs="宋体"/>
          <w:spacing w:val="-3"/>
          <w:sz w:val="24"/>
          <w:szCs w:val="24"/>
        </w:rPr>
        <w:t>督导，并有权要求承包人对存在问题进行整改。</w:t>
      </w:r>
    </w:p>
    <w:p w14:paraId="0763BA94">
      <w:pPr>
        <w:spacing w:line="219" w:lineRule="auto"/>
        <w:ind w:left="488"/>
        <w:rPr>
          <w:rFonts w:ascii="宋体" w:hAnsi="宋体" w:eastAsia="宋体" w:cs="宋体"/>
          <w:sz w:val="24"/>
          <w:szCs w:val="24"/>
        </w:rPr>
      </w:pPr>
      <w:r>
        <w:rPr>
          <w:rFonts w:ascii="宋体" w:hAnsi="宋体" w:eastAsia="宋体" w:cs="宋体"/>
          <w:b/>
          <w:bCs/>
          <w:spacing w:val="-4"/>
          <w:sz w:val="24"/>
          <w:szCs w:val="24"/>
        </w:rPr>
        <w:t>4.承包人</w:t>
      </w:r>
    </w:p>
    <w:p w14:paraId="6D490855">
      <w:pPr>
        <w:spacing w:before="182" w:line="220" w:lineRule="auto"/>
        <w:ind w:left="489"/>
        <w:rPr>
          <w:rFonts w:ascii="宋体" w:hAnsi="宋体" w:eastAsia="宋体" w:cs="宋体"/>
          <w:sz w:val="24"/>
          <w:szCs w:val="24"/>
        </w:rPr>
      </w:pPr>
      <w:r>
        <w:rPr>
          <w:rFonts w:ascii="宋体" w:hAnsi="宋体" w:eastAsia="宋体" w:cs="宋体"/>
          <w:spacing w:val="-2"/>
          <w:sz w:val="24"/>
          <w:szCs w:val="24"/>
        </w:rPr>
        <w:t>承包人的一般义务</w:t>
      </w:r>
    </w:p>
    <w:p w14:paraId="02485EE7">
      <w:pPr>
        <w:spacing w:before="183" w:line="219" w:lineRule="auto"/>
        <w:ind w:left="488"/>
        <w:rPr>
          <w:rFonts w:ascii="宋体" w:hAnsi="宋体" w:eastAsia="宋体" w:cs="宋体"/>
          <w:sz w:val="24"/>
          <w:szCs w:val="24"/>
        </w:rPr>
      </w:pPr>
      <w:r>
        <w:rPr>
          <w:rFonts w:ascii="宋体" w:hAnsi="宋体" w:eastAsia="宋体" w:cs="宋体"/>
          <w:spacing w:val="-2"/>
          <w:sz w:val="24"/>
          <w:szCs w:val="24"/>
        </w:rPr>
        <w:t>4.1.2</w:t>
      </w:r>
      <w:r>
        <w:rPr>
          <w:rFonts w:ascii="宋体" w:hAnsi="宋体" w:eastAsia="宋体" w:cs="宋体"/>
          <w:spacing w:val="-49"/>
          <w:sz w:val="24"/>
          <w:szCs w:val="24"/>
        </w:rPr>
        <w:t xml:space="preserve"> </w:t>
      </w:r>
      <w:r>
        <w:rPr>
          <w:rFonts w:ascii="宋体" w:hAnsi="宋体" w:eastAsia="宋体" w:cs="宋体"/>
          <w:spacing w:val="-2"/>
          <w:sz w:val="24"/>
          <w:szCs w:val="24"/>
        </w:rPr>
        <w:t>依法纳税</w:t>
      </w:r>
    </w:p>
    <w:p w14:paraId="2485446E">
      <w:pPr>
        <w:spacing w:before="183" w:line="219" w:lineRule="auto"/>
        <w:ind w:left="490"/>
        <w:rPr>
          <w:rFonts w:ascii="宋体" w:hAnsi="宋体" w:eastAsia="宋体" w:cs="宋体"/>
          <w:sz w:val="24"/>
          <w:szCs w:val="24"/>
        </w:rPr>
      </w:pPr>
      <w:r>
        <w:rPr>
          <w:rFonts w:ascii="宋体" w:hAnsi="宋体" w:eastAsia="宋体" w:cs="宋体"/>
          <w:spacing w:val="-11"/>
          <w:sz w:val="24"/>
          <w:szCs w:val="24"/>
        </w:rPr>
        <w:t>本项补充：</w:t>
      </w:r>
    </w:p>
    <w:p w14:paraId="2E74CAAD">
      <w:pPr>
        <w:spacing w:before="183" w:line="360" w:lineRule="auto"/>
        <w:ind w:left="8" w:firstLine="484"/>
        <w:jc w:val="both"/>
        <w:rPr>
          <w:rFonts w:ascii="宋体" w:hAnsi="宋体" w:eastAsia="宋体" w:cs="宋体"/>
          <w:sz w:val="24"/>
          <w:szCs w:val="24"/>
        </w:rPr>
      </w:pPr>
      <w:r>
        <w:rPr>
          <w:rFonts w:ascii="宋体" w:hAnsi="宋体" w:eastAsia="宋体" w:cs="宋体"/>
          <w:spacing w:val="-9"/>
          <w:sz w:val="24"/>
          <w:szCs w:val="24"/>
        </w:rPr>
        <w:t>省、市和地方有关单位要收取的税费和规费（包括但不限于按交通运输部公布的《公</w:t>
      </w:r>
      <w:r>
        <w:rPr>
          <w:rFonts w:ascii="宋体" w:hAnsi="宋体" w:eastAsia="宋体" w:cs="宋体"/>
          <w:spacing w:val="1"/>
          <w:sz w:val="24"/>
          <w:szCs w:val="24"/>
        </w:rPr>
        <w:t>路工程建设项目概算预算编制办法》(</w:t>
      </w:r>
      <w:r>
        <w:rPr>
          <w:rFonts w:ascii="宋体" w:hAnsi="宋体" w:eastAsia="宋体" w:cs="宋体"/>
          <w:sz w:val="24"/>
          <w:szCs w:val="24"/>
        </w:rPr>
        <w:t>JTG</w:t>
      </w:r>
      <w:r>
        <w:rPr>
          <w:rFonts w:ascii="宋体" w:hAnsi="宋体" w:eastAsia="宋体" w:cs="宋体"/>
          <w:spacing w:val="1"/>
          <w:sz w:val="24"/>
          <w:szCs w:val="24"/>
        </w:rPr>
        <w:t xml:space="preserve"> 3830-2018)规定的建筑安装工程造价内的增</w:t>
      </w:r>
      <w:r>
        <w:rPr>
          <w:rFonts w:ascii="宋体" w:hAnsi="宋体" w:eastAsia="宋体" w:cs="宋体"/>
          <w:spacing w:val="-6"/>
          <w:sz w:val="24"/>
          <w:szCs w:val="24"/>
        </w:rPr>
        <w:t>值税、城市维护建设税、教育费附加和地方教育附加税、堤围防护费等</w:t>
      </w:r>
      <w:r>
        <w:rPr>
          <w:rFonts w:ascii="宋体" w:hAnsi="宋体" w:eastAsia="宋体" w:cs="宋体"/>
          <w:spacing w:val="2"/>
          <w:sz w:val="24"/>
          <w:szCs w:val="24"/>
        </w:rPr>
        <w:t>）</w:t>
      </w:r>
      <w:r>
        <w:rPr>
          <w:rFonts w:ascii="宋体" w:hAnsi="宋体" w:eastAsia="宋体" w:cs="宋体"/>
          <w:spacing w:val="35"/>
          <w:sz w:val="24"/>
          <w:szCs w:val="24"/>
        </w:rPr>
        <w:t xml:space="preserve"> </w:t>
      </w:r>
      <w:r>
        <w:rPr>
          <w:rFonts w:ascii="宋体" w:hAnsi="宋体" w:eastAsia="宋体" w:cs="宋体"/>
          <w:spacing w:val="2"/>
          <w:sz w:val="24"/>
          <w:szCs w:val="24"/>
        </w:rPr>
        <w:t>，</w:t>
      </w:r>
      <w:r>
        <w:rPr>
          <w:rFonts w:ascii="宋体" w:hAnsi="宋体" w:eastAsia="宋体" w:cs="宋体"/>
          <w:spacing w:val="-6"/>
          <w:sz w:val="24"/>
          <w:szCs w:val="24"/>
        </w:rPr>
        <w:t>已包含在工</w:t>
      </w:r>
      <w:r>
        <w:rPr>
          <w:rFonts w:ascii="宋体" w:hAnsi="宋体" w:eastAsia="宋体" w:cs="宋体"/>
          <w:spacing w:val="-2"/>
          <w:sz w:val="24"/>
          <w:szCs w:val="24"/>
        </w:rPr>
        <w:t>程量清单单价及总价中，由承包人负责缴纳并承担所需费用。</w:t>
      </w:r>
    </w:p>
    <w:p w14:paraId="1359987A">
      <w:pPr>
        <w:spacing w:before="1" w:line="219" w:lineRule="auto"/>
        <w:ind w:left="488"/>
        <w:rPr>
          <w:rFonts w:ascii="宋体" w:hAnsi="宋体" w:eastAsia="宋体" w:cs="宋体"/>
          <w:sz w:val="24"/>
          <w:szCs w:val="24"/>
        </w:rPr>
      </w:pPr>
      <w:r>
        <w:rPr>
          <w:rFonts w:ascii="宋体" w:hAnsi="宋体" w:eastAsia="宋体" w:cs="宋体"/>
          <w:spacing w:val="-1"/>
          <w:sz w:val="24"/>
          <w:szCs w:val="24"/>
        </w:rPr>
        <w:t>4.1.4 对施工作业和施工方法的完备性负责</w:t>
      </w:r>
    </w:p>
    <w:p w14:paraId="0DAF7A39">
      <w:pPr>
        <w:spacing w:before="182" w:line="219" w:lineRule="auto"/>
        <w:ind w:left="490"/>
        <w:rPr>
          <w:rFonts w:ascii="宋体" w:hAnsi="宋体" w:eastAsia="宋体" w:cs="宋体"/>
          <w:sz w:val="24"/>
          <w:szCs w:val="24"/>
        </w:rPr>
      </w:pPr>
      <w:r>
        <w:rPr>
          <w:rFonts w:ascii="宋体" w:hAnsi="宋体" w:eastAsia="宋体" w:cs="宋体"/>
          <w:spacing w:val="-10"/>
          <w:sz w:val="24"/>
          <w:szCs w:val="24"/>
        </w:rPr>
        <w:t>本项细化为：</w:t>
      </w:r>
    </w:p>
    <w:p w14:paraId="529A7787">
      <w:pPr>
        <w:spacing w:before="184" w:line="360" w:lineRule="auto"/>
        <w:ind w:left="8" w:firstLine="480"/>
        <w:jc w:val="both"/>
        <w:rPr>
          <w:rFonts w:ascii="宋体" w:hAnsi="宋体" w:eastAsia="宋体" w:cs="宋体"/>
          <w:sz w:val="24"/>
          <w:szCs w:val="24"/>
        </w:rPr>
      </w:pPr>
      <w:r>
        <w:rPr>
          <w:rFonts w:ascii="宋体" w:hAnsi="宋体" w:eastAsia="宋体" w:cs="宋体"/>
          <w:spacing w:val="-2"/>
          <w:sz w:val="24"/>
          <w:szCs w:val="24"/>
        </w:rPr>
        <w:t>承包人应按合同约定的工作内容和施工进度要求，根据《广东省高速公路工程施工</w:t>
      </w:r>
      <w:r>
        <w:rPr>
          <w:rFonts w:ascii="宋体" w:hAnsi="宋体" w:eastAsia="宋体" w:cs="宋体"/>
          <w:spacing w:val="-4"/>
          <w:sz w:val="24"/>
          <w:szCs w:val="24"/>
        </w:rPr>
        <w:t>组织设计和施工方案标准化管理指南》编制施工组织设计和施工方案，</w:t>
      </w:r>
      <w:r>
        <w:rPr>
          <w:rFonts w:ascii="宋体" w:hAnsi="宋体" w:eastAsia="宋体" w:cs="宋体"/>
          <w:spacing w:val="-24"/>
          <w:sz w:val="24"/>
          <w:szCs w:val="24"/>
        </w:rPr>
        <w:t xml:space="preserve"> </w:t>
      </w:r>
      <w:r>
        <w:rPr>
          <w:rFonts w:ascii="宋体" w:hAnsi="宋体" w:eastAsia="宋体" w:cs="宋体"/>
          <w:spacing w:val="-4"/>
          <w:sz w:val="24"/>
          <w:szCs w:val="24"/>
        </w:rPr>
        <w:t>并对所有施</w:t>
      </w:r>
      <w:r>
        <w:rPr>
          <w:rFonts w:ascii="宋体" w:hAnsi="宋体" w:eastAsia="宋体" w:cs="宋体"/>
          <w:spacing w:val="-5"/>
          <w:sz w:val="24"/>
          <w:szCs w:val="24"/>
        </w:rPr>
        <w:t>工作</w:t>
      </w:r>
      <w:r>
        <w:rPr>
          <w:rFonts w:ascii="宋体" w:hAnsi="宋体" w:eastAsia="宋体" w:cs="宋体"/>
          <w:spacing w:val="-2"/>
          <w:sz w:val="24"/>
          <w:szCs w:val="24"/>
        </w:rPr>
        <w:t>业和施工方案的完备性和安全可靠性负责。承包人应对施工组织设计和施工方案开展内</w:t>
      </w:r>
      <w:r>
        <w:rPr>
          <w:rFonts w:ascii="宋体" w:hAnsi="宋体" w:eastAsia="宋体" w:cs="宋体"/>
          <w:spacing w:val="-3"/>
          <w:sz w:val="24"/>
          <w:szCs w:val="24"/>
        </w:rPr>
        <w:t>部审查、专家论证（必要时）和报批工作。</w:t>
      </w:r>
    </w:p>
    <w:p w14:paraId="38EBC17B">
      <w:pPr>
        <w:spacing w:line="360" w:lineRule="auto"/>
        <w:ind w:left="9" w:firstLine="480"/>
        <w:jc w:val="both"/>
        <w:rPr>
          <w:rFonts w:ascii="宋体" w:hAnsi="宋体" w:eastAsia="宋体" w:cs="宋体"/>
          <w:sz w:val="24"/>
          <w:szCs w:val="24"/>
        </w:rPr>
      </w:pPr>
      <w:r>
        <w:rPr>
          <w:rFonts w:ascii="宋体" w:hAnsi="宋体" w:eastAsia="宋体" w:cs="宋体"/>
          <w:spacing w:val="-2"/>
          <w:sz w:val="24"/>
          <w:szCs w:val="24"/>
        </w:rPr>
        <w:t>承包人根据自身施工需要，对设计图纸中的施工方案或施工措施进行更改或重新设计，不构成本合同的变更，承包人应承担由此带来的风险，相关费用已包含在合同价格</w:t>
      </w:r>
      <w:r>
        <w:rPr>
          <w:rFonts w:ascii="宋体" w:hAnsi="宋体" w:eastAsia="宋体" w:cs="宋体"/>
          <w:spacing w:val="-4"/>
          <w:sz w:val="24"/>
          <w:szCs w:val="24"/>
        </w:rPr>
        <w:t>中，发包人不另行支付。</w:t>
      </w:r>
    </w:p>
    <w:p w14:paraId="2A0D322E">
      <w:pPr>
        <w:spacing w:line="220" w:lineRule="auto"/>
        <w:ind w:left="488"/>
        <w:rPr>
          <w:rFonts w:ascii="宋体" w:hAnsi="宋体" w:eastAsia="宋体" w:cs="宋体"/>
          <w:sz w:val="24"/>
          <w:szCs w:val="24"/>
        </w:rPr>
      </w:pPr>
      <w:r>
        <w:rPr>
          <w:rFonts w:ascii="宋体" w:hAnsi="宋体" w:eastAsia="宋体" w:cs="宋体"/>
          <w:spacing w:val="-2"/>
          <w:sz w:val="24"/>
          <w:szCs w:val="24"/>
        </w:rPr>
        <w:t>4.1.5</w:t>
      </w:r>
      <w:r>
        <w:rPr>
          <w:rFonts w:ascii="宋体" w:hAnsi="宋体" w:eastAsia="宋体" w:cs="宋体"/>
          <w:spacing w:val="-35"/>
          <w:sz w:val="24"/>
          <w:szCs w:val="24"/>
        </w:rPr>
        <w:t xml:space="preserve"> </w:t>
      </w:r>
      <w:r>
        <w:rPr>
          <w:rFonts w:ascii="宋体" w:hAnsi="宋体" w:eastAsia="宋体" w:cs="宋体"/>
          <w:spacing w:val="-2"/>
          <w:sz w:val="24"/>
          <w:szCs w:val="24"/>
        </w:rPr>
        <w:t>保证工程施工和人员的安全</w:t>
      </w:r>
    </w:p>
    <w:p w14:paraId="08FD0FFA">
      <w:pPr>
        <w:spacing w:before="182" w:line="219" w:lineRule="auto"/>
        <w:ind w:left="490"/>
        <w:rPr>
          <w:rFonts w:ascii="宋体" w:hAnsi="宋体" w:eastAsia="宋体" w:cs="宋体"/>
          <w:sz w:val="24"/>
          <w:szCs w:val="24"/>
        </w:rPr>
      </w:pPr>
      <w:r>
        <w:rPr>
          <w:rFonts w:ascii="宋体" w:hAnsi="宋体" w:eastAsia="宋体" w:cs="宋体"/>
          <w:spacing w:val="-11"/>
          <w:sz w:val="24"/>
          <w:szCs w:val="24"/>
        </w:rPr>
        <w:t>本项补充：</w:t>
      </w:r>
    </w:p>
    <w:p w14:paraId="0C28042C">
      <w:pPr>
        <w:pStyle w:val="2"/>
        <w:spacing w:line="267" w:lineRule="auto"/>
      </w:pPr>
      <w:r>
        <w:rPr>
          <w:rFonts w:ascii="宋体" w:hAnsi="宋体" w:eastAsia="宋体" w:cs="宋体"/>
          <w:spacing w:val="-5"/>
          <w:sz w:val="24"/>
          <w:szCs w:val="24"/>
        </w:rPr>
        <w:t>承包人在施工中必须按相关规定和标准设置安全标志、标牌等必要的安全设施， 否</w:t>
      </w:r>
      <w:r>
        <w:rPr>
          <w:rFonts w:ascii="宋体" w:hAnsi="宋体" w:eastAsia="宋体" w:cs="宋体"/>
          <w:spacing w:val="-2"/>
          <w:sz w:val="24"/>
          <w:szCs w:val="24"/>
        </w:rPr>
        <w:t>则发包人将委托其他单位制作或设置，发生的费用从安全生产费中扣除，不足部分从工</w:t>
      </w:r>
      <w:r>
        <w:rPr>
          <w:rFonts w:ascii="宋体" w:hAnsi="宋体" w:eastAsia="宋体" w:cs="宋体"/>
          <w:spacing w:val="-6"/>
          <w:sz w:val="24"/>
          <w:szCs w:val="24"/>
        </w:rPr>
        <w:t>程款中扣除。</w:t>
      </w:r>
    </w:p>
    <w:p w14:paraId="5F200F56">
      <w:pPr>
        <w:spacing w:before="78" w:line="220" w:lineRule="auto"/>
        <w:ind w:left="488"/>
        <w:rPr>
          <w:rFonts w:ascii="宋体" w:hAnsi="宋体" w:eastAsia="宋体" w:cs="宋体"/>
          <w:sz w:val="24"/>
          <w:szCs w:val="24"/>
        </w:rPr>
      </w:pPr>
      <w:r>
        <w:rPr>
          <w:rFonts w:ascii="宋体" w:hAnsi="宋体" w:eastAsia="宋体" w:cs="宋体"/>
          <w:spacing w:val="-1"/>
          <w:sz w:val="24"/>
          <w:szCs w:val="24"/>
        </w:rPr>
        <w:t>4.1.7</w:t>
      </w:r>
      <w:r>
        <w:rPr>
          <w:rFonts w:ascii="宋体" w:hAnsi="宋体" w:eastAsia="宋体" w:cs="宋体"/>
          <w:spacing w:val="-47"/>
          <w:sz w:val="24"/>
          <w:szCs w:val="24"/>
        </w:rPr>
        <w:t xml:space="preserve"> </w:t>
      </w:r>
      <w:r>
        <w:rPr>
          <w:rFonts w:ascii="宋体" w:hAnsi="宋体" w:eastAsia="宋体" w:cs="宋体"/>
          <w:spacing w:val="-1"/>
          <w:sz w:val="24"/>
          <w:szCs w:val="24"/>
        </w:rPr>
        <w:t>避免施工对公众与他人的利益造成损害</w:t>
      </w:r>
    </w:p>
    <w:p w14:paraId="68DF4FB2">
      <w:pPr>
        <w:spacing w:before="182"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5E3C5CF4">
      <w:pPr>
        <w:spacing w:before="183" w:line="360" w:lineRule="auto"/>
        <w:ind w:left="11" w:right="87" w:firstLine="520"/>
        <w:rPr>
          <w:rFonts w:ascii="宋体" w:hAnsi="宋体" w:eastAsia="宋体" w:cs="宋体"/>
          <w:sz w:val="24"/>
          <w:szCs w:val="24"/>
        </w:rPr>
      </w:pPr>
      <w:r>
        <w:rPr>
          <w:rFonts w:ascii="宋体" w:hAnsi="宋体" w:eastAsia="宋体" w:cs="宋体"/>
          <w:spacing w:val="-1"/>
          <w:sz w:val="24"/>
          <w:szCs w:val="24"/>
        </w:rPr>
        <w:t>(1)承包人在进行合同约定的各项工作时，不得侵害发包人与他人使用公用道路、</w:t>
      </w:r>
      <w:r>
        <w:rPr>
          <w:rFonts w:ascii="宋体" w:hAnsi="宋体" w:eastAsia="宋体" w:cs="宋体"/>
          <w:spacing w:val="-6"/>
          <w:sz w:val="24"/>
          <w:szCs w:val="24"/>
        </w:rPr>
        <w:t>水源、市政管网等公共设施的权利，</w:t>
      </w:r>
      <w:r>
        <w:rPr>
          <w:rFonts w:ascii="宋体" w:hAnsi="宋体" w:eastAsia="宋体" w:cs="宋体"/>
          <w:spacing w:val="47"/>
          <w:sz w:val="24"/>
          <w:szCs w:val="24"/>
        </w:rPr>
        <w:t xml:space="preserve"> </w:t>
      </w:r>
      <w:r>
        <w:rPr>
          <w:rFonts w:ascii="宋体" w:hAnsi="宋体" w:eastAsia="宋体" w:cs="宋体"/>
          <w:spacing w:val="-6"/>
          <w:sz w:val="24"/>
          <w:szCs w:val="24"/>
        </w:rPr>
        <w:t>避免对邻近的公共设施产生干扰。承包人占用或使</w:t>
      </w:r>
      <w:r>
        <w:rPr>
          <w:rFonts w:ascii="宋体" w:hAnsi="宋体" w:eastAsia="宋体" w:cs="宋体"/>
          <w:spacing w:val="-2"/>
          <w:sz w:val="24"/>
          <w:szCs w:val="24"/>
        </w:rPr>
        <w:t>用他人的施工场地，影响他人作业或生活的，应承担相应责任。</w:t>
      </w:r>
    </w:p>
    <w:p w14:paraId="61633B38">
      <w:pPr>
        <w:spacing w:before="9" w:line="359" w:lineRule="auto"/>
        <w:ind w:left="8" w:firstLine="523"/>
        <w:rPr>
          <w:rFonts w:ascii="宋体" w:hAnsi="宋体" w:eastAsia="宋体" w:cs="宋体"/>
          <w:sz w:val="24"/>
          <w:szCs w:val="24"/>
        </w:rPr>
      </w:pPr>
      <w:r>
        <w:rPr>
          <w:rFonts w:ascii="宋体" w:hAnsi="宋体" w:eastAsia="宋体" w:cs="宋体"/>
          <w:sz w:val="24"/>
          <w:szCs w:val="24"/>
        </w:rPr>
        <w:t>(2)承包人对实施和完成本合同工程及缺陷修复工程中的一切施工作业（尤其是爆</w:t>
      </w:r>
      <w:r>
        <w:rPr>
          <w:rFonts w:ascii="宋体" w:hAnsi="宋体" w:eastAsia="宋体" w:cs="宋体"/>
          <w:spacing w:val="-5"/>
          <w:sz w:val="24"/>
          <w:szCs w:val="24"/>
        </w:rPr>
        <w:t>破作业、钻孔桩施工、路基路面碾压等存在震动</w:t>
      </w:r>
      <w:r>
        <w:rPr>
          <w:rFonts w:ascii="宋体" w:hAnsi="宋体" w:eastAsia="宋体" w:cs="宋体"/>
          <w:spacing w:val="-6"/>
          <w:sz w:val="24"/>
          <w:szCs w:val="24"/>
        </w:rPr>
        <w:t>的施工作业以及需要临时改变当地交通、</w:t>
      </w:r>
      <w:r>
        <w:rPr>
          <w:rFonts w:ascii="宋体" w:hAnsi="宋体" w:eastAsia="宋体" w:cs="宋体"/>
          <w:spacing w:val="-7"/>
          <w:sz w:val="24"/>
          <w:szCs w:val="24"/>
        </w:rPr>
        <w:t>灌溉、排水现状的施工作业</w:t>
      </w:r>
      <w:r>
        <w:rPr>
          <w:rFonts w:ascii="宋体" w:hAnsi="宋体" w:eastAsia="宋体" w:cs="宋体"/>
          <w:spacing w:val="-17"/>
          <w:sz w:val="24"/>
          <w:szCs w:val="24"/>
        </w:rPr>
        <w:t>）</w:t>
      </w:r>
      <w:r>
        <w:rPr>
          <w:rFonts w:ascii="宋体" w:hAnsi="宋体" w:eastAsia="宋体" w:cs="宋体"/>
          <w:spacing w:val="-26"/>
          <w:sz w:val="24"/>
          <w:szCs w:val="24"/>
        </w:rPr>
        <w:t xml:space="preserve"> </w:t>
      </w:r>
      <w:r>
        <w:rPr>
          <w:rFonts w:ascii="宋体" w:hAnsi="宋体" w:eastAsia="宋体" w:cs="宋体"/>
          <w:spacing w:val="-17"/>
          <w:sz w:val="24"/>
          <w:szCs w:val="24"/>
        </w:rPr>
        <w:t>，</w:t>
      </w:r>
      <w:r>
        <w:rPr>
          <w:rFonts w:ascii="宋体" w:hAnsi="宋体" w:eastAsia="宋体" w:cs="宋体"/>
          <w:spacing w:val="-7"/>
          <w:sz w:val="24"/>
          <w:szCs w:val="24"/>
        </w:rPr>
        <w:t>有责任采取足够的预防措施，以</w:t>
      </w:r>
      <w:r>
        <w:rPr>
          <w:rFonts w:ascii="宋体" w:hAnsi="宋体" w:eastAsia="宋体" w:cs="宋体"/>
          <w:spacing w:val="-8"/>
          <w:sz w:val="24"/>
          <w:szCs w:val="24"/>
        </w:rPr>
        <w:t>保证不影响临近建筑物、</w:t>
      </w:r>
      <w:r>
        <w:rPr>
          <w:rFonts w:ascii="宋体" w:hAnsi="宋体" w:eastAsia="宋体" w:cs="宋体"/>
          <w:spacing w:val="-2"/>
          <w:sz w:val="24"/>
          <w:szCs w:val="24"/>
        </w:rPr>
        <w:t>构造物的安全与正常使用，不对群众的财产造成损失，也不干扰群众的生产、生活和通</w:t>
      </w:r>
      <w:r>
        <w:rPr>
          <w:rFonts w:ascii="宋体" w:hAnsi="宋体" w:eastAsia="宋体" w:cs="宋体"/>
          <w:spacing w:val="-4"/>
          <w:sz w:val="24"/>
          <w:szCs w:val="24"/>
        </w:rPr>
        <w:t>行方便（难以避免的一定程度的干扰除外</w:t>
      </w:r>
      <w:r>
        <w:rPr>
          <w:rFonts w:ascii="宋体" w:hAnsi="宋体" w:eastAsia="宋体" w:cs="宋体"/>
          <w:spacing w:val="-24"/>
          <w:sz w:val="24"/>
          <w:szCs w:val="24"/>
        </w:rPr>
        <w:t>），</w:t>
      </w:r>
      <w:r>
        <w:rPr>
          <w:rFonts w:ascii="宋体" w:hAnsi="宋体" w:eastAsia="宋体" w:cs="宋体"/>
          <w:spacing w:val="-4"/>
          <w:sz w:val="24"/>
          <w:szCs w:val="24"/>
        </w:rPr>
        <w:t>如发生上述</w:t>
      </w:r>
      <w:r>
        <w:rPr>
          <w:rFonts w:ascii="宋体" w:hAnsi="宋体" w:eastAsia="宋体" w:cs="宋体"/>
          <w:spacing w:val="-5"/>
          <w:sz w:val="24"/>
          <w:szCs w:val="24"/>
        </w:rPr>
        <w:t>情况，并由此导致索赔、赔偿、</w:t>
      </w:r>
      <w:r>
        <w:rPr>
          <w:rFonts w:ascii="宋体" w:hAnsi="宋体" w:eastAsia="宋体" w:cs="宋体"/>
          <w:spacing w:val="-2"/>
          <w:sz w:val="24"/>
          <w:szCs w:val="24"/>
        </w:rPr>
        <w:t>诉讼费用及其他开支时，应由承包人承担一切责任及费用。承包人在报价和组织施工时</w:t>
      </w:r>
      <w:r>
        <w:rPr>
          <w:rFonts w:ascii="宋体" w:hAnsi="宋体" w:eastAsia="宋体" w:cs="宋体"/>
          <w:spacing w:val="-4"/>
          <w:sz w:val="24"/>
          <w:szCs w:val="24"/>
        </w:rPr>
        <w:t>应充分考虑这一因素。</w:t>
      </w:r>
    </w:p>
    <w:p w14:paraId="75D51FA9">
      <w:pPr>
        <w:spacing w:line="360" w:lineRule="auto"/>
        <w:ind w:left="9" w:right="87" w:firstLine="486"/>
        <w:rPr>
          <w:rFonts w:ascii="宋体" w:hAnsi="宋体" w:eastAsia="宋体" w:cs="宋体"/>
          <w:sz w:val="24"/>
          <w:szCs w:val="24"/>
        </w:rPr>
      </w:pPr>
      <w:r>
        <w:rPr>
          <w:rFonts w:ascii="宋体" w:hAnsi="宋体" w:eastAsia="宋体" w:cs="宋体"/>
          <w:spacing w:val="1"/>
          <w:sz w:val="24"/>
          <w:szCs w:val="24"/>
        </w:rPr>
        <w:t>（3）承包人在实施和完成本合同工程及缺陷修复工作中的一切施工作业，在经过</w:t>
      </w:r>
      <w:r>
        <w:rPr>
          <w:rFonts w:ascii="宋体" w:hAnsi="宋体" w:eastAsia="宋体" w:cs="宋体"/>
          <w:spacing w:val="-2"/>
          <w:sz w:val="24"/>
          <w:szCs w:val="24"/>
        </w:rPr>
        <w:t>原地貌为鱼塘时，须在征地红线处筑设围堰分界，围堰需坚固且堰顶标高应高出原塘基</w:t>
      </w:r>
      <w:r>
        <w:rPr>
          <w:rFonts w:ascii="宋体" w:hAnsi="宋体" w:eastAsia="宋体" w:cs="宋体"/>
          <w:spacing w:val="-6"/>
          <w:sz w:val="24"/>
          <w:szCs w:val="24"/>
        </w:rPr>
        <w:t>至少</w:t>
      </w:r>
      <w:r>
        <w:rPr>
          <w:rFonts w:ascii="宋体" w:hAnsi="宋体" w:eastAsia="宋体" w:cs="宋体"/>
          <w:spacing w:val="-48"/>
          <w:sz w:val="24"/>
          <w:szCs w:val="24"/>
        </w:rPr>
        <w:t xml:space="preserve"> </w:t>
      </w:r>
      <w:r>
        <w:rPr>
          <w:rFonts w:ascii="宋体" w:hAnsi="宋体" w:eastAsia="宋体" w:cs="宋体"/>
          <w:spacing w:val="-6"/>
          <w:sz w:val="24"/>
          <w:szCs w:val="24"/>
        </w:rPr>
        <w:t>0.5</w:t>
      </w:r>
      <w:r>
        <w:rPr>
          <w:rFonts w:ascii="宋体" w:hAnsi="宋体" w:eastAsia="宋体" w:cs="宋体"/>
          <w:spacing w:val="-51"/>
          <w:sz w:val="24"/>
          <w:szCs w:val="24"/>
        </w:rPr>
        <w:t xml:space="preserve"> </w:t>
      </w:r>
      <w:r>
        <w:rPr>
          <w:rFonts w:ascii="宋体" w:hAnsi="宋体" w:eastAsia="宋体" w:cs="宋体"/>
          <w:spacing w:val="-6"/>
          <w:sz w:val="24"/>
          <w:szCs w:val="24"/>
        </w:rPr>
        <w:t>米，以保证施工作业不污染、不影响征</w:t>
      </w:r>
      <w:r>
        <w:rPr>
          <w:rFonts w:ascii="宋体" w:hAnsi="宋体" w:eastAsia="宋体" w:cs="宋体"/>
          <w:spacing w:val="-7"/>
          <w:sz w:val="24"/>
          <w:szCs w:val="24"/>
        </w:rPr>
        <w:t>地红线外鱼塘的养殖与正常使用，</w:t>
      </w:r>
      <w:r>
        <w:rPr>
          <w:rFonts w:ascii="宋体" w:hAnsi="宋体" w:eastAsia="宋体" w:cs="宋体"/>
          <w:spacing w:val="51"/>
          <w:sz w:val="24"/>
          <w:szCs w:val="24"/>
        </w:rPr>
        <w:t xml:space="preserve"> </w:t>
      </w:r>
      <w:r>
        <w:rPr>
          <w:rFonts w:ascii="宋体" w:hAnsi="宋体" w:eastAsia="宋体" w:cs="宋体"/>
          <w:spacing w:val="-7"/>
          <w:sz w:val="24"/>
          <w:szCs w:val="24"/>
        </w:rPr>
        <w:t>不对</w:t>
      </w:r>
      <w:r>
        <w:rPr>
          <w:rFonts w:ascii="宋体" w:hAnsi="宋体" w:eastAsia="宋体" w:cs="宋体"/>
          <w:spacing w:val="-2"/>
          <w:sz w:val="24"/>
          <w:szCs w:val="24"/>
        </w:rPr>
        <w:t>群众的财产造成损失，施工过程也不干扰群众的生产。如因承包人责任（如施工考虑不周或措施不当等）而造成征地红线外鱼塘污染的，承包人应负责对涉及的鱼塘进行清淤</w:t>
      </w:r>
      <w:r>
        <w:rPr>
          <w:rFonts w:ascii="宋体" w:hAnsi="宋体" w:eastAsia="宋体" w:cs="宋体"/>
          <w:spacing w:val="-6"/>
          <w:sz w:val="24"/>
          <w:szCs w:val="24"/>
        </w:rPr>
        <w:t>处理，并由此导致施工受阻、停工、索赔、赔偿、诉讼费用及其他开支时，</w:t>
      </w:r>
      <w:r>
        <w:rPr>
          <w:rFonts w:ascii="宋体" w:hAnsi="宋体" w:eastAsia="宋体" w:cs="宋体"/>
          <w:spacing w:val="54"/>
          <w:sz w:val="24"/>
          <w:szCs w:val="24"/>
        </w:rPr>
        <w:t xml:space="preserve"> </w:t>
      </w:r>
      <w:r>
        <w:rPr>
          <w:rFonts w:ascii="宋体" w:hAnsi="宋体" w:eastAsia="宋体" w:cs="宋体"/>
          <w:spacing w:val="-7"/>
          <w:sz w:val="24"/>
          <w:szCs w:val="24"/>
        </w:rPr>
        <w:t>应由承包人</w:t>
      </w:r>
      <w:r>
        <w:rPr>
          <w:rFonts w:ascii="宋体" w:hAnsi="宋体" w:eastAsia="宋体" w:cs="宋体"/>
          <w:spacing w:val="-2"/>
          <w:sz w:val="24"/>
          <w:szCs w:val="24"/>
        </w:rPr>
        <w:t>自行处理并承担一切责任及费用，同时发包人有权要求承包人采取措施进行补救。若承包人拒不接受或在限期内未采取必要措施的，发包人有权委托其他承包人或分包人进行</w:t>
      </w:r>
      <w:r>
        <w:rPr>
          <w:rFonts w:ascii="宋体" w:hAnsi="宋体" w:eastAsia="宋体" w:cs="宋体"/>
          <w:spacing w:val="-1"/>
          <w:sz w:val="24"/>
          <w:szCs w:val="24"/>
        </w:rPr>
        <w:t>补救，产生费用由承包人承担。承包人在报价和组织施工时应充分考虑这一因素。</w:t>
      </w:r>
    </w:p>
    <w:p w14:paraId="14B80635">
      <w:pPr>
        <w:spacing w:line="360" w:lineRule="auto"/>
        <w:ind w:left="48" w:right="98" w:firstLine="447"/>
        <w:rPr>
          <w:rFonts w:ascii="宋体" w:hAnsi="宋体" w:eastAsia="宋体" w:cs="宋体"/>
          <w:sz w:val="24"/>
          <w:szCs w:val="24"/>
        </w:rPr>
      </w:pPr>
      <w:r>
        <w:rPr>
          <w:rFonts w:ascii="宋体" w:hAnsi="宋体" w:eastAsia="宋体" w:cs="宋体"/>
          <w:spacing w:val="1"/>
          <w:sz w:val="24"/>
          <w:szCs w:val="24"/>
        </w:rPr>
        <w:t>（4）承包人未经河道管理部门许可，不得擅自改变河岸现水边线、采用推填方式</w:t>
      </w:r>
      <w:r>
        <w:rPr>
          <w:rFonts w:ascii="宋体" w:hAnsi="宋体" w:eastAsia="宋体" w:cs="宋体"/>
          <w:spacing w:val="-2"/>
          <w:sz w:val="24"/>
          <w:szCs w:val="24"/>
        </w:rPr>
        <w:t>占用河道解决施工作业面不足或施工便道问题，否则引起的一切后</w:t>
      </w:r>
      <w:r>
        <w:rPr>
          <w:rFonts w:ascii="宋体" w:hAnsi="宋体" w:eastAsia="宋体" w:cs="宋体"/>
          <w:spacing w:val="-3"/>
          <w:sz w:val="24"/>
          <w:szCs w:val="24"/>
        </w:rPr>
        <w:t>果由承包人承担。</w:t>
      </w:r>
    </w:p>
    <w:p w14:paraId="777F68FF">
      <w:pPr>
        <w:spacing w:line="360" w:lineRule="auto"/>
        <w:ind w:left="13" w:right="152" w:firstLine="482"/>
        <w:rPr>
          <w:rFonts w:ascii="宋体" w:hAnsi="宋体" w:eastAsia="宋体" w:cs="宋体"/>
          <w:sz w:val="24"/>
          <w:szCs w:val="24"/>
        </w:rPr>
      </w:pPr>
      <w:r>
        <w:rPr>
          <w:rFonts w:ascii="宋体" w:hAnsi="宋体" w:eastAsia="宋体" w:cs="宋体"/>
          <w:sz w:val="24"/>
          <w:szCs w:val="24"/>
        </w:rPr>
        <w:t>（5）如桥梁桩基位于水域等地基软弱地段，承包人应采取</w:t>
      </w:r>
      <w:r>
        <w:rPr>
          <w:rFonts w:ascii="宋体" w:hAnsi="宋体" w:eastAsia="宋体" w:cs="宋体"/>
          <w:spacing w:val="-1"/>
          <w:sz w:val="24"/>
          <w:szCs w:val="24"/>
        </w:rPr>
        <w:t>相应的施工辅助措施，</w:t>
      </w:r>
      <w:r>
        <w:rPr>
          <w:rFonts w:ascii="宋体" w:hAnsi="宋体" w:eastAsia="宋体" w:cs="宋体"/>
          <w:spacing w:val="-4"/>
          <w:sz w:val="24"/>
          <w:szCs w:val="24"/>
        </w:rPr>
        <w:t>发生费用已包含在合同总价中。</w:t>
      </w:r>
    </w:p>
    <w:p w14:paraId="76C70F68">
      <w:pPr>
        <w:spacing w:line="360" w:lineRule="auto"/>
        <w:ind w:left="11" w:right="97" w:firstLine="484"/>
        <w:rPr>
          <w:rFonts w:ascii="宋体" w:hAnsi="宋体" w:eastAsia="宋体" w:cs="宋体"/>
          <w:sz w:val="24"/>
          <w:szCs w:val="24"/>
        </w:rPr>
      </w:pPr>
      <w:r>
        <w:rPr>
          <w:rFonts w:ascii="宋体" w:hAnsi="宋体" w:eastAsia="宋体" w:cs="宋体"/>
          <w:spacing w:val="1"/>
          <w:sz w:val="24"/>
          <w:szCs w:val="24"/>
        </w:rPr>
        <w:t>（6）承包人应按交警、交通、铁路、航道、海事、国土、市政园林、水</w:t>
      </w:r>
      <w:r>
        <w:rPr>
          <w:rFonts w:ascii="宋体" w:hAnsi="宋体" w:eastAsia="宋体" w:cs="宋体"/>
          <w:sz w:val="24"/>
          <w:szCs w:val="24"/>
        </w:rPr>
        <w:t>务、管道</w:t>
      </w:r>
      <w:r>
        <w:rPr>
          <w:rFonts w:ascii="宋体" w:hAnsi="宋体" w:eastAsia="宋体" w:cs="宋体"/>
          <w:spacing w:val="-2"/>
          <w:sz w:val="24"/>
          <w:szCs w:val="24"/>
        </w:rPr>
        <w:t>等管理部门的规定办理施工方案报批等相关手续，相关费用已包含在合同总价中（除合</w:t>
      </w:r>
      <w:r>
        <w:rPr>
          <w:rFonts w:ascii="宋体" w:hAnsi="宋体" w:eastAsia="宋体" w:cs="宋体"/>
          <w:spacing w:val="-6"/>
          <w:sz w:val="24"/>
          <w:szCs w:val="24"/>
        </w:rPr>
        <w:t>同另有约定外）。</w:t>
      </w:r>
    </w:p>
    <w:p w14:paraId="5036A5D8">
      <w:pPr>
        <w:spacing w:before="78" w:line="220" w:lineRule="auto"/>
        <w:ind w:left="38"/>
        <w:rPr>
          <w:rFonts w:ascii="宋体" w:hAnsi="宋体" w:eastAsia="宋体" w:cs="宋体"/>
          <w:sz w:val="24"/>
          <w:szCs w:val="24"/>
        </w:rPr>
      </w:pPr>
      <w:r>
        <w:rPr>
          <w:rFonts w:ascii="宋体" w:hAnsi="宋体" w:eastAsia="宋体" w:cs="宋体"/>
          <w:spacing w:val="-2"/>
          <w:sz w:val="24"/>
          <w:szCs w:val="24"/>
        </w:rPr>
        <w:t>承包人利用现有道路作为施工便道的，需对道路采取一定的保护措施，施工完成后应以不低于现有标准对施工损坏的道路进行修复（具体标准须满足权属单位的要求</w:t>
      </w:r>
      <w:r>
        <w:rPr>
          <w:rFonts w:ascii="宋体" w:hAnsi="宋体" w:eastAsia="宋体" w:cs="宋体"/>
          <w:spacing w:val="4"/>
          <w:sz w:val="24"/>
          <w:szCs w:val="24"/>
        </w:rPr>
        <w:t>），</w:t>
      </w:r>
      <w:r>
        <w:rPr>
          <w:rFonts w:ascii="宋体" w:hAnsi="宋体" w:eastAsia="宋体" w:cs="宋体"/>
          <w:spacing w:val="-5"/>
          <w:sz w:val="24"/>
          <w:szCs w:val="24"/>
        </w:rPr>
        <w:t>由此产生的一切费用均由承包人承担。</w:t>
      </w:r>
    </w:p>
    <w:p w14:paraId="7C7CC4AA">
      <w:pPr>
        <w:spacing w:before="182" w:line="360" w:lineRule="auto"/>
        <w:ind w:left="8" w:right="83" w:firstLine="487"/>
        <w:rPr>
          <w:rFonts w:ascii="宋体" w:hAnsi="宋体" w:eastAsia="宋体" w:cs="宋体"/>
          <w:sz w:val="24"/>
          <w:szCs w:val="24"/>
        </w:rPr>
      </w:pPr>
      <w:r>
        <w:rPr>
          <w:rFonts w:ascii="宋体" w:hAnsi="宋体" w:eastAsia="宋体" w:cs="宋体"/>
          <w:spacing w:val="1"/>
          <w:sz w:val="24"/>
          <w:szCs w:val="24"/>
        </w:rPr>
        <w:t>（7）承包人在实施和完成本合同工程及缺陷修复工作中的一切施工作业应保证发</w:t>
      </w:r>
      <w:r>
        <w:rPr>
          <w:rFonts w:ascii="宋体" w:hAnsi="宋体" w:eastAsia="宋体" w:cs="宋体"/>
          <w:spacing w:val="-1"/>
          <w:sz w:val="24"/>
          <w:szCs w:val="24"/>
        </w:rPr>
        <w:t>包人免于承担因承包人借用、占用或使用当</w:t>
      </w:r>
      <w:r>
        <w:rPr>
          <w:rFonts w:ascii="宋体" w:hAnsi="宋体" w:eastAsia="宋体" w:cs="宋体"/>
          <w:spacing w:val="-2"/>
          <w:sz w:val="24"/>
          <w:szCs w:val="24"/>
        </w:rPr>
        <w:t>地道路、铁路、航道、市政、水利或其他公</w:t>
      </w:r>
      <w:r>
        <w:rPr>
          <w:rFonts w:ascii="宋体" w:hAnsi="宋体" w:eastAsia="宋体" w:cs="宋体"/>
          <w:spacing w:val="-6"/>
          <w:sz w:val="24"/>
          <w:szCs w:val="24"/>
        </w:rPr>
        <w:t>共设施所引发的补偿费、诉讼费、损害赔偿、指控费及其他开支。</w:t>
      </w:r>
      <w:r>
        <w:rPr>
          <w:rFonts w:ascii="宋体" w:hAnsi="宋体" w:eastAsia="宋体" w:cs="宋体"/>
          <w:spacing w:val="51"/>
          <w:sz w:val="24"/>
          <w:szCs w:val="24"/>
        </w:rPr>
        <w:t xml:space="preserve"> </w:t>
      </w:r>
      <w:r>
        <w:rPr>
          <w:rFonts w:ascii="宋体" w:hAnsi="宋体" w:eastAsia="宋体" w:cs="宋体"/>
          <w:spacing w:val="-6"/>
          <w:sz w:val="24"/>
          <w:szCs w:val="24"/>
        </w:rPr>
        <w:t>一旦发生，发包人有</w:t>
      </w:r>
      <w:r>
        <w:rPr>
          <w:rFonts w:ascii="宋体" w:hAnsi="宋体" w:eastAsia="宋体" w:cs="宋体"/>
          <w:spacing w:val="-3"/>
          <w:sz w:val="24"/>
          <w:szCs w:val="24"/>
        </w:rPr>
        <w:t>权在承包人的工程进度款或结算款中扣回。</w:t>
      </w:r>
    </w:p>
    <w:p w14:paraId="249865E1">
      <w:pPr>
        <w:spacing w:before="5" w:line="359" w:lineRule="auto"/>
        <w:ind w:left="8" w:right="87" w:firstLine="487"/>
        <w:rPr>
          <w:rFonts w:ascii="宋体" w:hAnsi="宋体" w:eastAsia="宋体" w:cs="宋体"/>
          <w:sz w:val="24"/>
          <w:szCs w:val="24"/>
        </w:rPr>
      </w:pPr>
      <w:r>
        <w:rPr>
          <w:rFonts w:ascii="宋体" w:hAnsi="宋体" w:eastAsia="宋体" w:cs="宋体"/>
          <w:spacing w:val="1"/>
          <w:sz w:val="24"/>
          <w:szCs w:val="24"/>
        </w:rPr>
        <w:t>（8）承包人应按有关环境保护、水土保持、文物保护、通航安全、防洪安全</w:t>
      </w:r>
      <w:r>
        <w:rPr>
          <w:rFonts w:ascii="宋体" w:hAnsi="宋体" w:eastAsia="宋体" w:cs="宋体"/>
          <w:sz w:val="24"/>
          <w:szCs w:val="24"/>
        </w:rPr>
        <w:t>、放</w:t>
      </w:r>
      <w:r>
        <w:rPr>
          <w:rFonts w:ascii="宋体" w:hAnsi="宋体" w:eastAsia="宋体" w:cs="宋体"/>
          <w:spacing w:val="-2"/>
          <w:sz w:val="24"/>
          <w:szCs w:val="24"/>
        </w:rPr>
        <w:t>射性环境评价、压覆矿床等专项评价报告以及相关审批部门批复意见的要求进行施工，</w:t>
      </w:r>
      <w:r>
        <w:rPr>
          <w:rFonts w:ascii="宋体" w:hAnsi="宋体" w:eastAsia="宋体" w:cs="宋体"/>
          <w:spacing w:val="2"/>
          <w:sz w:val="24"/>
          <w:szCs w:val="24"/>
        </w:rPr>
        <w:t>在施工过程中采用的施工工艺和施工措施所需费用</w:t>
      </w:r>
      <w:r>
        <w:rPr>
          <w:rFonts w:ascii="宋体" w:hAnsi="宋体" w:eastAsia="宋体" w:cs="宋体"/>
          <w:spacing w:val="1"/>
          <w:sz w:val="24"/>
          <w:szCs w:val="24"/>
        </w:rPr>
        <w:t>已包含在合同总价中</w:t>
      </w:r>
      <w:r>
        <w:rPr>
          <w:rFonts w:hint="eastAsia" w:ascii="宋体" w:hAnsi="宋体" w:cs="宋体"/>
          <w:spacing w:val="1"/>
          <w:sz w:val="24"/>
          <w:szCs w:val="24"/>
          <w:lang w:eastAsia="zh-CN"/>
        </w:rPr>
        <w:t>（</w:t>
      </w:r>
      <w:r>
        <w:rPr>
          <w:rFonts w:ascii="宋体" w:hAnsi="宋体" w:eastAsia="宋体" w:cs="宋体"/>
          <w:spacing w:val="1"/>
          <w:sz w:val="24"/>
          <w:szCs w:val="24"/>
        </w:rPr>
        <w:t>除合同另有约</w:t>
      </w:r>
      <w:r>
        <w:rPr>
          <w:rFonts w:ascii="宋体" w:hAnsi="宋体" w:eastAsia="宋体" w:cs="宋体"/>
          <w:spacing w:val="-8"/>
          <w:sz w:val="24"/>
          <w:szCs w:val="24"/>
        </w:rPr>
        <w:t>定外</w:t>
      </w:r>
      <w:r>
        <w:rPr>
          <w:rFonts w:hint="eastAsia" w:ascii="宋体" w:hAnsi="宋体" w:cs="宋体"/>
          <w:spacing w:val="-8"/>
          <w:sz w:val="24"/>
          <w:szCs w:val="24"/>
          <w:lang w:eastAsia="zh-CN"/>
        </w:rPr>
        <w:t>）</w:t>
      </w:r>
      <w:r>
        <w:rPr>
          <w:rFonts w:ascii="宋体" w:hAnsi="宋体" w:eastAsia="宋体" w:cs="宋体"/>
          <w:spacing w:val="-8"/>
          <w:sz w:val="24"/>
          <w:szCs w:val="24"/>
        </w:rPr>
        <w:t>。</w:t>
      </w:r>
    </w:p>
    <w:p w14:paraId="56EE84D8">
      <w:pPr>
        <w:spacing w:line="360" w:lineRule="auto"/>
        <w:ind w:left="55" w:right="96" w:firstLine="440"/>
        <w:rPr>
          <w:rFonts w:ascii="宋体" w:hAnsi="宋体" w:eastAsia="宋体" w:cs="宋体"/>
          <w:sz w:val="24"/>
          <w:szCs w:val="24"/>
        </w:rPr>
      </w:pPr>
      <w:r>
        <w:rPr>
          <w:rFonts w:ascii="宋体" w:hAnsi="宋体" w:eastAsia="宋体" w:cs="宋体"/>
          <w:spacing w:val="1"/>
          <w:sz w:val="24"/>
          <w:szCs w:val="24"/>
        </w:rPr>
        <w:t>（9）承包人由于未切实履行以上条款的约定，导致发生工程阻工、停工，造成项</w:t>
      </w:r>
      <w:r>
        <w:rPr>
          <w:rFonts w:ascii="宋体" w:hAnsi="宋体" w:eastAsia="宋体" w:cs="宋体"/>
          <w:spacing w:val="-5"/>
          <w:sz w:val="24"/>
          <w:szCs w:val="24"/>
        </w:rPr>
        <w:t>目工期延误，视为承包人违约，按</w:t>
      </w:r>
      <w:r>
        <w:rPr>
          <w:rFonts w:ascii="宋体" w:hAnsi="宋体" w:eastAsia="宋体" w:cs="宋体"/>
          <w:spacing w:val="-36"/>
          <w:sz w:val="24"/>
          <w:szCs w:val="24"/>
        </w:rPr>
        <w:t xml:space="preserve"> </w:t>
      </w:r>
      <w:r>
        <w:rPr>
          <w:rFonts w:ascii="宋体" w:hAnsi="宋体" w:eastAsia="宋体" w:cs="宋体"/>
          <w:spacing w:val="-5"/>
          <w:sz w:val="24"/>
          <w:szCs w:val="24"/>
        </w:rPr>
        <w:t>22.1</w:t>
      </w:r>
      <w:r>
        <w:rPr>
          <w:rFonts w:ascii="宋体" w:hAnsi="宋体" w:eastAsia="宋体" w:cs="宋体"/>
          <w:spacing w:val="-49"/>
          <w:sz w:val="24"/>
          <w:szCs w:val="24"/>
        </w:rPr>
        <w:t xml:space="preserve"> </w:t>
      </w:r>
      <w:r>
        <w:rPr>
          <w:rFonts w:ascii="宋体" w:hAnsi="宋体" w:eastAsia="宋体" w:cs="宋体"/>
          <w:spacing w:val="-5"/>
          <w:sz w:val="24"/>
          <w:szCs w:val="24"/>
        </w:rPr>
        <w:t>条处理。</w:t>
      </w:r>
    </w:p>
    <w:p w14:paraId="6AFD42C9">
      <w:pPr>
        <w:spacing w:before="1" w:line="218" w:lineRule="auto"/>
        <w:ind w:left="488"/>
        <w:rPr>
          <w:rFonts w:ascii="宋体" w:hAnsi="宋体" w:eastAsia="宋体" w:cs="宋体"/>
          <w:sz w:val="24"/>
          <w:szCs w:val="24"/>
        </w:rPr>
      </w:pPr>
      <w:r>
        <w:rPr>
          <w:rFonts w:ascii="宋体" w:hAnsi="宋体" w:eastAsia="宋体" w:cs="宋体"/>
          <w:spacing w:val="-2"/>
          <w:sz w:val="24"/>
          <w:szCs w:val="24"/>
        </w:rPr>
        <w:t>4.1.8</w:t>
      </w:r>
      <w:r>
        <w:rPr>
          <w:rFonts w:ascii="宋体" w:hAnsi="宋体" w:eastAsia="宋体" w:cs="宋体"/>
          <w:spacing w:val="-44"/>
          <w:sz w:val="24"/>
          <w:szCs w:val="24"/>
        </w:rPr>
        <w:t xml:space="preserve"> </w:t>
      </w:r>
      <w:r>
        <w:rPr>
          <w:rFonts w:ascii="宋体" w:hAnsi="宋体" w:eastAsia="宋体" w:cs="宋体"/>
          <w:spacing w:val="-2"/>
          <w:sz w:val="24"/>
          <w:szCs w:val="24"/>
        </w:rPr>
        <w:t>为他人提供方便</w:t>
      </w:r>
    </w:p>
    <w:p w14:paraId="459AE2C3">
      <w:pPr>
        <w:spacing w:before="183"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618A3A64">
      <w:pPr>
        <w:spacing w:before="183" w:line="360" w:lineRule="auto"/>
        <w:ind w:left="9" w:firstLine="486"/>
        <w:rPr>
          <w:rFonts w:ascii="宋体" w:hAnsi="宋体" w:eastAsia="宋体" w:cs="宋体"/>
          <w:sz w:val="24"/>
          <w:szCs w:val="24"/>
        </w:rPr>
      </w:pPr>
      <w:r>
        <w:rPr>
          <w:rFonts w:ascii="宋体" w:hAnsi="宋体" w:eastAsia="宋体" w:cs="宋体"/>
          <w:spacing w:val="-7"/>
          <w:sz w:val="24"/>
          <w:szCs w:val="24"/>
        </w:rPr>
        <w:t>（1）承包人应免费提供临时道路、便桥给本项目其</w:t>
      </w:r>
      <w:r>
        <w:rPr>
          <w:rFonts w:ascii="宋体" w:hAnsi="宋体" w:eastAsia="宋体" w:cs="宋体"/>
          <w:spacing w:val="-8"/>
          <w:sz w:val="24"/>
          <w:szCs w:val="24"/>
        </w:rPr>
        <w:t>他参建单位使用，</w:t>
      </w:r>
      <w:r>
        <w:rPr>
          <w:rFonts w:ascii="宋体" w:hAnsi="宋体" w:eastAsia="宋体" w:cs="宋体"/>
          <w:spacing w:val="53"/>
          <w:sz w:val="24"/>
          <w:szCs w:val="24"/>
        </w:rPr>
        <w:t xml:space="preserve"> </w:t>
      </w:r>
      <w:r>
        <w:rPr>
          <w:rFonts w:ascii="宋体" w:hAnsi="宋体" w:eastAsia="宋体" w:cs="宋体"/>
          <w:spacing w:val="-8"/>
          <w:sz w:val="24"/>
          <w:szCs w:val="24"/>
        </w:rPr>
        <w:t>并提供方便。</w:t>
      </w:r>
      <w:r>
        <w:rPr>
          <w:rFonts w:ascii="宋体" w:hAnsi="宋体" w:eastAsia="宋体" w:cs="宋体"/>
          <w:spacing w:val="-2"/>
          <w:sz w:val="24"/>
          <w:szCs w:val="24"/>
        </w:rPr>
        <w:t>承包人在施工期内，必须密切配合其他承包人在本合同段范围内的施工作业。如发生冲突，承包人应无条件接受发包人的协调及安</w:t>
      </w:r>
      <w:r>
        <w:rPr>
          <w:rFonts w:ascii="宋体" w:hAnsi="宋体" w:eastAsia="宋体" w:cs="宋体"/>
          <w:spacing w:val="-3"/>
          <w:sz w:val="24"/>
          <w:szCs w:val="24"/>
        </w:rPr>
        <w:t>排。</w:t>
      </w:r>
    </w:p>
    <w:p w14:paraId="5D3F6941">
      <w:pPr>
        <w:spacing w:line="360" w:lineRule="auto"/>
        <w:ind w:left="9" w:right="85" w:firstLine="486"/>
        <w:rPr>
          <w:rFonts w:ascii="宋体" w:hAnsi="宋体" w:eastAsia="宋体" w:cs="宋体"/>
          <w:sz w:val="24"/>
          <w:szCs w:val="24"/>
        </w:rPr>
      </w:pPr>
      <w:r>
        <w:rPr>
          <w:rFonts w:ascii="宋体" w:hAnsi="宋体" w:eastAsia="宋体" w:cs="宋体"/>
          <w:spacing w:val="1"/>
          <w:sz w:val="24"/>
          <w:szCs w:val="24"/>
        </w:rPr>
        <w:t>（2）如果本项目的预制构件由预制合同段统一预制，无论运输安装由预制合同段</w:t>
      </w:r>
      <w:r>
        <w:rPr>
          <w:rFonts w:ascii="宋体" w:hAnsi="宋体" w:eastAsia="宋体" w:cs="宋体"/>
          <w:spacing w:val="-2"/>
          <w:sz w:val="24"/>
          <w:szCs w:val="24"/>
        </w:rPr>
        <w:t>负责还是使用单位自行负责，承包人应积极配合，免费提供临时道路、便桥供预制构件运输使用，并做好便道便桥的维护，确保安全畅通。</w:t>
      </w:r>
    </w:p>
    <w:p w14:paraId="7E9BA4AC">
      <w:pPr>
        <w:spacing w:line="360" w:lineRule="auto"/>
        <w:ind w:left="9" w:right="85" w:firstLine="486"/>
        <w:rPr>
          <w:rFonts w:ascii="宋体" w:hAnsi="宋体" w:eastAsia="宋体" w:cs="宋体"/>
          <w:sz w:val="24"/>
          <w:szCs w:val="24"/>
        </w:rPr>
      </w:pPr>
      <w:r>
        <w:rPr>
          <w:rFonts w:ascii="宋体" w:hAnsi="宋体" w:eastAsia="宋体" w:cs="宋体"/>
          <w:spacing w:val="1"/>
          <w:sz w:val="24"/>
          <w:szCs w:val="24"/>
        </w:rPr>
        <w:t>（3）承包人应按照监理人或发包人的要求负责安装其他工程所需的预埋件。由于</w:t>
      </w:r>
      <w:r>
        <w:rPr>
          <w:rFonts w:ascii="宋体" w:hAnsi="宋体" w:eastAsia="宋体" w:cs="宋体"/>
          <w:spacing w:val="-6"/>
          <w:sz w:val="24"/>
          <w:szCs w:val="24"/>
        </w:rPr>
        <w:t>承包人未按相关设计图纸施工预埋件，造成的损失（包括拆除、重新预埋所需费用）</w:t>
      </w:r>
      <w:r>
        <w:rPr>
          <w:rFonts w:ascii="宋体" w:hAnsi="宋体" w:eastAsia="宋体" w:cs="宋体"/>
          <w:spacing w:val="49"/>
          <w:sz w:val="24"/>
          <w:szCs w:val="24"/>
        </w:rPr>
        <w:t xml:space="preserve"> </w:t>
      </w:r>
      <w:r>
        <w:rPr>
          <w:rFonts w:ascii="宋体" w:hAnsi="宋体" w:eastAsia="宋体" w:cs="宋体"/>
          <w:spacing w:val="-6"/>
          <w:sz w:val="24"/>
          <w:szCs w:val="24"/>
        </w:rPr>
        <w:t>由</w:t>
      </w:r>
      <w:r>
        <w:rPr>
          <w:rFonts w:ascii="宋体" w:hAnsi="宋体" w:eastAsia="宋体" w:cs="宋体"/>
          <w:spacing w:val="-7"/>
          <w:sz w:val="24"/>
          <w:szCs w:val="24"/>
        </w:rPr>
        <w:t>承包人承担。</w:t>
      </w:r>
    </w:p>
    <w:p w14:paraId="6CD6A9EC">
      <w:pPr>
        <w:spacing w:line="360" w:lineRule="auto"/>
        <w:ind w:left="9" w:right="131" w:firstLine="486"/>
        <w:rPr>
          <w:rFonts w:ascii="宋体" w:hAnsi="宋体" w:eastAsia="宋体" w:cs="宋体"/>
          <w:sz w:val="24"/>
          <w:szCs w:val="24"/>
        </w:rPr>
      </w:pPr>
      <w:r>
        <w:rPr>
          <w:rFonts w:ascii="宋体" w:hAnsi="宋体" w:eastAsia="宋体" w:cs="宋体"/>
          <w:sz w:val="24"/>
          <w:szCs w:val="24"/>
        </w:rPr>
        <w:t>（4）承包人应配合试验、检测单位完成相应的试验或检测工作，包括桩基检测、</w:t>
      </w:r>
      <w:r>
        <w:rPr>
          <w:rFonts w:ascii="宋体" w:hAnsi="宋体" w:eastAsia="宋体" w:cs="宋体"/>
          <w:spacing w:val="-1"/>
          <w:sz w:val="24"/>
          <w:szCs w:val="24"/>
        </w:rPr>
        <w:t>地质钻孔等，所需配合费用已包含在合同总价中（桩基静载、梁板荷</w:t>
      </w:r>
      <w:r>
        <w:rPr>
          <w:rFonts w:ascii="宋体" w:hAnsi="宋体" w:eastAsia="宋体" w:cs="宋体"/>
          <w:spacing w:val="-2"/>
          <w:sz w:val="24"/>
          <w:szCs w:val="24"/>
        </w:rPr>
        <w:t>载试验除外）。</w:t>
      </w:r>
    </w:p>
    <w:p w14:paraId="2D411AC8">
      <w:pPr>
        <w:spacing w:line="219" w:lineRule="auto"/>
        <w:ind w:left="488"/>
        <w:rPr>
          <w:rFonts w:ascii="宋体" w:hAnsi="宋体" w:eastAsia="宋体" w:cs="宋体"/>
          <w:sz w:val="24"/>
          <w:szCs w:val="24"/>
        </w:rPr>
      </w:pPr>
      <w:r>
        <w:rPr>
          <w:rFonts w:ascii="宋体" w:hAnsi="宋体" w:eastAsia="宋体" w:cs="宋体"/>
          <w:spacing w:val="-1"/>
          <w:sz w:val="24"/>
          <w:szCs w:val="24"/>
        </w:rPr>
        <w:t>4.1.9 工程的维护和照管</w:t>
      </w:r>
    </w:p>
    <w:p w14:paraId="6A7271FA">
      <w:pPr>
        <w:spacing w:before="183" w:line="219" w:lineRule="auto"/>
        <w:ind w:left="490"/>
        <w:rPr>
          <w:rFonts w:ascii="宋体" w:hAnsi="宋体" w:eastAsia="宋体" w:cs="宋体"/>
          <w:sz w:val="24"/>
          <w:szCs w:val="24"/>
        </w:rPr>
      </w:pPr>
      <w:r>
        <w:rPr>
          <w:rFonts w:ascii="宋体" w:hAnsi="宋体" w:eastAsia="宋体" w:cs="宋体"/>
          <w:spacing w:val="-10"/>
          <w:sz w:val="24"/>
          <w:szCs w:val="24"/>
        </w:rPr>
        <w:t>本项细化为：</w:t>
      </w:r>
    </w:p>
    <w:p w14:paraId="719D3C18">
      <w:pPr>
        <w:pStyle w:val="2"/>
        <w:spacing w:line="268" w:lineRule="auto"/>
      </w:pPr>
      <w:r>
        <w:rPr>
          <w:rFonts w:ascii="宋体" w:hAnsi="宋体" w:eastAsia="宋体" w:cs="宋体"/>
          <w:spacing w:val="1"/>
          <w:sz w:val="24"/>
          <w:szCs w:val="24"/>
        </w:rPr>
        <w:t>（1）交工验收证书颁发前，承包人应负责照管和维护工程及将用于或安装在本工</w:t>
      </w:r>
      <w:r>
        <w:rPr>
          <w:rFonts w:ascii="宋体" w:hAnsi="宋体" w:eastAsia="宋体" w:cs="宋体"/>
          <w:spacing w:val="-6"/>
          <w:sz w:val="24"/>
          <w:szCs w:val="24"/>
        </w:rPr>
        <w:t>程中的材料、设备和征地界桩。交工验收证书颁发时尚有部分未交工工程的，</w:t>
      </w:r>
      <w:r>
        <w:rPr>
          <w:rFonts w:ascii="宋体" w:hAnsi="宋体" w:eastAsia="宋体" w:cs="宋体"/>
          <w:spacing w:val="50"/>
          <w:sz w:val="24"/>
          <w:szCs w:val="24"/>
        </w:rPr>
        <w:t xml:space="preserve"> </w:t>
      </w:r>
      <w:r>
        <w:rPr>
          <w:rFonts w:ascii="宋体" w:hAnsi="宋体" w:eastAsia="宋体" w:cs="宋体"/>
          <w:spacing w:val="-6"/>
          <w:sz w:val="24"/>
          <w:szCs w:val="24"/>
        </w:rPr>
        <w:t>承包人还应负责该未交工工程、材料、设备、征地界桩的照管和维护工作，</w:t>
      </w:r>
      <w:r>
        <w:rPr>
          <w:rFonts w:ascii="宋体" w:hAnsi="宋体" w:eastAsia="宋体" w:cs="宋体"/>
          <w:spacing w:val="53"/>
          <w:sz w:val="24"/>
          <w:szCs w:val="24"/>
        </w:rPr>
        <w:t xml:space="preserve"> </w:t>
      </w:r>
      <w:r>
        <w:rPr>
          <w:rFonts w:ascii="宋体" w:hAnsi="宋体" w:eastAsia="宋体" w:cs="宋体"/>
          <w:spacing w:val="-6"/>
          <w:sz w:val="24"/>
          <w:szCs w:val="24"/>
        </w:rPr>
        <w:t>直至交工后移</w:t>
      </w:r>
      <w:r>
        <w:rPr>
          <w:rFonts w:ascii="宋体" w:hAnsi="宋体" w:eastAsia="宋体" w:cs="宋体"/>
          <w:spacing w:val="-7"/>
          <w:sz w:val="24"/>
          <w:szCs w:val="24"/>
        </w:rPr>
        <w:t>交给发包人为止。</w:t>
      </w:r>
    </w:p>
    <w:p w14:paraId="0FE647C7">
      <w:pPr>
        <w:spacing w:before="78" w:line="360" w:lineRule="auto"/>
        <w:ind w:left="9" w:right="85" w:firstLine="486"/>
        <w:rPr>
          <w:rFonts w:ascii="宋体" w:hAnsi="宋体" w:eastAsia="宋体" w:cs="宋体"/>
          <w:sz w:val="24"/>
          <w:szCs w:val="24"/>
        </w:rPr>
      </w:pPr>
      <w:r>
        <w:rPr>
          <w:rFonts w:ascii="宋体" w:hAnsi="宋体" w:eastAsia="宋体" w:cs="宋体"/>
          <w:spacing w:val="1"/>
          <w:sz w:val="24"/>
          <w:szCs w:val="24"/>
        </w:rPr>
        <w:t>（2）在承包人负责照管与维护期间，如果本工程或材料、设备、征地界桩等发生</w:t>
      </w:r>
      <w:r>
        <w:rPr>
          <w:rFonts w:ascii="宋体" w:hAnsi="宋体" w:eastAsia="宋体" w:cs="宋体"/>
          <w:spacing w:val="-2"/>
          <w:sz w:val="24"/>
          <w:szCs w:val="24"/>
        </w:rPr>
        <w:t>损失或损害，除不可抗力原因之外，承包人均应自费弥补，并达到合同要求。承包人还应对按第</w:t>
      </w:r>
      <w:r>
        <w:rPr>
          <w:rFonts w:ascii="宋体" w:hAnsi="宋体" w:eastAsia="宋体" w:cs="宋体"/>
          <w:spacing w:val="-32"/>
          <w:sz w:val="24"/>
          <w:szCs w:val="24"/>
        </w:rPr>
        <w:t xml:space="preserve"> </w:t>
      </w:r>
      <w:r>
        <w:rPr>
          <w:rFonts w:ascii="宋体" w:hAnsi="宋体" w:eastAsia="宋体" w:cs="宋体"/>
          <w:spacing w:val="-2"/>
          <w:sz w:val="24"/>
          <w:szCs w:val="24"/>
        </w:rPr>
        <w:t>19</w:t>
      </w:r>
      <w:r>
        <w:rPr>
          <w:rFonts w:ascii="宋体" w:hAnsi="宋体" w:eastAsia="宋体" w:cs="宋体"/>
          <w:spacing w:val="-49"/>
          <w:sz w:val="24"/>
          <w:szCs w:val="24"/>
        </w:rPr>
        <w:t xml:space="preserve"> </w:t>
      </w:r>
      <w:r>
        <w:rPr>
          <w:rFonts w:ascii="宋体" w:hAnsi="宋体" w:eastAsia="宋体" w:cs="宋体"/>
          <w:spacing w:val="-2"/>
          <w:sz w:val="24"/>
          <w:szCs w:val="24"/>
        </w:rPr>
        <w:t>条规定而实施作业过程中由承包人造成的对工程的任何损</w:t>
      </w:r>
      <w:r>
        <w:rPr>
          <w:rFonts w:ascii="宋体" w:hAnsi="宋体" w:eastAsia="宋体" w:cs="宋体"/>
          <w:spacing w:val="-3"/>
          <w:sz w:val="24"/>
          <w:szCs w:val="24"/>
        </w:rPr>
        <w:t>失或损害负责。</w:t>
      </w:r>
    </w:p>
    <w:p w14:paraId="31771C38">
      <w:pPr>
        <w:spacing w:before="2" w:line="359" w:lineRule="auto"/>
        <w:ind w:left="22" w:firstLine="473"/>
        <w:rPr>
          <w:rFonts w:ascii="宋体" w:hAnsi="宋体" w:eastAsia="宋体" w:cs="宋体"/>
          <w:sz w:val="24"/>
          <w:szCs w:val="24"/>
        </w:rPr>
      </w:pPr>
      <w:r>
        <w:rPr>
          <w:rFonts w:ascii="宋体" w:hAnsi="宋体" w:eastAsia="宋体" w:cs="宋体"/>
          <w:spacing w:val="-3"/>
          <w:sz w:val="24"/>
          <w:szCs w:val="24"/>
        </w:rPr>
        <w:t>（3）临时开放交通期间、交工检测后至交工验收期间因交通事故导致的交安设施、</w:t>
      </w:r>
      <w:r>
        <w:rPr>
          <w:rFonts w:ascii="宋体" w:hAnsi="宋体" w:eastAsia="宋体" w:cs="宋体"/>
          <w:spacing w:val="-2"/>
          <w:sz w:val="24"/>
          <w:szCs w:val="24"/>
        </w:rPr>
        <w:t>临时防护设施损坏的，按发包人后续下发的相关管理办法执行。</w:t>
      </w:r>
    </w:p>
    <w:p w14:paraId="14316284">
      <w:pPr>
        <w:spacing w:line="219" w:lineRule="auto"/>
        <w:ind w:left="488"/>
        <w:rPr>
          <w:rFonts w:ascii="宋体" w:hAnsi="宋体" w:eastAsia="宋体" w:cs="宋体"/>
          <w:sz w:val="24"/>
          <w:szCs w:val="24"/>
        </w:rPr>
      </w:pPr>
      <w:r>
        <w:rPr>
          <w:rFonts w:ascii="宋体" w:hAnsi="宋体" w:eastAsia="宋体" w:cs="宋体"/>
          <w:spacing w:val="-1"/>
          <w:sz w:val="24"/>
          <w:szCs w:val="24"/>
        </w:rPr>
        <w:t>4.1.10 其他义务</w:t>
      </w:r>
    </w:p>
    <w:p w14:paraId="26C9F366">
      <w:pPr>
        <w:spacing w:before="182" w:line="220" w:lineRule="auto"/>
        <w:ind w:left="489"/>
        <w:rPr>
          <w:rFonts w:ascii="宋体" w:hAnsi="宋体" w:eastAsia="宋体" w:cs="宋体"/>
          <w:sz w:val="24"/>
          <w:szCs w:val="24"/>
        </w:rPr>
      </w:pPr>
      <w:r>
        <w:rPr>
          <w:rFonts w:ascii="宋体" w:hAnsi="宋体" w:eastAsia="宋体" w:cs="宋体"/>
          <w:spacing w:val="-5"/>
          <w:sz w:val="24"/>
          <w:szCs w:val="24"/>
        </w:rPr>
        <w:t>第</w:t>
      </w:r>
      <w:r>
        <w:rPr>
          <w:rFonts w:ascii="宋体" w:hAnsi="宋体" w:eastAsia="宋体" w:cs="宋体"/>
          <w:spacing w:val="-45"/>
          <w:sz w:val="24"/>
          <w:szCs w:val="24"/>
        </w:rPr>
        <w:t xml:space="preserve"> </w:t>
      </w:r>
      <w:r>
        <w:rPr>
          <w:rFonts w:ascii="宋体" w:hAnsi="宋体" w:eastAsia="宋体" w:cs="宋体"/>
          <w:spacing w:val="-5"/>
          <w:sz w:val="24"/>
          <w:szCs w:val="24"/>
        </w:rPr>
        <w:t>4.1.10（1）目补充：</w:t>
      </w:r>
    </w:p>
    <w:p w14:paraId="74091435">
      <w:pPr>
        <w:spacing w:before="182" w:line="360" w:lineRule="auto"/>
        <w:ind w:left="8" w:right="84" w:firstLine="494"/>
        <w:jc w:val="both"/>
        <w:rPr>
          <w:rFonts w:ascii="宋体" w:hAnsi="宋体" w:eastAsia="宋体" w:cs="宋体"/>
          <w:sz w:val="24"/>
          <w:szCs w:val="24"/>
        </w:rPr>
      </w:pPr>
      <w:r>
        <w:rPr>
          <w:rFonts w:ascii="宋体" w:hAnsi="宋体" w:eastAsia="宋体" w:cs="宋体"/>
          <w:spacing w:val="-2"/>
          <w:sz w:val="24"/>
          <w:szCs w:val="24"/>
        </w:rPr>
        <w:t>临时用地的面积和使用期应满足工程需要和《广东省公路工程施工标准化指南》的</w:t>
      </w:r>
      <w:r>
        <w:rPr>
          <w:rFonts w:ascii="宋体" w:hAnsi="宋体" w:eastAsia="宋体" w:cs="宋体"/>
          <w:spacing w:val="-1"/>
          <w:sz w:val="24"/>
          <w:szCs w:val="24"/>
        </w:rPr>
        <w:t>要求，因临时占地发生的协调、租用、复耕</w:t>
      </w:r>
      <w:r>
        <w:rPr>
          <w:rFonts w:ascii="宋体" w:hAnsi="宋体" w:eastAsia="宋体" w:cs="宋体"/>
          <w:spacing w:val="-2"/>
          <w:sz w:val="24"/>
          <w:szCs w:val="24"/>
        </w:rPr>
        <w:t>、验收等相关费用由承包人承担。临时用地</w:t>
      </w:r>
      <w:r>
        <w:rPr>
          <w:rFonts w:ascii="宋体" w:hAnsi="宋体" w:eastAsia="宋体" w:cs="宋体"/>
          <w:spacing w:val="-5"/>
          <w:sz w:val="24"/>
          <w:szCs w:val="24"/>
        </w:rPr>
        <w:t>中如有地面附着物（包括但不限于电力、电信、房屋、坟</w:t>
      </w:r>
      <w:r>
        <w:rPr>
          <w:rFonts w:ascii="宋体" w:hAnsi="宋体" w:eastAsia="宋体" w:cs="宋体"/>
          <w:spacing w:val="-6"/>
          <w:sz w:val="24"/>
          <w:szCs w:val="24"/>
        </w:rPr>
        <w:t>墓等</w:t>
      </w:r>
      <w:r>
        <w:rPr>
          <w:rFonts w:ascii="宋体" w:hAnsi="宋体" w:eastAsia="宋体" w:cs="宋体"/>
          <w:spacing w:val="-13"/>
          <w:sz w:val="24"/>
          <w:szCs w:val="24"/>
        </w:rPr>
        <w:t>）</w:t>
      </w:r>
      <w:r>
        <w:rPr>
          <w:rFonts w:ascii="宋体" w:hAnsi="宋体" w:eastAsia="宋体" w:cs="宋体"/>
          <w:spacing w:val="39"/>
          <w:sz w:val="24"/>
          <w:szCs w:val="24"/>
        </w:rPr>
        <w:t xml:space="preserve"> </w:t>
      </w:r>
      <w:r>
        <w:rPr>
          <w:rFonts w:ascii="宋体" w:hAnsi="宋体" w:eastAsia="宋体" w:cs="宋体"/>
          <w:spacing w:val="-13"/>
          <w:sz w:val="24"/>
          <w:szCs w:val="24"/>
        </w:rPr>
        <w:t>，</w:t>
      </w:r>
      <w:r>
        <w:rPr>
          <w:rFonts w:ascii="宋体" w:hAnsi="宋体" w:eastAsia="宋体" w:cs="宋体"/>
          <w:spacing w:val="-6"/>
          <w:sz w:val="24"/>
          <w:szCs w:val="24"/>
        </w:rPr>
        <w:t>其拆迁补偿费用已计入合同总价中。临时用地必须按规定办理相关手续，</w:t>
      </w:r>
      <w:r>
        <w:rPr>
          <w:rFonts w:ascii="宋体" w:hAnsi="宋体" w:eastAsia="宋体" w:cs="宋体"/>
          <w:spacing w:val="50"/>
          <w:sz w:val="24"/>
          <w:szCs w:val="24"/>
        </w:rPr>
        <w:t xml:space="preserve"> </w:t>
      </w:r>
      <w:r>
        <w:rPr>
          <w:rFonts w:ascii="宋体" w:hAnsi="宋体" w:eastAsia="宋体" w:cs="宋体"/>
          <w:spacing w:val="-6"/>
          <w:sz w:val="24"/>
          <w:szCs w:val="24"/>
        </w:rPr>
        <w:t>且不得对周边环境、公众及他人造</w:t>
      </w:r>
      <w:r>
        <w:rPr>
          <w:rFonts w:ascii="宋体" w:hAnsi="宋体" w:eastAsia="宋体" w:cs="宋体"/>
          <w:spacing w:val="-9"/>
          <w:sz w:val="24"/>
          <w:szCs w:val="24"/>
        </w:rPr>
        <w:t>成损害。</w:t>
      </w:r>
    </w:p>
    <w:p w14:paraId="520B9796">
      <w:pPr>
        <w:spacing w:before="1" w:line="218" w:lineRule="auto"/>
        <w:ind w:left="487"/>
        <w:rPr>
          <w:rFonts w:ascii="宋体" w:hAnsi="宋体" w:eastAsia="宋体" w:cs="宋体"/>
          <w:sz w:val="24"/>
          <w:szCs w:val="24"/>
        </w:rPr>
      </w:pPr>
      <w:r>
        <w:rPr>
          <w:rFonts w:ascii="宋体" w:hAnsi="宋体" w:eastAsia="宋体" w:cs="宋体"/>
          <w:spacing w:val="-4"/>
          <w:sz w:val="24"/>
          <w:szCs w:val="24"/>
        </w:rPr>
        <w:t>将本款第</w:t>
      </w:r>
      <w:r>
        <w:rPr>
          <w:rFonts w:ascii="宋体" w:hAnsi="宋体" w:eastAsia="宋体" w:cs="宋体"/>
          <w:spacing w:val="-41"/>
          <w:sz w:val="24"/>
          <w:szCs w:val="24"/>
        </w:rPr>
        <w:t xml:space="preserve"> </w:t>
      </w:r>
      <w:r>
        <w:rPr>
          <w:rFonts w:ascii="宋体" w:hAnsi="宋体" w:eastAsia="宋体" w:cs="宋体"/>
          <w:spacing w:val="-4"/>
          <w:sz w:val="24"/>
          <w:szCs w:val="24"/>
        </w:rPr>
        <w:t>4.1.10(2</w:t>
      </w:r>
      <w:r>
        <w:rPr>
          <w:rFonts w:hint="eastAsia" w:ascii="宋体" w:hAnsi="宋体" w:cs="宋体"/>
          <w:spacing w:val="-4"/>
          <w:sz w:val="24"/>
          <w:szCs w:val="24"/>
          <w:lang w:eastAsia="zh-CN"/>
        </w:rPr>
        <w:t>）</w:t>
      </w:r>
      <w:r>
        <w:rPr>
          <w:rFonts w:ascii="宋体" w:hAnsi="宋体" w:eastAsia="宋体" w:cs="宋体"/>
          <w:spacing w:val="-4"/>
          <w:sz w:val="24"/>
          <w:szCs w:val="24"/>
        </w:rPr>
        <w:t>目细化为：</w:t>
      </w:r>
    </w:p>
    <w:p w14:paraId="44CCD1E7">
      <w:pPr>
        <w:spacing w:before="183" w:line="360" w:lineRule="auto"/>
        <w:ind w:left="7" w:right="85" w:firstLine="524"/>
        <w:rPr>
          <w:rFonts w:ascii="宋体" w:hAnsi="宋体" w:eastAsia="宋体" w:cs="宋体"/>
          <w:sz w:val="24"/>
          <w:szCs w:val="24"/>
        </w:rPr>
      </w:pPr>
      <w:r>
        <w:rPr>
          <w:rFonts w:ascii="宋体" w:hAnsi="宋体" w:eastAsia="宋体" w:cs="宋体"/>
          <w:spacing w:val="-1"/>
          <w:sz w:val="24"/>
          <w:szCs w:val="24"/>
        </w:rPr>
        <w:t>(2)除合同另有规定外，承包人应承担并支付为获得本合同工程所需的石料、砂、砾石、黏土或其他当地材料等所发生的料场</w:t>
      </w:r>
      <w:r>
        <w:rPr>
          <w:rFonts w:ascii="宋体" w:hAnsi="宋体" w:eastAsia="宋体" w:cs="宋体"/>
          <w:spacing w:val="-2"/>
          <w:sz w:val="24"/>
          <w:szCs w:val="24"/>
        </w:rPr>
        <w:t>使用费及其他开支或补偿费。发包人应尽可</w:t>
      </w:r>
      <w:r>
        <w:rPr>
          <w:rFonts w:ascii="宋体" w:hAnsi="宋体" w:eastAsia="宋体" w:cs="宋体"/>
          <w:spacing w:val="-1"/>
          <w:sz w:val="24"/>
          <w:szCs w:val="24"/>
        </w:rPr>
        <w:t>能协助承包人办理料场租用手续及解决使用</w:t>
      </w:r>
      <w:r>
        <w:rPr>
          <w:rFonts w:ascii="宋体" w:hAnsi="宋体" w:eastAsia="宋体" w:cs="宋体"/>
          <w:spacing w:val="-2"/>
          <w:sz w:val="24"/>
          <w:szCs w:val="24"/>
        </w:rPr>
        <w:t>过程中的有关问题。承包人应按发包人要求</w:t>
      </w:r>
      <w:r>
        <w:rPr>
          <w:rFonts w:ascii="宋体" w:hAnsi="宋体" w:eastAsia="宋体" w:cs="宋体"/>
          <w:spacing w:val="-1"/>
          <w:sz w:val="24"/>
          <w:szCs w:val="24"/>
        </w:rPr>
        <w:t>将砂、石料等地材的供货合同等资料提供给</w:t>
      </w:r>
      <w:r>
        <w:rPr>
          <w:rFonts w:ascii="宋体" w:hAnsi="宋体" w:eastAsia="宋体" w:cs="宋体"/>
          <w:spacing w:val="-2"/>
          <w:sz w:val="24"/>
          <w:szCs w:val="24"/>
        </w:rPr>
        <w:t>发包人和监理人备案。取材的料场和货源应</w:t>
      </w:r>
      <w:r>
        <w:rPr>
          <w:rFonts w:ascii="宋体" w:hAnsi="宋体" w:eastAsia="宋体" w:cs="宋体"/>
          <w:spacing w:val="-1"/>
          <w:sz w:val="24"/>
          <w:szCs w:val="24"/>
        </w:rPr>
        <w:t>保持相对固定，承包人及其供货人应接受发</w:t>
      </w:r>
      <w:r>
        <w:rPr>
          <w:rFonts w:ascii="宋体" w:hAnsi="宋体" w:eastAsia="宋体" w:cs="宋体"/>
          <w:spacing w:val="-2"/>
          <w:sz w:val="24"/>
          <w:szCs w:val="24"/>
        </w:rPr>
        <w:t>包人和监理人的监督检查，如有变更应及时</w:t>
      </w:r>
      <w:r>
        <w:rPr>
          <w:rFonts w:ascii="宋体" w:hAnsi="宋体" w:eastAsia="宋体" w:cs="宋体"/>
          <w:spacing w:val="-1"/>
          <w:sz w:val="24"/>
          <w:szCs w:val="24"/>
        </w:rPr>
        <w:t>通知发包人或监理人并送交相应有关资料。</w:t>
      </w:r>
      <w:r>
        <w:rPr>
          <w:rFonts w:ascii="宋体" w:hAnsi="宋体" w:eastAsia="宋体" w:cs="宋体"/>
          <w:spacing w:val="-2"/>
          <w:sz w:val="24"/>
          <w:szCs w:val="24"/>
        </w:rPr>
        <w:t>监理人征得发包人同意后有权要求承包人更</w:t>
      </w:r>
      <w:r>
        <w:rPr>
          <w:rFonts w:ascii="宋体" w:hAnsi="宋体" w:eastAsia="宋体" w:cs="宋体"/>
          <w:spacing w:val="-3"/>
          <w:sz w:val="24"/>
          <w:szCs w:val="24"/>
        </w:rPr>
        <w:t>换不符合要求的料场，承包人必须接受。</w:t>
      </w:r>
    </w:p>
    <w:p w14:paraId="6A4A4B6E">
      <w:pPr>
        <w:spacing w:before="1" w:line="218" w:lineRule="auto"/>
        <w:ind w:left="487"/>
        <w:rPr>
          <w:rFonts w:ascii="宋体" w:hAnsi="宋体" w:eastAsia="宋体" w:cs="宋体"/>
          <w:sz w:val="24"/>
          <w:szCs w:val="24"/>
        </w:rPr>
      </w:pPr>
      <w:r>
        <w:rPr>
          <w:rFonts w:ascii="宋体" w:hAnsi="宋体" w:eastAsia="宋体" w:cs="宋体"/>
          <w:spacing w:val="-4"/>
          <w:sz w:val="24"/>
          <w:szCs w:val="24"/>
        </w:rPr>
        <w:t>将本款第</w:t>
      </w:r>
      <w:r>
        <w:rPr>
          <w:rFonts w:ascii="宋体" w:hAnsi="宋体" w:eastAsia="宋体" w:cs="宋体"/>
          <w:spacing w:val="-41"/>
          <w:sz w:val="24"/>
          <w:szCs w:val="24"/>
        </w:rPr>
        <w:t xml:space="preserve"> </w:t>
      </w:r>
      <w:r>
        <w:rPr>
          <w:rFonts w:ascii="宋体" w:hAnsi="宋体" w:eastAsia="宋体" w:cs="宋体"/>
          <w:spacing w:val="-4"/>
          <w:sz w:val="24"/>
          <w:szCs w:val="24"/>
        </w:rPr>
        <w:t>4.1.10(3</w:t>
      </w:r>
      <w:r>
        <w:rPr>
          <w:rFonts w:hint="eastAsia" w:ascii="宋体" w:hAnsi="宋体" w:cs="宋体"/>
          <w:spacing w:val="-4"/>
          <w:sz w:val="24"/>
          <w:szCs w:val="24"/>
          <w:lang w:eastAsia="zh-CN"/>
        </w:rPr>
        <w:t>）</w:t>
      </w:r>
      <w:r>
        <w:rPr>
          <w:rFonts w:ascii="宋体" w:hAnsi="宋体" w:eastAsia="宋体" w:cs="宋体"/>
          <w:spacing w:val="-4"/>
          <w:sz w:val="24"/>
          <w:szCs w:val="24"/>
        </w:rPr>
        <w:t>目细化为：</w:t>
      </w:r>
    </w:p>
    <w:p w14:paraId="4BBE88BA">
      <w:pPr>
        <w:spacing w:before="184" w:line="360" w:lineRule="auto"/>
        <w:ind w:left="8" w:right="85" w:firstLine="523"/>
        <w:jc w:val="both"/>
        <w:rPr>
          <w:rFonts w:ascii="宋体" w:hAnsi="宋体" w:eastAsia="宋体" w:cs="宋体"/>
          <w:sz w:val="24"/>
          <w:szCs w:val="24"/>
        </w:rPr>
      </w:pPr>
      <w:r>
        <w:rPr>
          <w:rFonts w:ascii="宋体" w:hAnsi="宋体" w:eastAsia="宋体" w:cs="宋体"/>
          <w:sz w:val="24"/>
          <w:szCs w:val="24"/>
        </w:rPr>
        <w:t>(3)承包人应严格遵守国家有关解决拖欠工程款和民工工资的法律、法规，及时支</w:t>
      </w:r>
      <w:r>
        <w:rPr>
          <w:rFonts w:ascii="宋体" w:hAnsi="宋体" w:eastAsia="宋体" w:cs="宋体"/>
          <w:spacing w:val="-2"/>
          <w:sz w:val="24"/>
          <w:szCs w:val="24"/>
        </w:rPr>
        <w:t>付工程中的材料、设备货款及民工工资等费用。承包人不得以任何借口拖欠材料、设备货款及民工工资等费用，如果出现此种现象，发包人有权代为支付其拖欠的材料、设备货款及民工工资，并从应付给承包人的工程款中扣除相应款项。对恶意拖欠和拒不按计划支付的，作为不良记录纳入公路建设市场监督管理系统。</w:t>
      </w:r>
    </w:p>
    <w:p w14:paraId="11A042AE">
      <w:pPr>
        <w:spacing w:before="78" w:line="360" w:lineRule="auto"/>
        <w:ind w:left="9" w:firstLine="2"/>
        <w:jc w:val="both"/>
        <w:rPr>
          <w:rFonts w:ascii="宋体" w:hAnsi="宋体" w:eastAsia="宋体" w:cs="宋体"/>
          <w:sz w:val="24"/>
          <w:szCs w:val="24"/>
        </w:rPr>
      </w:pPr>
      <w:r>
        <w:rPr>
          <w:rFonts w:ascii="宋体" w:hAnsi="宋体" w:eastAsia="宋体" w:cs="宋体"/>
          <w:spacing w:val="-2"/>
          <w:sz w:val="24"/>
          <w:szCs w:val="24"/>
        </w:rPr>
        <w:t>承包人的项目经理部是农民工工资支付行为的主体，承包人的项目经理是民工工资</w:t>
      </w:r>
      <w:r>
        <w:rPr>
          <w:rFonts w:ascii="宋体" w:hAnsi="宋体" w:eastAsia="宋体" w:cs="宋体"/>
          <w:spacing w:val="-5"/>
          <w:sz w:val="24"/>
          <w:szCs w:val="24"/>
        </w:rPr>
        <w:t>支付的责任人。项目经理部要建立全体民工花名册和工资支付表， 确保将工资直接发放</w:t>
      </w:r>
      <w:r>
        <w:rPr>
          <w:rFonts w:ascii="宋体" w:hAnsi="宋体" w:eastAsia="宋体" w:cs="宋体"/>
          <w:spacing w:val="-2"/>
          <w:sz w:val="24"/>
          <w:szCs w:val="24"/>
        </w:rPr>
        <w:t>给民工本人，或委托银行发放民工工资，严禁发放给“包工头”或其他不具备用工主体</w:t>
      </w:r>
      <w:r>
        <w:rPr>
          <w:rFonts w:ascii="宋体" w:hAnsi="宋体" w:eastAsia="宋体" w:cs="宋体"/>
          <w:spacing w:val="-5"/>
          <w:sz w:val="24"/>
          <w:szCs w:val="24"/>
        </w:rPr>
        <w:t>资格的组织和个人。承包人要加强对分包企业劳动用工和工资发放的监督管理， 不得以</w:t>
      </w:r>
      <w:r>
        <w:rPr>
          <w:rFonts w:ascii="宋体" w:hAnsi="宋体" w:eastAsia="宋体" w:cs="宋体"/>
          <w:spacing w:val="-2"/>
          <w:sz w:val="24"/>
          <w:szCs w:val="24"/>
        </w:rPr>
        <w:t>工程款未到位等为由克扣或拖欠民工工资，不得将合同应收工程款等经营风险转嫁给民</w:t>
      </w:r>
      <w:r>
        <w:rPr>
          <w:rFonts w:ascii="宋体" w:hAnsi="宋体" w:eastAsia="宋体" w:cs="宋体"/>
          <w:spacing w:val="-5"/>
          <w:sz w:val="24"/>
          <w:szCs w:val="24"/>
        </w:rPr>
        <w:t>工；因承包人将工程转包或违法分包致使拖欠</w:t>
      </w:r>
      <w:r>
        <w:rPr>
          <w:rFonts w:ascii="宋体" w:hAnsi="宋体" w:eastAsia="宋体" w:cs="宋体"/>
          <w:spacing w:val="-6"/>
          <w:sz w:val="24"/>
          <w:szCs w:val="24"/>
        </w:rPr>
        <w:t>民工工资的，由承包人依法承担清偿责任。</w:t>
      </w:r>
      <w:r>
        <w:rPr>
          <w:rFonts w:ascii="宋体" w:hAnsi="宋体" w:eastAsia="宋体" w:cs="宋体"/>
          <w:spacing w:val="-2"/>
          <w:sz w:val="24"/>
          <w:szCs w:val="24"/>
        </w:rPr>
        <w:t>承包人项目部应当配备劳资专管员，对民工实行实名制管理，通过登录广东省交通运输厅工程建设管养平台（实名制管理系统）为每一位进场工人建立实名制档案，记录施工</w:t>
      </w:r>
      <w:r>
        <w:rPr>
          <w:rFonts w:ascii="宋体" w:hAnsi="宋体" w:eastAsia="宋体" w:cs="宋体"/>
          <w:spacing w:val="-5"/>
          <w:sz w:val="24"/>
          <w:szCs w:val="24"/>
        </w:rPr>
        <w:t>人员进出场情况和施工现场作业民工的身份信</w:t>
      </w:r>
      <w:r>
        <w:rPr>
          <w:rFonts w:ascii="宋体" w:hAnsi="宋体" w:eastAsia="宋体" w:cs="宋体"/>
          <w:spacing w:val="-6"/>
          <w:sz w:val="24"/>
          <w:szCs w:val="24"/>
        </w:rPr>
        <w:t>息、劳动考勤与计量，建立劳动计酬手册、</w:t>
      </w:r>
      <w:r>
        <w:rPr>
          <w:rFonts w:ascii="宋体" w:hAnsi="宋体" w:eastAsia="宋体" w:cs="宋体"/>
          <w:spacing w:val="-5"/>
          <w:sz w:val="24"/>
          <w:szCs w:val="24"/>
        </w:rPr>
        <w:t>工资结算与支付等管理台账，实时掌握施工现</w:t>
      </w:r>
      <w:r>
        <w:rPr>
          <w:rFonts w:ascii="宋体" w:hAnsi="宋体" w:eastAsia="宋体" w:cs="宋体"/>
          <w:spacing w:val="-6"/>
          <w:sz w:val="24"/>
          <w:szCs w:val="24"/>
        </w:rPr>
        <w:t>场用工及其工资支付情况，不得以包代管。</w:t>
      </w:r>
    </w:p>
    <w:p w14:paraId="6D4707EF">
      <w:pPr>
        <w:spacing w:before="3" w:line="359" w:lineRule="auto"/>
        <w:ind w:left="7" w:right="85" w:firstLine="484"/>
        <w:jc w:val="both"/>
        <w:rPr>
          <w:rFonts w:ascii="宋体" w:hAnsi="宋体" w:eastAsia="宋体" w:cs="宋体"/>
          <w:sz w:val="24"/>
          <w:szCs w:val="24"/>
        </w:rPr>
      </w:pPr>
      <w:r>
        <w:rPr>
          <w:rFonts w:ascii="宋体" w:hAnsi="宋体" w:eastAsia="宋体" w:cs="宋体"/>
          <w:spacing w:val="-2"/>
          <w:sz w:val="24"/>
          <w:szCs w:val="24"/>
        </w:rPr>
        <w:t>工资支付表应如实记录支付单位、支付时间、支付对象、支付数额、支付对象的身</w:t>
      </w:r>
      <w:r>
        <w:rPr>
          <w:rFonts w:ascii="宋体" w:hAnsi="宋体" w:eastAsia="宋体" w:cs="宋体"/>
          <w:spacing w:val="-6"/>
          <w:sz w:val="24"/>
          <w:szCs w:val="24"/>
        </w:rPr>
        <w:t>份证号和签字等信息。承包人应签订劳务合同，</w:t>
      </w:r>
      <w:r>
        <w:rPr>
          <w:rFonts w:ascii="宋体" w:hAnsi="宋体" w:eastAsia="宋体" w:cs="宋体"/>
          <w:spacing w:val="51"/>
          <w:sz w:val="24"/>
          <w:szCs w:val="24"/>
        </w:rPr>
        <w:t xml:space="preserve"> </w:t>
      </w:r>
      <w:r>
        <w:rPr>
          <w:rFonts w:ascii="宋体" w:hAnsi="宋体" w:eastAsia="宋体" w:cs="宋体"/>
          <w:spacing w:val="-6"/>
          <w:sz w:val="24"/>
          <w:szCs w:val="24"/>
        </w:rPr>
        <w:t>必须明确上述主要条款，并对主要条款</w:t>
      </w:r>
      <w:r>
        <w:rPr>
          <w:rFonts w:ascii="宋体" w:hAnsi="宋体" w:eastAsia="宋体" w:cs="宋体"/>
          <w:spacing w:val="-1"/>
          <w:sz w:val="24"/>
          <w:szCs w:val="24"/>
        </w:rPr>
        <w:t>进行细化，防止恶意讨薪者恶意上访，民工花名册和工资支付表应</w:t>
      </w:r>
      <w:r>
        <w:rPr>
          <w:rFonts w:ascii="宋体" w:hAnsi="宋体" w:eastAsia="宋体" w:cs="宋体"/>
          <w:spacing w:val="-2"/>
          <w:sz w:val="24"/>
          <w:szCs w:val="24"/>
        </w:rPr>
        <w:t>报监理人备查。</w:t>
      </w:r>
    </w:p>
    <w:p w14:paraId="3A8614CA">
      <w:pPr>
        <w:spacing w:before="1" w:line="218" w:lineRule="auto"/>
        <w:ind w:left="487"/>
        <w:rPr>
          <w:rFonts w:ascii="宋体" w:hAnsi="宋体" w:eastAsia="宋体" w:cs="宋体"/>
          <w:sz w:val="24"/>
          <w:szCs w:val="24"/>
        </w:rPr>
      </w:pPr>
      <w:r>
        <w:rPr>
          <w:rFonts w:ascii="宋体" w:hAnsi="宋体" w:eastAsia="宋体" w:cs="宋体"/>
          <w:spacing w:val="-4"/>
          <w:sz w:val="24"/>
          <w:szCs w:val="24"/>
        </w:rPr>
        <w:t>将本款第</w:t>
      </w:r>
      <w:r>
        <w:rPr>
          <w:rFonts w:ascii="宋体" w:hAnsi="宋体" w:eastAsia="宋体" w:cs="宋体"/>
          <w:spacing w:val="-41"/>
          <w:sz w:val="24"/>
          <w:szCs w:val="24"/>
        </w:rPr>
        <w:t xml:space="preserve"> </w:t>
      </w:r>
      <w:r>
        <w:rPr>
          <w:rFonts w:ascii="宋体" w:hAnsi="宋体" w:eastAsia="宋体" w:cs="宋体"/>
          <w:spacing w:val="-4"/>
          <w:sz w:val="24"/>
          <w:szCs w:val="24"/>
        </w:rPr>
        <w:t>4.1.10(4</w:t>
      </w:r>
      <w:r>
        <w:rPr>
          <w:rFonts w:hint="eastAsia" w:ascii="宋体" w:hAnsi="宋体" w:cs="宋体"/>
          <w:spacing w:val="-4"/>
          <w:sz w:val="24"/>
          <w:szCs w:val="24"/>
          <w:lang w:eastAsia="zh-CN"/>
        </w:rPr>
        <w:t>）</w:t>
      </w:r>
      <w:r>
        <w:rPr>
          <w:rFonts w:ascii="宋体" w:hAnsi="宋体" w:eastAsia="宋体" w:cs="宋体"/>
          <w:spacing w:val="-4"/>
          <w:sz w:val="24"/>
          <w:szCs w:val="24"/>
        </w:rPr>
        <w:t>目细化为：</w:t>
      </w:r>
    </w:p>
    <w:p w14:paraId="09B0DEC6">
      <w:pPr>
        <w:spacing w:before="183" w:line="360" w:lineRule="auto"/>
        <w:ind w:left="8" w:right="85" w:firstLine="480"/>
        <w:jc w:val="both"/>
        <w:rPr>
          <w:rFonts w:ascii="宋体" w:hAnsi="宋体" w:eastAsia="宋体" w:cs="宋体"/>
          <w:spacing w:val="-2"/>
          <w:sz w:val="24"/>
          <w:szCs w:val="24"/>
        </w:rPr>
      </w:pPr>
      <w:r>
        <w:rPr>
          <w:rFonts w:ascii="宋体" w:hAnsi="宋体" w:eastAsia="宋体" w:cs="宋体"/>
          <w:spacing w:val="-2"/>
          <w:sz w:val="24"/>
          <w:szCs w:val="24"/>
        </w:rPr>
        <w:t>承包人应分解工程价款中的人工费用，在工程项目所在地银行开设民工工资（劳务费）专用账户，专项用于支付民工工资。项目实行分包人农民工工资委托承包人代发制度，分包人负责按月计算每位民工当月或上月应得工资额，承包人核查分包人提交的经民工签字确认的工资支付表，承包人的开户银行应根据承包人提供的经民工本人签字确认工资支付表，通过承包人设立的民工工资（劳务费）专用账户直接将工资划入民工个</w:t>
      </w:r>
      <w:r>
        <w:rPr>
          <w:rFonts w:ascii="宋体" w:hAnsi="宋体" w:eastAsia="宋体" w:cs="宋体"/>
          <w:spacing w:val="-5"/>
          <w:sz w:val="24"/>
          <w:szCs w:val="24"/>
        </w:rPr>
        <w:t>人工资账户。发包人应按照本合同约定的比例或承包人提供的人工费用数额， 将应付工</w:t>
      </w:r>
      <w:r>
        <w:rPr>
          <w:rFonts w:ascii="宋体" w:hAnsi="宋体" w:eastAsia="宋体" w:cs="宋体"/>
          <w:spacing w:val="-2"/>
          <w:sz w:val="24"/>
          <w:szCs w:val="24"/>
        </w:rPr>
        <w:t>程款中的人工费单独拨付到承包人开设的民工工资（劳务费）专用账户。民工工资（劳务费）专用账户应向人力资源社会保障部门和交通运输主管部门备案，并委托开户银行</w:t>
      </w:r>
      <w:r>
        <w:rPr>
          <w:rFonts w:ascii="宋体" w:hAnsi="宋体" w:eastAsia="宋体" w:cs="宋体"/>
          <w:spacing w:val="-6"/>
          <w:sz w:val="24"/>
          <w:szCs w:val="24"/>
        </w:rPr>
        <w:t>负责日常监管，确保专款专用。开户银行发现账户资金不足、被挪用等情况，</w:t>
      </w:r>
      <w:r>
        <w:rPr>
          <w:rFonts w:ascii="宋体" w:hAnsi="宋体" w:eastAsia="宋体" w:cs="宋体"/>
          <w:spacing w:val="50"/>
          <w:sz w:val="24"/>
          <w:szCs w:val="24"/>
        </w:rPr>
        <w:t xml:space="preserve"> </w:t>
      </w:r>
      <w:r>
        <w:rPr>
          <w:rFonts w:ascii="宋体" w:hAnsi="宋体" w:eastAsia="宋体" w:cs="宋体"/>
          <w:spacing w:val="-6"/>
          <w:sz w:val="24"/>
          <w:szCs w:val="24"/>
        </w:rPr>
        <w:t>应及时向</w:t>
      </w:r>
      <w:r>
        <w:rPr>
          <w:rFonts w:ascii="宋体" w:hAnsi="宋体" w:eastAsia="宋体" w:cs="宋体"/>
          <w:spacing w:val="-2"/>
          <w:sz w:val="24"/>
          <w:szCs w:val="24"/>
        </w:rPr>
        <w:t>人力资源社会保障部门和交通运输主管部门报告。</w:t>
      </w:r>
    </w:p>
    <w:p w14:paraId="1A1A1CA8">
      <w:pPr>
        <w:spacing w:before="183" w:line="360" w:lineRule="auto"/>
        <w:ind w:left="8" w:right="85" w:firstLine="480"/>
        <w:jc w:val="both"/>
        <w:rPr>
          <w:rFonts w:ascii="宋体" w:hAnsi="宋体" w:eastAsia="宋体" w:cs="宋体"/>
          <w:spacing w:val="-2"/>
          <w:sz w:val="24"/>
          <w:szCs w:val="24"/>
        </w:rPr>
      </w:pPr>
      <w:r>
        <w:rPr>
          <w:rFonts w:hint="eastAsia" w:ascii="宋体" w:hAnsi="宋体" w:eastAsia="宋体" w:cs="宋体"/>
          <w:spacing w:val="-2"/>
          <w:sz w:val="24"/>
          <w:szCs w:val="24"/>
          <w:lang w:val="en-US" w:eastAsia="zh-CN"/>
        </w:rPr>
        <w:t>承包人应依据《关于印发&lt;工程建设领域农民工工资保证金规定&gt;的通知（人社部发〔2021〕65号）》、《关于调整云浮市建设领域工人工资支付与工程款支付分账管理人工费用拨付有关事项的通知（云人社发〔2022〕51号）》、《关于印发《云浮市工程建设领域工人工资支付保证金管理办法实施细则》的通知》（云人社发〔2022〕81号）等相关文件（如上述文件不同版本之间有不一致的，以成文时间在后的为准。项目实施过程中，相关部门如有新文件执行等，则以最新发布文件的要求执行），办理施工企业工人工资支付保证金，工人工资支付与工程款支付分账管理人工费用拨付的有关手续。</w:t>
      </w:r>
    </w:p>
    <w:p w14:paraId="05E25392">
      <w:pPr>
        <w:spacing w:before="1" w:line="218" w:lineRule="auto"/>
        <w:ind w:left="487"/>
        <w:rPr>
          <w:rFonts w:ascii="宋体" w:hAnsi="宋体" w:eastAsia="宋体" w:cs="宋体"/>
          <w:sz w:val="24"/>
          <w:szCs w:val="24"/>
        </w:rPr>
      </w:pPr>
      <w:r>
        <w:rPr>
          <w:rFonts w:ascii="宋体" w:hAnsi="宋体" w:eastAsia="宋体" w:cs="宋体"/>
          <w:spacing w:val="-4"/>
          <w:sz w:val="24"/>
          <w:szCs w:val="24"/>
        </w:rPr>
        <w:t>将本款第</w:t>
      </w:r>
      <w:r>
        <w:rPr>
          <w:rFonts w:ascii="宋体" w:hAnsi="宋体" w:eastAsia="宋体" w:cs="宋体"/>
          <w:spacing w:val="-41"/>
          <w:sz w:val="24"/>
          <w:szCs w:val="24"/>
        </w:rPr>
        <w:t xml:space="preserve"> </w:t>
      </w:r>
      <w:r>
        <w:rPr>
          <w:rFonts w:ascii="宋体" w:hAnsi="宋体" w:eastAsia="宋体" w:cs="宋体"/>
          <w:spacing w:val="-4"/>
          <w:sz w:val="24"/>
          <w:szCs w:val="24"/>
        </w:rPr>
        <w:t>4.1.10(6</w:t>
      </w:r>
      <w:r>
        <w:rPr>
          <w:rFonts w:hint="eastAsia" w:ascii="宋体" w:hAnsi="宋体" w:cs="宋体"/>
          <w:spacing w:val="-4"/>
          <w:sz w:val="24"/>
          <w:szCs w:val="24"/>
          <w:lang w:eastAsia="zh-CN"/>
        </w:rPr>
        <w:t>）</w:t>
      </w:r>
      <w:r>
        <w:rPr>
          <w:rFonts w:ascii="宋体" w:hAnsi="宋体" w:eastAsia="宋体" w:cs="宋体"/>
          <w:spacing w:val="-4"/>
          <w:sz w:val="24"/>
          <w:szCs w:val="24"/>
        </w:rPr>
        <w:t>目细化为：</w:t>
      </w:r>
    </w:p>
    <w:p w14:paraId="1B59FDFA">
      <w:pPr>
        <w:spacing w:before="182" w:line="220" w:lineRule="auto"/>
        <w:ind w:left="489"/>
        <w:rPr>
          <w:rFonts w:ascii="宋体" w:hAnsi="宋体" w:eastAsia="宋体" w:cs="宋体"/>
          <w:sz w:val="24"/>
          <w:szCs w:val="24"/>
        </w:rPr>
      </w:pPr>
      <w:r>
        <w:rPr>
          <w:rFonts w:ascii="宋体" w:hAnsi="宋体" w:eastAsia="宋体" w:cs="宋体"/>
          <w:spacing w:val="-5"/>
          <w:sz w:val="24"/>
          <w:szCs w:val="24"/>
        </w:rPr>
        <w:t>承包人应履行的其他义务：</w:t>
      </w:r>
    </w:p>
    <w:p w14:paraId="735CFA97">
      <w:pPr>
        <w:spacing w:before="183" w:line="217" w:lineRule="auto"/>
        <w:ind w:left="488"/>
        <w:rPr>
          <w:rFonts w:ascii="宋体" w:hAnsi="宋体" w:eastAsia="宋体" w:cs="宋体"/>
          <w:sz w:val="24"/>
          <w:szCs w:val="24"/>
        </w:rPr>
      </w:pPr>
      <w:r>
        <w:rPr>
          <w:rFonts w:ascii="宋体" w:hAnsi="宋体" w:eastAsia="宋体" w:cs="宋体"/>
          <w:spacing w:val="-1"/>
          <w:sz w:val="24"/>
          <w:szCs w:val="24"/>
        </w:rPr>
        <w:t>①工序衔接与协调</w:t>
      </w:r>
    </w:p>
    <w:p w14:paraId="404923DA">
      <w:pPr>
        <w:spacing w:before="186" w:line="360" w:lineRule="auto"/>
        <w:ind w:left="8" w:right="85" w:firstLine="492"/>
        <w:rPr>
          <w:rFonts w:ascii="宋体" w:hAnsi="宋体" w:eastAsia="宋体" w:cs="宋体"/>
          <w:sz w:val="24"/>
          <w:szCs w:val="24"/>
        </w:rPr>
      </w:pPr>
      <w:r>
        <w:rPr>
          <w:rFonts w:ascii="宋体" w:hAnsi="宋体" w:eastAsia="宋体" w:cs="宋体"/>
          <w:spacing w:val="-2"/>
          <w:sz w:val="24"/>
          <w:szCs w:val="24"/>
        </w:rPr>
        <w:t>多个承包人在同一区域施工时，发包人和监理人有权协调工程的实施并对工程的衔接发出指示，承包人应在发包人和监理人的统一协调下工作，承包人由此增加的费用已</w:t>
      </w:r>
      <w:r>
        <w:rPr>
          <w:rFonts w:ascii="宋体" w:hAnsi="宋体" w:eastAsia="宋体" w:cs="宋体"/>
          <w:spacing w:val="-5"/>
          <w:sz w:val="24"/>
          <w:szCs w:val="24"/>
        </w:rPr>
        <w:t>包含在合同总价中。</w:t>
      </w:r>
    </w:p>
    <w:p w14:paraId="2F96AFF4">
      <w:pPr>
        <w:spacing w:before="78" w:line="360" w:lineRule="auto"/>
        <w:ind w:left="10" w:right="66" w:firstLine="483"/>
        <w:rPr>
          <w:rFonts w:ascii="宋体" w:hAnsi="宋体" w:eastAsia="宋体" w:cs="宋体"/>
          <w:sz w:val="24"/>
          <w:szCs w:val="24"/>
        </w:rPr>
      </w:pPr>
      <w:r>
        <w:rPr>
          <w:rFonts w:ascii="宋体" w:hAnsi="宋体" w:eastAsia="宋体" w:cs="宋体"/>
          <w:spacing w:val="-2"/>
          <w:sz w:val="24"/>
          <w:szCs w:val="24"/>
        </w:rPr>
        <w:t>施工用地和临时用地交付承包人后，承包人应采取有效的措施进行管控，包括必要的围蔽和安保措施，防止与本项目无关的人员或单位进入、借用、占用或侵占（发包人</w:t>
      </w:r>
      <w:r>
        <w:rPr>
          <w:rFonts w:ascii="宋体" w:hAnsi="宋体" w:eastAsia="宋体" w:cs="宋体"/>
          <w:spacing w:val="-1"/>
          <w:sz w:val="24"/>
          <w:szCs w:val="24"/>
        </w:rPr>
        <w:t>同意的除外</w:t>
      </w:r>
      <w:r>
        <w:rPr>
          <w:rFonts w:ascii="宋体" w:hAnsi="宋体" w:eastAsia="宋体" w:cs="宋体"/>
          <w:spacing w:val="-11"/>
          <w:sz w:val="24"/>
          <w:szCs w:val="24"/>
        </w:rPr>
        <w:t>），</w:t>
      </w:r>
      <w:r>
        <w:rPr>
          <w:rFonts w:ascii="宋体" w:hAnsi="宋体" w:eastAsia="宋体" w:cs="宋体"/>
          <w:spacing w:val="-1"/>
          <w:sz w:val="24"/>
          <w:szCs w:val="24"/>
        </w:rPr>
        <w:t>否则由此引起的施工干扰、工程方案变更、工期延后、费用增加</w:t>
      </w:r>
      <w:r>
        <w:rPr>
          <w:rFonts w:ascii="宋体" w:hAnsi="宋体" w:eastAsia="宋体" w:cs="宋体"/>
          <w:spacing w:val="-2"/>
          <w:sz w:val="24"/>
          <w:szCs w:val="24"/>
        </w:rPr>
        <w:t>等一切</w:t>
      </w:r>
      <w:r>
        <w:rPr>
          <w:rFonts w:ascii="宋体" w:hAnsi="宋体" w:eastAsia="宋体" w:cs="宋体"/>
          <w:spacing w:val="-5"/>
          <w:sz w:val="24"/>
          <w:szCs w:val="24"/>
        </w:rPr>
        <w:t>后果由承包人承担。</w:t>
      </w:r>
      <w:r>
        <w:rPr>
          <w:rFonts w:ascii="宋体" w:hAnsi="宋体" w:eastAsia="宋体" w:cs="宋体"/>
          <w:spacing w:val="-2"/>
          <w:sz w:val="24"/>
          <w:szCs w:val="24"/>
        </w:rPr>
        <w:t>交工验收前，承包人应将测量控制点、高边坡、软基、桥梁等观测点的资料移交给</w:t>
      </w:r>
      <w:r>
        <w:rPr>
          <w:rFonts w:ascii="宋体" w:hAnsi="宋体" w:eastAsia="宋体" w:cs="宋体"/>
          <w:spacing w:val="-6"/>
          <w:sz w:val="24"/>
          <w:szCs w:val="24"/>
        </w:rPr>
        <w:t>养护单位使用。</w:t>
      </w:r>
    </w:p>
    <w:p w14:paraId="16A451ED">
      <w:pPr>
        <w:spacing w:line="217" w:lineRule="auto"/>
        <w:ind w:left="487"/>
        <w:rPr>
          <w:rFonts w:ascii="宋体" w:hAnsi="宋体" w:eastAsia="宋体" w:cs="宋体"/>
          <w:sz w:val="24"/>
          <w:szCs w:val="24"/>
        </w:rPr>
      </w:pPr>
      <w:r>
        <w:rPr>
          <w:rFonts w:ascii="宋体" w:hAnsi="宋体" w:eastAsia="宋体" w:cs="宋体"/>
          <w:spacing w:val="-1"/>
          <w:sz w:val="24"/>
          <w:szCs w:val="24"/>
        </w:rPr>
        <w:t>②施工工艺要求</w:t>
      </w:r>
    </w:p>
    <w:p w14:paraId="4C15696B">
      <w:pPr>
        <w:spacing w:before="185" w:line="360" w:lineRule="auto"/>
        <w:ind w:left="9" w:right="66" w:firstLine="480"/>
        <w:rPr>
          <w:rFonts w:ascii="宋体" w:hAnsi="宋体" w:eastAsia="宋体" w:cs="宋体"/>
          <w:sz w:val="24"/>
          <w:szCs w:val="24"/>
        </w:rPr>
      </w:pPr>
      <w:r>
        <w:rPr>
          <w:rFonts w:ascii="宋体" w:hAnsi="宋体" w:eastAsia="宋体" w:cs="宋体"/>
          <w:spacing w:val="-2"/>
          <w:sz w:val="24"/>
          <w:szCs w:val="24"/>
        </w:rPr>
        <w:t>承包人应采取一切必要的措施，严格执行《广东省公路工程施工标准化指南》</w:t>
      </w:r>
      <w:r>
        <w:rPr>
          <w:rFonts w:ascii="宋体" w:hAnsi="宋体" w:eastAsia="宋体" w:cs="宋体"/>
          <w:spacing w:val="-3"/>
          <w:sz w:val="24"/>
          <w:szCs w:val="24"/>
        </w:rPr>
        <w:t>《广</w:t>
      </w:r>
      <w:r>
        <w:rPr>
          <w:rFonts w:ascii="宋体" w:hAnsi="宋体" w:eastAsia="宋体" w:cs="宋体"/>
          <w:spacing w:val="-2"/>
          <w:sz w:val="24"/>
          <w:szCs w:val="24"/>
        </w:rPr>
        <w:t>东省高速公路公路施工安全标准化指南》和施工过程中发包人下发的工程管理手册（或</w:t>
      </w:r>
      <w:r>
        <w:rPr>
          <w:rFonts w:ascii="宋体" w:hAnsi="宋体" w:eastAsia="宋体" w:cs="宋体"/>
          <w:spacing w:val="-7"/>
          <w:sz w:val="24"/>
          <w:szCs w:val="24"/>
        </w:rPr>
        <w:t>创新工艺工法要求）、标准化和标杆管理、技术规范的各项规定，</w:t>
      </w:r>
      <w:r>
        <w:rPr>
          <w:rFonts w:ascii="宋体" w:hAnsi="宋体" w:eastAsia="宋体" w:cs="宋体"/>
          <w:spacing w:val="87"/>
          <w:sz w:val="24"/>
          <w:szCs w:val="24"/>
        </w:rPr>
        <w:t xml:space="preserve"> </w:t>
      </w:r>
      <w:r>
        <w:rPr>
          <w:rFonts w:ascii="宋体" w:hAnsi="宋体" w:eastAsia="宋体" w:cs="宋体"/>
          <w:spacing w:val="-7"/>
          <w:sz w:val="24"/>
          <w:szCs w:val="24"/>
        </w:rPr>
        <w:t>以及在建设过程中发</w:t>
      </w:r>
      <w:r>
        <w:rPr>
          <w:rFonts w:ascii="宋体" w:hAnsi="宋体" w:eastAsia="宋体" w:cs="宋体"/>
          <w:spacing w:val="-2"/>
          <w:sz w:val="24"/>
          <w:szCs w:val="24"/>
        </w:rPr>
        <w:t>包人提出的工艺工法要求，以保证达到合同规定的质量标准。在工程竣工质量要求较招标文件技术规范未发生改变的情况下，发包人或监理人对施工工艺提出的合理要求，原则上承包人不得就此要求发包人给予额外费用补偿，由此发生的一切费用视为已计入合</w:t>
      </w:r>
      <w:r>
        <w:rPr>
          <w:rFonts w:ascii="宋体" w:hAnsi="宋体" w:eastAsia="宋体" w:cs="宋体"/>
          <w:sz w:val="24"/>
          <w:szCs w:val="24"/>
        </w:rPr>
        <w:t>同总价中。发包人提出或受施工条件限制需改变原施工工艺（工法）的，按</w:t>
      </w:r>
      <w:r>
        <w:rPr>
          <w:rFonts w:ascii="宋体" w:hAnsi="宋体" w:eastAsia="宋体" w:cs="宋体"/>
          <w:spacing w:val="-13"/>
          <w:sz w:val="24"/>
          <w:szCs w:val="24"/>
        </w:rPr>
        <w:t xml:space="preserve"> </w:t>
      </w:r>
      <w:r>
        <w:rPr>
          <w:rFonts w:ascii="宋体" w:hAnsi="宋体" w:eastAsia="宋体" w:cs="宋体"/>
          <w:sz w:val="24"/>
          <w:szCs w:val="24"/>
        </w:rPr>
        <w:t>16.5</w:t>
      </w:r>
      <w:r>
        <w:rPr>
          <w:rFonts w:ascii="宋体" w:hAnsi="宋体" w:eastAsia="宋体" w:cs="宋体"/>
          <w:spacing w:val="-49"/>
          <w:sz w:val="24"/>
          <w:szCs w:val="24"/>
        </w:rPr>
        <w:t xml:space="preserve"> </w:t>
      </w:r>
      <w:r>
        <w:rPr>
          <w:rFonts w:ascii="宋体" w:hAnsi="宋体" w:eastAsia="宋体" w:cs="宋体"/>
          <w:sz w:val="24"/>
          <w:szCs w:val="24"/>
        </w:rPr>
        <w:t>款约</w:t>
      </w:r>
      <w:r>
        <w:rPr>
          <w:rFonts w:ascii="宋体" w:hAnsi="宋体" w:eastAsia="宋体" w:cs="宋体"/>
          <w:spacing w:val="-2"/>
          <w:sz w:val="24"/>
          <w:szCs w:val="24"/>
        </w:rPr>
        <w:t>定执行。发包人推广先进工艺工法，如钢筋部品工艺、高温蒸养环形生产线预制场等，原则上承包人不得就此要求发包人给予额外费用补偿，由此发生的一切费用视为已计入</w:t>
      </w:r>
      <w:r>
        <w:rPr>
          <w:rFonts w:ascii="宋体" w:hAnsi="宋体" w:eastAsia="宋体" w:cs="宋体"/>
          <w:spacing w:val="-7"/>
          <w:sz w:val="24"/>
          <w:szCs w:val="24"/>
        </w:rPr>
        <w:t>合同总价中。</w:t>
      </w:r>
    </w:p>
    <w:p w14:paraId="525EDE81">
      <w:pPr>
        <w:spacing w:line="217" w:lineRule="auto"/>
        <w:ind w:left="487"/>
        <w:rPr>
          <w:rFonts w:ascii="宋体" w:hAnsi="宋体" w:eastAsia="宋体" w:cs="宋体"/>
          <w:sz w:val="24"/>
          <w:szCs w:val="24"/>
        </w:rPr>
      </w:pPr>
      <w:r>
        <w:rPr>
          <w:rFonts w:ascii="宋体" w:hAnsi="宋体" w:eastAsia="宋体" w:cs="宋体"/>
          <w:spacing w:val="-2"/>
          <w:sz w:val="24"/>
          <w:szCs w:val="24"/>
        </w:rPr>
        <w:t>③卫生与供水</w:t>
      </w:r>
    </w:p>
    <w:p w14:paraId="1A8045B4">
      <w:pPr>
        <w:spacing w:before="185" w:line="360" w:lineRule="auto"/>
        <w:ind w:left="10" w:right="66" w:firstLine="479"/>
        <w:rPr>
          <w:rFonts w:ascii="宋体" w:hAnsi="宋体" w:eastAsia="宋体" w:cs="宋体"/>
          <w:sz w:val="24"/>
          <w:szCs w:val="24"/>
        </w:rPr>
      </w:pPr>
      <w:r>
        <w:rPr>
          <w:rFonts w:ascii="宋体" w:hAnsi="宋体" w:eastAsia="宋体" w:cs="宋体"/>
          <w:spacing w:val="-2"/>
          <w:sz w:val="24"/>
          <w:szCs w:val="24"/>
        </w:rPr>
        <w:t>承包人应自费采取应有的卫生防护措施，经常保持现场及其驻地整洁和卫生，为其雇用的员工供应清洁的饮用水和合格的生活用水，以保护职员和工人的健康。在炎热的高温条件下施工时，承包人应注意采取防暑降温措施。</w:t>
      </w:r>
    </w:p>
    <w:p w14:paraId="65F2DE77">
      <w:pPr>
        <w:spacing w:line="360" w:lineRule="auto"/>
        <w:ind w:left="11" w:right="66" w:firstLine="478"/>
        <w:jc w:val="both"/>
        <w:rPr>
          <w:rFonts w:ascii="宋体" w:hAnsi="宋体" w:eastAsia="宋体" w:cs="宋体"/>
          <w:sz w:val="24"/>
          <w:szCs w:val="24"/>
        </w:rPr>
      </w:pPr>
      <w:r>
        <w:rPr>
          <w:rFonts w:ascii="宋体" w:hAnsi="宋体" w:eastAsia="宋体" w:cs="宋体"/>
          <w:spacing w:val="-2"/>
          <w:sz w:val="24"/>
          <w:szCs w:val="24"/>
        </w:rPr>
        <w:t>承包人在组织人员进驻工程现场时，应切实采取预防疫情的有效措施，配备必要的</w:t>
      </w:r>
      <w:r>
        <w:rPr>
          <w:rFonts w:ascii="宋体" w:hAnsi="宋体" w:eastAsia="宋体" w:cs="宋体"/>
          <w:spacing w:val="-6"/>
          <w:sz w:val="24"/>
          <w:szCs w:val="24"/>
        </w:rPr>
        <w:t>医疗用品、以及消毒、测温、通风等设施、设备，</w:t>
      </w:r>
      <w:r>
        <w:rPr>
          <w:rFonts w:ascii="宋体" w:hAnsi="宋体" w:eastAsia="宋体" w:cs="宋体"/>
          <w:spacing w:val="55"/>
          <w:sz w:val="24"/>
          <w:szCs w:val="24"/>
        </w:rPr>
        <w:t xml:space="preserve"> </w:t>
      </w:r>
      <w:r>
        <w:rPr>
          <w:rFonts w:ascii="宋体" w:hAnsi="宋体" w:eastAsia="宋体" w:cs="宋体"/>
          <w:spacing w:val="-6"/>
          <w:sz w:val="24"/>
          <w:szCs w:val="24"/>
        </w:rPr>
        <w:t>加强疫情防控工作</w:t>
      </w:r>
      <w:r>
        <w:rPr>
          <w:rFonts w:ascii="宋体" w:hAnsi="宋体" w:eastAsia="宋体" w:cs="宋体"/>
          <w:spacing w:val="-7"/>
          <w:sz w:val="24"/>
          <w:szCs w:val="24"/>
        </w:rPr>
        <w:t>。承包人应至少设</w:t>
      </w:r>
      <w:r>
        <w:rPr>
          <w:rFonts w:ascii="宋体" w:hAnsi="宋体" w:eastAsia="宋体" w:cs="宋体"/>
          <w:spacing w:val="-2"/>
          <w:sz w:val="24"/>
          <w:szCs w:val="24"/>
        </w:rPr>
        <w:t>一名专职的、具有一定卫生常识及传染病防治知识的卫生督查员，负责承包人所在施工</w:t>
      </w:r>
      <w:r>
        <w:rPr>
          <w:rFonts w:ascii="宋体" w:hAnsi="宋体" w:eastAsia="宋体" w:cs="宋体"/>
          <w:spacing w:val="1"/>
          <w:sz w:val="24"/>
          <w:szCs w:val="24"/>
        </w:rPr>
        <w:t>现场的传染病检查、控制和报告工作。供餐</w:t>
      </w:r>
      <w:r>
        <w:rPr>
          <w:rFonts w:ascii="宋体" w:hAnsi="宋体" w:eastAsia="宋体" w:cs="宋体"/>
          <w:spacing w:val="-37"/>
          <w:sz w:val="24"/>
          <w:szCs w:val="24"/>
        </w:rPr>
        <w:t xml:space="preserve"> </w:t>
      </w:r>
      <w:r>
        <w:rPr>
          <w:rFonts w:ascii="宋体" w:hAnsi="宋体" w:eastAsia="宋体" w:cs="宋体"/>
          <w:sz w:val="24"/>
          <w:szCs w:val="24"/>
        </w:rPr>
        <w:t>50</w:t>
      </w:r>
      <w:r>
        <w:rPr>
          <w:rFonts w:ascii="宋体" w:hAnsi="宋体" w:eastAsia="宋体" w:cs="宋体"/>
          <w:spacing w:val="-47"/>
          <w:sz w:val="24"/>
          <w:szCs w:val="24"/>
        </w:rPr>
        <w:t xml:space="preserve"> </w:t>
      </w:r>
      <w:r>
        <w:rPr>
          <w:rFonts w:ascii="宋体" w:hAnsi="宋体" w:eastAsia="宋体" w:cs="宋体"/>
          <w:sz w:val="24"/>
          <w:szCs w:val="24"/>
        </w:rPr>
        <w:t>人以上食堂必须向当地县级市场监管部</w:t>
      </w:r>
      <w:r>
        <w:rPr>
          <w:rFonts w:ascii="宋体" w:hAnsi="宋体" w:eastAsia="宋体" w:cs="宋体"/>
          <w:spacing w:val="-4"/>
          <w:sz w:val="24"/>
          <w:szCs w:val="24"/>
        </w:rPr>
        <w:t>门申办食品经营许可证。</w:t>
      </w:r>
    </w:p>
    <w:p w14:paraId="42187D37">
      <w:pPr>
        <w:spacing w:line="360" w:lineRule="auto"/>
        <w:ind w:left="9" w:firstLine="479"/>
        <w:jc w:val="both"/>
        <w:rPr>
          <w:rFonts w:ascii="宋体" w:hAnsi="宋体" w:eastAsia="宋体" w:cs="宋体"/>
          <w:sz w:val="24"/>
          <w:szCs w:val="24"/>
        </w:rPr>
      </w:pPr>
      <w:r>
        <w:rPr>
          <w:rFonts w:ascii="宋体" w:hAnsi="宋体" w:eastAsia="宋体" w:cs="宋体"/>
          <w:spacing w:val="-6"/>
          <w:sz w:val="24"/>
          <w:szCs w:val="24"/>
        </w:rPr>
        <w:t>承包人还应建立人员流动登记制度，信息报告制度，与当地卫</w:t>
      </w:r>
      <w:r>
        <w:rPr>
          <w:rFonts w:ascii="宋体" w:hAnsi="宋体" w:eastAsia="宋体" w:cs="宋体"/>
          <w:spacing w:val="-7"/>
          <w:sz w:val="24"/>
          <w:szCs w:val="24"/>
        </w:rPr>
        <w:t>生防疫部门积极合作，</w:t>
      </w:r>
      <w:r>
        <w:rPr>
          <w:rFonts w:ascii="宋体" w:hAnsi="宋体" w:eastAsia="宋体" w:cs="宋体"/>
          <w:spacing w:val="-2"/>
          <w:sz w:val="24"/>
          <w:szCs w:val="24"/>
        </w:rPr>
        <w:t>做好各项防范措施的落实工作。一旦暴发任何具有传染性的疾病时，承包人应遵守并执</w:t>
      </w:r>
      <w:r>
        <w:rPr>
          <w:rFonts w:ascii="宋体" w:hAnsi="宋体" w:eastAsia="宋体" w:cs="宋体"/>
          <w:sz w:val="24"/>
          <w:szCs w:val="24"/>
        </w:rPr>
        <w:t>行当地政府或卫生防疫部门为防治和消灭上述传染病蔓延而制订的规章、命令和要求，</w:t>
      </w:r>
      <w:r>
        <w:rPr>
          <w:rFonts w:ascii="宋体" w:hAnsi="宋体" w:eastAsia="宋体" w:cs="宋体"/>
          <w:spacing w:val="-3"/>
          <w:sz w:val="24"/>
          <w:szCs w:val="24"/>
        </w:rPr>
        <w:t>并及时报告当地卫生防疫部门及发包人。</w:t>
      </w:r>
    </w:p>
    <w:p w14:paraId="0142BD77">
      <w:pPr>
        <w:pStyle w:val="2"/>
        <w:spacing w:line="268" w:lineRule="auto"/>
      </w:pPr>
      <w:r>
        <w:rPr>
          <w:rFonts w:ascii="宋体" w:hAnsi="宋体" w:eastAsia="宋体" w:cs="宋体"/>
          <w:spacing w:val="-2"/>
          <w:sz w:val="24"/>
          <w:szCs w:val="24"/>
        </w:rPr>
        <w:t>承包人应将其采取上述措施而可能发生的全部费用计入投标报价中，发包人将不另</w:t>
      </w:r>
      <w:r>
        <w:rPr>
          <w:rFonts w:ascii="宋体" w:hAnsi="宋体" w:eastAsia="宋体" w:cs="宋体"/>
          <w:spacing w:val="-6"/>
          <w:sz w:val="24"/>
          <w:szCs w:val="24"/>
        </w:rPr>
        <w:t>行支付。如发生属不可抗力的公共卫生事件，</w:t>
      </w:r>
      <w:r>
        <w:rPr>
          <w:rFonts w:ascii="宋体" w:hAnsi="宋体" w:eastAsia="宋体" w:cs="宋体"/>
          <w:spacing w:val="50"/>
          <w:sz w:val="24"/>
          <w:szCs w:val="24"/>
        </w:rPr>
        <w:t xml:space="preserve"> </w:t>
      </w:r>
      <w:r>
        <w:rPr>
          <w:rFonts w:ascii="宋体" w:hAnsi="宋体" w:eastAsia="宋体" w:cs="宋体"/>
          <w:spacing w:val="-6"/>
          <w:sz w:val="24"/>
          <w:szCs w:val="24"/>
        </w:rPr>
        <w:t>承包人采取防控措施而发生的费用，参照</w:t>
      </w:r>
      <w:r>
        <w:rPr>
          <w:rFonts w:ascii="宋体" w:hAnsi="宋体" w:eastAsia="宋体" w:cs="宋体"/>
          <w:spacing w:val="-2"/>
          <w:sz w:val="24"/>
          <w:szCs w:val="24"/>
        </w:rPr>
        <w:t>政府部门的相关规定，予以合理补偿。因承包人采取措施不力所造成的一切后果，均由</w:t>
      </w:r>
      <w:r>
        <w:rPr>
          <w:rFonts w:ascii="宋体" w:hAnsi="宋体" w:eastAsia="宋体" w:cs="宋体"/>
          <w:spacing w:val="-5"/>
          <w:sz w:val="24"/>
          <w:szCs w:val="24"/>
        </w:rPr>
        <w:t>承包人自行负责。</w:t>
      </w:r>
    </w:p>
    <w:p w14:paraId="410B0AF3">
      <w:pPr>
        <w:spacing w:before="78" w:line="217" w:lineRule="auto"/>
        <w:ind w:left="487"/>
        <w:rPr>
          <w:rFonts w:ascii="宋体" w:hAnsi="宋体" w:eastAsia="宋体" w:cs="宋体"/>
          <w:sz w:val="24"/>
          <w:szCs w:val="24"/>
        </w:rPr>
      </w:pPr>
      <w:r>
        <w:rPr>
          <w:rFonts w:ascii="宋体" w:hAnsi="宋体" w:eastAsia="宋体" w:cs="宋体"/>
          <w:spacing w:val="-1"/>
          <w:sz w:val="24"/>
          <w:szCs w:val="24"/>
        </w:rPr>
        <w:t>④项目审计、稽查和检查等的配合</w:t>
      </w:r>
    </w:p>
    <w:p w14:paraId="7F7C3A1F">
      <w:pPr>
        <w:spacing w:before="185" w:line="360" w:lineRule="auto"/>
        <w:ind w:left="8" w:firstLine="473"/>
        <w:rPr>
          <w:rFonts w:ascii="宋体" w:hAnsi="宋体" w:eastAsia="宋体" w:cs="宋体"/>
          <w:sz w:val="24"/>
          <w:szCs w:val="24"/>
        </w:rPr>
      </w:pPr>
      <w:r>
        <w:rPr>
          <w:rFonts w:ascii="宋体" w:hAnsi="宋体" w:eastAsia="宋体" w:cs="宋体"/>
          <w:spacing w:val="-6"/>
          <w:sz w:val="24"/>
          <w:szCs w:val="24"/>
        </w:rPr>
        <w:t>A、与本工程项目相关的审计和稽查， 承包人应高度重视并委派专人积极予以配合，</w:t>
      </w:r>
      <w:r>
        <w:rPr>
          <w:rFonts w:ascii="宋体" w:hAnsi="宋体" w:eastAsia="宋体" w:cs="宋体"/>
          <w:spacing w:val="-2"/>
          <w:sz w:val="24"/>
          <w:szCs w:val="24"/>
        </w:rPr>
        <w:t>对审计和稽查的有关意见承包人应无条件地及时整改。</w:t>
      </w:r>
    </w:p>
    <w:p w14:paraId="30172D26">
      <w:pPr>
        <w:spacing w:before="2" w:line="359" w:lineRule="auto"/>
        <w:ind w:left="10" w:right="79" w:firstLine="473"/>
        <w:rPr>
          <w:rFonts w:ascii="宋体" w:hAnsi="宋体" w:eastAsia="宋体" w:cs="宋体"/>
          <w:sz w:val="24"/>
          <w:szCs w:val="24"/>
        </w:rPr>
      </w:pPr>
      <w:r>
        <w:rPr>
          <w:rFonts w:ascii="宋体" w:hAnsi="宋体" w:eastAsia="宋体" w:cs="宋体"/>
          <w:spacing w:val="1"/>
          <w:sz w:val="24"/>
          <w:szCs w:val="24"/>
        </w:rPr>
        <w:t>B、有关单位对本项目的各种检查和视察等活动，承包人和监理人有义务积极配合</w:t>
      </w:r>
      <w:r>
        <w:rPr>
          <w:rFonts w:ascii="宋体" w:hAnsi="宋体" w:eastAsia="宋体" w:cs="宋体"/>
          <w:spacing w:val="-6"/>
          <w:sz w:val="24"/>
          <w:szCs w:val="24"/>
        </w:rPr>
        <w:t>开展各项工作。</w:t>
      </w:r>
    </w:p>
    <w:p w14:paraId="2ADE2015">
      <w:pPr>
        <w:spacing w:before="2" w:line="359" w:lineRule="auto"/>
        <w:ind w:left="12" w:right="79" w:firstLine="475"/>
        <w:rPr>
          <w:rFonts w:ascii="宋体" w:hAnsi="宋体" w:eastAsia="宋体" w:cs="宋体"/>
          <w:sz w:val="24"/>
          <w:szCs w:val="24"/>
        </w:rPr>
      </w:pPr>
      <w:r>
        <w:rPr>
          <w:rFonts w:ascii="宋体" w:hAnsi="宋体" w:eastAsia="宋体" w:cs="宋体"/>
          <w:spacing w:val="1"/>
          <w:sz w:val="24"/>
          <w:szCs w:val="24"/>
        </w:rPr>
        <w:t>C、本工程项目有关的各类统计报表和汇报材料包括项目后评价报告，承包人和监</w:t>
      </w:r>
      <w:r>
        <w:rPr>
          <w:rFonts w:ascii="宋体" w:hAnsi="宋体" w:eastAsia="宋体" w:cs="宋体"/>
          <w:spacing w:val="-2"/>
          <w:sz w:val="24"/>
          <w:szCs w:val="24"/>
        </w:rPr>
        <w:t>理人有义务配合发包人做好编制工作并提供相应的资料。</w:t>
      </w:r>
    </w:p>
    <w:p w14:paraId="6CB59805">
      <w:pPr>
        <w:spacing w:before="2" w:line="356" w:lineRule="auto"/>
        <w:ind w:left="10" w:right="66" w:firstLine="474"/>
        <w:rPr>
          <w:rFonts w:ascii="宋体" w:hAnsi="宋体" w:eastAsia="宋体" w:cs="宋体"/>
          <w:sz w:val="24"/>
          <w:szCs w:val="24"/>
        </w:rPr>
      </w:pPr>
      <w:r>
        <w:rPr>
          <w:rFonts w:ascii="宋体" w:hAnsi="宋体" w:eastAsia="宋体" w:cs="宋体"/>
          <w:spacing w:val="1"/>
          <w:sz w:val="24"/>
          <w:szCs w:val="24"/>
        </w:rPr>
        <w:t>D、承包人应按监理人和发包人的有关要求，建立相应的计量、支付、变更和造价</w:t>
      </w:r>
      <w:r>
        <w:rPr>
          <w:rFonts w:ascii="宋体" w:hAnsi="宋体" w:eastAsia="宋体" w:cs="宋体"/>
          <w:spacing w:val="-2"/>
          <w:sz w:val="24"/>
          <w:szCs w:val="24"/>
        </w:rPr>
        <w:t>等台帐，同时承包人和监理人应配合发包人建立相应的台帐，三方各自的台帐应动态更新，并确保一致，直至工程结算完成。承包人应按省级公路工程造价管理信息化平台的</w:t>
      </w:r>
      <w:r>
        <w:rPr>
          <w:rFonts w:ascii="宋体" w:hAnsi="宋体" w:eastAsia="宋体" w:cs="宋体"/>
          <w:spacing w:val="-4"/>
          <w:sz w:val="24"/>
          <w:szCs w:val="24"/>
        </w:rPr>
        <w:t>要求，及时上传造价文件。</w:t>
      </w:r>
    </w:p>
    <w:p w14:paraId="5605E93D">
      <w:pPr>
        <w:spacing w:before="1" w:line="231" w:lineRule="auto"/>
        <w:ind w:left="487"/>
        <w:rPr>
          <w:rFonts w:hint="eastAsia" w:ascii="宋体" w:hAnsi="宋体" w:eastAsia="宋体" w:cs="宋体"/>
          <w:sz w:val="12"/>
          <w:szCs w:val="12"/>
          <w:lang w:eastAsia="zh-CN"/>
        </w:rPr>
      </w:pPr>
      <w:r>
        <w:rPr>
          <w:rFonts w:ascii="宋体" w:hAnsi="宋体" w:eastAsia="宋体" w:cs="宋体"/>
          <w:spacing w:val="-1"/>
          <w:sz w:val="24"/>
          <w:szCs w:val="24"/>
        </w:rPr>
        <w:t>⑤双标管理（标杆管理、标准化管理）</w:t>
      </w:r>
    </w:p>
    <w:p w14:paraId="37E835CD">
      <w:pPr>
        <w:spacing w:before="185" w:line="360" w:lineRule="auto"/>
        <w:ind w:left="9" w:right="66" w:firstLine="480"/>
        <w:jc w:val="both"/>
        <w:rPr>
          <w:rFonts w:ascii="宋体" w:hAnsi="宋体" w:eastAsia="宋体" w:cs="宋体"/>
          <w:sz w:val="24"/>
          <w:szCs w:val="24"/>
        </w:rPr>
      </w:pPr>
      <w:r>
        <w:rPr>
          <w:rFonts w:ascii="宋体" w:hAnsi="宋体" w:eastAsia="宋体" w:cs="宋体"/>
          <w:spacing w:val="-2"/>
          <w:sz w:val="24"/>
          <w:szCs w:val="24"/>
        </w:rPr>
        <w:t>承包人须贯彻落实交通运输部和广东省交通运输厅“平安百年品质工程”建设有关要求，进一步深化标准化管理和标杆管理，推进精品建造和精细管理；严格遵守和执行交通运输部、广东省交通运输厅有关高速公路建设标准化管理（含发包人下发的标准化管理指南，如有</w:t>
      </w:r>
      <w:r>
        <w:rPr>
          <w:rFonts w:ascii="宋体" w:hAnsi="宋体" w:eastAsia="宋体" w:cs="宋体"/>
          <w:spacing w:val="6"/>
          <w:sz w:val="24"/>
          <w:szCs w:val="24"/>
        </w:rPr>
        <w:t>），</w:t>
      </w:r>
      <w:r>
        <w:rPr>
          <w:rFonts w:ascii="宋体" w:hAnsi="宋体" w:eastAsia="宋体" w:cs="宋体"/>
          <w:spacing w:val="-2"/>
          <w:sz w:val="24"/>
          <w:szCs w:val="24"/>
        </w:rPr>
        <w:t>高速公路建设样板（标杆）工程，高速公路施工优质优价，安全生产标准化，平安工地建设活动以及发包人制定的工程管理手册等规定。</w:t>
      </w:r>
    </w:p>
    <w:p w14:paraId="6D414291">
      <w:pPr>
        <w:spacing w:before="1" w:line="217" w:lineRule="auto"/>
        <w:ind w:left="487"/>
        <w:rPr>
          <w:rFonts w:ascii="宋体" w:hAnsi="宋体" w:eastAsia="宋体" w:cs="宋体"/>
          <w:sz w:val="24"/>
          <w:szCs w:val="24"/>
        </w:rPr>
      </w:pPr>
      <w:r>
        <w:rPr>
          <w:rFonts w:ascii="宋体" w:hAnsi="宋体" w:eastAsia="宋体" w:cs="宋体"/>
          <w:spacing w:val="-1"/>
          <w:sz w:val="24"/>
          <w:szCs w:val="24"/>
        </w:rPr>
        <w:t>⑥工程质量和施工档案</w:t>
      </w:r>
    </w:p>
    <w:p w14:paraId="756F273D">
      <w:pPr>
        <w:spacing w:before="185" w:line="360" w:lineRule="auto"/>
        <w:ind w:left="10" w:right="66" w:firstLine="478"/>
        <w:rPr>
          <w:rFonts w:ascii="宋体" w:hAnsi="宋体" w:eastAsia="宋体" w:cs="宋体"/>
          <w:sz w:val="24"/>
          <w:szCs w:val="24"/>
        </w:rPr>
      </w:pPr>
      <w:r>
        <w:rPr>
          <w:rFonts w:ascii="宋体" w:hAnsi="宋体" w:eastAsia="宋体" w:cs="宋体"/>
          <w:spacing w:val="-2"/>
          <w:sz w:val="24"/>
          <w:szCs w:val="24"/>
        </w:rPr>
        <w:t>在施工过程中，如果工程质量不符合设计和规范要求以及优质工程有关管理规定，监理人或发包人要求停工和返工的，承包人必须立即执行，由此产生的各种费用由承包</w:t>
      </w:r>
      <w:r>
        <w:rPr>
          <w:rFonts w:ascii="宋体" w:hAnsi="宋体" w:eastAsia="宋体" w:cs="宋体"/>
          <w:spacing w:val="-4"/>
          <w:sz w:val="24"/>
          <w:szCs w:val="24"/>
        </w:rPr>
        <w:t>人承担，工期不予顺延。</w:t>
      </w:r>
    </w:p>
    <w:p w14:paraId="60F42B35">
      <w:pPr>
        <w:spacing w:before="1" w:line="219" w:lineRule="auto"/>
        <w:ind w:left="489"/>
        <w:rPr>
          <w:rFonts w:ascii="宋体" w:hAnsi="宋体" w:eastAsia="宋体" w:cs="宋体"/>
          <w:sz w:val="24"/>
          <w:szCs w:val="24"/>
        </w:rPr>
      </w:pPr>
      <w:r>
        <w:rPr>
          <w:rFonts w:ascii="宋体" w:hAnsi="宋体" w:eastAsia="宋体" w:cs="宋体"/>
          <w:spacing w:val="-1"/>
          <w:sz w:val="24"/>
          <w:szCs w:val="24"/>
        </w:rPr>
        <w:t>承包人应针对工序管理建立的自检、互检、专</w:t>
      </w:r>
      <w:r>
        <w:rPr>
          <w:rFonts w:ascii="宋体" w:hAnsi="宋体" w:eastAsia="宋体" w:cs="宋体"/>
          <w:spacing w:val="-2"/>
          <w:sz w:val="24"/>
          <w:szCs w:val="24"/>
        </w:rPr>
        <w:t>检相结合的质量检验制度。</w:t>
      </w:r>
    </w:p>
    <w:p w14:paraId="1BA1261F">
      <w:pPr>
        <w:spacing w:before="182" w:line="360" w:lineRule="auto"/>
        <w:ind w:left="12" w:right="66" w:firstLine="460"/>
        <w:rPr>
          <w:rFonts w:ascii="宋体" w:hAnsi="宋体" w:eastAsia="宋体" w:cs="宋体"/>
          <w:sz w:val="24"/>
          <w:szCs w:val="24"/>
        </w:rPr>
      </w:pPr>
      <w:r>
        <w:rPr>
          <w:rFonts w:ascii="宋体" w:hAnsi="宋体" w:eastAsia="宋体" w:cs="宋体"/>
          <w:spacing w:val="-1"/>
          <w:sz w:val="24"/>
          <w:szCs w:val="24"/>
        </w:rPr>
        <w:t>“自检”责任主体为施工班组长，负责落实现场班组技术交底，检查</w:t>
      </w:r>
      <w:r>
        <w:rPr>
          <w:rFonts w:ascii="宋体" w:hAnsi="宋体" w:eastAsia="宋体" w:cs="宋体"/>
          <w:spacing w:val="-2"/>
          <w:sz w:val="24"/>
          <w:szCs w:val="24"/>
        </w:rPr>
        <w:t>工序各项质量</w:t>
      </w:r>
      <w:r>
        <w:rPr>
          <w:rFonts w:ascii="宋体" w:hAnsi="宋体" w:eastAsia="宋体" w:cs="宋体"/>
          <w:spacing w:val="-1"/>
          <w:sz w:val="24"/>
          <w:szCs w:val="24"/>
        </w:rPr>
        <w:t>指标，对自检发现的问题进行整改，自检合格后</w:t>
      </w:r>
      <w:r>
        <w:rPr>
          <w:rFonts w:ascii="宋体" w:hAnsi="宋体" w:eastAsia="宋体" w:cs="宋体"/>
          <w:spacing w:val="-2"/>
          <w:sz w:val="24"/>
          <w:szCs w:val="24"/>
        </w:rPr>
        <w:t>向现场技术员或施工员报验。</w:t>
      </w:r>
    </w:p>
    <w:p w14:paraId="194015FD">
      <w:pPr>
        <w:spacing w:line="360" w:lineRule="auto"/>
        <w:ind w:left="9" w:right="66" w:firstLine="463"/>
        <w:jc w:val="both"/>
        <w:rPr>
          <w:rFonts w:ascii="宋体" w:hAnsi="宋体" w:eastAsia="宋体" w:cs="宋体"/>
          <w:sz w:val="24"/>
          <w:szCs w:val="24"/>
        </w:rPr>
      </w:pPr>
      <w:r>
        <w:rPr>
          <w:rFonts w:ascii="宋体" w:hAnsi="宋体" w:eastAsia="宋体" w:cs="宋体"/>
          <w:spacing w:val="-1"/>
          <w:sz w:val="24"/>
          <w:szCs w:val="24"/>
        </w:rPr>
        <w:t>“互检”责任主体为项目部现场技术员或施工员，负责指导施工班组</w:t>
      </w:r>
      <w:r>
        <w:rPr>
          <w:rFonts w:ascii="宋体" w:hAnsi="宋体" w:eastAsia="宋体" w:cs="宋体"/>
          <w:spacing w:val="-2"/>
          <w:sz w:val="24"/>
          <w:szCs w:val="24"/>
        </w:rPr>
        <w:t>按照方案、图</w:t>
      </w:r>
      <w:r>
        <w:rPr>
          <w:rFonts w:ascii="宋体" w:hAnsi="宋体" w:eastAsia="宋体" w:cs="宋体"/>
          <w:spacing w:val="-6"/>
          <w:sz w:val="24"/>
          <w:szCs w:val="24"/>
        </w:rPr>
        <w:t>纸、规范施工，</w:t>
      </w:r>
      <w:r>
        <w:rPr>
          <w:rFonts w:ascii="宋体" w:hAnsi="宋体" w:eastAsia="宋体" w:cs="宋体"/>
          <w:spacing w:val="51"/>
          <w:sz w:val="24"/>
          <w:szCs w:val="24"/>
        </w:rPr>
        <w:t xml:space="preserve"> </w:t>
      </w:r>
      <w:r>
        <w:rPr>
          <w:rFonts w:ascii="宋体" w:hAnsi="宋体" w:eastAsia="宋体" w:cs="宋体"/>
          <w:spacing w:val="-6"/>
          <w:sz w:val="24"/>
          <w:szCs w:val="24"/>
        </w:rPr>
        <w:t>检查工序各项质量指标，督促对检查发现的质量问题进行整改，检</w:t>
      </w:r>
      <w:r>
        <w:rPr>
          <w:rFonts w:ascii="宋体" w:hAnsi="宋体" w:eastAsia="宋体" w:cs="宋体"/>
          <w:spacing w:val="-7"/>
          <w:sz w:val="24"/>
          <w:szCs w:val="24"/>
        </w:rPr>
        <w:t>查合</w:t>
      </w:r>
      <w:r>
        <w:rPr>
          <w:rFonts w:ascii="宋体" w:hAnsi="宋体" w:eastAsia="宋体" w:cs="宋体"/>
          <w:spacing w:val="-4"/>
          <w:sz w:val="24"/>
          <w:szCs w:val="24"/>
        </w:rPr>
        <w:t>格后向专职质检员报验。</w:t>
      </w:r>
    </w:p>
    <w:p w14:paraId="1F42AECE">
      <w:pPr>
        <w:spacing w:before="78" w:line="360" w:lineRule="auto"/>
        <w:ind w:left="12" w:right="85" w:firstLine="477"/>
        <w:jc w:val="both"/>
        <w:rPr>
          <w:rFonts w:ascii="宋体" w:hAnsi="宋体" w:eastAsia="宋体" w:cs="宋体"/>
          <w:sz w:val="24"/>
          <w:szCs w:val="24"/>
        </w:rPr>
      </w:pPr>
      <w:r>
        <w:rPr>
          <w:rFonts w:ascii="宋体" w:hAnsi="宋体" w:eastAsia="宋体" w:cs="宋体"/>
          <w:spacing w:val="-6"/>
          <w:sz w:val="24"/>
          <w:szCs w:val="24"/>
        </w:rPr>
        <w:t>“专检”责任主体为专职质检员，负责现场工序质量检查、隐蔽工程验收，</w:t>
      </w:r>
      <w:r>
        <w:rPr>
          <w:rFonts w:ascii="宋体" w:hAnsi="宋体" w:eastAsia="宋体" w:cs="宋体"/>
          <w:spacing w:val="54"/>
          <w:sz w:val="24"/>
          <w:szCs w:val="24"/>
        </w:rPr>
        <w:t xml:space="preserve"> </w:t>
      </w:r>
      <w:r>
        <w:rPr>
          <w:rFonts w:ascii="宋体" w:hAnsi="宋体" w:eastAsia="宋体" w:cs="宋体"/>
          <w:spacing w:val="-6"/>
          <w:sz w:val="24"/>
          <w:szCs w:val="24"/>
        </w:rPr>
        <w:t>检查合</w:t>
      </w:r>
      <w:r>
        <w:rPr>
          <w:rFonts w:ascii="宋体" w:hAnsi="宋体" w:eastAsia="宋体" w:cs="宋体"/>
          <w:spacing w:val="-1"/>
          <w:sz w:val="24"/>
          <w:szCs w:val="24"/>
        </w:rPr>
        <w:t>格后，向监理工程师提出验收申请，由监理工程师验收合格后方可进</w:t>
      </w:r>
      <w:r>
        <w:rPr>
          <w:rFonts w:ascii="宋体" w:hAnsi="宋体" w:eastAsia="宋体" w:cs="宋体"/>
          <w:spacing w:val="-2"/>
          <w:sz w:val="24"/>
          <w:szCs w:val="24"/>
        </w:rPr>
        <w:t>入下道工序施工。承包人质量部应建立工序验收台帐，统计“工序验收一次性通过率”。对在一定时</w:t>
      </w:r>
      <w:r>
        <w:rPr>
          <w:rFonts w:ascii="宋体" w:hAnsi="宋体" w:eastAsia="宋体" w:cs="宋体"/>
          <w:sz w:val="24"/>
          <w:szCs w:val="24"/>
        </w:rPr>
        <w:t>间段内工序验收一次性通过率低于</w:t>
      </w:r>
      <w:r>
        <w:rPr>
          <w:rFonts w:ascii="宋体" w:hAnsi="宋体" w:eastAsia="宋体" w:cs="宋体"/>
          <w:spacing w:val="-48"/>
          <w:sz w:val="24"/>
          <w:szCs w:val="24"/>
        </w:rPr>
        <w:t xml:space="preserve"> </w:t>
      </w:r>
      <w:r>
        <w:rPr>
          <w:rFonts w:ascii="宋体" w:hAnsi="宋体" w:eastAsia="宋体" w:cs="宋体"/>
          <w:sz w:val="24"/>
          <w:szCs w:val="24"/>
        </w:rPr>
        <w:t>90%的班组应重新</w:t>
      </w:r>
      <w:r>
        <w:rPr>
          <w:rFonts w:ascii="宋体" w:hAnsi="宋体" w:eastAsia="宋体" w:cs="宋体"/>
          <w:spacing w:val="-1"/>
          <w:sz w:val="24"/>
          <w:szCs w:val="24"/>
        </w:rPr>
        <w:t>组织技术交底和技能培训，加强施</w:t>
      </w:r>
      <w:r>
        <w:rPr>
          <w:rFonts w:ascii="宋体" w:hAnsi="宋体" w:eastAsia="宋体" w:cs="宋体"/>
          <w:spacing w:val="-3"/>
          <w:sz w:val="24"/>
          <w:szCs w:val="24"/>
        </w:rPr>
        <w:t>工过程中重点指导和管控，实施差异化管理。</w:t>
      </w:r>
    </w:p>
    <w:p w14:paraId="6E01CB4E">
      <w:pPr>
        <w:spacing w:before="5" w:line="359" w:lineRule="auto"/>
        <w:ind w:left="11" w:firstLine="480"/>
        <w:jc w:val="both"/>
        <w:rPr>
          <w:rFonts w:ascii="宋体" w:hAnsi="宋体" w:eastAsia="宋体" w:cs="宋体"/>
          <w:sz w:val="24"/>
          <w:szCs w:val="24"/>
        </w:rPr>
      </w:pPr>
      <w:r>
        <w:rPr>
          <w:rFonts w:ascii="宋体" w:hAnsi="宋体" w:eastAsia="宋体" w:cs="宋体"/>
          <w:spacing w:val="-6"/>
          <w:sz w:val="24"/>
          <w:szCs w:val="24"/>
        </w:rPr>
        <w:t>差异化管理评价对象含分包队伍、施工班组</w:t>
      </w:r>
      <w:r>
        <w:rPr>
          <w:rFonts w:ascii="宋体" w:hAnsi="宋体" w:eastAsia="宋体" w:cs="宋体"/>
          <w:spacing w:val="-7"/>
          <w:sz w:val="24"/>
          <w:szCs w:val="24"/>
        </w:rPr>
        <w:t>。质量部应加强过程管理，</w:t>
      </w:r>
      <w:r>
        <w:rPr>
          <w:rFonts w:ascii="宋体" w:hAnsi="宋体" w:eastAsia="宋体" w:cs="宋体"/>
          <w:spacing w:val="51"/>
          <w:sz w:val="24"/>
          <w:szCs w:val="24"/>
        </w:rPr>
        <w:t xml:space="preserve"> </w:t>
      </w:r>
      <w:r>
        <w:rPr>
          <w:rFonts w:ascii="宋体" w:hAnsi="宋体" w:eastAsia="宋体" w:cs="宋体"/>
          <w:spacing w:val="-7"/>
          <w:sz w:val="24"/>
          <w:szCs w:val="24"/>
        </w:rPr>
        <w:t>发现问题及时督导改进。对于施工质量不能显著提升的班组，</w:t>
      </w:r>
      <w:r>
        <w:rPr>
          <w:rFonts w:ascii="宋体" w:hAnsi="宋体" w:eastAsia="宋体" w:cs="宋体"/>
          <w:spacing w:val="85"/>
          <w:sz w:val="24"/>
          <w:szCs w:val="24"/>
        </w:rPr>
        <w:t xml:space="preserve"> </w:t>
      </w:r>
      <w:r>
        <w:rPr>
          <w:rFonts w:ascii="宋体" w:hAnsi="宋体" w:eastAsia="宋体" w:cs="宋体"/>
          <w:spacing w:val="-7"/>
          <w:sz w:val="24"/>
          <w:szCs w:val="24"/>
        </w:rPr>
        <w:t>由质量总监主持召开质量专题会，分</w:t>
      </w:r>
      <w:r>
        <w:rPr>
          <w:rFonts w:ascii="宋体" w:hAnsi="宋体" w:eastAsia="宋体" w:cs="宋体"/>
          <w:spacing w:val="-6"/>
          <w:sz w:val="24"/>
          <w:szCs w:val="24"/>
        </w:rPr>
        <w:t>析相关原因，制定整改措施；对于后续施工质量仍无显著提升的班组，应采取通报批评、</w:t>
      </w:r>
      <w:r>
        <w:rPr>
          <w:rFonts w:ascii="宋体" w:hAnsi="宋体" w:eastAsia="宋体" w:cs="宋体"/>
          <w:spacing w:val="-4"/>
          <w:sz w:val="24"/>
          <w:szCs w:val="24"/>
        </w:rPr>
        <w:t>经济处罚、清退等措施。</w:t>
      </w:r>
    </w:p>
    <w:p w14:paraId="1A4900D2">
      <w:pPr>
        <w:spacing w:line="360" w:lineRule="auto"/>
        <w:ind w:left="7" w:right="71" w:firstLine="481"/>
        <w:jc w:val="both"/>
        <w:rPr>
          <w:rFonts w:ascii="宋体" w:hAnsi="宋体" w:eastAsia="宋体" w:cs="宋体"/>
          <w:sz w:val="24"/>
          <w:szCs w:val="24"/>
        </w:rPr>
      </w:pPr>
      <w:r>
        <w:rPr>
          <w:rFonts w:ascii="宋体" w:hAnsi="宋体" w:eastAsia="宋体" w:cs="宋体"/>
          <w:spacing w:val="-1"/>
          <w:sz w:val="24"/>
          <w:szCs w:val="24"/>
        </w:rPr>
        <w:t>承包人对已完工程必须进行严格的质量自检，只有自检合格</w:t>
      </w:r>
      <w:r>
        <w:rPr>
          <w:rFonts w:ascii="宋体" w:hAnsi="宋体" w:eastAsia="宋体" w:cs="宋体"/>
          <w:spacing w:val="-2"/>
          <w:sz w:val="24"/>
          <w:szCs w:val="24"/>
        </w:rPr>
        <w:t>的工程才能向监理人、</w:t>
      </w:r>
      <w:r>
        <w:rPr>
          <w:rFonts w:ascii="宋体" w:hAnsi="宋体" w:eastAsia="宋体" w:cs="宋体"/>
          <w:spacing w:val="1"/>
          <w:sz w:val="24"/>
          <w:szCs w:val="24"/>
        </w:rPr>
        <w:t>发包人提出验收和计量的申请。监理人在收到验收申请</w:t>
      </w:r>
      <w:r>
        <w:rPr>
          <w:rFonts w:ascii="宋体" w:hAnsi="宋体" w:eastAsia="宋体" w:cs="宋体"/>
          <w:sz w:val="24"/>
          <w:szCs w:val="24"/>
        </w:rPr>
        <w:t>后的</w:t>
      </w:r>
      <w:r>
        <w:rPr>
          <w:rFonts w:ascii="宋体" w:hAnsi="宋体" w:eastAsia="宋体" w:cs="宋体"/>
          <w:spacing w:val="-42"/>
          <w:sz w:val="24"/>
          <w:szCs w:val="24"/>
        </w:rPr>
        <w:t xml:space="preserve"> </w:t>
      </w:r>
      <w:r>
        <w:rPr>
          <w:rFonts w:ascii="宋体" w:hAnsi="宋体" w:eastAsia="宋体" w:cs="宋体"/>
          <w:sz w:val="24"/>
          <w:szCs w:val="24"/>
        </w:rPr>
        <w:t>48</w:t>
      </w:r>
      <w:r>
        <w:rPr>
          <w:rFonts w:ascii="宋体" w:hAnsi="宋体" w:eastAsia="宋体" w:cs="宋体"/>
          <w:spacing w:val="-41"/>
          <w:sz w:val="24"/>
          <w:szCs w:val="24"/>
        </w:rPr>
        <w:t xml:space="preserve"> </w:t>
      </w:r>
      <w:r>
        <w:rPr>
          <w:rFonts w:ascii="宋体" w:hAnsi="宋体" w:eastAsia="宋体" w:cs="宋体"/>
          <w:sz w:val="24"/>
          <w:szCs w:val="24"/>
        </w:rPr>
        <w:t>小时内对工程进行抽检</w:t>
      </w:r>
      <w:r>
        <w:rPr>
          <w:rFonts w:ascii="宋体" w:hAnsi="宋体" w:eastAsia="宋体" w:cs="宋体"/>
          <w:spacing w:val="-1"/>
          <w:sz w:val="24"/>
          <w:szCs w:val="24"/>
        </w:rPr>
        <w:t>和验收，对检验不合格的工程由承包人自费</w:t>
      </w:r>
      <w:r>
        <w:rPr>
          <w:rFonts w:ascii="宋体" w:hAnsi="宋体" w:eastAsia="宋体" w:cs="宋体"/>
          <w:spacing w:val="-2"/>
          <w:sz w:val="24"/>
          <w:szCs w:val="24"/>
        </w:rPr>
        <w:t>修复或返工。如果工程不合格是由于承包人</w:t>
      </w:r>
      <w:r>
        <w:rPr>
          <w:rFonts w:ascii="宋体" w:hAnsi="宋体" w:eastAsia="宋体" w:cs="宋体"/>
          <w:spacing w:val="-1"/>
          <w:sz w:val="24"/>
          <w:szCs w:val="24"/>
        </w:rPr>
        <w:t>的原因所致，则对承包人按项目专用合同条</w:t>
      </w:r>
      <w:r>
        <w:rPr>
          <w:rFonts w:ascii="宋体" w:hAnsi="宋体" w:eastAsia="宋体" w:cs="宋体"/>
          <w:spacing w:val="-2"/>
          <w:sz w:val="24"/>
          <w:szCs w:val="24"/>
        </w:rPr>
        <w:t>款及发包人下发的工程质量管理办法的规定</w:t>
      </w:r>
      <w:r>
        <w:rPr>
          <w:rFonts w:ascii="宋体" w:hAnsi="宋体" w:eastAsia="宋体" w:cs="宋体"/>
          <w:spacing w:val="-7"/>
          <w:sz w:val="24"/>
          <w:szCs w:val="24"/>
        </w:rPr>
        <w:t>进行处罚。</w:t>
      </w:r>
    </w:p>
    <w:p w14:paraId="355C6BCA">
      <w:pPr>
        <w:spacing w:line="360" w:lineRule="auto"/>
        <w:ind w:left="9" w:right="18" w:firstLine="480"/>
        <w:jc w:val="both"/>
        <w:rPr>
          <w:rFonts w:ascii="宋体" w:hAnsi="宋体" w:eastAsia="宋体" w:cs="宋体"/>
          <w:sz w:val="24"/>
          <w:szCs w:val="24"/>
        </w:rPr>
      </w:pPr>
      <w:r>
        <w:rPr>
          <w:rFonts w:ascii="宋体" w:hAnsi="宋体" w:eastAsia="宋体" w:cs="宋体"/>
          <w:spacing w:val="-1"/>
          <w:sz w:val="24"/>
          <w:szCs w:val="24"/>
        </w:rPr>
        <w:t>承包人必须设置专职档案员（资料员</w:t>
      </w:r>
      <w:r>
        <w:rPr>
          <w:rFonts w:ascii="宋体" w:hAnsi="宋体" w:eastAsia="宋体" w:cs="宋体"/>
          <w:spacing w:val="-13"/>
          <w:sz w:val="24"/>
          <w:szCs w:val="24"/>
        </w:rPr>
        <w:t>），</w:t>
      </w:r>
      <w:r>
        <w:rPr>
          <w:rFonts w:ascii="宋体" w:hAnsi="宋体" w:eastAsia="宋体" w:cs="宋体"/>
          <w:spacing w:val="-1"/>
          <w:sz w:val="24"/>
          <w:szCs w:val="24"/>
        </w:rPr>
        <w:t>专职档案员应具有高速公路项目的竣工资</w:t>
      </w:r>
      <w:r>
        <w:rPr>
          <w:rFonts w:ascii="宋体" w:hAnsi="宋体" w:eastAsia="宋体" w:cs="宋体"/>
          <w:spacing w:val="-6"/>
          <w:sz w:val="24"/>
          <w:szCs w:val="24"/>
        </w:rPr>
        <w:t>料编制经验。承包人应将项目竣工文件材料的收集、整理、立卷、归档，</w:t>
      </w:r>
      <w:r>
        <w:rPr>
          <w:rFonts w:ascii="宋体" w:hAnsi="宋体" w:eastAsia="宋体" w:cs="宋体"/>
          <w:spacing w:val="55"/>
          <w:sz w:val="24"/>
          <w:szCs w:val="24"/>
        </w:rPr>
        <w:t xml:space="preserve"> </w:t>
      </w:r>
      <w:r>
        <w:rPr>
          <w:rFonts w:ascii="宋体" w:hAnsi="宋体" w:eastAsia="宋体" w:cs="宋体"/>
          <w:spacing w:val="-6"/>
          <w:sz w:val="24"/>
          <w:szCs w:val="24"/>
        </w:rPr>
        <w:t>纳</w:t>
      </w:r>
      <w:r>
        <w:rPr>
          <w:rFonts w:ascii="宋体" w:hAnsi="宋体" w:eastAsia="宋体" w:cs="宋体"/>
          <w:spacing w:val="-7"/>
          <w:sz w:val="24"/>
          <w:szCs w:val="24"/>
        </w:rPr>
        <w:t>入项目的日</w:t>
      </w:r>
      <w:r>
        <w:rPr>
          <w:rFonts w:ascii="宋体" w:hAnsi="宋体" w:eastAsia="宋体" w:cs="宋体"/>
          <w:spacing w:val="-6"/>
          <w:sz w:val="24"/>
          <w:szCs w:val="24"/>
        </w:rPr>
        <w:t>常管理工作中，落实档案材料管理领导责任人制，专人负责竣工文件材料立卷归档工作，</w:t>
      </w:r>
      <w:r>
        <w:rPr>
          <w:rFonts w:ascii="宋体" w:hAnsi="宋体" w:eastAsia="宋体" w:cs="宋体"/>
          <w:spacing w:val="-2"/>
          <w:sz w:val="24"/>
          <w:szCs w:val="24"/>
        </w:rPr>
        <w:t>确保项目竣工文件材料的完整、准确与系统。工程结束后需按时、按质、按量提交符合</w:t>
      </w:r>
      <w:r>
        <w:rPr>
          <w:rFonts w:ascii="宋体" w:hAnsi="宋体" w:eastAsia="宋体" w:cs="宋体"/>
          <w:spacing w:val="-3"/>
          <w:sz w:val="24"/>
          <w:szCs w:val="24"/>
        </w:rPr>
        <w:t>发包人要求的竣工文件纸质档案及电子档案。</w:t>
      </w:r>
    </w:p>
    <w:p w14:paraId="72C2EDF7">
      <w:pPr>
        <w:spacing w:line="360" w:lineRule="auto"/>
        <w:ind w:left="10" w:firstLine="482"/>
        <w:rPr>
          <w:rFonts w:ascii="宋体" w:hAnsi="宋体" w:eastAsia="宋体" w:cs="宋体"/>
          <w:sz w:val="24"/>
          <w:szCs w:val="24"/>
        </w:rPr>
      </w:pPr>
      <w:r>
        <w:rPr>
          <w:rFonts w:ascii="宋体" w:hAnsi="宋体" w:eastAsia="宋体" w:cs="宋体"/>
          <w:spacing w:val="-1"/>
          <w:sz w:val="24"/>
          <w:szCs w:val="24"/>
        </w:rPr>
        <w:t>项目部质量总监可行使质量管理“一票否决”权，</w:t>
      </w:r>
      <w:r>
        <w:rPr>
          <w:rFonts w:ascii="宋体" w:hAnsi="宋体" w:eastAsia="宋体" w:cs="宋体"/>
          <w:spacing w:val="-2"/>
          <w:sz w:val="24"/>
          <w:szCs w:val="24"/>
        </w:rPr>
        <w:t>当施工过程出现质量红线问题、</w:t>
      </w:r>
      <w:r>
        <w:rPr>
          <w:rFonts w:ascii="宋体" w:hAnsi="宋体" w:eastAsia="宋体" w:cs="宋体"/>
          <w:spacing w:val="-7"/>
          <w:sz w:val="24"/>
          <w:szCs w:val="24"/>
        </w:rPr>
        <w:t>严重不良行为时，可采取责令停工整改、返工处理等措施，</w:t>
      </w:r>
      <w:r>
        <w:rPr>
          <w:rFonts w:ascii="宋体" w:hAnsi="宋体" w:eastAsia="宋体" w:cs="宋体"/>
          <w:spacing w:val="-62"/>
          <w:sz w:val="24"/>
          <w:szCs w:val="24"/>
        </w:rPr>
        <w:t xml:space="preserve"> </w:t>
      </w:r>
      <w:r>
        <w:rPr>
          <w:rFonts w:ascii="宋体" w:hAnsi="宋体" w:eastAsia="宋体" w:cs="宋体"/>
          <w:spacing w:val="-7"/>
          <w:sz w:val="24"/>
          <w:szCs w:val="24"/>
        </w:rPr>
        <w:t>必要时直接向施工单位报告。</w:t>
      </w:r>
    </w:p>
    <w:p w14:paraId="2781FBFD">
      <w:pPr>
        <w:spacing w:line="360" w:lineRule="auto"/>
        <w:ind w:left="11" w:right="85" w:firstLine="482"/>
        <w:rPr>
          <w:rFonts w:ascii="宋体" w:hAnsi="宋体" w:eastAsia="宋体" w:cs="宋体"/>
          <w:sz w:val="24"/>
          <w:szCs w:val="24"/>
        </w:rPr>
      </w:pPr>
      <w:r>
        <w:rPr>
          <w:rFonts w:ascii="宋体" w:hAnsi="宋体" w:eastAsia="宋体" w:cs="宋体"/>
          <w:spacing w:val="-2"/>
          <w:sz w:val="24"/>
          <w:szCs w:val="24"/>
        </w:rPr>
        <w:t>安全总监应协助项目经理制定职业危害防治计划和实施方案，建立监督检查制度，落实过程检查与整改闭环管理，建立职业卫生档案和作业人员健康监护档案，健全职业</w:t>
      </w:r>
      <w:r>
        <w:rPr>
          <w:rFonts w:ascii="宋体" w:hAnsi="宋体" w:eastAsia="宋体" w:cs="宋体"/>
          <w:spacing w:val="-4"/>
          <w:sz w:val="24"/>
          <w:szCs w:val="24"/>
        </w:rPr>
        <w:t>危害事故应急救援预案。</w:t>
      </w:r>
    </w:p>
    <w:p w14:paraId="76B9FACC">
      <w:pPr>
        <w:spacing w:line="217" w:lineRule="auto"/>
        <w:ind w:left="487"/>
        <w:rPr>
          <w:rFonts w:ascii="宋体" w:hAnsi="宋体" w:eastAsia="宋体" w:cs="宋体"/>
          <w:sz w:val="24"/>
          <w:szCs w:val="24"/>
        </w:rPr>
      </w:pPr>
      <w:r>
        <w:rPr>
          <w:rFonts w:ascii="宋体" w:hAnsi="宋体" w:eastAsia="宋体" w:cs="宋体"/>
          <w:spacing w:val="-2"/>
          <w:sz w:val="24"/>
          <w:szCs w:val="24"/>
        </w:rPr>
        <w:t>⑦施工补勘</w:t>
      </w:r>
    </w:p>
    <w:p w14:paraId="359E38C3">
      <w:pPr>
        <w:spacing w:before="185" w:line="360" w:lineRule="auto"/>
        <w:ind w:left="12" w:right="85" w:firstLine="476"/>
        <w:rPr>
          <w:rFonts w:ascii="宋体" w:hAnsi="宋体" w:eastAsia="宋体" w:cs="宋体"/>
          <w:sz w:val="24"/>
          <w:szCs w:val="24"/>
        </w:rPr>
      </w:pPr>
      <w:r>
        <w:rPr>
          <w:rFonts w:ascii="宋体" w:hAnsi="宋体" w:eastAsia="宋体" w:cs="宋体"/>
          <w:spacing w:val="-2"/>
          <w:sz w:val="24"/>
          <w:szCs w:val="24"/>
        </w:rPr>
        <w:t>在工程施工期间，如果监理人要求承包人进行补钻孔或勘探性的开挖工作，须事先</w:t>
      </w:r>
      <w:r>
        <w:rPr>
          <w:rFonts w:ascii="宋体" w:hAnsi="宋体" w:eastAsia="宋体" w:cs="宋体"/>
          <w:spacing w:val="-1"/>
          <w:sz w:val="24"/>
          <w:szCs w:val="24"/>
        </w:rPr>
        <w:t>征得发包人同意。如果此项费用未包含在工程量</w:t>
      </w:r>
      <w:r>
        <w:rPr>
          <w:rFonts w:ascii="宋体" w:hAnsi="宋体" w:eastAsia="宋体" w:cs="宋体"/>
          <w:spacing w:val="-2"/>
          <w:sz w:val="24"/>
          <w:szCs w:val="24"/>
        </w:rPr>
        <w:t>清单项目中，则按变更处理。</w:t>
      </w:r>
    </w:p>
    <w:p w14:paraId="2B3D9580">
      <w:pPr>
        <w:spacing w:line="217" w:lineRule="auto"/>
        <w:ind w:left="487"/>
        <w:rPr>
          <w:rFonts w:ascii="宋体" w:hAnsi="宋体" w:eastAsia="宋体" w:cs="宋体"/>
          <w:sz w:val="24"/>
          <w:szCs w:val="24"/>
        </w:rPr>
      </w:pPr>
      <w:r>
        <w:rPr>
          <w:rFonts w:ascii="宋体" w:hAnsi="宋体" w:eastAsia="宋体" w:cs="宋体"/>
          <w:spacing w:val="-1"/>
          <w:sz w:val="24"/>
          <w:szCs w:val="24"/>
        </w:rPr>
        <w:t>⑧遗留问题的处理</w:t>
      </w:r>
    </w:p>
    <w:p w14:paraId="18A45831">
      <w:pPr>
        <w:spacing w:before="78" w:line="220" w:lineRule="auto"/>
        <w:ind w:left="11"/>
        <w:rPr>
          <w:rFonts w:ascii="宋体" w:hAnsi="宋体" w:eastAsia="宋体" w:cs="宋体"/>
          <w:sz w:val="24"/>
          <w:szCs w:val="24"/>
        </w:rPr>
      </w:pPr>
      <w:r>
        <w:rPr>
          <w:rFonts w:ascii="宋体" w:hAnsi="宋体" w:eastAsia="宋体" w:cs="宋体"/>
          <w:spacing w:val="-5"/>
          <w:sz w:val="24"/>
          <w:szCs w:val="24"/>
        </w:rPr>
        <w:t>承包人在施工过程中应与相关单位或部门多协调、多沟通， 妥善处理因施工引起的</w:t>
      </w:r>
      <w:r>
        <w:rPr>
          <w:rFonts w:ascii="宋体" w:hAnsi="宋体" w:eastAsia="宋体" w:cs="宋体"/>
          <w:spacing w:val="-2"/>
          <w:sz w:val="24"/>
          <w:szCs w:val="24"/>
        </w:rPr>
        <w:t>对地方所产生的影响。承包人在施工过程中应自觉缴纳地方政府及相关单位要求的各类押金、保证金、租金或补偿及使用费用等。如承包人未能妥善处理与地方政府及相关单位的关系而影响施工的，发包人有权不需经承包人同意，代付上述各类款项，并从承包</w:t>
      </w:r>
      <w:r>
        <w:rPr>
          <w:rFonts w:ascii="宋体" w:hAnsi="宋体" w:eastAsia="宋体" w:cs="宋体"/>
          <w:spacing w:val="-1"/>
          <w:sz w:val="24"/>
          <w:szCs w:val="24"/>
        </w:rPr>
        <w:t>人计量款中扣回，最终从承包人结算款中予以如数扣回</w:t>
      </w:r>
      <w:r>
        <w:rPr>
          <w:rFonts w:ascii="宋体" w:hAnsi="宋体" w:eastAsia="宋体" w:cs="宋体"/>
          <w:spacing w:val="-2"/>
          <w:sz w:val="24"/>
          <w:szCs w:val="24"/>
        </w:rPr>
        <w:t>，承包人应无条件接受。</w:t>
      </w:r>
    </w:p>
    <w:p w14:paraId="4CA36C49">
      <w:pPr>
        <w:spacing w:before="180" w:line="357" w:lineRule="auto"/>
        <w:ind w:left="11" w:right="85" w:firstLine="480"/>
        <w:jc w:val="both"/>
        <w:rPr>
          <w:rFonts w:ascii="宋体" w:hAnsi="宋体" w:eastAsia="宋体" w:cs="宋体"/>
          <w:sz w:val="24"/>
          <w:szCs w:val="24"/>
        </w:rPr>
      </w:pPr>
      <w:r>
        <w:rPr>
          <w:rFonts w:ascii="宋体" w:hAnsi="宋体" w:eastAsia="宋体" w:cs="宋体"/>
          <w:spacing w:val="-2"/>
          <w:sz w:val="24"/>
          <w:szCs w:val="24"/>
        </w:rPr>
        <w:t>工程交工后竣工验收前，承包人所在合同段遗留的问题，承包人应积极主动地进行</w:t>
      </w:r>
      <w:r>
        <w:rPr>
          <w:rFonts w:ascii="宋体" w:hAnsi="宋体" w:eastAsia="宋体" w:cs="宋体"/>
          <w:spacing w:val="-5"/>
          <w:sz w:val="24"/>
          <w:szCs w:val="24"/>
        </w:rPr>
        <w:t>处理和解决并承担所有费用。如上述问题特别是与地方有关的遗留问题， 承包人在发包</w:t>
      </w:r>
      <w:r>
        <w:rPr>
          <w:rFonts w:ascii="宋体" w:hAnsi="宋体" w:eastAsia="宋体" w:cs="宋体"/>
          <w:spacing w:val="-2"/>
          <w:sz w:val="24"/>
          <w:szCs w:val="24"/>
        </w:rPr>
        <w:t>人规定的期限内不能妥善处理的，发包人有权另行委托其他单位进行处理，发生的全部费用从应付给承包人的任何款项中扣回，承包人须无条件接受。</w:t>
      </w:r>
    </w:p>
    <w:p w14:paraId="37626ECA">
      <w:pPr>
        <w:spacing w:line="231" w:lineRule="auto"/>
        <w:ind w:left="487"/>
        <w:rPr>
          <w:rFonts w:hint="eastAsia" w:ascii="宋体" w:hAnsi="宋体" w:eastAsia="宋体" w:cs="宋体"/>
          <w:sz w:val="12"/>
          <w:szCs w:val="12"/>
          <w:lang w:eastAsia="zh-CN"/>
        </w:rPr>
      </w:pPr>
      <w:r>
        <w:rPr>
          <w:rFonts w:ascii="宋体" w:hAnsi="宋体" w:eastAsia="宋体" w:cs="宋体"/>
          <w:spacing w:val="-2"/>
          <w:sz w:val="24"/>
          <w:szCs w:val="24"/>
        </w:rPr>
        <w:t>⑨验收及其他</w:t>
      </w:r>
    </w:p>
    <w:p w14:paraId="3C9F57AE">
      <w:pPr>
        <w:spacing w:before="185" w:line="360" w:lineRule="auto"/>
        <w:ind w:left="10" w:firstLine="479"/>
        <w:rPr>
          <w:rFonts w:ascii="宋体" w:hAnsi="宋体" w:eastAsia="宋体" w:cs="宋体"/>
          <w:sz w:val="24"/>
          <w:szCs w:val="24"/>
        </w:rPr>
      </w:pPr>
      <w:r>
        <w:rPr>
          <w:rFonts w:ascii="宋体" w:hAnsi="宋体" w:eastAsia="宋体" w:cs="宋体"/>
          <w:spacing w:val="-6"/>
          <w:sz w:val="24"/>
          <w:szCs w:val="24"/>
        </w:rPr>
        <w:t>根据《广东省交通运输厅关于进一步加强公路水路建设工程防</w:t>
      </w:r>
      <w:r>
        <w:rPr>
          <w:rFonts w:ascii="宋体" w:hAnsi="宋体" w:eastAsia="宋体" w:cs="宋体"/>
          <w:spacing w:val="-7"/>
          <w:sz w:val="24"/>
          <w:szCs w:val="24"/>
        </w:rPr>
        <w:t>雷工作的通知》要求，</w:t>
      </w:r>
      <w:r>
        <w:rPr>
          <w:rFonts w:ascii="宋体" w:hAnsi="宋体" w:eastAsia="宋体" w:cs="宋体"/>
          <w:spacing w:val="-2"/>
          <w:sz w:val="24"/>
          <w:szCs w:val="24"/>
        </w:rPr>
        <w:t>本项目将防雷减灾工作纳入安全生产日常管理，发包人将根据上级要求及相关技术规范</w:t>
      </w:r>
      <w:r>
        <w:rPr>
          <w:rFonts w:ascii="宋体" w:hAnsi="宋体" w:eastAsia="宋体" w:cs="宋体"/>
          <w:spacing w:val="-6"/>
          <w:sz w:val="24"/>
          <w:szCs w:val="24"/>
        </w:rPr>
        <w:t>统筹安排，在本项目中落实防雷装置与主体工程同时设计、同时施工、同时验收</w:t>
      </w:r>
      <w:r>
        <w:rPr>
          <w:rFonts w:ascii="宋体" w:hAnsi="宋体" w:eastAsia="宋体" w:cs="宋体"/>
          <w:spacing w:val="-7"/>
          <w:sz w:val="24"/>
          <w:szCs w:val="24"/>
        </w:rPr>
        <w:t>，</w:t>
      </w:r>
      <w:r>
        <w:rPr>
          <w:rFonts w:ascii="宋体" w:hAnsi="宋体" w:eastAsia="宋体" w:cs="宋体"/>
          <w:spacing w:val="51"/>
          <w:sz w:val="24"/>
          <w:szCs w:val="24"/>
        </w:rPr>
        <w:t xml:space="preserve"> </w:t>
      </w:r>
      <w:r>
        <w:rPr>
          <w:rFonts w:ascii="宋体" w:hAnsi="宋体" w:eastAsia="宋体" w:cs="宋体"/>
          <w:spacing w:val="-7"/>
          <w:sz w:val="24"/>
          <w:szCs w:val="24"/>
        </w:rPr>
        <w:t>承包</w:t>
      </w:r>
      <w:r>
        <w:rPr>
          <w:rFonts w:ascii="宋体" w:hAnsi="宋体" w:eastAsia="宋体" w:cs="宋体"/>
          <w:spacing w:val="-2"/>
          <w:sz w:val="24"/>
          <w:szCs w:val="24"/>
        </w:rPr>
        <w:t>人必须承担相应防雷工作的主体责任，严格按本项目防雷设计与相关要求组织实施防雷工程施工，必须采购满足设计文件技术指标和功能参数的材料设备，材料设备必须提供</w:t>
      </w:r>
      <w:r>
        <w:rPr>
          <w:rFonts w:ascii="宋体" w:hAnsi="宋体" w:eastAsia="宋体" w:cs="宋体"/>
          <w:spacing w:val="-5"/>
          <w:sz w:val="24"/>
          <w:szCs w:val="24"/>
        </w:rPr>
        <w:t>质量检验报告并接受质量监督，相关设备需</w:t>
      </w:r>
      <w:r>
        <w:rPr>
          <w:rFonts w:ascii="宋体" w:hAnsi="宋体" w:eastAsia="宋体" w:cs="宋体"/>
          <w:spacing w:val="-6"/>
          <w:sz w:val="24"/>
          <w:szCs w:val="24"/>
        </w:rPr>
        <w:t>报监理人批准，确保项目防雷工程验收合格。</w:t>
      </w:r>
    </w:p>
    <w:p w14:paraId="54876F96">
      <w:pPr>
        <w:spacing w:line="217" w:lineRule="auto"/>
        <w:ind w:left="487"/>
        <w:rPr>
          <w:rFonts w:ascii="宋体" w:hAnsi="宋体" w:eastAsia="宋体" w:cs="宋体"/>
          <w:sz w:val="24"/>
          <w:szCs w:val="24"/>
        </w:rPr>
      </w:pPr>
      <w:r>
        <w:rPr>
          <w:rFonts w:ascii="宋体" w:hAnsi="宋体" w:eastAsia="宋体" w:cs="宋体"/>
          <w:spacing w:val="-1"/>
          <w:sz w:val="24"/>
          <w:szCs w:val="24"/>
        </w:rPr>
        <w:t>⑩应履行的其他义务</w:t>
      </w:r>
    </w:p>
    <w:p w14:paraId="059BB69A">
      <w:pPr>
        <w:spacing w:before="185" w:line="360" w:lineRule="auto"/>
        <w:ind w:left="8" w:right="85" w:firstLine="473"/>
        <w:rPr>
          <w:rFonts w:ascii="宋体" w:hAnsi="宋体" w:eastAsia="宋体" w:cs="宋体"/>
          <w:sz w:val="24"/>
          <w:szCs w:val="24"/>
        </w:rPr>
      </w:pPr>
      <w:r>
        <w:rPr>
          <w:rFonts w:ascii="宋体" w:hAnsi="宋体" w:eastAsia="宋体" w:cs="宋体"/>
          <w:spacing w:val="2"/>
          <w:sz w:val="24"/>
          <w:szCs w:val="24"/>
        </w:rPr>
        <w:t>A、承包人因非本合同项目的诉讼、仲裁或行</w:t>
      </w:r>
      <w:r>
        <w:rPr>
          <w:rFonts w:ascii="宋体" w:hAnsi="宋体" w:eastAsia="宋体" w:cs="宋体"/>
          <w:spacing w:val="1"/>
          <w:sz w:val="24"/>
          <w:szCs w:val="24"/>
        </w:rPr>
        <w:t>政处罚，导致法院或其他有权机关依</w:t>
      </w:r>
      <w:r>
        <w:rPr>
          <w:rFonts w:ascii="宋体" w:hAnsi="宋体" w:eastAsia="宋体" w:cs="宋体"/>
          <w:spacing w:val="-2"/>
          <w:sz w:val="24"/>
          <w:szCs w:val="24"/>
        </w:rPr>
        <w:t>法到发包人或发包人开户银行执行扣除承包人已完成工程量结算款项的，承包人须无条</w:t>
      </w:r>
      <w:r>
        <w:rPr>
          <w:rFonts w:ascii="宋体" w:hAnsi="宋体" w:eastAsia="宋体" w:cs="宋体"/>
          <w:spacing w:val="-6"/>
          <w:sz w:val="24"/>
          <w:szCs w:val="24"/>
        </w:rPr>
        <w:t>件接受该项执行扣款事实，承认已经收到发包人应付的该项工程进度款。此外，</w:t>
      </w:r>
      <w:r>
        <w:rPr>
          <w:rFonts w:ascii="宋体" w:hAnsi="宋体" w:eastAsia="宋体" w:cs="宋体"/>
          <w:spacing w:val="50"/>
          <w:sz w:val="24"/>
          <w:szCs w:val="24"/>
        </w:rPr>
        <w:t xml:space="preserve"> </w:t>
      </w:r>
      <w:r>
        <w:rPr>
          <w:rFonts w:ascii="宋体" w:hAnsi="宋体" w:eastAsia="宋体" w:cs="宋体"/>
          <w:spacing w:val="-6"/>
          <w:sz w:val="24"/>
          <w:szCs w:val="24"/>
        </w:rPr>
        <w:t>承包人</w:t>
      </w:r>
      <w:r>
        <w:rPr>
          <w:rFonts w:ascii="宋体" w:hAnsi="宋体" w:eastAsia="宋体" w:cs="宋体"/>
          <w:spacing w:val="-2"/>
          <w:sz w:val="24"/>
          <w:szCs w:val="24"/>
        </w:rPr>
        <w:t>还须对因该事件构成对发包人的负面影响与经济损失承担全额赔偿责任，同时视为承包人违反工程价款专款专用的约定，按</w:t>
      </w:r>
      <w:r>
        <w:rPr>
          <w:rFonts w:ascii="宋体" w:hAnsi="宋体" w:eastAsia="宋体" w:cs="宋体"/>
          <w:spacing w:val="-51"/>
          <w:sz w:val="24"/>
          <w:szCs w:val="24"/>
        </w:rPr>
        <w:t xml:space="preserve"> </w:t>
      </w:r>
      <w:r>
        <w:rPr>
          <w:rFonts w:ascii="宋体" w:hAnsi="宋体" w:eastAsia="宋体" w:cs="宋体"/>
          <w:spacing w:val="-2"/>
          <w:sz w:val="24"/>
          <w:szCs w:val="24"/>
        </w:rPr>
        <w:t>4.9</w:t>
      </w:r>
      <w:r>
        <w:rPr>
          <w:rFonts w:ascii="宋体" w:hAnsi="宋体" w:eastAsia="宋体" w:cs="宋体"/>
          <w:spacing w:val="-50"/>
          <w:sz w:val="24"/>
          <w:szCs w:val="24"/>
        </w:rPr>
        <w:t xml:space="preserve"> </w:t>
      </w:r>
      <w:r>
        <w:rPr>
          <w:rFonts w:ascii="宋体" w:hAnsi="宋体" w:eastAsia="宋体" w:cs="宋体"/>
          <w:spacing w:val="-2"/>
          <w:sz w:val="24"/>
          <w:szCs w:val="24"/>
        </w:rPr>
        <w:t>款约定进</w:t>
      </w:r>
      <w:r>
        <w:rPr>
          <w:rFonts w:ascii="宋体" w:hAnsi="宋体" w:eastAsia="宋体" w:cs="宋体"/>
          <w:spacing w:val="-3"/>
          <w:sz w:val="24"/>
          <w:szCs w:val="24"/>
        </w:rPr>
        <w:t>行处理。</w:t>
      </w:r>
    </w:p>
    <w:p w14:paraId="666D1C86">
      <w:pPr>
        <w:spacing w:line="360" w:lineRule="auto"/>
        <w:ind w:left="29" w:right="97" w:firstLine="454"/>
        <w:rPr>
          <w:rFonts w:ascii="宋体" w:hAnsi="宋体" w:eastAsia="宋体" w:cs="宋体"/>
          <w:sz w:val="24"/>
          <w:szCs w:val="24"/>
        </w:rPr>
      </w:pPr>
      <w:r>
        <w:rPr>
          <w:rFonts w:ascii="宋体" w:hAnsi="宋体" w:eastAsia="宋体" w:cs="宋体"/>
          <w:spacing w:val="1"/>
          <w:sz w:val="24"/>
          <w:szCs w:val="24"/>
        </w:rPr>
        <w:t>B、承包人应根据发包人的要求和施工现场实际情况开展施工作业，必须按发包人</w:t>
      </w:r>
      <w:r>
        <w:rPr>
          <w:rFonts w:ascii="宋体" w:hAnsi="宋体" w:eastAsia="宋体" w:cs="宋体"/>
          <w:spacing w:val="-2"/>
          <w:sz w:val="24"/>
          <w:szCs w:val="24"/>
        </w:rPr>
        <w:t>的指令开展施工，必要时必须借助地方道路或收费公路作为运输通道。</w:t>
      </w:r>
    </w:p>
    <w:p w14:paraId="092BDAF8">
      <w:pPr>
        <w:spacing w:line="360" w:lineRule="auto"/>
        <w:ind w:left="10" w:right="97" w:firstLine="477"/>
        <w:rPr>
          <w:rFonts w:ascii="宋体" w:hAnsi="宋体" w:eastAsia="宋体" w:cs="宋体"/>
          <w:sz w:val="24"/>
          <w:szCs w:val="24"/>
        </w:rPr>
      </w:pPr>
      <w:r>
        <w:rPr>
          <w:rFonts w:ascii="宋体" w:hAnsi="宋体" w:eastAsia="宋体" w:cs="宋体"/>
          <w:spacing w:val="1"/>
          <w:sz w:val="24"/>
          <w:szCs w:val="24"/>
        </w:rPr>
        <w:t>C、海事、海洋、航道、环保、边防、公安、渔政、港口、交通维护、治安协调等</w:t>
      </w:r>
      <w:r>
        <w:rPr>
          <w:rFonts w:ascii="宋体" w:hAnsi="宋体" w:eastAsia="宋体" w:cs="宋体"/>
          <w:spacing w:val="-6"/>
          <w:sz w:val="24"/>
          <w:szCs w:val="24"/>
        </w:rPr>
        <w:t>有关事宜费用。</w:t>
      </w:r>
    </w:p>
    <w:p w14:paraId="0BE5F9E9">
      <w:pPr>
        <w:spacing w:line="360" w:lineRule="auto"/>
        <w:ind w:left="8" w:right="18" w:firstLine="480"/>
        <w:jc w:val="both"/>
        <w:rPr>
          <w:rFonts w:ascii="宋体" w:hAnsi="宋体" w:eastAsia="宋体" w:cs="宋体"/>
          <w:sz w:val="24"/>
          <w:szCs w:val="24"/>
        </w:rPr>
      </w:pPr>
      <w:r>
        <w:rPr>
          <w:rFonts w:ascii="宋体" w:hAnsi="宋体" w:eastAsia="宋体" w:cs="宋体"/>
          <w:spacing w:val="-6"/>
          <w:sz w:val="24"/>
          <w:szCs w:val="24"/>
        </w:rPr>
        <w:t>对渔业资源、电力电缆、通信电缆（包括国防电缆等）、供水排</w:t>
      </w:r>
      <w:r>
        <w:rPr>
          <w:rFonts w:ascii="宋体" w:hAnsi="宋体" w:eastAsia="宋体" w:cs="宋体"/>
          <w:spacing w:val="-7"/>
          <w:sz w:val="24"/>
          <w:szCs w:val="24"/>
        </w:rPr>
        <w:t>水管道等影响补偿：</w:t>
      </w:r>
      <w:r>
        <w:rPr>
          <w:rFonts w:ascii="宋体" w:hAnsi="宋体" w:eastAsia="宋体" w:cs="宋体"/>
          <w:spacing w:val="-1"/>
          <w:sz w:val="24"/>
          <w:szCs w:val="24"/>
        </w:rPr>
        <w:t>承包人须就施工对渔业资源、电力电缆、通</w:t>
      </w:r>
      <w:r>
        <w:rPr>
          <w:rFonts w:ascii="宋体" w:hAnsi="宋体" w:eastAsia="宋体" w:cs="宋体"/>
          <w:spacing w:val="-2"/>
          <w:sz w:val="24"/>
          <w:szCs w:val="24"/>
        </w:rPr>
        <w:t>信电缆（包括国防电缆等）、供水排水管道等的影响与相关部门协商，并承担相应的补偿费用。因承包人施工给渔业资源、电力电</w:t>
      </w:r>
      <w:r>
        <w:rPr>
          <w:rFonts w:ascii="宋体" w:hAnsi="宋体" w:eastAsia="宋体" w:cs="宋体"/>
          <w:spacing w:val="-6"/>
          <w:sz w:val="24"/>
          <w:szCs w:val="24"/>
        </w:rPr>
        <w:t>缆、通信电缆（包括国防电缆等）、供水排水管道等造成损害的，</w:t>
      </w:r>
      <w:r>
        <w:rPr>
          <w:rFonts w:ascii="宋体" w:hAnsi="宋体" w:eastAsia="宋体" w:cs="宋体"/>
          <w:spacing w:val="53"/>
          <w:sz w:val="24"/>
          <w:szCs w:val="24"/>
        </w:rPr>
        <w:t xml:space="preserve"> </w:t>
      </w:r>
      <w:r>
        <w:rPr>
          <w:rFonts w:ascii="宋体" w:hAnsi="宋体" w:eastAsia="宋体" w:cs="宋体"/>
          <w:spacing w:val="-6"/>
          <w:sz w:val="24"/>
          <w:szCs w:val="24"/>
        </w:rPr>
        <w:t>承包人应承担一</w:t>
      </w:r>
      <w:r>
        <w:rPr>
          <w:rFonts w:ascii="宋体" w:hAnsi="宋体" w:eastAsia="宋体" w:cs="宋体"/>
          <w:spacing w:val="-7"/>
          <w:sz w:val="24"/>
          <w:szCs w:val="24"/>
        </w:rPr>
        <w:t>切责</w:t>
      </w:r>
      <w:r>
        <w:rPr>
          <w:rFonts w:ascii="宋体" w:hAnsi="宋体" w:eastAsia="宋体" w:cs="宋体"/>
          <w:spacing w:val="-6"/>
          <w:sz w:val="24"/>
          <w:szCs w:val="24"/>
        </w:rPr>
        <w:t>任和赔偿费用。</w:t>
      </w:r>
    </w:p>
    <w:p w14:paraId="77400A51">
      <w:pPr>
        <w:spacing w:before="78" w:line="360" w:lineRule="auto"/>
        <w:ind w:left="9" w:right="53"/>
        <w:jc w:val="both"/>
        <w:rPr>
          <w:rFonts w:ascii="宋体" w:hAnsi="宋体" w:eastAsia="宋体" w:cs="宋体"/>
          <w:sz w:val="24"/>
          <w:szCs w:val="24"/>
        </w:rPr>
      </w:pPr>
      <w:r>
        <w:rPr>
          <w:rFonts w:ascii="宋体" w:hAnsi="宋体" w:eastAsia="宋体" w:cs="宋体"/>
          <w:spacing w:val="-5"/>
          <w:sz w:val="24"/>
          <w:szCs w:val="24"/>
        </w:rPr>
        <w:t>现有航道的占用、改移和恢复： 如本项目施工对现有航道造成直接影响，为保证施</w:t>
      </w:r>
      <w:r>
        <w:rPr>
          <w:rFonts w:ascii="宋体" w:hAnsi="宋体" w:eastAsia="宋体" w:cs="宋体"/>
          <w:spacing w:val="-1"/>
          <w:sz w:val="24"/>
          <w:szCs w:val="24"/>
        </w:rPr>
        <w:t>工期间各类船舶的正常通行和行驶安全，承包</w:t>
      </w:r>
      <w:r>
        <w:rPr>
          <w:rFonts w:ascii="宋体" w:hAnsi="宋体" w:eastAsia="宋体" w:cs="宋体"/>
          <w:spacing w:val="-2"/>
          <w:sz w:val="24"/>
          <w:szCs w:val="24"/>
        </w:rPr>
        <w:t>人须对现有航道进行临时改移和维护，待</w:t>
      </w:r>
      <w:r>
        <w:rPr>
          <w:rFonts w:ascii="宋体" w:hAnsi="宋体" w:eastAsia="宋体" w:cs="宋体"/>
          <w:spacing w:val="-5"/>
          <w:sz w:val="24"/>
          <w:szCs w:val="24"/>
        </w:rPr>
        <w:t>相关工程完成施工、现有航道具备恢复通航条件时再按原通航标准及时予以恢复， 工作</w:t>
      </w:r>
      <w:r>
        <w:rPr>
          <w:rFonts w:ascii="宋体" w:hAnsi="宋体" w:eastAsia="宋体" w:cs="宋体"/>
          <w:spacing w:val="-1"/>
          <w:sz w:val="24"/>
          <w:szCs w:val="24"/>
        </w:rPr>
        <w:t>内容包括但不限于勘察、设计、办理各种报批、施工许可手续、施工</w:t>
      </w:r>
      <w:r>
        <w:rPr>
          <w:rFonts w:ascii="宋体" w:hAnsi="宋体" w:eastAsia="宋体" w:cs="宋体"/>
          <w:spacing w:val="-2"/>
          <w:sz w:val="24"/>
          <w:szCs w:val="24"/>
        </w:rPr>
        <w:t>、临时航道验收、</w:t>
      </w:r>
      <w:r>
        <w:rPr>
          <w:rFonts w:ascii="宋体" w:hAnsi="宋体" w:eastAsia="宋体" w:cs="宋体"/>
          <w:spacing w:val="-6"/>
          <w:sz w:val="24"/>
          <w:szCs w:val="24"/>
        </w:rPr>
        <w:t>航道维护、既有航道恢复以及验收等，</w:t>
      </w:r>
      <w:r>
        <w:rPr>
          <w:rFonts w:ascii="宋体" w:hAnsi="宋体" w:eastAsia="宋体" w:cs="宋体"/>
          <w:spacing w:val="46"/>
          <w:sz w:val="24"/>
          <w:szCs w:val="24"/>
        </w:rPr>
        <w:t xml:space="preserve"> </w:t>
      </w:r>
      <w:r>
        <w:rPr>
          <w:rFonts w:ascii="宋体" w:hAnsi="宋体" w:eastAsia="宋体" w:cs="宋体"/>
          <w:spacing w:val="-6"/>
          <w:sz w:val="24"/>
          <w:szCs w:val="24"/>
        </w:rPr>
        <w:t>相关费用已包含在</w:t>
      </w:r>
      <w:r>
        <w:rPr>
          <w:rFonts w:ascii="宋体" w:hAnsi="宋体" w:eastAsia="宋体" w:cs="宋体"/>
          <w:spacing w:val="-7"/>
          <w:sz w:val="24"/>
          <w:szCs w:val="24"/>
        </w:rPr>
        <w:t>合同总价中（除合同另有约定</w:t>
      </w:r>
      <w:r>
        <w:rPr>
          <w:rFonts w:ascii="宋体" w:hAnsi="宋体" w:eastAsia="宋体" w:cs="宋体"/>
          <w:spacing w:val="-10"/>
          <w:sz w:val="24"/>
          <w:szCs w:val="24"/>
        </w:rPr>
        <w:t>外）。</w:t>
      </w:r>
    </w:p>
    <w:p w14:paraId="135DD678">
      <w:pPr>
        <w:spacing w:line="360" w:lineRule="auto"/>
        <w:ind w:left="11" w:right="66" w:firstLine="480"/>
        <w:jc w:val="both"/>
        <w:rPr>
          <w:rFonts w:ascii="宋体" w:hAnsi="宋体" w:eastAsia="宋体" w:cs="宋体"/>
          <w:sz w:val="24"/>
          <w:szCs w:val="24"/>
        </w:rPr>
      </w:pPr>
      <w:r>
        <w:rPr>
          <w:rFonts w:ascii="宋体" w:hAnsi="宋体" w:eastAsia="宋体" w:cs="宋体"/>
          <w:spacing w:val="-5"/>
          <w:sz w:val="24"/>
          <w:szCs w:val="24"/>
        </w:rPr>
        <w:t>现有道路、市政设施及绿化、青苗的占用和恢复： 如本项目施工需临时占用现有道</w:t>
      </w:r>
      <w:r>
        <w:rPr>
          <w:rFonts w:ascii="宋体" w:hAnsi="宋体" w:eastAsia="宋体" w:cs="宋体"/>
          <w:spacing w:val="-6"/>
          <w:sz w:val="24"/>
          <w:szCs w:val="24"/>
        </w:rPr>
        <w:t>路、路灯照明、人行设施、绿化、青苗等，</w:t>
      </w:r>
      <w:r>
        <w:rPr>
          <w:rFonts w:ascii="宋体" w:hAnsi="宋体" w:eastAsia="宋体" w:cs="宋体"/>
          <w:spacing w:val="55"/>
          <w:sz w:val="24"/>
          <w:szCs w:val="24"/>
        </w:rPr>
        <w:t xml:space="preserve"> </w:t>
      </w:r>
      <w:r>
        <w:rPr>
          <w:rFonts w:ascii="宋体" w:hAnsi="宋体" w:eastAsia="宋体" w:cs="宋体"/>
          <w:spacing w:val="-6"/>
          <w:sz w:val="24"/>
          <w:szCs w:val="24"/>
        </w:rPr>
        <w:t>承包人应在施工前编制占</w:t>
      </w:r>
      <w:r>
        <w:rPr>
          <w:rFonts w:ascii="宋体" w:hAnsi="宋体" w:eastAsia="宋体" w:cs="宋体"/>
          <w:spacing w:val="-7"/>
          <w:sz w:val="24"/>
          <w:szCs w:val="24"/>
        </w:rPr>
        <w:t>用恢复计划，及时</w:t>
      </w:r>
      <w:r>
        <w:rPr>
          <w:rFonts w:ascii="宋体" w:hAnsi="宋体" w:eastAsia="宋体" w:cs="宋体"/>
          <w:spacing w:val="-1"/>
          <w:sz w:val="24"/>
          <w:szCs w:val="24"/>
        </w:rPr>
        <w:t>向公路、交警、市政园林等部门办理有关手续，并承担</w:t>
      </w:r>
      <w:r>
        <w:rPr>
          <w:rFonts w:ascii="宋体" w:hAnsi="宋体" w:eastAsia="宋体" w:cs="宋体"/>
          <w:spacing w:val="-2"/>
          <w:sz w:val="24"/>
          <w:szCs w:val="24"/>
        </w:rPr>
        <w:t>相应的修复和补偿费用。</w:t>
      </w:r>
    </w:p>
    <w:p w14:paraId="3B4C25AA">
      <w:pPr>
        <w:spacing w:line="219" w:lineRule="auto"/>
        <w:ind w:left="484"/>
        <w:rPr>
          <w:rFonts w:ascii="宋体" w:hAnsi="宋体" w:eastAsia="宋体" w:cs="宋体"/>
          <w:sz w:val="24"/>
          <w:szCs w:val="24"/>
        </w:rPr>
      </w:pPr>
      <w:r>
        <w:rPr>
          <w:rFonts w:ascii="宋体" w:hAnsi="宋体" w:eastAsia="宋体" w:cs="宋体"/>
          <w:spacing w:val="-1"/>
          <w:sz w:val="24"/>
          <w:szCs w:val="24"/>
        </w:rPr>
        <w:t>D、承担因违反有关部门规定造成的损失和违约金</w:t>
      </w:r>
    </w:p>
    <w:p w14:paraId="33BDE1D8">
      <w:pPr>
        <w:spacing w:before="182" w:line="360" w:lineRule="auto"/>
        <w:ind w:left="10" w:firstLine="479"/>
        <w:rPr>
          <w:rFonts w:ascii="宋体" w:hAnsi="宋体" w:eastAsia="宋体" w:cs="宋体"/>
          <w:sz w:val="24"/>
          <w:szCs w:val="24"/>
        </w:rPr>
      </w:pPr>
      <w:r>
        <w:rPr>
          <w:rFonts w:ascii="宋体" w:hAnsi="宋体" w:eastAsia="宋体" w:cs="宋体"/>
          <w:spacing w:val="-2"/>
          <w:sz w:val="24"/>
          <w:szCs w:val="24"/>
        </w:rPr>
        <w:t>承包人必须严格按照有关部门的规定和要求组织施工，如有违反，应承担相应的损</w:t>
      </w:r>
      <w:r>
        <w:rPr>
          <w:rFonts w:ascii="宋体" w:hAnsi="宋体" w:eastAsia="宋体" w:cs="宋体"/>
          <w:spacing w:val="-5"/>
          <w:sz w:val="24"/>
          <w:szCs w:val="24"/>
        </w:rPr>
        <w:t>失及违约金。同时， 应充分考虑相关行业主管部门的监测保护要求和受影响单位的管制</w:t>
      </w:r>
      <w:r>
        <w:rPr>
          <w:rFonts w:ascii="宋体" w:hAnsi="宋体" w:eastAsia="宋体" w:cs="宋体"/>
          <w:spacing w:val="-7"/>
          <w:sz w:val="24"/>
          <w:szCs w:val="24"/>
        </w:rPr>
        <w:t>要求，以及可能对作业点的控制或作业强度、作业时间等限制</w:t>
      </w:r>
      <w:r>
        <w:rPr>
          <w:rFonts w:ascii="宋体" w:hAnsi="宋体" w:eastAsia="宋体" w:cs="宋体"/>
          <w:spacing w:val="-8"/>
          <w:sz w:val="24"/>
          <w:szCs w:val="24"/>
        </w:rPr>
        <w:t>，</w:t>
      </w:r>
      <w:r>
        <w:rPr>
          <w:rFonts w:ascii="宋体" w:hAnsi="宋体" w:eastAsia="宋体" w:cs="宋体"/>
          <w:spacing w:val="-68"/>
          <w:sz w:val="24"/>
          <w:szCs w:val="24"/>
        </w:rPr>
        <w:t xml:space="preserve"> </w:t>
      </w:r>
      <w:r>
        <w:rPr>
          <w:rFonts w:ascii="宋体" w:hAnsi="宋体" w:eastAsia="宋体" w:cs="宋体"/>
          <w:spacing w:val="-8"/>
          <w:sz w:val="24"/>
          <w:szCs w:val="24"/>
        </w:rPr>
        <w:t>对合同工期产生的影响，</w:t>
      </w:r>
      <w:r>
        <w:rPr>
          <w:rFonts w:ascii="宋体" w:hAnsi="宋体" w:eastAsia="宋体" w:cs="宋体"/>
          <w:spacing w:val="-2"/>
          <w:sz w:val="24"/>
          <w:szCs w:val="24"/>
        </w:rPr>
        <w:t>发包人不因此延长工期和增加费用（除合同另有约定外）。</w:t>
      </w:r>
    </w:p>
    <w:p w14:paraId="26F25446">
      <w:pPr>
        <w:spacing w:line="360" w:lineRule="auto"/>
        <w:ind w:left="9" w:right="66" w:firstLine="477"/>
        <w:rPr>
          <w:rFonts w:ascii="宋体" w:hAnsi="宋体" w:eastAsia="宋体" w:cs="宋体"/>
          <w:sz w:val="24"/>
          <w:szCs w:val="24"/>
        </w:rPr>
      </w:pPr>
      <w:r>
        <w:rPr>
          <w:rFonts w:ascii="宋体" w:hAnsi="宋体" w:eastAsia="宋体" w:cs="宋体"/>
          <w:spacing w:val="1"/>
          <w:sz w:val="24"/>
          <w:szCs w:val="24"/>
        </w:rPr>
        <w:t>E、承包人应根据工程施工情况及监理人的指令，及时向监理人提交开工报告、测</w:t>
      </w:r>
      <w:r>
        <w:rPr>
          <w:rFonts w:ascii="宋体" w:hAnsi="宋体" w:eastAsia="宋体" w:cs="宋体"/>
          <w:spacing w:val="-2"/>
          <w:sz w:val="24"/>
          <w:szCs w:val="24"/>
        </w:rPr>
        <w:t>量报告、试验检验报告、隐蔽工程验收通知、工程质量自检报告、交工验收申请报告及</w:t>
      </w:r>
      <w:r>
        <w:rPr>
          <w:rFonts w:ascii="宋体" w:hAnsi="宋体" w:eastAsia="宋体" w:cs="宋体"/>
          <w:spacing w:val="-5"/>
          <w:sz w:val="24"/>
          <w:szCs w:val="24"/>
        </w:rPr>
        <w:t>工程事故报告等。</w:t>
      </w:r>
    </w:p>
    <w:p w14:paraId="143B65AF">
      <w:pPr>
        <w:spacing w:before="2" w:line="359" w:lineRule="auto"/>
        <w:ind w:left="14" w:right="74" w:firstLine="471"/>
        <w:rPr>
          <w:rFonts w:ascii="宋体" w:hAnsi="宋体" w:eastAsia="宋体" w:cs="宋体"/>
          <w:sz w:val="24"/>
          <w:szCs w:val="24"/>
        </w:rPr>
      </w:pPr>
      <w:r>
        <w:rPr>
          <w:rFonts w:ascii="宋体" w:hAnsi="宋体" w:eastAsia="宋体" w:cs="宋体"/>
          <w:sz w:val="24"/>
          <w:szCs w:val="24"/>
        </w:rPr>
        <w:t>F、承包人在进场后</w:t>
      </w:r>
      <w:r>
        <w:rPr>
          <w:rFonts w:ascii="宋体" w:hAnsi="宋体" w:eastAsia="宋体" w:cs="宋体"/>
          <w:spacing w:val="-14"/>
          <w:sz w:val="24"/>
          <w:szCs w:val="24"/>
        </w:rPr>
        <w:t xml:space="preserve"> </w:t>
      </w:r>
      <w:r>
        <w:rPr>
          <w:rFonts w:ascii="宋体" w:hAnsi="宋体" w:eastAsia="宋体" w:cs="宋体"/>
          <w:sz w:val="24"/>
          <w:szCs w:val="24"/>
        </w:rPr>
        <w:t>1</w:t>
      </w:r>
      <w:r>
        <w:rPr>
          <w:rFonts w:ascii="宋体" w:hAnsi="宋体" w:eastAsia="宋体" w:cs="宋体"/>
          <w:spacing w:val="-49"/>
          <w:sz w:val="24"/>
          <w:szCs w:val="24"/>
        </w:rPr>
        <w:t xml:space="preserve"> </w:t>
      </w:r>
      <w:r>
        <w:rPr>
          <w:rFonts w:ascii="宋体" w:hAnsi="宋体" w:eastAsia="宋体" w:cs="宋体"/>
          <w:sz w:val="24"/>
          <w:szCs w:val="24"/>
        </w:rPr>
        <w:t>个月内对用地红线进行全面复核，如有误，必须立即书面通</w:t>
      </w:r>
      <w:r>
        <w:rPr>
          <w:rFonts w:ascii="宋体" w:hAnsi="宋体" w:eastAsia="宋体" w:cs="宋体"/>
          <w:spacing w:val="-8"/>
          <w:sz w:val="24"/>
          <w:szCs w:val="24"/>
        </w:rPr>
        <w:t>知发包人。</w:t>
      </w:r>
    </w:p>
    <w:p w14:paraId="7822DBBA">
      <w:pPr>
        <w:spacing w:line="360" w:lineRule="auto"/>
        <w:ind w:left="9" w:right="66" w:firstLine="477"/>
        <w:rPr>
          <w:rFonts w:ascii="宋体" w:hAnsi="宋体" w:eastAsia="宋体" w:cs="宋体"/>
          <w:sz w:val="24"/>
          <w:szCs w:val="24"/>
        </w:rPr>
      </w:pPr>
      <w:r>
        <w:rPr>
          <w:rFonts w:ascii="宋体" w:hAnsi="宋体" w:eastAsia="宋体" w:cs="宋体"/>
          <w:spacing w:val="1"/>
          <w:sz w:val="24"/>
          <w:szCs w:val="24"/>
        </w:rPr>
        <w:t>G、承包人进场后应对施工位置进行复核，对管线（包括但不限于电力电缆、通信</w:t>
      </w:r>
      <w:r>
        <w:rPr>
          <w:rFonts w:ascii="宋体" w:hAnsi="宋体" w:eastAsia="宋体" w:cs="宋体"/>
          <w:spacing w:val="-5"/>
          <w:sz w:val="24"/>
          <w:szCs w:val="24"/>
        </w:rPr>
        <w:t>电缆、国防电缆、供水排水管道等） 进行复核排查，对影响施工的管线等及时摸排清楚</w:t>
      </w:r>
      <w:r>
        <w:rPr>
          <w:rFonts w:ascii="宋体" w:hAnsi="宋体" w:eastAsia="宋体" w:cs="宋体"/>
          <w:spacing w:val="-6"/>
          <w:sz w:val="24"/>
          <w:szCs w:val="24"/>
        </w:rPr>
        <w:t>并通知监理人及发包人。如承包人未及时复查管线，</w:t>
      </w:r>
      <w:r>
        <w:rPr>
          <w:rFonts w:ascii="宋体" w:hAnsi="宋体" w:eastAsia="宋体" w:cs="宋体"/>
          <w:spacing w:val="49"/>
          <w:sz w:val="24"/>
          <w:szCs w:val="24"/>
        </w:rPr>
        <w:t xml:space="preserve"> </w:t>
      </w:r>
      <w:r>
        <w:rPr>
          <w:rFonts w:ascii="宋体" w:hAnsi="宋体" w:eastAsia="宋体" w:cs="宋体"/>
          <w:spacing w:val="-6"/>
          <w:sz w:val="24"/>
          <w:szCs w:val="24"/>
        </w:rPr>
        <w:t>施工造成管线破坏的，一切责任和</w:t>
      </w:r>
      <w:r>
        <w:rPr>
          <w:rFonts w:ascii="宋体" w:hAnsi="宋体" w:eastAsia="宋体" w:cs="宋体"/>
          <w:spacing w:val="-5"/>
          <w:sz w:val="24"/>
          <w:szCs w:val="24"/>
        </w:rPr>
        <w:t>损失由承包人承担。</w:t>
      </w:r>
    </w:p>
    <w:p w14:paraId="41158445">
      <w:pPr>
        <w:spacing w:line="219" w:lineRule="auto"/>
        <w:ind w:left="489"/>
        <w:rPr>
          <w:rFonts w:ascii="宋体" w:hAnsi="宋体" w:eastAsia="宋体" w:cs="宋体"/>
          <w:sz w:val="24"/>
          <w:szCs w:val="24"/>
        </w:rPr>
      </w:pPr>
      <w:r>
        <w:rPr>
          <w:rFonts w:ascii="宋体" w:hAnsi="宋体" w:eastAsia="宋体" w:cs="宋体"/>
          <w:spacing w:val="-4"/>
          <w:sz w:val="24"/>
          <w:szCs w:val="24"/>
        </w:rPr>
        <w:t>补充第</w:t>
      </w:r>
      <w:r>
        <w:rPr>
          <w:rFonts w:ascii="宋体" w:hAnsi="宋体" w:eastAsia="宋体" w:cs="宋体"/>
          <w:spacing w:val="-52"/>
          <w:sz w:val="24"/>
          <w:szCs w:val="24"/>
        </w:rPr>
        <w:t xml:space="preserve"> </w:t>
      </w:r>
      <w:r>
        <w:rPr>
          <w:rFonts w:ascii="宋体" w:hAnsi="宋体" w:eastAsia="宋体" w:cs="宋体"/>
          <w:spacing w:val="-4"/>
          <w:sz w:val="24"/>
          <w:szCs w:val="24"/>
        </w:rPr>
        <w:t>4.1.10(7</w:t>
      </w:r>
      <w:r>
        <w:rPr>
          <w:rFonts w:hint="eastAsia" w:ascii="宋体" w:hAnsi="宋体" w:cs="宋体"/>
          <w:spacing w:val="-4"/>
          <w:sz w:val="24"/>
          <w:szCs w:val="24"/>
          <w:lang w:eastAsia="zh-CN"/>
        </w:rPr>
        <w:t>）</w:t>
      </w:r>
      <w:r>
        <w:rPr>
          <w:rFonts w:ascii="宋体" w:hAnsi="宋体" w:eastAsia="宋体" w:cs="宋体"/>
          <w:spacing w:val="-4"/>
          <w:sz w:val="24"/>
          <w:szCs w:val="24"/>
        </w:rPr>
        <w:t>目：</w:t>
      </w:r>
    </w:p>
    <w:p w14:paraId="4600BECF">
      <w:pPr>
        <w:spacing w:before="183" w:line="217" w:lineRule="auto"/>
        <w:ind w:left="488"/>
        <w:rPr>
          <w:rFonts w:ascii="宋体" w:hAnsi="宋体" w:eastAsia="宋体" w:cs="宋体"/>
          <w:sz w:val="24"/>
          <w:szCs w:val="24"/>
        </w:rPr>
      </w:pPr>
      <w:r>
        <w:rPr>
          <w:rFonts w:ascii="宋体" w:hAnsi="宋体" w:eastAsia="宋体" w:cs="宋体"/>
          <w:spacing w:val="-1"/>
          <w:sz w:val="24"/>
          <w:szCs w:val="24"/>
        </w:rPr>
        <w:t>①建设质量保证体系义务</w:t>
      </w:r>
    </w:p>
    <w:p w14:paraId="2A416E2C">
      <w:pPr>
        <w:spacing w:before="186" w:line="360" w:lineRule="auto"/>
        <w:ind w:left="10" w:right="53" w:firstLine="482"/>
        <w:rPr>
          <w:rFonts w:ascii="宋体" w:hAnsi="宋体" w:eastAsia="宋体" w:cs="宋体"/>
          <w:sz w:val="24"/>
          <w:szCs w:val="24"/>
        </w:rPr>
      </w:pPr>
      <w:r>
        <w:rPr>
          <w:rFonts w:ascii="宋体" w:hAnsi="宋体" w:eastAsia="宋体" w:cs="宋体"/>
          <w:spacing w:val="-2"/>
          <w:sz w:val="24"/>
          <w:szCs w:val="24"/>
        </w:rPr>
        <w:t>项目部应建立质量管理组织机构，构建涵盖技术保证、过程保证、经济保证、思想保证的质量保证体系，成立以项目经理为第一责任人的质量管理领导小组，明确各部门</w:t>
      </w:r>
      <w:r>
        <w:rPr>
          <w:rFonts w:ascii="宋体" w:hAnsi="宋体" w:eastAsia="宋体" w:cs="宋体"/>
          <w:spacing w:val="-1"/>
          <w:sz w:val="24"/>
          <w:szCs w:val="24"/>
        </w:rPr>
        <w:t>质量管理职责，建立全员岗位质量责任制，制定质量管理制度及管</w:t>
      </w:r>
      <w:r>
        <w:rPr>
          <w:rFonts w:ascii="宋体" w:hAnsi="宋体" w:eastAsia="宋体" w:cs="宋体"/>
          <w:spacing w:val="-2"/>
          <w:sz w:val="24"/>
          <w:szCs w:val="24"/>
        </w:rPr>
        <w:t>理措施。实行“管、监”分离，建立质量自控与内部监督体系，设置质量总监和质量管理部门，按要求配备专职质量管理人员，对项目质量负检查监督责任。</w:t>
      </w:r>
    </w:p>
    <w:p w14:paraId="454DDF72">
      <w:pPr>
        <w:spacing w:before="78" w:line="220" w:lineRule="auto"/>
        <w:ind w:left="10"/>
        <w:rPr>
          <w:rFonts w:ascii="宋体" w:hAnsi="宋体" w:eastAsia="宋体" w:cs="宋体"/>
          <w:sz w:val="24"/>
          <w:szCs w:val="24"/>
        </w:rPr>
      </w:pPr>
      <w:r>
        <w:rPr>
          <w:rFonts w:ascii="宋体" w:hAnsi="宋体" w:eastAsia="宋体" w:cs="宋体"/>
          <w:spacing w:val="-2"/>
          <w:sz w:val="24"/>
          <w:szCs w:val="24"/>
        </w:rPr>
        <w:t>②需建立首件工程制、工序检验“三检制”、质量差异化管理、质量管理“一票否</w:t>
      </w:r>
      <w:r>
        <w:rPr>
          <w:rFonts w:ascii="宋体" w:hAnsi="宋体" w:eastAsia="宋体" w:cs="宋体"/>
          <w:spacing w:val="-6"/>
          <w:sz w:val="24"/>
          <w:szCs w:val="24"/>
        </w:rPr>
        <w:t>决”、“两清单一台帐”机制、质量内部监</w:t>
      </w:r>
      <w:r>
        <w:rPr>
          <w:rFonts w:ascii="宋体" w:hAnsi="宋体" w:eastAsia="宋体" w:cs="宋体"/>
          <w:spacing w:val="-7"/>
          <w:sz w:val="24"/>
          <w:szCs w:val="24"/>
        </w:rPr>
        <w:t>督等质量管理制度，</w:t>
      </w:r>
      <w:r>
        <w:rPr>
          <w:rFonts w:ascii="宋体" w:hAnsi="宋体" w:eastAsia="宋体" w:cs="宋体"/>
          <w:spacing w:val="61"/>
          <w:sz w:val="24"/>
          <w:szCs w:val="24"/>
        </w:rPr>
        <w:t xml:space="preserve"> </w:t>
      </w:r>
      <w:r>
        <w:rPr>
          <w:rFonts w:ascii="宋体" w:hAnsi="宋体" w:eastAsia="宋体" w:cs="宋体"/>
          <w:spacing w:val="-7"/>
          <w:sz w:val="24"/>
          <w:szCs w:val="24"/>
        </w:rPr>
        <w:t>并完善质量内部监督机</w:t>
      </w:r>
      <w:r>
        <w:rPr>
          <w:rFonts w:ascii="宋体" w:hAnsi="宋体" w:eastAsia="宋体" w:cs="宋体"/>
          <w:spacing w:val="-12"/>
          <w:sz w:val="24"/>
          <w:szCs w:val="24"/>
        </w:rPr>
        <w:t>制。</w:t>
      </w:r>
    </w:p>
    <w:p w14:paraId="58BA11AF">
      <w:pPr>
        <w:spacing w:before="181" w:line="220" w:lineRule="auto"/>
        <w:ind w:left="489"/>
        <w:rPr>
          <w:rFonts w:ascii="宋体" w:hAnsi="宋体" w:eastAsia="宋体" w:cs="宋体"/>
          <w:sz w:val="24"/>
          <w:szCs w:val="24"/>
        </w:rPr>
      </w:pPr>
      <w:r>
        <w:rPr>
          <w:rFonts w:ascii="宋体" w:hAnsi="宋体" w:eastAsia="宋体" w:cs="宋体"/>
          <w:spacing w:val="-4"/>
          <w:sz w:val="24"/>
          <w:szCs w:val="24"/>
        </w:rPr>
        <w:t>补充第</w:t>
      </w:r>
      <w:r>
        <w:rPr>
          <w:rFonts w:ascii="宋体" w:hAnsi="宋体" w:eastAsia="宋体" w:cs="宋体"/>
          <w:spacing w:val="-52"/>
          <w:sz w:val="24"/>
          <w:szCs w:val="24"/>
        </w:rPr>
        <w:t xml:space="preserve"> </w:t>
      </w:r>
      <w:r>
        <w:rPr>
          <w:rFonts w:ascii="宋体" w:hAnsi="宋体" w:eastAsia="宋体" w:cs="宋体"/>
          <w:spacing w:val="-4"/>
          <w:sz w:val="24"/>
          <w:szCs w:val="24"/>
        </w:rPr>
        <w:t>4.1.10(8</w:t>
      </w:r>
      <w:r>
        <w:rPr>
          <w:rFonts w:hint="eastAsia" w:ascii="宋体" w:hAnsi="宋体" w:cs="宋体"/>
          <w:spacing w:val="-4"/>
          <w:sz w:val="24"/>
          <w:szCs w:val="24"/>
          <w:lang w:eastAsia="zh-CN"/>
        </w:rPr>
        <w:t>）</w:t>
      </w:r>
      <w:r>
        <w:rPr>
          <w:rFonts w:ascii="宋体" w:hAnsi="宋体" w:eastAsia="宋体" w:cs="宋体"/>
          <w:spacing w:val="-4"/>
          <w:sz w:val="24"/>
          <w:szCs w:val="24"/>
        </w:rPr>
        <w:t>目：</w:t>
      </w:r>
    </w:p>
    <w:p w14:paraId="73E8B129">
      <w:pPr>
        <w:spacing w:before="182" w:line="360" w:lineRule="auto"/>
        <w:ind w:left="11" w:firstLine="478"/>
        <w:rPr>
          <w:rFonts w:ascii="宋体" w:hAnsi="宋体" w:eastAsia="宋体" w:cs="宋体"/>
          <w:sz w:val="24"/>
          <w:szCs w:val="24"/>
        </w:rPr>
      </w:pPr>
      <w:r>
        <w:rPr>
          <w:rFonts w:ascii="宋体" w:hAnsi="宋体" w:eastAsia="宋体" w:cs="宋体"/>
          <w:spacing w:val="-6"/>
          <w:sz w:val="24"/>
          <w:szCs w:val="24"/>
        </w:rPr>
        <w:t>承包人依据法律法规和施工合同约定，落实质量、安全、进度</w:t>
      </w:r>
      <w:r>
        <w:rPr>
          <w:rFonts w:ascii="宋体" w:hAnsi="宋体" w:eastAsia="宋体" w:cs="宋体"/>
          <w:spacing w:val="-7"/>
          <w:sz w:val="24"/>
          <w:szCs w:val="24"/>
        </w:rPr>
        <w:t>、环（水）保等目标，</w:t>
      </w:r>
      <w:r>
        <w:rPr>
          <w:rFonts w:ascii="宋体" w:hAnsi="宋体" w:eastAsia="宋体" w:cs="宋体"/>
          <w:spacing w:val="-2"/>
          <w:sz w:val="24"/>
          <w:szCs w:val="24"/>
        </w:rPr>
        <w:t>依法合规对项目进行全过程管控，对工程施工负主体责任。</w:t>
      </w:r>
    </w:p>
    <w:p w14:paraId="503E0A0C">
      <w:pPr>
        <w:spacing w:line="219" w:lineRule="auto"/>
        <w:ind w:left="489"/>
        <w:rPr>
          <w:rFonts w:ascii="宋体" w:hAnsi="宋体" w:eastAsia="宋体" w:cs="宋体"/>
          <w:sz w:val="24"/>
          <w:szCs w:val="24"/>
        </w:rPr>
      </w:pPr>
      <w:r>
        <w:rPr>
          <w:rFonts w:ascii="宋体" w:hAnsi="宋体" w:eastAsia="宋体" w:cs="宋体"/>
          <w:spacing w:val="-4"/>
          <w:sz w:val="24"/>
          <w:szCs w:val="24"/>
        </w:rPr>
        <w:t>补充第</w:t>
      </w:r>
      <w:r>
        <w:rPr>
          <w:rFonts w:ascii="宋体" w:hAnsi="宋体" w:eastAsia="宋体" w:cs="宋体"/>
          <w:spacing w:val="-52"/>
          <w:sz w:val="24"/>
          <w:szCs w:val="24"/>
        </w:rPr>
        <w:t xml:space="preserve"> </w:t>
      </w:r>
      <w:r>
        <w:rPr>
          <w:rFonts w:ascii="宋体" w:hAnsi="宋体" w:eastAsia="宋体" w:cs="宋体"/>
          <w:spacing w:val="-4"/>
          <w:sz w:val="24"/>
          <w:szCs w:val="24"/>
        </w:rPr>
        <w:t>4.1.10(9</w:t>
      </w:r>
      <w:r>
        <w:rPr>
          <w:rFonts w:hint="eastAsia" w:ascii="宋体" w:hAnsi="宋体" w:cs="宋体"/>
          <w:spacing w:val="-4"/>
          <w:sz w:val="24"/>
          <w:szCs w:val="24"/>
          <w:lang w:eastAsia="zh-CN"/>
        </w:rPr>
        <w:t>）</w:t>
      </w:r>
      <w:r>
        <w:rPr>
          <w:rFonts w:ascii="宋体" w:hAnsi="宋体" w:eastAsia="宋体" w:cs="宋体"/>
          <w:spacing w:val="-4"/>
          <w:sz w:val="24"/>
          <w:szCs w:val="24"/>
        </w:rPr>
        <w:t>目：</w:t>
      </w:r>
    </w:p>
    <w:p w14:paraId="78B1E897">
      <w:pPr>
        <w:spacing w:before="182" w:line="360" w:lineRule="auto"/>
        <w:ind w:left="7" w:right="66" w:firstLine="480"/>
        <w:rPr>
          <w:rFonts w:ascii="宋体" w:hAnsi="宋体" w:eastAsia="宋体" w:cs="宋体"/>
          <w:sz w:val="24"/>
          <w:szCs w:val="24"/>
        </w:rPr>
      </w:pPr>
      <w:r>
        <w:rPr>
          <w:rFonts w:ascii="宋体" w:hAnsi="宋体" w:eastAsia="宋体" w:cs="宋体"/>
          <w:spacing w:val="-6"/>
          <w:sz w:val="24"/>
          <w:szCs w:val="24"/>
        </w:rPr>
        <w:t>对于涉及土地征用、海域使用申请、林地占用审批等</w:t>
      </w:r>
      <w:r>
        <w:rPr>
          <w:rFonts w:ascii="宋体" w:hAnsi="宋体" w:eastAsia="宋体" w:cs="宋体"/>
          <w:spacing w:val="-7"/>
          <w:sz w:val="24"/>
          <w:szCs w:val="24"/>
        </w:rPr>
        <w:t>手续，</w:t>
      </w:r>
      <w:r>
        <w:rPr>
          <w:rFonts w:ascii="宋体" w:hAnsi="宋体" w:eastAsia="宋体" w:cs="宋体"/>
          <w:spacing w:val="51"/>
          <w:sz w:val="24"/>
          <w:szCs w:val="24"/>
        </w:rPr>
        <w:t xml:space="preserve"> </w:t>
      </w:r>
      <w:r>
        <w:rPr>
          <w:rFonts w:ascii="宋体" w:hAnsi="宋体" w:eastAsia="宋体" w:cs="宋体"/>
          <w:spacing w:val="-7"/>
          <w:sz w:val="24"/>
          <w:szCs w:val="24"/>
        </w:rPr>
        <w:t>项目部应安排专人负责</w:t>
      </w:r>
      <w:r>
        <w:rPr>
          <w:rFonts w:ascii="宋体" w:hAnsi="宋体" w:eastAsia="宋体" w:cs="宋体"/>
          <w:spacing w:val="-2"/>
          <w:sz w:val="24"/>
          <w:szCs w:val="24"/>
        </w:rPr>
        <w:t>跟进办理，确保在取得合法手续后方可开展相应施工活动。</w:t>
      </w:r>
    </w:p>
    <w:p w14:paraId="6077E60C">
      <w:pPr>
        <w:spacing w:before="1" w:line="219" w:lineRule="auto"/>
        <w:ind w:left="489"/>
        <w:rPr>
          <w:rFonts w:ascii="宋体" w:hAnsi="宋体" w:eastAsia="宋体" w:cs="宋体"/>
          <w:sz w:val="24"/>
          <w:szCs w:val="24"/>
        </w:rPr>
      </w:pPr>
      <w:r>
        <w:rPr>
          <w:rFonts w:ascii="宋体" w:hAnsi="宋体" w:eastAsia="宋体" w:cs="宋体"/>
          <w:spacing w:val="-4"/>
          <w:sz w:val="24"/>
          <w:szCs w:val="24"/>
        </w:rPr>
        <w:t>补充第</w:t>
      </w:r>
      <w:r>
        <w:rPr>
          <w:rFonts w:ascii="宋体" w:hAnsi="宋体" w:eastAsia="宋体" w:cs="宋体"/>
          <w:spacing w:val="-50"/>
          <w:sz w:val="24"/>
          <w:szCs w:val="24"/>
        </w:rPr>
        <w:t xml:space="preserve"> </w:t>
      </w:r>
      <w:r>
        <w:rPr>
          <w:rFonts w:ascii="宋体" w:hAnsi="宋体" w:eastAsia="宋体" w:cs="宋体"/>
          <w:spacing w:val="-4"/>
          <w:sz w:val="24"/>
          <w:szCs w:val="24"/>
        </w:rPr>
        <w:t>4.1.10(10</w:t>
      </w:r>
      <w:r>
        <w:rPr>
          <w:rFonts w:hint="eastAsia" w:ascii="宋体" w:hAnsi="宋体" w:cs="宋体"/>
          <w:spacing w:val="-4"/>
          <w:sz w:val="24"/>
          <w:szCs w:val="24"/>
          <w:lang w:eastAsia="zh-CN"/>
        </w:rPr>
        <w:t>）</w:t>
      </w:r>
      <w:r>
        <w:rPr>
          <w:rFonts w:ascii="宋体" w:hAnsi="宋体" w:eastAsia="宋体" w:cs="宋体"/>
          <w:spacing w:val="-4"/>
          <w:sz w:val="24"/>
          <w:szCs w:val="24"/>
        </w:rPr>
        <w:t>目：</w:t>
      </w:r>
    </w:p>
    <w:p w14:paraId="44DA34C0">
      <w:pPr>
        <w:spacing w:before="182" w:line="360" w:lineRule="auto"/>
        <w:ind w:left="32" w:right="66" w:firstLine="456"/>
        <w:rPr>
          <w:rFonts w:ascii="宋体" w:hAnsi="宋体" w:eastAsia="宋体" w:cs="宋体"/>
          <w:sz w:val="24"/>
          <w:szCs w:val="24"/>
        </w:rPr>
      </w:pPr>
      <w:r>
        <w:rPr>
          <w:rFonts w:ascii="宋体" w:hAnsi="宋体" w:eastAsia="宋体" w:cs="宋体"/>
          <w:spacing w:val="-2"/>
          <w:sz w:val="24"/>
          <w:szCs w:val="24"/>
        </w:rPr>
        <w:t>承包人应按照广东省《公路工程造价管理指南》的要求负责本合同段造价管理台账乙组文件的编制和上报。造价管理台账编制应符合造价数据链文件编制的要求。</w:t>
      </w:r>
    </w:p>
    <w:p w14:paraId="0D5DE583">
      <w:pPr>
        <w:spacing w:before="1" w:line="219" w:lineRule="auto"/>
        <w:ind w:left="489"/>
        <w:rPr>
          <w:rFonts w:ascii="宋体" w:hAnsi="宋体" w:eastAsia="宋体" w:cs="宋体"/>
          <w:sz w:val="24"/>
          <w:szCs w:val="24"/>
        </w:rPr>
      </w:pPr>
      <w:r>
        <w:rPr>
          <w:rFonts w:ascii="宋体" w:hAnsi="宋体" w:eastAsia="宋体" w:cs="宋体"/>
          <w:spacing w:val="-4"/>
          <w:sz w:val="24"/>
          <w:szCs w:val="24"/>
        </w:rPr>
        <w:t>补充第</w:t>
      </w:r>
      <w:r>
        <w:rPr>
          <w:rFonts w:ascii="宋体" w:hAnsi="宋体" w:eastAsia="宋体" w:cs="宋体"/>
          <w:spacing w:val="-50"/>
          <w:sz w:val="24"/>
          <w:szCs w:val="24"/>
        </w:rPr>
        <w:t xml:space="preserve"> </w:t>
      </w:r>
      <w:r>
        <w:rPr>
          <w:rFonts w:ascii="宋体" w:hAnsi="宋体" w:eastAsia="宋体" w:cs="宋体"/>
          <w:spacing w:val="-4"/>
          <w:sz w:val="24"/>
          <w:szCs w:val="24"/>
        </w:rPr>
        <w:t>4.1.10(11</w:t>
      </w:r>
      <w:r>
        <w:rPr>
          <w:rFonts w:hint="eastAsia" w:ascii="宋体" w:hAnsi="宋体" w:cs="宋体"/>
          <w:spacing w:val="-4"/>
          <w:sz w:val="24"/>
          <w:szCs w:val="24"/>
          <w:lang w:eastAsia="zh-CN"/>
        </w:rPr>
        <w:t>）</w:t>
      </w:r>
      <w:r>
        <w:rPr>
          <w:rFonts w:ascii="宋体" w:hAnsi="宋体" w:eastAsia="宋体" w:cs="宋体"/>
          <w:spacing w:val="-4"/>
          <w:sz w:val="24"/>
          <w:szCs w:val="24"/>
        </w:rPr>
        <w:t>目：</w:t>
      </w:r>
    </w:p>
    <w:p w14:paraId="78BEC2EF">
      <w:pPr>
        <w:spacing w:before="183" w:line="218" w:lineRule="auto"/>
        <w:ind w:left="495"/>
        <w:rPr>
          <w:rFonts w:ascii="宋体" w:hAnsi="宋体" w:eastAsia="宋体" w:cs="宋体"/>
          <w:sz w:val="24"/>
          <w:szCs w:val="24"/>
        </w:rPr>
      </w:pPr>
      <w:r>
        <w:rPr>
          <w:rFonts w:ascii="宋体" w:hAnsi="宋体" w:eastAsia="宋体" w:cs="宋体"/>
          <w:spacing w:val="-4"/>
          <w:sz w:val="24"/>
          <w:szCs w:val="24"/>
        </w:rPr>
        <w:t>统一维权信息告示牌设立主体和设立内容：</w:t>
      </w:r>
    </w:p>
    <w:p w14:paraId="08AC41F2">
      <w:pPr>
        <w:spacing w:before="183" w:line="220" w:lineRule="auto"/>
        <w:ind w:left="495"/>
        <w:rPr>
          <w:rFonts w:ascii="宋体" w:hAnsi="宋体" w:eastAsia="宋体" w:cs="宋体"/>
          <w:sz w:val="24"/>
          <w:szCs w:val="24"/>
        </w:rPr>
      </w:pPr>
      <w:r>
        <w:rPr>
          <w:rFonts w:ascii="宋体" w:hAnsi="宋体" w:eastAsia="宋体" w:cs="宋体"/>
          <w:spacing w:val="-4"/>
          <w:sz w:val="24"/>
          <w:szCs w:val="24"/>
        </w:rPr>
        <w:t>（一）设立主体：施工总承包单位。</w:t>
      </w:r>
    </w:p>
    <w:p w14:paraId="2E2D4382">
      <w:pPr>
        <w:spacing w:before="183" w:line="360" w:lineRule="auto"/>
        <w:ind w:left="8" w:right="66" w:firstLine="487"/>
        <w:rPr>
          <w:rFonts w:ascii="宋体" w:hAnsi="宋体" w:eastAsia="宋体" w:cs="宋体"/>
          <w:sz w:val="24"/>
          <w:szCs w:val="24"/>
        </w:rPr>
      </w:pPr>
      <w:r>
        <w:rPr>
          <w:rFonts w:ascii="宋体" w:hAnsi="宋体" w:eastAsia="宋体" w:cs="宋体"/>
          <w:spacing w:val="-2"/>
          <w:sz w:val="24"/>
          <w:szCs w:val="24"/>
        </w:rPr>
        <w:t>（二）设立内容：1.建设单位、施工总承包单位及所在项目部、分包单位、相关行</w:t>
      </w:r>
      <w:r>
        <w:rPr>
          <w:rFonts w:ascii="宋体" w:hAnsi="宋体" w:eastAsia="宋体" w:cs="宋体"/>
          <w:spacing w:val="-4"/>
          <w:sz w:val="24"/>
          <w:szCs w:val="24"/>
        </w:rPr>
        <w:t xml:space="preserve">业工程建设主管部门、劳资专管员等基本信息； </w:t>
      </w:r>
      <w:r>
        <w:rPr>
          <w:rFonts w:ascii="宋体" w:hAnsi="宋体" w:eastAsia="宋体" w:cs="宋体"/>
          <w:spacing w:val="-5"/>
          <w:sz w:val="24"/>
          <w:szCs w:val="24"/>
        </w:rPr>
        <w:t>2.当地最低工资标准、工资支付日期等</w:t>
      </w:r>
      <w:r>
        <w:rPr>
          <w:rFonts w:ascii="宋体" w:hAnsi="宋体" w:eastAsia="宋体" w:cs="宋体"/>
          <w:spacing w:val="-1"/>
          <w:sz w:val="24"/>
          <w:szCs w:val="24"/>
        </w:rPr>
        <w:t>基本信息；3.相关行业工程建设主管部门和</w:t>
      </w:r>
      <w:r>
        <w:rPr>
          <w:rFonts w:ascii="宋体" w:hAnsi="宋体" w:eastAsia="宋体" w:cs="宋体"/>
          <w:spacing w:val="-2"/>
          <w:sz w:val="24"/>
          <w:szCs w:val="24"/>
        </w:rPr>
        <w:t>劳动保障监察投诉举报电话、劳动争议调解仲裁申请渠道、法律援助申请渠道、公共法律服务热线等信息。</w:t>
      </w:r>
    </w:p>
    <w:p w14:paraId="24713557">
      <w:pPr>
        <w:spacing w:before="1" w:line="219" w:lineRule="auto"/>
        <w:ind w:left="729"/>
        <w:rPr>
          <w:rFonts w:ascii="宋体" w:hAnsi="宋体" w:eastAsia="宋体" w:cs="宋体"/>
          <w:sz w:val="24"/>
          <w:szCs w:val="24"/>
        </w:rPr>
      </w:pPr>
      <w:r>
        <w:rPr>
          <w:rFonts w:ascii="宋体" w:hAnsi="宋体" w:eastAsia="宋体" w:cs="宋体"/>
          <w:spacing w:val="-4"/>
          <w:sz w:val="24"/>
          <w:szCs w:val="24"/>
        </w:rPr>
        <w:t>补充第</w:t>
      </w:r>
      <w:r>
        <w:rPr>
          <w:rFonts w:ascii="宋体" w:hAnsi="宋体" w:eastAsia="宋体" w:cs="宋体"/>
          <w:spacing w:val="-50"/>
          <w:sz w:val="24"/>
          <w:szCs w:val="24"/>
        </w:rPr>
        <w:t xml:space="preserve"> </w:t>
      </w:r>
      <w:r>
        <w:rPr>
          <w:rFonts w:ascii="宋体" w:hAnsi="宋体" w:eastAsia="宋体" w:cs="宋体"/>
          <w:spacing w:val="-4"/>
          <w:sz w:val="24"/>
          <w:szCs w:val="24"/>
        </w:rPr>
        <w:t>4.1.10(12</w:t>
      </w:r>
      <w:r>
        <w:rPr>
          <w:rFonts w:hint="eastAsia" w:ascii="宋体" w:hAnsi="宋体" w:cs="宋体"/>
          <w:spacing w:val="-4"/>
          <w:sz w:val="24"/>
          <w:szCs w:val="24"/>
          <w:lang w:eastAsia="zh-CN"/>
        </w:rPr>
        <w:t>）</w:t>
      </w:r>
      <w:r>
        <w:rPr>
          <w:rFonts w:ascii="宋体" w:hAnsi="宋体" w:eastAsia="宋体" w:cs="宋体"/>
          <w:spacing w:val="-4"/>
          <w:sz w:val="24"/>
          <w:szCs w:val="24"/>
        </w:rPr>
        <w:t>目：</w:t>
      </w:r>
    </w:p>
    <w:p w14:paraId="2572C8A1">
      <w:pPr>
        <w:spacing w:before="182" w:line="360" w:lineRule="auto"/>
        <w:ind w:left="12" w:firstLine="717"/>
        <w:jc w:val="both"/>
        <w:rPr>
          <w:rFonts w:ascii="宋体" w:hAnsi="宋体" w:eastAsia="宋体" w:cs="宋体"/>
          <w:sz w:val="24"/>
          <w:szCs w:val="24"/>
        </w:rPr>
      </w:pPr>
      <w:r>
        <w:rPr>
          <w:rFonts w:ascii="宋体" w:hAnsi="宋体" w:eastAsia="宋体" w:cs="宋体"/>
          <w:spacing w:val="-2"/>
          <w:sz w:val="24"/>
          <w:szCs w:val="24"/>
        </w:rPr>
        <w:t>承包人应严格按照投标承诺，切实履行对项目部的管理职责，从资源调配、管理</w:t>
      </w:r>
      <w:r>
        <w:rPr>
          <w:rFonts w:ascii="宋体" w:hAnsi="宋体" w:eastAsia="宋体" w:cs="宋体"/>
          <w:spacing w:val="-6"/>
          <w:sz w:val="24"/>
          <w:szCs w:val="24"/>
        </w:rPr>
        <w:t>统筹、技术支持等方面提供全方位支持保障，对施工组织总体策划等重要事项提级管理，</w:t>
      </w:r>
      <w:r>
        <w:rPr>
          <w:rFonts w:ascii="宋体" w:hAnsi="宋体" w:eastAsia="宋体" w:cs="宋体"/>
          <w:spacing w:val="-2"/>
          <w:sz w:val="24"/>
          <w:szCs w:val="24"/>
        </w:rPr>
        <w:t>建立公开透明的内部监管机制，制定过程监管措施，定期对项目部的履约情况进行检查</w:t>
      </w:r>
      <w:r>
        <w:rPr>
          <w:rFonts w:ascii="宋体" w:hAnsi="宋体" w:eastAsia="宋体" w:cs="宋体"/>
          <w:spacing w:val="-3"/>
          <w:sz w:val="24"/>
          <w:szCs w:val="24"/>
        </w:rPr>
        <w:t>指导，检查结果及时上报发包人、监理单位。</w:t>
      </w:r>
    </w:p>
    <w:p w14:paraId="67A233A8">
      <w:pPr>
        <w:spacing w:before="1" w:line="219" w:lineRule="auto"/>
        <w:ind w:left="729"/>
        <w:rPr>
          <w:rFonts w:ascii="宋体" w:hAnsi="宋体" w:eastAsia="宋体" w:cs="宋体"/>
          <w:sz w:val="24"/>
          <w:szCs w:val="24"/>
        </w:rPr>
      </w:pPr>
      <w:r>
        <w:rPr>
          <w:rFonts w:ascii="宋体" w:hAnsi="宋体" w:eastAsia="宋体" w:cs="宋体"/>
          <w:spacing w:val="-4"/>
          <w:sz w:val="24"/>
          <w:szCs w:val="24"/>
        </w:rPr>
        <w:t>补充第</w:t>
      </w:r>
      <w:r>
        <w:rPr>
          <w:rFonts w:ascii="宋体" w:hAnsi="宋体" w:eastAsia="宋体" w:cs="宋体"/>
          <w:spacing w:val="-50"/>
          <w:sz w:val="24"/>
          <w:szCs w:val="24"/>
        </w:rPr>
        <w:t xml:space="preserve"> </w:t>
      </w:r>
      <w:r>
        <w:rPr>
          <w:rFonts w:ascii="宋体" w:hAnsi="宋体" w:eastAsia="宋体" w:cs="宋体"/>
          <w:spacing w:val="-4"/>
          <w:sz w:val="24"/>
          <w:szCs w:val="24"/>
        </w:rPr>
        <w:t>4.1.10(13</w:t>
      </w:r>
      <w:r>
        <w:rPr>
          <w:rFonts w:hint="eastAsia" w:ascii="宋体" w:hAnsi="宋体" w:cs="宋体"/>
          <w:spacing w:val="-4"/>
          <w:sz w:val="24"/>
          <w:szCs w:val="24"/>
          <w:lang w:eastAsia="zh-CN"/>
        </w:rPr>
        <w:t>）</w:t>
      </w:r>
      <w:r>
        <w:rPr>
          <w:rFonts w:ascii="宋体" w:hAnsi="宋体" w:eastAsia="宋体" w:cs="宋体"/>
          <w:spacing w:val="-4"/>
          <w:sz w:val="24"/>
          <w:szCs w:val="24"/>
        </w:rPr>
        <w:t>目：</w:t>
      </w:r>
    </w:p>
    <w:p w14:paraId="36F3984B">
      <w:pPr>
        <w:spacing w:before="183" w:line="360" w:lineRule="auto"/>
        <w:ind w:left="7" w:right="66" w:firstLine="721"/>
        <w:jc w:val="both"/>
        <w:rPr>
          <w:rFonts w:ascii="宋体" w:hAnsi="宋体" w:eastAsia="宋体" w:cs="宋体"/>
          <w:sz w:val="24"/>
          <w:szCs w:val="24"/>
        </w:rPr>
      </w:pPr>
      <w:r>
        <w:rPr>
          <w:rFonts w:ascii="宋体" w:hAnsi="宋体" w:eastAsia="宋体" w:cs="宋体"/>
          <w:spacing w:val="2"/>
          <w:sz w:val="24"/>
          <w:szCs w:val="24"/>
        </w:rPr>
        <w:t>承包人在建设过程中对“项目现场管理机构”的履约</w:t>
      </w:r>
      <w:r>
        <w:rPr>
          <w:rFonts w:ascii="宋体" w:hAnsi="宋体" w:eastAsia="宋体" w:cs="宋体"/>
          <w:spacing w:val="1"/>
          <w:sz w:val="24"/>
          <w:szCs w:val="24"/>
        </w:rPr>
        <w:t>情况每季度/半年进行监管</w:t>
      </w:r>
      <w:r>
        <w:rPr>
          <w:rFonts w:ascii="宋体" w:hAnsi="宋体" w:eastAsia="宋体" w:cs="宋体"/>
          <w:spacing w:val="-1"/>
          <w:sz w:val="24"/>
          <w:szCs w:val="24"/>
        </w:rPr>
        <w:t>和支持，重要事项（主要包括主要负责人员</w:t>
      </w:r>
      <w:r>
        <w:rPr>
          <w:rFonts w:ascii="宋体" w:hAnsi="宋体" w:eastAsia="宋体" w:cs="宋体"/>
          <w:spacing w:val="-2"/>
          <w:sz w:val="24"/>
          <w:szCs w:val="24"/>
        </w:rPr>
        <w:t>履职情况、质量安全保证体系运转情况、施</w:t>
      </w:r>
      <w:r>
        <w:rPr>
          <w:rFonts w:ascii="宋体" w:hAnsi="宋体" w:eastAsia="宋体" w:cs="宋体"/>
          <w:spacing w:val="-1"/>
          <w:sz w:val="24"/>
          <w:szCs w:val="24"/>
        </w:rPr>
        <w:t>工组织总体策划、现场施工质量安全情况、</w:t>
      </w:r>
      <w:r>
        <w:rPr>
          <w:rFonts w:ascii="宋体" w:hAnsi="宋体" w:eastAsia="宋体" w:cs="宋体"/>
          <w:spacing w:val="-2"/>
          <w:sz w:val="24"/>
          <w:szCs w:val="24"/>
        </w:rPr>
        <w:t>危大工程施工情况、变更申报及过程结算开</w:t>
      </w:r>
      <w:r>
        <w:rPr>
          <w:rFonts w:ascii="宋体" w:hAnsi="宋体" w:eastAsia="宋体" w:cs="宋体"/>
          <w:spacing w:val="-1"/>
          <w:sz w:val="24"/>
          <w:szCs w:val="24"/>
        </w:rPr>
        <w:t>展情况等）提级管理，接受发包人对该项工</w:t>
      </w:r>
      <w:r>
        <w:rPr>
          <w:rFonts w:ascii="宋体" w:hAnsi="宋体" w:eastAsia="宋体" w:cs="宋体"/>
          <w:spacing w:val="-2"/>
          <w:sz w:val="24"/>
          <w:szCs w:val="24"/>
        </w:rPr>
        <w:t>作进行专项管理，接受发包人对施工单位项</w:t>
      </w:r>
      <w:r>
        <w:rPr>
          <w:rFonts w:ascii="宋体" w:hAnsi="宋体" w:eastAsia="宋体" w:cs="宋体"/>
          <w:spacing w:val="-1"/>
          <w:sz w:val="24"/>
          <w:szCs w:val="24"/>
        </w:rPr>
        <w:t>目部的履约情况进行检查指导，承包人的履</w:t>
      </w:r>
      <w:r>
        <w:rPr>
          <w:rFonts w:ascii="宋体" w:hAnsi="宋体" w:eastAsia="宋体" w:cs="宋体"/>
          <w:spacing w:val="-2"/>
          <w:sz w:val="24"/>
          <w:szCs w:val="24"/>
        </w:rPr>
        <w:t>约情况将纳入其年度信用管理。承包人应当将检查情况形成书面报告，提交发包人与监理人。</w:t>
      </w:r>
    </w:p>
    <w:p w14:paraId="32C89598">
      <w:pPr>
        <w:pStyle w:val="2"/>
        <w:spacing w:line="267" w:lineRule="auto"/>
      </w:pPr>
      <w:r>
        <w:rPr>
          <w:rFonts w:ascii="宋体" w:hAnsi="宋体" w:eastAsia="宋体" w:cs="宋体"/>
          <w:spacing w:val="-1"/>
          <w:sz w:val="24"/>
          <w:szCs w:val="24"/>
        </w:rPr>
        <w:t>4.2 履约保证金</w:t>
      </w:r>
    </w:p>
    <w:p w14:paraId="5956E8F3">
      <w:pPr>
        <w:spacing w:before="78"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09B8154F">
      <w:pPr>
        <w:spacing w:before="183" w:line="360" w:lineRule="auto"/>
        <w:ind w:left="9" w:right="1" w:firstLine="480"/>
        <w:jc w:val="both"/>
        <w:rPr>
          <w:rFonts w:ascii="宋体" w:hAnsi="宋体" w:eastAsia="宋体" w:cs="宋体"/>
          <w:sz w:val="24"/>
          <w:szCs w:val="24"/>
        </w:rPr>
      </w:pPr>
      <w:r>
        <w:rPr>
          <w:rFonts w:ascii="宋体" w:hAnsi="宋体" w:eastAsia="宋体" w:cs="宋体"/>
          <w:spacing w:val="1"/>
          <w:sz w:val="24"/>
          <w:szCs w:val="24"/>
        </w:rPr>
        <w:t>承包人在收到中标通知书后</w:t>
      </w:r>
      <w:r>
        <w:rPr>
          <w:rFonts w:ascii="宋体" w:hAnsi="宋体" w:eastAsia="宋体" w:cs="宋体"/>
          <w:spacing w:val="-42"/>
          <w:sz w:val="24"/>
          <w:szCs w:val="24"/>
        </w:rPr>
        <w:t xml:space="preserve"> </w:t>
      </w:r>
      <w:r>
        <w:rPr>
          <w:rFonts w:ascii="宋体" w:hAnsi="宋体" w:eastAsia="宋体" w:cs="宋体"/>
          <w:spacing w:val="1"/>
          <w:sz w:val="24"/>
          <w:szCs w:val="24"/>
          <w:u w:val="single" w:color="auto"/>
        </w:rPr>
        <w:t>28</w:t>
      </w:r>
      <w:r>
        <w:rPr>
          <w:rFonts w:ascii="宋体" w:hAnsi="宋体" w:eastAsia="宋体" w:cs="宋体"/>
          <w:spacing w:val="-44"/>
          <w:sz w:val="24"/>
          <w:szCs w:val="24"/>
          <w:u w:val="single" w:color="auto"/>
        </w:rPr>
        <w:t xml:space="preserve"> </w:t>
      </w:r>
      <w:r>
        <w:rPr>
          <w:rFonts w:ascii="宋体" w:hAnsi="宋体" w:eastAsia="宋体" w:cs="宋体"/>
          <w:spacing w:val="1"/>
          <w:sz w:val="24"/>
          <w:szCs w:val="24"/>
          <w:u w:val="single" w:color="auto"/>
        </w:rPr>
        <w:t>天之内</w:t>
      </w:r>
      <w:r>
        <w:rPr>
          <w:rFonts w:ascii="宋体" w:hAnsi="宋体" w:eastAsia="宋体" w:cs="宋体"/>
          <w:spacing w:val="1"/>
          <w:sz w:val="24"/>
          <w:szCs w:val="24"/>
        </w:rPr>
        <w:t>并在</w:t>
      </w:r>
      <w:r>
        <w:rPr>
          <w:rFonts w:ascii="宋体" w:hAnsi="宋体" w:eastAsia="宋体" w:cs="宋体"/>
          <w:sz w:val="24"/>
          <w:szCs w:val="24"/>
        </w:rPr>
        <w:t>签订合同协议书之前，应按投标人须知</w:t>
      </w:r>
      <w:r>
        <w:rPr>
          <w:rFonts w:ascii="宋体" w:hAnsi="宋体" w:eastAsia="宋体" w:cs="宋体"/>
          <w:spacing w:val="-2"/>
          <w:sz w:val="24"/>
          <w:szCs w:val="24"/>
        </w:rPr>
        <w:t>第</w:t>
      </w:r>
      <w:r>
        <w:rPr>
          <w:rFonts w:ascii="宋体" w:hAnsi="宋体" w:eastAsia="宋体" w:cs="宋体"/>
          <w:spacing w:val="-45"/>
          <w:sz w:val="24"/>
          <w:szCs w:val="24"/>
        </w:rPr>
        <w:t xml:space="preserve"> </w:t>
      </w:r>
      <w:r>
        <w:rPr>
          <w:rFonts w:ascii="宋体" w:hAnsi="宋体" w:eastAsia="宋体" w:cs="宋体"/>
          <w:spacing w:val="-2"/>
          <w:sz w:val="24"/>
          <w:szCs w:val="24"/>
        </w:rPr>
        <w:t>7.7.1</w:t>
      </w:r>
      <w:r>
        <w:rPr>
          <w:rFonts w:ascii="宋体" w:hAnsi="宋体" w:eastAsia="宋体" w:cs="宋体"/>
          <w:spacing w:val="-47"/>
          <w:sz w:val="24"/>
          <w:szCs w:val="24"/>
        </w:rPr>
        <w:t xml:space="preserve"> </w:t>
      </w:r>
      <w:r>
        <w:rPr>
          <w:rFonts w:ascii="宋体" w:hAnsi="宋体" w:eastAsia="宋体" w:cs="宋体"/>
          <w:spacing w:val="-2"/>
          <w:sz w:val="24"/>
          <w:szCs w:val="24"/>
        </w:rPr>
        <w:t>项规定的金额和形式提交履约保证金，由此所发生的费用由承</w:t>
      </w:r>
      <w:r>
        <w:rPr>
          <w:rFonts w:ascii="宋体" w:hAnsi="宋体" w:eastAsia="宋体" w:cs="宋体"/>
          <w:spacing w:val="-3"/>
          <w:sz w:val="24"/>
          <w:szCs w:val="24"/>
        </w:rPr>
        <w:t>包人承担。承包</w:t>
      </w:r>
      <w:r>
        <w:rPr>
          <w:rFonts w:ascii="宋体" w:hAnsi="宋体" w:eastAsia="宋体" w:cs="宋体"/>
          <w:spacing w:val="-2"/>
          <w:sz w:val="24"/>
          <w:szCs w:val="24"/>
        </w:rPr>
        <w:t>人应保证其履约保证金在发包人开始扣留质量保证金前一直有效。发包人开始扣留质量保证金时同步一次性向承包人退还全部履约保证金。</w:t>
      </w:r>
    </w:p>
    <w:p w14:paraId="4903F216">
      <w:pPr>
        <w:spacing w:line="219" w:lineRule="auto"/>
        <w:ind w:left="488"/>
        <w:rPr>
          <w:rFonts w:ascii="宋体" w:hAnsi="宋体" w:eastAsia="宋体" w:cs="宋体"/>
          <w:sz w:val="24"/>
          <w:szCs w:val="24"/>
        </w:rPr>
      </w:pPr>
      <w:r>
        <w:rPr>
          <w:rFonts w:ascii="宋体" w:hAnsi="宋体" w:eastAsia="宋体" w:cs="宋体"/>
          <w:spacing w:val="-1"/>
          <w:sz w:val="24"/>
          <w:szCs w:val="24"/>
        </w:rPr>
        <w:t>4.3 转包、分包和劳务合作</w:t>
      </w:r>
    </w:p>
    <w:p w14:paraId="577175D8">
      <w:pPr>
        <w:spacing w:before="182"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20CB0F3D">
      <w:pPr>
        <w:spacing w:before="184" w:line="360" w:lineRule="auto"/>
        <w:ind w:left="11" w:right="1" w:firstLine="477"/>
        <w:rPr>
          <w:rFonts w:ascii="宋体" w:hAnsi="宋体" w:eastAsia="宋体" w:cs="宋体"/>
          <w:sz w:val="24"/>
          <w:szCs w:val="24"/>
        </w:rPr>
      </w:pPr>
      <w:r>
        <w:rPr>
          <w:rFonts w:ascii="宋体" w:hAnsi="宋体" w:eastAsia="宋体" w:cs="宋体"/>
          <w:spacing w:val="-1"/>
          <w:sz w:val="24"/>
          <w:szCs w:val="24"/>
        </w:rPr>
        <w:t>4.3.1 承包人不得将其承包的全部工程</w:t>
      </w:r>
      <w:r>
        <w:rPr>
          <w:rFonts w:ascii="宋体" w:hAnsi="宋体" w:eastAsia="宋体" w:cs="宋体"/>
          <w:spacing w:val="-2"/>
          <w:sz w:val="24"/>
          <w:szCs w:val="24"/>
        </w:rPr>
        <w:t>转包给第三人，或将其承包的全部工程支解</w:t>
      </w:r>
      <w:r>
        <w:rPr>
          <w:rFonts w:ascii="宋体" w:hAnsi="宋体" w:eastAsia="宋体" w:cs="宋体"/>
          <w:spacing w:val="-3"/>
          <w:sz w:val="24"/>
          <w:szCs w:val="24"/>
        </w:rPr>
        <w:t>后以施工分包的名义转包给第三人。</w:t>
      </w:r>
    </w:p>
    <w:p w14:paraId="545BCA10">
      <w:pPr>
        <w:spacing w:before="3" w:line="359" w:lineRule="auto"/>
        <w:ind w:left="11" w:right="1" w:firstLine="477"/>
        <w:rPr>
          <w:rFonts w:ascii="宋体" w:hAnsi="宋体" w:eastAsia="宋体" w:cs="宋体"/>
          <w:sz w:val="24"/>
          <w:szCs w:val="24"/>
        </w:rPr>
      </w:pPr>
      <w:r>
        <w:rPr>
          <w:rFonts w:ascii="宋体" w:hAnsi="宋体" w:eastAsia="宋体" w:cs="宋体"/>
          <w:spacing w:val="-4"/>
          <w:sz w:val="24"/>
          <w:szCs w:val="24"/>
        </w:rPr>
        <w:t>4.3.2 承包人可以将部分单位工程、分部工</w:t>
      </w:r>
      <w:r>
        <w:rPr>
          <w:rFonts w:ascii="宋体" w:hAnsi="宋体" w:eastAsia="宋体" w:cs="宋体"/>
          <w:spacing w:val="-5"/>
          <w:sz w:val="24"/>
          <w:szCs w:val="24"/>
        </w:rPr>
        <w:t>程或者分项工程分包给第三人， 但不得涉及发包人不允许分包的工程范围。除承包人在投标文件中已明确的分包计划外， 承包</w:t>
      </w:r>
      <w:r>
        <w:rPr>
          <w:rFonts w:ascii="宋体" w:hAnsi="宋体" w:eastAsia="宋体" w:cs="宋体"/>
          <w:spacing w:val="-1"/>
          <w:sz w:val="24"/>
          <w:szCs w:val="24"/>
        </w:rPr>
        <w:t>人拟进行分包的，应向监理人提出申请并经发</w:t>
      </w:r>
      <w:r>
        <w:rPr>
          <w:rFonts w:ascii="宋体" w:hAnsi="宋体" w:eastAsia="宋体" w:cs="宋体"/>
          <w:spacing w:val="-2"/>
          <w:sz w:val="24"/>
          <w:szCs w:val="24"/>
        </w:rPr>
        <w:t>包人同意后，方可进行分包。</w:t>
      </w:r>
    </w:p>
    <w:p w14:paraId="2D0BC6CA">
      <w:pPr>
        <w:spacing w:before="183" w:line="360" w:lineRule="auto"/>
        <w:ind w:left="12" w:right="1" w:firstLine="477"/>
        <w:rPr>
          <w:rFonts w:ascii="宋体" w:hAnsi="宋体" w:eastAsia="宋体" w:cs="宋体"/>
          <w:spacing w:val="-2"/>
          <w:sz w:val="24"/>
          <w:szCs w:val="24"/>
        </w:rPr>
      </w:pPr>
      <w:r>
        <w:rPr>
          <w:rFonts w:ascii="宋体" w:hAnsi="宋体" w:eastAsia="宋体" w:cs="宋体"/>
          <w:spacing w:val="-2"/>
          <w:sz w:val="24"/>
          <w:szCs w:val="24"/>
        </w:rPr>
        <w:t>发包人不允许分包的工程范围为：</w:t>
      </w:r>
      <w:r>
        <w:rPr>
          <w:rFonts w:hint="eastAsia" w:ascii="宋体" w:hAnsi="宋体" w:eastAsia="宋体" w:cs="宋体"/>
          <w:spacing w:val="-2"/>
          <w:sz w:val="24"/>
          <w:szCs w:val="24"/>
          <w:u w:val="single"/>
        </w:rPr>
        <w:t>承包人按照合同约定或者经发包人书面同意，可以将中标项目中“广东省交通运输厅动态更新的公路工程施工分包负面清单”以外的部分单位工程、分部工程或者分项工程分包给满足相应条件的其他专业施工单位完成，公路工程施工分包负面清单所列主体和关键性工作不得进行施工分包；</w:t>
      </w:r>
      <w:r>
        <w:rPr>
          <w:rFonts w:ascii="宋体" w:hAnsi="宋体" w:eastAsia="宋体" w:cs="宋体"/>
          <w:spacing w:val="-2"/>
          <w:sz w:val="24"/>
          <w:szCs w:val="24"/>
        </w:rPr>
        <w:t>。</w:t>
      </w:r>
    </w:p>
    <w:p w14:paraId="240BED64">
      <w:pPr>
        <w:spacing w:before="183" w:line="360" w:lineRule="auto"/>
        <w:ind w:left="12" w:right="1" w:firstLine="477"/>
        <w:rPr>
          <w:rFonts w:ascii="宋体" w:hAnsi="宋体" w:eastAsia="宋体" w:cs="宋体"/>
          <w:sz w:val="24"/>
          <w:szCs w:val="24"/>
        </w:rPr>
      </w:pPr>
      <w:r>
        <w:rPr>
          <w:rFonts w:ascii="宋体" w:hAnsi="宋体" w:eastAsia="宋体" w:cs="宋体"/>
          <w:spacing w:val="-2"/>
          <w:sz w:val="24"/>
          <w:szCs w:val="24"/>
        </w:rPr>
        <w:t>承包人如有分包计划，所有的分包必须符合交通运输部现行《公路工程施工分包管理办法》及《广东省交通运输厅关于公路工程施工分包管理实施细则》关于施工分包和</w:t>
      </w:r>
      <w:r>
        <w:rPr>
          <w:rFonts w:ascii="宋体" w:hAnsi="宋体" w:eastAsia="宋体" w:cs="宋体"/>
          <w:spacing w:val="-5"/>
          <w:sz w:val="24"/>
          <w:szCs w:val="24"/>
        </w:rPr>
        <w:t>劳务合作的有关规定。</w:t>
      </w:r>
    </w:p>
    <w:p w14:paraId="4638ED78">
      <w:pPr>
        <w:spacing w:before="4" w:line="359" w:lineRule="auto"/>
        <w:ind w:left="10" w:firstLine="482"/>
        <w:jc w:val="both"/>
        <w:rPr>
          <w:rFonts w:ascii="宋体" w:hAnsi="宋体" w:eastAsia="宋体" w:cs="宋体"/>
          <w:sz w:val="24"/>
          <w:szCs w:val="24"/>
        </w:rPr>
      </w:pPr>
      <w:r>
        <w:rPr>
          <w:rFonts w:ascii="宋体" w:hAnsi="宋体" w:eastAsia="宋体" w:cs="宋体"/>
          <w:spacing w:val="-2"/>
          <w:sz w:val="24"/>
          <w:szCs w:val="24"/>
        </w:rPr>
        <w:t>如实际的分包单价（或总额价）超出承包人与发包人签定的承包合同对应的清单单</w:t>
      </w:r>
      <w:r>
        <w:rPr>
          <w:rFonts w:ascii="宋体" w:hAnsi="宋体" w:eastAsia="宋体" w:cs="宋体"/>
          <w:spacing w:val="-1"/>
          <w:sz w:val="24"/>
          <w:szCs w:val="24"/>
        </w:rPr>
        <w:t>价（或总额价</w:t>
      </w:r>
      <w:r>
        <w:rPr>
          <w:rFonts w:ascii="宋体" w:hAnsi="宋体" w:eastAsia="宋体" w:cs="宋体"/>
          <w:spacing w:val="-12"/>
          <w:sz w:val="24"/>
          <w:szCs w:val="24"/>
        </w:rPr>
        <w:t>），</w:t>
      </w:r>
      <w:r>
        <w:rPr>
          <w:rFonts w:ascii="宋体" w:hAnsi="宋体" w:eastAsia="宋体" w:cs="宋体"/>
          <w:spacing w:val="-1"/>
          <w:sz w:val="24"/>
          <w:szCs w:val="24"/>
        </w:rPr>
        <w:t>视为承包人的风险，承包人应从合同总价中进行调配，发包人不因此</w:t>
      </w:r>
      <w:r>
        <w:rPr>
          <w:rFonts w:ascii="宋体" w:hAnsi="宋体" w:eastAsia="宋体" w:cs="宋体"/>
          <w:spacing w:val="-4"/>
          <w:sz w:val="24"/>
          <w:szCs w:val="24"/>
        </w:rPr>
        <w:t>向承包人增加支付任何费用。</w:t>
      </w:r>
    </w:p>
    <w:p w14:paraId="5D85EA5E">
      <w:pPr>
        <w:spacing w:line="360" w:lineRule="auto"/>
        <w:ind w:left="12" w:right="1" w:firstLine="477"/>
        <w:rPr>
          <w:rFonts w:ascii="宋体" w:hAnsi="宋体" w:eastAsia="宋体" w:cs="宋体"/>
          <w:sz w:val="24"/>
          <w:szCs w:val="24"/>
        </w:rPr>
      </w:pPr>
      <w:r>
        <w:rPr>
          <w:rFonts w:ascii="宋体" w:hAnsi="宋体" w:eastAsia="宋体" w:cs="宋体"/>
          <w:spacing w:val="-2"/>
          <w:sz w:val="24"/>
          <w:szCs w:val="24"/>
        </w:rPr>
        <w:t>承包人应无条件提供本合同段的临时工程和设施（包括但不限于便道、便桥、电力线路等）供分包人使用，不得向分包人收取临时工程和设施费用。</w:t>
      </w:r>
    </w:p>
    <w:p w14:paraId="5806FE28">
      <w:pPr>
        <w:spacing w:line="360" w:lineRule="auto"/>
        <w:ind w:left="8" w:right="1" w:firstLine="483"/>
        <w:jc w:val="both"/>
        <w:rPr>
          <w:rFonts w:ascii="宋体" w:hAnsi="宋体" w:eastAsia="宋体" w:cs="宋体"/>
          <w:sz w:val="24"/>
          <w:szCs w:val="24"/>
        </w:rPr>
      </w:pPr>
      <w:r>
        <w:rPr>
          <w:rFonts w:ascii="宋体" w:hAnsi="宋体" w:eastAsia="宋体" w:cs="宋体"/>
          <w:spacing w:val="-2"/>
          <w:sz w:val="24"/>
          <w:szCs w:val="24"/>
        </w:rPr>
        <w:t>工程的计量由承包人负责统一上报，承包人应将发包人支付的属分包人部分的款项</w:t>
      </w:r>
      <w:r>
        <w:rPr>
          <w:rFonts w:ascii="宋体" w:hAnsi="宋体" w:eastAsia="宋体" w:cs="宋体"/>
          <w:spacing w:val="-5"/>
          <w:sz w:val="24"/>
          <w:szCs w:val="24"/>
        </w:rPr>
        <w:t>及时向分包人支付。发包人有权根据具体情况将相应款项直接向分包人支付， 并从应付</w:t>
      </w:r>
      <w:r>
        <w:rPr>
          <w:rFonts w:ascii="宋体" w:hAnsi="宋体" w:eastAsia="宋体" w:cs="宋体"/>
          <w:spacing w:val="-2"/>
          <w:sz w:val="24"/>
          <w:szCs w:val="24"/>
        </w:rPr>
        <w:t>给承包人款项中相应扣回。承包人须负责分包部分原始资料的存档和竣工资料的统一编制等工作。发包人对承包人分包工程的同意并不免除承包人应承担的责任和义务。承包</w:t>
      </w:r>
      <w:r>
        <w:rPr>
          <w:rFonts w:ascii="宋体" w:hAnsi="宋体" w:eastAsia="宋体" w:cs="宋体"/>
          <w:spacing w:val="-6"/>
          <w:sz w:val="24"/>
          <w:szCs w:val="24"/>
        </w:rPr>
        <w:t>人应将任何分包人、分包代理人、雇员或工人的行为、违约和疏忽，</w:t>
      </w:r>
      <w:r>
        <w:rPr>
          <w:rFonts w:ascii="宋体" w:hAnsi="宋体" w:eastAsia="宋体" w:cs="宋体"/>
          <w:spacing w:val="50"/>
          <w:sz w:val="24"/>
          <w:szCs w:val="24"/>
        </w:rPr>
        <w:t xml:space="preserve"> </w:t>
      </w:r>
      <w:r>
        <w:rPr>
          <w:rFonts w:ascii="宋体" w:hAnsi="宋体" w:eastAsia="宋体" w:cs="宋体"/>
          <w:spacing w:val="-6"/>
          <w:sz w:val="24"/>
          <w:szCs w:val="24"/>
        </w:rPr>
        <w:t>视为承包人自己的</w:t>
      </w:r>
      <w:r>
        <w:rPr>
          <w:rFonts w:ascii="宋体" w:hAnsi="宋体" w:eastAsia="宋体" w:cs="宋体"/>
          <w:spacing w:val="-3"/>
          <w:sz w:val="24"/>
          <w:szCs w:val="24"/>
        </w:rPr>
        <w:t>行为、违约和疏忽，并为之负完全的责任。</w:t>
      </w:r>
    </w:p>
    <w:p w14:paraId="07219A4F">
      <w:pPr>
        <w:spacing w:before="78" w:line="360" w:lineRule="auto"/>
        <w:ind w:left="10" w:right="87" w:firstLine="1"/>
        <w:jc w:val="both"/>
        <w:rPr>
          <w:rFonts w:ascii="宋体" w:hAnsi="宋体" w:eastAsia="宋体" w:cs="宋体"/>
          <w:sz w:val="24"/>
          <w:szCs w:val="24"/>
        </w:rPr>
      </w:pPr>
      <w:r>
        <w:rPr>
          <w:rFonts w:ascii="宋体" w:hAnsi="宋体" w:eastAsia="宋体" w:cs="宋体"/>
          <w:spacing w:val="-5"/>
          <w:sz w:val="24"/>
          <w:szCs w:val="24"/>
        </w:rPr>
        <w:t>承包人应依照部、省相关公路工程分包管理规定， 按照合同约定或者经发包人书面</w:t>
      </w:r>
      <w:r>
        <w:rPr>
          <w:rFonts w:ascii="宋体" w:hAnsi="宋体" w:eastAsia="宋体" w:cs="宋体"/>
          <w:spacing w:val="-2"/>
          <w:sz w:val="24"/>
          <w:szCs w:val="24"/>
        </w:rPr>
        <w:t>同意，可以将中标项目中负面清单以外的部分单位工程、分部工程或者分项工程分包给满足相应条件的其他专业施工单位完成。负面清单所列主体和关键性工作不得进行施工</w:t>
      </w:r>
      <w:r>
        <w:rPr>
          <w:rFonts w:ascii="宋体" w:hAnsi="宋体" w:eastAsia="宋体" w:cs="宋体"/>
          <w:spacing w:val="-6"/>
          <w:sz w:val="24"/>
          <w:szCs w:val="24"/>
        </w:rPr>
        <w:t>分包。但因工程变更等原因，</w:t>
      </w:r>
      <w:r>
        <w:rPr>
          <w:rFonts w:ascii="宋体" w:hAnsi="宋体" w:eastAsia="宋体" w:cs="宋体"/>
          <w:spacing w:val="47"/>
          <w:sz w:val="24"/>
          <w:szCs w:val="24"/>
        </w:rPr>
        <w:t xml:space="preserve"> </w:t>
      </w:r>
      <w:r>
        <w:rPr>
          <w:rFonts w:ascii="宋体" w:hAnsi="宋体" w:eastAsia="宋体" w:cs="宋体"/>
          <w:spacing w:val="-6"/>
          <w:sz w:val="24"/>
          <w:szCs w:val="24"/>
        </w:rPr>
        <w:t>增加有特殊性技术要求、特殊工艺或者涉及专利保护等的</w:t>
      </w:r>
      <w:r>
        <w:rPr>
          <w:rFonts w:ascii="宋体" w:hAnsi="宋体" w:eastAsia="宋体" w:cs="宋体"/>
          <w:spacing w:val="-2"/>
          <w:sz w:val="24"/>
          <w:szCs w:val="24"/>
        </w:rPr>
        <w:t>专项工程，且按照规定无须再进行招标的，以及工程实施中承包人和发包人一致认为对</w:t>
      </w:r>
      <w:r>
        <w:rPr>
          <w:rFonts w:ascii="宋体" w:hAnsi="宋体" w:eastAsia="宋体" w:cs="宋体"/>
          <w:spacing w:val="-7"/>
          <w:sz w:val="24"/>
          <w:szCs w:val="24"/>
        </w:rPr>
        <w:t>专项工程实行专项分包，有利于项目工程质量、安全、进度和造价管理的，</w:t>
      </w:r>
      <w:r>
        <w:rPr>
          <w:rFonts w:ascii="宋体" w:hAnsi="宋体" w:eastAsia="宋体" w:cs="宋体"/>
          <w:spacing w:val="86"/>
          <w:sz w:val="24"/>
          <w:szCs w:val="24"/>
        </w:rPr>
        <w:t xml:space="preserve"> </w:t>
      </w:r>
      <w:r>
        <w:rPr>
          <w:rFonts w:ascii="宋体" w:hAnsi="宋体" w:eastAsia="宋体" w:cs="宋体"/>
          <w:spacing w:val="-7"/>
          <w:sz w:val="24"/>
          <w:szCs w:val="24"/>
        </w:rPr>
        <w:t>由承包人提</w:t>
      </w:r>
      <w:r>
        <w:rPr>
          <w:rFonts w:ascii="宋体" w:hAnsi="宋体" w:eastAsia="宋体" w:cs="宋体"/>
          <w:spacing w:val="-2"/>
          <w:sz w:val="24"/>
          <w:szCs w:val="24"/>
        </w:rPr>
        <w:t>出书面申请，报监理人审查，经发包人书面同意，可以分包。</w:t>
      </w:r>
    </w:p>
    <w:p w14:paraId="1B7711F2">
      <w:pPr>
        <w:spacing w:line="360" w:lineRule="auto"/>
        <w:ind w:left="12" w:right="87" w:firstLine="478"/>
        <w:rPr>
          <w:rFonts w:ascii="宋体" w:hAnsi="宋体" w:eastAsia="宋体" w:cs="宋体"/>
          <w:sz w:val="24"/>
          <w:szCs w:val="24"/>
        </w:rPr>
      </w:pPr>
      <w:r>
        <w:rPr>
          <w:rFonts w:ascii="宋体" w:hAnsi="宋体" w:eastAsia="宋体" w:cs="宋体"/>
          <w:spacing w:val="-2"/>
          <w:sz w:val="24"/>
          <w:szCs w:val="24"/>
        </w:rPr>
        <w:t>房建工程分包或劳务合作应满足《广东省公路房建工程建设管理指南》中的人员管理、施工管理、施工标准化、质量通病及防治措施等有关规定。</w:t>
      </w:r>
    </w:p>
    <w:p w14:paraId="35229EF0">
      <w:pPr>
        <w:spacing w:before="2" w:line="359" w:lineRule="auto"/>
        <w:ind w:left="16" w:right="87" w:firstLine="471"/>
        <w:rPr>
          <w:rFonts w:ascii="宋体" w:hAnsi="宋体" w:eastAsia="宋体" w:cs="宋体"/>
          <w:sz w:val="24"/>
          <w:szCs w:val="24"/>
        </w:rPr>
      </w:pPr>
      <w:r>
        <w:rPr>
          <w:rFonts w:ascii="宋体" w:hAnsi="宋体" w:eastAsia="宋体" w:cs="宋体"/>
          <w:spacing w:val="-1"/>
          <w:sz w:val="24"/>
          <w:szCs w:val="24"/>
        </w:rPr>
        <w:t>4.3.3 分包人的资格能力应与其分包工</w:t>
      </w:r>
      <w:r>
        <w:rPr>
          <w:rFonts w:ascii="宋体" w:hAnsi="宋体" w:eastAsia="宋体" w:cs="宋体"/>
          <w:spacing w:val="-2"/>
          <w:sz w:val="24"/>
          <w:szCs w:val="24"/>
        </w:rPr>
        <w:t>程的标准和规模相适应，分包人应当具备如</w:t>
      </w:r>
      <w:r>
        <w:rPr>
          <w:rFonts w:ascii="宋体" w:hAnsi="宋体" w:eastAsia="宋体" w:cs="宋体"/>
          <w:spacing w:val="-14"/>
          <w:sz w:val="24"/>
          <w:szCs w:val="24"/>
        </w:rPr>
        <w:t>下条件：</w:t>
      </w:r>
    </w:p>
    <w:p w14:paraId="4320367B">
      <w:pPr>
        <w:spacing w:before="1" w:line="218" w:lineRule="auto"/>
        <w:ind w:left="490"/>
        <w:rPr>
          <w:rFonts w:ascii="宋体" w:hAnsi="宋体" w:eastAsia="宋体" w:cs="宋体"/>
          <w:sz w:val="24"/>
          <w:szCs w:val="24"/>
        </w:rPr>
      </w:pPr>
      <w:r>
        <w:rPr>
          <w:rFonts w:ascii="宋体" w:hAnsi="宋体" w:eastAsia="宋体" w:cs="宋体"/>
          <w:spacing w:val="-5"/>
          <w:sz w:val="24"/>
          <w:szCs w:val="24"/>
        </w:rPr>
        <w:t>a.具有经依法登记的法人资格；</w:t>
      </w:r>
    </w:p>
    <w:p w14:paraId="43C41A15">
      <w:pPr>
        <w:spacing w:before="182" w:line="220" w:lineRule="auto"/>
        <w:ind w:left="485"/>
        <w:rPr>
          <w:rFonts w:ascii="宋体" w:hAnsi="宋体" w:eastAsia="宋体" w:cs="宋体"/>
          <w:sz w:val="24"/>
          <w:szCs w:val="24"/>
        </w:rPr>
      </w:pPr>
      <w:r>
        <w:rPr>
          <w:rFonts w:ascii="宋体" w:hAnsi="宋体" w:eastAsia="宋体" w:cs="宋体"/>
          <w:spacing w:val="-3"/>
          <w:sz w:val="24"/>
          <w:szCs w:val="24"/>
        </w:rPr>
        <w:t>b.具有从事类似工程经验的管理与技术人员；</w:t>
      </w:r>
    </w:p>
    <w:p w14:paraId="5837458D">
      <w:pPr>
        <w:spacing w:before="182" w:line="220" w:lineRule="auto"/>
        <w:ind w:left="494"/>
        <w:rPr>
          <w:rFonts w:ascii="宋体" w:hAnsi="宋体" w:eastAsia="宋体" w:cs="宋体"/>
          <w:sz w:val="24"/>
          <w:szCs w:val="24"/>
        </w:rPr>
      </w:pPr>
      <w:r>
        <w:rPr>
          <w:rFonts w:ascii="宋体" w:hAnsi="宋体" w:eastAsia="宋体" w:cs="宋体"/>
          <w:spacing w:val="-3"/>
          <w:sz w:val="24"/>
          <w:szCs w:val="24"/>
        </w:rPr>
        <w:t>c.具有（自有或租赁）分包工程所需的施工设备和辅助设施；</w:t>
      </w:r>
    </w:p>
    <w:p w14:paraId="7E5FED3A">
      <w:pPr>
        <w:spacing w:before="182" w:line="360" w:lineRule="auto"/>
        <w:ind w:left="32" w:right="87" w:firstLine="461"/>
        <w:rPr>
          <w:rFonts w:ascii="宋体" w:hAnsi="宋体" w:eastAsia="宋体" w:cs="宋体"/>
          <w:sz w:val="24"/>
          <w:szCs w:val="24"/>
        </w:rPr>
      </w:pPr>
      <w:r>
        <w:rPr>
          <w:rFonts w:ascii="宋体" w:hAnsi="宋体" w:eastAsia="宋体" w:cs="宋体"/>
          <w:spacing w:val="-2"/>
          <w:sz w:val="24"/>
          <w:szCs w:val="24"/>
        </w:rPr>
        <w:t>d.单位工程设有资质要求的，单位工程及所含分部工程、分项工程的分包人应具备</w:t>
      </w:r>
      <w:r>
        <w:rPr>
          <w:rFonts w:ascii="宋体" w:hAnsi="宋体" w:eastAsia="宋体" w:cs="宋体"/>
          <w:spacing w:val="-6"/>
          <w:sz w:val="24"/>
          <w:szCs w:val="24"/>
        </w:rPr>
        <w:t>国家规定的相应专业承包资质条件；</w:t>
      </w:r>
    </w:p>
    <w:p w14:paraId="2E696B69">
      <w:pPr>
        <w:spacing w:before="1" w:line="237" w:lineRule="auto"/>
        <w:ind w:left="495"/>
        <w:rPr>
          <w:rFonts w:ascii="宋体" w:hAnsi="宋体" w:eastAsia="宋体" w:cs="宋体"/>
          <w:sz w:val="24"/>
          <w:szCs w:val="24"/>
        </w:rPr>
      </w:pPr>
      <w:r>
        <w:rPr>
          <w:rFonts w:ascii="宋体" w:hAnsi="宋体" w:eastAsia="宋体" w:cs="宋体"/>
          <w:spacing w:val="-6"/>
          <w:sz w:val="24"/>
          <w:szCs w:val="24"/>
        </w:rPr>
        <w:t>e.</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14:paraId="59947594">
      <w:pPr>
        <w:spacing w:before="159" w:line="360" w:lineRule="auto"/>
        <w:ind w:left="10" w:right="87" w:firstLine="478"/>
        <w:rPr>
          <w:rFonts w:ascii="宋体" w:hAnsi="宋体" w:eastAsia="宋体" w:cs="宋体"/>
          <w:sz w:val="24"/>
          <w:szCs w:val="24"/>
        </w:rPr>
      </w:pPr>
      <w:r>
        <w:rPr>
          <w:rFonts w:ascii="宋体" w:hAnsi="宋体" w:eastAsia="宋体" w:cs="宋体"/>
          <w:spacing w:val="-1"/>
          <w:sz w:val="24"/>
          <w:szCs w:val="24"/>
        </w:rPr>
        <w:t>4.3.4 分包人不得将承接的分包工程再</w:t>
      </w:r>
      <w:r>
        <w:rPr>
          <w:rFonts w:ascii="宋体" w:hAnsi="宋体" w:eastAsia="宋体" w:cs="宋体"/>
          <w:spacing w:val="-2"/>
          <w:sz w:val="24"/>
          <w:szCs w:val="24"/>
        </w:rPr>
        <w:t>进行分包和转包，但可将劳务作业分包给具有施工劳务资质或专业作业资质的劳务合作企业。</w:t>
      </w:r>
    </w:p>
    <w:p w14:paraId="7559F7F0">
      <w:pPr>
        <w:spacing w:before="6" w:line="359" w:lineRule="auto"/>
        <w:ind w:left="9" w:firstLine="479"/>
        <w:rPr>
          <w:rFonts w:ascii="宋体" w:hAnsi="宋体" w:eastAsia="宋体" w:cs="宋体"/>
          <w:sz w:val="24"/>
          <w:szCs w:val="24"/>
        </w:rPr>
      </w:pPr>
      <w:r>
        <w:rPr>
          <w:rFonts w:ascii="宋体" w:hAnsi="宋体" w:eastAsia="宋体" w:cs="宋体"/>
          <w:spacing w:val="-1"/>
          <w:sz w:val="24"/>
          <w:szCs w:val="24"/>
        </w:rPr>
        <w:t>4.3.5 承包人和分包人应依法签订分包</w:t>
      </w:r>
      <w:r>
        <w:rPr>
          <w:rFonts w:ascii="宋体" w:hAnsi="宋体" w:eastAsia="宋体" w:cs="宋体"/>
          <w:spacing w:val="-2"/>
          <w:sz w:val="24"/>
          <w:szCs w:val="24"/>
        </w:rPr>
        <w:t>合同，并履行合同约定的义务。分包合同可</w:t>
      </w:r>
      <w:r>
        <w:rPr>
          <w:rFonts w:ascii="宋体" w:hAnsi="宋体" w:eastAsia="宋体" w:cs="宋体"/>
          <w:sz w:val="24"/>
          <w:szCs w:val="24"/>
        </w:rPr>
        <w:t>参照交通运输主管部门制定的示范格式文本编写，但必须遵循本合同约定的各项原则，</w:t>
      </w:r>
      <w:r>
        <w:rPr>
          <w:rFonts w:ascii="宋体" w:hAnsi="宋体" w:eastAsia="宋体" w:cs="宋体"/>
          <w:spacing w:val="-5"/>
          <w:sz w:val="24"/>
          <w:szCs w:val="24"/>
        </w:rPr>
        <w:t>满足本合同中的质量、安全、进度、环保、农民工工</w:t>
      </w:r>
      <w:r>
        <w:rPr>
          <w:rFonts w:ascii="宋体" w:hAnsi="宋体" w:eastAsia="宋体" w:cs="宋体"/>
          <w:spacing w:val="-6"/>
          <w:sz w:val="24"/>
          <w:szCs w:val="24"/>
        </w:rPr>
        <w:t>资管理以及其他技术、经济等要求。</w:t>
      </w:r>
      <w:r>
        <w:rPr>
          <w:rFonts w:ascii="宋体" w:hAnsi="宋体" w:eastAsia="宋体" w:cs="宋体"/>
          <w:spacing w:val="-5"/>
          <w:sz w:val="24"/>
          <w:szCs w:val="24"/>
        </w:rPr>
        <w:t>分包合同必须明确约定工程款支付条款、结算方式以及保证按期支付的相应措施， 确保</w:t>
      </w:r>
      <w:r>
        <w:rPr>
          <w:rFonts w:ascii="宋体" w:hAnsi="宋体" w:eastAsia="宋体" w:cs="宋体"/>
          <w:spacing w:val="-6"/>
          <w:sz w:val="24"/>
          <w:szCs w:val="24"/>
        </w:rPr>
        <w:t>工程款的支付。</w:t>
      </w:r>
    </w:p>
    <w:p w14:paraId="2A8A9EA9">
      <w:pPr>
        <w:spacing w:line="360" w:lineRule="auto"/>
        <w:ind w:left="9" w:right="2" w:firstLine="479"/>
        <w:rPr>
          <w:rFonts w:ascii="宋体" w:hAnsi="宋体" w:eastAsia="宋体" w:cs="宋体"/>
          <w:sz w:val="24"/>
          <w:szCs w:val="24"/>
        </w:rPr>
      </w:pPr>
      <w:r>
        <w:rPr>
          <w:rFonts w:ascii="宋体" w:hAnsi="宋体" w:eastAsia="宋体" w:cs="宋体"/>
          <w:spacing w:val="-1"/>
          <w:sz w:val="24"/>
          <w:szCs w:val="24"/>
        </w:rPr>
        <w:t>4.3.6 承包人、项目部应按照《广东省公路工</w:t>
      </w:r>
      <w:r>
        <w:rPr>
          <w:rFonts w:ascii="宋体" w:hAnsi="宋体" w:eastAsia="宋体" w:cs="宋体"/>
          <w:spacing w:val="-2"/>
          <w:sz w:val="24"/>
          <w:szCs w:val="24"/>
        </w:rPr>
        <w:t>程施工项目部管理指南（试行）》第8</w:t>
      </w:r>
      <w:r>
        <w:rPr>
          <w:rFonts w:ascii="宋体" w:hAnsi="宋体" w:eastAsia="宋体" w:cs="宋体"/>
          <w:spacing w:val="-20"/>
          <w:sz w:val="24"/>
          <w:szCs w:val="24"/>
        </w:rPr>
        <w:t xml:space="preserve"> </w:t>
      </w:r>
      <w:r>
        <w:rPr>
          <w:rFonts w:ascii="宋体" w:hAnsi="宋体" w:eastAsia="宋体" w:cs="宋体"/>
          <w:spacing w:val="-2"/>
          <w:sz w:val="24"/>
          <w:szCs w:val="24"/>
        </w:rPr>
        <w:t>点全面做好分包和劳务合作管理，应构建包括分包单位、劳务合作企业、施工班组、材料供应商与机械设备租赁商的多层级组织管理架构，建立“管、监”分离的质量安全</w:t>
      </w:r>
      <w:r>
        <w:rPr>
          <w:rFonts w:ascii="宋体" w:hAnsi="宋体" w:eastAsia="宋体" w:cs="宋体"/>
          <w:spacing w:val="-6"/>
          <w:sz w:val="24"/>
          <w:szCs w:val="24"/>
        </w:rPr>
        <w:t>保证体系，确保在项目部、分包单位以及劳务合作企业各</w:t>
      </w:r>
      <w:r>
        <w:rPr>
          <w:rFonts w:ascii="宋体" w:hAnsi="宋体" w:eastAsia="宋体" w:cs="宋体"/>
          <w:spacing w:val="-7"/>
          <w:sz w:val="24"/>
          <w:szCs w:val="24"/>
        </w:rPr>
        <w:t>层级均有效运行，</w:t>
      </w:r>
      <w:r>
        <w:rPr>
          <w:rFonts w:ascii="宋体" w:hAnsi="宋体" w:eastAsia="宋体" w:cs="宋体"/>
          <w:spacing w:val="62"/>
          <w:sz w:val="24"/>
          <w:szCs w:val="24"/>
        </w:rPr>
        <w:t xml:space="preserve"> </w:t>
      </w:r>
      <w:r>
        <w:rPr>
          <w:rFonts w:ascii="宋体" w:hAnsi="宋体" w:eastAsia="宋体" w:cs="宋体"/>
          <w:spacing w:val="-7"/>
          <w:sz w:val="24"/>
          <w:szCs w:val="24"/>
        </w:rPr>
        <w:t>防止保证体</w:t>
      </w:r>
      <w:r>
        <w:rPr>
          <w:rFonts w:ascii="宋体" w:hAnsi="宋体" w:eastAsia="宋体" w:cs="宋体"/>
          <w:spacing w:val="-8"/>
          <w:sz w:val="24"/>
          <w:szCs w:val="24"/>
        </w:rPr>
        <w:t>系“空转”。切实加强对分包单位及施工班组管理的透明化</w:t>
      </w:r>
      <w:r>
        <w:rPr>
          <w:rFonts w:ascii="宋体" w:hAnsi="宋体" w:eastAsia="宋体" w:cs="宋体"/>
          <w:spacing w:val="-9"/>
          <w:sz w:val="24"/>
          <w:szCs w:val="24"/>
        </w:rPr>
        <w:t>、规范化， 不得“以包代管、</w:t>
      </w:r>
      <w:r>
        <w:rPr>
          <w:rFonts w:ascii="宋体" w:hAnsi="宋体" w:eastAsia="宋体" w:cs="宋体"/>
          <w:spacing w:val="-2"/>
          <w:sz w:val="24"/>
          <w:szCs w:val="24"/>
        </w:rPr>
        <w:t>包而不管”，重点抓好对施工分包单位的分包工程质量、安全、进度、资金使用和管理</w:t>
      </w:r>
      <w:r>
        <w:rPr>
          <w:rFonts w:ascii="宋体" w:hAnsi="宋体" w:eastAsia="宋体" w:cs="宋体"/>
          <w:spacing w:val="-5"/>
          <w:sz w:val="24"/>
          <w:szCs w:val="24"/>
        </w:rPr>
        <w:t>行为等全过程管理，加强对其内控管理体系和</w:t>
      </w:r>
      <w:r>
        <w:rPr>
          <w:rFonts w:ascii="宋体" w:hAnsi="宋体" w:eastAsia="宋体" w:cs="宋体"/>
          <w:spacing w:val="-6"/>
          <w:sz w:val="24"/>
          <w:szCs w:val="24"/>
        </w:rPr>
        <w:t>主要人员履约、设备、材料等穿透式管理。</w:t>
      </w:r>
    </w:p>
    <w:p w14:paraId="6E46916B">
      <w:pPr>
        <w:pStyle w:val="2"/>
        <w:spacing w:line="268" w:lineRule="auto"/>
        <w:ind w:firstLine="476" w:firstLineChars="200"/>
      </w:pPr>
      <w:r>
        <w:rPr>
          <w:rFonts w:ascii="宋体" w:hAnsi="宋体" w:eastAsia="宋体" w:cs="宋体"/>
          <w:spacing w:val="-1"/>
          <w:sz w:val="24"/>
          <w:szCs w:val="24"/>
        </w:rPr>
        <w:t>4.3.7 承包人应在分包工程实施前，将</w:t>
      </w:r>
      <w:r>
        <w:rPr>
          <w:rFonts w:ascii="宋体" w:hAnsi="宋体" w:eastAsia="宋体" w:cs="宋体"/>
          <w:spacing w:val="-2"/>
          <w:sz w:val="24"/>
          <w:szCs w:val="24"/>
        </w:rPr>
        <w:t>经监理人审查同意后的分包合同以及分包人</w:t>
      </w:r>
      <w:r>
        <w:rPr>
          <w:rFonts w:ascii="宋体" w:hAnsi="宋体" w:eastAsia="宋体" w:cs="宋体"/>
          <w:spacing w:val="-4"/>
          <w:sz w:val="24"/>
          <w:szCs w:val="24"/>
        </w:rPr>
        <w:t>的资格能力证明材料报发包人批准。</w:t>
      </w:r>
    </w:p>
    <w:p w14:paraId="746F5CE6">
      <w:pPr>
        <w:spacing w:before="78" w:line="360" w:lineRule="auto"/>
        <w:ind w:left="8" w:right="114" w:firstLine="480"/>
        <w:jc w:val="both"/>
        <w:rPr>
          <w:rFonts w:ascii="宋体" w:hAnsi="宋体" w:eastAsia="宋体" w:cs="宋体"/>
          <w:sz w:val="24"/>
          <w:szCs w:val="24"/>
        </w:rPr>
      </w:pPr>
      <w:r>
        <w:rPr>
          <w:rFonts w:ascii="宋体" w:hAnsi="宋体" w:eastAsia="宋体" w:cs="宋体"/>
          <w:spacing w:val="-1"/>
          <w:sz w:val="24"/>
          <w:szCs w:val="24"/>
        </w:rPr>
        <w:t>4.3.8 承包人应建立健全相关分包管理</w:t>
      </w:r>
      <w:r>
        <w:rPr>
          <w:rFonts w:ascii="宋体" w:hAnsi="宋体" w:eastAsia="宋体" w:cs="宋体"/>
          <w:spacing w:val="-2"/>
          <w:sz w:val="24"/>
          <w:szCs w:val="24"/>
        </w:rPr>
        <w:t>制度和台账，对分包工程的质量、安全、进</w:t>
      </w:r>
      <w:r>
        <w:rPr>
          <w:rFonts w:ascii="宋体" w:hAnsi="宋体" w:eastAsia="宋体" w:cs="宋体"/>
          <w:spacing w:val="-5"/>
          <w:sz w:val="24"/>
          <w:szCs w:val="24"/>
        </w:rPr>
        <w:t>度、资金使用和分包人的行为等实施全过程管理， 按照本合同约定对分包工程的实施向</w:t>
      </w:r>
      <w:r>
        <w:rPr>
          <w:rFonts w:ascii="宋体" w:hAnsi="宋体" w:eastAsia="宋体" w:cs="宋体"/>
          <w:spacing w:val="-3"/>
          <w:sz w:val="24"/>
          <w:szCs w:val="24"/>
        </w:rPr>
        <w:t>发包人负责，并承担赔偿责任。</w:t>
      </w:r>
    </w:p>
    <w:p w14:paraId="0E458E45">
      <w:pPr>
        <w:spacing w:line="360" w:lineRule="auto"/>
        <w:ind w:left="8" w:right="114" w:firstLine="480"/>
        <w:jc w:val="both"/>
        <w:rPr>
          <w:rFonts w:ascii="宋体" w:hAnsi="宋体" w:eastAsia="宋体" w:cs="宋体"/>
          <w:sz w:val="24"/>
          <w:szCs w:val="24"/>
        </w:rPr>
      </w:pPr>
      <w:r>
        <w:rPr>
          <w:rFonts w:ascii="宋体" w:hAnsi="宋体" w:eastAsia="宋体" w:cs="宋体"/>
          <w:spacing w:val="-1"/>
          <w:sz w:val="24"/>
          <w:szCs w:val="24"/>
        </w:rPr>
        <w:t>4.3.9 分包人应设立现场管理机构，对</w:t>
      </w:r>
      <w:r>
        <w:rPr>
          <w:rFonts w:ascii="宋体" w:hAnsi="宋体" w:eastAsia="宋体" w:cs="宋体"/>
          <w:spacing w:val="-2"/>
          <w:sz w:val="24"/>
          <w:szCs w:val="24"/>
        </w:rPr>
        <w:t>所分包工程的施工活动实施管理。现场管理</w:t>
      </w:r>
      <w:r>
        <w:rPr>
          <w:rFonts w:ascii="宋体" w:hAnsi="宋体" w:eastAsia="宋体" w:cs="宋体"/>
          <w:spacing w:val="-6"/>
          <w:sz w:val="24"/>
          <w:szCs w:val="24"/>
        </w:rPr>
        <w:t>机构应具有与分包工程的规模、技术复杂程度相适应的技术、经济管理人员，</w:t>
      </w:r>
      <w:r>
        <w:rPr>
          <w:rFonts w:ascii="宋体" w:hAnsi="宋体" w:eastAsia="宋体" w:cs="宋体"/>
          <w:spacing w:val="50"/>
          <w:sz w:val="24"/>
          <w:szCs w:val="24"/>
        </w:rPr>
        <w:t xml:space="preserve"> </w:t>
      </w:r>
      <w:r>
        <w:rPr>
          <w:rFonts w:ascii="宋体" w:hAnsi="宋体" w:eastAsia="宋体" w:cs="宋体"/>
          <w:spacing w:val="-6"/>
          <w:sz w:val="24"/>
          <w:szCs w:val="24"/>
        </w:rPr>
        <w:t>其中项目</w:t>
      </w:r>
      <w:r>
        <w:rPr>
          <w:rFonts w:ascii="宋体" w:hAnsi="宋体" w:eastAsia="宋体" w:cs="宋体"/>
          <w:spacing w:val="-1"/>
          <w:sz w:val="24"/>
          <w:szCs w:val="24"/>
        </w:rPr>
        <w:t>负责人和技术、财务、计量、质量、安全等主要管理人员必须是分包</w:t>
      </w:r>
      <w:r>
        <w:rPr>
          <w:rFonts w:ascii="宋体" w:hAnsi="宋体" w:eastAsia="宋体" w:cs="宋体"/>
          <w:spacing w:val="-2"/>
          <w:sz w:val="24"/>
          <w:szCs w:val="24"/>
        </w:rPr>
        <w:t>人本单位人员。</w:t>
      </w:r>
    </w:p>
    <w:p w14:paraId="4D723290">
      <w:pPr>
        <w:spacing w:before="5" w:line="359" w:lineRule="auto"/>
        <w:ind w:left="11" w:right="101" w:firstLine="477"/>
        <w:rPr>
          <w:rFonts w:ascii="宋体" w:hAnsi="宋体" w:eastAsia="宋体" w:cs="宋体"/>
          <w:sz w:val="24"/>
          <w:szCs w:val="24"/>
        </w:rPr>
      </w:pPr>
      <w:r>
        <w:rPr>
          <w:rFonts w:ascii="宋体" w:hAnsi="宋体" w:eastAsia="宋体" w:cs="宋体"/>
          <w:spacing w:val="1"/>
          <w:sz w:val="24"/>
          <w:szCs w:val="24"/>
        </w:rPr>
        <w:t>4.3.10 分包人应自行编制分包工程的施工方案，经承包人审查同意后报监理人批</w:t>
      </w:r>
      <w:r>
        <w:rPr>
          <w:rFonts w:ascii="宋体" w:hAnsi="宋体" w:eastAsia="宋体" w:cs="宋体"/>
          <w:spacing w:val="-1"/>
          <w:sz w:val="24"/>
          <w:szCs w:val="24"/>
        </w:rPr>
        <w:t>准。分包人应依据分包合同的约定，自行组织分包工程的施工，</w:t>
      </w:r>
      <w:r>
        <w:rPr>
          <w:rFonts w:ascii="宋体" w:hAnsi="宋体" w:eastAsia="宋体" w:cs="宋体"/>
          <w:spacing w:val="-2"/>
          <w:sz w:val="24"/>
          <w:szCs w:val="24"/>
        </w:rPr>
        <w:t>并对分包工程的质量、</w:t>
      </w:r>
      <w:r>
        <w:rPr>
          <w:rFonts w:ascii="宋体" w:hAnsi="宋体" w:eastAsia="宋体" w:cs="宋体"/>
          <w:spacing w:val="-5"/>
          <w:sz w:val="24"/>
          <w:szCs w:val="24"/>
        </w:rPr>
        <w:t>安全和进度等实施有效控制。分包人对其分包的工程向承包人负责， 并就所分包的工程</w:t>
      </w:r>
      <w:r>
        <w:rPr>
          <w:rFonts w:ascii="宋体" w:hAnsi="宋体" w:eastAsia="宋体" w:cs="宋体"/>
          <w:spacing w:val="-4"/>
          <w:sz w:val="24"/>
          <w:szCs w:val="24"/>
        </w:rPr>
        <w:t>向发包人承担连带责任。</w:t>
      </w:r>
    </w:p>
    <w:p w14:paraId="6F667769">
      <w:pPr>
        <w:spacing w:before="2" w:line="359" w:lineRule="auto"/>
        <w:ind w:left="8" w:right="126" w:firstLine="480"/>
        <w:rPr>
          <w:rFonts w:ascii="宋体" w:hAnsi="宋体" w:eastAsia="宋体" w:cs="宋体"/>
          <w:sz w:val="24"/>
          <w:szCs w:val="24"/>
        </w:rPr>
      </w:pPr>
      <w:r>
        <w:rPr>
          <w:rFonts w:ascii="宋体" w:hAnsi="宋体" w:eastAsia="宋体" w:cs="宋体"/>
          <w:spacing w:val="1"/>
          <w:sz w:val="24"/>
          <w:szCs w:val="24"/>
        </w:rPr>
        <w:t>4.3.11 施工分包不减轻或免除承包人的责任和义务，承包人应与分包人就分包工</w:t>
      </w:r>
      <w:r>
        <w:rPr>
          <w:rFonts w:ascii="宋体" w:hAnsi="宋体" w:eastAsia="宋体" w:cs="宋体"/>
          <w:spacing w:val="-4"/>
          <w:sz w:val="24"/>
          <w:szCs w:val="24"/>
        </w:rPr>
        <w:t>程向发包人承担连带责任。</w:t>
      </w:r>
    </w:p>
    <w:p w14:paraId="49489214">
      <w:pPr>
        <w:spacing w:line="360" w:lineRule="auto"/>
        <w:ind w:left="8" w:right="29" w:firstLine="480"/>
        <w:rPr>
          <w:rFonts w:ascii="宋体" w:hAnsi="宋体" w:eastAsia="宋体" w:cs="宋体"/>
          <w:sz w:val="24"/>
          <w:szCs w:val="24"/>
        </w:rPr>
      </w:pPr>
      <w:r>
        <w:rPr>
          <w:rFonts w:ascii="宋体" w:hAnsi="宋体" w:eastAsia="宋体" w:cs="宋体"/>
          <w:spacing w:val="1"/>
          <w:sz w:val="24"/>
          <w:szCs w:val="24"/>
        </w:rPr>
        <w:t>4.3.12 劳务合作企业应具有施工劳务资质或专业作业资质。承包人和劳务合作企</w:t>
      </w:r>
      <w:r>
        <w:rPr>
          <w:rFonts w:ascii="宋体" w:hAnsi="宋体" w:eastAsia="宋体" w:cs="宋体"/>
          <w:spacing w:val="-5"/>
          <w:sz w:val="24"/>
          <w:szCs w:val="24"/>
        </w:rPr>
        <w:t>业应依法签订劳务合作合同。承包人应对劳务合</w:t>
      </w:r>
      <w:r>
        <w:rPr>
          <w:rFonts w:ascii="宋体" w:hAnsi="宋体" w:eastAsia="宋体" w:cs="宋体"/>
          <w:spacing w:val="-6"/>
          <w:sz w:val="24"/>
          <w:szCs w:val="24"/>
        </w:rPr>
        <w:t>作企业提供的劳务作业进行技术、质量、</w:t>
      </w:r>
      <w:r>
        <w:rPr>
          <w:rFonts w:ascii="宋体" w:hAnsi="宋体" w:eastAsia="宋体" w:cs="宋体"/>
          <w:spacing w:val="-3"/>
          <w:sz w:val="24"/>
          <w:szCs w:val="24"/>
        </w:rPr>
        <w:t>安全等方面的指导培训和有效管理。</w:t>
      </w:r>
    </w:p>
    <w:p w14:paraId="261235E4">
      <w:pPr>
        <w:spacing w:line="360" w:lineRule="auto"/>
        <w:ind w:left="9" w:firstLine="479"/>
        <w:rPr>
          <w:rFonts w:ascii="宋体" w:hAnsi="宋体" w:eastAsia="宋体" w:cs="宋体"/>
          <w:sz w:val="24"/>
          <w:szCs w:val="24"/>
        </w:rPr>
      </w:pPr>
      <w:r>
        <w:rPr>
          <w:rFonts w:ascii="宋体" w:hAnsi="宋体" w:eastAsia="宋体" w:cs="宋体"/>
          <w:spacing w:val="-2"/>
          <w:sz w:val="24"/>
          <w:szCs w:val="24"/>
        </w:rPr>
        <w:t>4.3.13 承包人应按照劳务合作合同约定对劳务合作企业的劳务作业人员进行管理，有关施工方案编制以及相关试验检测、工程控制测量、工程档案资料编制、质量安全管</w:t>
      </w:r>
      <w:r>
        <w:rPr>
          <w:rFonts w:ascii="宋体" w:hAnsi="宋体" w:eastAsia="宋体" w:cs="宋体"/>
          <w:spacing w:val="-5"/>
          <w:sz w:val="24"/>
          <w:szCs w:val="24"/>
        </w:rPr>
        <w:t>理等工作均由承包人统一组织实施。劳务作业人员应经培训后上岗， 特殊工种人员应持</w:t>
      </w:r>
      <w:r>
        <w:rPr>
          <w:rFonts w:ascii="宋体" w:hAnsi="宋体" w:eastAsia="宋体" w:cs="宋体"/>
          <w:spacing w:val="-9"/>
          <w:sz w:val="24"/>
          <w:szCs w:val="24"/>
        </w:rPr>
        <w:t>证上岗。</w:t>
      </w:r>
    </w:p>
    <w:p w14:paraId="32F391E7">
      <w:pPr>
        <w:spacing w:before="2" w:line="359" w:lineRule="auto"/>
        <w:ind w:left="10" w:right="126" w:firstLine="478"/>
        <w:rPr>
          <w:rFonts w:ascii="宋体" w:hAnsi="宋体" w:eastAsia="宋体" w:cs="宋体"/>
          <w:sz w:val="24"/>
          <w:szCs w:val="24"/>
        </w:rPr>
      </w:pPr>
      <w:r>
        <w:rPr>
          <w:rFonts w:ascii="宋体" w:hAnsi="宋体" w:eastAsia="宋体" w:cs="宋体"/>
          <w:spacing w:val="1"/>
          <w:sz w:val="24"/>
          <w:szCs w:val="24"/>
        </w:rPr>
        <w:t>4.3.14 承包人应妥善处理其与分包人、劳务合作企业之间的合同争议、纠纷，并</w:t>
      </w:r>
      <w:r>
        <w:rPr>
          <w:rFonts w:ascii="宋体" w:hAnsi="宋体" w:eastAsia="宋体" w:cs="宋体"/>
          <w:spacing w:val="-3"/>
          <w:sz w:val="24"/>
          <w:szCs w:val="24"/>
        </w:rPr>
        <w:t>保证发包人免于承担相应法律责任。</w:t>
      </w:r>
    </w:p>
    <w:p w14:paraId="68BF93CA">
      <w:pPr>
        <w:spacing w:before="1" w:line="218" w:lineRule="auto"/>
        <w:ind w:left="490"/>
        <w:rPr>
          <w:rFonts w:ascii="宋体" w:hAnsi="宋体" w:eastAsia="宋体" w:cs="宋体"/>
          <w:sz w:val="24"/>
          <w:szCs w:val="24"/>
        </w:rPr>
      </w:pPr>
      <w:r>
        <w:rPr>
          <w:rFonts w:ascii="宋体" w:hAnsi="宋体" w:eastAsia="宋体" w:cs="宋体"/>
          <w:spacing w:val="-3"/>
          <w:sz w:val="24"/>
          <w:szCs w:val="24"/>
        </w:rPr>
        <w:t>本款补充第</w:t>
      </w:r>
      <w:r>
        <w:rPr>
          <w:rFonts w:ascii="宋体" w:hAnsi="宋体" w:eastAsia="宋体" w:cs="宋体"/>
          <w:spacing w:val="-46"/>
          <w:sz w:val="24"/>
          <w:szCs w:val="24"/>
        </w:rPr>
        <w:t xml:space="preserve"> </w:t>
      </w:r>
      <w:r>
        <w:rPr>
          <w:rFonts w:ascii="宋体" w:hAnsi="宋体" w:eastAsia="宋体" w:cs="宋体"/>
          <w:spacing w:val="-3"/>
          <w:sz w:val="24"/>
          <w:szCs w:val="24"/>
        </w:rPr>
        <w:t>4.3.15、4.3.16</w:t>
      </w:r>
      <w:r>
        <w:rPr>
          <w:rFonts w:ascii="宋体" w:hAnsi="宋体" w:eastAsia="宋体" w:cs="宋体"/>
          <w:spacing w:val="-47"/>
          <w:sz w:val="24"/>
          <w:szCs w:val="24"/>
        </w:rPr>
        <w:t xml:space="preserve"> </w:t>
      </w:r>
      <w:r>
        <w:rPr>
          <w:rFonts w:ascii="宋体" w:hAnsi="宋体" w:eastAsia="宋体" w:cs="宋体"/>
          <w:spacing w:val="-3"/>
          <w:sz w:val="24"/>
          <w:szCs w:val="24"/>
        </w:rPr>
        <w:t>项：</w:t>
      </w:r>
    </w:p>
    <w:p w14:paraId="0ECBCA38">
      <w:pPr>
        <w:spacing w:before="183" w:line="219" w:lineRule="auto"/>
        <w:ind w:left="488"/>
        <w:rPr>
          <w:rFonts w:ascii="宋体" w:hAnsi="宋体" w:eastAsia="宋体" w:cs="宋体"/>
          <w:sz w:val="24"/>
          <w:szCs w:val="24"/>
        </w:rPr>
      </w:pPr>
      <w:r>
        <w:rPr>
          <w:rFonts w:ascii="宋体" w:hAnsi="宋体" w:eastAsia="宋体" w:cs="宋体"/>
          <w:spacing w:val="-2"/>
          <w:sz w:val="24"/>
          <w:szCs w:val="24"/>
        </w:rPr>
        <w:t>4.3.15</w:t>
      </w:r>
      <w:r>
        <w:rPr>
          <w:rFonts w:ascii="宋体" w:hAnsi="宋体" w:eastAsia="宋体" w:cs="宋体"/>
          <w:spacing w:val="-37"/>
          <w:sz w:val="24"/>
          <w:szCs w:val="24"/>
        </w:rPr>
        <w:t xml:space="preserve"> </w:t>
      </w:r>
      <w:r>
        <w:rPr>
          <w:rFonts w:ascii="宋体" w:hAnsi="宋体" w:eastAsia="宋体" w:cs="宋体"/>
          <w:spacing w:val="-2"/>
          <w:sz w:val="24"/>
          <w:szCs w:val="24"/>
        </w:rPr>
        <w:t>特殊的分包人或供货人</w:t>
      </w:r>
    </w:p>
    <w:p w14:paraId="41A75EF1">
      <w:pPr>
        <w:spacing w:before="183" w:line="360" w:lineRule="auto"/>
        <w:ind w:left="9" w:right="114" w:firstLine="482"/>
        <w:rPr>
          <w:rFonts w:ascii="宋体" w:hAnsi="宋体" w:eastAsia="宋体" w:cs="宋体"/>
          <w:sz w:val="24"/>
          <w:szCs w:val="24"/>
        </w:rPr>
      </w:pPr>
      <w:r>
        <w:rPr>
          <w:rFonts w:ascii="宋体" w:hAnsi="宋体" w:eastAsia="宋体" w:cs="宋体"/>
          <w:spacing w:val="-6"/>
          <w:sz w:val="24"/>
          <w:szCs w:val="24"/>
        </w:rPr>
        <w:t>为了履行合同中某专业化的或特殊工程或关</w:t>
      </w:r>
      <w:r>
        <w:rPr>
          <w:rFonts w:ascii="宋体" w:hAnsi="宋体" w:eastAsia="宋体" w:cs="宋体"/>
          <w:spacing w:val="-7"/>
          <w:sz w:val="24"/>
          <w:szCs w:val="24"/>
        </w:rPr>
        <w:t>键的、专项的材料、设备、供货，</w:t>
      </w:r>
      <w:r>
        <w:rPr>
          <w:rFonts w:ascii="宋体" w:hAnsi="宋体" w:eastAsia="宋体" w:cs="宋体"/>
          <w:spacing w:val="51"/>
          <w:sz w:val="24"/>
          <w:szCs w:val="24"/>
        </w:rPr>
        <w:t xml:space="preserve"> </w:t>
      </w:r>
      <w:r>
        <w:rPr>
          <w:rFonts w:ascii="宋体" w:hAnsi="宋体" w:eastAsia="宋体" w:cs="宋体"/>
          <w:spacing w:val="-7"/>
          <w:sz w:val="24"/>
          <w:szCs w:val="24"/>
        </w:rPr>
        <w:t>根据</w:t>
      </w:r>
      <w:r>
        <w:rPr>
          <w:rFonts w:ascii="宋体" w:hAnsi="宋体" w:eastAsia="宋体" w:cs="宋体"/>
          <w:spacing w:val="-2"/>
          <w:sz w:val="24"/>
          <w:szCs w:val="24"/>
        </w:rPr>
        <w:t>金额规模可以通过合法方式选定作为发包人的特殊分包人或供货人，并要求承包人与进行专项或供货分包的特殊分包人或供货人签订分包合同。分包合同须符合《广东省交通运输厅关于公路工程施工分包管理实施细则》的有关规定。</w:t>
      </w:r>
    </w:p>
    <w:p w14:paraId="260D4CE4">
      <w:pPr>
        <w:spacing w:before="78" w:line="360" w:lineRule="auto"/>
        <w:ind w:left="9" w:right="101" w:firstLine="1"/>
        <w:jc w:val="both"/>
        <w:rPr>
          <w:rFonts w:ascii="宋体" w:hAnsi="宋体" w:eastAsia="宋体" w:cs="宋体"/>
          <w:sz w:val="24"/>
          <w:szCs w:val="24"/>
        </w:rPr>
      </w:pPr>
      <w:r>
        <w:rPr>
          <w:rFonts w:ascii="宋体" w:hAnsi="宋体" w:eastAsia="宋体" w:cs="宋体"/>
          <w:spacing w:val="-6"/>
          <w:sz w:val="24"/>
          <w:szCs w:val="24"/>
        </w:rPr>
        <w:t>有关特殊分包的合同中，特殊分包人（或供货人）应独立地</w:t>
      </w:r>
      <w:r>
        <w:rPr>
          <w:rFonts w:ascii="宋体" w:hAnsi="宋体" w:eastAsia="宋体" w:cs="宋体"/>
          <w:spacing w:val="-7"/>
          <w:sz w:val="24"/>
          <w:szCs w:val="24"/>
        </w:rPr>
        <w:t>承担其合同责任和义务，</w:t>
      </w:r>
      <w:r>
        <w:rPr>
          <w:rFonts w:ascii="宋体" w:hAnsi="宋体" w:eastAsia="宋体" w:cs="宋体"/>
          <w:spacing w:val="-2"/>
          <w:sz w:val="24"/>
          <w:szCs w:val="24"/>
        </w:rPr>
        <w:t>不使承包人对发包人承担的合同责任和义务受到损害，也不使承包人承担因特殊的分包人（或供货人）未能履行责任、义务而引起的索赔、赔偿、诉讼费用及其他开支。承包人对于特殊分包人（或供货人）及其职工的过失而造成的损失不承担任何责任。如果特</w:t>
      </w:r>
      <w:r>
        <w:rPr>
          <w:rFonts w:ascii="宋体" w:hAnsi="宋体" w:eastAsia="宋体" w:cs="宋体"/>
          <w:spacing w:val="-5"/>
          <w:sz w:val="24"/>
          <w:szCs w:val="24"/>
        </w:rPr>
        <w:t>殊分包合同中含有与上述规定有悖的条款，承包人有权拒绝与此特殊分包人（或供货人）</w:t>
      </w:r>
      <w:r>
        <w:rPr>
          <w:rFonts w:ascii="宋体" w:hAnsi="宋体" w:eastAsia="宋体" w:cs="宋体"/>
          <w:spacing w:val="-8"/>
          <w:sz w:val="24"/>
          <w:szCs w:val="24"/>
        </w:rPr>
        <w:t>签订合同。</w:t>
      </w:r>
    </w:p>
    <w:p w14:paraId="6DCB6855">
      <w:pPr>
        <w:spacing w:before="2" w:line="359" w:lineRule="auto"/>
        <w:ind w:left="9" w:right="205" w:firstLine="480"/>
        <w:rPr>
          <w:rFonts w:ascii="宋体" w:hAnsi="宋体" w:eastAsia="宋体" w:cs="宋体"/>
          <w:sz w:val="24"/>
          <w:szCs w:val="24"/>
        </w:rPr>
      </w:pPr>
      <w:r>
        <w:rPr>
          <w:rFonts w:ascii="宋体" w:hAnsi="宋体" w:eastAsia="宋体" w:cs="宋体"/>
          <w:spacing w:val="-2"/>
          <w:sz w:val="24"/>
          <w:szCs w:val="24"/>
        </w:rPr>
        <w:t>特殊分包人（或供货人）承担部分的计量由承包人负责统一上报，承包人应将属特</w:t>
      </w:r>
      <w:r>
        <w:rPr>
          <w:rFonts w:ascii="宋体" w:hAnsi="宋体" w:eastAsia="宋体" w:cs="宋体"/>
          <w:spacing w:val="-1"/>
          <w:sz w:val="24"/>
          <w:szCs w:val="24"/>
        </w:rPr>
        <w:t>殊分包人（或供货人）的计量支付款项，及时向特殊分包人</w:t>
      </w:r>
      <w:r>
        <w:rPr>
          <w:rFonts w:ascii="宋体" w:hAnsi="宋体" w:eastAsia="宋体" w:cs="宋体"/>
          <w:spacing w:val="-2"/>
          <w:sz w:val="24"/>
          <w:szCs w:val="24"/>
        </w:rPr>
        <w:t>（或供货人）支付。</w:t>
      </w:r>
    </w:p>
    <w:p w14:paraId="7EFEBFF3">
      <w:pPr>
        <w:spacing w:before="2" w:line="359" w:lineRule="auto"/>
        <w:ind w:left="10" w:right="205" w:firstLine="479"/>
        <w:rPr>
          <w:rFonts w:ascii="宋体" w:hAnsi="宋体" w:eastAsia="宋体" w:cs="宋体"/>
          <w:sz w:val="24"/>
          <w:szCs w:val="24"/>
        </w:rPr>
      </w:pPr>
      <w:r>
        <w:rPr>
          <w:rFonts w:ascii="宋体" w:hAnsi="宋体" w:eastAsia="宋体" w:cs="宋体"/>
          <w:spacing w:val="-2"/>
          <w:sz w:val="24"/>
          <w:szCs w:val="24"/>
        </w:rPr>
        <w:t>特殊分包人（或供货人）承担部分的原始资料存档和竣工资料编制等工作，由所在</w:t>
      </w:r>
      <w:r>
        <w:rPr>
          <w:rFonts w:ascii="宋体" w:hAnsi="宋体" w:eastAsia="宋体" w:cs="宋体"/>
          <w:spacing w:val="-5"/>
          <w:sz w:val="24"/>
          <w:szCs w:val="24"/>
        </w:rPr>
        <w:t>合同段的承包人负责。</w:t>
      </w:r>
    </w:p>
    <w:p w14:paraId="75224084">
      <w:pPr>
        <w:spacing w:line="360" w:lineRule="auto"/>
        <w:ind w:left="11" w:right="205" w:firstLine="478"/>
        <w:jc w:val="both"/>
        <w:rPr>
          <w:rFonts w:ascii="宋体" w:hAnsi="宋体" w:eastAsia="宋体" w:cs="宋体"/>
          <w:sz w:val="24"/>
          <w:szCs w:val="24"/>
        </w:rPr>
      </w:pPr>
      <w:r>
        <w:rPr>
          <w:rFonts w:ascii="宋体" w:hAnsi="宋体" w:eastAsia="宋体" w:cs="宋体"/>
          <w:spacing w:val="-2"/>
          <w:sz w:val="24"/>
          <w:szCs w:val="24"/>
        </w:rPr>
        <w:t>承包人应无偿为特殊供货人的供料运输提供满足使用要求的便道便桥和码头，承包人负责卸料并负责将卸下的材料搬运至工地仓库或特定地点，由此所需的设备、人力和费用由承包人自行负责，承包人的仓库容量应满足相关要求。</w:t>
      </w:r>
    </w:p>
    <w:p w14:paraId="2ECDFD5A">
      <w:pPr>
        <w:spacing w:before="2" w:line="359" w:lineRule="auto"/>
        <w:ind w:left="7" w:right="216" w:firstLine="485"/>
        <w:rPr>
          <w:rFonts w:ascii="宋体" w:hAnsi="宋体" w:eastAsia="宋体" w:cs="宋体"/>
          <w:sz w:val="24"/>
          <w:szCs w:val="24"/>
        </w:rPr>
      </w:pPr>
      <w:r>
        <w:rPr>
          <w:rFonts w:ascii="宋体" w:hAnsi="宋体" w:eastAsia="宋体" w:cs="宋体"/>
          <w:sz w:val="24"/>
          <w:szCs w:val="24"/>
        </w:rPr>
        <w:t>如发生第</w:t>
      </w:r>
      <w:r>
        <w:rPr>
          <w:rFonts w:ascii="宋体" w:hAnsi="宋体" w:eastAsia="宋体" w:cs="宋体"/>
          <w:spacing w:val="-25"/>
          <w:sz w:val="24"/>
          <w:szCs w:val="24"/>
        </w:rPr>
        <w:t xml:space="preserve"> </w:t>
      </w:r>
      <w:r>
        <w:rPr>
          <w:rFonts w:ascii="宋体" w:hAnsi="宋体" w:eastAsia="宋体" w:cs="宋体"/>
          <w:sz w:val="24"/>
          <w:szCs w:val="24"/>
        </w:rPr>
        <w:t>11.5</w:t>
      </w:r>
      <w:r>
        <w:rPr>
          <w:rFonts w:ascii="宋体" w:hAnsi="宋体" w:eastAsia="宋体" w:cs="宋体"/>
          <w:spacing w:val="-49"/>
          <w:sz w:val="24"/>
          <w:szCs w:val="24"/>
        </w:rPr>
        <w:t xml:space="preserve"> </w:t>
      </w:r>
      <w:r>
        <w:rPr>
          <w:rFonts w:ascii="宋体" w:hAnsi="宋体" w:eastAsia="宋体" w:cs="宋体"/>
          <w:sz w:val="24"/>
          <w:szCs w:val="24"/>
        </w:rPr>
        <w:t>款约定的承包人工程进度严重滞后，发包人有权对承包人部分工程</w:t>
      </w:r>
      <w:r>
        <w:rPr>
          <w:rFonts w:ascii="宋体" w:hAnsi="宋体" w:eastAsia="宋体" w:cs="宋体"/>
          <w:spacing w:val="-3"/>
          <w:sz w:val="24"/>
          <w:szCs w:val="24"/>
        </w:rPr>
        <w:t>进行特殊分包，承包人应无条件接受，并按第</w:t>
      </w:r>
      <w:r>
        <w:rPr>
          <w:rFonts w:ascii="宋体" w:hAnsi="宋体" w:eastAsia="宋体" w:cs="宋体"/>
          <w:spacing w:val="-17"/>
          <w:sz w:val="24"/>
          <w:szCs w:val="24"/>
        </w:rPr>
        <w:t xml:space="preserve"> </w:t>
      </w:r>
      <w:r>
        <w:rPr>
          <w:rFonts w:ascii="宋体" w:hAnsi="宋体" w:eastAsia="宋体" w:cs="宋体"/>
          <w:spacing w:val="-3"/>
          <w:sz w:val="24"/>
          <w:szCs w:val="24"/>
        </w:rPr>
        <w:t>11.5</w:t>
      </w:r>
      <w:r>
        <w:rPr>
          <w:rFonts w:ascii="宋体" w:hAnsi="宋体" w:eastAsia="宋体" w:cs="宋体"/>
          <w:spacing w:val="-49"/>
          <w:sz w:val="24"/>
          <w:szCs w:val="24"/>
        </w:rPr>
        <w:t xml:space="preserve"> </w:t>
      </w:r>
      <w:r>
        <w:rPr>
          <w:rFonts w:ascii="宋体" w:hAnsi="宋体" w:eastAsia="宋体" w:cs="宋体"/>
          <w:spacing w:val="-3"/>
          <w:sz w:val="24"/>
          <w:szCs w:val="24"/>
        </w:rPr>
        <w:t>款约定处理。</w:t>
      </w:r>
    </w:p>
    <w:p w14:paraId="1A02B5D4">
      <w:pPr>
        <w:spacing w:line="220" w:lineRule="auto"/>
        <w:ind w:left="488"/>
        <w:rPr>
          <w:rFonts w:ascii="宋体" w:hAnsi="宋体" w:eastAsia="宋体" w:cs="宋体"/>
          <w:sz w:val="24"/>
          <w:szCs w:val="24"/>
        </w:rPr>
      </w:pPr>
      <w:r>
        <w:rPr>
          <w:rFonts w:ascii="宋体" w:hAnsi="宋体" w:eastAsia="宋体" w:cs="宋体"/>
          <w:spacing w:val="-2"/>
          <w:sz w:val="24"/>
          <w:szCs w:val="24"/>
        </w:rPr>
        <w:t>4.3.16</w:t>
      </w:r>
      <w:r>
        <w:rPr>
          <w:rFonts w:ascii="宋体" w:hAnsi="宋体" w:eastAsia="宋体" w:cs="宋体"/>
          <w:spacing w:val="-40"/>
          <w:sz w:val="24"/>
          <w:szCs w:val="24"/>
        </w:rPr>
        <w:t xml:space="preserve"> </w:t>
      </w:r>
      <w:r>
        <w:rPr>
          <w:rFonts w:ascii="宋体" w:hAnsi="宋体" w:eastAsia="宋体" w:cs="宋体"/>
          <w:spacing w:val="-2"/>
          <w:sz w:val="24"/>
          <w:szCs w:val="24"/>
        </w:rPr>
        <w:t>发包人的强制分包</w:t>
      </w:r>
    </w:p>
    <w:p w14:paraId="0639E8EA">
      <w:pPr>
        <w:spacing w:before="181" w:line="360" w:lineRule="auto"/>
        <w:ind w:left="10" w:right="205" w:firstLine="485"/>
        <w:rPr>
          <w:rFonts w:ascii="宋体" w:hAnsi="宋体" w:eastAsia="宋体" w:cs="宋体"/>
          <w:sz w:val="24"/>
          <w:szCs w:val="24"/>
        </w:rPr>
      </w:pPr>
      <w:r>
        <w:rPr>
          <w:rFonts w:ascii="宋体" w:hAnsi="宋体" w:eastAsia="宋体" w:cs="宋体"/>
          <w:spacing w:val="1"/>
          <w:sz w:val="24"/>
          <w:szCs w:val="24"/>
        </w:rPr>
        <w:t>（1）因承包人违约或发生重大的质量、安全事故以及出现进度严重滞后的情况和</w:t>
      </w:r>
      <w:r>
        <w:rPr>
          <w:rFonts w:ascii="宋体" w:hAnsi="宋体" w:eastAsia="宋体" w:cs="宋体"/>
          <w:spacing w:val="-2"/>
          <w:sz w:val="24"/>
          <w:szCs w:val="24"/>
        </w:rPr>
        <w:t>工程专业化施工等的需要，发包人有权对承包人部分工程进行切割，做分包处理，因此</w:t>
      </w:r>
      <w:r>
        <w:rPr>
          <w:rFonts w:ascii="宋体" w:hAnsi="宋体" w:eastAsia="宋体" w:cs="宋体"/>
          <w:spacing w:val="-3"/>
          <w:sz w:val="24"/>
          <w:szCs w:val="24"/>
        </w:rPr>
        <w:t>而增加的一切费用由承包人承担。</w:t>
      </w:r>
    </w:p>
    <w:p w14:paraId="2BEF1D16">
      <w:pPr>
        <w:spacing w:before="3" w:line="356" w:lineRule="auto"/>
        <w:ind w:left="11" w:right="204" w:firstLine="484"/>
        <w:rPr>
          <w:rFonts w:ascii="宋体" w:hAnsi="宋体" w:eastAsia="宋体" w:cs="宋体"/>
          <w:sz w:val="24"/>
          <w:szCs w:val="24"/>
        </w:rPr>
      </w:pPr>
      <w:r>
        <w:rPr>
          <w:rFonts w:ascii="宋体" w:hAnsi="宋体" w:eastAsia="宋体" w:cs="宋体"/>
          <w:spacing w:val="1"/>
          <w:sz w:val="24"/>
          <w:szCs w:val="24"/>
        </w:rPr>
        <w:t>（2）当发包人决定采取分包时，承包人应无条件接受并全力配合发包人开展相关</w:t>
      </w:r>
      <w:r>
        <w:rPr>
          <w:rFonts w:ascii="宋体" w:hAnsi="宋体" w:eastAsia="宋体" w:cs="宋体"/>
          <w:spacing w:val="-5"/>
          <w:sz w:val="24"/>
          <w:szCs w:val="24"/>
        </w:rPr>
        <w:t>工作，并无条件提供已有的临时设施（包括但不限于便道、便桥、电力线路等） 供分包</w:t>
      </w:r>
      <w:r>
        <w:rPr>
          <w:rFonts w:ascii="宋体" w:hAnsi="宋体" w:eastAsia="宋体" w:cs="宋体"/>
          <w:spacing w:val="-2"/>
          <w:sz w:val="24"/>
          <w:szCs w:val="24"/>
        </w:rPr>
        <w:t>人使用，且不得为此要求增加或支付任何费用，否则视为承包人违约。分包部分的造价</w:t>
      </w:r>
      <w:r>
        <w:rPr>
          <w:rFonts w:ascii="宋体" w:hAnsi="宋体" w:eastAsia="宋体" w:cs="宋体"/>
          <w:spacing w:val="-1"/>
          <w:sz w:val="24"/>
          <w:szCs w:val="24"/>
        </w:rPr>
        <w:t>按以下原则计算，并从承包人的合同价格中扣除</w:t>
      </w:r>
      <w:r>
        <w:rPr>
          <w:rFonts w:ascii="宋体" w:hAnsi="宋体" w:eastAsia="宋体" w:cs="宋体"/>
          <w:spacing w:val="-20"/>
          <w:position w:val="11"/>
          <w:sz w:val="12"/>
          <w:szCs w:val="12"/>
        </w:rPr>
        <w:t xml:space="preserve"> </w:t>
      </w:r>
      <w:r>
        <w:rPr>
          <w:rFonts w:ascii="宋体" w:hAnsi="宋体" w:eastAsia="宋体" w:cs="宋体"/>
          <w:spacing w:val="-1"/>
          <w:sz w:val="24"/>
          <w:szCs w:val="24"/>
        </w:rPr>
        <w:t>:</w:t>
      </w:r>
    </w:p>
    <w:p w14:paraId="30982EB6">
      <w:pPr>
        <w:spacing w:before="1" w:line="235" w:lineRule="auto"/>
        <w:ind w:left="481"/>
        <w:rPr>
          <w:rFonts w:hint="eastAsia" w:ascii="宋体" w:hAnsi="宋体" w:eastAsia="宋体" w:cs="宋体"/>
          <w:sz w:val="12"/>
          <w:szCs w:val="12"/>
          <w:lang w:eastAsia="zh-CN"/>
        </w:rPr>
      </w:pPr>
      <w:r>
        <w:rPr>
          <w:rFonts w:ascii="宋体" w:hAnsi="宋体" w:eastAsia="宋体" w:cs="宋体"/>
          <w:spacing w:val="-4"/>
          <w:position w:val="-1"/>
          <w:sz w:val="24"/>
          <w:szCs w:val="24"/>
        </w:rPr>
        <w:t>A、</w:t>
      </w:r>
      <w:r>
        <w:rPr>
          <w:rFonts w:hint="eastAsia" w:ascii="宋体" w:hAnsi="宋体" w:eastAsia="宋体" w:cs="宋体"/>
          <w:spacing w:val="-4"/>
          <w:position w:val="-1"/>
          <w:sz w:val="24"/>
          <w:szCs w:val="24"/>
          <w:u w:val="single" w:color="auto"/>
        </w:rPr>
        <w:t>按承包人与发包人签定的承包合同清单单价和切割工程数量计算，同时还需将承包人100章中按比例计提的各项费用（包括竣工文件、施工环保费、安全生产费、工程进度奖金等）按照切割工程所占比例从承包人的合同总价中扣除；</w:t>
      </w:r>
      <w:r>
        <w:rPr>
          <w:rFonts w:ascii="宋体" w:hAnsi="宋体" w:eastAsia="宋体" w:cs="宋体"/>
          <w:spacing w:val="-5"/>
          <w:position w:val="-1"/>
          <w:sz w:val="24"/>
          <w:szCs w:val="24"/>
        </w:rPr>
        <w:t>；</w:t>
      </w:r>
    </w:p>
    <w:p w14:paraId="2589F684">
      <w:pPr>
        <w:spacing w:before="180" w:line="360" w:lineRule="auto"/>
        <w:ind w:left="15" w:right="210" w:firstLine="468"/>
        <w:rPr>
          <w:rFonts w:ascii="宋体" w:hAnsi="宋体" w:eastAsia="宋体" w:cs="宋体"/>
          <w:sz w:val="24"/>
          <w:szCs w:val="24"/>
        </w:rPr>
      </w:pPr>
      <w:r>
        <w:rPr>
          <w:rFonts w:ascii="宋体" w:hAnsi="宋体" w:eastAsia="宋体" w:cs="宋体"/>
          <w:spacing w:val="-2"/>
          <w:sz w:val="24"/>
          <w:szCs w:val="24"/>
        </w:rPr>
        <w:t>B、发包人有权选取第三方机构按</w:t>
      </w:r>
      <w:r>
        <w:rPr>
          <w:rFonts w:ascii="宋体" w:hAnsi="宋体" w:eastAsia="宋体" w:cs="宋体"/>
          <w:spacing w:val="-33"/>
          <w:sz w:val="24"/>
          <w:szCs w:val="24"/>
        </w:rPr>
        <w:t xml:space="preserve"> </w:t>
      </w:r>
      <w:r>
        <w:rPr>
          <w:rFonts w:ascii="宋体" w:hAnsi="宋体" w:eastAsia="宋体" w:cs="宋体"/>
          <w:spacing w:val="-2"/>
          <w:sz w:val="24"/>
          <w:szCs w:val="24"/>
        </w:rPr>
        <w:t>15.4.4</w:t>
      </w:r>
      <w:r>
        <w:rPr>
          <w:rFonts w:ascii="宋体" w:hAnsi="宋体" w:eastAsia="宋体" w:cs="宋体"/>
          <w:spacing w:val="-50"/>
          <w:sz w:val="24"/>
          <w:szCs w:val="24"/>
        </w:rPr>
        <w:t xml:space="preserve"> </w:t>
      </w:r>
      <w:r>
        <w:rPr>
          <w:rFonts w:ascii="宋体" w:hAnsi="宋体" w:eastAsia="宋体" w:cs="宋体"/>
          <w:spacing w:val="-3"/>
          <w:sz w:val="24"/>
          <w:szCs w:val="24"/>
        </w:rPr>
        <w:t>款约定的原则重新编制切割工程的预算，</w:t>
      </w:r>
      <w:r>
        <w:rPr>
          <w:rFonts w:ascii="宋体" w:hAnsi="宋体" w:eastAsia="宋体" w:cs="宋体"/>
          <w:spacing w:val="-2"/>
          <w:sz w:val="24"/>
          <w:szCs w:val="24"/>
        </w:rPr>
        <w:t>并按预算金额（不下浮）从承包人的合同总价中扣除。</w:t>
      </w:r>
    </w:p>
    <w:p w14:paraId="5F572E96">
      <w:pPr>
        <w:spacing w:before="5" w:line="360" w:lineRule="auto"/>
        <w:ind w:left="9" w:firstLine="483"/>
        <w:jc w:val="both"/>
        <w:rPr>
          <w:rFonts w:ascii="宋体" w:hAnsi="宋体" w:eastAsia="宋体" w:cs="宋体"/>
          <w:sz w:val="24"/>
          <w:szCs w:val="24"/>
        </w:rPr>
      </w:pPr>
      <w:r>
        <w:rPr>
          <w:rFonts w:ascii="宋体" w:hAnsi="宋体" w:eastAsia="宋体" w:cs="宋体"/>
          <w:spacing w:val="2"/>
          <w:sz w:val="24"/>
          <w:szCs w:val="24"/>
        </w:rPr>
        <w:t>发包人有权按上述确定的造价要求承包人、分包人与发</w:t>
      </w:r>
      <w:r>
        <w:rPr>
          <w:rFonts w:ascii="宋体" w:hAnsi="宋体" w:eastAsia="宋体" w:cs="宋体"/>
          <w:spacing w:val="1"/>
          <w:sz w:val="24"/>
          <w:szCs w:val="24"/>
        </w:rPr>
        <w:t>包人签订三方分包协议</w:t>
      </w:r>
      <w:r>
        <w:rPr>
          <w:rFonts w:hint="eastAsia" w:ascii="宋体" w:hAnsi="宋体" w:cs="宋体"/>
          <w:spacing w:val="1"/>
          <w:sz w:val="24"/>
          <w:szCs w:val="24"/>
          <w:lang w:eastAsia="zh-CN"/>
        </w:rPr>
        <w:t>，</w:t>
      </w:r>
      <w:r>
        <w:rPr>
          <w:rFonts w:ascii="宋体" w:hAnsi="宋体" w:eastAsia="宋体" w:cs="宋体"/>
          <w:spacing w:val="1"/>
          <w:sz w:val="24"/>
          <w:szCs w:val="24"/>
        </w:rPr>
        <w:t>或</w:t>
      </w:r>
      <w:r>
        <w:rPr>
          <w:rFonts w:ascii="宋体" w:hAnsi="宋体" w:eastAsia="宋体" w:cs="宋体"/>
          <w:spacing w:val="-2"/>
          <w:sz w:val="24"/>
          <w:szCs w:val="24"/>
        </w:rPr>
        <w:t>由发包人与分包人签订协议。工程款根据签订的协议</w:t>
      </w:r>
      <w:r>
        <w:rPr>
          <w:rFonts w:hint="eastAsia" w:ascii="宋体" w:hAnsi="宋体" w:cs="宋体"/>
          <w:spacing w:val="-2"/>
          <w:sz w:val="24"/>
          <w:szCs w:val="24"/>
          <w:lang w:eastAsia="zh-CN"/>
        </w:rPr>
        <w:t>，</w:t>
      </w:r>
      <w:r>
        <w:rPr>
          <w:rFonts w:ascii="宋体" w:hAnsi="宋体" w:eastAsia="宋体" w:cs="宋体"/>
          <w:spacing w:val="-3"/>
          <w:sz w:val="24"/>
          <w:szCs w:val="24"/>
        </w:rPr>
        <w:t>由发包人对分包人按时计量支付。</w:t>
      </w:r>
      <w:r>
        <w:rPr>
          <w:rFonts w:ascii="宋体" w:hAnsi="宋体" w:eastAsia="宋体" w:cs="宋体"/>
          <w:spacing w:val="1"/>
          <w:sz w:val="24"/>
          <w:szCs w:val="24"/>
        </w:rPr>
        <w:t>工程实施后，确定分包工程计量支付金额后</w:t>
      </w:r>
      <w:r>
        <w:rPr>
          <w:rFonts w:hint="eastAsia" w:ascii="宋体" w:hAnsi="宋体" w:cs="宋体"/>
          <w:spacing w:val="1"/>
          <w:sz w:val="24"/>
          <w:szCs w:val="24"/>
          <w:lang w:eastAsia="zh-CN"/>
        </w:rPr>
        <w:t>，</w:t>
      </w:r>
      <w:r>
        <w:rPr>
          <w:rFonts w:ascii="宋体" w:hAnsi="宋体" w:eastAsia="宋体" w:cs="宋体"/>
          <w:spacing w:val="1"/>
          <w:sz w:val="24"/>
          <w:szCs w:val="24"/>
        </w:rPr>
        <w:t>发包人可直接在承包人任意一期计量中扣</w:t>
      </w:r>
      <w:r>
        <w:rPr>
          <w:rFonts w:ascii="宋体" w:hAnsi="宋体" w:eastAsia="宋体" w:cs="宋体"/>
          <w:spacing w:val="-2"/>
          <w:sz w:val="24"/>
          <w:szCs w:val="24"/>
        </w:rPr>
        <w:t>减相应分包费用。承包人须负责分包部分原始资料的</w:t>
      </w:r>
      <w:r>
        <w:rPr>
          <w:rFonts w:ascii="宋体" w:hAnsi="宋体" w:eastAsia="宋体" w:cs="宋体"/>
          <w:spacing w:val="-3"/>
          <w:sz w:val="24"/>
          <w:szCs w:val="24"/>
        </w:rPr>
        <w:t>存档和竣工资料的统一编制等工作。</w:t>
      </w:r>
      <w:r>
        <w:rPr>
          <w:rFonts w:ascii="宋体" w:hAnsi="宋体" w:eastAsia="宋体" w:cs="宋体"/>
          <w:spacing w:val="-2"/>
          <w:sz w:val="24"/>
          <w:szCs w:val="24"/>
        </w:rPr>
        <w:t>发包人对承包人分包工程的同意并不免除承包人应承担的责任和义务。承包人应将任何</w:t>
      </w:r>
      <w:r>
        <w:rPr>
          <w:rFonts w:ascii="宋体" w:hAnsi="宋体" w:eastAsia="宋体" w:cs="宋体"/>
          <w:spacing w:val="1"/>
          <w:sz w:val="24"/>
          <w:szCs w:val="24"/>
        </w:rPr>
        <w:t>分包人、分包代理人、雇员或工人的行为、违约和疏忽</w:t>
      </w:r>
      <w:r>
        <w:rPr>
          <w:rFonts w:hint="eastAsia" w:ascii="宋体" w:hAnsi="宋体" w:cs="宋体"/>
          <w:spacing w:val="1"/>
          <w:sz w:val="24"/>
          <w:szCs w:val="24"/>
          <w:lang w:eastAsia="zh-CN"/>
        </w:rPr>
        <w:t>，</w:t>
      </w:r>
      <w:r>
        <w:rPr>
          <w:rFonts w:ascii="宋体" w:hAnsi="宋体" w:eastAsia="宋体" w:cs="宋体"/>
          <w:spacing w:val="1"/>
          <w:sz w:val="24"/>
          <w:szCs w:val="24"/>
        </w:rPr>
        <w:t>视为承包人自己的行为、违约</w:t>
      </w:r>
      <w:r>
        <w:rPr>
          <w:rFonts w:ascii="宋体" w:hAnsi="宋体" w:eastAsia="宋体" w:cs="宋体"/>
          <w:spacing w:val="-3"/>
          <w:sz w:val="24"/>
          <w:szCs w:val="24"/>
        </w:rPr>
        <w:t>和疏忽</w:t>
      </w:r>
      <w:r>
        <w:rPr>
          <w:rFonts w:hint="eastAsia" w:ascii="宋体" w:hAnsi="宋体" w:cs="宋体"/>
          <w:spacing w:val="-3"/>
          <w:sz w:val="24"/>
          <w:szCs w:val="24"/>
          <w:lang w:eastAsia="zh-CN"/>
        </w:rPr>
        <w:t>，</w:t>
      </w:r>
      <w:r>
        <w:rPr>
          <w:rFonts w:ascii="宋体" w:hAnsi="宋体" w:eastAsia="宋体" w:cs="宋体"/>
          <w:spacing w:val="-3"/>
          <w:sz w:val="24"/>
          <w:szCs w:val="24"/>
        </w:rPr>
        <w:t>并为之负完全的责任。</w:t>
      </w:r>
    </w:p>
    <w:p w14:paraId="04965EE5">
      <w:pPr>
        <w:spacing w:line="360" w:lineRule="auto"/>
        <w:ind w:left="9" w:right="66" w:firstLine="480"/>
        <w:jc w:val="both"/>
        <w:rPr>
          <w:rFonts w:ascii="宋体" w:hAnsi="宋体" w:eastAsia="宋体" w:cs="宋体"/>
          <w:sz w:val="24"/>
          <w:szCs w:val="24"/>
        </w:rPr>
      </w:pPr>
      <w:r>
        <w:rPr>
          <w:rFonts w:ascii="宋体" w:hAnsi="宋体" w:eastAsia="宋体" w:cs="宋体"/>
          <w:spacing w:val="-2"/>
          <w:sz w:val="24"/>
          <w:szCs w:val="24"/>
        </w:rPr>
        <w:t>承包人的分包工程受发包人的监督和管理，发包人有权审查承包人所有分包合同，承包人须严格执行合同（包括分包合同）条款，不得拖欠工人工资及分包商工程款，发包人如有发现或接到投诉，发包人有权直接向工人或分包商支付承包人拖欠款项，该笔款项由发包人从承包人应收工程款中如数扣回，承包人不得有异议。</w:t>
      </w:r>
    </w:p>
    <w:p w14:paraId="1998A3DE">
      <w:pPr>
        <w:spacing w:line="219" w:lineRule="auto"/>
        <w:ind w:left="488"/>
        <w:rPr>
          <w:rFonts w:ascii="宋体" w:hAnsi="宋体" w:eastAsia="宋体" w:cs="宋体"/>
          <w:sz w:val="24"/>
          <w:szCs w:val="24"/>
        </w:rPr>
      </w:pPr>
      <w:r>
        <w:rPr>
          <w:rFonts w:ascii="宋体" w:hAnsi="宋体" w:eastAsia="宋体" w:cs="宋体"/>
          <w:spacing w:val="-1"/>
          <w:sz w:val="24"/>
          <w:szCs w:val="24"/>
        </w:rPr>
        <w:t>4.6 承包人人员的管理</w:t>
      </w:r>
    </w:p>
    <w:p w14:paraId="3A74BCD9">
      <w:pPr>
        <w:spacing w:before="181" w:line="220" w:lineRule="auto"/>
        <w:ind w:left="489"/>
        <w:rPr>
          <w:rFonts w:ascii="宋体" w:hAnsi="宋体" w:eastAsia="宋体" w:cs="宋体"/>
          <w:sz w:val="24"/>
          <w:szCs w:val="24"/>
        </w:rPr>
      </w:pPr>
      <w:r>
        <w:rPr>
          <w:rFonts w:ascii="宋体" w:hAnsi="宋体" w:eastAsia="宋体" w:cs="宋体"/>
          <w:spacing w:val="-7"/>
          <w:sz w:val="24"/>
          <w:szCs w:val="24"/>
        </w:rPr>
        <w:t>第</w:t>
      </w:r>
      <w:r>
        <w:rPr>
          <w:rFonts w:ascii="宋体" w:hAnsi="宋体" w:eastAsia="宋体" w:cs="宋体"/>
          <w:spacing w:val="-52"/>
          <w:sz w:val="24"/>
          <w:szCs w:val="24"/>
        </w:rPr>
        <w:t xml:space="preserve"> </w:t>
      </w:r>
      <w:r>
        <w:rPr>
          <w:rFonts w:ascii="宋体" w:hAnsi="宋体" w:eastAsia="宋体" w:cs="宋体"/>
          <w:spacing w:val="-7"/>
          <w:sz w:val="24"/>
          <w:szCs w:val="24"/>
        </w:rPr>
        <w:t>4.6.1</w:t>
      </w:r>
      <w:r>
        <w:rPr>
          <w:rFonts w:ascii="宋体" w:hAnsi="宋体" w:eastAsia="宋体" w:cs="宋体"/>
          <w:spacing w:val="-47"/>
          <w:sz w:val="24"/>
          <w:szCs w:val="24"/>
        </w:rPr>
        <w:t xml:space="preserve"> </w:t>
      </w:r>
      <w:r>
        <w:rPr>
          <w:rFonts w:ascii="宋体" w:hAnsi="宋体" w:eastAsia="宋体" w:cs="宋体"/>
          <w:spacing w:val="-7"/>
          <w:sz w:val="24"/>
          <w:szCs w:val="24"/>
        </w:rPr>
        <w:t>项补充：</w:t>
      </w:r>
    </w:p>
    <w:p w14:paraId="3B979BB0">
      <w:pPr>
        <w:spacing w:before="182" w:line="360" w:lineRule="auto"/>
        <w:ind w:left="10" w:right="66" w:firstLine="479"/>
        <w:rPr>
          <w:rFonts w:ascii="宋体" w:hAnsi="宋体" w:eastAsia="宋体" w:cs="宋体"/>
          <w:sz w:val="24"/>
          <w:szCs w:val="24"/>
        </w:rPr>
      </w:pPr>
      <w:r>
        <w:rPr>
          <w:rFonts w:ascii="宋体" w:hAnsi="宋体" w:eastAsia="宋体" w:cs="宋体"/>
          <w:spacing w:val="-2"/>
          <w:sz w:val="24"/>
          <w:szCs w:val="24"/>
        </w:rPr>
        <w:t>承包人应按监理人批准的人员安排报告及时安排相关人员进场，如果承包人在接到监理人要求人员进场的通知</w:t>
      </w:r>
      <w:r>
        <w:rPr>
          <w:rFonts w:ascii="宋体" w:hAnsi="宋体" w:eastAsia="宋体" w:cs="宋体"/>
          <w:spacing w:val="-45"/>
          <w:sz w:val="24"/>
          <w:szCs w:val="24"/>
        </w:rPr>
        <w:t xml:space="preserve"> </w:t>
      </w:r>
      <w:r>
        <w:rPr>
          <w:rFonts w:ascii="宋体" w:hAnsi="宋体" w:eastAsia="宋体" w:cs="宋体"/>
          <w:spacing w:val="-2"/>
          <w:sz w:val="24"/>
          <w:szCs w:val="24"/>
        </w:rPr>
        <w:t>5</w:t>
      </w:r>
      <w:r>
        <w:rPr>
          <w:rFonts w:ascii="宋体" w:hAnsi="宋体" w:eastAsia="宋体" w:cs="宋体"/>
          <w:spacing w:val="-46"/>
          <w:sz w:val="24"/>
          <w:szCs w:val="24"/>
        </w:rPr>
        <w:t xml:space="preserve"> </w:t>
      </w:r>
      <w:r>
        <w:rPr>
          <w:rFonts w:ascii="宋体" w:hAnsi="宋体" w:eastAsia="宋体" w:cs="宋体"/>
          <w:spacing w:val="-2"/>
          <w:sz w:val="24"/>
          <w:szCs w:val="24"/>
        </w:rPr>
        <w:t>天后仍未安排相关人员进场，视为承</w:t>
      </w:r>
      <w:r>
        <w:rPr>
          <w:rFonts w:ascii="宋体" w:hAnsi="宋体" w:eastAsia="宋体" w:cs="宋体"/>
          <w:spacing w:val="-3"/>
          <w:sz w:val="24"/>
          <w:szCs w:val="24"/>
        </w:rPr>
        <w:t>包人违约。</w:t>
      </w:r>
    </w:p>
    <w:p w14:paraId="6B37CE44">
      <w:pPr>
        <w:spacing w:before="1" w:line="219" w:lineRule="auto"/>
        <w:ind w:left="489"/>
        <w:rPr>
          <w:rFonts w:ascii="宋体" w:hAnsi="宋体" w:eastAsia="宋体" w:cs="宋体"/>
          <w:sz w:val="24"/>
          <w:szCs w:val="24"/>
        </w:rPr>
      </w:pPr>
      <w:r>
        <w:rPr>
          <w:rFonts w:ascii="宋体" w:hAnsi="宋体" w:eastAsia="宋体" w:cs="宋体"/>
          <w:spacing w:val="-6"/>
          <w:sz w:val="24"/>
          <w:szCs w:val="24"/>
        </w:rPr>
        <w:t>第 4.6.3</w:t>
      </w:r>
      <w:r>
        <w:rPr>
          <w:rFonts w:ascii="宋体" w:hAnsi="宋体" w:eastAsia="宋体" w:cs="宋体"/>
          <w:spacing w:val="-40"/>
          <w:sz w:val="24"/>
          <w:szCs w:val="24"/>
        </w:rPr>
        <w:t xml:space="preserve"> </w:t>
      </w:r>
      <w:r>
        <w:rPr>
          <w:rFonts w:ascii="宋体" w:hAnsi="宋体" w:eastAsia="宋体" w:cs="宋体"/>
          <w:spacing w:val="-6"/>
          <w:sz w:val="24"/>
          <w:szCs w:val="24"/>
        </w:rPr>
        <w:t>项细化为：</w:t>
      </w:r>
    </w:p>
    <w:p w14:paraId="1CEF4331">
      <w:pPr>
        <w:spacing w:before="182" w:line="360" w:lineRule="auto"/>
        <w:ind w:left="8" w:right="65" w:firstLine="487"/>
        <w:jc w:val="both"/>
        <w:rPr>
          <w:rFonts w:ascii="宋体" w:hAnsi="宋体" w:eastAsia="宋体" w:cs="宋体"/>
          <w:sz w:val="24"/>
          <w:szCs w:val="24"/>
        </w:rPr>
      </w:pPr>
      <w:r>
        <w:rPr>
          <w:rFonts w:ascii="宋体" w:hAnsi="宋体" w:eastAsia="宋体" w:cs="宋体"/>
          <w:spacing w:val="-6"/>
          <w:sz w:val="24"/>
          <w:szCs w:val="24"/>
        </w:rPr>
        <w:t>高速公路</w:t>
      </w:r>
      <w:r>
        <w:rPr>
          <w:rFonts w:hint="eastAsia" w:ascii="宋体" w:hAnsi="宋体" w:cs="宋体"/>
          <w:spacing w:val="-6"/>
          <w:sz w:val="24"/>
          <w:szCs w:val="24"/>
          <w:lang w:eastAsia="zh-CN"/>
        </w:rPr>
        <w:t>（</w:t>
      </w:r>
      <w:r>
        <w:rPr>
          <w:rFonts w:ascii="宋体" w:hAnsi="宋体" w:eastAsia="宋体" w:cs="宋体"/>
          <w:spacing w:val="-6"/>
          <w:sz w:val="24"/>
          <w:szCs w:val="24"/>
        </w:rPr>
        <w:t>含改扩建</w:t>
      </w:r>
      <w:r>
        <w:rPr>
          <w:rFonts w:hint="eastAsia" w:ascii="宋体" w:hAnsi="宋体" w:cs="宋体"/>
          <w:spacing w:val="-6"/>
          <w:sz w:val="24"/>
          <w:szCs w:val="24"/>
          <w:lang w:eastAsia="zh-CN"/>
        </w:rPr>
        <w:t>）</w:t>
      </w:r>
      <w:r>
        <w:rPr>
          <w:rFonts w:ascii="宋体" w:hAnsi="宋体" w:eastAsia="宋体" w:cs="宋体"/>
          <w:spacing w:val="-6"/>
          <w:sz w:val="24"/>
          <w:szCs w:val="24"/>
        </w:rPr>
        <w:t>施工合同段应设置安全总监、质量总监，</w:t>
      </w:r>
      <w:r>
        <w:rPr>
          <w:rFonts w:ascii="宋体" w:hAnsi="宋体" w:eastAsia="宋体" w:cs="宋体"/>
          <w:spacing w:val="46"/>
          <w:sz w:val="24"/>
          <w:szCs w:val="24"/>
        </w:rPr>
        <w:t xml:space="preserve"> </w:t>
      </w:r>
      <w:r>
        <w:rPr>
          <w:rFonts w:ascii="宋体" w:hAnsi="宋体" w:eastAsia="宋体" w:cs="宋体"/>
          <w:spacing w:val="-7"/>
          <w:sz w:val="24"/>
          <w:szCs w:val="24"/>
        </w:rPr>
        <w:t>承包人直接派驻，不</w:t>
      </w:r>
      <w:r>
        <w:rPr>
          <w:rFonts w:ascii="宋体" w:hAnsi="宋体" w:eastAsia="宋体" w:cs="宋体"/>
          <w:spacing w:val="-2"/>
          <w:sz w:val="24"/>
          <w:szCs w:val="24"/>
        </w:rPr>
        <w:t>隶属于项目部，代表承包人对项目部进行监管。承包人安排在施工场地的项目经理、项</w:t>
      </w:r>
      <w:r>
        <w:rPr>
          <w:rFonts w:ascii="宋体" w:hAnsi="宋体" w:eastAsia="宋体" w:cs="宋体"/>
          <w:spacing w:val="-1"/>
          <w:sz w:val="24"/>
          <w:szCs w:val="24"/>
        </w:rPr>
        <w:t>目总工（总工程师）、安全总监、质量总监</w:t>
      </w:r>
      <w:r>
        <w:rPr>
          <w:rFonts w:ascii="宋体" w:hAnsi="宋体" w:eastAsia="宋体" w:cs="宋体"/>
          <w:spacing w:val="-2"/>
          <w:sz w:val="24"/>
          <w:szCs w:val="24"/>
        </w:rPr>
        <w:t>应与承包人投标填报名单一致；其他主要管</w:t>
      </w:r>
      <w:r>
        <w:rPr>
          <w:rFonts w:ascii="宋体" w:hAnsi="宋体" w:eastAsia="宋体" w:cs="宋体"/>
          <w:spacing w:val="-3"/>
          <w:sz w:val="24"/>
          <w:szCs w:val="24"/>
        </w:rPr>
        <w:t>理人员和技术人员的资格和经历应不低于招标文件《附录</w:t>
      </w:r>
      <w:r>
        <w:rPr>
          <w:rFonts w:ascii="宋体" w:hAnsi="宋体" w:eastAsia="宋体" w:cs="宋体"/>
          <w:spacing w:val="-37"/>
          <w:sz w:val="24"/>
          <w:szCs w:val="24"/>
        </w:rPr>
        <w:t xml:space="preserve"> </w:t>
      </w:r>
      <w:r>
        <w:rPr>
          <w:rFonts w:ascii="宋体" w:hAnsi="宋体" w:eastAsia="宋体" w:cs="宋体"/>
          <w:spacing w:val="-3"/>
          <w:sz w:val="24"/>
          <w:szCs w:val="24"/>
        </w:rPr>
        <w:t>6</w:t>
      </w:r>
      <w:r>
        <w:rPr>
          <w:rFonts w:ascii="宋体" w:hAnsi="宋体" w:eastAsia="宋体" w:cs="宋体"/>
          <w:spacing w:val="-40"/>
          <w:sz w:val="24"/>
          <w:szCs w:val="24"/>
        </w:rPr>
        <w:t xml:space="preserve"> </w:t>
      </w:r>
      <w:r>
        <w:rPr>
          <w:rFonts w:ascii="宋体" w:hAnsi="宋体" w:eastAsia="宋体" w:cs="宋体"/>
          <w:spacing w:val="-3"/>
          <w:sz w:val="24"/>
          <w:szCs w:val="24"/>
        </w:rPr>
        <w:t>资格审查条件（其他主要管</w:t>
      </w:r>
      <w:r>
        <w:rPr>
          <w:rFonts w:ascii="宋体" w:hAnsi="宋体" w:eastAsia="宋体" w:cs="宋体"/>
          <w:spacing w:val="-5"/>
          <w:sz w:val="24"/>
          <w:szCs w:val="24"/>
        </w:rPr>
        <w:t>理人员和技术人员最低要求）》的规定， 其中房建工程应满足《广东省公路房建工程建</w:t>
      </w:r>
      <w:r>
        <w:rPr>
          <w:rFonts w:ascii="宋体" w:hAnsi="宋体" w:eastAsia="宋体" w:cs="宋体"/>
          <w:spacing w:val="-6"/>
          <w:sz w:val="24"/>
          <w:szCs w:val="24"/>
        </w:rPr>
        <w:t>设管理指南》中的人员管理规定。报监理人审核后并报发包人批准，</w:t>
      </w:r>
      <w:r>
        <w:rPr>
          <w:rFonts w:ascii="宋体" w:hAnsi="宋体" w:eastAsia="宋体" w:cs="宋体"/>
          <w:spacing w:val="50"/>
          <w:sz w:val="24"/>
          <w:szCs w:val="24"/>
        </w:rPr>
        <w:t xml:space="preserve"> </w:t>
      </w:r>
      <w:r>
        <w:rPr>
          <w:rFonts w:ascii="宋体" w:hAnsi="宋体" w:eastAsia="宋体" w:cs="宋体"/>
          <w:spacing w:val="-6"/>
          <w:sz w:val="24"/>
          <w:szCs w:val="24"/>
        </w:rPr>
        <w:t>上述人员经发包人</w:t>
      </w:r>
      <w:r>
        <w:rPr>
          <w:rFonts w:ascii="宋体" w:hAnsi="宋体" w:eastAsia="宋体" w:cs="宋体"/>
          <w:spacing w:val="-4"/>
          <w:sz w:val="24"/>
          <w:szCs w:val="24"/>
        </w:rPr>
        <w:t>批准后不得随意更换。</w:t>
      </w:r>
    </w:p>
    <w:p w14:paraId="45891FBF">
      <w:pPr>
        <w:pStyle w:val="2"/>
        <w:spacing w:line="268" w:lineRule="auto"/>
      </w:pPr>
      <w:r>
        <w:rPr>
          <w:rFonts w:ascii="宋体" w:hAnsi="宋体" w:eastAsia="宋体" w:cs="宋体"/>
          <w:spacing w:val="-3"/>
          <w:sz w:val="24"/>
          <w:szCs w:val="24"/>
        </w:rPr>
        <w:t>(1) 未经监理人批准，上述人员不应无故不到位或被替换。若确实无法到位或需替</w:t>
      </w:r>
      <w:r>
        <w:rPr>
          <w:rFonts w:ascii="宋体" w:hAnsi="宋体" w:eastAsia="宋体" w:cs="宋体"/>
          <w:spacing w:val="-2"/>
          <w:sz w:val="24"/>
          <w:szCs w:val="24"/>
        </w:rPr>
        <w:t>换，或监理人认为已委派的项目经理或主要人员</w:t>
      </w:r>
      <w:r>
        <w:rPr>
          <w:rFonts w:ascii="宋体" w:hAnsi="宋体" w:eastAsia="宋体" w:cs="宋体"/>
          <w:spacing w:val="-2"/>
          <w:sz w:val="24"/>
          <w:szCs w:val="24"/>
          <w:u w:val="single" w:color="auto"/>
        </w:rPr>
        <w:t>（或备选人员）</w:t>
      </w:r>
      <w:r>
        <w:rPr>
          <w:rFonts w:ascii="宋体" w:hAnsi="宋体" w:eastAsia="宋体" w:cs="宋体"/>
          <w:spacing w:val="-2"/>
          <w:sz w:val="24"/>
          <w:szCs w:val="24"/>
        </w:rPr>
        <w:t>的工作能力和业务水平不称职，需经监理人审核并报发包人批准后，用同等资质和经历的人员替换，同时须按以下标准向发包人提交违约金：项目经理、总工程师</w:t>
      </w:r>
      <w:r>
        <w:rPr>
          <w:rFonts w:ascii="宋体" w:hAnsi="宋体" w:eastAsia="宋体" w:cs="宋体"/>
          <w:spacing w:val="-2"/>
          <w:sz w:val="24"/>
          <w:szCs w:val="24"/>
          <w:u w:val="single" w:color="auto"/>
        </w:rPr>
        <w:t>（用备选人替换首选人的调整不受</w:t>
      </w:r>
      <w:r>
        <w:rPr>
          <w:rFonts w:ascii="宋体" w:hAnsi="宋体" w:eastAsia="宋体" w:cs="宋体"/>
          <w:sz w:val="24"/>
          <w:szCs w:val="24"/>
          <w:u w:val="single" w:color="auto"/>
        </w:rPr>
        <w:t>此限）</w:t>
      </w:r>
      <w:r>
        <w:rPr>
          <w:rFonts w:ascii="宋体" w:hAnsi="宋体" w:eastAsia="宋体" w:cs="宋体"/>
          <w:sz w:val="24"/>
          <w:szCs w:val="24"/>
        </w:rPr>
        <w:t>、质量总监、安全总监需缴纳违约金金额详见</w:t>
      </w:r>
      <w:r>
        <w:rPr>
          <w:rFonts w:ascii="宋体" w:hAnsi="宋体" w:eastAsia="宋体" w:cs="宋体"/>
          <w:spacing w:val="-31"/>
          <w:sz w:val="24"/>
          <w:szCs w:val="24"/>
        </w:rPr>
        <w:t xml:space="preserve"> </w:t>
      </w:r>
      <w:r>
        <w:rPr>
          <w:rFonts w:ascii="宋体" w:hAnsi="宋体" w:eastAsia="宋体" w:cs="宋体"/>
          <w:sz w:val="24"/>
          <w:szCs w:val="24"/>
        </w:rPr>
        <w:t>22.1.2</w:t>
      </w:r>
      <w:r>
        <w:rPr>
          <w:rFonts w:ascii="宋体" w:hAnsi="宋体" w:eastAsia="宋体" w:cs="宋体"/>
          <w:spacing w:val="-30"/>
          <w:sz w:val="24"/>
          <w:szCs w:val="24"/>
        </w:rPr>
        <w:t xml:space="preserve"> </w:t>
      </w:r>
      <w:r>
        <w:rPr>
          <w:rFonts w:ascii="宋体" w:hAnsi="宋体" w:eastAsia="宋体" w:cs="宋体"/>
          <w:sz w:val="24"/>
          <w:szCs w:val="24"/>
        </w:rPr>
        <w:t>附表《承包人违约金一览</w:t>
      </w:r>
      <w:r>
        <w:rPr>
          <w:rFonts w:ascii="宋体" w:hAnsi="宋体" w:eastAsia="宋体" w:cs="宋体"/>
          <w:spacing w:val="-5"/>
          <w:sz w:val="24"/>
          <w:szCs w:val="24"/>
        </w:rPr>
        <w:t>表》， 其他主要管理人员</w:t>
      </w:r>
      <w:r>
        <w:rPr>
          <w:rFonts w:ascii="宋体" w:hAnsi="宋体" w:eastAsia="宋体" w:cs="宋体"/>
          <w:spacing w:val="-5"/>
          <w:sz w:val="24"/>
          <w:szCs w:val="24"/>
          <w:u w:val="single" w:color="auto"/>
        </w:rPr>
        <w:t>（质检工程师、计划工程师、道路工程师、桥梁工程师、隧道</w:t>
      </w:r>
      <w:r>
        <w:rPr>
          <w:rFonts w:ascii="宋体" w:hAnsi="宋体" w:eastAsia="宋体" w:cs="宋体"/>
          <w:spacing w:val="-1"/>
          <w:sz w:val="24"/>
          <w:szCs w:val="24"/>
          <w:u w:val="single" w:color="auto"/>
        </w:rPr>
        <w:t>工程师、地质工程师、测量工程师、试验工</w:t>
      </w:r>
      <w:r>
        <w:rPr>
          <w:rFonts w:ascii="宋体" w:hAnsi="宋体" w:eastAsia="宋体" w:cs="宋体"/>
          <w:spacing w:val="-2"/>
          <w:sz w:val="24"/>
          <w:szCs w:val="24"/>
          <w:u w:val="single" w:color="auto"/>
        </w:rPr>
        <w:t>程师、专职安全生产管理人员、财务负责人</w:t>
      </w:r>
      <w:r>
        <w:rPr>
          <w:rFonts w:ascii="宋体" w:hAnsi="宋体" w:eastAsia="宋体" w:cs="宋体"/>
          <w:sz w:val="24"/>
          <w:szCs w:val="24"/>
          <w:u w:val="single" w:color="auto"/>
        </w:rPr>
        <w:t>等）</w:t>
      </w:r>
      <w:r>
        <w:rPr>
          <w:rFonts w:ascii="宋体" w:hAnsi="宋体" w:eastAsia="宋体" w:cs="宋体"/>
          <w:sz w:val="24"/>
          <w:szCs w:val="24"/>
        </w:rPr>
        <w:t>的调整部分需缴纳违约金金额详见</w:t>
      </w:r>
      <w:r>
        <w:rPr>
          <w:rFonts w:ascii="宋体" w:hAnsi="宋体" w:eastAsia="宋体" w:cs="宋体"/>
          <w:spacing w:val="-35"/>
          <w:sz w:val="24"/>
          <w:szCs w:val="24"/>
        </w:rPr>
        <w:t xml:space="preserve"> </w:t>
      </w:r>
      <w:r>
        <w:rPr>
          <w:rFonts w:ascii="宋体" w:hAnsi="宋体" w:eastAsia="宋体" w:cs="宋体"/>
          <w:sz w:val="24"/>
          <w:szCs w:val="24"/>
        </w:rPr>
        <w:t>22.1.2</w:t>
      </w:r>
      <w:r>
        <w:rPr>
          <w:rFonts w:ascii="宋体" w:hAnsi="宋体" w:eastAsia="宋体" w:cs="宋体"/>
          <w:spacing w:val="-29"/>
          <w:sz w:val="24"/>
          <w:szCs w:val="24"/>
        </w:rPr>
        <w:t xml:space="preserve"> </w:t>
      </w:r>
      <w:r>
        <w:rPr>
          <w:rFonts w:ascii="宋体" w:hAnsi="宋体" w:eastAsia="宋体" w:cs="宋体"/>
          <w:sz w:val="24"/>
          <w:szCs w:val="24"/>
        </w:rPr>
        <w:t>附表《承包人违约金一览表》。因不可</w:t>
      </w:r>
      <w:r>
        <w:rPr>
          <w:rFonts w:ascii="宋体" w:hAnsi="宋体" w:eastAsia="宋体" w:cs="宋体"/>
          <w:spacing w:val="-6"/>
          <w:sz w:val="24"/>
          <w:szCs w:val="24"/>
        </w:rPr>
        <w:t>抗力、退休、职务晋升或离职等（需提供相关证明材料）无法继续履行合同责任和义务，</w:t>
      </w:r>
      <w:r>
        <w:rPr>
          <w:rFonts w:ascii="宋体" w:hAnsi="宋体" w:eastAsia="宋体" w:cs="宋体"/>
          <w:spacing w:val="-2"/>
          <w:sz w:val="24"/>
          <w:szCs w:val="24"/>
        </w:rPr>
        <w:t>承包人报监理人审核并报发包人批准后可进行替换，替换人员的资质和经历不得低于原</w:t>
      </w:r>
      <w:r>
        <w:rPr>
          <w:rFonts w:ascii="宋体" w:hAnsi="宋体" w:eastAsia="宋体" w:cs="宋体"/>
          <w:spacing w:val="-6"/>
          <w:sz w:val="24"/>
          <w:szCs w:val="24"/>
        </w:rPr>
        <w:t>批复人员，承包人无须承担违约责任。发包人可随着工程的进度情况，</w:t>
      </w:r>
      <w:r>
        <w:rPr>
          <w:rFonts w:ascii="宋体" w:hAnsi="宋体" w:eastAsia="宋体" w:cs="宋体"/>
          <w:spacing w:val="50"/>
          <w:sz w:val="24"/>
          <w:szCs w:val="24"/>
        </w:rPr>
        <w:t xml:space="preserve"> </w:t>
      </w:r>
      <w:r>
        <w:rPr>
          <w:rFonts w:ascii="宋体" w:hAnsi="宋体" w:eastAsia="宋体" w:cs="宋体"/>
          <w:spacing w:val="-6"/>
          <w:sz w:val="24"/>
          <w:szCs w:val="24"/>
        </w:rPr>
        <w:t>动态增减管理人</w:t>
      </w:r>
      <w:r>
        <w:rPr>
          <w:rFonts w:ascii="宋体" w:hAnsi="宋体" w:eastAsia="宋体" w:cs="宋体"/>
          <w:spacing w:val="-9"/>
          <w:sz w:val="24"/>
          <w:szCs w:val="24"/>
        </w:rPr>
        <w:t>员要求。</w:t>
      </w:r>
    </w:p>
    <w:p w14:paraId="10054AF2">
      <w:pPr>
        <w:spacing w:before="78" w:line="360" w:lineRule="auto"/>
        <w:ind w:left="19" w:right="96" w:firstLine="476"/>
        <w:rPr>
          <w:rFonts w:ascii="宋体" w:hAnsi="宋体" w:eastAsia="宋体" w:cs="宋体"/>
          <w:sz w:val="24"/>
          <w:szCs w:val="24"/>
        </w:rPr>
      </w:pPr>
      <w:r>
        <w:rPr>
          <w:rFonts w:ascii="宋体" w:hAnsi="宋体" w:eastAsia="宋体" w:cs="宋体"/>
          <w:spacing w:val="1"/>
          <w:sz w:val="24"/>
          <w:szCs w:val="24"/>
        </w:rPr>
        <w:t>（2）为保证承包人的档案资料整理工作具有连续性、稳定性，要求承包人的档案</w:t>
      </w:r>
      <w:r>
        <w:rPr>
          <w:rFonts w:ascii="宋体" w:hAnsi="宋体" w:eastAsia="宋体" w:cs="宋体"/>
          <w:spacing w:val="-3"/>
          <w:sz w:val="24"/>
          <w:szCs w:val="24"/>
        </w:rPr>
        <w:t>资料整理负责人在本项目连续工作</w:t>
      </w:r>
      <w:r>
        <w:rPr>
          <w:rFonts w:ascii="宋体" w:hAnsi="宋体" w:eastAsia="宋体" w:cs="宋体"/>
          <w:spacing w:val="-30"/>
          <w:sz w:val="24"/>
          <w:szCs w:val="24"/>
        </w:rPr>
        <w:t xml:space="preserve"> </w:t>
      </w:r>
      <w:r>
        <w:rPr>
          <w:rFonts w:ascii="宋体" w:hAnsi="宋体" w:eastAsia="宋体" w:cs="宋体"/>
          <w:spacing w:val="-3"/>
          <w:sz w:val="24"/>
          <w:szCs w:val="24"/>
        </w:rPr>
        <w:t>1</w:t>
      </w:r>
      <w:r>
        <w:rPr>
          <w:rFonts w:ascii="宋体" w:hAnsi="宋体" w:eastAsia="宋体" w:cs="宋体"/>
          <w:spacing w:val="-50"/>
          <w:sz w:val="24"/>
          <w:szCs w:val="24"/>
        </w:rPr>
        <w:t xml:space="preserve"> </w:t>
      </w:r>
      <w:r>
        <w:rPr>
          <w:rFonts w:ascii="宋体" w:hAnsi="宋体" w:eastAsia="宋体" w:cs="宋体"/>
          <w:spacing w:val="-3"/>
          <w:sz w:val="24"/>
          <w:szCs w:val="24"/>
        </w:rPr>
        <w:t>年及以上，否则视为承包人违约。</w:t>
      </w:r>
    </w:p>
    <w:p w14:paraId="1219E91C">
      <w:pPr>
        <w:spacing w:line="360" w:lineRule="auto"/>
        <w:ind w:left="9" w:right="84" w:firstLine="486"/>
        <w:rPr>
          <w:rFonts w:ascii="宋体" w:hAnsi="宋体" w:eastAsia="宋体" w:cs="宋体"/>
          <w:sz w:val="24"/>
          <w:szCs w:val="24"/>
        </w:rPr>
      </w:pPr>
      <w:r>
        <w:rPr>
          <w:rFonts w:ascii="宋体" w:hAnsi="宋体" w:eastAsia="宋体" w:cs="宋体"/>
          <w:spacing w:val="-2"/>
          <w:sz w:val="24"/>
          <w:szCs w:val="24"/>
        </w:rPr>
        <w:t>（3）项目经理不能在两个或两个以上项目</w:t>
      </w:r>
      <w:r>
        <w:rPr>
          <w:rFonts w:ascii="宋体" w:hAnsi="宋体" w:eastAsia="宋体" w:cs="宋体"/>
          <w:spacing w:val="-3"/>
          <w:sz w:val="24"/>
          <w:szCs w:val="24"/>
        </w:rPr>
        <w:t>同时任职，且必须保证每月有</w:t>
      </w:r>
      <w:r>
        <w:rPr>
          <w:rFonts w:ascii="宋体" w:hAnsi="宋体" w:eastAsia="宋体" w:cs="宋体"/>
          <w:spacing w:val="-47"/>
          <w:sz w:val="24"/>
          <w:szCs w:val="24"/>
        </w:rPr>
        <w:t xml:space="preserve"> </w:t>
      </w:r>
      <w:r>
        <w:rPr>
          <w:rFonts w:ascii="宋体" w:hAnsi="宋体" w:eastAsia="宋体" w:cs="宋体"/>
          <w:spacing w:val="-3"/>
          <w:sz w:val="24"/>
          <w:szCs w:val="24"/>
        </w:rPr>
        <w:t>22</w:t>
      </w:r>
      <w:r>
        <w:rPr>
          <w:rFonts w:ascii="宋体" w:hAnsi="宋体" w:eastAsia="宋体" w:cs="宋体"/>
          <w:spacing w:val="-46"/>
          <w:sz w:val="24"/>
          <w:szCs w:val="24"/>
        </w:rPr>
        <w:t xml:space="preserve"> </w:t>
      </w:r>
      <w:r>
        <w:rPr>
          <w:rFonts w:ascii="宋体" w:hAnsi="宋体" w:eastAsia="宋体" w:cs="宋体"/>
          <w:spacing w:val="-3"/>
          <w:sz w:val="24"/>
          <w:szCs w:val="24"/>
        </w:rPr>
        <w:t>天以上</w:t>
      </w:r>
      <w:r>
        <w:rPr>
          <w:rFonts w:ascii="宋体" w:hAnsi="宋体" w:eastAsia="宋体" w:cs="宋体"/>
          <w:spacing w:val="1"/>
          <w:sz w:val="24"/>
          <w:szCs w:val="24"/>
        </w:rPr>
        <w:t>驻守现场；项目总工（总工程师）必须保证每月</w:t>
      </w:r>
      <w:r>
        <w:rPr>
          <w:rFonts w:ascii="宋体" w:hAnsi="宋体" w:eastAsia="宋体" w:cs="宋体"/>
          <w:sz w:val="24"/>
          <w:szCs w:val="24"/>
        </w:rPr>
        <w:t>有</w:t>
      </w:r>
      <w:r>
        <w:rPr>
          <w:rFonts w:ascii="宋体" w:hAnsi="宋体" w:eastAsia="宋体" w:cs="宋体"/>
          <w:spacing w:val="-38"/>
          <w:sz w:val="24"/>
          <w:szCs w:val="24"/>
        </w:rPr>
        <w:t xml:space="preserve"> </w:t>
      </w:r>
      <w:r>
        <w:rPr>
          <w:rFonts w:ascii="宋体" w:hAnsi="宋体" w:eastAsia="宋体" w:cs="宋体"/>
          <w:sz w:val="24"/>
          <w:szCs w:val="24"/>
        </w:rPr>
        <w:t>22</w:t>
      </w:r>
      <w:r>
        <w:rPr>
          <w:rFonts w:ascii="宋体" w:hAnsi="宋体" w:eastAsia="宋体" w:cs="宋体"/>
          <w:spacing w:val="-45"/>
          <w:sz w:val="24"/>
          <w:szCs w:val="24"/>
        </w:rPr>
        <w:t xml:space="preserve"> </w:t>
      </w:r>
      <w:r>
        <w:rPr>
          <w:rFonts w:ascii="宋体" w:hAnsi="宋体" w:eastAsia="宋体" w:cs="宋体"/>
          <w:sz w:val="24"/>
          <w:szCs w:val="24"/>
        </w:rPr>
        <w:t>天以上驻守现场，否则视为承包人违约；质量总监、安全总监必须保证每月有</w:t>
      </w:r>
      <w:r>
        <w:rPr>
          <w:rFonts w:ascii="宋体" w:hAnsi="宋体" w:eastAsia="宋体" w:cs="宋体"/>
          <w:spacing w:val="-30"/>
          <w:sz w:val="24"/>
          <w:szCs w:val="24"/>
        </w:rPr>
        <w:t xml:space="preserve"> </w:t>
      </w:r>
      <w:r>
        <w:rPr>
          <w:rFonts w:ascii="宋体" w:hAnsi="宋体" w:eastAsia="宋体" w:cs="宋体"/>
          <w:sz w:val="24"/>
          <w:szCs w:val="24"/>
        </w:rPr>
        <w:t>22</w:t>
      </w:r>
      <w:r>
        <w:rPr>
          <w:rFonts w:ascii="宋体" w:hAnsi="宋体" w:eastAsia="宋体" w:cs="宋体"/>
          <w:spacing w:val="-44"/>
          <w:sz w:val="24"/>
          <w:szCs w:val="24"/>
        </w:rPr>
        <w:t xml:space="preserve"> </w:t>
      </w:r>
      <w:r>
        <w:rPr>
          <w:rFonts w:ascii="宋体" w:hAnsi="宋体" w:eastAsia="宋体" w:cs="宋体"/>
          <w:sz w:val="24"/>
          <w:szCs w:val="24"/>
        </w:rPr>
        <w:t>天以上驻守现场，否则视为承包人违</w:t>
      </w:r>
      <w:r>
        <w:rPr>
          <w:rFonts w:ascii="宋体" w:hAnsi="宋体" w:eastAsia="宋体" w:cs="宋体"/>
          <w:spacing w:val="-6"/>
          <w:sz w:val="24"/>
          <w:szCs w:val="24"/>
        </w:rPr>
        <w:t>约。以上四位主要人员因主管部门或发包人检查，</w:t>
      </w:r>
      <w:r>
        <w:rPr>
          <w:rFonts w:ascii="宋体" w:hAnsi="宋体" w:eastAsia="宋体" w:cs="宋体"/>
          <w:spacing w:val="53"/>
          <w:sz w:val="24"/>
          <w:szCs w:val="24"/>
        </w:rPr>
        <w:t xml:space="preserve"> </w:t>
      </w:r>
      <w:r>
        <w:rPr>
          <w:rFonts w:ascii="宋体" w:hAnsi="宋体" w:eastAsia="宋体" w:cs="宋体"/>
          <w:spacing w:val="-6"/>
          <w:sz w:val="24"/>
          <w:szCs w:val="24"/>
        </w:rPr>
        <w:t>被认定存在“挂名”现象的，</w:t>
      </w:r>
      <w:r>
        <w:rPr>
          <w:rFonts w:ascii="宋体" w:hAnsi="宋体" w:eastAsia="宋体" w:cs="宋体"/>
          <w:spacing w:val="-7"/>
          <w:sz w:val="24"/>
          <w:szCs w:val="24"/>
        </w:rPr>
        <w:t>视为承</w:t>
      </w:r>
      <w:r>
        <w:rPr>
          <w:rFonts w:ascii="宋体" w:hAnsi="宋体" w:eastAsia="宋体" w:cs="宋体"/>
          <w:spacing w:val="-8"/>
          <w:sz w:val="24"/>
          <w:szCs w:val="24"/>
        </w:rPr>
        <w:t>包人违约。</w:t>
      </w:r>
    </w:p>
    <w:p w14:paraId="750C544A">
      <w:pPr>
        <w:spacing w:line="360" w:lineRule="auto"/>
        <w:ind w:left="8" w:right="85" w:firstLine="487"/>
        <w:rPr>
          <w:rFonts w:ascii="宋体" w:hAnsi="宋体" w:eastAsia="宋体" w:cs="宋体"/>
          <w:sz w:val="24"/>
          <w:szCs w:val="24"/>
        </w:rPr>
      </w:pPr>
      <w:r>
        <w:rPr>
          <w:rFonts w:ascii="宋体" w:hAnsi="宋体" w:eastAsia="宋体" w:cs="宋体"/>
          <w:spacing w:val="1"/>
          <w:sz w:val="24"/>
          <w:szCs w:val="24"/>
        </w:rPr>
        <w:t>（4）承包人应按《公路水运工程安全生产监督管理办法》《广东省高速公路工程</w:t>
      </w:r>
      <w:r>
        <w:rPr>
          <w:rFonts w:ascii="宋体" w:hAnsi="宋体" w:eastAsia="宋体" w:cs="宋体"/>
          <w:spacing w:val="-5"/>
          <w:sz w:val="24"/>
          <w:szCs w:val="24"/>
        </w:rPr>
        <w:t>施工安全标准化指南》《广东省公路工程施工项目部管理指南》等相关规定， 设置独立</w:t>
      </w:r>
      <w:r>
        <w:rPr>
          <w:rFonts w:ascii="宋体" w:hAnsi="宋体" w:eastAsia="宋体" w:cs="宋体"/>
          <w:spacing w:val="-3"/>
          <w:sz w:val="24"/>
          <w:szCs w:val="24"/>
        </w:rPr>
        <w:t>的安全管理机构，配置安全总监、专职安全生产管理人员：</w:t>
      </w:r>
    </w:p>
    <w:p w14:paraId="7023D320">
      <w:pPr>
        <w:spacing w:line="360" w:lineRule="auto"/>
        <w:ind w:left="8" w:firstLine="481"/>
        <w:rPr>
          <w:rFonts w:ascii="宋体" w:hAnsi="宋体" w:eastAsia="宋体" w:cs="宋体"/>
          <w:sz w:val="24"/>
          <w:szCs w:val="24"/>
        </w:rPr>
      </w:pPr>
      <w:r>
        <w:rPr>
          <w:rFonts w:ascii="宋体" w:hAnsi="宋体" w:eastAsia="宋体" w:cs="宋体"/>
          <w:spacing w:val="-2"/>
          <w:sz w:val="24"/>
          <w:szCs w:val="24"/>
        </w:rPr>
        <w:t>a.项目部及专业分包单位按照年度施工产值计划配备专职安全生产管理人员，年产</w:t>
      </w:r>
      <w:r>
        <w:rPr>
          <w:rFonts w:ascii="宋体" w:hAnsi="宋体" w:eastAsia="宋体" w:cs="宋体"/>
          <w:sz w:val="24"/>
          <w:szCs w:val="24"/>
        </w:rPr>
        <w:t>值计划在</w:t>
      </w:r>
      <w:r>
        <w:rPr>
          <w:rFonts w:ascii="宋体" w:hAnsi="宋体" w:eastAsia="宋体" w:cs="宋体"/>
          <w:spacing w:val="-43"/>
          <w:sz w:val="24"/>
          <w:szCs w:val="24"/>
        </w:rPr>
        <w:t xml:space="preserve"> </w:t>
      </w:r>
      <w:r>
        <w:rPr>
          <w:rFonts w:ascii="宋体" w:hAnsi="宋体" w:eastAsia="宋体" w:cs="宋体"/>
          <w:sz w:val="24"/>
          <w:szCs w:val="24"/>
        </w:rPr>
        <w:t>5000</w:t>
      </w:r>
      <w:r>
        <w:rPr>
          <w:rFonts w:ascii="宋体" w:hAnsi="宋体" w:eastAsia="宋体" w:cs="宋体"/>
          <w:spacing w:val="-43"/>
          <w:sz w:val="24"/>
          <w:szCs w:val="24"/>
        </w:rPr>
        <w:t xml:space="preserve"> </w:t>
      </w:r>
      <w:r>
        <w:rPr>
          <w:rFonts w:ascii="宋体" w:hAnsi="宋体" w:eastAsia="宋体" w:cs="宋体"/>
          <w:sz w:val="24"/>
          <w:szCs w:val="24"/>
        </w:rPr>
        <w:t>万元及以下时，应配备不少于</w:t>
      </w:r>
      <w:r>
        <w:rPr>
          <w:rFonts w:ascii="宋体" w:hAnsi="宋体" w:eastAsia="宋体" w:cs="宋体"/>
          <w:spacing w:val="-42"/>
          <w:sz w:val="24"/>
          <w:szCs w:val="24"/>
        </w:rPr>
        <w:t xml:space="preserve"> </w:t>
      </w:r>
      <w:r>
        <w:rPr>
          <w:rFonts w:ascii="宋体" w:hAnsi="宋体" w:eastAsia="宋体" w:cs="宋体"/>
          <w:sz w:val="24"/>
          <w:szCs w:val="24"/>
        </w:rPr>
        <w:t>2</w:t>
      </w:r>
      <w:r>
        <w:rPr>
          <w:rFonts w:ascii="宋体" w:hAnsi="宋体" w:eastAsia="宋体" w:cs="宋体"/>
          <w:spacing w:val="-47"/>
          <w:sz w:val="24"/>
          <w:szCs w:val="24"/>
        </w:rPr>
        <w:t xml:space="preserve"> </w:t>
      </w:r>
      <w:r>
        <w:rPr>
          <w:rFonts w:ascii="宋体" w:hAnsi="宋体" w:eastAsia="宋体" w:cs="宋体"/>
          <w:sz w:val="24"/>
          <w:szCs w:val="24"/>
        </w:rPr>
        <w:t>名专职安全生产</w:t>
      </w:r>
      <w:r>
        <w:rPr>
          <w:rFonts w:ascii="宋体" w:hAnsi="宋体" w:eastAsia="宋体" w:cs="宋体"/>
          <w:spacing w:val="-1"/>
          <w:sz w:val="24"/>
          <w:szCs w:val="24"/>
        </w:rPr>
        <w:t>管理人员，年产值计划</w:t>
      </w:r>
      <w:r>
        <w:rPr>
          <w:rFonts w:ascii="宋体" w:hAnsi="宋体" w:eastAsia="宋体" w:cs="宋体"/>
          <w:spacing w:val="-7"/>
          <w:sz w:val="24"/>
          <w:szCs w:val="24"/>
        </w:rPr>
        <w:t>超过</w:t>
      </w:r>
      <w:r>
        <w:rPr>
          <w:rFonts w:ascii="宋体" w:hAnsi="宋体" w:eastAsia="宋体" w:cs="宋体"/>
          <w:spacing w:val="-46"/>
          <w:sz w:val="24"/>
          <w:szCs w:val="24"/>
        </w:rPr>
        <w:t xml:space="preserve"> </w:t>
      </w:r>
      <w:r>
        <w:rPr>
          <w:rFonts w:ascii="宋体" w:hAnsi="宋体" w:eastAsia="宋体" w:cs="宋体"/>
          <w:spacing w:val="-7"/>
          <w:sz w:val="24"/>
          <w:szCs w:val="24"/>
        </w:rPr>
        <w:t>5000</w:t>
      </w:r>
      <w:r>
        <w:rPr>
          <w:rFonts w:ascii="宋体" w:hAnsi="宋体" w:eastAsia="宋体" w:cs="宋体"/>
          <w:spacing w:val="-44"/>
          <w:sz w:val="24"/>
          <w:szCs w:val="24"/>
        </w:rPr>
        <w:t xml:space="preserve"> </w:t>
      </w:r>
      <w:r>
        <w:rPr>
          <w:rFonts w:ascii="宋体" w:hAnsi="宋体" w:eastAsia="宋体" w:cs="宋体"/>
          <w:spacing w:val="-7"/>
          <w:sz w:val="24"/>
          <w:szCs w:val="24"/>
        </w:rPr>
        <w:t>万元时，每增加</w:t>
      </w:r>
      <w:r>
        <w:rPr>
          <w:rFonts w:ascii="宋体" w:hAnsi="宋体" w:eastAsia="宋体" w:cs="宋体"/>
          <w:spacing w:val="-46"/>
          <w:sz w:val="24"/>
          <w:szCs w:val="24"/>
        </w:rPr>
        <w:t xml:space="preserve"> </w:t>
      </w:r>
      <w:r>
        <w:rPr>
          <w:rFonts w:ascii="宋体" w:hAnsi="宋体" w:eastAsia="宋体" w:cs="宋体"/>
          <w:spacing w:val="-7"/>
          <w:sz w:val="24"/>
          <w:szCs w:val="24"/>
        </w:rPr>
        <w:t>5000</w:t>
      </w:r>
      <w:r>
        <w:rPr>
          <w:rFonts w:ascii="宋体" w:hAnsi="宋体" w:eastAsia="宋体" w:cs="宋体"/>
          <w:spacing w:val="-45"/>
          <w:sz w:val="24"/>
          <w:szCs w:val="24"/>
        </w:rPr>
        <w:t xml:space="preserve"> </w:t>
      </w:r>
      <w:r>
        <w:rPr>
          <w:rFonts w:ascii="宋体" w:hAnsi="宋体" w:eastAsia="宋体" w:cs="宋体"/>
          <w:spacing w:val="-7"/>
          <w:sz w:val="24"/>
          <w:szCs w:val="24"/>
        </w:rPr>
        <w:t>万元应增配</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9"/>
          <w:sz w:val="24"/>
          <w:szCs w:val="24"/>
        </w:rPr>
        <w:t xml:space="preserve"> </w:t>
      </w:r>
      <w:r>
        <w:rPr>
          <w:rFonts w:ascii="宋体" w:hAnsi="宋体" w:eastAsia="宋体" w:cs="宋体"/>
          <w:spacing w:val="-7"/>
          <w:sz w:val="24"/>
          <w:szCs w:val="24"/>
        </w:rPr>
        <w:t>人；专</w:t>
      </w:r>
      <w:r>
        <w:rPr>
          <w:rFonts w:ascii="宋体" w:hAnsi="宋体" w:eastAsia="宋体" w:cs="宋体"/>
          <w:spacing w:val="-8"/>
          <w:sz w:val="24"/>
          <w:szCs w:val="24"/>
        </w:rPr>
        <w:t>职安全生产管理人员中安全、路桥、</w:t>
      </w:r>
      <w:r>
        <w:rPr>
          <w:rFonts w:ascii="宋体" w:hAnsi="宋体" w:eastAsia="宋体" w:cs="宋体"/>
          <w:spacing w:val="-1"/>
          <w:sz w:val="24"/>
          <w:szCs w:val="24"/>
        </w:rPr>
        <w:t>隧道、机械、化工、地质、机电等专业人员</w:t>
      </w:r>
      <w:r>
        <w:rPr>
          <w:rFonts w:ascii="宋体" w:hAnsi="宋体" w:eastAsia="宋体" w:cs="宋体"/>
          <w:spacing w:val="-2"/>
          <w:sz w:val="24"/>
          <w:szCs w:val="24"/>
        </w:rPr>
        <w:t>比例不少于</w:t>
      </w:r>
      <w:r>
        <w:rPr>
          <w:rFonts w:ascii="宋体" w:hAnsi="宋体" w:eastAsia="宋体" w:cs="宋体"/>
          <w:spacing w:val="-50"/>
          <w:sz w:val="24"/>
          <w:szCs w:val="24"/>
        </w:rPr>
        <w:t xml:space="preserve"> </w:t>
      </w:r>
      <w:r>
        <w:rPr>
          <w:rFonts w:ascii="宋体" w:hAnsi="宋体" w:eastAsia="宋体" w:cs="宋体"/>
          <w:spacing w:val="-2"/>
          <w:sz w:val="24"/>
          <w:szCs w:val="24"/>
        </w:rPr>
        <w:t>80%。</w:t>
      </w:r>
    </w:p>
    <w:p w14:paraId="7606D3CF">
      <w:pPr>
        <w:spacing w:line="360" w:lineRule="auto"/>
        <w:ind w:left="9" w:right="85" w:firstLine="476"/>
        <w:rPr>
          <w:rFonts w:ascii="宋体" w:hAnsi="宋体" w:eastAsia="宋体" w:cs="宋体"/>
          <w:sz w:val="24"/>
          <w:szCs w:val="24"/>
        </w:rPr>
      </w:pPr>
      <w:r>
        <w:rPr>
          <w:rFonts w:ascii="宋体" w:hAnsi="宋体" w:eastAsia="宋体" w:cs="宋体"/>
          <w:spacing w:val="-1"/>
          <w:sz w:val="24"/>
          <w:szCs w:val="24"/>
        </w:rPr>
        <w:t>b.施工单位（含专业分包单位）项目经理</w:t>
      </w:r>
      <w:r>
        <w:rPr>
          <w:rFonts w:ascii="宋体" w:hAnsi="宋体" w:eastAsia="宋体" w:cs="宋体"/>
          <w:spacing w:val="-2"/>
          <w:sz w:val="24"/>
          <w:szCs w:val="24"/>
        </w:rPr>
        <w:t>、项目副经理和专职安全生产管理人员应持有公路水运工程施工企业安全生产“三类人员”安全生产考核合格证书，证书有效并与对应岗位人员身份相符，进场“三类人员”资格、实际岗位与合同文件或变更文件对</w:t>
      </w:r>
      <w:r>
        <w:rPr>
          <w:rFonts w:ascii="宋体" w:hAnsi="宋体" w:eastAsia="宋体" w:cs="宋体"/>
          <w:spacing w:val="-12"/>
          <w:sz w:val="24"/>
          <w:szCs w:val="24"/>
        </w:rPr>
        <w:t>应。</w:t>
      </w:r>
    </w:p>
    <w:p w14:paraId="60FED430">
      <w:pPr>
        <w:spacing w:line="360" w:lineRule="auto"/>
        <w:ind w:left="11" w:right="85" w:firstLine="484"/>
        <w:rPr>
          <w:rFonts w:ascii="宋体" w:hAnsi="宋体" w:eastAsia="宋体" w:cs="宋体"/>
          <w:sz w:val="24"/>
          <w:szCs w:val="24"/>
        </w:rPr>
      </w:pPr>
      <w:r>
        <w:rPr>
          <w:rFonts w:ascii="宋体" w:hAnsi="宋体" w:eastAsia="宋体" w:cs="宋体"/>
          <w:spacing w:val="1"/>
          <w:sz w:val="24"/>
          <w:szCs w:val="24"/>
        </w:rPr>
        <w:t>（5）项目经理和项目总工必须按要求出席发包人组织的各种会议，包括监理人主</w:t>
      </w:r>
      <w:r>
        <w:rPr>
          <w:rFonts w:ascii="宋体" w:hAnsi="宋体" w:eastAsia="宋体" w:cs="宋体"/>
          <w:spacing w:val="-6"/>
          <w:sz w:val="24"/>
          <w:szCs w:val="24"/>
        </w:rPr>
        <w:t>持的重要会议。特殊情况无法出席的，</w:t>
      </w:r>
      <w:r>
        <w:rPr>
          <w:rFonts w:ascii="宋体" w:hAnsi="宋体" w:eastAsia="宋体" w:cs="宋体"/>
          <w:spacing w:val="50"/>
          <w:sz w:val="24"/>
          <w:szCs w:val="24"/>
        </w:rPr>
        <w:t xml:space="preserve"> </w:t>
      </w:r>
      <w:r>
        <w:rPr>
          <w:rFonts w:ascii="宋体" w:hAnsi="宋体" w:eastAsia="宋体" w:cs="宋体"/>
          <w:spacing w:val="-6"/>
          <w:sz w:val="24"/>
          <w:szCs w:val="24"/>
        </w:rPr>
        <w:t>必须取得发包人或监理人批准，任何迟到</w:t>
      </w:r>
      <w:r>
        <w:rPr>
          <w:rFonts w:ascii="宋体" w:hAnsi="宋体" w:eastAsia="宋体" w:cs="宋体"/>
          <w:spacing w:val="-7"/>
          <w:sz w:val="24"/>
          <w:szCs w:val="24"/>
        </w:rPr>
        <w:t>或早退按缺席处理。</w:t>
      </w:r>
    </w:p>
    <w:p w14:paraId="13A5B9F1">
      <w:pPr>
        <w:spacing w:line="360" w:lineRule="auto"/>
        <w:ind w:left="10" w:right="96" w:firstLine="485"/>
        <w:rPr>
          <w:rFonts w:ascii="宋体" w:hAnsi="宋体" w:eastAsia="宋体" w:cs="宋体"/>
          <w:sz w:val="24"/>
          <w:szCs w:val="24"/>
        </w:rPr>
      </w:pPr>
      <w:r>
        <w:rPr>
          <w:rFonts w:ascii="宋体" w:hAnsi="宋体" w:eastAsia="宋体" w:cs="宋体"/>
          <w:spacing w:val="1"/>
          <w:sz w:val="24"/>
          <w:szCs w:val="24"/>
        </w:rPr>
        <w:t>（6）承包人应严格按照环境保护的有关规定，明确环境保护的主要负责人，并按</w:t>
      </w:r>
      <w:r>
        <w:rPr>
          <w:rFonts w:ascii="宋体" w:hAnsi="宋体" w:eastAsia="宋体" w:cs="宋体"/>
          <w:spacing w:val="-3"/>
          <w:sz w:val="24"/>
          <w:szCs w:val="24"/>
        </w:rPr>
        <w:t>监理人的要求做好防御措施以及实施记录。</w:t>
      </w:r>
    </w:p>
    <w:p w14:paraId="374549BB">
      <w:pPr>
        <w:spacing w:line="360" w:lineRule="auto"/>
        <w:ind w:left="10" w:right="96" w:firstLine="485"/>
        <w:rPr>
          <w:rFonts w:ascii="宋体" w:hAnsi="宋体" w:eastAsia="宋体" w:cs="宋体"/>
          <w:sz w:val="24"/>
          <w:szCs w:val="24"/>
        </w:rPr>
      </w:pPr>
      <w:r>
        <w:rPr>
          <w:rFonts w:ascii="宋体" w:hAnsi="宋体" w:eastAsia="宋体" w:cs="宋体"/>
          <w:spacing w:val="1"/>
          <w:sz w:val="24"/>
          <w:szCs w:val="24"/>
        </w:rPr>
        <w:t>（7）承包人应严格按照水土保持的有关规定，明确水土保持的主要负责人，并按</w:t>
      </w:r>
      <w:r>
        <w:rPr>
          <w:rFonts w:ascii="宋体" w:hAnsi="宋体" w:eastAsia="宋体" w:cs="宋体"/>
          <w:spacing w:val="-3"/>
          <w:sz w:val="24"/>
          <w:szCs w:val="24"/>
        </w:rPr>
        <w:t>监理人的要求做好防御措施以及实施记录。</w:t>
      </w:r>
    </w:p>
    <w:p w14:paraId="6E887A67">
      <w:pPr>
        <w:spacing w:before="1" w:line="218" w:lineRule="auto"/>
        <w:ind w:left="495"/>
        <w:rPr>
          <w:rFonts w:ascii="宋体" w:hAnsi="宋体" w:eastAsia="宋体" w:cs="宋体"/>
          <w:sz w:val="24"/>
          <w:szCs w:val="24"/>
        </w:rPr>
      </w:pPr>
      <w:r>
        <w:rPr>
          <w:rFonts w:ascii="宋体" w:hAnsi="宋体" w:eastAsia="宋体" w:cs="宋体"/>
          <w:spacing w:val="-1"/>
          <w:sz w:val="24"/>
          <w:szCs w:val="24"/>
        </w:rPr>
        <w:t>（8）承包人应配合发包人采用信息化管理</w:t>
      </w:r>
      <w:r>
        <w:rPr>
          <w:rFonts w:ascii="宋体" w:hAnsi="宋体" w:eastAsia="宋体" w:cs="宋体"/>
          <w:spacing w:val="-2"/>
          <w:sz w:val="24"/>
          <w:szCs w:val="24"/>
        </w:rPr>
        <w:t>手段对主要施工管理人员进行考核。</w:t>
      </w:r>
    </w:p>
    <w:p w14:paraId="2D3CC341">
      <w:pPr>
        <w:spacing w:before="183" w:line="219" w:lineRule="auto"/>
        <w:ind w:left="488"/>
        <w:rPr>
          <w:rFonts w:ascii="宋体" w:hAnsi="宋体" w:eastAsia="宋体" w:cs="宋体"/>
          <w:sz w:val="24"/>
          <w:szCs w:val="24"/>
        </w:rPr>
      </w:pPr>
      <w:r>
        <w:rPr>
          <w:rFonts w:ascii="宋体" w:hAnsi="宋体" w:eastAsia="宋体" w:cs="宋体"/>
          <w:spacing w:val="-4"/>
          <w:sz w:val="24"/>
          <w:szCs w:val="24"/>
        </w:rPr>
        <w:t>在本款后增加</w:t>
      </w:r>
      <w:r>
        <w:rPr>
          <w:rFonts w:ascii="宋体" w:hAnsi="宋体" w:eastAsia="宋体" w:cs="宋体"/>
          <w:spacing w:val="-37"/>
          <w:sz w:val="24"/>
          <w:szCs w:val="24"/>
        </w:rPr>
        <w:t xml:space="preserve"> </w:t>
      </w:r>
      <w:r>
        <w:rPr>
          <w:rFonts w:ascii="宋体" w:hAnsi="宋体" w:eastAsia="宋体" w:cs="宋体"/>
          <w:spacing w:val="-4"/>
          <w:sz w:val="24"/>
          <w:szCs w:val="24"/>
        </w:rPr>
        <w:t>4.6.6～4.6.7</w:t>
      </w:r>
      <w:r>
        <w:rPr>
          <w:rFonts w:ascii="宋体" w:hAnsi="宋体" w:eastAsia="宋体" w:cs="宋体"/>
          <w:spacing w:val="-47"/>
          <w:sz w:val="24"/>
          <w:szCs w:val="24"/>
        </w:rPr>
        <w:t xml:space="preserve"> </w:t>
      </w:r>
      <w:r>
        <w:rPr>
          <w:rFonts w:ascii="宋体" w:hAnsi="宋体" w:eastAsia="宋体" w:cs="宋体"/>
          <w:spacing w:val="-4"/>
          <w:sz w:val="24"/>
          <w:szCs w:val="24"/>
        </w:rPr>
        <w:t>项如下：</w:t>
      </w:r>
    </w:p>
    <w:p w14:paraId="47CCD1A6">
      <w:pPr>
        <w:spacing w:before="182" w:line="220" w:lineRule="auto"/>
        <w:ind w:left="488"/>
        <w:rPr>
          <w:rFonts w:ascii="宋体" w:hAnsi="宋体" w:eastAsia="宋体" w:cs="宋体"/>
          <w:sz w:val="24"/>
          <w:szCs w:val="24"/>
        </w:rPr>
      </w:pPr>
      <w:r>
        <w:rPr>
          <w:rFonts w:ascii="宋体" w:hAnsi="宋体" w:eastAsia="宋体" w:cs="宋体"/>
          <w:spacing w:val="-3"/>
          <w:sz w:val="24"/>
          <w:szCs w:val="24"/>
        </w:rPr>
        <w:t>4.6.6</w:t>
      </w:r>
      <w:r>
        <w:rPr>
          <w:rFonts w:ascii="宋体" w:hAnsi="宋体" w:eastAsia="宋体" w:cs="宋体"/>
          <w:spacing w:val="21"/>
          <w:sz w:val="24"/>
          <w:szCs w:val="24"/>
        </w:rPr>
        <w:t xml:space="preserve"> </w:t>
      </w:r>
      <w:r>
        <w:rPr>
          <w:rFonts w:ascii="宋体" w:hAnsi="宋体" w:eastAsia="宋体" w:cs="宋体"/>
          <w:spacing w:val="-3"/>
          <w:sz w:val="24"/>
          <w:szCs w:val="24"/>
        </w:rPr>
        <w:t>劳务聘用</w:t>
      </w:r>
    </w:p>
    <w:p w14:paraId="71939662">
      <w:pPr>
        <w:spacing w:before="181" w:line="362" w:lineRule="auto"/>
        <w:ind w:left="9" w:right="85" w:firstLine="486"/>
        <w:rPr>
          <w:rFonts w:ascii="宋体" w:hAnsi="宋体" w:eastAsia="宋体" w:cs="宋体"/>
          <w:sz w:val="24"/>
          <w:szCs w:val="24"/>
        </w:rPr>
      </w:pPr>
      <w:r>
        <w:rPr>
          <w:rFonts w:ascii="宋体" w:hAnsi="宋体" w:eastAsia="宋体" w:cs="宋体"/>
          <w:spacing w:val="1"/>
          <w:sz w:val="24"/>
          <w:szCs w:val="24"/>
        </w:rPr>
        <w:t>（1）承包人可以直接雇用农民工或将劳务作业分包给具有劳务分包资质的劳务分</w:t>
      </w:r>
      <w:r>
        <w:rPr>
          <w:rFonts w:ascii="宋体" w:hAnsi="宋体" w:eastAsia="宋体" w:cs="宋体"/>
          <w:spacing w:val="-2"/>
          <w:sz w:val="24"/>
          <w:szCs w:val="24"/>
        </w:rPr>
        <w:t>包人，但承包人或分包人必须依法签订劳动合同或用工协议，并将民工花名册、劳动合</w:t>
      </w:r>
    </w:p>
    <w:p w14:paraId="09A1E649">
      <w:pPr>
        <w:spacing w:line="362" w:lineRule="auto"/>
        <w:rPr>
          <w:rFonts w:ascii="宋体" w:hAnsi="宋体" w:eastAsia="宋体" w:cs="宋体"/>
          <w:sz w:val="24"/>
          <w:szCs w:val="24"/>
        </w:rPr>
        <w:sectPr>
          <w:headerReference r:id="rId56" w:type="default"/>
          <w:footerReference r:id="rId57" w:type="default"/>
          <w:pgSz w:w="11905" w:h="16840"/>
          <w:pgMar w:top="1182" w:right="1331" w:bottom="1171" w:left="1416" w:header="849" w:footer="937" w:gutter="0"/>
          <w:pgNumType w:fmt="decimal"/>
          <w:cols w:space="720" w:num="1"/>
        </w:sectPr>
      </w:pPr>
    </w:p>
    <w:p w14:paraId="3A3AC809">
      <w:pPr>
        <w:pStyle w:val="2"/>
        <w:spacing w:line="268" w:lineRule="auto"/>
      </w:pPr>
    </w:p>
    <w:p w14:paraId="1F3BBC54">
      <w:pPr>
        <w:spacing w:before="78" w:line="360" w:lineRule="auto"/>
        <w:ind w:left="9" w:right="71" w:firstLine="23"/>
        <w:jc w:val="both"/>
        <w:rPr>
          <w:rFonts w:ascii="宋体" w:hAnsi="宋体" w:eastAsia="宋体" w:cs="宋体"/>
          <w:sz w:val="24"/>
          <w:szCs w:val="24"/>
        </w:rPr>
      </w:pPr>
      <w:r>
        <w:rPr>
          <w:rFonts w:ascii="宋体" w:hAnsi="宋体" w:eastAsia="宋体" w:cs="宋体"/>
          <w:spacing w:val="-2"/>
          <w:sz w:val="24"/>
          <w:szCs w:val="24"/>
        </w:rPr>
        <w:t>同或用工协议、民工签收的工资支付表报相关监</w:t>
      </w:r>
      <w:r>
        <w:rPr>
          <w:rFonts w:ascii="宋体" w:hAnsi="宋体" w:eastAsia="宋体" w:cs="宋体"/>
          <w:spacing w:val="-3"/>
          <w:sz w:val="24"/>
          <w:szCs w:val="24"/>
        </w:rPr>
        <w:t>管部门备案。承包人须根据《广东省交</w:t>
      </w:r>
      <w:r>
        <w:rPr>
          <w:rFonts w:ascii="宋体" w:hAnsi="宋体" w:eastAsia="宋体" w:cs="宋体"/>
          <w:spacing w:val="-1"/>
          <w:sz w:val="24"/>
          <w:szCs w:val="24"/>
        </w:rPr>
        <w:t>通运输厅关于加强交通建设工程从业人员实名制管理和作业工人工资支付管理的通知》</w:t>
      </w:r>
      <w:r>
        <w:rPr>
          <w:rFonts w:ascii="宋体" w:hAnsi="宋体" w:eastAsia="宋体" w:cs="宋体"/>
          <w:spacing w:val="-2"/>
          <w:sz w:val="24"/>
          <w:szCs w:val="24"/>
        </w:rPr>
        <w:t>和《广东省交通运输厅关于在全省公路水运工程建设项目部署应用从业人员实名制管理</w:t>
      </w:r>
      <w:r>
        <w:rPr>
          <w:rFonts w:ascii="宋体" w:hAnsi="宋体" w:eastAsia="宋体" w:cs="宋体"/>
          <w:spacing w:val="-5"/>
          <w:sz w:val="24"/>
          <w:szCs w:val="24"/>
        </w:rPr>
        <w:t>系统的通知》等文件要求， 规范和加强项目农民工实名制管理及工资支付管理。承包人和劳务分包人必须按照有关法律、法规和劳务合同按时支付劳务工资及相关费用， 落实各项劳动保护措施。</w:t>
      </w:r>
    </w:p>
    <w:p w14:paraId="1FF22381">
      <w:pPr>
        <w:spacing w:line="360" w:lineRule="auto"/>
        <w:ind w:left="8" w:right="44" w:firstLine="487"/>
        <w:rPr>
          <w:rFonts w:ascii="宋体" w:hAnsi="宋体" w:eastAsia="宋体" w:cs="宋体"/>
          <w:sz w:val="24"/>
          <w:szCs w:val="24"/>
        </w:rPr>
      </w:pPr>
      <w:r>
        <w:rPr>
          <w:rFonts w:ascii="宋体" w:hAnsi="宋体" w:eastAsia="宋体" w:cs="宋体"/>
          <w:spacing w:val="1"/>
          <w:sz w:val="24"/>
          <w:szCs w:val="24"/>
        </w:rPr>
        <w:t>（2）承包人必须按时支付其雇用人员、其分包单位雇用人员、实际为承包人或其</w:t>
      </w:r>
      <w:r>
        <w:rPr>
          <w:rFonts w:ascii="宋体" w:hAnsi="宋体" w:eastAsia="宋体" w:cs="宋体"/>
          <w:spacing w:val="-2"/>
          <w:sz w:val="24"/>
          <w:szCs w:val="24"/>
        </w:rPr>
        <w:t>分包单位服务、应从承包人中得到报酬的人员（包括民工）的工资，不得拖欠上述人员</w:t>
      </w:r>
      <w:r>
        <w:rPr>
          <w:rFonts w:ascii="宋体" w:hAnsi="宋体" w:eastAsia="宋体" w:cs="宋体"/>
          <w:spacing w:val="-6"/>
          <w:sz w:val="24"/>
          <w:szCs w:val="24"/>
        </w:rPr>
        <w:t>的工资。同时，</w:t>
      </w:r>
      <w:r>
        <w:rPr>
          <w:rFonts w:ascii="宋体" w:hAnsi="宋体" w:eastAsia="宋体" w:cs="宋体"/>
          <w:spacing w:val="50"/>
          <w:sz w:val="24"/>
          <w:szCs w:val="24"/>
        </w:rPr>
        <w:t xml:space="preserve"> </w:t>
      </w:r>
      <w:r>
        <w:rPr>
          <w:rFonts w:ascii="宋体" w:hAnsi="宋体" w:eastAsia="宋体" w:cs="宋体"/>
          <w:spacing w:val="-6"/>
          <w:sz w:val="24"/>
          <w:szCs w:val="24"/>
        </w:rPr>
        <w:t>承包人有责任和义务监督其分包单位对属下员工工资的支付。发包人和监理人有权监督承包人使用农民工的管理，对不签订劳动合同、非法使用农民工的，</w:t>
      </w:r>
      <w:r>
        <w:rPr>
          <w:rFonts w:ascii="宋体" w:hAnsi="宋体" w:eastAsia="宋体" w:cs="宋体"/>
          <w:spacing w:val="50"/>
          <w:sz w:val="24"/>
          <w:szCs w:val="24"/>
        </w:rPr>
        <w:t xml:space="preserve"> </w:t>
      </w:r>
      <w:r>
        <w:rPr>
          <w:rFonts w:ascii="宋体" w:hAnsi="宋体" w:eastAsia="宋体" w:cs="宋体"/>
          <w:spacing w:val="-6"/>
          <w:sz w:val="24"/>
          <w:szCs w:val="24"/>
        </w:rPr>
        <w:t>或者拖延和克扣农民工工资的，一经发现，发包人将予以通报并上报上级主管单位。同时，</w:t>
      </w:r>
      <w:r>
        <w:rPr>
          <w:rFonts w:ascii="宋体" w:hAnsi="宋体" w:eastAsia="宋体" w:cs="宋体"/>
          <w:spacing w:val="-2"/>
          <w:sz w:val="24"/>
          <w:szCs w:val="24"/>
        </w:rPr>
        <w:t>发包人有权从承包人的工程款中扣留部分款项，直接用于支付上述人员的工资，承包人须无条件接受。详细规定见合同附件十四的《建设工程农民工工资支付保证书》。若因</w:t>
      </w:r>
      <w:r>
        <w:rPr>
          <w:rFonts w:ascii="宋体" w:hAnsi="宋体" w:eastAsia="宋体" w:cs="宋体"/>
          <w:spacing w:val="-6"/>
          <w:sz w:val="24"/>
          <w:szCs w:val="24"/>
        </w:rPr>
        <w:t>上述原因造成劳务人员上访、纠纷等情况，</w:t>
      </w:r>
      <w:r>
        <w:rPr>
          <w:rFonts w:ascii="宋体" w:hAnsi="宋体" w:eastAsia="宋体" w:cs="宋体"/>
          <w:spacing w:val="50"/>
          <w:sz w:val="24"/>
          <w:szCs w:val="24"/>
        </w:rPr>
        <w:t xml:space="preserve"> </w:t>
      </w:r>
      <w:r>
        <w:rPr>
          <w:rFonts w:ascii="宋体" w:hAnsi="宋体" w:eastAsia="宋体" w:cs="宋体"/>
          <w:spacing w:val="-6"/>
          <w:sz w:val="24"/>
          <w:szCs w:val="24"/>
        </w:rPr>
        <w:t>承包人须承担一切经济和法律责任。除按国</w:t>
      </w:r>
      <w:r>
        <w:rPr>
          <w:rFonts w:ascii="宋体" w:hAnsi="宋体" w:eastAsia="宋体" w:cs="宋体"/>
          <w:spacing w:val="1"/>
          <w:sz w:val="24"/>
          <w:szCs w:val="24"/>
        </w:rPr>
        <w:t>家有关法律、法规、规章及上述合同条款的规定进</w:t>
      </w:r>
      <w:r>
        <w:rPr>
          <w:rFonts w:ascii="宋体" w:hAnsi="宋体" w:eastAsia="宋体" w:cs="宋体"/>
          <w:sz w:val="24"/>
          <w:szCs w:val="24"/>
        </w:rPr>
        <w:t>行处理外，同时按照第</w:t>
      </w:r>
      <w:r>
        <w:rPr>
          <w:rFonts w:ascii="宋体" w:hAnsi="宋体" w:eastAsia="宋体" w:cs="宋体"/>
          <w:spacing w:val="-35"/>
          <w:sz w:val="24"/>
          <w:szCs w:val="24"/>
        </w:rPr>
        <w:t xml:space="preserve"> </w:t>
      </w:r>
      <w:r>
        <w:rPr>
          <w:rFonts w:ascii="宋体" w:hAnsi="宋体" w:eastAsia="宋体" w:cs="宋体"/>
          <w:sz w:val="24"/>
          <w:szCs w:val="24"/>
        </w:rPr>
        <w:t>22.1</w:t>
      </w:r>
      <w:r>
        <w:rPr>
          <w:rFonts w:ascii="宋体" w:hAnsi="宋体" w:eastAsia="宋体" w:cs="宋体"/>
          <w:spacing w:val="-48"/>
          <w:sz w:val="24"/>
          <w:szCs w:val="24"/>
        </w:rPr>
        <w:t xml:space="preserve"> </w:t>
      </w:r>
      <w:r>
        <w:rPr>
          <w:rFonts w:ascii="宋体" w:hAnsi="宋体" w:eastAsia="宋体" w:cs="宋体"/>
          <w:sz w:val="24"/>
          <w:szCs w:val="24"/>
        </w:rPr>
        <w:t>款约定</w:t>
      </w:r>
      <w:r>
        <w:rPr>
          <w:rFonts w:ascii="宋体" w:hAnsi="宋体" w:eastAsia="宋体" w:cs="宋体"/>
          <w:spacing w:val="-5"/>
          <w:sz w:val="24"/>
          <w:szCs w:val="24"/>
        </w:rPr>
        <w:t>对承包人进行处理。</w:t>
      </w:r>
    </w:p>
    <w:p w14:paraId="4CDBC6B0">
      <w:pPr>
        <w:spacing w:line="219" w:lineRule="auto"/>
        <w:ind w:left="495"/>
        <w:rPr>
          <w:rFonts w:ascii="宋体" w:hAnsi="宋体" w:eastAsia="宋体" w:cs="宋体"/>
          <w:sz w:val="24"/>
          <w:szCs w:val="24"/>
        </w:rPr>
      </w:pPr>
      <w:r>
        <w:rPr>
          <w:rFonts w:ascii="宋体" w:hAnsi="宋体" w:eastAsia="宋体" w:cs="宋体"/>
          <w:spacing w:val="-3"/>
          <w:sz w:val="24"/>
          <w:szCs w:val="24"/>
        </w:rPr>
        <w:t>（3）承包人应为农民工办理工伤保险。</w:t>
      </w:r>
    </w:p>
    <w:p w14:paraId="501744A0">
      <w:pPr>
        <w:spacing w:before="182" w:line="360" w:lineRule="auto"/>
        <w:ind w:left="29" w:right="121" w:firstLine="466"/>
        <w:rPr>
          <w:rFonts w:ascii="宋体" w:hAnsi="宋体" w:eastAsia="宋体" w:cs="宋体"/>
          <w:sz w:val="24"/>
          <w:szCs w:val="24"/>
        </w:rPr>
      </w:pPr>
      <w:r>
        <w:rPr>
          <w:rFonts w:ascii="宋体" w:hAnsi="宋体" w:eastAsia="宋体" w:cs="宋体"/>
          <w:spacing w:val="1"/>
          <w:sz w:val="24"/>
          <w:szCs w:val="24"/>
        </w:rPr>
        <w:t>（4）发包人制定的农民工工资监管办法及有关规定，承包人须积极配合并无条件</w:t>
      </w:r>
      <w:r>
        <w:rPr>
          <w:rFonts w:ascii="宋体" w:hAnsi="宋体" w:eastAsia="宋体" w:cs="宋体"/>
          <w:spacing w:val="-12"/>
          <w:sz w:val="24"/>
          <w:szCs w:val="24"/>
        </w:rPr>
        <w:t>的接受。</w:t>
      </w:r>
    </w:p>
    <w:p w14:paraId="4315DF7E">
      <w:pPr>
        <w:spacing w:line="360" w:lineRule="auto"/>
        <w:ind w:left="8" w:firstLine="487"/>
        <w:rPr>
          <w:rFonts w:ascii="宋体" w:hAnsi="宋体" w:eastAsia="宋体" w:cs="宋体"/>
          <w:sz w:val="24"/>
          <w:szCs w:val="24"/>
        </w:rPr>
      </w:pPr>
      <w:r>
        <w:rPr>
          <w:rFonts w:ascii="宋体" w:hAnsi="宋体" w:eastAsia="宋体" w:cs="宋体"/>
          <w:spacing w:val="-2"/>
          <w:sz w:val="24"/>
          <w:szCs w:val="24"/>
        </w:rPr>
        <w:t>（5）劳务合作须符合《广东省交通运输厅关于公路工程施工分包管理的实施细则》的通知有关规定；劳务合作单位须按照《广东省高速公路工程施工安全标准化指南》相</w:t>
      </w:r>
      <w:r>
        <w:rPr>
          <w:rFonts w:ascii="宋体" w:hAnsi="宋体" w:eastAsia="宋体" w:cs="宋体"/>
          <w:spacing w:val="-1"/>
          <w:sz w:val="24"/>
          <w:szCs w:val="24"/>
        </w:rPr>
        <w:t>关要求配备安全生产管理人员：施工作业人员在</w:t>
      </w:r>
      <w:r>
        <w:rPr>
          <w:rFonts w:ascii="宋体" w:hAnsi="宋体" w:eastAsia="宋体" w:cs="宋体"/>
          <w:spacing w:val="-38"/>
          <w:sz w:val="24"/>
          <w:szCs w:val="24"/>
        </w:rPr>
        <w:t xml:space="preserve"> </w:t>
      </w:r>
      <w:r>
        <w:rPr>
          <w:rFonts w:ascii="宋体" w:hAnsi="宋体" w:eastAsia="宋体" w:cs="宋体"/>
          <w:spacing w:val="-1"/>
          <w:sz w:val="24"/>
          <w:szCs w:val="24"/>
        </w:rPr>
        <w:t>30</w:t>
      </w:r>
      <w:r>
        <w:rPr>
          <w:rFonts w:ascii="宋体" w:hAnsi="宋体" w:eastAsia="宋体" w:cs="宋体"/>
          <w:spacing w:val="-46"/>
          <w:sz w:val="24"/>
          <w:szCs w:val="24"/>
        </w:rPr>
        <w:t xml:space="preserve"> </w:t>
      </w:r>
      <w:r>
        <w:rPr>
          <w:rFonts w:ascii="宋体" w:hAnsi="宋体" w:eastAsia="宋体" w:cs="宋体"/>
          <w:spacing w:val="-1"/>
          <w:sz w:val="24"/>
          <w:szCs w:val="24"/>
        </w:rPr>
        <w:t>人及以下时，应配</w:t>
      </w:r>
      <w:r>
        <w:rPr>
          <w:rFonts w:ascii="宋体" w:hAnsi="宋体" w:eastAsia="宋体" w:cs="宋体"/>
          <w:spacing w:val="-2"/>
          <w:sz w:val="24"/>
          <w:szCs w:val="24"/>
        </w:rPr>
        <w:t>备 1</w:t>
      </w:r>
      <w:r>
        <w:rPr>
          <w:rFonts w:ascii="宋体" w:hAnsi="宋体" w:eastAsia="宋体" w:cs="宋体"/>
          <w:spacing w:val="-47"/>
          <w:sz w:val="24"/>
          <w:szCs w:val="24"/>
        </w:rPr>
        <w:t xml:space="preserve"> </w:t>
      </w:r>
      <w:r>
        <w:rPr>
          <w:rFonts w:ascii="宋体" w:hAnsi="宋体" w:eastAsia="宋体" w:cs="宋体"/>
          <w:spacing w:val="-2"/>
          <w:sz w:val="24"/>
          <w:szCs w:val="24"/>
        </w:rPr>
        <w:t>名兼职安全</w:t>
      </w:r>
      <w:r>
        <w:rPr>
          <w:rFonts w:ascii="宋体" w:hAnsi="宋体" w:eastAsia="宋体" w:cs="宋体"/>
          <w:sz w:val="24"/>
          <w:szCs w:val="24"/>
        </w:rPr>
        <w:t>生产管理人员；施工作业人员在</w:t>
      </w:r>
      <w:r>
        <w:rPr>
          <w:rFonts w:ascii="宋体" w:hAnsi="宋体" w:eastAsia="宋体" w:cs="宋体"/>
          <w:spacing w:val="-40"/>
          <w:sz w:val="24"/>
          <w:szCs w:val="24"/>
        </w:rPr>
        <w:t xml:space="preserve"> </w:t>
      </w:r>
      <w:r>
        <w:rPr>
          <w:rFonts w:ascii="宋体" w:hAnsi="宋体" w:eastAsia="宋体" w:cs="宋体"/>
          <w:sz w:val="24"/>
          <w:szCs w:val="24"/>
        </w:rPr>
        <w:t>31～50</w:t>
      </w:r>
      <w:r>
        <w:rPr>
          <w:rFonts w:ascii="宋体" w:hAnsi="宋体" w:eastAsia="宋体" w:cs="宋体"/>
          <w:spacing w:val="-47"/>
          <w:sz w:val="24"/>
          <w:szCs w:val="24"/>
        </w:rPr>
        <w:t xml:space="preserve"> </w:t>
      </w:r>
      <w:r>
        <w:rPr>
          <w:rFonts w:ascii="宋体" w:hAnsi="宋体" w:eastAsia="宋体" w:cs="宋体"/>
          <w:spacing w:val="-1"/>
          <w:sz w:val="24"/>
          <w:szCs w:val="24"/>
        </w:rPr>
        <w:t>人时，应配备</w:t>
      </w:r>
      <w:r>
        <w:rPr>
          <w:rFonts w:ascii="宋体" w:hAnsi="宋体" w:eastAsia="宋体" w:cs="宋体"/>
          <w:spacing w:val="-29"/>
          <w:sz w:val="24"/>
          <w:szCs w:val="24"/>
        </w:rPr>
        <w:t xml:space="preserve"> </w:t>
      </w:r>
      <w:r>
        <w:rPr>
          <w:rFonts w:ascii="宋体" w:hAnsi="宋体" w:eastAsia="宋体" w:cs="宋体"/>
          <w:spacing w:val="-1"/>
          <w:sz w:val="24"/>
          <w:szCs w:val="24"/>
        </w:rPr>
        <w:t>1</w:t>
      </w:r>
      <w:r>
        <w:rPr>
          <w:rFonts w:ascii="宋体" w:hAnsi="宋体" w:eastAsia="宋体" w:cs="宋体"/>
          <w:spacing w:val="-46"/>
          <w:sz w:val="24"/>
          <w:szCs w:val="24"/>
        </w:rPr>
        <w:t xml:space="preserve"> </w:t>
      </w:r>
      <w:r>
        <w:rPr>
          <w:rFonts w:ascii="宋体" w:hAnsi="宋体" w:eastAsia="宋体" w:cs="宋体"/>
          <w:spacing w:val="-1"/>
          <w:sz w:val="24"/>
          <w:szCs w:val="24"/>
        </w:rPr>
        <w:t>名专职安全生产管理人员；施</w:t>
      </w:r>
      <w:r>
        <w:rPr>
          <w:rFonts w:ascii="宋体" w:hAnsi="宋体" w:eastAsia="宋体" w:cs="宋体"/>
          <w:spacing w:val="1"/>
          <w:sz w:val="24"/>
          <w:szCs w:val="24"/>
        </w:rPr>
        <w:t>工作业人员在</w:t>
      </w:r>
      <w:r>
        <w:rPr>
          <w:rFonts w:ascii="宋体" w:hAnsi="宋体" w:eastAsia="宋体" w:cs="宋体"/>
          <w:spacing w:val="-39"/>
          <w:sz w:val="24"/>
          <w:szCs w:val="24"/>
        </w:rPr>
        <w:t xml:space="preserve"> </w:t>
      </w:r>
      <w:r>
        <w:rPr>
          <w:rFonts w:ascii="宋体" w:hAnsi="宋体" w:eastAsia="宋体" w:cs="宋体"/>
          <w:spacing w:val="1"/>
          <w:sz w:val="24"/>
          <w:szCs w:val="24"/>
        </w:rPr>
        <w:t>51</w:t>
      </w:r>
      <w:r>
        <w:rPr>
          <w:rFonts w:ascii="宋体" w:hAnsi="宋体" w:eastAsia="宋体" w:cs="宋体"/>
          <w:spacing w:val="-44"/>
          <w:sz w:val="24"/>
          <w:szCs w:val="24"/>
        </w:rPr>
        <w:t xml:space="preserve"> </w:t>
      </w:r>
      <w:r>
        <w:rPr>
          <w:rFonts w:ascii="宋体" w:hAnsi="宋体" w:eastAsia="宋体" w:cs="宋体"/>
          <w:spacing w:val="1"/>
          <w:sz w:val="24"/>
          <w:szCs w:val="24"/>
        </w:rPr>
        <w:t>人～200</w:t>
      </w:r>
      <w:r>
        <w:rPr>
          <w:rFonts w:ascii="宋体" w:hAnsi="宋体" w:eastAsia="宋体" w:cs="宋体"/>
          <w:spacing w:val="-44"/>
          <w:sz w:val="24"/>
          <w:szCs w:val="24"/>
        </w:rPr>
        <w:t xml:space="preserve"> </w:t>
      </w:r>
      <w:r>
        <w:rPr>
          <w:rFonts w:ascii="宋体" w:hAnsi="宋体" w:eastAsia="宋体" w:cs="宋体"/>
          <w:spacing w:val="1"/>
          <w:sz w:val="24"/>
          <w:szCs w:val="24"/>
        </w:rPr>
        <w:t>人时，应配备</w:t>
      </w:r>
      <w:r>
        <w:rPr>
          <w:rFonts w:ascii="宋体" w:hAnsi="宋体" w:eastAsia="宋体" w:cs="宋体"/>
          <w:spacing w:val="-46"/>
          <w:sz w:val="24"/>
          <w:szCs w:val="24"/>
        </w:rPr>
        <w:t xml:space="preserve"> </w:t>
      </w:r>
      <w:r>
        <w:rPr>
          <w:rFonts w:ascii="宋体" w:hAnsi="宋体" w:eastAsia="宋体" w:cs="宋体"/>
          <w:spacing w:val="1"/>
          <w:sz w:val="24"/>
          <w:szCs w:val="24"/>
        </w:rPr>
        <w:t>2</w:t>
      </w:r>
      <w:r>
        <w:rPr>
          <w:rFonts w:ascii="宋体" w:hAnsi="宋体" w:eastAsia="宋体" w:cs="宋体"/>
          <w:spacing w:val="-44"/>
          <w:sz w:val="24"/>
          <w:szCs w:val="24"/>
        </w:rPr>
        <w:t xml:space="preserve"> </w:t>
      </w:r>
      <w:r>
        <w:rPr>
          <w:rFonts w:ascii="宋体" w:hAnsi="宋体" w:eastAsia="宋体" w:cs="宋体"/>
          <w:spacing w:val="1"/>
          <w:sz w:val="24"/>
          <w:szCs w:val="24"/>
        </w:rPr>
        <w:t>名专职安全生产管理人员；施工作业人员在</w:t>
      </w:r>
      <w:r>
        <w:rPr>
          <w:rFonts w:ascii="宋体" w:hAnsi="宋体" w:eastAsia="宋体" w:cs="宋体"/>
          <w:spacing w:val="-2"/>
          <w:sz w:val="24"/>
          <w:szCs w:val="24"/>
        </w:rPr>
        <w:t>201</w:t>
      </w:r>
      <w:r>
        <w:rPr>
          <w:rFonts w:ascii="宋体" w:hAnsi="宋体" w:eastAsia="宋体" w:cs="宋体"/>
          <w:spacing w:val="-49"/>
          <w:sz w:val="24"/>
          <w:szCs w:val="24"/>
        </w:rPr>
        <w:t xml:space="preserve"> </w:t>
      </w:r>
      <w:r>
        <w:rPr>
          <w:rFonts w:ascii="宋体" w:hAnsi="宋体" w:eastAsia="宋体" w:cs="宋体"/>
          <w:spacing w:val="-2"/>
          <w:sz w:val="24"/>
          <w:szCs w:val="24"/>
        </w:rPr>
        <w:t>人及以上时，每增加</w:t>
      </w:r>
      <w:r>
        <w:rPr>
          <w:rFonts w:ascii="宋体" w:hAnsi="宋体" w:eastAsia="宋体" w:cs="宋体"/>
          <w:spacing w:val="-33"/>
          <w:sz w:val="24"/>
          <w:szCs w:val="24"/>
        </w:rPr>
        <w:t xml:space="preserve"> </w:t>
      </w:r>
      <w:r>
        <w:rPr>
          <w:rFonts w:ascii="宋体" w:hAnsi="宋体" w:eastAsia="宋体" w:cs="宋体"/>
          <w:spacing w:val="-2"/>
          <w:sz w:val="24"/>
          <w:szCs w:val="24"/>
        </w:rPr>
        <w:t>100</w:t>
      </w:r>
      <w:r>
        <w:rPr>
          <w:rFonts w:ascii="宋体" w:hAnsi="宋体" w:eastAsia="宋体" w:cs="宋体"/>
          <w:spacing w:val="-49"/>
          <w:sz w:val="24"/>
          <w:szCs w:val="24"/>
        </w:rPr>
        <w:t xml:space="preserve"> </w:t>
      </w:r>
      <w:r>
        <w:rPr>
          <w:rFonts w:ascii="宋体" w:hAnsi="宋体" w:eastAsia="宋体" w:cs="宋体"/>
          <w:spacing w:val="-2"/>
          <w:sz w:val="24"/>
          <w:szCs w:val="24"/>
        </w:rPr>
        <w:t>人，应增加</w:t>
      </w:r>
      <w:r>
        <w:rPr>
          <w:rFonts w:ascii="宋体" w:hAnsi="宋体" w:eastAsia="宋体" w:cs="宋体"/>
          <w:spacing w:val="-31"/>
          <w:sz w:val="24"/>
          <w:szCs w:val="24"/>
        </w:rPr>
        <w:t xml:space="preserve"> </w:t>
      </w:r>
      <w:r>
        <w:rPr>
          <w:rFonts w:ascii="宋体" w:hAnsi="宋体" w:eastAsia="宋体" w:cs="宋体"/>
          <w:spacing w:val="-2"/>
          <w:sz w:val="24"/>
          <w:szCs w:val="24"/>
        </w:rPr>
        <w:t>1</w:t>
      </w:r>
      <w:r>
        <w:rPr>
          <w:rFonts w:ascii="宋体" w:hAnsi="宋体" w:eastAsia="宋体" w:cs="宋体"/>
          <w:spacing w:val="-48"/>
          <w:sz w:val="24"/>
          <w:szCs w:val="24"/>
        </w:rPr>
        <w:t xml:space="preserve"> </w:t>
      </w:r>
      <w:r>
        <w:rPr>
          <w:rFonts w:ascii="宋体" w:hAnsi="宋体" w:eastAsia="宋体" w:cs="宋体"/>
          <w:spacing w:val="-2"/>
          <w:sz w:val="24"/>
          <w:szCs w:val="24"/>
        </w:rPr>
        <w:t>名专职安全生产管</w:t>
      </w:r>
      <w:r>
        <w:rPr>
          <w:rFonts w:ascii="宋体" w:hAnsi="宋体" w:eastAsia="宋体" w:cs="宋体"/>
          <w:spacing w:val="-3"/>
          <w:sz w:val="24"/>
          <w:szCs w:val="24"/>
        </w:rPr>
        <w:t>理人员，并根据所承担工</w:t>
      </w:r>
      <w:r>
        <w:rPr>
          <w:rFonts w:ascii="宋体" w:hAnsi="宋体" w:eastAsia="宋体" w:cs="宋体"/>
          <w:spacing w:val="-4"/>
          <w:sz w:val="24"/>
          <w:szCs w:val="24"/>
        </w:rPr>
        <w:t>程的施工危险程度予以增加。</w:t>
      </w:r>
    </w:p>
    <w:p w14:paraId="56F93315">
      <w:pPr>
        <w:spacing w:before="1" w:line="218" w:lineRule="auto"/>
        <w:ind w:left="495"/>
        <w:rPr>
          <w:rFonts w:ascii="宋体" w:hAnsi="宋体" w:eastAsia="宋体" w:cs="宋体"/>
          <w:sz w:val="24"/>
          <w:szCs w:val="24"/>
        </w:rPr>
      </w:pPr>
      <w:r>
        <w:rPr>
          <w:rFonts w:ascii="宋体" w:hAnsi="宋体" w:eastAsia="宋体" w:cs="宋体"/>
          <w:spacing w:val="-3"/>
          <w:sz w:val="24"/>
          <w:szCs w:val="24"/>
        </w:rPr>
        <w:t>（6）推广以工代赈方式促进沿线群众就业。</w:t>
      </w:r>
    </w:p>
    <w:p w14:paraId="0D2BF2D6">
      <w:pPr>
        <w:spacing w:before="183" w:line="220" w:lineRule="auto"/>
        <w:ind w:left="488"/>
        <w:rPr>
          <w:rFonts w:ascii="宋体" w:hAnsi="宋体" w:eastAsia="宋体" w:cs="宋体"/>
          <w:sz w:val="24"/>
          <w:szCs w:val="24"/>
        </w:rPr>
      </w:pPr>
      <w:r>
        <w:rPr>
          <w:rFonts w:ascii="宋体" w:hAnsi="宋体" w:eastAsia="宋体" w:cs="宋体"/>
          <w:spacing w:val="-1"/>
          <w:sz w:val="24"/>
          <w:szCs w:val="24"/>
        </w:rPr>
        <w:t>4.6.7 施工班组及施工员登记制度</w:t>
      </w:r>
    </w:p>
    <w:p w14:paraId="51CCD10F">
      <w:pPr>
        <w:spacing w:before="182" w:line="362" w:lineRule="auto"/>
        <w:ind w:left="10" w:right="110" w:firstLine="479"/>
        <w:rPr>
          <w:rFonts w:ascii="宋体" w:hAnsi="宋体" w:eastAsia="宋体" w:cs="宋体"/>
          <w:sz w:val="24"/>
          <w:szCs w:val="24"/>
        </w:rPr>
      </w:pPr>
      <w:r>
        <w:rPr>
          <w:rFonts w:ascii="宋体" w:hAnsi="宋体" w:eastAsia="宋体" w:cs="宋体"/>
          <w:spacing w:val="-2"/>
          <w:sz w:val="24"/>
          <w:szCs w:val="24"/>
        </w:rPr>
        <w:t>签定合同后，承包人应组建施工班组，施工班组应符合《广东省公路工程施工标准化指南》及《广东省高速公路施工安全标准化指南（班组建设篇）》的相关规定。承包</w:t>
      </w:r>
    </w:p>
    <w:p w14:paraId="39FFB02F">
      <w:pPr>
        <w:spacing w:line="362" w:lineRule="auto"/>
        <w:rPr>
          <w:rFonts w:ascii="宋体" w:hAnsi="宋体" w:eastAsia="宋体" w:cs="宋体"/>
          <w:sz w:val="24"/>
          <w:szCs w:val="24"/>
        </w:rPr>
        <w:sectPr>
          <w:headerReference r:id="rId58" w:type="default"/>
          <w:footerReference r:id="rId59" w:type="default"/>
          <w:pgSz w:w="11905" w:h="16840"/>
          <w:pgMar w:top="1182" w:right="1305" w:bottom="1171" w:left="1416" w:header="849" w:footer="937" w:gutter="0"/>
          <w:pgNumType w:fmt="decimal"/>
          <w:cols w:space="720" w:num="1"/>
        </w:sectPr>
      </w:pPr>
    </w:p>
    <w:p w14:paraId="37BD1831">
      <w:pPr>
        <w:pStyle w:val="2"/>
        <w:spacing w:line="268" w:lineRule="auto"/>
      </w:pPr>
    </w:p>
    <w:p w14:paraId="0640F33A">
      <w:pPr>
        <w:spacing w:before="78" w:line="360" w:lineRule="auto"/>
        <w:ind w:left="8" w:firstLine="2"/>
        <w:jc w:val="both"/>
        <w:rPr>
          <w:rFonts w:ascii="宋体" w:hAnsi="宋体" w:eastAsia="宋体" w:cs="宋体"/>
          <w:sz w:val="24"/>
          <w:szCs w:val="24"/>
        </w:rPr>
      </w:pPr>
      <w:r>
        <w:rPr>
          <w:rFonts w:ascii="宋体" w:hAnsi="宋体" w:eastAsia="宋体" w:cs="宋体"/>
          <w:spacing w:val="-2"/>
          <w:sz w:val="24"/>
          <w:szCs w:val="24"/>
        </w:rPr>
        <w:t>人应向监理人提供一份拟在本合同工程进行现场管理的施工员名单，包括监理人要求的</w:t>
      </w:r>
      <w:r>
        <w:rPr>
          <w:rFonts w:ascii="宋体" w:hAnsi="宋体" w:eastAsia="宋体" w:cs="宋体"/>
          <w:spacing w:val="-5"/>
          <w:sz w:val="24"/>
          <w:szCs w:val="24"/>
        </w:rPr>
        <w:t>有关证明材料。监理人将对符合资格要求的施工</w:t>
      </w:r>
      <w:r>
        <w:rPr>
          <w:rFonts w:ascii="宋体" w:hAnsi="宋体" w:eastAsia="宋体" w:cs="宋体"/>
          <w:spacing w:val="-6"/>
          <w:sz w:val="24"/>
          <w:szCs w:val="24"/>
        </w:rPr>
        <w:t>员进行造册登记，并发给项目施工员证。</w:t>
      </w:r>
      <w:r>
        <w:rPr>
          <w:rFonts w:ascii="宋体" w:hAnsi="宋体" w:eastAsia="宋体" w:cs="宋体"/>
          <w:spacing w:val="-1"/>
          <w:sz w:val="24"/>
          <w:szCs w:val="24"/>
        </w:rPr>
        <w:t>施工员登记工作是监理人签发开工令的必要条件之一。</w:t>
      </w:r>
    </w:p>
    <w:p w14:paraId="3B818CB5">
      <w:pPr>
        <w:spacing w:before="5" w:line="359" w:lineRule="auto"/>
        <w:ind w:left="11" w:firstLine="480"/>
        <w:jc w:val="both"/>
        <w:rPr>
          <w:rFonts w:ascii="宋体" w:hAnsi="宋体" w:eastAsia="宋体" w:cs="宋体"/>
          <w:sz w:val="24"/>
          <w:szCs w:val="24"/>
        </w:rPr>
      </w:pPr>
      <w:r>
        <w:rPr>
          <w:rFonts w:ascii="宋体" w:hAnsi="宋体" w:eastAsia="宋体" w:cs="宋体"/>
          <w:spacing w:val="-2"/>
          <w:sz w:val="24"/>
          <w:szCs w:val="24"/>
        </w:rPr>
        <w:t>分项工程施工现场实行标识牌管理，标识牌必须标明该分项工程作业内容和质量要</w:t>
      </w:r>
      <w:r>
        <w:rPr>
          <w:rFonts w:ascii="宋体" w:hAnsi="宋体" w:eastAsia="宋体" w:cs="宋体"/>
          <w:spacing w:val="-6"/>
          <w:sz w:val="24"/>
          <w:szCs w:val="24"/>
        </w:rPr>
        <w:t>求，施工单位及质量负责人姓名。工程开工后，</w:t>
      </w:r>
      <w:r>
        <w:rPr>
          <w:rFonts w:ascii="宋体" w:hAnsi="宋体" w:eastAsia="宋体" w:cs="宋体"/>
          <w:spacing w:val="47"/>
          <w:sz w:val="24"/>
          <w:szCs w:val="24"/>
        </w:rPr>
        <w:t xml:space="preserve"> </w:t>
      </w:r>
      <w:r>
        <w:rPr>
          <w:rFonts w:ascii="宋体" w:hAnsi="宋体" w:eastAsia="宋体" w:cs="宋体"/>
          <w:spacing w:val="-6"/>
          <w:sz w:val="24"/>
          <w:szCs w:val="24"/>
        </w:rPr>
        <w:t>承包人必须在每个施工工点派驻一个以</w:t>
      </w:r>
      <w:r>
        <w:rPr>
          <w:rFonts w:ascii="宋体" w:hAnsi="宋体" w:eastAsia="宋体" w:cs="宋体"/>
          <w:spacing w:val="-2"/>
          <w:sz w:val="24"/>
          <w:szCs w:val="24"/>
        </w:rPr>
        <w:t>上的经登记的施工员进行现场施工管理，做好详细的现场施工记录。施工员必须佩带项</w:t>
      </w:r>
      <w:r>
        <w:rPr>
          <w:rFonts w:ascii="宋体" w:hAnsi="宋体" w:eastAsia="宋体" w:cs="宋体"/>
          <w:spacing w:val="-6"/>
          <w:sz w:val="24"/>
          <w:szCs w:val="24"/>
        </w:rPr>
        <w:t>目施工员证上岗。承包人不执行本款规定， 视为承包人违约并按</w:t>
      </w:r>
      <w:r>
        <w:rPr>
          <w:rFonts w:ascii="宋体" w:hAnsi="宋体" w:eastAsia="宋体" w:cs="宋体"/>
          <w:spacing w:val="-40"/>
          <w:sz w:val="24"/>
          <w:szCs w:val="24"/>
        </w:rPr>
        <w:t xml:space="preserve"> </w:t>
      </w:r>
      <w:r>
        <w:rPr>
          <w:rFonts w:ascii="宋体" w:hAnsi="宋体" w:eastAsia="宋体" w:cs="宋体"/>
          <w:spacing w:val="-6"/>
          <w:sz w:val="24"/>
          <w:szCs w:val="24"/>
        </w:rPr>
        <w:t>22.1</w:t>
      </w:r>
      <w:r>
        <w:rPr>
          <w:rFonts w:ascii="宋体" w:hAnsi="宋体" w:eastAsia="宋体" w:cs="宋体"/>
          <w:spacing w:val="-50"/>
          <w:sz w:val="24"/>
          <w:szCs w:val="24"/>
        </w:rPr>
        <w:t xml:space="preserve"> </w:t>
      </w:r>
      <w:r>
        <w:rPr>
          <w:rFonts w:ascii="宋体" w:hAnsi="宋体" w:eastAsia="宋体" w:cs="宋体"/>
          <w:spacing w:val="-6"/>
          <w:sz w:val="24"/>
          <w:szCs w:val="24"/>
        </w:rPr>
        <w:t>款约定进行处理。</w:t>
      </w:r>
    </w:p>
    <w:p w14:paraId="765481FD">
      <w:pPr>
        <w:spacing w:before="2" w:line="359" w:lineRule="auto"/>
        <w:ind w:left="19" w:right="85" w:firstLine="468"/>
        <w:rPr>
          <w:rFonts w:ascii="宋体" w:hAnsi="宋体" w:eastAsia="宋体" w:cs="宋体"/>
          <w:sz w:val="24"/>
          <w:szCs w:val="24"/>
        </w:rPr>
      </w:pPr>
      <w:r>
        <w:rPr>
          <w:rFonts w:ascii="宋体" w:hAnsi="宋体" w:eastAsia="宋体" w:cs="宋体"/>
          <w:spacing w:val="-2"/>
          <w:sz w:val="24"/>
          <w:szCs w:val="24"/>
        </w:rPr>
        <w:t>在施工过程中，监理人只要有充分的理由，可以随时取消不能令其满意的施工员的</w:t>
      </w:r>
      <w:r>
        <w:rPr>
          <w:rFonts w:ascii="宋体" w:hAnsi="宋体" w:eastAsia="宋体" w:cs="宋体"/>
          <w:spacing w:val="-5"/>
          <w:sz w:val="24"/>
          <w:szCs w:val="24"/>
        </w:rPr>
        <w:t>资格，收回项目施工员证。</w:t>
      </w:r>
    </w:p>
    <w:p w14:paraId="4A9CDEE5">
      <w:pPr>
        <w:spacing w:line="219" w:lineRule="auto"/>
        <w:ind w:left="488"/>
        <w:rPr>
          <w:rFonts w:ascii="宋体" w:hAnsi="宋体" w:eastAsia="宋体" w:cs="宋体"/>
          <w:sz w:val="24"/>
          <w:szCs w:val="24"/>
        </w:rPr>
      </w:pPr>
      <w:r>
        <w:rPr>
          <w:rFonts w:ascii="宋体" w:hAnsi="宋体" w:eastAsia="宋体" w:cs="宋体"/>
          <w:spacing w:val="-1"/>
          <w:sz w:val="24"/>
          <w:szCs w:val="24"/>
        </w:rPr>
        <w:t>4.7</w:t>
      </w:r>
      <w:r>
        <w:rPr>
          <w:rFonts w:ascii="宋体" w:hAnsi="宋体" w:eastAsia="宋体" w:cs="宋体"/>
          <w:spacing w:val="-52"/>
          <w:sz w:val="24"/>
          <w:szCs w:val="24"/>
        </w:rPr>
        <w:t xml:space="preserve"> </w:t>
      </w:r>
      <w:r>
        <w:rPr>
          <w:rFonts w:ascii="宋体" w:hAnsi="宋体" w:eastAsia="宋体" w:cs="宋体"/>
          <w:spacing w:val="-1"/>
          <w:sz w:val="24"/>
          <w:szCs w:val="24"/>
        </w:rPr>
        <w:t>撤换承包人项目经理和其他人员</w:t>
      </w:r>
    </w:p>
    <w:p w14:paraId="43037B21">
      <w:pPr>
        <w:spacing w:before="182"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2CE8CCC8">
      <w:pPr>
        <w:spacing w:before="183" w:line="360" w:lineRule="auto"/>
        <w:ind w:left="9" w:right="85" w:firstLine="480"/>
        <w:jc w:val="both"/>
        <w:rPr>
          <w:rFonts w:ascii="宋体" w:hAnsi="宋体" w:eastAsia="宋体" w:cs="宋体"/>
          <w:sz w:val="24"/>
          <w:szCs w:val="24"/>
        </w:rPr>
      </w:pPr>
      <w:r>
        <w:rPr>
          <w:rFonts w:ascii="宋体" w:hAnsi="宋体" w:eastAsia="宋体" w:cs="宋体"/>
          <w:spacing w:val="-2"/>
          <w:sz w:val="24"/>
          <w:szCs w:val="24"/>
        </w:rPr>
        <w:t>承包人应对其项目经理和其他人员进行有效管理。发包人或监理人在征得发包人同</w:t>
      </w:r>
      <w:r>
        <w:rPr>
          <w:rFonts w:ascii="宋体" w:hAnsi="宋体" w:eastAsia="宋体" w:cs="宋体"/>
          <w:spacing w:val="-5"/>
          <w:sz w:val="24"/>
          <w:szCs w:val="24"/>
        </w:rPr>
        <w:t>意后要求撤换不能胜任本职工作、行为不端或玩忽职守的项目经理和其他人员， 承包人</w:t>
      </w:r>
      <w:r>
        <w:rPr>
          <w:rFonts w:ascii="宋体" w:hAnsi="宋体" w:eastAsia="宋体" w:cs="宋体"/>
          <w:sz w:val="24"/>
          <w:szCs w:val="24"/>
        </w:rPr>
        <w:t>应予以撤换，同时委派经发包人与监理人同意的</w:t>
      </w:r>
      <w:r>
        <w:rPr>
          <w:rFonts w:ascii="宋体" w:hAnsi="宋体" w:eastAsia="宋体" w:cs="宋体"/>
          <w:spacing w:val="-1"/>
          <w:sz w:val="24"/>
          <w:szCs w:val="24"/>
        </w:rPr>
        <w:t>新的项目经理和其他人员，并按</w:t>
      </w:r>
      <w:r>
        <w:rPr>
          <w:rFonts w:ascii="宋体" w:hAnsi="宋体" w:eastAsia="宋体" w:cs="宋体"/>
          <w:spacing w:val="-52"/>
          <w:sz w:val="24"/>
          <w:szCs w:val="24"/>
        </w:rPr>
        <w:t xml:space="preserve"> </w:t>
      </w:r>
      <w:r>
        <w:rPr>
          <w:rFonts w:ascii="宋体" w:hAnsi="宋体" w:eastAsia="宋体" w:cs="宋体"/>
          <w:spacing w:val="-1"/>
          <w:sz w:val="24"/>
          <w:szCs w:val="24"/>
        </w:rPr>
        <w:t>4.6.3款约定处以违约金。被撤换人员未经发包人同意不得重</w:t>
      </w:r>
      <w:r>
        <w:rPr>
          <w:rFonts w:ascii="宋体" w:hAnsi="宋体" w:eastAsia="宋体" w:cs="宋体"/>
          <w:spacing w:val="-2"/>
          <w:sz w:val="24"/>
          <w:szCs w:val="24"/>
        </w:rPr>
        <w:t>新回到本合同段工作。</w:t>
      </w:r>
    </w:p>
    <w:p w14:paraId="7A339AA2">
      <w:pPr>
        <w:spacing w:line="218" w:lineRule="auto"/>
        <w:ind w:left="488"/>
        <w:rPr>
          <w:rFonts w:ascii="宋体" w:hAnsi="宋体" w:eastAsia="宋体" w:cs="宋体"/>
          <w:sz w:val="24"/>
          <w:szCs w:val="24"/>
        </w:rPr>
      </w:pPr>
      <w:r>
        <w:rPr>
          <w:rFonts w:ascii="宋体" w:hAnsi="宋体" w:eastAsia="宋体" w:cs="宋体"/>
          <w:spacing w:val="-1"/>
          <w:sz w:val="24"/>
          <w:szCs w:val="24"/>
        </w:rPr>
        <w:t>4.9 工程价款应专款专用</w:t>
      </w:r>
    </w:p>
    <w:p w14:paraId="3C731815">
      <w:pPr>
        <w:spacing w:before="184"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773D2D46">
      <w:pPr>
        <w:spacing w:before="184" w:line="360" w:lineRule="auto"/>
        <w:ind w:left="7" w:right="85" w:firstLine="485"/>
        <w:jc w:val="both"/>
        <w:rPr>
          <w:rFonts w:ascii="宋体" w:hAnsi="宋体" w:eastAsia="宋体" w:cs="宋体"/>
          <w:sz w:val="24"/>
          <w:szCs w:val="24"/>
        </w:rPr>
      </w:pPr>
      <w:r>
        <w:rPr>
          <w:rFonts w:ascii="宋体" w:hAnsi="宋体" w:eastAsia="宋体" w:cs="宋体"/>
          <w:spacing w:val="-5"/>
          <w:sz w:val="24"/>
          <w:szCs w:val="24"/>
        </w:rPr>
        <w:t>发包人按合同约定支付给承包人的各项（工人工资、工程项目） 价款应专用于合同</w:t>
      </w:r>
      <w:r>
        <w:rPr>
          <w:rFonts w:ascii="宋体" w:hAnsi="宋体" w:eastAsia="宋体" w:cs="宋体"/>
          <w:spacing w:val="-6"/>
          <w:sz w:val="24"/>
          <w:szCs w:val="24"/>
        </w:rPr>
        <w:t>工程。承包人必须在发包人指定的银行开户，</w:t>
      </w:r>
      <w:r>
        <w:rPr>
          <w:rFonts w:ascii="宋体" w:hAnsi="宋体" w:eastAsia="宋体" w:cs="宋体"/>
          <w:spacing w:val="57"/>
          <w:sz w:val="24"/>
          <w:szCs w:val="24"/>
        </w:rPr>
        <w:t xml:space="preserve"> </w:t>
      </w:r>
      <w:r>
        <w:rPr>
          <w:rFonts w:ascii="宋体" w:hAnsi="宋体" w:eastAsia="宋体" w:cs="宋体"/>
          <w:spacing w:val="-6"/>
          <w:sz w:val="24"/>
          <w:szCs w:val="24"/>
        </w:rPr>
        <w:t>并与</w:t>
      </w:r>
      <w:r>
        <w:rPr>
          <w:rFonts w:ascii="宋体" w:hAnsi="宋体" w:eastAsia="宋体" w:cs="宋体"/>
          <w:spacing w:val="-7"/>
          <w:sz w:val="24"/>
          <w:szCs w:val="24"/>
        </w:rPr>
        <w:t>发包人、银行共同签订《工程资金监</w:t>
      </w:r>
      <w:r>
        <w:rPr>
          <w:rFonts w:ascii="宋体" w:hAnsi="宋体" w:eastAsia="宋体" w:cs="宋体"/>
          <w:spacing w:val="-5"/>
          <w:sz w:val="24"/>
          <w:szCs w:val="24"/>
        </w:rPr>
        <w:t>管协议》， 接受发包人和银行对资金的监管。承包人应向发包人授权进行本合同工程开</w:t>
      </w:r>
      <w:r>
        <w:rPr>
          <w:rFonts w:ascii="宋体" w:hAnsi="宋体" w:eastAsia="宋体" w:cs="宋体"/>
          <w:spacing w:val="-1"/>
          <w:sz w:val="24"/>
          <w:szCs w:val="24"/>
        </w:rPr>
        <w:t>户银行工程资金的查询。发包人支付的工程</w:t>
      </w:r>
      <w:r>
        <w:rPr>
          <w:rFonts w:ascii="宋体" w:hAnsi="宋体" w:eastAsia="宋体" w:cs="宋体"/>
          <w:spacing w:val="-2"/>
          <w:sz w:val="24"/>
          <w:szCs w:val="24"/>
        </w:rPr>
        <w:t>进度款应为本工程工人工资、工程项目的专</w:t>
      </w:r>
      <w:r>
        <w:rPr>
          <w:rFonts w:ascii="宋体" w:hAnsi="宋体" w:eastAsia="宋体" w:cs="宋体"/>
          <w:spacing w:val="-1"/>
          <w:sz w:val="24"/>
          <w:szCs w:val="24"/>
        </w:rPr>
        <w:t>款专用资金，不得转移或用于其他工程，如</w:t>
      </w:r>
      <w:r>
        <w:rPr>
          <w:rFonts w:ascii="宋体" w:hAnsi="宋体" w:eastAsia="宋体" w:cs="宋体"/>
          <w:spacing w:val="-2"/>
          <w:sz w:val="24"/>
          <w:szCs w:val="24"/>
        </w:rPr>
        <w:t>有违反视承包人违约。发包人的期中支付款</w:t>
      </w:r>
      <w:r>
        <w:rPr>
          <w:rFonts w:ascii="宋体" w:hAnsi="宋体" w:eastAsia="宋体" w:cs="宋体"/>
          <w:spacing w:val="-1"/>
          <w:sz w:val="24"/>
          <w:szCs w:val="24"/>
        </w:rPr>
        <w:t>将转入该银行所设的专门账户，发包人及其</w:t>
      </w:r>
      <w:r>
        <w:rPr>
          <w:rFonts w:ascii="宋体" w:hAnsi="宋体" w:eastAsia="宋体" w:cs="宋体"/>
          <w:spacing w:val="-2"/>
          <w:sz w:val="24"/>
          <w:szCs w:val="24"/>
        </w:rPr>
        <w:t>派出机构有权不定期对承包人工程资金使用</w:t>
      </w:r>
      <w:r>
        <w:rPr>
          <w:rFonts w:ascii="宋体" w:hAnsi="宋体" w:eastAsia="宋体" w:cs="宋体"/>
          <w:spacing w:val="-1"/>
          <w:sz w:val="24"/>
          <w:szCs w:val="24"/>
        </w:rPr>
        <w:t>情况进行检查，发现问题及时责令承包人限</w:t>
      </w:r>
      <w:r>
        <w:rPr>
          <w:rFonts w:ascii="宋体" w:hAnsi="宋体" w:eastAsia="宋体" w:cs="宋体"/>
          <w:spacing w:val="-2"/>
          <w:sz w:val="24"/>
          <w:szCs w:val="24"/>
        </w:rPr>
        <w:t>期改正，否则，将终止月支付，直至承包人</w:t>
      </w:r>
      <w:r>
        <w:rPr>
          <w:rFonts w:ascii="宋体" w:hAnsi="宋体" w:eastAsia="宋体" w:cs="宋体"/>
          <w:spacing w:val="-7"/>
          <w:sz w:val="24"/>
          <w:szCs w:val="24"/>
        </w:rPr>
        <w:t>改正为止。</w:t>
      </w:r>
    </w:p>
    <w:p w14:paraId="3D1BA535">
      <w:pPr>
        <w:spacing w:before="1" w:line="219" w:lineRule="auto"/>
        <w:ind w:left="488"/>
        <w:rPr>
          <w:rFonts w:ascii="宋体" w:hAnsi="宋体" w:eastAsia="宋体" w:cs="宋体"/>
          <w:sz w:val="24"/>
          <w:szCs w:val="24"/>
        </w:rPr>
      </w:pPr>
      <w:r>
        <w:rPr>
          <w:rFonts w:ascii="宋体" w:hAnsi="宋体" w:eastAsia="宋体" w:cs="宋体"/>
          <w:spacing w:val="-1"/>
          <w:sz w:val="24"/>
          <w:szCs w:val="24"/>
        </w:rPr>
        <w:t>4.11 不利物质条件</w:t>
      </w:r>
    </w:p>
    <w:p w14:paraId="7B56A81D">
      <w:pPr>
        <w:spacing w:before="182" w:line="220" w:lineRule="auto"/>
        <w:ind w:left="489"/>
        <w:rPr>
          <w:rFonts w:ascii="宋体" w:hAnsi="宋体" w:eastAsia="宋体" w:cs="宋体"/>
          <w:sz w:val="24"/>
          <w:szCs w:val="24"/>
        </w:rPr>
      </w:pPr>
      <w:r>
        <w:rPr>
          <w:rFonts w:ascii="宋体" w:hAnsi="宋体" w:eastAsia="宋体" w:cs="宋体"/>
          <w:spacing w:val="-7"/>
          <w:sz w:val="24"/>
          <w:szCs w:val="24"/>
        </w:rPr>
        <w:t>第</w:t>
      </w:r>
      <w:r>
        <w:rPr>
          <w:rFonts w:ascii="宋体" w:hAnsi="宋体" w:eastAsia="宋体" w:cs="宋体"/>
          <w:spacing w:val="-42"/>
          <w:sz w:val="24"/>
          <w:szCs w:val="24"/>
        </w:rPr>
        <w:t xml:space="preserve"> </w:t>
      </w:r>
      <w:r>
        <w:rPr>
          <w:rFonts w:ascii="宋体" w:hAnsi="宋体" w:eastAsia="宋体" w:cs="宋体"/>
          <w:spacing w:val="-7"/>
          <w:sz w:val="24"/>
          <w:szCs w:val="24"/>
        </w:rPr>
        <w:t>4.11.2</w:t>
      </w:r>
      <w:r>
        <w:rPr>
          <w:rFonts w:ascii="宋体" w:hAnsi="宋体" w:eastAsia="宋体" w:cs="宋体"/>
          <w:spacing w:val="-46"/>
          <w:sz w:val="24"/>
          <w:szCs w:val="24"/>
        </w:rPr>
        <w:t xml:space="preserve"> </w:t>
      </w:r>
      <w:r>
        <w:rPr>
          <w:rFonts w:ascii="宋体" w:hAnsi="宋体" w:eastAsia="宋体" w:cs="宋体"/>
          <w:spacing w:val="-7"/>
          <w:sz w:val="24"/>
          <w:szCs w:val="24"/>
        </w:rPr>
        <w:t>项细化为：</w:t>
      </w:r>
    </w:p>
    <w:p w14:paraId="21BB5444">
      <w:pPr>
        <w:spacing w:before="184" w:line="361" w:lineRule="auto"/>
        <w:ind w:left="8" w:right="85" w:firstLine="480"/>
        <w:jc w:val="both"/>
        <w:rPr>
          <w:rFonts w:ascii="宋体" w:hAnsi="宋体" w:eastAsia="宋体" w:cs="宋体"/>
          <w:sz w:val="24"/>
          <w:szCs w:val="24"/>
        </w:rPr>
      </w:pPr>
      <w:r>
        <w:rPr>
          <w:rFonts w:ascii="宋体" w:hAnsi="宋体" w:eastAsia="宋体" w:cs="宋体"/>
          <w:spacing w:val="-2"/>
          <w:sz w:val="24"/>
          <w:szCs w:val="24"/>
        </w:rPr>
        <w:t>承包人遇到不可预见的不利物质条件时，应采取适应不利物质条件的合理措施继续</w:t>
      </w:r>
      <w:r>
        <w:rPr>
          <w:rFonts w:ascii="宋体" w:hAnsi="宋体" w:eastAsia="宋体" w:cs="宋体"/>
          <w:spacing w:val="-6"/>
          <w:sz w:val="24"/>
          <w:szCs w:val="24"/>
        </w:rPr>
        <w:t>施工，并及时通知监理人和发包人。监理人应当及时发出指示，</w:t>
      </w:r>
      <w:r>
        <w:rPr>
          <w:rFonts w:ascii="宋体" w:hAnsi="宋体" w:eastAsia="宋体" w:cs="宋体"/>
          <w:spacing w:val="54"/>
          <w:sz w:val="24"/>
          <w:szCs w:val="24"/>
        </w:rPr>
        <w:t xml:space="preserve"> </w:t>
      </w:r>
      <w:r>
        <w:rPr>
          <w:rFonts w:ascii="宋体" w:hAnsi="宋体" w:eastAsia="宋体" w:cs="宋体"/>
          <w:spacing w:val="-6"/>
          <w:sz w:val="24"/>
          <w:szCs w:val="24"/>
        </w:rPr>
        <w:t>指示构成变更</w:t>
      </w:r>
      <w:r>
        <w:rPr>
          <w:rFonts w:ascii="宋体" w:hAnsi="宋体" w:eastAsia="宋体" w:cs="宋体"/>
          <w:spacing w:val="-7"/>
          <w:sz w:val="24"/>
          <w:szCs w:val="24"/>
        </w:rPr>
        <w:t>的，按第</w:t>
      </w:r>
      <w:r>
        <w:rPr>
          <w:rFonts w:ascii="宋体" w:hAnsi="宋体" w:eastAsia="宋体" w:cs="宋体"/>
          <w:spacing w:val="-6"/>
          <w:sz w:val="24"/>
          <w:szCs w:val="24"/>
        </w:rPr>
        <w:t>15</w:t>
      </w:r>
      <w:r>
        <w:rPr>
          <w:rFonts w:ascii="宋体" w:hAnsi="宋体" w:eastAsia="宋体" w:cs="宋体"/>
          <w:spacing w:val="-49"/>
          <w:sz w:val="24"/>
          <w:szCs w:val="24"/>
        </w:rPr>
        <w:t xml:space="preserve"> </w:t>
      </w:r>
      <w:r>
        <w:rPr>
          <w:rFonts w:ascii="宋体" w:hAnsi="宋体" w:eastAsia="宋体" w:cs="宋体"/>
          <w:spacing w:val="-6"/>
          <w:sz w:val="24"/>
          <w:szCs w:val="24"/>
        </w:rPr>
        <w:t>条约定办理。监理人没有发出指示的，</w:t>
      </w:r>
      <w:r>
        <w:rPr>
          <w:rFonts w:ascii="宋体" w:hAnsi="宋体" w:eastAsia="宋体" w:cs="宋体"/>
          <w:spacing w:val="46"/>
          <w:sz w:val="24"/>
          <w:szCs w:val="24"/>
        </w:rPr>
        <w:t xml:space="preserve"> </w:t>
      </w:r>
      <w:r>
        <w:rPr>
          <w:rFonts w:ascii="宋体" w:hAnsi="宋体" w:eastAsia="宋体" w:cs="宋体"/>
          <w:spacing w:val="-6"/>
          <w:sz w:val="24"/>
          <w:szCs w:val="24"/>
        </w:rPr>
        <w:t>承包人应将</w:t>
      </w:r>
      <w:r>
        <w:rPr>
          <w:rFonts w:ascii="宋体" w:hAnsi="宋体" w:eastAsia="宋体" w:cs="宋体"/>
          <w:spacing w:val="-7"/>
          <w:sz w:val="24"/>
          <w:szCs w:val="24"/>
        </w:rPr>
        <w:t>情况及时上报发包人，如发包人</w:t>
      </w:r>
      <w:r>
        <w:rPr>
          <w:rFonts w:ascii="宋体" w:hAnsi="宋体" w:eastAsia="宋体" w:cs="宋体"/>
          <w:spacing w:val="-46"/>
          <w:sz w:val="24"/>
          <w:szCs w:val="24"/>
        </w:rPr>
        <w:t xml:space="preserve"> </w:t>
      </w:r>
      <w:r>
        <w:rPr>
          <w:rFonts w:ascii="宋体" w:hAnsi="宋体" w:eastAsia="宋体" w:cs="宋体"/>
          <w:spacing w:val="-7"/>
          <w:sz w:val="24"/>
          <w:szCs w:val="24"/>
        </w:rPr>
        <w:t>3</w:t>
      </w:r>
    </w:p>
    <w:p w14:paraId="497F0829">
      <w:pPr>
        <w:spacing w:line="361" w:lineRule="auto"/>
        <w:rPr>
          <w:rFonts w:ascii="宋体" w:hAnsi="宋体" w:eastAsia="宋体" w:cs="宋体"/>
          <w:sz w:val="24"/>
          <w:szCs w:val="24"/>
        </w:rPr>
        <w:sectPr>
          <w:footerReference r:id="rId60" w:type="default"/>
          <w:pgSz w:w="11905" w:h="16840"/>
          <w:pgMar w:top="1182" w:right="1331" w:bottom="1171" w:left="1416" w:header="849" w:footer="937" w:gutter="0"/>
          <w:pgNumType w:fmt="decimal"/>
          <w:cols w:space="720" w:num="1"/>
        </w:sectPr>
      </w:pPr>
    </w:p>
    <w:p w14:paraId="166969CB">
      <w:pPr>
        <w:pStyle w:val="2"/>
        <w:spacing w:line="268" w:lineRule="auto"/>
      </w:pPr>
    </w:p>
    <w:p w14:paraId="0FB0F5CA">
      <w:pPr>
        <w:spacing w:before="78" w:line="360" w:lineRule="auto"/>
        <w:ind w:left="9" w:right="85" w:firstLine="4"/>
        <w:rPr>
          <w:rFonts w:ascii="宋体" w:hAnsi="宋体" w:eastAsia="宋体" w:cs="宋体"/>
          <w:sz w:val="24"/>
          <w:szCs w:val="24"/>
        </w:rPr>
      </w:pPr>
      <w:r>
        <w:rPr>
          <w:rFonts w:ascii="宋体" w:hAnsi="宋体" w:eastAsia="宋体" w:cs="宋体"/>
          <w:spacing w:val="-2"/>
          <w:sz w:val="24"/>
          <w:szCs w:val="24"/>
        </w:rPr>
        <w:t>天内仍未发出指示的，因承包人采取合理措施而增加的费用和</w:t>
      </w:r>
      <w:r>
        <w:rPr>
          <w:rFonts w:hint="eastAsia" w:ascii="宋体" w:hAnsi="宋体" w:cs="宋体"/>
          <w:spacing w:val="-2"/>
          <w:sz w:val="24"/>
          <w:szCs w:val="24"/>
          <w:lang w:eastAsia="zh-CN"/>
        </w:rPr>
        <w:t>（</w:t>
      </w:r>
      <w:r>
        <w:rPr>
          <w:rFonts w:ascii="宋体" w:hAnsi="宋体" w:eastAsia="宋体" w:cs="宋体"/>
          <w:spacing w:val="-2"/>
          <w:sz w:val="24"/>
          <w:szCs w:val="24"/>
        </w:rPr>
        <w:t>或</w:t>
      </w:r>
      <w:r>
        <w:rPr>
          <w:rFonts w:hint="eastAsia" w:ascii="宋体" w:hAnsi="宋体" w:cs="宋体"/>
          <w:spacing w:val="-2"/>
          <w:sz w:val="24"/>
          <w:szCs w:val="24"/>
          <w:lang w:eastAsia="zh-CN"/>
        </w:rPr>
        <w:t>）</w:t>
      </w:r>
      <w:r>
        <w:rPr>
          <w:rFonts w:ascii="宋体" w:hAnsi="宋体" w:eastAsia="宋体" w:cs="宋体"/>
          <w:spacing w:val="-2"/>
          <w:sz w:val="24"/>
          <w:szCs w:val="24"/>
        </w:rPr>
        <w:t>工期延误，由发包人</w:t>
      </w:r>
      <w:r>
        <w:rPr>
          <w:rFonts w:ascii="宋体" w:hAnsi="宋体" w:eastAsia="宋体" w:cs="宋体"/>
          <w:spacing w:val="-10"/>
          <w:sz w:val="24"/>
          <w:szCs w:val="24"/>
        </w:rPr>
        <w:t>承担。</w:t>
      </w:r>
    </w:p>
    <w:p w14:paraId="4569AB89">
      <w:pPr>
        <w:spacing w:line="219" w:lineRule="auto"/>
        <w:ind w:left="488"/>
        <w:rPr>
          <w:rFonts w:ascii="宋体" w:hAnsi="宋体" w:eastAsia="宋体" w:cs="宋体"/>
          <w:sz w:val="24"/>
          <w:szCs w:val="24"/>
        </w:rPr>
      </w:pPr>
      <w:r>
        <w:rPr>
          <w:rFonts w:ascii="宋体" w:hAnsi="宋体" w:eastAsia="宋体" w:cs="宋体"/>
          <w:spacing w:val="-2"/>
          <w:sz w:val="24"/>
          <w:szCs w:val="24"/>
        </w:rPr>
        <w:t>4.11.3</w:t>
      </w:r>
      <w:r>
        <w:rPr>
          <w:rFonts w:ascii="宋体" w:hAnsi="宋体" w:eastAsia="宋体" w:cs="宋体"/>
          <w:spacing w:val="-37"/>
          <w:sz w:val="24"/>
          <w:szCs w:val="24"/>
        </w:rPr>
        <w:t xml:space="preserve"> </w:t>
      </w:r>
      <w:r>
        <w:rPr>
          <w:rFonts w:ascii="宋体" w:hAnsi="宋体" w:eastAsia="宋体" w:cs="宋体"/>
          <w:spacing w:val="-2"/>
          <w:sz w:val="24"/>
          <w:szCs w:val="24"/>
        </w:rPr>
        <w:t>可预见的不利物质条件</w:t>
      </w:r>
    </w:p>
    <w:p w14:paraId="32AD94C2">
      <w:pPr>
        <w:spacing w:before="182" w:line="220" w:lineRule="auto"/>
        <w:ind w:left="489"/>
        <w:rPr>
          <w:rFonts w:ascii="宋体" w:hAnsi="宋体" w:eastAsia="宋体" w:cs="宋体"/>
          <w:sz w:val="24"/>
          <w:szCs w:val="24"/>
        </w:rPr>
      </w:pPr>
      <w:r>
        <w:rPr>
          <w:rFonts w:ascii="宋体" w:hAnsi="宋体" w:eastAsia="宋体" w:cs="宋体"/>
          <w:spacing w:val="-5"/>
          <w:sz w:val="24"/>
          <w:szCs w:val="24"/>
        </w:rPr>
        <w:t>第</w:t>
      </w:r>
      <w:r>
        <w:rPr>
          <w:rFonts w:ascii="宋体" w:hAnsi="宋体" w:eastAsia="宋体" w:cs="宋体"/>
          <w:spacing w:val="-46"/>
          <w:sz w:val="24"/>
          <w:szCs w:val="24"/>
        </w:rPr>
        <w:t xml:space="preserve"> </w:t>
      </w:r>
      <w:r>
        <w:rPr>
          <w:rFonts w:ascii="宋体" w:hAnsi="宋体" w:eastAsia="宋体" w:cs="宋体"/>
          <w:spacing w:val="-5"/>
          <w:sz w:val="24"/>
          <w:szCs w:val="24"/>
        </w:rPr>
        <w:t>4.11.3（1）目补充：</w:t>
      </w:r>
    </w:p>
    <w:p w14:paraId="29AA3F30">
      <w:pPr>
        <w:spacing w:before="182" w:line="360" w:lineRule="auto"/>
        <w:ind w:left="11" w:right="85" w:firstLine="477"/>
        <w:jc w:val="both"/>
        <w:rPr>
          <w:rFonts w:ascii="宋体" w:hAnsi="宋体" w:eastAsia="宋体" w:cs="宋体"/>
          <w:sz w:val="24"/>
          <w:szCs w:val="24"/>
        </w:rPr>
      </w:pPr>
      <w:r>
        <w:rPr>
          <w:rFonts w:ascii="宋体" w:hAnsi="宋体" w:eastAsia="宋体" w:cs="宋体"/>
          <w:spacing w:val="-2"/>
          <w:sz w:val="24"/>
          <w:szCs w:val="24"/>
        </w:rPr>
        <w:t>对于一个有经验的承包人可合理预见的不利物质条件，无论承包人是否有其经历和经验均视为承包人在接受合同时已预见其影响，并已在签约合同价中计入因其影响而可</w:t>
      </w:r>
      <w:r>
        <w:rPr>
          <w:rFonts w:ascii="宋体" w:hAnsi="宋体" w:eastAsia="宋体" w:cs="宋体"/>
          <w:spacing w:val="-3"/>
          <w:sz w:val="24"/>
          <w:szCs w:val="24"/>
        </w:rPr>
        <w:t>能发生的一切费用（除合同另有约定外）。</w:t>
      </w:r>
    </w:p>
    <w:p w14:paraId="2630FFD7">
      <w:pPr>
        <w:spacing w:line="219" w:lineRule="auto"/>
        <w:ind w:left="489"/>
        <w:rPr>
          <w:rFonts w:ascii="宋体" w:hAnsi="宋体" w:eastAsia="宋体" w:cs="宋体"/>
          <w:sz w:val="24"/>
          <w:szCs w:val="24"/>
        </w:rPr>
      </w:pPr>
      <w:r>
        <w:rPr>
          <w:rFonts w:ascii="宋体" w:hAnsi="宋体" w:eastAsia="宋体" w:cs="宋体"/>
          <w:spacing w:val="-6"/>
          <w:sz w:val="24"/>
          <w:szCs w:val="24"/>
        </w:rPr>
        <w:t>补充第</w:t>
      </w:r>
      <w:r>
        <w:rPr>
          <w:rFonts w:ascii="宋体" w:hAnsi="宋体" w:eastAsia="宋体" w:cs="宋体"/>
          <w:spacing w:val="-50"/>
          <w:sz w:val="24"/>
          <w:szCs w:val="24"/>
        </w:rPr>
        <w:t xml:space="preserve"> </w:t>
      </w:r>
      <w:r>
        <w:rPr>
          <w:rFonts w:ascii="宋体" w:hAnsi="宋体" w:eastAsia="宋体" w:cs="宋体"/>
          <w:spacing w:val="-6"/>
          <w:sz w:val="24"/>
          <w:szCs w:val="24"/>
        </w:rPr>
        <w:t>4.12</w:t>
      </w:r>
      <w:r>
        <w:rPr>
          <w:rFonts w:ascii="宋体" w:hAnsi="宋体" w:eastAsia="宋体" w:cs="宋体"/>
          <w:spacing w:val="-49"/>
          <w:sz w:val="24"/>
          <w:szCs w:val="24"/>
        </w:rPr>
        <w:t xml:space="preserve"> </w:t>
      </w:r>
      <w:r>
        <w:rPr>
          <w:rFonts w:ascii="宋体" w:hAnsi="宋体" w:eastAsia="宋体" w:cs="宋体"/>
          <w:spacing w:val="-6"/>
          <w:sz w:val="24"/>
          <w:szCs w:val="24"/>
        </w:rPr>
        <w:t>款：</w:t>
      </w:r>
    </w:p>
    <w:p w14:paraId="752BE908">
      <w:pPr>
        <w:spacing w:before="164" w:line="235" w:lineRule="auto"/>
        <w:ind w:left="488"/>
        <w:rPr>
          <w:rFonts w:hint="eastAsia" w:ascii="宋体" w:hAnsi="宋体" w:eastAsia="宋体" w:cs="宋体"/>
          <w:sz w:val="12"/>
          <w:szCs w:val="12"/>
          <w:lang w:eastAsia="zh-CN"/>
        </w:rPr>
      </w:pPr>
      <w:r>
        <w:rPr>
          <w:rFonts w:ascii="宋体" w:hAnsi="宋体" w:eastAsia="宋体" w:cs="宋体"/>
          <w:spacing w:val="-1"/>
          <w:sz w:val="24"/>
          <w:szCs w:val="24"/>
        </w:rPr>
        <w:t>4.12 施工图联合设计</w:t>
      </w:r>
    </w:p>
    <w:p w14:paraId="6C6D2B53">
      <w:pPr>
        <w:spacing w:before="180" w:line="219" w:lineRule="auto"/>
        <w:ind w:left="489"/>
        <w:rPr>
          <w:rFonts w:ascii="宋体" w:hAnsi="宋体" w:eastAsia="宋体" w:cs="宋体"/>
          <w:sz w:val="24"/>
          <w:szCs w:val="24"/>
        </w:rPr>
      </w:pPr>
      <w:r>
        <w:rPr>
          <w:rFonts w:ascii="宋体" w:hAnsi="宋体" w:eastAsia="宋体" w:cs="宋体"/>
          <w:spacing w:val="-2"/>
          <w:sz w:val="24"/>
          <w:szCs w:val="24"/>
        </w:rPr>
        <w:t>考虑到项目特点，列入施工联合设计阶段内容如下（包括</w:t>
      </w:r>
      <w:r>
        <w:rPr>
          <w:rFonts w:ascii="宋体" w:hAnsi="宋体" w:eastAsia="宋体" w:cs="宋体"/>
          <w:spacing w:val="-3"/>
          <w:sz w:val="24"/>
          <w:szCs w:val="24"/>
        </w:rPr>
        <w:t>但不限于</w:t>
      </w:r>
      <w:r>
        <w:rPr>
          <w:rFonts w:ascii="宋体" w:hAnsi="宋体" w:eastAsia="宋体" w:cs="宋体"/>
          <w:spacing w:val="-1"/>
          <w:sz w:val="24"/>
          <w:szCs w:val="24"/>
        </w:rPr>
        <w:t>）：</w:t>
      </w:r>
    </w:p>
    <w:p w14:paraId="7F9932D1">
      <w:pPr>
        <w:spacing w:before="183" w:line="220" w:lineRule="auto"/>
        <w:ind w:left="495"/>
        <w:rPr>
          <w:rFonts w:ascii="宋体" w:hAnsi="宋体" w:eastAsia="宋体" w:cs="宋体"/>
          <w:sz w:val="24"/>
          <w:szCs w:val="24"/>
        </w:rPr>
      </w:pPr>
      <w:r>
        <w:rPr>
          <w:rFonts w:ascii="宋体" w:hAnsi="宋体" w:eastAsia="宋体" w:cs="宋体"/>
          <w:spacing w:val="-3"/>
          <w:sz w:val="24"/>
          <w:szCs w:val="24"/>
        </w:rPr>
        <w:t>（1）钢结构加工制造焊缝、坡口等细节构造优化设计；</w:t>
      </w:r>
    </w:p>
    <w:p w14:paraId="132F5A93">
      <w:pPr>
        <w:spacing w:before="183" w:line="232" w:lineRule="auto"/>
        <w:ind w:left="495"/>
        <w:rPr>
          <w:rFonts w:ascii="宋体" w:hAnsi="宋体" w:eastAsia="宋体" w:cs="宋体"/>
          <w:sz w:val="24"/>
          <w:szCs w:val="24"/>
        </w:rPr>
      </w:pPr>
      <w:r>
        <w:rPr>
          <w:rFonts w:hint="eastAsia" w:ascii="宋体" w:hAnsi="宋体" w:cs="宋体"/>
          <w:sz w:val="24"/>
          <w:szCs w:val="24"/>
          <w:lang w:eastAsia="zh-CN"/>
        </w:rPr>
        <w:t>(</w:t>
      </w:r>
      <w:r>
        <w:rPr>
          <w:rFonts w:ascii="宋体" w:hAnsi="宋体" w:eastAsia="宋体" w:cs="宋体"/>
          <w:sz w:val="24"/>
          <w:szCs w:val="24"/>
        </w:rPr>
        <w:t>2</w:t>
      </w:r>
      <w:r>
        <w:rPr>
          <w:rFonts w:hint="eastAsia" w:ascii="宋体" w:hAnsi="宋体" w:cs="宋体"/>
          <w:sz w:val="24"/>
          <w:szCs w:val="24"/>
          <w:lang w:eastAsia="zh-CN"/>
        </w:rPr>
        <w:t>)</w:t>
      </w:r>
      <w:r>
        <w:rPr>
          <w:rFonts w:ascii="宋体" w:hAnsi="宋体" w:eastAsia="宋体" w:cs="宋体"/>
          <w:sz w:val="24"/>
          <w:szCs w:val="24"/>
          <w:u w:val="single" w:color="auto"/>
        </w:rPr>
        <w:t xml:space="preserve">      </w:t>
      </w:r>
    </w:p>
    <w:p w14:paraId="7D2AD74C">
      <w:pPr>
        <w:spacing w:before="166" w:line="360" w:lineRule="auto"/>
        <w:ind w:left="8" w:right="90" w:firstLine="480"/>
        <w:rPr>
          <w:rFonts w:ascii="宋体" w:hAnsi="宋体" w:eastAsia="宋体" w:cs="宋体"/>
          <w:sz w:val="24"/>
          <w:szCs w:val="24"/>
        </w:rPr>
      </w:pPr>
      <w:r>
        <w:rPr>
          <w:rFonts w:ascii="宋体" w:hAnsi="宋体" w:eastAsia="宋体" w:cs="宋体"/>
          <w:spacing w:val="-2"/>
          <w:sz w:val="24"/>
          <w:szCs w:val="24"/>
        </w:rPr>
        <w:t>承包人应与本项目的设计单位及其他施工单位对施工图设计开展施工图联合设计，施工图联合设计费用已包含在承包人合同价格中。</w:t>
      </w:r>
    </w:p>
    <w:p w14:paraId="3AA9351D">
      <w:pPr>
        <w:spacing w:before="1" w:line="219" w:lineRule="auto"/>
        <w:ind w:left="489"/>
        <w:rPr>
          <w:rFonts w:ascii="宋体" w:hAnsi="宋体" w:eastAsia="宋体" w:cs="宋体"/>
          <w:sz w:val="24"/>
          <w:szCs w:val="24"/>
        </w:rPr>
      </w:pPr>
      <w:r>
        <w:rPr>
          <w:rFonts w:ascii="宋体" w:hAnsi="宋体" w:eastAsia="宋体" w:cs="宋体"/>
          <w:spacing w:val="-5"/>
          <w:sz w:val="24"/>
          <w:szCs w:val="24"/>
        </w:rPr>
        <w:t>补充第</w:t>
      </w:r>
      <w:r>
        <w:rPr>
          <w:rFonts w:ascii="宋体" w:hAnsi="宋体" w:eastAsia="宋体" w:cs="宋体"/>
          <w:spacing w:val="-43"/>
          <w:sz w:val="24"/>
          <w:szCs w:val="24"/>
        </w:rPr>
        <w:t xml:space="preserve"> </w:t>
      </w:r>
      <w:r>
        <w:rPr>
          <w:rFonts w:ascii="宋体" w:hAnsi="宋体" w:eastAsia="宋体" w:cs="宋体"/>
          <w:spacing w:val="-5"/>
          <w:sz w:val="24"/>
          <w:szCs w:val="24"/>
        </w:rPr>
        <w:t>4.13 款：</w:t>
      </w:r>
    </w:p>
    <w:p w14:paraId="2298F223">
      <w:pPr>
        <w:spacing w:before="182" w:line="220" w:lineRule="auto"/>
        <w:ind w:left="488"/>
        <w:rPr>
          <w:rFonts w:ascii="宋体" w:hAnsi="宋体" w:eastAsia="宋体" w:cs="宋体"/>
          <w:sz w:val="24"/>
          <w:szCs w:val="24"/>
        </w:rPr>
      </w:pPr>
      <w:r>
        <w:rPr>
          <w:rFonts w:ascii="宋体" w:hAnsi="宋体" w:eastAsia="宋体" w:cs="宋体"/>
          <w:spacing w:val="-2"/>
          <w:sz w:val="24"/>
          <w:szCs w:val="24"/>
        </w:rPr>
        <w:t>4.13</w:t>
      </w:r>
      <w:r>
        <w:rPr>
          <w:rFonts w:ascii="宋体" w:hAnsi="宋体" w:eastAsia="宋体" w:cs="宋体"/>
          <w:spacing w:val="-46"/>
          <w:sz w:val="24"/>
          <w:szCs w:val="24"/>
        </w:rPr>
        <w:t xml:space="preserve"> </w:t>
      </w:r>
      <w:r>
        <w:rPr>
          <w:rFonts w:ascii="宋体" w:hAnsi="宋体" w:eastAsia="宋体" w:cs="宋体"/>
          <w:spacing w:val="-2"/>
          <w:sz w:val="24"/>
          <w:szCs w:val="24"/>
        </w:rPr>
        <w:t>工作界面的管理</w:t>
      </w:r>
    </w:p>
    <w:p w14:paraId="19366DAF">
      <w:pPr>
        <w:spacing w:before="183" w:line="360" w:lineRule="auto"/>
        <w:ind w:left="10" w:right="85" w:firstLine="485"/>
        <w:rPr>
          <w:rFonts w:ascii="宋体" w:hAnsi="宋体" w:eastAsia="宋体" w:cs="宋体"/>
          <w:sz w:val="24"/>
          <w:szCs w:val="24"/>
        </w:rPr>
      </w:pPr>
      <w:r>
        <w:rPr>
          <w:rFonts w:ascii="宋体" w:hAnsi="宋体" w:eastAsia="宋体" w:cs="宋体"/>
          <w:spacing w:val="1"/>
          <w:sz w:val="24"/>
          <w:szCs w:val="24"/>
        </w:rPr>
        <w:t>（1）在承包人、监理人及其他合同段承包人陆续进场后，发包人将分阶段组织各</w:t>
      </w:r>
      <w:r>
        <w:rPr>
          <w:rFonts w:ascii="宋体" w:hAnsi="宋体" w:eastAsia="宋体" w:cs="宋体"/>
          <w:spacing w:val="-6"/>
          <w:sz w:val="24"/>
          <w:szCs w:val="24"/>
        </w:rPr>
        <w:t>方，在本合同条款、图纸、技术规范的基础上，</w:t>
      </w:r>
      <w:r>
        <w:rPr>
          <w:rFonts w:ascii="宋体" w:hAnsi="宋体" w:eastAsia="宋体" w:cs="宋体"/>
          <w:spacing w:val="48"/>
          <w:sz w:val="24"/>
          <w:szCs w:val="24"/>
        </w:rPr>
        <w:t xml:space="preserve"> </w:t>
      </w:r>
      <w:r>
        <w:rPr>
          <w:rFonts w:ascii="宋体" w:hAnsi="宋体" w:eastAsia="宋体" w:cs="宋体"/>
          <w:spacing w:val="-6"/>
          <w:sz w:val="24"/>
          <w:szCs w:val="24"/>
        </w:rPr>
        <w:t>进一步细化明确有关工作界面和争议处</w:t>
      </w:r>
      <w:r>
        <w:rPr>
          <w:rFonts w:ascii="宋体" w:hAnsi="宋体" w:eastAsia="宋体" w:cs="宋体"/>
          <w:spacing w:val="-2"/>
          <w:sz w:val="24"/>
          <w:szCs w:val="24"/>
        </w:rPr>
        <w:t>理原则，并由各方统一签订工作界面管理备忘录。</w:t>
      </w:r>
    </w:p>
    <w:p w14:paraId="51962C29">
      <w:pPr>
        <w:spacing w:line="360" w:lineRule="auto"/>
        <w:ind w:left="9" w:right="85" w:firstLine="486"/>
        <w:rPr>
          <w:rFonts w:ascii="宋体" w:hAnsi="宋体" w:eastAsia="宋体" w:cs="宋体"/>
          <w:sz w:val="24"/>
          <w:szCs w:val="24"/>
        </w:rPr>
      </w:pPr>
      <w:r>
        <w:rPr>
          <w:rFonts w:ascii="宋体" w:hAnsi="宋体" w:eastAsia="宋体" w:cs="宋体"/>
          <w:spacing w:val="1"/>
          <w:sz w:val="24"/>
          <w:szCs w:val="24"/>
        </w:rPr>
        <w:t>（2）在合同执行过程中，承包人应委派专人负责工作界面的管理与协调，并与其</w:t>
      </w:r>
      <w:r>
        <w:rPr>
          <w:rFonts w:ascii="宋体" w:hAnsi="宋体" w:eastAsia="宋体" w:cs="宋体"/>
          <w:spacing w:val="-5"/>
          <w:sz w:val="24"/>
          <w:szCs w:val="24"/>
        </w:rPr>
        <w:t>他合同段工作界面管理人员建立定期的沟通机制。对本合同工程实施过程中， 已出现或</w:t>
      </w:r>
      <w:r>
        <w:rPr>
          <w:rFonts w:ascii="宋体" w:hAnsi="宋体" w:eastAsia="宋体" w:cs="宋体"/>
          <w:spacing w:val="-1"/>
          <w:sz w:val="24"/>
          <w:szCs w:val="24"/>
        </w:rPr>
        <w:t>可能出现的各种界面模糊点，进行沟通和协调，明确各方的工作</w:t>
      </w:r>
      <w:r>
        <w:rPr>
          <w:rFonts w:ascii="宋体" w:hAnsi="宋体" w:eastAsia="宋体" w:cs="宋体"/>
          <w:spacing w:val="-2"/>
          <w:sz w:val="24"/>
          <w:szCs w:val="24"/>
        </w:rPr>
        <w:t>内容和职责范围。</w:t>
      </w:r>
    </w:p>
    <w:p w14:paraId="3A378B36">
      <w:pPr>
        <w:spacing w:before="1" w:line="357" w:lineRule="auto"/>
        <w:ind w:left="10" w:firstLine="485"/>
        <w:rPr>
          <w:rFonts w:ascii="宋体" w:hAnsi="宋体" w:eastAsia="宋体" w:cs="宋体"/>
          <w:sz w:val="24"/>
          <w:szCs w:val="24"/>
        </w:rPr>
      </w:pPr>
      <w:r>
        <w:rPr>
          <w:rFonts w:ascii="宋体" w:hAnsi="宋体" w:eastAsia="宋体" w:cs="宋体"/>
          <w:spacing w:val="1"/>
          <w:sz w:val="24"/>
          <w:szCs w:val="24"/>
        </w:rPr>
        <w:t>（3）如经沟通和协调不成功时，发包人有权参照同类型项目的常规做法，对于界</w:t>
      </w:r>
      <w:r>
        <w:rPr>
          <w:rFonts w:ascii="宋体" w:hAnsi="宋体" w:eastAsia="宋体" w:cs="宋体"/>
          <w:spacing w:val="-2"/>
          <w:sz w:val="24"/>
          <w:szCs w:val="24"/>
        </w:rPr>
        <w:t>面模糊点的工作进行指派，承包人应予以执行，除发包人认定符合变更范围而进行变更</w:t>
      </w:r>
      <w:r>
        <w:rPr>
          <w:rFonts w:ascii="宋体" w:hAnsi="宋体" w:eastAsia="宋体" w:cs="宋体"/>
          <w:spacing w:val="-5"/>
          <w:sz w:val="24"/>
          <w:szCs w:val="24"/>
        </w:rPr>
        <w:t>之外，执行上述指派工作所需的相关费用视</w:t>
      </w:r>
      <w:r>
        <w:rPr>
          <w:rFonts w:ascii="宋体" w:hAnsi="宋体" w:eastAsia="宋体" w:cs="宋体"/>
          <w:spacing w:val="-6"/>
          <w:sz w:val="24"/>
          <w:szCs w:val="24"/>
        </w:rPr>
        <w:t>为已包含在合同价格中，发包人不另行支付。</w:t>
      </w:r>
      <w:r>
        <w:rPr>
          <w:rFonts w:ascii="宋体" w:hAnsi="宋体" w:eastAsia="宋体" w:cs="宋体"/>
          <w:spacing w:val="-2"/>
          <w:sz w:val="24"/>
          <w:szCs w:val="24"/>
        </w:rPr>
        <w:t>如承包人拒绝完成发包人指派的工作任务，则视为承包人违约，发包人有权按照本合同</w:t>
      </w:r>
      <w:r>
        <w:rPr>
          <w:rFonts w:ascii="宋体" w:hAnsi="宋体" w:eastAsia="宋体" w:cs="宋体"/>
          <w:spacing w:val="-5"/>
          <w:sz w:val="24"/>
          <w:szCs w:val="24"/>
        </w:rPr>
        <w:t>条款规定课以违约金。</w:t>
      </w:r>
    </w:p>
    <w:p w14:paraId="42498E5F">
      <w:pPr>
        <w:spacing w:before="1" w:line="232" w:lineRule="auto"/>
        <w:ind w:left="494"/>
      </w:pPr>
      <w:r>
        <w:rPr>
          <w:rFonts w:ascii="宋体" w:hAnsi="宋体" w:eastAsia="宋体" w:cs="宋体"/>
          <w:b/>
          <w:bCs/>
          <w:spacing w:val="-3"/>
          <w:sz w:val="24"/>
          <w:szCs w:val="24"/>
        </w:rPr>
        <w:t>5.</w:t>
      </w:r>
      <w:r>
        <w:rPr>
          <w:rFonts w:ascii="宋体" w:hAnsi="宋体" w:eastAsia="宋体" w:cs="宋体"/>
          <w:spacing w:val="-3"/>
          <w:sz w:val="24"/>
          <w:szCs w:val="24"/>
        </w:rPr>
        <w:t xml:space="preserve"> </w:t>
      </w:r>
      <w:r>
        <w:rPr>
          <w:rFonts w:ascii="宋体" w:hAnsi="宋体" w:eastAsia="宋体" w:cs="宋体"/>
          <w:b/>
          <w:bCs/>
          <w:spacing w:val="-3"/>
          <w:sz w:val="24"/>
          <w:szCs w:val="24"/>
        </w:rPr>
        <w:t>材料和工程设备</w:t>
      </w:r>
    </w:p>
    <w:p w14:paraId="35FE23F8">
      <w:pPr>
        <w:spacing w:before="78" w:line="220"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2"/>
          <w:sz w:val="24"/>
          <w:szCs w:val="24"/>
        </w:rPr>
        <w:t xml:space="preserve"> </w:t>
      </w:r>
      <w:r>
        <w:rPr>
          <w:rFonts w:ascii="宋体" w:hAnsi="宋体" w:eastAsia="宋体" w:cs="宋体"/>
          <w:spacing w:val="-8"/>
          <w:sz w:val="24"/>
          <w:szCs w:val="24"/>
        </w:rPr>
        <w:t>5.1.2</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3EC57706">
      <w:pPr>
        <w:spacing w:before="182" w:line="360" w:lineRule="auto"/>
        <w:ind w:left="8" w:right="13" w:firstLine="487"/>
        <w:jc w:val="both"/>
        <w:rPr>
          <w:rFonts w:ascii="宋体" w:hAnsi="宋体" w:eastAsia="宋体" w:cs="宋体"/>
          <w:sz w:val="24"/>
          <w:szCs w:val="24"/>
        </w:rPr>
      </w:pPr>
      <w:r>
        <w:rPr>
          <w:rFonts w:ascii="宋体" w:hAnsi="宋体" w:eastAsia="宋体" w:cs="宋体"/>
          <w:spacing w:val="1"/>
          <w:sz w:val="24"/>
          <w:szCs w:val="24"/>
        </w:rPr>
        <w:t>（1）承包人选定的材料和工程设备必须满足本合同工程要求和《广东省公路工程</w:t>
      </w:r>
      <w:r>
        <w:rPr>
          <w:rFonts w:ascii="宋体" w:hAnsi="宋体" w:eastAsia="宋体" w:cs="宋体"/>
          <w:spacing w:val="-2"/>
          <w:sz w:val="24"/>
          <w:szCs w:val="24"/>
        </w:rPr>
        <w:t>施工标准化指南》管理规定。凡任何技术指标达不到发包人要求或被发包人禁止进入本</w:t>
      </w:r>
      <w:r>
        <w:rPr>
          <w:rFonts w:ascii="宋体" w:hAnsi="宋体" w:eastAsia="宋体" w:cs="宋体"/>
          <w:spacing w:val="-1"/>
          <w:sz w:val="24"/>
          <w:szCs w:val="24"/>
        </w:rPr>
        <w:t>合同工程的材料、设备（或材料供应商），承包</w:t>
      </w:r>
      <w:r>
        <w:rPr>
          <w:rFonts w:ascii="宋体" w:hAnsi="宋体" w:eastAsia="宋体" w:cs="宋体"/>
          <w:spacing w:val="-2"/>
          <w:sz w:val="24"/>
          <w:szCs w:val="24"/>
        </w:rPr>
        <w:t>人不得采购用于本项目。</w:t>
      </w:r>
    </w:p>
    <w:p w14:paraId="67F0AD44">
      <w:pPr>
        <w:spacing w:line="360" w:lineRule="auto"/>
        <w:ind w:left="9" w:right="13" w:firstLine="482"/>
        <w:jc w:val="both"/>
        <w:rPr>
          <w:rFonts w:ascii="宋体" w:hAnsi="宋体" w:eastAsia="宋体" w:cs="宋体"/>
          <w:sz w:val="24"/>
          <w:szCs w:val="24"/>
        </w:rPr>
      </w:pPr>
      <w:r>
        <w:rPr>
          <w:rFonts w:ascii="宋体" w:hAnsi="宋体" w:eastAsia="宋体" w:cs="宋体"/>
          <w:spacing w:val="-5"/>
          <w:sz w:val="24"/>
          <w:szCs w:val="24"/>
        </w:rPr>
        <w:t>投标时有提供《投标人拟投入的关键设备承诺表》的项目， 承包人</w:t>
      </w:r>
      <w:r>
        <w:rPr>
          <w:rFonts w:ascii="宋体" w:hAnsi="宋体" w:eastAsia="宋体" w:cs="宋体"/>
          <w:spacing w:val="-6"/>
          <w:sz w:val="24"/>
          <w:szCs w:val="24"/>
        </w:rPr>
        <w:t>应按照《投标人</w:t>
      </w:r>
      <w:r>
        <w:rPr>
          <w:rFonts w:ascii="宋体" w:hAnsi="宋体" w:eastAsia="宋体" w:cs="宋体"/>
          <w:spacing w:val="-5"/>
          <w:sz w:val="24"/>
          <w:szCs w:val="24"/>
        </w:rPr>
        <w:t>拟投入的关键设备承诺表》中所列的品牌进行设备采购， 不得变更设备品牌，私自变更</w:t>
      </w:r>
      <w:r>
        <w:rPr>
          <w:rFonts w:ascii="宋体" w:hAnsi="宋体" w:eastAsia="宋体" w:cs="宋体"/>
          <w:spacing w:val="-2"/>
          <w:sz w:val="24"/>
          <w:szCs w:val="24"/>
        </w:rPr>
        <w:t>品牌的，按承包人违约金一览表进行处罚，并更换为承诺设备。如因非承包人原因需要调整设备品牌的，经发包人批准后按</w:t>
      </w:r>
      <w:r>
        <w:rPr>
          <w:rFonts w:ascii="宋体" w:hAnsi="宋体" w:eastAsia="宋体" w:cs="宋体"/>
          <w:spacing w:val="-33"/>
          <w:sz w:val="24"/>
          <w:szCs w:val="24"/>
        </w:rPr>
        <w:t xml:space="preserve"> </w:t>
      </w:r>
      <w:r>
        <w:rPr>
          <w:rFonts w:ascii="宋体" w:hAnsi="宋体" w:eastAsia="宋体" w:cs="宋体"/>
          <w:spacing w:val="-2"/>
          <w:sz w:val="24"/>
          <w:szCs w:val="24"/>
        </w:rPr>
        <w:t>15.</w:t>
      </w:r>
      <w:r>
        <w:rPr>
          <w:rFonts w:ascii="宋体" w:hAnsi="宋体" w:eastAsia="宋体" w:cs="宋体"/>
          <w:spacing w:val="-3"/>
          <w:sz w:val="24"/>
          <w:szCs w:val="24"/>
        </w:rPr>
        <w:t>4.3</w:t>
      </w:r>
      <w:r>
        <w:rPr>
          <w:rFonts w:ascii="宋体" w:hAnsi="宋体" w:eastAsia="宋体" w:cs="宋体"/>
          <w:spacing w:val="-48"/>
          <w:sz w:val="24"/>
          <w:szCs w:val="24"/>
        </w:rPr>
        <w:t xml:space="preserve"> </w:t>
      </w:r>
      <w:r>
        <w:rPr>
          <w:rFonts w:ascii="宋体" w:hAnsi="宋体" w:eastAsia="宋体" w:cs="宋体"/>
          <w:spacing w:val="-3"/>
          <w:sz w:val="24"/>
          <w:szCs w:val="24"/>
        </w:rPr>
        <w:t>条款进行合同价款调整。</w:t>
      </w:r>
    </w:p>
    <w:p w14:paraId="11EA05C7">
      <w:pPr>
        <w:spacing w:before="1" w:line="218" w:lineRule="auto"/>
        <w:ind w:left="495"/>
        <w:rPr>
          <w:rFonts w:ascii="宋体" w:hAnsi="宋体" w:eastAsia="宋体" w:cs="宋体"/>
          <w:sz w:val="24"/>
          <w:szCs w:val="24"/>
        </w:rPr>
      </w:pPr>
      <w:r>
        <w:rPr>
          <w:rFonts w:ascii="宋体" w:hAnsi="宋体" w:eastAsia="宋体" w:cs="宋体"/>
          <w:spacing w:val="-2"/>
          <w:sz w:val="24"/>
          <w:szCs w:val="24"/>
        </w:rPr>
        <w:t>（2）统一供应材料的采购</w:t>
      </w:r>
    </w:p>
    <w:p w14:paraId="0B5E1ACC">
      <w:pPr>
        <w:spacing w:before="183" w:line="360" w:lineRule="auto"/>
        <w:ind w:left="13" w:right="13" w:firstLine="481"/>
        <w:rPr>
          <w:rFonts w:ascii="宋体" w:hAnsi="宋体" w:eastAsia="宋体" w:cs="宋体"/>
          <w:sz w:val="24"/>
          <w:szCs w:val="24"/>
        </w:rPr>
      </w:pPr>
      <w:r>
        <w:rPr>
          <w:rFonts w:ascii="宋体" w:hAnsi="宋体" w:eastAsia="宋体" w:cs="宋体"/>
          <w:spacing w:val="-5"/>
          <w:sz w:val="24"/>
          <w:szCs w:val="24"/>
        </w:rPr>
        <w:t>统一采购供应材料的品种详见附件十一《统一采购供应材料一览表》， 具体采购必</w:t>
      </w:r>
      <w:r>
        <w:rPr>
          <w:rFonts w:ascii="宋体" w:hAnsi="宋体" w:eastAsia="宋体" w:cs="宋体"/>
          <w:spacing w:val="-4"/>
          <w:sz w:val="24"/>
          <w:szCs w:val="24"/>
        </w:rPr>
        <w:t>须严格执行发包人的管理要求。</w:t>
      </w:r>
    </w:p>
    <w:p w14:paraId="10CD7A44">
      <w:pPr>
        <w:spacing w:line="360" w:lineRule="auto"/>
        <w:ind w:left="8" w:firstLine="486"/>
        <w:jc w:val="both"/>
        <w:rPr>
          <w:rFonts w:ascii="宋体" w:hAnsi="宋体" w:eastAsia="宋体" w:cs="宋体"/>
          <w:sz w:val="24"/>
          <w:szCs w:val="24"/>
        </w:rPr>
      </w:pPr>
      <w:r>
        <w:rPr>
          <w:rFonts w:ascii="宋体" w:hAnsi="宋体" w:eastAsia="宋体" w:cs="宋体"/>
          <w:spacing w:val="-2"/>
          <w:sz w:val="24"/>
          <w:szCs w:val="24"/>
        </w:rPr>
        <w:t>统一采购采购供应的材料，若采用发包人统一招标方式的，在发包人经招标确定统</w:t>
      </w:r>
      <w:r>
        <w:rPr>
          <w:rFonts w:ascii="宋体" w:hAnsi="宋体" w:eastAsia="宋体" w:cs="宋体"/>
          <w:spacing w:val="-1"/>
          <w:sz w:val="24"/>
          <w:szCs w:val="24"/>
        </w:rPr>
        <w:t>一供货品牌后，由承包人</w:t>
      </w:r>
      <w:r>
        <w:rPr>
          <w:rFonts w:hint="eastAsia" w:ascii="宋体" w:hAnsi="宋体" w:cs="宋体"/>
          <w:spacing w:val="-1"/>
          <w:sz w:val="24"/>
          <w:szCs w:val="24"/>
          <w:lang w:eastAsia="zh-CN"/>
        </w:rPr>
        <w:t>（</w:t>
      </w:r>
      <w:r>
        <w:rPr>
          <w:rFonts w:ascii="宋体" w:hAnsi="宋体" w:eastAsia="宋体" w:cs="宋体"/>
          <w:spacing w:val="-1"/>
          <w:sz w:val="24"/>
          <w:szCs w:val="24"/>
        </w:rPr>
        <w:t>材料使用方</w:t>
      </w:r>
      <w:r>
        <w:rPr>
          <w:rFonts w:hint="eastAsia" w:ascii="宋体" w:hAnsi="宋体" w:cs="宋体"/>
          <w:spacing w:val="-1"/>
          <w:sz w:val="24"/>
          <w:szCs w:val="24"/>
          <w:lang w:eastAsia="zh-CN"/>
        </w:rPr>
        <w:t>）</w:t>
      </w:r>
      <w:r>
        <w:rPr>
          <w:rFonts w:ascii="宋体" w:hAnsi="宋体" w:eastAsia="宋体" w:cs="宋体"/>
          <w:spacing w:val="-1"/>
          <w:sz w:val="24"/>
          <w:szCs w:val="24"/>
        </w:rPr>
        <w:t>与发包人、供货人（卖方）共同签</w:t>
      </w:r>
      <w:r>
        <w:rPr>
          <w:rFonts w:ascii="宋体" w:hAnsi="宋体" w:eastAsia="宋体" w:cs="宋体"/>
          <w:spacing w:val="-2"/>
          <w:sz w:val="24"/>
          <w:szCs w:val="24"/>
        </w:rPr>
        <w:t>订供货合同。承包人与卖方为实际的买卖双方，卖方根据承包人实际需求按计划供应材料并提供发票给承包人；发包人负责监督合同各方严格履行供货合同，由承包人按供货合同规定支付材料款给卖方或由承包人委托发包人按供货合同规定代承包人支付材料款给卖方，统一采购供应的材料款由发包人按上述方式与承包人进行结算。</w:t>
      </w:r>
    </w:p>
    <w:p w14:paraId="13D4A45B">
      <w:pPr>
        <w:spacing w:before="1" w:line="218" w:lineRule="auto"/>
        <w:ind w:left="488"/>
        <w:rPr>
          <w:rFonts w:ascii="宋体" w:hAnsi="宋体" w:eastAsia="宋体" w:cs="宋体"/>
          <w:sz w:val="24"/>
          <w:szCs w:val="24"/>
        </w:rPr>
      </w:pPr>
      <w:r>
        <w:rPr>
          <w:rFonts w:ascii="宋体" w:hAnsi="宋体" w:eastAsia="宋体" w:cs="宋体"/>
          <w:spacing w:val="-4"/>
          <w:sz w:val="24"/>
          <w:szCs w:val="24"/>
        </w:rPr>
        <w:t>对于此类材料的供货，还应满足以下规定：</w:t>
      </w:r>
    </w:p>
    <w:p w14:paraId="4EB34EFF">
      <w:pPr>
        <w:spacing w:before="183" w:line="360" w:lineRule="auto"/>
        <w:ind w:left="8" w:right="13" w:firstLine="480"/>
        <w:rPr>
          <w:rFonts w:ascii="宋体" w:hAnsi="宋体" w:eastAsia="宋体" w:cs="宋体"/>
          <w:sz w:val="24"/>
          <w:szCs w:val="24"/>
        </w:rPr>
      </w:pPr>
      <w:r>
        <w:rPr>
          <w:rFonts w:ascii="宋体" w:hAnsi="宋体" w:eastAsia="宋体" w:cs="宋体"/>
          <w:spacing w:val="-2"/>
          <w:sz w:val="24"/>
          <w:szCs w:val="24"/>
        </w:rPr>
        <w:t>①材料使用前，由承包人负责检验或试验，品种、规格、型号或质量与一览表不符的，承包人应及时报监理人及发包人处理；品种、规格或型号与一览表不符但质量经检</w:t>
      </w:r>
      <w:r>
        <w:rPr>
          <w:rFonts w:ascii="宋体" w:hAnsi="宋体" w:eastAsia="宋体" w:cs="宋体"/>
          <w:spacing w:val="-6"/>
          <w:sz w:val="24"/>
          <w:szCs w:val="24"/>
        </w:rPr>
        <w:t>验合格的，经监理人同意，可调剂串换使用。若上述不符是属于承包人责</w:t>
      </w:r>
      <w:r>
        <w:rPr>
          <w:rFonts w:ascii="宋体" w:hAnsi="宋体" w:eastAsia="宋体" w:cs="宋体"/>
          <w:spacing w:val="-7"/>
          <w:sz w:val="24"/>
          <w:szCs w:val="24"/>
        </w:rPr>
        <w:t>任造成的，</w:t>
      </w:r>
      <w:r>
        <w:rPr>
          <w:rFonts w:ascii="宋体" w:hAnsi="宋体" w:eastAsia="宋体" w:cs="宋体"/>
          <w:spacing w:val="56"/>
          <w:sz w:val="24"/>
          <w:szCs w:val="24"/>
        </w:rPr>
        <w:t xml:space="preserve"> </w:t>
      </w:r>
      <w:r>
        <w:rPr>
          <w:rFonts w:ascii="宋体" w:hAnsi="宋体" w:eastAsia="宋体" w:cs="宋体"/>
          <w:spacing w:val="-7"/>
          <w:sz w:val="24"/>
          <w:szCs w:val="24"/>
        </w:rPr>
        <w:t>则</w:t>
      </w:r>
      <w:r>
        <w:rPr>
          <w:rFonts w:ascii="宋体" w:hAnsi="宋体" w:eastAsia="宋体" w:cs="宋体"/>
          <w:spacing w:val="-3"/>
          <w:sz w:val="24"/>
          <w:szCs w:val="24"/>
        </w:rPr>
        <w:t>因此而增加的相应费用由承包人承担。</w:t>
      </w:r>
    </w:p>
    <w:p w14:paraId="355C6A5E">
      <w:pPr>
        <w:spacing w:line="360" w:lineRule="auto"/>
        <w:ind w:left="31" w:right="13" w:firstLine="455"/>
        <w:rPr>
          <w:rFonts w:ascii="宋体" w:hAnsi="宋体" w:eastAsia="宋体" w:cs="宋体"/>
          <w:sz w:val="24"/>
          <w:szCs w:val="24"/>
        </w:rPr>
      </w:pPr>
      <w:r>
        <w:rPr>
          <w:rFonts w:ascii="宋体" w:hAnsi="宋体" w:eastAsia="宋体" w:cs="宋体"/>
          <w:spacing w:val="-2"/>
          <w:sz w:val="24"/>
          <w:szCs w:val="24"/>
        </w:rPr>
        <w:t>②为恰当和正确地使用、安装和实施这些材料和工程设备所必需的但一览表中未列明的其他任何辅助性材料以及人工费均已经包含在承包人的合同价款</w:t>
      </w:r>
      <w:r>
        <w:rPr>
          <w:rFonts w:ascii="宋体" w:hAnsi="宋体" w:eastAsia="宋体" w:cs="宋体"/>
          <w:spacing w:val="-3"/>
          <w:sz w:val="24"/>
          <w:szCs w:val="24"/>
        </w:rPr>
        <w:t>中。</w:t>
      </w:r>
    </w:p>
    <w:p w14:paraId="3AECBC60">
      <w:pPr>
        <w:spacing w:line="360" w:lineRule="auto"/>
        <w:ind w:left="8" w:right="12" w:firstLine="479"/>
        <w:rPr>
          <w:rFonts w:ascii="宋体" w:hAnsi="宋体" w:eastAsia="宋体" w:cs="宋体"/>
          <w:sz w:val="24"/>
          <w:szCs w:val="24"/>
        </w:rPr>
      </w:pPr>
      <w:r>
        <w:rPr>
          <w:rFonts w:ascii="宋体" w:hAnsi="宋体" w:eastAsia="宋体" w:cs="宋体"/>
          <w:spacing w:val="5"/>
          <w:sz w:val="24"/>
          <w:szCs w:val="24"/>
        </w:rPr>
        <w:t>③当月的材料款根据合同附表中的统一采购供应材料单价和承包人与供应商当月</w:t>
      </w:r>
      <w:r>
        <w:rPr>
          <w:rFonts w:ascii="宋体" w:hAnsi="宋体" w:eastAsia="宋体" w:cs="宋体"/>
          <w:spacing w:val="-2"/>
          <w:sz w:val="24"/>
          <w:szCs w:val="24"/>
        </w:rPr>
        <w:t>签认的材料签收数量进行计算，原则上当月的材料款应在下个月的计量支付中扣除。根</w:t>
      </w:r>
      <w:r>
        <w:rPr>
          <w:rFonts w:ascii="宋体" w:hAnsi="宋体" w:eastAsia="宋体" w:cs="宋体"/>
          <w:spacing w:val="-1"/>
          <w:sz w:val="24"/>
          <w:szCs w:val="24"/>
        </w:rPr>
        <w:t>据实际情况，在确保工程款不超付的情况下允许推迟不超过三</w:t>
      </w:r>
      <w:r>
        <w:rPr>
          <w:rFonts w:ascii="宋体" w:hAnsi="宋体" w:eastAsia="宋体" w:cs="宋体"/>
          <w:spacing w:val="-2"/>
          <w:sz w:val="24"/>
          <w:szCs w:val="24"/>
        </w:rPr>
        <w:t>个月扣回材料款。</w:t>
      </w:r>
    </w:p>
    <w:p w14:paraId="6A43B188">
      <w:pPr>
        <w:spacing w:line="361" w:lineRule="auto"/>
        <w:ind w:left="9" w:right="12" w:firstLine="478"/>
        <w:rPr>
          <w:rFonts w:ascii="宋体" w:hAnsi="宋体" w:eastAsia="宋体" w:cs="宋体"/>
          <w:sz w:val="24"/>
          <w:szCs w:val="24"/>
        </w:rPr>
      </w:pPr>
      <w:r>
        <w:rPr>
          <w:rFonts w:ascii="宋体" w:hAnsi="宋体" w:eastAsia="宋体" w:cs="宋体"/>
          <w:spacing w:val="-2"/>
          <w:sz w:val="24"/>
          <w:szCs w:val="24"/>
        </w:rPr>
        <w:t>④承包人承担工程全部完工后，应上报统一供应材料实际用量与按设计图纸（包括</w:t>
      </w:r>
      <w:r>
        <w:rPr>
          <w:rFonts w:ascii="宋体" w:hAnsi="宋体" w:eastAsia="宋体" w:cs="宋体"/>
          <w:spacing w:val="-3"/>
          <w:sz w:val="24"/>
          <w:szCs w:val="24"/>
        </w:rPr>
        <w:t>变更）计算的理论用量（含合理损耗）对比分析报表，</w:t>
      </w:r>
      <w:r>
        <w:rPr>
          <w:rFonts w:ascii="宋体" w:hAnsi="宋体" w:eastAsia="宋体" w:cs="宋体"/>
          <w:spacing w:val="-4"/>
          <w:sz w:val="24"/>
          <w:szCs w:val="24"/>
        </w:rPr>
        <w:t>经发包人复核后，如偏差超过</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z w:val="24"/>
          <w:szCs w:val="24"/>
        </w:rPr>
        <w:t xml:space="preserve"> </w:t>
      </w:r>
      <w:r>
        <w:rPr>
          <w:rFonts w:ascii="宋体" w:hAnsi="宋体" w:eastAsia="宋体" w:cs="宋体"/>
          <w:spacing w:val="-3"/>
          <w:sz w:val="24"/>
          <w:szCs w:val="24"/>
        </w:rPr>
        <w:t>（石油沥青、改性沥青为</w:t>
      </w:r>
      <w:r>
        <w:rPr>
          <w:rFonts w:ascii="宋体" w:hAnsi="宋体" w:eastAsia="宋体" w:cs="宋体"/>
          <w:spacing w:val="-48"/>
          <w:sz w:val="24"/>
          <w:szCs w:val="24"/>
        </w:rPr>
        <w:t xml:space="preserve"> </w:t>
      </w:r>
      <w:r>
        <w:rPr>
          <w:rFonts w:ascii="宋体" w:hAnsi="宋体" w:eastAsia="宋体" w:cs="宋体"/>
          <w:spacing w:val="-3"/>
          <w:sz w:val="24"/>
          <w:szCs w:val="24"/>
        </w:rPr>
        <w:t>2%）而无法提供合理解释的，发</w:t>
      </w:r>
      <w:r>
        <w:rPr>
          <w:rFonts w:ascii="宋体" w:hAnsi="宋体" w:eastAsia="宋体" w:cs="宋体"/>
          <w:spacing w:val="-4"/>
          <w:sz w:val="24"/>
          <w:szCs w:val="24"/>
        </w:rPr>
        <w:t>包人有权对承包人处以偏差部</w:t>
      </w:r>
    </w:p>
    <w:p w14:paraId="09308BA4">
      <w:pPr>
        <w:spacing w:line="361" w:lineRule="auto"/>
        <w:rPr>
          <w:rFonts w:ascii="宋体" w:hAnsi="宋体" w:eastAsia="宋体" w:cs="宋体"/>
          <w:sz w:val="24"/>
          <w:szCs w:val="24"/>
        </w:rPr>
        <w:sectPr>
          <w:footerReference r:id="rId61" w:type="default"/>
          <w:pgSz w:w="11905" w:h="16840"/>
          <w:pgMar w:top="1182" w:right="1403" w:bottom="1171" w:left="1416" w:header="849" w:footer="937" w:gutter="0"/>
          <w:pgNumType w:fmt="decimal"/>
          <w:cols w:space="720" w:num="1"/>
        </w:sectPr>
      </w:pPr>
    </w:p>
    <w:p w14:paraId="0FA294D5">
      <w:pPr>
        <w:pStyle w:val="2"/>
        <w:spacing w:line="268" w:lineRule="auto"/>
      </w:pPr>
    </w:p>
    <w:p w14:paraId="23EA7EAA">
      <w:pPr>
        <w:spacing w:before="78" w:line="218" w:lineRule="auto"/>
        <w:ind w:left="12"/>
        <w:rPr>
          <w:rFonts w:ascii="宋体" w:hAnsi="宋体" w:eastAsia="宋体" w:cs="宋体"/>
          <w:sz w:val="24"/>
          <w:szCs w:val="24"/>
        </w:rPr>
      </w:pPr>
      <w:r>
        <w:rPr>
          <w:rFonts w:ascii="宋体" w:hAnsi="宋体" w:eastAsia="宋体" w:cs="宋体"/>
          <w:spacing w:val="-6"/>
          <w:sz w:val="24"/>
          <w:szCs w:val="24"/>
        </w:rPr>
        <w:t>分</w:t>
      </w:r>
      <w:r>
        <w:rPr>
          <w:rFonts w:ascii="宋体" w:hAnsi="宋体" w:eastAsia="宋体" w:cs="宋体"/>
          <w:spacing w:val="-30"/>
          <w:sz w:val="24"/>
          <w:szCs w:val="24"/>
        </w:rPr>
        <w:t xml:space="preserve"> </w:t>
      </w:r>
      <w:r>
        <w:rPr>
          <w:rFonts w:ascii="宋体" w:hAnsi="宋体" w:eastAsia="宋体" w:cs="宋体"/>
          <w:spacing w:val="-6"/>
          <w:sz w:val="24"/>
          <w:szCs w:val="24"/>
        </w:rPr>
        <w:t>100％价值的违约金。</w:t>
      </w:r>
    </w:p>
    <w:p w14:paraId="7E3AAF24">
      <w:pPr>
        <w:spacing w:before="184" w:line="219" w:lineRule="auto"/>
        <w:ind w:left="495"/>
        <w:rPr>
          <w:rFonts w:ascii="宋体" w:hAnsi="宋体" w:eastAsia="宋体" w:cs="宋体"/>
          <w:sz w:val="24"/>
          <w:szCs w:val="24"/>
        </w:rPr>
      </w:pPr>
      <w:r>
        <w:rPr>
          <w:rFonts w:ascii="宋体" w:hAnsi="宋体" w:eastAsia="宋体" w:cs="宋体"/>
          <w:spacing w:val="-3"/>
          <w:sz w:val="24"/>
          <w:szCs w:val="24"/>
        </w:rPr>
        <w:t>（3）其他主材的采购</w:t>
      </w:r>
    </w:p>
    <w:p w14:paraId="26923813">
      <w:pPr>
        <w:spacing w:before="183" w:line="360" w:lineRule="auto"/>
        <w:ind w:left="14" w:firstLine="489"/>
        <w:rPr>
          <w:rFonts w:ascii="宋体" w:hAnsi="宋体" w:eastAsia="宋体" w:cs="宋体"/>
          <w:sz w:val="24"/>
          <w:szCs w:val="24"/>
        </w:rPr>
      </w:pPr>
      <w:r>
        <w:rPr>
          <w:rFonts w:ascii="宋体" w:hAnsi="宋体" w:eastAsia="宋体" w:cs="宋体"/>
          <w:spacing w:val="3"/>
          <w:sz w:val="24"/>
          <w:szCs w:val="24"/>
        </w:rPr>
        <w:t>除统一供应材料以外的主材，承包人可自行决定采购方式。在开始采购</w:t>
      </w:r>
      <w:r>
        <w:rPr>
          <w:rFonts w:ascii="宋体" w:hAnsi="宋体" w:eastAsia="宋体" w:cs="宋体"/>
          <w:spacing w:val="2"/>
          <w:sz w:val="24"/>
          <w:szCs w:val="24"/>
        </w:rPr>
        <w:t>前至少</w:t>
      </w:r>
      <w:r>
        <w:rPr>
          <w:rFonts w:ascii="宋体" w:hAnsi="宋体" w:eastAsia="宋体" w:cs="宋体"/>
          <w:spacing w:val="-56"/>
          <w:sz w:val="24"/>
          <w:szCs w:val="24"/>
        </w:rPr>
        <w:t xml:space="preserve"> </w:t>
      </w:r>
      <w:r>
        <w:rPr>
          <w:rFonts w:ascii="宋体" w:hAnsi="宋体" w:eastAsia="宋体" w:cs="宋体"/>
          <w:spacing w:val="2"/>
          <w:sz w:val="24"/>
          <w:szCs w:val="24"/>
        </w:rPr>
        <w:t>28</w:t>
      </w:r>
      <w:r>
        <w:rPr>
          <w:rFonts w:ascii="宋体" w:hAnsi="宋体" w:eastAsia="宋体" w:cs="宋体"/>
          <w:spacing w:val="-1"/>
          <w:sz w:val="24"/>
          <w:szCs w:val="24"/>
        </w:rPr>
        <w:t>天，承包人应将采购方案报监理人审批，并严格执行发包人</w:t>
      </w:r>
      <w:r>
        <w:rPr>
          <w:rFonts w:ascii="宋体" w:hAnsi="宋体" w:eastAsia="宋体" w:cs="宋体"/>
          <w:spacing w:val="-2"/>
          <w:sz w:val="24"/>
          <w:szCs w:val="24"/>
        </w:rPr>
        <w:t>有关材料管理的各项要求。</w:t>
      </w:r>
    </w:p>
    <w:p w14:paraId="03958449">
      <w:pPr>
        <w:spacing w:before="1" w:line="218" w:lineRule="auto"/>
        <w:ind w:left="495"/>
        <w:rPr>
          <w:rFonts w:ascii="宋体" w:hAnsi="宋体" w:eastAsia="宋体" w:cs="宋体"/>
          <w:sz w:val="24"/>
          <w:szCs w:val="24"/>
        </w:rPr>
      </w:pPr>
      <w:r>
        <w:rPr>
          <w:rFonts w:ascii="宋体" w:hAnsi="宋体" w:eastAsia="宋体" w:cs="宋体"/>
          <w:spacing w:val="-3"/>
          <w:sz w:val="24"/>
          <w:szCs w:val="24"/>
        </w:rPr>
        <w:t>（4）工程地材的采购</w:t>
      </w:r>
    </w:p>
    <w:p w14:paraId="7F192A20">
      <w:pPr>
        <w:spacing w:before="183" w:line="360" w:lineRule="auto"/>
        <w:ind w:left="10" w:right="12" w:firstLine="478"/>
        <w:rPr>
          <w:rFonts w:ascii="宋体" w:hAnsi="宋体" w:eastAsia="宋体" w:cs="宋体"/>
          <w:sz w:val="24"/>
          <w:szCs w:val="24"/>
        </w:rPr>
      </w:pPr>
      <w:r>
        <w:rPr>
          <w:rFonts w:ascii="宋体" w:hAnsi="宋体" w:eastAsia="宋体" w:cs="宋体"/>
          <w:spacing w:val="-6"/>
          <w:sz w:val="24"/>
          <w:szCs w:val="24"/>
        </w:rPr>
        <w:t>对于工程施工所需地材（碎石、砂等</w:t>
      </w:r>
      <w:r>
        <w:rPr>
          <w:rFonts w:ascii="宋体" w:hAnsi="宋体" w:eastAsia="宋体" w:cs="宋体"/>
          <w:spacing w:val="-5"/>
          <w:sz w:val="24"/>
          <w:szCs w:val="24"/>
        </w:rPr>
        <w:t>）</w:t>
      </w:r>
      <w:r>
        <w:rPr>
          <w:rFonts w:ascii="宋体" w:hAnsi="宋体" w:eastAsia="宋体" w:cs="宋体"/>
          <w:spacing w:val="37"/>
          <w:sz w:val="24"/>
          <w:szCs w:val="24"/>
        </w:rPr>
        <w:t xml:space="preserve"> </w:t>
      </w:r>
      <w:r>
        <w:rPr>
          <w:rFonts w:ascii="宋体" w:hAnsi="宋体" w:eastAsia="宋体" w:cs="宋体"/>
          <w:spacing w:val="-5"/>
          <w:sz w:val="24"/>
          <w:szCs w:val="24"/>
        </w:rPr>
        <w:t>，</w:t>
      </w:r>
      <w:r>
        <w:rPr>
          <w:rFonts w:ascii="宋体" w:hAnsi="宋体" w:eastAsia="宋体" w:cs="宋体"/>
          <w:spacing w:val="-6"/>
          <w:sz w:val="24"/>
          <w:szCs w:val="24"/>
        </w:rPr>
        <w:t>承包人可自行决定采购方式。在主要地材</w:t>
      </w:r>
      <w:r>
        <w:rPr>
          <w:rFonts w:ascii="宋体" w:hAnsi="宋体" w:eastAsia="宋体" w:cs="宋体"/>
          <w:spacing w:val="1"/>
          <w:sz w:val="24"/>
          <w:szCs w:val="24"/>
        </w:rPr>
        <w:t>开始采购前至少</w:t>
      </w:r>
      <w:r>
        <w:rPr>
          <w:rFonts w:ascii="宋体" w:hAnsi="宋体" w:eastAsia="宋体" w:cs="宋体"/>
          <w:spacing w:val="-43"/>
          <w:sz w:val="24"/>
          <w:szCs w:val="24"/>
        </w:rPr>
        <w:t xml:space="preserve"> </w:t>
      </w:r>
      <w:r>
        <w:rPr>
          <w:rFonts w:ascii="宋体" w:hAnsi="宋体" w:eastAsia="宋体" w:cs="宋体"/>
          <w:spacing w:val="1"/>
          <w:sz w:val="24"/>
          <w:szCs w:val="24"/>
        </w:rPr>
        <w:t>28</w:t>
      </w:r>
      <w:r>
        <w:rPr>
          <w:rFonts w:ascii="宋体" w:hAnsi="宋体" w:eastAsia="宋体" w:cs="宋体"/>
          <w:spacing w:val="-45"/>
          <w:sz w:val="24"/>
          <w:szCs w:val="24"/>
        </w:rPr>
        <w:t xml:space="preserve"> </w:t>
      </w:r>
      <w:r>
        <w:rPr>
          <w:rFonts w:ascii="宋体" w:hAnsi="宋体" w:eastAsia="宋体" w:cs="宋体"/>
          <w:spacing w:val="1"/>
          <w:sz w:val="24"/>
          <w:szCs w:val="24"/>
        </w:rPr>
        <w:t>天，承包人应将采购方案</w:t>
      </w:r>
      <w:r>
        <w:rPr>
          <w:rFonts w:ascii="宋体" w:hAnsi="宋体" w:eastAsia="宋体" w:cs="宋体"/>
          <w:sz w:val="24"/>
          <w:szCs w:val="24"/>
        </w:rPr>
        <w:t>（包括采购地材的品种和数量、供应商的</w:t>
      </w:r>
      <w:r>
        <w:rPr>
          <w:rFonts w:ascii="宋体" w:hAnsi="宋体" w:eastAsia="宋体" w:cs="宋体"/>
          <w:spacing w:val="-1"/>
          <w:sz w:val="24"/>
          <w:szCs w:val="24"/>
        </w:rPr>
        <w:t>名单、选择该供应商的理由、质量证明文件、供</w:t>
      </w:r>
      <w:r>
        <w:rPr>
          <w:rFonts w:ascii="宋体" w:hAnsi="宋体" w:eastAsia="宋体" w:cs="宋体"/>
          <w:spacing w:val="-2"/>
          <w:sz w:val="24"/>
          <w:szCs w:val="24"/>
        </w:rPr>
        <w:t>货计划等）报监理人审批。</w:t>
      </w:r>
    </w:p>
    <w:p w14:paraId="13333459">
      <w:pPr>
        <w:spacing w:before="2" w:line="359" w:lineRule="auto"/>
        <w:ind w:left="8" w:right="18" w:firstLine="480"/>
        <w:rPr>
          <w:rFonts w:ascii="宋体" w:hAnsi="宋体" w:eastAsia="宋体" w:cs="宋体"/>
          <w:sz w:val="24"/>
          <w:szCs w:val="24"/>
        </w:rPr>
      </w:pPr>
      <w:r>
        <w:rPr>
          <w:rFonts w:ascii="宋体" w:hAnsi="宋体" w:eastAsia="宋体" w:cs="宋体"/>
          <w:spacing w:val="-2"/>
          <w:sz w:val="24"/>
          <w:szCs w:val="24"/>
        </w:rPr>
        <w:t>承包人必须通过合法的方式获取石源和砂源，应确保材料的合法来源及品质要求，对材料的运输方式、供应强度及运距等自行测算并承担风险。</w:t>
      </w:r>
    </w:p>
    <w:p w14:paraId="418EB5FC">
      <w:pPr>
        <w:spacing w:before="1" w:line="218" w:lineRule="auto"/>
        <w:ind w:left="495"/>
        <w:rPr>
          <w:rFonts w:ascii="宋体" w:hAnsi="宋体" w:eastAsia="宋体" w:cs="宋体"/>
          <w:sz w:val="24"/>
          <w:szCs w:val="24"/>
        </w:rPr>
      </w:pPr>
      <w:r>
        <w:rPr>
          <w:rFonts w:ascii="宋体" w:hAnsi="宋体" w:eastAsia="宋体" w:cs="宋体"/>
          <w:spacing w:val="-2"/>
          <w:sz w:val="24"/>
          <w:szCs w:val="24"/>
        </w:rPr>
        <w:t>（5）其他材料和工程设备的采购</w:t>
      </w:r>
    </w:p>
    <w:p w14:paraId="2D2244F9">
      <w:pPr>
        <w:spacing w:before="183" w:line="360" w:lineRule="auto"/>
        <w:ind w:left="11" w:right="11" w:firstLine="492"/>
        <w:rPr>
          <w:rFonts w:ascii="宋体" w:hAnsi="宋体" w:eastAsia="宋体" w:cs="宋体"/>
          <w:sz w:val="24"/>
          <w:szCs w:val="24"/>
        </w:rPr>
      </w:pPr>
      <w:r>
        <w:rPr>
          <w:rFonts w:ascii="宋体" w:hAnsi="宋体" w:eastAsia="宋体" w:cs="宋体"/>
          <w:sz w:val="24"/>
          <w:szCs w:val="24"/>
        </w:rPr>
        <w:t>除以上（1</w:t>
      </w:r>
      <w:r>
        <w:rPr>
          <w:rFonts w:ascii="宋体" w:hAnsi="宋体" w:eastAsia="宋体" w:cs="宋体"/>
          <w:spacing w:val="-24"/>
          <w:sz w:val="24"/>
          <w:szCs w:val="24"/>
        </w:rPr>
        <w:t>）～（</w:t>
      </w:r>
      <w:r>
        <w:rPr>
          <w:rFonts w:ascii="宋体" w:hAnsi="宋体" w:eastAsia="宋体" w:cs="宋体"/>
          <w:sz w:val="24"/>
          <w:szCs w:val="24"/>
        </w:rPr>
        <w:t>4）条之外的其他材料和工程设备，承包人应将选定的各项材料和</w:t>
      </w:r>
      <w:r>
        <w:rPr>
          <w:rFonts w:ascii="宋体" w:hAnsi="宋体" w:eastAsia="宋体" w:cs="宋体"/>
          <w:spacing w:val="-2"/>
          <w:sz w:val="24"/>
          <w:szCs w:val="24"/>
        </w:rPr>
        <w:t>工程设备的供应商及品种、规格、质量证明文件、数量和供货计划等报送监理人和发包</w:t>
      </w:r>
      <w:r>
        <w:rPr>
          <w:rFonts w:ascii="宋体" w:hAnsi="宋体" w:eastAsia="宋体" w:cs="宋体"/>
          <w:spacing w:val="-9"/>
          <w:sz w:val="24"/>
          <w:szCs w:val="24"/>
        </w:rPr>
        <w:t>人核备。</w:t>
      </w:r>
    </w:p>
    <w:p w14:paraId="2C48F934">
      <w:pPr>
        <w:spacing w:line="360" w:lineRule="auto"/>
        <w:ind w:left="23" w:right="24" w:firstLine="472"/>
        <w:rPr>
          <w:rFonts w:ascii="宋体" w:hAnsi="宋体" w:eastAsia="宋体" w:cs="宋体"/>
          <w:sz w:val="24"/>
          <w:szCs w:val="24"/>
        </w:rPr>
      </w:pPr>
      <w:r>
        <w:rPr>
          <w:rFonts w:ascii="宋体" w:hAnsi="宋体" w:eastAsia="宋体" w:cs="宋体"/>
          <w:spacing w:val="1"/>
          <w:sz w:val="24"/>
          <w:szCs w:val="24"/>
        </w:rPr>
        <w:t>（6）监理人和发包人对承包人采购材料和工程设备的审批、核备、监督等并不免</w:t>
      </w:r>
      <w:r>
        <w:rPr>
          <w:rFonts w:ascii="宋体" w:hAnsi="宋体" w:eastAsia="宋体" w:cs="宋体"/>
          <w:spacing w:val="-7"/>
          <w:sz w:val="24"/>
          <w:szCs w:val="24"/>
        </w:rPr>
        <w:t>除承包人的责任。</w:t>
      </w:r>
    </w:p>
    <w:p w14:paraId="629398F9">
      <w:pPr>
        <w:spacing w:line="360" w:lineRule="auto"/>
        <w:ind w:left="10" w:right="13" w:firstLine="485"/>
        <w:rPr>
          <w:rFonts w:ascii="宋体" w:hAnsi="宋体" w:eastAsia="宋体" w:cs="宋体"/>
          <w:sz w:val="24"/>
          <w:szCs w:val="24"/>
        </w:rPr>
      </w:pPr>
      <w:r>
        <w:rPr>
          <w:rFonts w:ascii="宋体" w:hAnsi="宋体" w:eastAsia="宋体" w:cs="宋体"/>
          <w:spacing w:val="1"/>
          <w:sz w:val="24"/>
          <w:szCs w:val="24"/>
        </w:rPr>
        <w:t>（7）如果承包人采购的材料或设备是进口的，则承包人应向监理人提供由中华人</w:t>
      </w:r>
      <w:r>
        <w:rPr>
          <w:rFonts w:ascii="宋体" w:hAnsi="宋体" w:eastAsia="宋体" w:cs="宋体"/>
          <w:spacing w:val="-2"/>
          <w:sz w:val="24"/>
          <w:szCs w:val="24"/>
        </w:rPr>
        <w:t>民共和国进出口商品检验检疫部门出具的检验证书，证明该材料或设备的质量、规格及</w:t>
      </w:r>
      <w:r>
        <w:rPr>
          <w:rFonts w:ascii="宋体" w:hAnsi="宋体" w:eastAsia="宋体" w:cs="宋体"/>
          <w:spacing w:val="-1"/>
          <w:sz w:val="24"/>
          <w:szCs w:val="24"/>
        </w:rPr>
        <w:t>其他指标符合设计及技术规范要求，否则发</w:t>
      </w:r>
      <w:r>
        <w:rPr>
          <w:rFonts w:ascii="宋体" w:hAnsi="宋体" w:eastAsia="宋体" w:cs="宋体"/>
          <w:spacing w:val="-2"/>
          <w:sz w:val="24"/>
          <w:szCs w:val="24"/>
        </w:rPr>
        <w:t>包人有权向承包人提出索赔。</w:t>
      </w:r>
    </w:p>
    <w:p w14:paraId="64592EB8">
      <w:pPr>
        <w:spacing w:line="360" w:lineRule="auto"/>
        <w:ind w:left="11" w:right="13" w:firstLine="484"/>
        <w:rPr>
          <w:rFonts w:ascii="宋体" w:hAnsi="宋体" w:eastAsia="宋体" w:cs="宋体"/>
          <w:sz w:val="24"/>
          <w:szCs w:val="24"/>
        </w:rPr>
      </w:pPr>
      <w:r>
        <w:rPr>
          <w:rFonts w:ascii="宋体" w:hAnsi="宋体" w:eastAsia="宋体" w:cs="宋体"/>
          <w:spacing w:val="1"/>
          <w:sz w:val="24"/>
          <w:szCs w:val="24"/>
        </w:rPr>
        <w:t>（8）为最大限度确保本合同工程的施工质量，满足工程施工机械化、自动化的要</w:t>
      </w:r>
      <w:r>
        <w:rPr>
          <w:rFonts w:ascii="宋体" w:hAnsi="宋体" w:eastAsia="宋体" w:cs="宋体"/>
          <w:spacing w:val="-7"/>
          <w:sz w:val="24"/>
          <w:szCs w:val="24"/>
        </w:rPr>
        <w:t>求，在合同履行过程中，发包人将结合国内桥梁、隧道等工程施工现状，</w:t>
      </w:r>
      <w:r>
        <w:rPr>
          <w:rFonts w:ascii="宋体" w:hAnsi="宋体" w:eastAsia="宋体" w:cs="宋体"/>
          <w:spacing w:val="85"/>
          <w:sz w:val="24"/>
          <w:szCs w:val="24"/>
        </w:rPr>
        <w:t xml:space="preserve"> </w:t>
      </w:r>
      <w:r>
        <w:rPr>
          <w:rFonts w:ascii="宋体" w:hAnsi="宋体" w:eastAsia="宋体" w:cs="宋体"/>
          <w:spacing w:val="-7"/>
          <w:sz w:val="24"/>
          <w:szCs w:val="24"/>
        </w:rPr>
        <w:t>以及工程实际</w:t>
      </w:r>
      <w:r>
        <w:rPr>
          <w:rFonts w:ascii="宋体" w:hAnsi="宋体" w:eastAsia="宋体" w:cs="宋体"/>
          <w:spacing w:val="-2"/>
          <w:sz w:val="24"/>
          <w:szCs w:val="24"/>
        </w:rPr>
        <w:t>需要，对部分施工流程或工艺等提出特殊的设备要求，由此所增加的设备购置费或租赁费用已包含在合同总价中，发包人不另行支付（除合同另有约定外）。</w:t>
      </w:r>
    </w:p>
    <w:p w14:paraId="33D9B027">
      <w:pPr>
        <w:spacing w:before="1" w:line="220" w:lineRule="auto"/>
        <w:ind w:left="490"/>
        <w:rPr>
          <w:rFonts w:ascii="宋体" w:hAnsi="宋体" w:eastAsia="宋体" w:cs="宋体"/>
          <w:sz w:val="24"/>
          <w:szCs w:val="24"/>
        </w:rPr>
      </w:pPr>
      <w:r>
        <w:rPr>
          <w:rFonts w:ascii="宋体" w:hAnsi="宋体" w:eastAsia="宋体" w:cs="宋体"/>
          <w:spacing w:val="-4"/>
          <w:sz w:val="24"/>
          <w:szCs w:val="24"/>
        </w:rPr>
        <w:t>增加</w:t>
      </w:r>
      <w:r>
        <w:rPr>
          <w:rFonts w:ascii="宋体" w:hAnsi="宋体" w:eastAsia="宋体" w:cs="宋体"/>
          <w:spacing w:val="20"/>
          <w:sz w:val="24"/>
          <w:szCs w:val="24"/>
        </w:rPr>
        <w:t xml:space="preserve"> </w:t>
      </w:r>
      <w:r>
        <w:rPr>
          <w:rFonts w:ascii="宋体" w:hAnsi="宋体" w:eastAsia="宋体" w:cs="宋体"/>
          <w:spacing w:val="-4"/>
          <w:sz w:val="24"/>
          <w:szCs w:val="24"/>
        </w:rPr>
        <w:t>5.1.3</w:t>
      </w:r>
      <w:r>
        <w:rPr>
          <w:rFonts w:ascii="宋体" w:hAnsi="宋体" w:eastAsia="宋体" w:cs="宋体"/>
          <w:spacing w:val="13"/>
          <w:sz w:val="24"/>
          <w:szCs w:val="24"/>
        </w:rPr>
        <w:t xml:space="preserve"> </w:t>
      </w:r>
      <w:r>
        <w:rPr>
          <w:rFonts w:ascii="宋体" w:hAnsi="宋体" w:eastAsia="宋体" w:cs="宋体"/>
          <w:spacing w:val="-4"/>
          <w:sz w:val="24"/>
          <w:szCs w:val="24"/>
        </w:rPr>
        <w:t>项</w:t>
      </w:r>
    </w:p>
    <w:p w14:paraId="632CD798">
      <w:pPr>
        <w:spacing w:before="181" w:line="219" w:lineRule="auto"/>
        <w:ind w:left="489"/>
        <w:rPr>
          <w:rFonts w:ascii="宋体" w:hAnsi="宋体" w:eastAsia="宋体" w:cs="宋体"/>
          <w:sz w:val="24"/>
          <w:szCs w:val="24"/>
        </w:rPr>
      </w:pPr>
      <w:r>
        <w:rPr>
          <w:rFonts w:ascii="宋体" w:hAnsi="宋体" w:eastAsia="宋体" w:cs="宋体"/>
          <w:spacing w:val="-1"/>
          <w:sz w:val="24"/>
          <w:szCs w:val="24"/>
        </w:rPr>
        <w:t>承包人采购的材料应得到发包人和监理人的同意，</w:t>
      </w:r>
      <w:r>
        <w:rPr>
          <w:rFonts w:ascii="宋体" w:hAnsi="宋体" w:eastAsia="宋体" w:cs="宋体"/>
          <w:spacing w:val="-2"/>
          <w:sz w:val="24"/>
          <w:szCs w:val="24"/>
        </w:rPr>
        <w:t>经检验合格后方可使用。</w:t>
      </w:r>
    </w:p>
    <w:p w14:paraId="53167FE7">
      <w:pPr>
        <w:spacing w:before="184" w:line="360" w:lineRule="auto"/>
        <w:ind w:left="11" w:right="13" w:firstLine="479"/>
        <w:rPr>
          <w:rFonts w:ascii="宋体" w:hAnsi="宋体" w:eastAsia="宋体" w:cs="宋体"/>
          <w:sz w:val="24"/>
          <w:szCs w:val="24"/>
        </w:rPr>
      </w:pPr>
      <w:r>
        <w:rPr>
          <w:rFonts w:ascii="宋体" w:hAnsi="宋体" w:eastAsia="宋体" w:cs="宋体"/>
          <w:spacing w:val="-2"/>
          <w:sz w:val="24"/>
          <w:szCs w:val="24"/>
        </w:rPr>
        <w:t>监理人征得发包人同意后，有权要求承包人更换不符合要求的料场，承包人必须无</w:t>
      </w:r>
      <w:r>
        <w:rPr>
          <w:rFonts w:ascii="宋体" w:hAnsi="宋体" w:eastAsia="宋体" w:cs="宋体"/>
          <w:spacing w:val="-5"/>
          <w:sz w:val="24"/>
          <w:szCs w:val="24"/>
        </w:rPr>
        <w:t>条件接受。承包人采购的材料设备与设计或标准要求不符时， 承包人应按监理人要求的</w:t>
      </w:r>
      <w:r>
        <w:rPr>
          <w:rFonts w:ascii="宋体" w:hAnsi="宋体" w:eastAsia="宋体" w:cs="宋体"/>
          <w:spacing w:val="-2"/>
          <w:sz w:val="24"/>
          <w:szCs w:val="24"/>
        </w:rPr>
        <w:t>时间运出施工场地，重新采购符合要求的产品，由此发生的费用均由承包人承担，引起</w:t>
      </w:r>
      <w:r>
        <w:rPr>
          <w:rFonts w:ascii="宋体" w:hAnsi="宋体" w:eastAsia="宋体" w:cs="宋体"/>
          <w:spacing w:val="-4"/>
          <w:sz w:val="24"/>
          <w:szCs w:val="24"/>
        </w:rPr>
        <w:t>的工期延误不予顺延工期。</w:t>
      </w:r>
    </w:p>
    <w:p w14:paraId="072BCF59">
      <w:pPr>
        <w:pStyle w:val="2"/>
        <w:spacing w:line="267" w:lineRule="auto"/>
        <w:ind w:firstLine="464" w:firstLineChars="200"/>
      </w:pPr>
      <w:r>
        <w:rPr>
          <w:rFonts w:ascii="宋体" w:hAnsi="宋体" w:eastAsia="宋体" w:cs="宋体"/>
          <w:spacing w:val="-4"/>
          <w:sz w:val="24"/>
          <w:szCs w:val="24"/>
        </w:rPr>
        <w:t>本款补充第</w:t>
      </w:r>
      <w:r>
        <w:rPr>
          <w:rFonts w:ascii="宋体" w:hAnsi="宋体" w:eastAsia="宋体" w:cs="宋体"/>
          <w:spacing w:val="-34"/>
          <w:sz w:val="24"/>
          <w:szCs w:val="24"/>
        </w:rPr>
        <w:t xml:space="preserve"> </w:t>
      </w:r>
      <w:r>
        <w:rPr>
          <w:rFonts w:ascii="宋体" w:hAnsi="宋体" w:eastAsia="宋体" w:cs="宋体"/>
          <w:spacing w:val="-4"/>
          <w:sz w:val="24"/>
          <w:szCs w:val="24"/>
        </w:rPr>
        <w:t>5.1.4～5.1.8</w:t>
      </w:r>
      <w:r>
        <w:rPr>
          <w:rFonts w:ascii="宋体" w:hAnsi="宋体" w:eastAsia="宋体" w:cs="宋体"/>
          <w:spacing w:val="-47"/>
          <w:sz w:val="24"/>
          <w:szCs w:val="24"/>
        </w:rPr>
        <w:t xml:space="preserve"> </w:t>
      </w:r>
      <w:r>
        <w:rPr>
          <w:rFonts w:ascii="宋体" w:hAnsi="宋体" w:eastAsia="宋体" w:cs="宋体"/>
          <w:spacing w:val="-4"/>
          <w:sz w:val="24"/>
          <w:szCs w:val="24"/>
        </w:rPr>
        <w:t>项：</w:t>
      </w:r>
    </w:p>
    <w:p w14:paraId="284230E4">
      <w:pPr>
        <w:spacing w:before="78" w:line="219" w:lineRule="auto"/>
        <w:ind w:left="494"/>
        <w:rPr>
          <w:rFonts w:ascii="宋体" w:hAnsi="宋体" w:eastAsia="宋体" w:cs="宋体"/>
          <w:sz w:val="24"/>
          <w:szCs w:val="24"/>
        </w:rPr>
      </w:pPr>
      <w:r>
        <w:rPr>
          <w:rFonts w:ascii="宋体" w:hAnsi="宋体" w:eastAsia="宋体" w:cs="宋体"/>
          <w:spacing w:val="-3"/>
          <w:sz w:val="24"/>
          <w:szCs w:val="24"/>
        </w:rPr>
        <w:t>5.1.4</w:t>
      </w:r>
      <w:r>
        <w:rPr>
          <w:rFonts w:ascii="宋体" w:hAnsi="宋体" w:eastAsia="宋体" w:cs="宋体"/>
          <w:spacing w:val="44"/>
          <w:sz w:val="24"/>
          <w:szCs w:val="24"/>
        </w:rPr>
        <w:t xml:space="preserve"> </w:t>
      </w:r>
      <w:r>
        <w:rPr>
          <w:rFonts w:ascii="宋体" w:hAnsi="宋体" w:eastAsia="宋体" w:cs="宋体"/>
          <w:spacing w:val="-3"/>
          <w:sz w:val="24"/>
          <w:szCs w:val="24"/>
        </w:rPr>
        <w:t>甲控乙购材料和工程设备的采购</w:t>
      </w:r>
    </w:p>
    <w:p w14:paraId="7BAFD641">
      <w:pPr>
        <w:spacing w:before="183" w:line="360" w:lineRule="auto"/>
        <w:ind w:left="9" w:firstLine="482"/>
        <w:rPr>
          <w:rFonts w:ascii="宋体" w:hAnsi="宋体" w:eastAsia="宋体" w:cs="宋体"/>
          <w:sz w:val="24"/>
          <w:szCs w:val="24"/>
        </w:rPr>
      </w:pPr>
      <w:r>
        <w:rPr>
          <w:rFonts w:ascii="宋体" w:hAnsi="宋体" w:eastAsia="宋体" w:cs="宋体"/>
          <w:spacing w:val="-6"/>
          <w:sz w:val="24"/>
          <w:szCs w:val="24"/>
        </w:rPr>
        <w:t>为确保本项目的建设质量，统一材料品牌、</w:t>
      </w:r>
      <w:r>
        <w:rPr>
          <w:rFonts w:ascii="宋体" w:hAnsi="宋体" w:eastAsia="宋体" w:cs="宋体"/>
          <w:spacing w:val="-7"/>
          <w:sz w:val="24"/>
          <w:szCs w:val="24"/>
        </w:rPr>
        <w:t>规格及降低材料采购成本，</w:t>
      </w:r>
      <w:r>
        <w:rPr>
          <w:rFonts w:ascii="宋体" w:hAnsi="宋体" w:eastAsia="宋体" w:cs="宋体"/>
          <w:spacing w:val="51"/>
          <w:sz w:val="24"/>
          <w:szCs w:val="24"/>
        </w:rPr>
        <w:t xml:space="preserve"> </w:t>
      </w:r>
      <w:r>
        <w:rPr>
          <w:rFonts w:ascii="宋体" w:hAnsi="宋体" w:eastAsia="宋体" w:cs="宋体"/>
          <w:spacing w:val="-7"/>
          <w:sz w:val="24"/>
          <w:szCs w:val="24"/>
        </w:rPr>
        <w:t>发包人按照技术规范、建设项目管理制度的规定，</w:t>
      </w:r>
      <w:r>
        <w:rPr>
          <w:rFonts w:ascii="宋体" w:hAnsi="宋体" w:eastAsia="宋体" w:cs="宋体"/>
          <w:spacing w:val="-41"/>
          <w:sz w:val="24"/>
          <w:szCs w:val="24"/>
        </w:rPr>
        <w:t xml:space="preserve"> </w:t>
      </w:r>
      <w:r>
        <w:rPr>
          <w:rFonts w:ascii="宋体" w:hAnsi="宋体" w:eastAsia="宋体" w:cs="宋体"/>
          <w:spacing w:val="-7"/>
          <w:sz w:val="24"/>
          <w:szCs w:val="24"/>
        </w:rPr>
        <w:t>对部</w:t>
      </w:r>
      <w:r>
        <w:rPr>
          <w:rFonts w:ascii="宋体" w:hAnsi="宋体" w:eastAsia="宋体" w:cs="宋体"/>
          <w:spacing w:val="-8"/>
          <w:sz w:val="24"/>
          <w:szCs w:val="24"/>
        </w:rPr>
        <w:t>分材料和工程设备采购的方法、质量、成本、</w:t>
      </w:r>
      <w:r>
        <w:rPr>
          <w:rFonts w:ascii="宋体" w:hAnsi="宋体" w:eastAsia="宋体" w:cs="宋体"/>
          <w:spacing w:val="-2"/>
          <w:sz w:val="24"/>
          <w:szCs w:val="24"/>
        </w:rPr>
        <w:t>供应情况、物资管理状况等进行监督管理，即“甲控乙购”材料。具体分为：</w:t>
      </w:r>
    </w:p>
    <w:p w14:paraId="5B74C3B3">
      <w:pPr>
        <w:spacing w:line="360" w:lineRule="auto"/>
        <w:ind w:left="13" w:right="85" w:firstLine="482"/>
        <w:rPr>
          <w:rFonts w:ascii="宋体" w:hAnsi="宋体" w:eastAsia="宋体" w:cs="宋体"/>
          <w:sz w:val="24"/>
          <w:szCs w:val="24"/>
        </w:rPr>
      </w:pPr>
      <w:r>
        <w:rPr>
          <w:rFonts w:ascii="宋体" w:hAnsi="宋体" w:eastAsia="宋体" w:cs="宋体"/>
          <w:spacing w:val="3"/>
          <w:sz w:val="24"/>
          <w:szCs w:val="24"/>
        </w:rPr>
        <w:t>（1）I</w:t>
      </w:r>
      <w:r>
        <w:rPr>
          <w:rFonts w:ascii="宋体" w:hAnsi="宋体" w:eastAsia="宋体" w:cs="宋体"/>
          <w:spacing w:val="-18"/>
          <w:sz w:val="24"/>
          <w:szCs w:val="24"/>
        </w:rPr>
        <w:t xml:space="preserve"> </w:t>
      </w:r>
      <w:r>
        <w:rPr>
          <w:rFonts w:ascii="宋体" w:hAnsi="宋体" w:eastAsia="宋体" w:cs="宋体"/>
          <w:spacing w:val="3"/>
          <w:sz w:val="24"/>
          <w:szCs w:val="24"/>
        </w:rPr>
        <w:t>类材料：包括钢筋、水泥、钢绞线、沥青。该部分材料管理按照第</w:t>
      </w:r>
      <w:r>
        <w:rPr>
          <w:rFonts w:ascii="宋体" w:hAnsi="宋体" w:eastAsia="宋体" w:cs="宋体"/>
          <w:spacing w:val="-41"/>
          <w:sz w:val="24"/>
          <w:szCs w:val="24"/>
        </w:rPr>
        <w:t xml:space="preserve"> </w:t>
      </w:r>
      <w:r>
        <w:rPr>
          <w:rFonts w:ascii="宋体" w:hAnsi="宋体" w:eastAsia="宋体" w:cs="宋体"/>
          <w:spacing w:val="3"/>
          <w:sz w:val="24"/>
          <w:szCs w:val="24"/>
        </w:rPr>
        <w:t>5.1.5</w:t>
      </w:r>
      <w:r>
        <w:rPr>
          <w:rFonts w:ascii="宋体" w:hAnsi="宋体" w:eastAsia="宋体" w:cs="宋体"/>
          <w:spacing w:val="-10"/>
          <w:sz w:val="24"/>
          <w:szCs w:val="24"/>
        </w:rPr>
        <w:t>项执行。</w:t>
      </w:r>
    </w:p>
    <w:p w14:paraId="5ECA1E5E">
      <w:pPr>
        <w:spacing w:before="5" w:line="359" w:lineRule="auto"/>
        <w:ind w:left="8" w:right="84" w:firstLine="487"/>
        <w:rPr>
          <w:rFonts w:ascii="宋体" w:hAnsi="宋体" w:eastAsia="宋体" w:cs="宋体"/>
          <w:sz w:val="24"/>
          <w:szCs w:val="24"/>
        </w:rPr>
      </w:pPr>
      <w:r>
        <w:rPr>
          <w:rFonts w:ascii="宋体" w:hAnsi="宋体" w:eastAsia="宋体" w:cs="宋体"/>
          <w:spacing w:val="-7"/>
          <w:sz w:val="24"/>
          <w:szCs w:val="24"/>
        </w:rPr>
        <w:t>（2）II</w:t>
      </w:r>
      <w:r>
        <w:rPr>
          <w:rFonts w:ascii="宋体" w:hAnsi="宋体" w:eastAsia="宋体" w:cs="宋体"/>
          <w:spacing w:val="-50"/>
          <w:sz w:val="24"/>
          <w:szCs w:val="24"/>
        </w:rPr>
        <w:t xml:space="preserve"> </w:t>
      </w:r>
      <w:r>
        <w:rPr>
          <w:rFonts w:ascii="宋体" w:hAnsi="宋体" w:eastAsia="宋体" w:cs="宋体"/>
          <w:spacing w:val="-7"/>
          <w:sz w:val="24"/>
          <w:szCs w:val="24"/>
        </w:rPr>
        <w:t>类材料：包括但不限于支座、锚具、伸缩缝、外加剂等材料，</w:t>
      </w:r>
      <w:r>
        <w:rPr>
          <w:rFonts w:ascii="宋体" w:hAnsi="宋体" w:eastAsia="宋体" w:cs="宋体"/>
          <w:spacing w:val="67"/>
          <w:sz w:val="24"/>
          <w:szCs w:val="24"/>
        </w:rPr>
        <w:t xml:space="preserve"> </w:t>
      </w:r>
      <w:r>
        <w:rPr>
          <w:rFonts w:ascii="宋体" w:hAnsi="宋体" w:eastAsia="宋体" w:cs="宋体"/>
          <w:spacing w:val="-8"/>
          <w:sz w:val="24"/>
          <w:szCs w:val="24"/>
        </w:rPr>
        <w:t>II</w:t>
      </w:r>
      <w:r>
        <w:rPr>
          <w:rFonts w:ascii="宋体" w:hAnsi="宋体" w:eastAsia="宋体" w:cs="宋体"/>
          <w:spacing w:val="-50"/>
          <w:sz w:val="24"/>
          <w:szCs w:val="24"/>
        </w:rPr>
        <w:t xml:space="preserve"> </w:t>
      </w:r>
      <w:r>
        <w:rPr>
          <w:rFonts w:ascii="宋体" w:hAnsi="宋体" w:eastAsia="宋体" w:cs="宋体"/>
          <w:spacing w:val="-8"/>
          <w:sz w:val="24"/>
          <w:szCs w:val="24"/>
        </w:rPr>
        <w:t>类材料的</w:t>
      </w:r>
      <w:r>
        <w:rPr>
          <w:rFonts w:ascii="宋体" w:hAnsi="宋体" w:eastAsia="宋体" w:cs="宋体"/>
          <w:spacing w:val="-5"/>
          <w:sz w:val="24"/>
          <w:szCs w:val="24"/>
        </w:rPr>
        <w:t>类别及要求详见发包人后续下发的管理办法。合同履行过程中， 发包人认为对本合同工</w:t>
      </w:r>
      <w:r>
        <w:rPr>
          <w:rFonts w:ascii="宋体" w:hAnsi="宋体" w:eastAsia="宋体" w:cs="宋体"/>
          <w:spacing w:val="-8"/>
          <w:sz w:val="24"/>
          <w:szCs w:val="24"/>
        </w:rPr>
        <w:t>程质量起到关键性作用，或后期维修、更换成本较高的其他材料或工程设备，将纳入“甲</w:t>
      </w:r>
      <w:r>
        <w:rPr>
          <w:rFonts w:ascii="宋体" w:hAnsi="宋体" w:eastAsia="宋体" w:cs="宋体"/>
          <w:spacing w:val="-2"/>
          <w:sz w:val="24"/>
          <w:szCs w:val="24"/>
        </w:rPr>
        <w:t>控乙购”进行管理。该部分材料管理按照第</w:t>
      </w:r>
      <w:r>
        <w:rPr>
          <w:rFonts w:ascii="宋体" w:hAnsi="宋体" w:eastAsia="宋体" w:cs="宋体"/>
          <w:spacing w:val="-46"/>
          <w:sz w:val="24"/>
          <w:szCs w:val="24"/>
        </w:rPr>
        <w:t xml:space="preserve"> </w:t>
      </w:r>
      <w:r>
        <w:rPr>
          <w:rFonts w:ascii="宋体" w:hAnsi="宋体" w:eastAsia="宋体" w:cs="宋体"/>
          <w:spacing w:val="-2"/>
          <w:sz w:val="24"/>
          <w:szCs w:val="24"/>
        </w:rPr>
        <w:t>5.1.6</w:t>
      </w:r>
      <w:r>
        <w:rPr>
          <w:rFonts w:ascii="宋体" w:hAnsi="宋体" w:eastAsia="宋体" w:cs="宋体"/>
          <w:spacing w:val="-47"/>
          <w:sz w:val="24"/>
          <w:szCs w:val="24"/>
        </w:rPr>
        <w:t xml:space="preserve"> </w:t>
      </w:r>
      <w:r>
        <w:rPr>
          <w:rFonts w:ascii="宋体" w:hAnsi="宋体" w:eastAsia="宋体" w:cs="宋体"/>
          <w:spacing w:val="-3"/>
          <w:sz w:val="24"/>
          <w:szCs w:val="24"/>
        </w:rPr>
        <w:t>项执行。</w:t>
      </w:r>
    </w:p>
    <w:p w14:paraId="6F7BD4E9">
      <w:pPr>
        <w:spacing w:before="2" w:line="359" w:lineRule="auto"/>
        <w:ind w:left="12" w:right="85" w:firstLine="477"/>
        <w:rPr>
          <w:rFonts w:ascii="宋体" w:hAnsi="宋体" w:eastAsia="宋体" w:cs="宋体"/>
          <w:sz w:val="24"/>
          <w:szCs w:val="24"/>
        </w:rPr>
      </w:pPr>
      <w:r>
        <w:rPr>
          <w:rFonts w:ascii="宋体" w:hAnsi="宋体" w:eastAsia="宋体" w:cs="宋体"/>
          <w:spacing w:val="-2"/>
          <w:sz w:val="24"/>
          <w:szCs w:val="24"/>
        </w:rPr>
        <w:t>承包人应严格按照发包人的要求，以及合同条款第</w:t>
      </w:r>
      <w:r>
        <w:rPr>
          <w:rFonts w:ascii="宋体" w:hAnsi="宋体" w:eastAsia="宋体" w:cs="宋体"/>
          <w:spacing w:val="-46"/>
          <w:sz w:val="24"/>
          <w:szCs w:val="24"/>
        </w:rPr>
        <w:t xml:space="preserve"> </w:t>
      </w:r>
      <w:r>
        <w:rPr>
          <w:rFonts w:ascii="宋体" w:hAnsi="宋体" w:eastAsia="宋体" w:cs="宋体"/>
          <w:spacing w:val="-2"/>
          <w:sz w:val="24"/>
          <w:szCs w:val="24"/>
        </w:rPr>
        <w:t>5.1</w:t>
      </w:r>
      <w:r>
        <w:rPr>
          <w:rFonts w:ascii="宋体" w:hAnsi="宋体" w:eastAsia="宋体" w:cs="宋体"/>
          <w:spacing w:val="-50"/>
          <w:sz w:val="24"/>
          <w:szCs w:val="24"/>
        </w:rPr>
        <w:t xml:space="preserve"> </w:t>
      </w:r>
      <w:r>
        <w:rPr>
          <w:rFonts w:ascii="宋体" w:hAnsi="宋体" w:eastAsia="宋体" w:cs="宋体"/>
          <w:spacing w:val="-2"/>
          <w:sz w:val="24"/>
          <w:szCs w:val="24"/>
        </w:rPr>
        <w:t>款、技</w:t>
      </w:r>
      <w:r>
        <w:rPr>
          <w:rFonts w:ascii="宋体" w:hAnsi="宋体" w:eastAsia="宋体" w:cs="宋体"/>
          <w:spacing w:val="-3"/>
          <w:sz w:val="24"/>
          <w:szCs w:val="24"/>
        </w:rPr>
        <w:t>术规范、建设项目管</w:t>
      </w:r>
      <w:r>
        <w:rPr>
          <w:rFonts w:ascii="宋体" w:hAnsi="宋体" w:eastAsia="宋体" w:cs="宋体"/>
          <w:spacing w:val="-2"/>
          <w:sz w:val="24"/>
          <w:szCs w:val="24"/>
        </w:rPr>
        <w:t>理制度的有关规定对“甲控乙购”材料和工程设备进行采购。</w:t>
      </w:r>
    </w:p>
    <w:p w14:paraId="1B62E305">
      <w:pPr>
        <w:spacing w:before="1" w:line="218" w:lineRule="auto"/>
        <w:ind w:left="494"/>
        <w:rPr>
          <w:rFonts w:ascii="宋体" w:hAnsi="宋体" w:eastAsia="宋体" w:cs="宋体"/>
          <w:sz w:val="24"/>
          <w:szCs w:val="24"/>
        </w:rPr>
      </w:pPr>
      <w:r>
        <w:rPr>
          <w:rFonts w:ascii="宋体" w:hAnsi="宋体" w:eastAsia="宋体" w:cs="宋体"/>
          <w:spacing w:val="-6"/>
          <w:sz w:val="24"/>
          <w:szCs w:val="24"/>
        </w:rPr>
        <w:t>5.1.5</w:t>
      </w:r>
      <w:r>
        <w:rPr>
          <w:rFonts w:ascii="宋体" w:hAnsi="宋体" w:eastAsia="宋体" w:cs="宋体"/>
          <w:spacing w:val="44"/>
          <w:sz w:val="24"/>
          <w:szCs w:val="24"/>
        </w:rPr>
        <w:t xml:space="preserve"> </w:t>
      </w:r>
      <w:r>
        <w:rPr>
          <w:rFonts w:ascii="宋体" w:hAnsi="宋体" w:eastAsia="宋体" w:cs="宋体"/>
          <w:spacing w:val="-6"/>
          <w:sz w:val="24"/>
          <w:szCs w:val="24"/>
        </w:rPr>
        <w:t>甲控乙购</w:t>
      </w:r>
      <w:r>
        <w:rPr>
          <w:rFonts w:ascii="宋体" w:hAnsi="宋体" w:eastAsia="宋体" w:cs="宋体"/>
          <w:spacing w:val="-37"/>
          <w:sz w:val="24"/>
          <w:szCs w:val="24"/>
        </w:rPr>
        <w:t xml:space="preserve"> </w:t>
      </w:r>
      <w:r>
        <w:rPr>
          <w:rFonts w:ascii="宋体" w:hAnsi="宋体" w:eastAsia="宋体" w:cs="宋体"/>
          <w:spacing w:val="-6"/>
          <w:sz w:val="24"/>
          <w:szCs w:val="24"/>
        </w:rPr>
        <w:t>I</w:t>
      </w:r>
      <w:r>
        <w:rPr>
          <w:rFonts w:ascii="宋体" w:hAnsi="宋体" w:eastAsia="宋体" w:cs="宋体"/>
          <w:spacing w:val="-51"/>
          <w:sz w:val="24"/>
          <w:szCs w:val="24"/>
        </w:rPr>
        <w:t xml:space="preserve"> </w:t>
      </w:r>
      <w:r>
        <w:rPr>
          <w:rFonts w:ascii="宋体" w:hAnsi="宋体" w:eastAsia="宋体" w:cs="宋体"/>
          <w:spacing w:val="-6"/>
          <w:sz w:val="24"/>
          <w:szCs w:val="24"/>
        </w:rPr>
        <w:t>类材料管理</w:t>
      </w:r>
    </w:p>
    <w:p w14:paraId="532016A3">
      <w:pPr>
        <w:spacing w:before="183" w:line="360" w:lineRule="auto"/>
        <w:ind w:left="7" w:right="53" w:firstLine="486"/>
        <w:jc w:val="both"/>
        <w:rPr>
          <w:rFonts w:ascii="宋体" w:hAnsi="宋体" w:eastAsia="宋体" w:cs="宋体"/>
          <w:sz w:val="24"/>
          <w:szCs w:val="24"/>
        </w:rPr>
      </w:pPr>
      <w:r>
        <w:rPr>
          <w:rFonts w:ascii="宋体" w:hAnsi="宋体" w:eastAsia="宋体" w:cs="宋体"/>
          <w:spacing w:val="-1"/>
          <w:sz w:val="24"/>
          <w:szCs w:val="24"/>
        </w:rPr>
        <w:t>5.1.5.1 为确保项目的建设质量，统一材料品牌、规格及降低采购成本，本项目</w:t>
      </w:r>
      <w:r>
        <w:rPr>
          <w:rFonts w:ascii="宋体" w:hAnsi="宋体" w:eastAsia="宋体" w:cs="宋体"/>
          <w:spacing w:val="-36"/>
          <w:sz w:val="24"/>
          <w:szCs w:val="24"/>
        </w:rPr>
        <w:t xml:space="preserve"> </w:t>
      </w:r>
      <w:r>
        <w:rPr>
          <w:rFonts w:ascii="宋体" w:hAnsi="宋体" w:eastAsia="宋体" w:cs="宋体"/>
          <w:spacing w:val="-1"/>
          <w:sz w:val="24"/>
          <w:szCs w:val="24"/>
        </w:rPr>
        <w:t>I</w:t>
      </w:r>
      <w:r>
        <w:rPr>
          <w:rFonts w:ascii="宋体" w:hAnsi="宋体" w:eastAsia="宋体" w:cs="宋体"/>
          <w:spacing w:val="-6"/>
          <w:sz w:val="24"/>
          <w:szCs w:val="24"/>
        </w:rPr>
        <w:t>类材料（详见附件九《甲控乙购</w:t>
      </w:r>
      <w:r>
        <w:rPr>
          <w:rFonts w:ascii="宋体" w:hAnsi="宋体" w:eastAsia="宋体" w:cs="宋体"/>
          <w:spacing w:val="-12"/>
          <w:sz w:val="24"/>
          <w:szCs w:val="24"/>
        </w:rPr>
        <w:t xml:space="preserve"> </w:t>
      </w:r>
      <w:r>
        <w:rPr>
          <w:rFonts w:ascii="宋体" w:hAnsi="宋体" w:eastAsia="宋体" w:cs="宋体"/>
          <w:spacing w:val="-6"/>
          <w:sz w:val="24"/>
          <w:szCs w:val="24"/>
        </w:rPr>
        <w:t>I</w:t>
      </w:r>
      <w:r>
        <w:rPr>
          <w:rFonts w:ascii="宋体" w:hAnsi="宋体" w:eastAsia="宋体" w:cs="宋体"/>
          <w:spacing w:val="-51"/>
          <w:sz w:val="24"/>
          <w:szCs w:val="24"/>
        </w:rPr>
        <w:t xml:space="preserve"> </w:t>
      </w:r>
      <w:r>
        <w:rPr>
          <w:rFonts w:ascii="宋体" w:hAnsi="宋体" w:eastAsia="宋体" w:cs="宋体"/>
          <w:spacing w:val="-6"/>
          <w:sz w:val="24"/>
          <w:szCs w:val="24"/>
        </w:rPr>
        <w:t>类材料一览表》） 将统一以公开招标方式选定材料供</w:t>
      </w:r>
      <w:r>
        <w:rPr>
          <w:rFonts w:ascii="宋体" w:hAnsi="宋体" w:eastAsia="宋体" w:cs="宋体"/>
          <w:spacing w:val="-1"/>
          <w:sz w:val="24"/>
          <w:szCs w:val="24"/>
        </w:rPr>
        <w:t>货人，具体组织由承包人推举一个参建单位</w:t>
      </w:r>
      <w:r>
        <w:rPr>
          <w:rFonts w:ascii="宋体" w:hAnsi="宋体" w:eastAsia="宋体" w:cs="宋体"/>
          <w:spacing w:val="-2"/>
          <w:sz w:val="24"/>
          <w:szCs w:val="24"/>
        </w:rPr>
        <w:t>牵头，联合其他承包人进行招标，其他合同</w:t>
      </w:r>
      <w:r>
        <w:rPr>
          <w:rFonts w:ascii="宋体" w:hAnsi="宋体" w:eastAsia="宋体" w:cs="宋体"/>
          <w:sz w:val="24"/>
          <w:szCs w:val="24"/>
        </w:rPr>
        <w:t>段承包人予以密切配合。统一公开招标完成</w:t>
      </w:r>
      <w:r>
        <w:rPr>
          <w:rFonts w:ascii="宋体" w:hAnsi="宋体" w:eastAsia="宋体" w:cs="宋体"/>
          <w:spacing w:val="-1"/>
          <w:sz w:val="24"/>
          <w:szCs w:val="24"/>
        </w:rPr>
        <w:t>前所需的</w:t>
      </w:r>
      <w:r>
        <w:rPr>
          <w:rFonts w:ascii="宋体" w:hAnsi="宋体" w:eastAsia="宋体" w:cs="宋体"/>
          <w:spacing w:val="-29"/>
          <w:sz w:val="24"/>
          <w:szCs w:val="24"/>
        </w:rPr>
        <w:t xml:space="preserve"> </w:t>
      </w:r>
      <w:r>
        <w:rPr>
          <w:rFonts w:ascii="宋体" w:hAnsi="宋体" w:eastAsia="宋体" w:cs="宋体"/>
          <w:spacing w:val="-1"/>
          <w:sz w:val="24"/>
          <w:szCs w:val="24"/>
        </w:rPr>
        <w:t>I</w:t>
      </w:r>
      <w:r>
        <w:rPr>
          <w:rFonts w:ascii="宋体" w:hAnsi="宋体" w:eastAsia="宋体" w:cs="宋体"/>
          <w:spacing w:val="-49"/>
          <w:sz w:val="24"/>
          <w:szCs w:val="24"/>
        </w:rPr>
        <w:t xml:space="preserve"> </w:t>
      </w:r>
      <w:r>
        <w:rPr>
          <w:rFonts w:ascii="宋体" w:hAnsi="宋体" w:eastAsia="宋体" w:cs="宋体"/>
          <w:spacing w:val="-1"/>
          <w:sz w:val="24"/>
          <w:szCs w:val="24"/>
        </w:rPr>
        <w:t>类材料由承包人按</w:t>
      </w:r>
      <w:r>
        <w:rPr>
          <w:rFonts w:ascii="宋体" w:hAnsi="宋体" w:eastAsia="宋体" w:cs="宋体"/>
          <w:spacing w:val="-33"/>
          <w:sz w:val="24"/>
          <w:szCs w:val="24"/>
        </w:rPr>
        <w:t xml:space="preserve"> </w:t>
      </w:r>
      <w:r>
        <w:rPr>
          <w:rFonts w:ascii="宋体" w:hAnsi="宋体" w:eastAsia="宋体" w:cs="宋体"/>
          <w:spacing w:val="-1"/>
          <w:sz w:val="24"/>
          <w:szCs w:val="24"/>
        </w:rPr>
        <w:t>II</w:t>
      </w:r>
      <w:r>
        <w:rPr>
          <w:rFonts w:ascii="宋体" w:hAnsi="宋体" w:eastAsia="宋体" w:cs="宋体"/>
          <w:spacing w:val="-49"/>
          <w:sz w:val="24"/>
          <w:szCs w:val="24"/>
        </w:rPr>
        <w:t xml:space="preserve"> </w:t>
      </w:r>
      <w:r>
        <w:rPr>
          <w:rFonts w:ascii="宋体" w:hAnsi="宋体" w:eastAsia="宋体" w:cs="宋体"/>
          <w:spacing w:val="-1"/>
          <w:sz w:val="24"/>
          <w:szCs w:val="24"/>
        </w:rPr>
        <w:t>类材料管理程序采购，承包人须将采购文件的主要内容（包括但不限于采购限价、调差方式等）</w:t>
      </w:r>
      <w:r>
        <w:rPr>
          <w:rFonts w:ascii="宋体" w:hAnsi="宋体" w:eastAsia="宋体" w:cs="宋体"/>
          <w:spacing w:val="-4"/>
          <w:sz w:val="24"/>
          <w:szCs w:val="24"/>
        </w:rPr>
        <w:t>报发包人批复后实施。</w:t>
      </w:r>
    </w:p>
    <w:p w14:paraId="3A7569CF">
      <w:pPr>
        <w:spacing w:line="360" w:lineRule="auto"/>
        <w:ind w:left="9" w:right="85" w:firstLine="480"/>
        <w:jc w:val="both"/>
        <w:rPr>
          <w:rFonts w:ascii="宋体" w:hAnsi="宋体" w:eastAsia="宋体" w:cs="宋体"/>
          <w:sz w:val="24"/>
          <w:szCs w:val="24"/>
        </w:rPr>
      </w:pPr>
      <w:r>
        <w:rPr>
          <w:rFonts w:ascii="宋体" w:hAnsi="宋体" w:eastAsia="宋体" w:cs="宋体"/>
          <w:spacing w:val="-2"/>
          <w:sz w:val="24"/>
          <w:szCs w:val="24"/>
        </w:rPr>
        <w:t>招标文件（含补遗书，如有）及最高投标限价应报发包人批准后实施，发包人具有</w:t>
      </w:r>
      <w:r>
        <w:rPr>
          <w:rFonts w:ascii="宋体" w:hAnsi="宋体" w:eastAsia="宋体" w:cs="宋体"/>
          <w:spacing w:val="-6"/>
          <w:sz w:val="24"/>
          <w:szCs w:val="24"/>
        </w:rPr>
        <w:t>决定权和否决权。招标过程中，</w:t>
      </w:r>
      <w:r>
        <w:rPr>
          <w:rFonts w:ascii="宋体" w:hAnsi="宋体" w:eastAsia="宋体" w:cs="宋体"/>
          <w:spacing w:val="49"/>
          <w:sz w:val="24"/>
          <w:szCs w:val="24"/>
        </w:rPr>
        <w:t xml:space="preserve"> </w:t>
      </w:r>
      <w:r>
        <w:rPr>
          <w:rFonts w:ascii="宋体" w:hAnsi="宋体" w:eastAsia="宋体" w:cs="宋体"/>
          <w:spacing w:val="-6"/>
          <w:sz w:val="24"/>
          <w:szCs w:val="24"/>
        </w:rPr>
        <w:t>承包人必须遵照有关法律法规的规定，发包人的任何审查批准、监督不免除承包人的责任。如牵头的承包人工作推进不力，</w:t>
      </w:r>
      <w:r>
        <w:rPr>
          <w:rFonts w:ascii="宋体" w:hAnsi="宋体" w:eastAsia="宋体" w:cs="宋体"/>
          <w:spacing w:val="51"/>
          <w:sz w:val="24"/>
          <w:szCs w:val="24"/>
        </w:rPr>
        <w:t xml:space="preserve"> </w:t>
      </w:r>
      <w:r>
        <w:rPr>
          <w:rFonts w:ascii="宋体" w:hAnsi="宋体" w:eastAsia="宋体" w:cs="宋体"/>
          <w:spacing w:val="-6"/>
          <w:sz w:val="24"/>
          <w:szCs w:val="24"/>
        </w:rPr>
        <w:t>发包人有权另</w:t>
      </w:r>
      <w:r>
        <w:rPr>
          <w:rFonts w:ascii="宋体" w:hAnsi="宋体" w:eastAsia="宋体" w:cs="宋体"/>
          <w:spacing w:val="-7"/>
          <w:sz w:val="24"/>
          <w:szCs w:val="24"/>
        </w:rPr>
        <w:t>行明</w:t>
      </w:r>
      <w:r>
        <w:rPr>
          <w:rFonts w:ascii="宋体" w:hAnsi="宋体" w:eastAsia="宋体" w:cs="宋体"/>
          <w:spacing w:val="-5"/>
          <w:sz w:val="24"/>
          <w:szCs w:val="24"/>
        </w:rPr>
        <w:t>确牵头承包人。招标发生的各项费用已包含在合同价格中， 由各承包人按最高投标限价</w:t>
      </w:r>
      <w:r>
        <w:rPr>
          <w:rFonts w:ascii="宋体" w:hAnsi="宋体" w:eastAsia="宋体" w:cs="宋体"/>
          <w:spacing w:val="-2"/>
          <w:sz w:val="24"/>
          <w:szCs w:val="24"/>
        </w:rPr>
        <w:t>中对应材料金额比例承担，发包人不另行支付。招标完成后由各标段承包人与供货人签</w:t>
      </w:r>
      <w:r>
        <w:rPr>
          <w:rFonts w:ascii="宋体" w:hAnsi="宋体" w:eastAsia="宋体" w:cs="宋体"/>
          <w:spacing w:val="-3"/>
          <w:sz w:val="24"/>
          <w:szCs w:val="24"/>
        </w:rPr>
        <w:t>订供货合同并报监理人、发包人备案。</w:t>
      </w:r>
    </w:p>
    <w:p w14:paraId="411FC1CF">
      <w:pPr>
        <w:spacing w:line="360" w:lineRule="auto"/>
        <w:ind w:left="13" w:firstLine="480"/>
        <w:rPr>
          <w:rFonts w:ascii="宋体" w:hAnsi="宋体" w:eastAsia="宋体" w:cs="宋体"/>
          <w:sz w:val="24"/>
          <w:szCs w:val="24"/>
        </w:rPr>
      </w:pPr>
      <w:r>
        <w:rPr>
          <w:rFonts w:ascii="宋体" w:hAnsi="宋体" w:eastAsia="宋体" w:cs="宋体"/>
          <w:spacing w:val="-2"/>
          <w:sz w:val="24"/>
          <w:szCs w:val="24"/>
        </w:rPr>
        <w:t>发包人在材料供应过程中参与协调，承包人应接受发包人的统一协调。承包人委托</w:t>
      </w:r>
      <w:r>
        <w:rPr>
          <w:rFonts w:ascii="宋体" w:hAnsi="宋体" w:eastAsia="宋体" w:cs="宋体"/>
          <w:spacing w:val="-6"/>
          <w:sz w:val="24"/>
          <w:szCs w:val="24"/>
        </w:rPr>
        <w:t>发包人按实际采购价（含税金及调差）在本合同工程款中进行扣款，统一支付给供货人。</w:t>
      </w:r>
    </w:p>
    <w:p w14:paraId="757064A4">
      <w:pPr>
        <w:spacing w:before="4" w:line="360" w:lineRule="auto"/>
        <w:ind w:left="9" w:right="85" w:firstLine="484"/>
        <w:jc w:val="both"/>
        <w:rPr>
          <w:rFonts w:ascii="宋体" w:hAnsi="宋体" w:eastAsia="宋体" w:cs="宋体"/>
          <w:sz w:val="24"/>
          <w:szCs w:val="24"/>
        </w:rPr>
      </w:pPr>
      <w:r>
        <w:rPr>
          <w:rFonts w:ascii="宋体" w:hAnsi="宋体" w:eastAsia="宋体" w:cs="宋体"/>
          <w:spacing w:val="-2"/>
          <w:sz w:val="24"/>
          <w:szCs w:val="24"/>
        </w:rPr>
        <w:t>5.1.5.2 除合同另有规定外，没有发包人的书面同意，承包人不得自行与公开招标</w:t>
      </w:r>
      <w:r>
        <w:rPr>
          <w:rFonts w:ascii="宋体" w:hAnsi="宋体" w:eastAsia="宋体" w:cs="宋体"/>
          <w:spacing w:val="-6"/>
          <w:sz w:val="24"/>
          <w:szCs w:val="24"/>
        </w:rPr>
        <w:t>确定的供货人以外的其他供货人采购第</w:t>
      </w:r>
      <w:r>
        <w:rPr>
          <w:rFonts w:ascii="宋体" w:hAnsi="宋体" w:eastAsia="宋体" w:cs="宋体"/>
          <w:spacing w:val="-41"/>
          <w:sz w:val="24"/>
          <w:szCs w:val="24"/>
        </w:rPr>
        <w:t xml:space="preserve"> </w:t>
      </w:r>
      <w:r>
        <w:rPr>
          <w:rFonts w:ascii="宋体" w:hAnsi="宋体" w:eastAsia="宋体" w:cs="宋体"/>
          <w:spacing w:val="-6"/>
          <w:sz w:val="24"/>
          <w:szCs w:val="24"/>
        </w:rPr>
        <w:t>5.1.5.1 目规定的材料、设备。 一经发现发包人</w:t>
      </w:r>
      <w:r>
        <w:rPr>
          <w:rFonts w:ascii="宋体" w:hAnsi="宋体" w:eastAsia="宋体" w:cs="宋体"/>
          <w:spacing w:val="-2"/>
          <w:sz w:val="24"/>
          <w:szCs w:val="24"/>
        </w:rPr>
        <w:t>有权拒收这些材料，发包人同时将按承包人自行采购材料金额（按暂扣价计，含销售货</w:t>
      </w:r>
    </w:p>
    <w:p w14:paraId="458DD5C0">
      <w:pPr>
        <w:spacing w:line="360" w:lineRule="auto"/>
        <w:rPr>
          <w:rFonts w:ascii="宋体" w:hAnsi="宋体" w:eastAsia="宋体" w:cs="宋体"/>
          <w:sz w:val="24"/>
          <w:szCs w:val="24"/>
        </w:rPr>
        <w:sectPr>
          <w:footerReference r:id="rId62" w:type="default"/>
          <w:pgSz w:w="11905" w:h="16840"/>
          <w:pgMar w:top="1182" w:right="1331" w:bottom="1171" w:left="1416" w:header="849" w:footer="937" w:gutter="0"/>
          <w:pgNumType w:fmt="decimal"/>
          <w:cols w:space="720" w:num="1"/>
        </w:sectPr>
      </w:pPr>
    </w:p>
    <w:p w14:paraId="20B5A066">
      <w:pPr>
        <w:pStyle w:val="2"/>
        <w:spacing w:line="268" w:lineRule="auto"/>
      </w:pPr>
    </w:p>
    <w:p w14:paraId="5E8F2982">
      <w:pPr>
        <w:spacing w:before="78" w:line="360" w:lineRule="auto"/>
        <w:ind w:left="7" w:right="85" w:firstLine="1"/>
        <w:jc w:val="both"/>
        <w:rPr>
          <w:rFonts w:ascii="宋体" w:hAnsi="宋体" w:eastAsia="宋体" w:cs="宋体"/>
          <w:sz w:val="24"/>
          <w:szCs w:val="24"/>
        </w:rPr>
      </w:pPr>
      <w:r>
        <w:rPr>
          <w:rFonts w:ascii="宋体" w:hAnsi="宋体" w:eastAsia="宋体" w:cs="宋体"/>
          <w:spacing w:val="-6"/>
          <w:sz w:val="24"/>
          <w:szCs w:val="24"/>
        </w:rPr>
        <w:t>物增值税）的双倍对该承包人课以违约金。同时，</w:t>
      </w:r>
      <w:r>
        <w:rPr>
          <w:rFonts w:ascii="宋体" w:hAnsi="宋体" w:eastAsia="宋体" w:cs="宋体"/>
          <w:spacing w:val="55"/>
          <w:sz w:val="24"/>
          <w:szCs w:val="24"/>
        </w:rPr>
        <w:t xml:space="preserve"> </w:t>
      </w:r>
      <w:r>
        <w:rPr>
          <w:rFonts w:ascii="宋体" w:hAnsi="宋体" w:eastAsia="宋体" w:cs="宋体"/>
          <w:spacing w:val="-6"/>
          <w:sz w:val="24"/>
          <w:szCs w:val="24"/>
        </w:rPr>
        <w:t>未经发包人书面同意，</w:t>
      </w:r>
      <w:r>
        <w:rPr>
          <w:rFonts w:ascii="宋体" w:hAnsi="宋体" w:eastAsia="宋体" w:cs="宋体"/>
          <w:spacing w:val="-7"/>
          <w:sz w:val="24"/>
          <w:szCs w:val="24"/>
        </w:rPr>
        <w:t>承包人如擅自</w:t>
      </w:r>
      <w:r>
        <w:rPr>
          <w:rFonts w:ascii="宋体" w:hAnsi="宋体" w:eastAsia="宋体" w:cs="宋体"/>
          <w:spacing w:val="-5"/>
          <w:sz w:val="24"/>
          <w:szCs w:val="24"/>
        </w:rPr>
        <w:t>将统一采购的材料、设备倒卖或使用在与本项目无关的工程中， 一经发现将按发生金额</w:t>
      </w:r>
      <w:r>
        <w:rPr>
          <w:rFonts w:ascii="宋体" w:hAnsi="宋体" w:eastAsia="宋体" w:cs="宋体"/>
          <w:spacing w:val="-2"/>
          <w:sz w:val="24"/>
          <w:szCs w:val="24"/>
        </w:rPr>
        <w:t>（按暂扣价计，含销售货物增值税）的双倍对承包人课以违约金。</w:t>
      </w:r>
    </w:p>
    <w:p w14:paraId="67490CFE">
      <w:pPr>
        <w:spacing w:line="360" w:lineRule="auto"/>
        <w:ind w:left="8" w:right="18" w:firstLine="485"/>
        <w:rPr>
          <w:rFonts w:ascii="宋体" w:hAnsi="宋体" w:eastAsia="宋体" w:cs="宋体"/>
          <w:sz w:val="24"/>
          <w:szCs w:val="24"/>
        </w:rPr>
      </w:pPr>
      <w:r>
        <w:rPr>
          <w:rFonts w:ascii="宋体" w:hAnsi="宋体" w:eastAsia="宋体" w:cs="宋体"/>
          <w:sz w:val="24"/>
          <w:szCs w:val="24"/>
        </w:rPr>
        <w:t>5.1.5.3 承包人使用</w:t>
      </w:r>
      <w:r>
        <w:rPr>
          <w:rFonts w:ascii="宋体" w:hAnsi="宋体" w:eastAsia="宋体" w:cs="宋体"/>
          <w:spacing w:val="-48"/>
          <w:sz w:val="24"/>
          <w:szCs w:val="24"/>
        </w:rPr>
        <w:t xml:space="preserve"> </w:t>
      </w:r>
      <w:r>
        <w:rPr>
          <w:rFonts w:ascii="宋体" w:hAnsi="宋体" w:eastAsia="宋体" w:cs="宋体"/>
          <w:sz w:val="24"/>
          <w:szCs w:val="24"/>
        </w:rPr>
        <w:t>C50</w:t>
      </w:r>
      <w:r>
        <w:rPr>
          <w:rFonts w:ascii="宋体" w:hAnsi="宋体" w:eastAsia="宋体" w:cs="宋体"/>
          <w:spacing w:val="-49"/>
          <w:sz w:val="24"/>
          <w:szCs w:val="24"/>
        </w:rPr>
        <w:t xml:space="preserve"> </w:t>
      </w:r>
      <w:r>
        <w:rPr>
          <w:rFonts w:ascii="宋体" w:hAnsi="宋体" w:eastAsia="宋体" w:cs="宋体"/>
          <w:sz w:val="24"/>
          <w:szCs w:val="24"/>
        </w:rPr>
        <w:t>及以上型号的混凝土配合比时，如需使用到</w:t>
      </w:r>
      <w:r>
        <w:rPr>
          <w:rFonts w:ascii="宋体" w:hAnsi="宋体" w:eastAsia="宋体" w:cs="宋体"/>
          <w:spacing w:val="-37"/>
          <w:sz w:val="24"/>
          <w:szCs w:val="24"/>
        </w:rPr>
        <w:t xml:space="preserve"> </w:t>
      </w:r>
      <w:r>
        <w:rPr>
          <w:rFonts w:ascii="宋体" w:hAnsi="宋体" w:eastAsia="宋体" w:cs="宋体"/>
          <w:sz w:val="24"/>
          <w:szCs w:val="24"/>
        </w:rPr>
        <w:t>52.5</w:t>
      </w:r>
      <w:r>
        <w:rPr>
          <w:rFonts w:ascii="宋体" w:hAnsi="宋体" w:eastAsia="宋体" w:cs="宋体"/>
          <w:spacing w:val="-48"/>
          <w:sz w:val="24"/>
          <w:szCs w:val="24"/>
        </w:rPr>
        <w:t xml:space="preserve"> </w:t>
      </w:r>
      <w:r>
        <w:rPr>
          <w:rFonts w:ascii="宋体" w:hAnsi="宋体" w:eastAsia="宋体" w:cs="宋体"/>
          <w:spacing w:val="-1"/>
          <w:sz w:val="24"/>
          <w:szCs w:val="24"/>
        </w:rPr>
        <w:t>及以上</w:t>
      </w:r>
      <w:r>
        <w:rPr>
          <w:rFonts w:ascii="宋体" w:hAnsi="宋体" w:eastAsia="宋体" w:cs="宋体"/>
          <w:spacing w:val="-3"/>
          <w:sz w:val="24"/>
          <w:szCs w:val="24"/>
        </w:rPr>
        <w:t>标号的水泥，应获得发包人同意。如未经发包人同意擅自使</w:t>
      </w:r>
      <w:r>
        <w:rPr>
          <w:rFonts w:ascii="宋体" w:hAnsi="宋体" w:eastAsia="宋体" w:cs="宋体"/>
          <w:spacing w:val="-4"/>
          <w:sz w:val="24"/>
          <w:szCs w:val="24"/>
        </w:rPr>
        <w:t>用</w:t>
      </w:r>
      <w:r>
        <w:rPr>
          <w:rFonts w:ascii="宋体" w:hAnsi="宋体" w:eastAsia="宋体" w:cs="宋体"/>
          <w:spacing w:val="-46"/>
          <w:sz w:val="24"/>
          <w:szCs w:val="24"/>
        </w:rPr>
        <w:t xml:space="preserve"> </w:t>
      </w:r>
      <w:r>
        <w:rPr>
          <w:rFonts w:ascii="宋体" w:hAnsi="宋体" w:eastAsia="宋体" w:cs="宋体"/>
          <w:spacing w:val="-4"/>
          <w:sz w:val="24"/>
          <w:szCs w:val="24"/>
        </w:rPr>
        <w:t>52.5</w:t>
      </w:r>
      <w:r>
        <w:rPr>
          <w:rFonts w:ascii="宋体" w:hAnsi="宋体" w:eastAsia="宋体" w:cs="宋体"/>
          <w:spacing w:val="-51"/>
          <w:sz w:val="24"/>
          <w:szCs w:val="24"/>
        </w:rPr>
        <w:t xml:space="preserve"> </w:t>
      </w:r>
      <w:r>
        <w:rPr>
          <w:rFonts w:ascii="宋体" w:hAnsi="宋体" w:eastAsia="宋体" w:cs="宋体"/>
          <w:spacing w:val="-4"/>
          <w:sz w:val="24"/>
          <w:szCs w:val="24"/>
        </w:rPr>
        <w:t>及以上标号的水泥，</w:t>
      </w:r>
      <w:r>
        <w:rPr>
          <w:rFonts w:ascii="宋体" w:hAnsi="宋体" w:eastAsia="宋体" w:cs="宋体"/>
          <w:spacing w:val="1"/>
          <w:sz w:val="24"/>
          <w:szCs w:val="24"/>
        </w:rPr>
        <w:t>视为承包人违约，发包人将按“擅自使用的水泥数量×（当期</w:t>
      </w:r>
      <w:r>
        <w:rPr>
          <w:rFonts w:ascii="宋体" w:hAnsi="宋体" w:eastAsia="宋体" w:cs="宋体"/>
          <w:spacing w:val="-42"/>
          <w:sz w:val="24"/>
          <w:szCs w:val="24"/>
        </w:rPr>
        <w:t xml:space="preserve"> </w:t>
      </w:r>
      <w:r>
        <w:rPr>
          <w:rFonts w:ascii="宋体" w:hAnsi="宋体" w:eastAsia="宋体" w:cs="宋体"/>
          <w:spacing w:val="1"/>
          <w:sz w:val="24"/>
          <w:szCs w:val="24"/>
        </w:rPr>
        <w:t>52.5</w:t>
      </w:r>
      <w:r>
        <w:rPr>
          <w:rFonts w:ascii="宋体" w:hAnsi="宋体" w:eastAsia="宋体" w:cs="宋体"/>
          <w:spacing w:val="-50"/>
          <w:sz w:val="24"/>
          <w:szCs w:val="24"/>
        </w:rPr>
        <w:t xml:space="preserve"> </w:t>
      </w:r>
      <w:r>
        <w:rPr>
          <w:rFonts w:ascii="宋体" w:hAnsi="宋体" w:eastAsia="宋体" w:cs="宋体"/>
          <w:sz w:val="24"/>
          <w:szCs w:val="24"/>
        </w:rPr>
        <w:t>及以上标号水泥单</w:t>
      </w:r>
      <w:r>
        <w:rPr>
          <w:rFonts w:ascii="宋体" w:hAnsi="宋体" w:eastAsia="宋体" w:cs="宋体"/>
          <w:spacing w:val="-3"/>
          <w:sz w:val="24"/>
          <w:szCs w:val="24"/>
        </w:rPr>
        <w:t>价信息价</w:t>
      </w:r>
      <w:r>
        <w:rPr>
          <w:rFonts w:hint="eastAsia" w:ascii="宋体" w:hAnsi="宋体" w:cs="宋体"/>
          <w:spacing w:val="-3"/>
          <w:sz w:val="24"/>
          <w:szCs w:val="24"/>
          <w:lang w:eastAsia="zh-CN"/>
        </w:rPr>
        <w:t>－</w:t>
      </w:r>
      <w:r>
        <w:rPr>
          <w:rFonts w:ascii="宋体" w:hAnsi="宋体" w:eastAsia="宋体" w:cs="宋体"/>
          <w:spacing w:val="-3"/>
          <w:sz w:val="24"/>
          <w:szCs w:val="24"/>
        </w:rPr>
        <w:t>当期</w:t>
      </w:r>
      <w:r>
        <w:rPr>
          <w:rFonts w:ascii="宋体" w:hAnsi="宋体" w:eastAsia="宋体" w:cs="宋体"/>
          <w:spacing w:val="-36"/>
          <w:sz w:val="24"/>
          <w:szCs w:val="24"/>
        </w:rPr>
        <w:t xml:space="preserve"> </w:t>
      </w:r>
      <w:r>
        <w:rPr>
          <w:rFonts w:ascii="宋体" w:hAnsi="宋体" w:eastAsia="宋体" w:cs="宋体"/>
          <w:spacing w:val="-3"/>
          <w:sz w:val="24"/>
          <w:szCs w:val="24"/>
        </w:rPr>
        <w:t>42.5</w:t>
      </w:r>
      <w:r>
        <w:rPr>
          <w:rFonts w:ascii="宋体" w:hAnsi="宋体" w:eastAsia="宋体" w:cs="宋体"/>
          <w:spacing w:val="-50"/>
          <w:sz w:val="24"/>
          <w:szCs w:val="24"/>
        </w:rPr>
        <w:t xml:space="preserve"> </w:t>
      </w:r>
      <w:r>
        <w:rPr>
          <w:rFonts w:ascii="宋体" w:hAnsi="宋体" w:eastAsia="宋体" w:cs="宋体"/>
          <w:spacing w:val="-3"/>
          <w:sz w:val="24"/>
          <w:szCs w:val="24"/>
        </w:rPr>
        <w:t>标号水泥单价信息价）</w:t>
      </w:r>
      <w:r>
        <w:rPr>
          <w:rFonts w:ascii="宋体" w:hAnsi="宋体" w:eastAsia="宋体" w:cs="宋体"/>
          <w:spacing w:val="-89"/>
          <w:sz w:val="24"/>
          <w:szCs w:val="24"/>
        </w:rPr>
        <w:t xml:space="preserve"> </w:t>
      </w:r>
      <w:r>
        <w:rPr>
          <w:rFonts w:ascii="宋体" w:hAnsi="宋体" w:eastAsia="宋体" w:cs="宋体"/>
          <w:spacing w:val="-3"/>
          <w:sz w:val="24"/>
          <w:szCs w:val="24"/>
        </w:rPr>
        <w:t>×（1+销售货物增值税）”计扣承包人违约</w:t>
      </w:r>
      <w:r>
        <w:rPr>
          <w:rFonts w:ascii="宋体" w:hAnsi="宋体" w:eastAsia="宋体" w:cs="宋体"/>
          <w:spacing w:val="-11"/>
          <w:sz w:val="24"/>
          <w:szCs w:val="24"/>
        </w:rPr>
        <w:t>金。</w:t>
      </w:r>
    </w:p>
    <w:p w14:paraId="320A1160">
      <w:pPr>
        <w:spacing w:line="360" w:lineRule="auto"/>
        <w:ind w:left="9" w:firstLine="484"/>
        <w:rPr>
          <w:rFonts w:ascii="宋体" w:hAnsi="宋体" w:eastAsia="宋体" w:cs="宋体"/>
          <w:sz w:val="24"/>
          <w:szCs w:val="24"/>
        </w:rPr>
      </w:pPr>
      <w:r>
        <w:rPr>
          <w:rFonts w:ascii="宋体" w:hAnsi="宋体" w:eastAsia="宋体" w:cs="宋体"/>
          <w:spacing w:val="-2"/>
          <w:sz w:val="24"/>
          <w:szCs w:val="24"/>
        </w:rPr>
        <w:t>5.1.5.4 承包人应无偿为供货人的供料运输提供满足使用要求的便道、码头和卸货</w:t>
      </w:r>
      <w:r>
        <w:rPr>
          <w:rFonts w:ascii="宋体" w:hAnsi="宋体" w:eastAsia="宋体" w:cs="宋体"/>
          <w:spacing w:val="-5"/>
          <w:sz w:val="24"/>
          <w:szCs w:val="24"/>
        </w:rPr>
        <w:t>作业场地。另外在运输途中连接县、村级公路</w:t>
      </w:r>
      <w:r>
        <w:rPr>
          <w:rFonts w:ascii="宋体" w:hAnsi="宋体" w:eastAsia="宋体" w:cs="宋体"/>
          <w:spacing w:val="-6"/>
          <w:sz w:val="24"/>
          <w:szCs w:val="24"/>
        </w:rPr>
        <w:t>和承包人工地的公路设施（如水闸、堤防、</w:t>
      </w:r>
      <w:r>
        <w:rPr>
          <w:rFonts w:ascii="宋体" w:hAnsi="宋体" w:eastAsia="宋体" w:cs="宋体"/>
          <w:spacing w:val="-9"/>
          <w:sz w:val="24"/>
          <w:szCs w:val="24"/>
        </w:rPr>
        <w:t>桥梁、涵洞等） 如需加固、修复，</w:t>
      </w:r>
      <w:r>
        <w:rPr>
          <w:rFonts w:ascii="宋体" w:hAnsi="宋体" w:eastAsia="宋体" w:cs="宋体"/>
          <w:spacing w:val="67"/>
          <w:sz w:val="24"/>
          <w:szCs w:val="24"/>
        </w:rPr>
        <w:t xml:space="preserve"> </w:t>
      </w:r>
      <w:r>
        <w:rPr>
          <w:rFonts w:ascii="宋体" w:hAnsi="宋体" w:eastAsia="宋体" w:cs="宋体"/>
          <w:spacing w:val="-9"/>
          <w:sz w:val="24"/>
          <w:szCs w:val="24"/>
        </w:rPr>
        <w:t>费用包含在承包人的</w:t>
      </w:r>
      <w:r>
        <w:rPr>
          <w:rFonts w:ascii="宋体" w:hAnsi="宋体" w:eastAsia="宋体" w:cs="宋体"/>
          <w:spacing w:val="-10"/>
          <w:sz w:val="24"/>
          <w:szCs w:val="24"/>
        </w:rPr>
        <w:t>施工便道综合单价中，由承包人</w:t>
      </w:r>
      <w:r>
        <w:rPr>
          <w:rFonts w:ascii="宋体" w:hAnsi="宋体" w:eastAsia="宋体" w:cs="宋体"/>
          <w:spacing w:val="-6"/>
          <w:sz w:val="24"/>
          <w:szCs w:val="24"/>
        </w:rPr>
        <w:t>承担。如因道路或场地原因造成材料无法运送而停工，</w:t>
      </w:r>
      <w:r>
        <w:rPr>
          <w:rFonts w:ascii="宋体" w:hAnsi="宋体" w:eastAsia="宋体" w:cs="宋体"/>
          <w:spacing w:val="49"/>
          <w:sz w:val="24"/>
          <w:szCs w:val="24"/>
        </w:rPr>
        <w:t xml:space="preserve"> </w:t>
      </w:r>
      <w:r>
        <w:rPr>
          <w:rFonts w:ascii="宋体" w:hAnsi="宋体" w:eastAsia="宋体" w:cs="宋体"/>
          <w:spacing w:val="-6"/>
          <w:sz w:val="24"/>
          <w:szCs w:val="24"/>
        </w:rPr>
        <w:t>损失由承包人承担。承包人负责</w:t>
      </w:r>
      <w:r>
        <w:rPr>
          <w:rFonts w:ascii="宋体" w:hAnsi="宋体" w:eastAsia="宋体" w:cs="宋体"/>
          <w:spacing w:val="-2"/>
          <w:sz w:val="24"/>
          <w:szCs w:val="24"/>
        </w:rPr>
        <w:t>卸料并负责将卸下的材料搬运至工地仓库或特定地点，由此所需的设备、人力和费用由承包人自行负责，承包人的仓库容量应满足一个月以上材料储存的需要。如因承包人不</w:t>
      </w:r>
      <w:r>
        <w:rPr>
          <w:rFonts w:ascii="宋体" w:hAnsi="宋体" w:eastAsia="宋体" w:cs="宋体"/>
          <w:spacing w:val="-1"/>
          <w:sz w:val="24"/>
          <w:szCs w:val="24"/>
        </w:rPr>
        <w:t>能提供直接到达工地现场的施工便道而导致材料需要二次转运的费用</w:t>
      </w:r>
      <w:r>
        <w:rPr>
          <w:rFonts w:ascii="宋体" w:hAnsi="宋体" w:eastAsia="宋体" w:cs="宋体"/>
          <w:spacing w:val="-2"/>
          <w:sz w:val="24"/>
          <w:szCs w:val="24"/>
        </w:rPr>
        <w:t>由承包人承担。</w:t>
      </w:r>
    </w:p>
    <w:p w14:paraId="01541F72">
      <w:pPr>
        <w:spacing w:line="219" w:lineRule="auto"/>
        <w:ind w:left="494"/>
        <w:rPr>
          <w:rFonts w:ascii="宋体" w:hAnsi="宋体" w:eastAsia="宋体" w:cs="宋体"/>
          <w:sz w:val="24"/>
          <w:szCs w:val="24"/>
        </w:rPr>
      </w:pPr>
      <w:r>
        <w:rPr>
          <w:rFonts w:ascii="宋体" w:hAnsi="宋体" w:eastAsia="宋体" w:cs="宋体"/>
          <w:spacing w:val="-1"/>
          <w:sz w:val="24"/>
          <w:szCs w:val="24"/>
        </w:rPr>
        <w:t>5.1.5.5 规定范围内的稳定性偏差和钢筋的</w:t>
      </w:r>
      <w:r>
        <w:rPr>
          <w:rFonts w:ascii="宋体" w:hAnsi="宋体" w:eastAsia="宋体" w:cs="宋体"/>
          <w:spacing w:val="-2"/>
          <w:sz w:val="24"/>
          <w:szCs w:val="24"/>
        </w:rPr>
        <w:t>正负公差风险由承包人承担。</w:t>
      </w:r>
    </w:p>
    <w:p w14:paraId="6B054AAD">
      <w:pPr>
        <w:spacing w:before="182" w:line="360" w:lineRule="auto"/>
        <w:ind w:left="7" w:right="85" w:firstLine="486"/>
        <w:rPr>
          <w:rFonts w:ascii="宋体" w:hAnsi="宋体" w:eastAsia="宋体" w:cs="宋体"/>
          <w:sz w:val="24"/>
          <w:szCs w:val="24"/>
        </w:rPr>
      </w:pPr>
      <w:r>
        <w:rPr>
          <w:rFonts w:ascii="宋体" w:hAnsi="宋体" w:eastAsia="宋体" w:cs="宋体"/>
          <w:spacing w:val="-2"/>
          <w:sz w:val="24"/>
          <w:szCs w:val="24"/>
        </w:rPr>
        <w:t>5.1.5.6 工程开工后，承包人应根据工程进度向发包人提交经监理人同意的统一采</w:t>
      </w:r>
      <w:r>
        <w:rPr>
          <w:rFonts w:ascii="宋体" w:hAnsi="宋体" w:eastAsia="宋体" w:cs="宋体"/>
          <w:spacing w:val="-1"/>
          <w:sz w:val="24"/>
          <w:szCs w:val="24"/>
        </w:rPr>
        <w:t>购材料的使用计划。具体操作程序按发包人</w:t>
      </w:r>
      <w:r>
        <w:rPr>
          <w:rFonts w:ascii="宋体" w:hAnsi="宋体" w:eastAsia="宋体" w:cs="宋体"/>
          <w:spacing w:val="-2"/>
          <w:sz w:val="24"/>
          <w:szCs w:val="24"/>
        </w:rPr>
        <w:t>制定、下发的各种管理手册及相关工程管理</w:t>
      </w:r>
      <w:r>
        <w:rPr>
          <w:rFonts w:ascii="宋体" w:hAnsi="宋体" w:eastAsia="宋体" w:cs="宋体"/>
          <w:spacing w:val="-7"/>
          <w:sz w:val="24"/>
          <w:szCs w:val="24"/>
        </w:rPr>
        <w:t>办法执行。</w:t>
      </w:r>
    </w:p>
    <w:p w14:paraId="52D58810">
      <w:pPr>
        <w:spacing w:before="3" w:line="360" w:lineRule="auto"/>
        <w:ind w:left="8" w:firstLine="485"/>
        <w:rPr>
          <w:rFonts w:ascii="宋体" w:hAnsi="宋体" w:eastAsia="宋体" w:cs="宋体"/>
          <w:sz w:val="24"/>
          <w:szCs w:val="24"/>
        </w:rPr>
      </w:pPr>
      <w:r>
        <w:rPr>
          <w:rFonts w:ascii="宋体" w:hAnsi="宋体" w:eastAsia="宋体" w:cs="宋体"/>
          <w:spacing w:val="-2"/>
          <w:sz w:val="24"/>
          <w:szCs w:val="24"/>
        </w:rPr>
        <w:t>5.1.5.7 在承包人所承担工程全部完工后，承包人对统一采购供应的水泥材料的使</w:t>
      </w:r>
      <w:r>
        <w:rPr>
          <w:rFonts w:ascii="宋体" w:hAnsi="宋体" w:eastAsia="宋体" w:cs="宋体"/>
          <w:spacing w:val="-4"/>
          <w:sz w:val="24"/>
          <w:szCs w:val="24"/>
        </w:rPr>
        <w:t>用，其数量应在承包人合同结算工程量中材料理论数量（定额用量）的</w:t>
      </w:r>
      <w:r>
        <w:rPr>
          <w:rFonts w:ascii="宋体" w:hAnsi="宋体" w:eastAsia="宋体" w:cs="宋体"/>
          <w:spacing w:val="-45"/>
          <w:sz w:val="24"/>
          <w:szCs w:val="24"/>
        </w:rPr>
        <w:t xml:space="preserve"> </w:t>
      </w:r>
      <w:r>
        <w:rPr>
          <w:rFonts w:ascii="宋体" w:hAnsi="宋体" w:eastAsia="宋体" w:cs="宋体"/>
          <w:spacing w:val="-4"/>
          <w:sz w:val="24"/>
          <w:szCs w:val="24"/>
        </w:rPr>
        <w:t>90%～110%之间。</w:t>
      </w:r>
      <w:r>
        <w:rPr>
          <w:rFonts w:ascii="宋体" w:hAnsi="宋体" w:eastAsia="宋体" w:cs="宋体"/>
          <w:sz w:val="24"/>
          <w:szCs w:val="24"/>
        </w:rPr>
        <w:t>若承包人使用数量少于理论数量的</w:t>
      </w:r>
      <w:r>
        <w:rPr>
          <w:rFonts w:ascii="宋体" w:hAnsi="宋体" w:eastAsia="宋体" w:cs="宋体"/>
          <w:spacing w:val="-48"/>
          <w:sz w:val="24"/>
          <w:szCs w:val="24"/>
        </w:rPr>
        <w:t xml:space="preserve"> </w:t>
      </w:r>
      <w:r>
        <w:rPr>
          <w:rFonts w:ascii="宋体" w:hAnsi="宋体" w:eastAsia="宋体" w:cs="宋体"/>
          <w:sz w:val="24"/>
          <w:szCs w:val="24"/>
        </w:rPr>
        <w:t>90%而又无充分理由解释用</w:t>
      </w:r>
      <w:r>
        <w:rPr>
          <w:rFonts w:ascii="宋体" w:hAnsi="宋体" w:eastAsia="宋体" w:cs="宋体"/>
          <w:spacing w:val="-1"/>
          <w:sz w:val="24"/>
          <w:szCs w:val="24"/>
        </w:rPr>
        <w:t>量减少的原因时，发包人</w:t>
      </w:r>
      <w:r>
        <w:rPr>
          <w:rFonts w:ascii="宋体" w:hAnsi="宋体" w:eastAsia="宋体" w:cs="宋体"/>
          <w:sz w:val="24"/>
          <w:szCs w:val="24"/>
        </w:rPr>
        <w:t>有权扣减实际使用数量少于理论使用数量的</w:t>
      </w:r>
      <w:r>
        <w:rPr>
          <w:rFonts w:ascii="宋体" w:hAnsi="宋体" w:eastAsia="宋体" w:cs="宋体"/>
          <w:spacing w:val="-49"/>
          <w:sz w:val="24"/>
          <w:szCs w:val="24"/>
        </w:rPr>
        <w:t xml:space="preserve"> </w:t>
      </w:r>
      <w:r>
        <w:rPr>
          <w:rFonts w:ascii="宋体" w:hAnsi="宋体" w:eastAsia="宋体" w:cs="宋体"/>
          <w:sz w:val="24"/>
          <w:szCs w:val="24"/>
        </w:rPr>
        <w:t>90%差额数量部分的材料款（按</w:t>
      </w:r>
      <w:r>
        <w:rPr>
          <w:rFonts w:ascii="宋体" w:hAnsi="宋体" w:eastAsia="宋体" w:cs="宋体"/>
          <w:spacing w:val="-1"/>
          <w:sz w:val="24"/>
          <w:szCs w:val="24"/>
        </w:rPr>
        <w:t>暂扣价计，</w:t>
      </w:r>
      <w:r>
        <w:rPr>
          <w:rFonts w:ascii="宋体" w:hAnsi="宋体" w:eastAsia="宋体" w:cs="宋体"/>
          <w:spacing w:val="-2"/>
          <w:sz w:val="24"/>
          <w:szCs w:val="24"/>
        </w:rPr>
        <w:t>含销售货物增值税</w:t>
      </w:r>
      <w:r>
        <w:rPr>
          <w:rFonts w:ascii="宋体" w:hAnsi="宋体" w:eastAsia="宋体" w:cs="宋体"/>
          <w:spacing w:val="-35"/>
          <w:sz w:val="24"/>
          <w:szCs w:val="24"/>
        </w:rPr>
        <w:t>）；</w:t>
      </w:r>
      <w:r>
        <w:rPr>
          <w:rFonts w:ascii="宋体" w:hAnsi="宋体" w:eastAsia="宋体" w:cs="宋体"/>
          <w:spacing w:val="-2"/>
          <w:sz w:val="24"/>
          <w:szCs w:val="24"/>
        </w:rPr>
        <w:t>若承包人使用数量多于理论数量的</w:t>
      </w:r>
      <w:r>
        <w:rPr>
          <w:rFonts w:ascii="宋体" w:hAnsi="宋体" w:eastAsia="宋体" w:cs="宋体"/>
          <w:spacing w:val="-32"/>
          <w:sz w:val="24"/>
          <w:szCs w:val="24"/>
        </w:rPr>
        <w:t xml:space="preserve"> </w:t>
      </w:r>
      <w:r>
        <w:rPr>
          <w:rFonts w:ascii="宋体" w:hAnsi="宋体" w:eastAsia="宋体" w:cs="宋体"/>
          <w:spacing w:val="-2"/>
          <w:sz w:val="24"/>
          <w:szCs w:val="24"/>
        </w:rPr>
        <w:t>110%而又无充分理由解释用量</w:t>
      </w:r>
      <w:r>
        <w:rPr>
          <w:rFonts w:ascii="宋体" w:hAnsi="宋体" w:eastAsia="宋体" w:cs="宋体"/>
          <w:spacing w:val="-1"/>
          <w:sz w:val="24"/>
          <w:szCs w:val="24"/>
        </w:rPr>
        <w:t>增加的原因时，发包人有权扣回超出理论数量</w:t>
      </w:r>
      <w:r>
        <w:rPr>
          <w:rFonts w:ascii="宋体" w:hAnsi="宋体" w:eastAsia="宋体" w:cs="宋体"/>
          <w:spacing w:val="-33"/>
          <w:sz w:val="24"/>
          <w:szCs w:val="24"/>
        </w:rPr>
        <w:t xml:space="preserve"> </w:t>
      </w:r>
      <w:r>
        <w:rPr>
          <w:rFonts w:ascii="宋体" w:hAnsi="宋体" w:eastAsia="宋体" w:cs="宋体"/>
          <w:spacing w:val="-2"/>
          <w:sz w:val="24"/>
          <w:szCs w:val="24"/>
        </w:rPr>
        <w:t>110%部分的材料采购费用（按暂扣价计，含销售货物增值税</w:t>
      </w:r>
      <w:r>
        <w:rPr>
          <w:rFonts w:ascii="宋体" w:hAnsi="宋体" w:eastAsia="宋体" w:cs="宋体"/>
          <w:spacing w:val="-26"/>
          <w:sz w:val="24"/>
          <w:szCs w:val="24"/>
        </w:rPr>
        <w:t>），</w:t>
      </w:r>
      <w:r>
        <w:rPr>
          <w:rFonts w:ascii="宋体" w:hAnsi="宋体" w:eastAsia="宋体" w:cs="宋体"/>
          <w:spacing w:val="-2"/>
          <w:sz w:val="24"/>
          <w:szCs w:val="24"/>
        </w:rPr>
        <w:t>并有权对承包人处以超出理论</w:t>
      </w:r>
      <w:r>
        <w:rPr>
          <w:rFonts w:ascii="宋体" w:hAnsi="宋体" w:eastAsia="宋体" w:cs="宋体"/>
          <w:spacing w:val="-3"/>
          <w:sz w:val="24"/>
          <w:szCs w:val="24"/>
        </w:rPr>
        <w:t>数量</w:t>
      </w:r>
      <w:r>
        <w:rPr>
          <w:rFonts w:ascii="宋体" w:hAnsi="宋体" w:eastAsia="宋体" w:cs="宋体"/>
          <w:spacing w:val="-33"/>
          <w:sz w:val="24"/>
          <w:szCs w:val="24"/>
        </w:rPr>
        <w:t xml:space="preserve"> </w:t>
      </w:r>
      <w:r>
        <w:rPr>
          <w:rFonts w:ascii="宋体" w:hAnsi="宋体" w:eastAsia="宋体" w:cs="宋体"/>
          <w:spacing w:val="-3"/>
          <w:sz w:val="24"/>
          <w:szCs w:val="24"/>
        </w:rPr>
        <w:t>110%部分等价的罚金。承包人</w:t>
      </w:r>
      <w:r>
        <w:rPr>
          <w:rFonts w:ascii="宋体" w:hAnsi="宋体" w:eastAsia="宋体" w:cs="宋体"/>
          <w:spacing w:val="-5"/>
          <w:sz w:val="24"/>
          <w:szCs w:val="24"/>
        </w:rPr>
        <w:t>对统一采购供应的钢筋、钢绞线材料的使用， 其数量应在承包人合同结算工程量中材料</w:t>
      </w:r>
      <w:r>
        <w:rPr>
          <w:rFonts w:ascii="宋体" w:hAnsi="宋体" w:eastAsia="宋体" w:cs="宋体"/>
          <w:spacing w:val="-3"/>
          <w:sz w:val="24"/>
          <w:szCs w:val="24"/>
        </w:rPr>
        <w:t>理论数量（考虑定额有关损耗）的</w:t>
      </w:r>
      <w:r>
        <w:rPr>
          <w:rFonts w:ascii="宋体" w:hAnsi="宋体" w:eastAsia="宋体" w:cs="宋体"/>
          <w:spacing w:val="-33"/>
          <w:sz w:val="24"/>
          <w:szCs w:val="24"/>
        </w:rPr>
        <w:t xml:space="preserve"> </w:t>
      </w:r>
      <w:r>
        <w:rPr>
          <w:rFonts w:ascii="宋体" w:hAnsi="宋体" w:eastAsia="宋体" w:cs="宋体"/>
          <w:spacing w:val="-3"/>
          <w:sz w:val="24"/>
          <w:szCs w:val="24"/>
        </w:rPr>
        <w:t>100%～110</w:t>
      </w:r>
      <w:r>
        <w:rPr>
          <w:rFonts w:ascii="宋体" w:hAnsi="宋体" w:eastAsia="宋体" w:cs="宋体"/>
          <w:spacing w:val="-4"/>
          <w:sz w:val="24"/>
          <w:szCs w:val="24"/>
        </w:rPr>
        <w:t>%之间。若承包人使用数量少于理论数量的</w:t>
      </w:r>
      <w:r>
        <w:rPr>
          <w:rFonts w:ascii="宋体" w:hAnsi="宋体" w:eastAsia="宋体" w:cs="宋体"/>
          <w:spacing w:val="-1"/>
          <w:sz w:val="24"/>
          <w:szCs w:val="24"/>
        </w:rPr>
        <w:t>100%而又无充分理由解释用量减少的原因时，</w:t>
      </w:r>
      <w:r>
        <w:rPr>
          <w:rFonts w:ascii="宋体" w:hAnsi="宋体" w:eastAsia="宋体" w:cs="宋体"/>
          <w:spacing w:val="-2"/>
          <w:sz w:val="24"/>
          <w:szCs w:val="24"/>
        </w:rPr>
        <w:t>发包人有权扣减实际使用数量少于理论使</w:t>
      </w:r>
      <w:r>
        <w:rPr>
          <w:rFonts w:ascii="宋体" w:hAnsi="宋体" w:eastAsia="宋体" w:cs="宋体"/>
          <w:spacing w:val="-3"/>
          <w:sz w:val="24"/>
          <w:szCs w:val="24"/>
        </w:rPr>
        <w:t>用数量的</w:t>
      </w:r>
      <w:r>
        <w:rPr>
          <w:rFonts w:ascii="宋体" w:hAnsi="宋体" w:eastAsia="宋体" w:cs="宋体"/>
          <w:spacing w:val="-32"/>
          <w:sz w:val="24"/>
          <w:szCs w:val="24"/>
        </w:rPr>
        <w:t xml:space="preserve"> </w:t>
      </w:r>
      <w:r>
        <w:rPr>
          <w:rFonts w:ascii="宋体" w:hAnsi="宋体" w:eastAsia="宋体" w:cs="宋体"/>
          <w:spacing w:val="-3"/>
          <w:sz w:val="24"/>
          <w:szCs w:val="24"/>
        </w:rPr>
        <w:t>100%差额数量部分的材料款（按暂扣价计，含销售货物增值税</w:t>
      </w:r>
      <w:r>
        <w:rPr>
          <w:rFonts w:ascii="宋体" w:hAnsi="宋体" w:eastAsia="宋体" w:cs="宋体"/>
          <w:spacing w:val="-15"/>
          <w:sz w:val="24"/>
          <w:szCs w:val="24"/>
        </w:rPr>
        <w:t>）；</w:t>
      </w:r>
      <w:r>
        <w:rPr>
          <w:rFonts w:ascii="宋体" w:hAnsi="宋体" w:eastAsia="宋体" w:cs="宋体"/>
          <w:spacing w:val="-3"/>
          <w:sz w:val="24"/>
          <w:szCs w:val="24"/>
        </w:rPr>
        <w:t>若承包人使</w:t>
      </w:r>
    </w:p>
    <w:p w14:paraId="6B7259C9">
      <w:pPr>
        <w:spacing w:line="360" w:lineRule="auto"/>
        <w:rPr>
          <w:rFonts w:ascii="宋体" w:hAnsi="宋体" w:eastAsia="宋体" w:cs="宋体"/>
          <w:sz w:val="24"/>
          <w:szCs w:val="24"/>
        </w:rPr>
        <w:sectPr>
          <w:footerReference r:id="rId63" w:type="default"/>
          <w:pgSz w:w="11905" w:h="16840"/>
          <w:pgMar w:top="1182" w:right="1331" w:bottom="1171" w:left="1416" w:header="849" w:footer="937" w:gutter="0"/>
          <w:pgNumType w:fmt="decimal"/>
          <w:cols w:space="720" w:num="1"/>
        </w:sectPr>
      </w:pPr>
    </w:p>
    <w:p w14:paraId="287170D6">
      <w:pPr>
        <w:pStyle w:val="2"/>
        <w:spacing w:line="268" w:lineRule="auto"/>
      </w:pPr>
    </w:p>
    <w:p w14:paraId="65D8152B">
      <w:pPr>
        <w:spacing w:before="78" w:line="360" w:lineRule="auto"/>
        <w:ind w:left="13" w:right="66" w:hanging="2"/>
        <w:jc w:val="both"/>
        <w:rPr>
          <w:rFonts w:ascii="宋体" w:hAnsi="宋体" w:eastAsia="宋体" w:cs="宋体"/>
          <w:sz w:val="24"/>
          <w:szCs w:val="24"/>
        </w:rPr>
      </w:pPr>
      <w:r>
        <w:rPr>
          <w:rFonts w:ascii="宋体" w:hAnsi="宋体" w:eastAsia="宋体" w:cs="宋体"/>
          <w:spacing w:val="-4"/>
          <w:sz w:val="24"/>
          <w:szCs w:val="24"/>
        </w:rPr>
        <w:t>用数量多于理论数量的</w:t>
      </w:r>
      <w:r>
        <w:rPr>
          <w:rFonts w:ascii="宋体" w:hAnsi="宋体" w:eastAsia="宋体" w:cs="宋体"/>
          <w:spacing w:val="-21"/>
          <w:sz w:val="24"/>
          <w:szCs w:val="24"/>
        </w:rPr>
        <w:t xml:space="preserve"> </w:t>
      </w:r>
      <w:r>
        <w:rPr>
          <w:rFonts w:ascii="宋体" w:hAnsi="宋体" w:eastAsia="宋体" w:cs="宋体"/>
          <w:spacing w:val="-4"/>
          <w:sz w:val="24"/>
          <w:szCs w:val="24"/>
        </w:rPr>
        <w:t>110%而又无充分理由解释用量增加的原因时，发包人有权扣回超</w:t>
      </w:r>
      <w:r>
        <w:rPr>
          <w:rFonts w:ascii="宋体" w:hAnsi="宋体" w:eastAsia="宋体" w:cs="宋体"/>
          <w:spacing w:val="-3"/>
          <w:sz w:val="24"/>
          <w:szCs w:val="24"/>
        </w:rPr>
        <w:t>出理论数量</w:t>
      </w:r>
      <w:r>
        <w:rPr>
          <w:rFonts w:ascii="宋体" w:hAnsi="宋体" w:eastAsia="宋体" w:cs="宋体"/>
          <w:spacing w:val="-32"/>
          <w:sz w:val="24"/>
          <w:szCs w:val="24"/>
        </w:rPr>
        <w:t xml:space="preserve"> </w:t>
      </w:r>
      <w:r>
        <w:rPr>
          <w:rFonts w:ascii="宋体" w:hAnsi="宋体" w:eastAsia="宋体" w:cs="宋体"/>
          <w:spacing w:val="-3"/>
          <w:sz w:val="24"/>
          <w:szCs w:val="24"/>
        </w:rPr>
        <w:t>110%部分的材料采购费用（按暂扣价计，含销售货物增值税</w:t>
      </w:r>
      <w:r>
        <w:rPr>
          <w:rFonts w:ascii="宋体" w:hAnsi="宋体" w:eastAsia="宋体" w:cs="宋体"/>
          <w:spacing w:val="-19"/>
          <w:sz w:val="24"/>
          <w:szCs w:val="24"/>
        </w:rPr>
        <w:t>），</w:t>
      </w:r>
      <w:r>
        <w:rPr>
          <w:rFonts w:ascii="宋体" w:hAnsi="宋体" w:eastAsia="宋体" w:cs="宋体"/>
          <w:spacing w:val="-3"/>
          <w:sz w:val="24"/>
          <w:szCs w:val="24"/>
        </w:rPr>
        <w:t>并对承包人</w:t>
      </w:r>
      <w:r>
        <w:rPr>
          <w:rFonts w:ascii="宋体" w:hAnsi="宋体" w:eastAsia="宋体" w:cs="宋体"/>
          <w:spacing w:val="-2"/>
          <w:sz w:val="24"/>
          <w:szCs w:val="24"/>
        </w:rPr>
        <w:t>处以超出理论数量</w:t>
      </w:r>
      <w:r>
        <w:rPr>
          <w:rFonts w:ascii="宋体" w:hAnsi="宋体" w:eastAsia="宋体" w:cs="宋体"/>
          <w:spacing w:val="-33"/>
          <w:sz w:val="24"/>
          <w:szCs w:val="24"/>
        </w:rPr>
        <w:t xml:space="preserve"> </w:t>
      </w:r>
      <w:r>
        <w:rPr>
          <w:rFonts w:ascii="宋体" w:hAnsi="宋体" w:eastAsia="宋体" w:cs="宋体"/>
          <w:spacing w:val="-2"/>
          <w:sz w:val="24"/>
          <w:szCs w:val="24"/>
        </w:rPr>
        <w:t>110%部分等价的罚金。承包人对上述规定必须无条件</w:t>
      </w:r>
      <w:r>
        <w:rPr>
          <w:rFonts w:ascii="宋体" w:hAnsi="宋体" w:eastAsia="宋体" w:cs="宋体"/>
          <w:spacing w:val="-3"/>
          <w:sz w:val="24"/>
          <w:szCs w:val="24"/>
        </w:rPr>
        <w:t>接受。</w:t>
      </w:r>
    </w:p>
    <w:p w14:paraId="1E829C20">
      <w:pPr>
        <w:spacing w:before="5" w:line="359" w:lineRule="auto"/>
        <w:ind w:left="9" w:right="67" w:firstLine="484"/>
        <w:rPr>
          <w:rFonts w:ascii="宋体" w:hAnsi="宋体" w:eastAsia="宋体" w:cs="宋体"/>
          <w:sz w:val="24"/>
          <w:szCs w:val="24"/>
        </w:rPr>
      </w:pPr>
      <w:r>
        <w:rPr>
          <w:rFonts w:ascii="宋体" w:hAnsi="宋体" w:eastAsia="宋体" w:cs="宋体"/>
          <w:spacing w:val="-2"/>
          <w:sz w:val="24"/>
          <w:szCs w:val="24"/>
        </w:rPr>
        <w:t>5.1.5.8 统一供应材料在承包人和供货人双方确认的计量器进行货物计量（螺纹钢</w:t>
      </w:r>
      <w:r>
        <w:rPr>
          <w:rFonts w:ascii="宋体" w:hAnsi="宋体" w:eastAsia="宋体" w:cs="宋体"/>
          <w:sz w:val="24"/>
          <w:szCs w:val="24"/>
        </w:rPr>
        <w:t>除外）。若过磅数量大于或等于送货单数量的</w:t>
      </w:r>
      <w:r>
        <w:rPr>
          <w:rFonts w:ascii="宋体" w:hAnsi="宋体" w:eastAsia="宋体" w:cs="宋体"/>
          <w:spacing w:val="-48"/>
          <w:sz w:val="24"/>
          <w:szCs w:val="24"/>
        </w:rPr>
        <w:t xml:space="preserve"> </w:t>
      </w:r>
      <w:r>
        <w:rPr>
          <w:rFonts w:ascii="宋体" w:hAnsi="宋体" w:eastAsia="宋体" w:cs="宋体"/>
          <w:sz w:val="24"/>
          <w:szCs w:val="24"/>
        </w:rPr>
        <w:t>99.7%，则以</w:t>
      </w:r>
      <w:r>
        <w:rPr>
          <w:rFonts w:ascii="宋体" w:hAnsi="宋体" w:eastAsia="宋体" w:cs="宋体"/>
          <w:spacing w:val="-1"/>
          <w:sz w:val="24"/>
          <w:szCs w:val="24"/>
        </w:rPr>
        <w:t>送货单数量为准，过磅费由</w:t>
      </w:r>
      <w:r>
        <w:rPr>
          <w:rFonts w:ascii="宋体" w:hAnsi="宋体" w:eastAsia="宋体" w:cs="宋体"/>
          <w:sz w:val="24"/>
          <w:szCs w:val="24"/>
        </w:rPr>
        <w:t>承包人承担；若过磅数量小于送货单数量的</w:t>
      </w:r>
      <w:r>
        <w:rPr>
          <w:rFonts w:ascii="宋体" w:hAnsi="宋体" w:eastAsia="宋体" w:cs="宋体"/>
          <w:spacing w:val="-48"/>
          <w:sz w:val="24"/>
          <w:szCs w:val="24"/>
        </w:rPr>
        <w:t xml:space="preserve"> </w:t>
      </w:r>
      <w:r>
        <w:rPr>
          <w:rFonts w:ascii="宋体" w:hAnsi="宋体" w:eastAsia="宋体" w:cs="宋体"/>
          <w:sz w:val="24"/>
          <w:szCs w:val="24"/>
        </w:rPr>
        <w:t>99.7%，则以</w:t>
      </w:r>
      <w:r>
        <w:rPr>
          <w:rFonts w:ascii="宋体" w:hAnsi="宋体" w:eastAsia="宋体" w:cs="宋体"/>
          <w:spacing w:val="-1"/>
          <w:sz w:val="24"/>
          <w:szCs w:val="24"/>
        </w:rPr>
        <w:t>过磅数量为准，过磅费由供货</w:t>
      </w:r>
      <w:r>
        <w:rPr>
          <w:rFonts w:ascii="宋体" w:hAnsi="宋体" w:eastAsia="宋体" w:cs="宋体"/>
          <w:spacing w:val="-2"/>
          <w:sz w:val="24"/>
          <w:szCs w:val="24"/>
        </w:rPr>
        <w:t>人承担。螺纹钢按“理计计重”（即理论重量）计量。</w:t>
      </w:r>
    </w:p>
    <w:p w14:paraId="08549284">
      <w:pPr>
        <w:spacing w:line="360" w:lineRule="auto"/>
        <w:ind w:left="9" w:right="53" w:firstLine="484"/>
        <w:rPr>
          <w:rFonts w:ascii="宋体" w:hAnsi="宋体" w:eastAsia="宋体" w:cs="宋体"/>
          <w:sz w:val="24"/>
          <w:szCs w:val="24"/>
        </w:rPr>
      </w:pPr>
      <w:r>
        <w:rPr>
          <w:rFonts w:ascii="宋体" w:hAnsi="宋体" w:eastAsia="宋体" w:cs="宋体"/>
          <w:spacing w:val="-2"/>
          <w:sz w:val="24"/>
          <w:szCs w:val="24"/>
        </w:rPr>
        <w:t>5.1.5.9 承包人负责材料全过程管理，承担材料供应、清点、检验、储存、保管等</w:t>
      </w:r>
      <w:r>
        <w:rPr>
          <w:rFonts w:ascii="宋体" w:hAnsi="宋体" w:eastAsia="宋体" w:cs="宋体"/>
          <w:spacing w:val="-7"/>
          <w:sz w:val="24"/>
          <w:szCs w:val="24"/>
        </w:rPr>
        <w:t>责任。材料设备使用前，</w:t>
      </w:r>
      <w:r>
        <w:rPr>
          <w:rFonts w:ascii="宋体" w:hAnsi="宋体" w:eastAsia="宋体" w:cs="宋体"/>
          <w:spacing w:val="88"/>
          <w:sz w:val="24"/>
          <w:szCs w:val="24"/>
        </w:rPr>
        <w:t xml:space="preserve"> </w:t>
      </w:r>
      <w:r>
        <w:rPr>
          <w:rFonts w:ascii="宋体" w:hAnsi="宋体" w:eastAsia="宋体" w:cs="宋体"/>
          <w:spacing w:val="-7"/>
          <w:sz w:val="24"/>
          <w:szCs w:val="24"/>
        </w:rPr>
        <w:t>由承包人负责检验或试验，品种、规格、型号或质量与材料供</w:t>
      </w:r>
      <w:r>
        <w:rPr>
          <w:rFonts w:ascii="宋体" w:hAnsi="宋体" w:eastAsia="宋体" w:cs="宋体"/>
          <w:spacing w:val="-1"/>
          <w:sz w:val="24"/>
          <w:szCs w:val="24"/>
        </w:rPr>
        <w:t>应一览表不符的，承包人可拒绝接收，供货人应负责运出施工场地并</w:t>
      </w:r>
      <w:r>
        <w:rPr>
          <w:rFonts w:ascii="宋体" w:hAnsi="宋体" w:eastAsia="宋体" w:cs="宋体"/>
          <w:spacing w:val="-2"/>
          <w:sz w:val="24"/>
          <w:szCs w:val="24"/>
        </w:rPr>
        <w:t>重新采购；品种、规格或型号与一览表不符但质量经检验合格的，经监理人同意，可调剂串换使用。若上</w:t>
      </w:r>
      <w:r>
        <w:rPr>
          <w:rFonts w:ascii="宋体" w:hAnsi="宋体" w:eastAsia="宋体" w:cs="宋体"/>
          <w:spacing w:val="-1"/>
          <w:sz w:val="24"/>
          <w:szCs w:val="24"/>
        </w:rPr>
        <w:t>述不符是属于承包人责任造成的，则因此而增加的</w:t>
      </w:r>
      <w:r>
        <w:rPr>
          <w:rFonts w:ascii="宋体" w:hAnsi="宋体" w:eastAsia="宋体" w:cs="宋体"/>
          <w:spacing w:val="-2"/>
          <w:sz w:val="24"/>
          <w:szCs w:val="24"/>
        </w:rPr>
        <w:t>相应费用由承包人承担。</w:t>
      </w:r>
    </w:p>
    <w:p w14:paraId="7DC2667C">
      <w:pPr>
        <w:spacing w:line="360" w:lineRule="auto"/>
        <w:ind w:left="29" w:right="66" w:firstLine="463"/>
        <w:rPr>
          <w:rFonts w:ascii="宋体" w:hAnsi="宋体" w:eastAsia="宋体" w:cs="宋体"/>
          <w:sz w:val="24"/>
          <w:szCs w:val="24"/>
        </w:rPr>
      </w:pPr>
      <w:r>
        <w:rPr>
          <w:rFonts w:ascii="宋体" w:hAnsi="宋体" w:eastAsia="宋体" w:cs="宋体"/>
          <w:spacing w:val="-2"/>
          <w:sz w:val="24"/>
          <w:szCs w:val="24"/>
        </w:rPr>
        <w:t>为恰当和正确地使用、安装和实施这些材料和工程设备所必需的但一览表中未列明的其他任何辅助性材料以及人工费已经包含在合同价格中，发包人不另行支付。</w:t>
      </w:r>
    </w:p>
    <w:p w14:paraId="43FA8D22">
      <w:pPr>
        <w:spacing w:line="360" w:lineRule="auto"/>
        <w:ind w:left="31" w:right="78" w:firstLine="462"/>
        <w:rPr>
          <w:rFonts w:ascii="宋体" w:hAnsi="宋体" w:eastAsia="宋体" w:cs="宋体"/>
          <w:sz w:val="24"/>
          <w:szCs w:val="24"/>
        </w:rPr>
      </w:pPr>
      <w:r>
        <w:rPr>
          <w:rFonts w:ascii="宋体" w:hAnsi="宋体" w:eastAsia="宋体" w:cs="宋体"/>
          <w:spacing w:val="1"/>
          <w:sz w:val="24"/>
          <w:szCs w:val="24"/>
        </w:rPr>
        <w:t>5.1.5.10 发包人代扣的承包人的材料款，原则上当期的材料款应在当期的计量款</w:t>
      </w:r>
      <w:r>
        <w:rPr>
          <w:rFonts w:ascii="宋体" w:hAnsi="宋体" w:eastAsia="宋体" w:cs="宋体"/>
          <w:spacing w:val="-2"/>
          <w:sz w:val="24"/>
          <w:szCs w:val="24"/>
        </w:rPr>
        <w:t>中扣除。根据实际情况，在确保工程款不超付的情况下允许推迟一个月扣回材料款。</w:t>
      </w:r>
    </w:p>
    <w:p w14:paraId="11AA80FA">
      <w:pPr>
        <w:spacing w:line="360" w:lineRule="auto"/>
        <w:ind w:left="11" w:firstLine="482"/>
        <w:rPr>
          <w:rFonts w:ascii="宋体" w:hAnsi="宋体" w:eastAsia="宋体" w:cs="宋体"/>
          <w:sz w:val="24"/>
          <w:szCs w:val="24"/>
        </w:rPr>
      </w:pPr>
      <w:r>
        <w:rPr>
          <w:rFonts w:ascii="宋体" w:hAnsi="宋体" w:eastAsia="宋体" w:cs="宋体"/>
          <w:spacing w:val="1"/>
          <w:sz w:val="24"/>
          <w:szCs w:val="24"/>
        </w:rPr>
        <w:t>5.1.5.11 承包人的仓库容量应满足连续施工的需要。散装水泥的贮存罐由承包人</w:t>
      </w:r>
      <w:r>
        <w:rPr>
          <w:rFonts w:ascii="宋体" w:hAnsi="宋体" w:eastAsia="宋体" w:cs="宋体"/>
          <w:spacing w:val="-6"/>
          <w:sz w:val="24"/>
          <w:szCs w:val="24"/>
        </w:rPr>
        <w:t>自行配备，相关费用已包含在合同价格中。散装水泥的现场卸货由承包人负责提供电力，</w:t>
      </w:r>
      <w:r>
        <w:rPr>
          <w:rFonts w:ascii="宋体" w:hAnsi="宋体" w:eastAsia="宋体" w:cs="宋体"/>
          <w:spacing w:val="-2"/>
          <w:sz w:val="24"/>
          <w:szCs w:val="24"/>
        </w:rPr>
        <w:t>完工后贮存罐由承包人自行负责回收。散装水泥贮存罐的存储容量应满足本合同段高峰</w:t>
      </w:r>
      <w:r>
        <w:rPr>
          <w:rFonts w:ascii="宋体" w:hAnsi="宋体" w:eastAsia="宋体" w:cs="宋体"/>
          <w:spacing w:val="-8"/>
          <w:sz w:val="24"/>
          <w:szCs w:val="24"/>
        </w:rPr>
        <w:t>期连续</w:t>
      </w:r>
      <w:r>
        <w:rPr>
          <w:rFonts w:ascii="宋体" w:hAnsi="宋体" w:eastAsia="宋体" w:cs="宋体"/>
          <w:spacing w:val="-26"/>
          <w:sz w:val="24"/>
          <w:szCs w:val="24"/>
        </w:rPr>
        <w:t xml:space="preserve"> </w:t>
      </w:r>
      <w:r>
        <w:rPr>
          <w:rFonts w:ascii="宋体" w:hAnsi="宋体" w:eastAsia="宋体" w:cs="宋体"/>
          <w:spacing w:val="-8"/>
          <w:sz w:val="24"/>
          <w:szCs w:val="24"/>
        </w:rPr>
        <w:t>10</w:t>
      </w:r>
      <w:r>
        <w:rPr>
          <w:rFonts w:ascii="宋体" w:hAnsi="宋体" w:eastAsia="宋体" w:cs="宋体"/>
          <w:spacing w:val="-45"/>
          <w:sz w:val="24"/>
          <w:szCs w:val="24"/>
        </w:rPr>
        <w:t xml:space="preserve"> </w:t>
      </w:r>
      <w:r>
        <w:rPr>
          <w:rFonts w:ascii="宋体" w:hAnsi="宋体" w:eastAsia="宋体" w:cs="宋体"/>
          <w:spacing w:val="-8"/>
          <w:sz w:val="24"/>
          <w:szCs w:val="24"/>
        </w:rPr>
        <w:t>天施工要求。</w:t>
      </w:r>
    </w:p>
    <w:p w14:paraId="561064D1">
      <w:pPr>
        <w:spacing w:before="1" w:line="218" w:lineRule="auto"/>
        <w:ind w:left="494"/>
        <w:rPr>
          <w:rFonts w:ascii="宋体" w:hAnsi="宋体" w:eastAsia="宋体" w:cs="宋体"/>
          <w:sz w:val="24"/>
          <w:szCs w:val="24"/>
        </w:rPr>
      </w:pPr>
      <w:r>
        <w:rPr>
          <w:rFonts w:ascii="宋体" w:hAnsi="宋体" w:eastAsia="宋体" w:cs="宋体"/>
          <w:spacing w:val="-6"/>
          <w:sz w:val="24"/>
          <w:szCs w:val="24"/>
        </w:rPr>
        <w:t>5.1.6</w:t>
      </w:r>
      <w:r>
        <w:rPr>
          <w:rFonts w:ascii="宋体" w:hAnsi="宋体" w:eastAsia="宋体" w:cs="宋体"/>
          <w:spacing w:val="50"/>
          <w:sz w:val="24"/>
          <w:szCs w:val="24"/>
        </w:rPr>
        <w:t xml:space="preserve"> </w:t>
      </w:r>
      <w:r>
        <w:rPr>
          <w:rFonts w:ascii="宋体" w:hAnsi="宋体" w:eastAsia="宋体" w:cs="宋体"/>
          <w:spacing w:val="-6"/>
          <w:sz w:val="24"/>
          <w:szCs w:val="24"/>
        </w:rPr>
        <w:t>甲控乙购</w:t>
      </w:r>
      <w:r>
        <w:rPr>
          <w:rFonts w:ascii="宋体" w:hAnsi="宋体" w:eastAsia="宋体" w:cs="宋体"/>
          <w:spacing w:val="-37"/>
          <w:sz w:val="24"/>
          <w:szCs w:val="24"/>
        </w:rPr>
        <w:t xml:space="preserve"> </w:t>
      </w:r>
      <w:r>
        <w:rPr>
          <w:rFonts w:ascii="宋体" w:hAnsi="宋体" w:eastAsia="宋体" w:cs="宋体"/>
          <w:spacing w:val="-6"/>
          <w:sz w:val="24"/>
          <w:szCs w:val="24"/>
        </w:rPr>
        <w:t>II</w:t>
      </w:r>
      <w:r>
        <w:rPr>
          <w:rFonts w:ascii="宋体" w:hAnsi="宋体" w:eastAsia="宋体" w:cs="宋体"/>
          <w:spacing w:val="-51"/>
          <w:sz w:val="24"/>
          <w:szCs w:val="24"/>
        </w:rPr>
        <w:t xml:space="preserve"> </w:t>
      </w:r>
      <w:r>
        <w:rPr>
          <w:rFonts w:ascii="宋体" w:hAnsi="宋体" w:eastAsia="宋体" w:cs="宋体"/>
          <w:spacing w:val="-6"/>
          <w:sz w:val="24"/>
          <w:szCs w:val="24"/>
        </w:rPr>
        <w:t>类材料管理</w:t>
      </w:r>
    </w:p>
    <w:p w14:paraId="1C585141">
      <w:pPr>
        <w:spacing w:before="188" w:line="360" w:lineRule="auto"/>
        <w:ind w:left="8" w:right="66" w:firstLine="487"/>
        <w:jc w:val="both"/>
        <w:rPr>
          <w:rFonts w:ascii="宋体" w:hAnsi="宋体" w:eastAsia="宋体" w:cs="宋体"/>
          <w:sz w:val="24"/>
          <w:szCs w:val="24"/>
        </w:rPr>
      </w:pPr>
      <w:r>
        <w:rPr>
          <w:rFonts w:ascii="宋体" w:hAnsi="宋体" w:eastAsia="宋体" w:cs="宋体"/>
          <w:spacing w:val="1"/>
          <w:sz w:val="24"/>
          <w:szCs w:val="24"/>
        </w:rPr>
        <w:t>（1）承包人须以公开招标或非招标采购方式选定材料供应商，并在采购前做好充</w:t>
      </w:r>
      <w:r>
        <w:rPr>
          <w:rFonts w:ascii="宋体" w:hAnsi="宋体" w:eastAsia="宋体" w:cs="宋体"/>
          <w:spacing w:val="-5"/>
          <w:sz w:val="24"/>
          <w:szCs w:val="24"/>
        </w:rPr>
        <w:t>分的市场调研。若采用公开招标方式， 承包人须把招标文件及相关配套文件报监理人审</w:t>
      </w:r>
      <w:r>
        <w:rPr>
          <w:rFonts w:ascii="宋体" w:hAnsi="宋体" w:eastAsia="宋体" w:cs="宋体"/>
          <w:spacing w:val="-6"/>
          <w:sz w:val="24"/>
          <w:szCs w:val="24"/>
        </w:rPr>
        <w:t>核、发包人备案后，</w:t>
      </w:r>
      <w:r>
        <w:rPr>
          <w:rFonts w:ascii="宋体" w:hAnsi="宋体" w:eastAsia="宋体" w:cs="宋体"/>
          <w:spacing w:val="50"/>
          <w:sz w:val="24"/>
          <w:szCs w:val="24"/>
        </w:rPr>
        <w:t xml:space="preserve"> </w:t>
      </w:r>
      <w:r>
        <w:rPr>
          <w:rFonts w:ascii="宋体" w:hAnsi="宋体" w:eastAsia="宋体" w:cs="宋体"/>
          <w:spacing w:val="-6"/>
          <w:sz w:val="24"/>
          <w:szCs w:val="24"/>
        </w:rPr>
        <w:t>才能开展招标工作；若采用非招标采购方式，承包人须把供应商短名单等材料报监理人审核、发包人备案后，</w:t>
      </w:r>
      <w:r>
        <w:rPr>
          <w:rFonts w:ascii="宋体" w:hAnsi="宋体" w:eastAsia="宋体" w:cs="宋体"/>
          <w:spacing w:val="50"/>
          <w:sz w:val="24"/>
          <w:szCs w:val="24"/>
        </w:rPr>
        <w:t xml:space="preserve"> </w:t>
      </w:r>
      <w:r>
        <w:rPr>
          <w:rFonts w:ascii="宋体" w:hAnsi="宋体" w:eastAsia="宋体" w:cs="宋体"/>
          <w:spacing w:val="-6"/>
          <w:sz w:val="24"/>
          <w:szCs w:val="24"/>
        </w:rPr>
        <w:t>才能开展采购工作。为统一规格，降低采购</w:t>
      </w:r>
      <w:r>
        <w:rPr>
          <w:rFonts w:ascii="宋体" w:hAnsi="宋体" w:eastAsia="宋体" w:cs="宋体"/>
          <w:spacing w:val="-2"/>
          <w:sz w:val="24"/>
          <w:szCs w:val="24"/>
        </w:rPr>
        <w:t>成本，发包人可要求部分材料由一个标段或几个标段进行全线统一比选，确定材料设备供应商，承包人不得拒绝，并应积极配合具体组织标段完成比选工作。组织或者配合比选的相关费用已包含在合同价格中，发包人不另行支付。具体见发包人后续制定的相关</w:t>
      </w:r>
      <w:r>
        <w:rPr>
          <w:rFonts w:ascii="宋体" w:hAnsi="宋体" w:eastAsia="宋体" w:cs="宋体"/>
          <w:spacing w:val="-1"/>
          <w:sz w:val="24"/>
          <w:szCs w:val="24"/>
        </w:rPr>
        <w:t>管理办法。监理人、发包人的上述审核备案并不免除承包人对采购材</w:t>
      </w:r>
      <w:r>
        <w:rPr>
          <w:rFonts w:ascii="宋体" w:hAnsi="宋体" w:eastAsia="宋体" w:cs="宋体"/>
          <w:spacing w:val="-2"/>
          <w:sz w:val="24"/>
          <w:szCs w:val="24"/>
        </w:rPr>
        <w:t>料的质量责任。</w:t>
      </w:r>
    </w:p>
    <w:p w14:paraId="0C5F6881">
      <w:pPr>
        <w:spacing w:line="360" w:lineRule="auto"/>
        <w:rPr>
          <w:rFonts w:ascii="宋体" w:hAnsi="宋体" w:eastAsia="宋体" w:cs="宋体"/>
          <w:sz w:val="24"/>
          <w:szCs w:val="24"/>
        </w:rPr>
        <w:sectPr>
          <w:headerReference r:id="rId64" w:type="default"/>
          <w:footerReference r:id="rId65" w:type="default"/>
          <w:pgSz w:w="11905" w:h="16840"/>
          <w:pgMar w:top="1182" w:right="1349" w:bottom="1171" w:left="1416" w:header="849" w:footer="937" w:gutter="0"/>
          <w:pgNumType w:fmt="decimal"/>
          <w:cols w:space="720" w:num="1"/>
        </w:sectPr>
      </w:pPr>
    </w:p>
    <w:p w14:paraId="4966EE50">
      <w:pPr>
        <w:pStyle w:val="2"/>
        <w:spacing w:line="268" w:lineRule="auto"/>
      </w:pPr>
    </w:p>
    <w:p w14:paraId="472AEEF7">
      <w:pPr>
        <w:spacing w:before="78" w:line="360" w:lineRule="auto"/>
        <w:ind w:left="13" w:right="13" w:firstLine="482"/>
        <w:jc w:val="both"/>
        <w:rPr>
          <w:rFonts w:ascii="宋体" w:hAnsi="宋体" w:eastAsia="宋体" w:cs="宋体"/>
          <w:sz w:val="24"/>
          <w:szCs w:val="24"/>
        </w:rPr>
      </w:pPr>
      <w:r>
        <w:rPr>
          <w:rFonts w:ascii="宋体" w:hAnsi="宋体" w:eastAsia="宋体" w:cs="宋体"/>
          <w:sz w:val="24"/>
          <w:szCs w:val="24"/>
        </w:rPr>
        <w:t>（2）承包人应将采购合同和供应商（或厂家，下同）收款账号等资料报监理人、</w:t>
      </w:r>
      <w:r>
        <w:rPr>
          <w:rFonts w:ascii="宋体" w:hAnsi="宋体" w:eastAsia="宋体" w:cs="宋体"/>
          <w:spacing w:val="-6"/>
          <w:sz w:val="24"/>
          <w:szCs w:val="24"/>
        </w:rPr>
        <w:t>发包人备案。在合同执行过程中，</w:t>
      </w:r>
      <w:r>
        <w:rPr>
          <w:rFonts w:ascii="宋体" w:hAnsi="宋体" w:eastAsia="宋体" w:cs="宋体"/>
          <w:spacing w:val="46"/>
          <w:sz w:val="24"/>
          <w:szCs w:val="24"/>
        </w:rPr>
        <w:t xml:space="preserve"> </w:t>
      </w:r>
      <w:r>
        <w:rPr>
          <w:rFonts w:ascii="宋体" w:hAnsi="宋体" w:eastAsia="宋体" w:cs="宋体"/>
          <w:spacing w:val="-6"/>
          <w:sz w:val="24"/>
          <w:szCs w:val="24"/>
        </w:rPr>
        <w:t>承包人应严格按照采购合同确立的支付周期、支付方式、支付期限等向供应商支付货款，</w:t>
      </w:r>
      <w:r>
        <w:rPr>
          <w:rFonts w:ascii="宋体" w:hAnsi="宋体" w:eastAsia="宋体" w:cs="宋体"/>
          <w:spacing w:val="52"/>
          <w:sz w:val="24"/>
          <w:szCs w:val="24"/>
        </w:rPr>
        <w:t xml:space="preserve"> </w:t>
      </w:r>
      <w:r>
        <w:rPr>
          <w:rFonts w:ascii="宋体" w:hAnsi="宋体" w:eastAsia="宋体" w:cs="宋体"/>
          <w:spacing w:val="-6"/>
          <w:sz w:val="24"/>
          <w:szCs w:val="24"/>
        </w:rPr>
        <w:t>严禁逾期支付，或以压低单价、私</w:t>
      </w:r>
      <w:r>
        <w:rPr>
          <w:rFonts w:ascii="宋体" w:hAnsi="宋体" w:eastAsia="宋体" w:cs="宋体"/>
          <w:spacing w:val="-7"/>
          <w:sz w:val="24"/>
          <w:szCs w:val="24"/>
        </w:rPr>
        <w:t>自扣留或巧设名</w:t>
      </w:r>
      <w:r>
        <w:rPr>
          <w:rFonts w:ascii="宋体" w:hAnsi="宋体" w:eastAsia="宋体" w:cs="宋体"/>
          <w:spacing w:val="-3"/>
          <w:sz w:val="24"/>
          <w:szCs w:val="24"/>
        </w:rPr>
        <w:t>目等方式收取或变相收取供应商费用。</w:t>
      </w:r>
    </w:p>
    <w:p w14:paraId="309C3311">
      <w:pPr>
        <w:spacing w:line="360" w:lineRule="auto"/>
        <w:ind w:left="9" w:right="10" w:firstLine="483"/>
        <w:jc w:val="both"/>
        <w:rPr>
          <w:rFonts w:ascii="宋体" w:hAnsi="宋体" w:eastAsia="宋体" w:cs="宋体"/>
          <w:sz w:val="24"/>
          <w:szCs w:val="24"/>
        </w:rPr>
      </w:pPr>
      <w:r>
        <w:rPr>
          <w:rFonts w:ascii="宋体" w:hAnsi="宋体" w:eastAsia="宋体" w:cs="宋体"/>
          <w:spacing w:val="5"/>
          <w:sz w:val="24"/>
          <w:szCs w:val="24"/>
        </w:rPr>
        <w:t>发包人将定期或不定期的检查承包人支付证明或以其他方式核实承包人的支付情</w:t>
      </w:r>
      <w:r>
        <w:rPr>
          <w:rFonts w:ascii="宋体" w:hAnsi="宋体" w:eastAsia="宋体" w:cs="宋体"/>
          <w:spacing w:val="-2"/>
          <w:sz w:val="24"/>
          <w:szCs w:val="24"/>
        </w:rPr>
        <w:t>况，如发现承包人有上述违规行为的，发包人有权扣除相应款项代为支付，承包人须无</w:t>
      </w:r>
      <w:r>
        <w:rPr>
          <w:rFonts w:ascii="宋体" w:hAnsi="宋体" w:eastAsia="宋体" w:cs="宋体"/>
          <w:spacing w:val="1"/>
          <w:sz w:val="24"/>
          <w:szCs w:val="24"/>
        </w:rPr>
        <w:t>条件接受。认定承包人违约的，将按照第</w:t>
      </w:r>
      <w:r>
        <w:rPr>
          <w:rFonts w:ascii="宋体" w:hAnsi="宋体" w:eastAsia="宋体" w:cs="宋体"/>
          <w:spacing w:val="-40"/>
          <w:sz w:val="24"/>
          <w:szCs w:val="24"/>
        </w:rPr>
        <w:t xml:space="preserve"> </w:t>
      </w:r>
      <w:r>
        <w:rPr>
          <w:rFonts w:ascii="宋体" w:hAnsi="宋体" w:eastAsia="宋体" w:cs="宋体"/>
          <w:spacing w:val="1"/>
          <w:sz w:val="24"/>
          <w:szCs w:val="24"/>
        </w:rPr>
        <w:t>22.1</w:t>
      </w:r>
      <w:r>
        <w:rPr>
          <w:rFonts w:ascii="宋体" w:hAnsi="宋体" w:eastAsia="宋体" w:cs="宋体"/>
          <w:spacing w:val="-48"/>
          <w:sz w:val="24"/>
          <w:szCs w:val="24"/>
        </w:rPr>
        <w:t xml:space="preserve"> </w:t>
      </w:r>
      <w:r>
        <w:rPr>
          <w:rFonts w:ascii="宋体" w:hAnsi="宋体" w:eastAsia="宋体" w:cs="宋体"/>
          <w:sz w:val="24"/>
          <w:szCs w:val="24"/>
        </w:rPr>
        <w:t>款的规定追究承包人的违约责任并课以</w:t>
      </w:r>
      <w:r>
        <w:rPr>
          <w:rFonts w:ascii="宋体" w:hAnsi="宋体" w:eastAsia="宋体" w:cs="宋体"/>
          <w:spacing w:val="-9"/>
          <w:sz w:val="24"/>
          <w:szCs w:val="24"/>
        </w:rPr>
        <w:t>违约金。</w:t>
      </w:r>
    </w:p>
    <w:p w14:paraId="20014A03">
      <w:pPr>
        <w:spacing w:before="3" w:line="359" w:lineRule="auto"/>
        <w:ind w:left="10" w:right="18" w:firstLine="485"/>
        <w:rPr>
          <w:rFonts w:ascii="宋体" w:hAnsi="宋体" w:eastAsia="宋体" w:cs="宋体"/>
          <w:sz w:val="24"/>
          <w:szCs w:val="24"/>
        </w:rPr>
      </w:pPr>
      <w:r>
        <w:rPr>
          <w:rFonts w:ascii="宋体" w:hAnsi="宋体" w:eastAsia="宋体" w:cs="宋体"/>
          <w:spacing w:val="-3"/>
          <w:sz w:val="24"/>
          <w:szCs w:val="24"/>
        </w:rPr>
        <w:t>（3）发包人对</w:t>
      </w:r>
      <w:r>
        <w:rPr>
          <w:rFonts w:ascii="宋体" w:hAnsi="宋体" w:eastAsia="宋体" w:cs="宋体"/>
          <w:spacing w:val="-27"/>
          <w:sz w:val="24"/>
          <w:szCs w:val="24"/>
        </w:rPr>
        <w:t xml:space="preserve"> </w:t>
      </w:r>
      <w:r>
        <w:rPr>
          <w:rFonts w:ascii="宋体" w:hAnsi="宋体" w:eastAsia="宋体" w:cs="宋体"/>
          <w:spacing w:val="-3"/>
          <w:sz w:val="24"/>
          <w:szCs w:val="24"/>
        </w:rPr>
        <w:t>II</w:t>
      </w:r>
      <w:r>
        <w:rPr>
          <w:rFonts w:ascii="宋体" w:hAnsi="宋体" w:eastAsia="宋体" w:cs="宋体"/>
          <w:spacing w:val="-51"/>
          <w:sz w:val="24"/>
          <w:szCs w:val="24"/>
        </w:rPr>
        <w:t xml:space="preserve"> </w:t>
      </w:r>
      <w:r>
        <w:rPr>
          <w:rFonts w:ascii="宋体" w:hAnsi="宋体" w:eastAsia="宋体" w:cs="宋体"/>
          <w:spacing w:val="-3"/>
          <w:sz w:val="24"/>
          <w:szCs w:val="24"/>
        </w:rPr>
        <w:t>类材料的选定有否决权，承包人对此拒绝接受的，或在所选</w:t>
      </w:r>
      <w:r>
        <w:rPr>
          <w:rFonts w:ascii="宋体" w:hAnsi="宋体" w:eastAsia="宋体" w:cs="宋体"/>
          <w:spacing w:val="-4"/>
          <w:sz w:val="24"/>
          <w:szCs w:val="24"/>
        </w:rPr>
        <w:t>材料</w:t>
      </w:r>
      <w:r>
        <w:rPr>
          <w:rFonts w:ascii="宋体" w:hAnsi="宋体" w:eastAsia="宋体" w:cs="宋体"/>
          <w:spacing w:val="-2"/>
          <w:sz w:val="24"/>
          <w:szCs w:val="24"/>
        </w:rPr>
        <w:t>和工程设备品牌被否决后，未经发包人同意，拒绝提供新的品牌的，视为承包人违约，</w:t>
      </w:r>
      <w:r>
        <w:rPr>
          <w:rFonts w:ascii="宋体" w:hAnsi="宋体" w:eastAsia="宋体" w:cs="宋体"/>
          <w:spacing w:val="-3"/>
          <w:sz w:val="24"/>
          <w:szCs w:val="24"/>
        </w:rPr>
        <w:t>按</w:t>
      </w:r>
      <w:r>
        <w:rPr>
          <w:rFonts w:ascii="宋体" w:hAnsi="宋体" w:eastAsia="宋体" w:cs="宋体"/>
          <w:spacing w:val="-34"/>
          <w:sz w:val="24"/>
          <w:szCs w:val="24"/>
        </w:rPr>
        <w:t xml:space="preserve"> </w:t>
      </w:r>
      <w:r>
        <w:rPr>
          <w:rFonts w:ascii="宋体" w:hAnsi="宋体" w:eastAsia="宋体" w:cs="宋体"/>
          <w:spacing w:val="-3"/>
          <w:sz w:val="24"/>
          <w:szCs w:val="24"/>
        </w:rPr>
        <w:t>22.1</w:t>
      </w:r>
      <w:r>
        <w:rPr>
          <w:rFonts w:ascii="宋体" w:hAnsi="宋体" w:eastAsia="宋体" w:cs="宋体"/>
          <w:spacing w:val="-50"/>
          <w:sz w:val="24"/>
          <w:szCs w:val="24"/>
        </w:rPr>
        <w:t xml:space="preserve"> </w:t>
      </w:r>
      <w:r>
        <w:rPr>
          <w:rFonts w:ascii="宋体" w:hAnsi="宋体" w:eastAsia="宋体" w:cs="宋体"/>
          <w:spacing w:val="-3"/>
          <w:sz w:val="24"/>
          <w:szCs w:val="24"/>
        </w:rPr>
        <w:t>款承包人违约处理，情节严重的没收履约保证金。</w:t>
      </w:r>
    </w:p>
    <w:p w14:paraId="1598CF28">
      <w:pPr>
        <w:spacing w:line="360" w:lineRule="auto"/>
        <w:ind w:left="8" w:firstLine="487"/>
        <w:rPr>
          <w:rFonts w:ascii="宋体" w:hAnsi="宋体" w:eastAsia="宋体" w:cs="宋体"/>
          <w:sz w:val="24"/>
          <w:szCs w:val="24"/>
        </w:rPr>
      </w:pPr>
      <w:r>
        <w:rPr>
          <w:rFonts w:ascii="宋体" w:hAnsi="宋体" w:eastAsia="宋体" w:cs="宋体"/>
          <w:spacing w:val="1"/>
          <w:sz w:val="24"/>
          <w:szCs w:val="24"/>
        </w:rPr>
        <w:t>（4）本项目使用的支座、伸缩缝必须确保通过项目竣工检测，若由于承包人原因</w:t>
      </w:r>
      <w:r>
        <w:rPr>
          <w:rFonts w:ascii="宋体" w:hAnsi="宋体" w:eastAsia="宋体" w:cs="宋体"/>
          <w:spacing w:val="-2"/>
          <w:sz w:val="24"/>
          <w:szCs w:val="24"/>
        </w:rPr>
        <w:t>未达到设计及相关规范要求的，承包人应无条件按发包人及设计要求，在规定的时间内</w:t>
      </w:r>
      <w:r>
        <w:rPr>
          <w:rFonts w:ascii="宋体" w:hAnsi="宋体" w:eastAsia="宋体" w:cs="宋体"/>
          <w:spacing w:val="-1"/>
          <w:sz w:val="24"/>
          <w:szCs w:val="24"/>
        </w:rPr>
        <w:t>对支座、伸缩缝进行更换，所需的所有费用由承包人承担，包括但不限</w:t>
      </w:r>
      <w:r>
        <w:rPr>
          <w:rFonts w:ascii="宋体" w:hAnsi="宋体" w:eastAsia="宋体" w:cs="宋体"/>
          <w:spacing w:val="-2"/>
          <w:sz w:val="24"/>
          <w:szCs w:val="24"/>
        </w:rPr>
        <w:t>于设备进退场、</w:t>
      </w:r>
      <w:r>
        <w:rPr>
          <w:rFonts w:ascii="宋体" w:hAnsi="宋体" w:eastAsia="宋体" w:cs="宋体"/>
          <w:spacing w:val="-6"/>
          <w:sz w:val="24"/>
          <w:szCs w:val="24"/>
        </w:rPr>
        <w:t>运输费、过桥过路费、道路封闭、安全围护、支座更换、桥梁顶升</w:t>
      </w:r>
      <w:r>
        <w:rPr>
          <w:rFonts w:ascii="宋体" w:hAnsi="宋体" w:eastAsia="宋体" w:cs="宋体"/>
          <w:spacing w:val="-7"/>
          <w:sz w:val="24"/>
          <w:szCs w:val="24"/>
        </w:rPr>
        <w:t>、支架搭设等；</w:t>
      </w:r>
      <w:r>
        <w:rPr>
          <w:rFonts w:ascii="宋体" w:hAnsi="宋体" w:eastAsia="宋体" w:cs="宋体"/>
          <w:spacing w:val="59"/>
          <w:sz w:val="24"/>
          <w:szCs w:val="24"/>
        </w:rPr>
        <w:t xml:space="preserve"> </w:t>
      </w:r>
      <w:r>
        <w:rPr>
          <w:rFonts w:ascii="宋体" w:hAnsi="宋体" w:eastAsia="宋体" w:cs="宋体"/>
          <w:spacing w:val="-7"/>
          <w:sz w:val="24"/>
          <w:szCs w:val="24"/>
        </w:rPr>
        <w:t>若承</w:t>
      </w:r>
      <w:r>
        <w:rPr>
          <w:rFonts w:ascii="宋体" w:hAnsi="宋体" w:eastAsia="宋体" w:cs="宋体"/>
          <w:spacing w:val="-2"/>
          <w:sz w:val="24"/>
          <w:szCs w:val="24"/>
        </w:rPr>
        <w:t>包人未及时对上述缺陷进行修复，发包人有权委托相关单位进行修复，所需费用直接在承包人的一切应得款项中扣除，同时视为承包人违约，按</w:t>
      </w:r>
      <w:r>
        <w:rPr>
          <w:rFonts w:ascii="宋体" w:hAnsi="宋体" w:eastAsia="宋体" w:cs="宋体"/>
          <w:spacing w:val="-34"/>
          <w:sz w:val="24"/>
          <w:szCs w:val="24"/>
        </w:rPr>
        <w:t xml:space="preserve"> </w:t>
      </w:r>
      <w:r>
        <w:rPr>
          <w:rFonts w:ascii="宋体" w:hAnsi="宋体" w:eastAsia="宋体" w:cs="宋体"/>
          <w:spacing w:val="-2"/>
          <w:sz w:val="24"/>
          <w:szCs w:val="24"/>
        </w:rPr>
        <w:t>22.1</w:t>
      </w:r>
      <w:r>
        <w:rPr>
          <w:rFonts w:ascii="宋体" w:hAnsi="宋体" w:eastAsia="宋体" w:cs="宋体"/>
          <w:spacing w:val="-50"/>
          <w:sz w:val="24"/>
          <w:szCs w:val="24"/>
        </w:rPr>
        <w:t xml:space="preserve"> </w:t>
      </w:r>
      <w:r>
        <w:rPr>
          <w:rFonts w:ascii="宋体" w:hAnsi="宋体" w:eastAsia="宋体" w:cs="宋体"/>
          <w:spacing w:val="-2"/>
          <w:sz w:val="24"/>
          <w:szCs w:val="24"/>
        </w:rPr>
        <w:t>款承包人违约处理。</w:t>
      </w:r>
    </w:p>
    <w:p w14:paraId="20927228">
      <w:pPr>
        <w:spacing w:before="1" w:line="218" w:lineRule="auto"/>
        <w:ind w:left="494"/>
        <w:rPr>
          <w:rFonts w:ascii="宋体" w:hAnsi="宋体" w:eastAsia="宋体" w:cs="宋体"/>
          <w:sz w:val="24"/>
          <w:szCs w:val="24"/>
        </w:rPr>
      </w:pPr>
      <w:r>
        <w:rPr>
          <w:rFonts w:ascii="宋体" w:hAnsi="宋体" w:eastAsia="宋体" w:cs="宋体"/>
          <w:spacing w:val="-1"/>
          <w:sz w:val="24"/>
          <w:szCs w:val="24"/>
        </w:rPr>
        <w:t>5.1.7 其他工程材料管理</w:t>
      </w:r>
    </w:p>
    <w:p w14:paraId="02787F4F">
      <w:pPr>
        <w:spacing w:before="183" w:line="360" w:lineRule="auto"/>
        <w:ind w:left="7" w:right="13" w:firstLine="488"/>
        <w:rPr>
          <w:rFonts w:ascii="宋体" w:hAnsi="宋体" w:eastAsia="宋体" w:cs="宋体"/>
          <w:sz w:val="24"/>
          <w:szCs w:val="24"/>
        </w:rPr>
      </w:pPr>
      <w:r>
        <w:rPr>
          <w:rFonts w:ascii="宋体" w:hAnsi="宋体" w:eastAsia="宋体" w:cs="宋体"/>
          <w:spacing w:val="-2"/>
          <w:sz w:val="24"/>
          <w:szCs w:val="24"/>
        </w:rPr>
        <w:t>（1）除本合同条款第 5.1.4 款规定外（含补充纳入“甲控乙购”管理的材料和工</w:t>
      </w:r>
      <w:r>
        <w:rPr>
          <w:rFonts w:ascii="宋体" w:hAnsi="宋体" w:eastAsia="宋体" w:cs="宋体"/>
          <w:spacing w:val="-6"/>
          <w:sz w:val="24"/>
          <w:szCs w:val="24"/>
        </w:rPr>
        <w:t>程设备），其他工程材料由发包人在技术规范中列明具体的技术参数、技术指标，</w:t>
      </w:r>
      <w:r>
        <w:rPr>
          <w:rFonts w:ascii="宋体" w:hAnsi="宋体" w:eastAsia="宋体" w:cs="宋体"/>
          <w:spacing w:val="51"/>
          <w:sz w:val="24"/>
          <w:szCs w:val="24"/>
        </w:rPr>
        <w:t xml:space="preserve"> </w:t>
      </w:r>
      <w:r>
        <w:rPr>
          <w:rFonts w:ascii="宋体" w:hAnsi="宋体" w:eastAsia="宋体" w:cs="宋体"/>
          <w:spacing w:val="-6"/>
          <w:sz w:val="24"/>
          <w:szCs w:val="24"/>
        </w:rPr>
        <w:t>承包</w:t>
      </w:r>
      <w:r>
        <w:rPr>
          <w:rFonts w:ascii="宋体" w:hAnsi="宋体" w:eastAsia="宋体" w:cs="宋体"/>
          <w:spacing w:val="-7"/>
          <w:sz w:val="24"/>
          <w:szCs w:val="24"/>
        </w:rPr>
        <w:t>人应按照不低于上述参数、指标，</w:t>
      </w:r>
      <w:r>
        <w:rPr>
          <w:rFonts w:ascii="宋体" w:hAnsi="宋体" w:eastAsia="宋体" w:cs="宋体"/>
          <w:spacing w:val="89"/>
          <w:sz w:val="24"/>
          <w:szCs w:val="24"/>
        </w:rPr>
        <w:t xml:space="preserve"> </w:t>
      </w:r>
      <w:r>
        <w:rPr>
          <w:rFonts w:ascii="宋体" w:hAnsi="宋体" w:eastAsia="宋体" w:cs="宋体"/>
          <w:spacing w:val="-7"/>
          <w:sz w:val="24"/>
          <w:szCs w:val="24"/>
        </w:rPr>
        <w:t>以及技术规范、建设项目管理制度的规定进行材料采</w:t>
      </w:r>
      <w:r>
        <w:rPr>
          <w:rFonts w:ascii="宋体" w:hAnsi="宋体" w:eastAsia="宋体" w:cs="宋体"/>
          <w:spacing w:val="-11"/>
          <w:sz w:val="24"/>
          <w:szCs w:val="24"/>
        </w:rPr>
        <w:t>购。</w:t>
      </w:r>
    </w:p>
    <w:p w14:paraId="2866CE50">
      <w:pPr>
        <w:spacing w:line="360" w:lineRule="auto"/>
        <w:ind w:left="15" w:right="24" w:firstLine="480"/>
        <w:rPr>
          <w:rFonts w:ascii="宋体" w:hAnsi="宋体" w:eastAsia="宋体" w:cs="宋体"/>
          <w:sz w:val="24"/>
          <w:szCs w:val="24"/>
        </w:rPr>
      </w:pPr>
      <w:r>
        <w:rPr>
          <w:rFonts w:ascii="宋体" w:hAnsi="宋体" w:eastAsia="宋体" w:cs="宋体"/>
          <w:spacing w:val="1"/>
          <w:sz w:val="24"/>
          <w:szCs w:val="24"/>
        </w:rPr>
        <w:t>（2）其他工程材料采购所需费用（含材料费）均已包含在合同价格中，发包人不</w:t>
      </w:r>
      <w:r>
        <w:rPr>
          <w:rFonts w:ascii="宋体" w:hAnsi="宋体" w:eastAsia="宋体" w:cs="宋体"/>
          <w:spacing w:val="-8"/>
          <w:sz w:val="24"/>
          <w:szCs w:val="24"/>
        </w:rPr>
        <w:t>另行支付。</w:t>
      </w:r>
    </w:p>
    <w:p w14:paraId="51E77AF7">
      <w:pPr>
        <w:spacing w:line="360" w:lineRule="auto"/>
        <w:ind w:left="11" w:right="13" w:firstLine="484"/>
        <w:rPr>
          <w:rFonts w:ascii="宋体" w:hAnsi="宋体" w:eastAsia="宋体" w:cs="宋体"/>
          <w:sz w:val="24"/>
          <w:szCs w:val="24"/>
        </w:rPr>
      </w:pPr>
      <w:r>
        <w:rPr>
          <w:rFonts w:ascii="宋体" w:hAnsi="宋体" w:eastAsia="宋体" w:cs="宋体"/>
          <w:spacing w:val="1"/>
          <w:sz w:val="24"/>
          <w:szCs w:val="24"/>
        </w:rPr>
        <w:t>（3）对于承包人所选采购品牌不符合本合同条款、技术规范的规定的，监理人可</w:t>
      </w:r>
      <w:r>
        <w:rPr>
          <w:rFonts w:ascii="宋体" w:hAnsi="宋体" w:eastAsia="宋体" w:cs="宋体"/>
          <w:spacing w:val="-2"/>
          <w:sz w:val="24"/>
          <w:szCs w:val="24"/>
        </w:rPr>
        <w:t>否决不符合要求的材料和工程设备品牌，在此情况下，承包人应按照上述规定重新确定</w:t>
      </w:r>
      <w:r>
        <w:rPr>
          <w:rFonts w:ascii="宋体" w:hAnsi="宋体" w:eastAsia="宋体" w:cs="宋体"/>
          <w:spacing w:val="-3"/>
          <w:sz w:val="24"/>
          <w:szCs w:val="24"/>
        </w:rPr>
        <w:t>主选或备选品牌，直到满足合同文件规定为止。</w:t>
      </w:r>
    </w:p>
    <w:p w14:paraId="7DA90583">
      <w:pPr>
        <w:spacing w:line="361" w:lineRule="auto"/>
        <w:ind w:left="8" w:right="13" w:firstLine="487"/>
        <w:rPr>
          <w:rFonts w:ascii="宋体" w:hAnsi="宋体" w:eastAsia="宋体" w:cs="宋体"/>
          <w:sz w:val="24"/>
          <w:szCs w:val="24"/>
        </w:rPr>
      </w:pPr>
      <w:r>
        <w:rPr>
          <w:rFonts w:ascii="宋体" w:hAnsi="宋体" w:eastAsia="宋体" w:cs="宋体"/>
          <w:spacing w:val="1"/>
          <w:sz w:val="24"/>
          <w:szCs w:val="24"/>
        </w:rPr>
        <w:t>（4）本项目混凝土用砂遵照《广东省交通运输厅关于进一步加强我省交通建设工</w:t>
      </w:r>
      <w:r>
        <w:rPr>
          <w:rFonts w:ascii="宋体" w:hAnsi="宋体" w:eastAsia="宋体" w:cs="宋体"/>
          <w:sz w:val="24"/>
          <w:szCs w:val="24"/>
        </w:rPr>
        <w:t>程混凝土用砂质量管理的通知》（粤交质管字〔2022</w:t>
      </w:r>
      <w:r>
        <w:rPr>
          <w:rFonts w:ascii="宋体" w:hAnsi="宋体" w:eastAsia="宋体" w:cs="宋体"/>
          <w:spacing w:val="-1"/>
          <w:sz w:val="24"/>
          <w:szCs w:val="24"/>
        </w:rPr>
        <w:t>〕110</w:t>
      </w:r>
      <w:r>
        <w:rPr>
          <w:rFonts w:ascii="宋体" w:hAnsi="宋体" w:eastAsia="宋体" w:cs="宋体"/>
          <w:spacing w:val="-44"/>
          <w:sz w:val="24"/>
          <w:szCs w:val="24"/>
        </w:rPr>
        <w:t xml:space="preserve"> </w:t>
      </w:r>
      <w:r>
        <w:rPr>
          <w:rFonts w:ascii="宋体" w:hAnsi="宋体" w:eastAsia="宋体" w:cs="宋体"/>
          <w:spacing w:val="-1"/>
          <w:sz w:val="24"/>
          <w:szCs w:val="24"/>
        </w:rPr>
        <w:t>号）的规定执行，建立健全</w:t>
      </w:r>
      <w:r>
        <w:rPr>
          <w:rFonts w:ascii="宋体" w:hAnsi="宋体" w:eastAsia="宋体" w:cs="宋体"/>
          <w:spacing w:val="-2"/>
          <w:sz w:val="24"/>
          <w:szCs w:val="24"/>
        </w:rPr>
        <w:t>混凝土用天然砂管理制度。承包人要完善混凝土用砂采购、运输、进场检验和使用管理</w:t>
      </w:r>
    </w:p>
    <w:p w14:paraId="07E9D950">
      <w:pPr>
        <w:spacing w:line="361" w:lineRule="auto"/>
        <w:rPr>
          <w:rFonts w:ascii="宋体" w:hAnsi="宋体" w:eastAsia="宋体" w:cs="宋体"/>
          <w:sz w:val="24"/>
          <w:szCs w:val="24"/>
        </w:rPr>
        <w:sectPr>
          <w:footerReference r:id="rId66" w:type="default"/>
          <w:pgSz w:w="11905" w:h="16840"/>
          <w:pgMar w:top="1182" w:right="1403" w:bottom="1171" w:left="1416" w:header="849" w:footer="937" w:gutter="0"/>
          <w:pgNumType w:fmt="decimal"/>
          <w:cols w:space="720" w:num="1"/>
        </w:sectPr>
      </w:pPr>
    </w:p>
    <w:p w14:paraId="287E4E57">
      <w:pPr>
        <w:pStyle w:val="2"/>
        <w:spacing w:line="268" w:lineRule="auto"/>
      </w:pPr>
    </w:p>
    <w:p w14:paraId="53DBED9B">
      <w:pPr>
        <w:spacing w:before="78" w:line="360" w:lineRule="auto"/>
        <w:ind w:left="9" w:right="186"/>
        <w:jc w:val="both"/>
        <w:rPr>
          <w:rFonts w:ascii="宋体" w:hAnsi="宋体" w:eastAsia="宋体" w:cs="宋体"/>
          <w:sz w:val="24"/>
          <w:szCs w:val="24"/>
        </w:rPr>
      </w:pPr>
      <w:r>
        <w:rPr>
          <w:rFonts w:ascii="宋体" w:hAnsi="宋体" w:eastAsia="宋体" w:cs="宋体"/>
          <w:spacing w:val="-6"/>
          <w:sz w:val="24"/>
          <w:szCs w:val="24"/>
        </w:rPr>
        <w:t>制度，择优选择合法的砂源、信誉良好的供应商和备选供应商，</w:t>
      </w:r>
      <w:r>
        <w:rPr>
          <w:rFonts w:ascii="宋体" w:hAnsi="宋体" w:eastAsia="宋体" w:cs="宋体"/>
          <w:spacing w:val="51"/>
          <w:sz w:val="24"/>
          <w:szCs w:val="24"/>
        </w:rPr>
        <w:t xml:space="preserve"> </w:t>
      </w:r>
      <w:r>
        <w:rPr>
          <w:rFonts w:ascii="宋体" w:hAnsi="宋体" w:eastAsia="宋体" w:cs="宋体"/>
          <w:spacing w:val="-6"/>
          <w:sz w:val="24"/>
          <w:szCs w:val="24"/>
        </w:rPr>
        <w:t>不得违规采用海</w:t>
      </w:r>
      <w:r>
        <w:rPr>
          <w:rFonts w:ascii="宋体" w:hAnsi="宋体" w:eastAsia="宋体" w:cs="宋体"/>
          <w:spacing w:val="-7"/>
          <w:sz w:val="24"/>
          <w:szCs w:val="24"/>
        </w:rPr>
        <w:t>砂拌制</w:t>
      </w:r>
      <w:r>
        <w:rPr>
          <w:rFonts w:ascii="宋体" w:hAnsi="宋体" w:eastAsia="宋体" w:cs="宋体"/>
          <w:spacing w:val="-6"/>
          <w:sz w:val="24"/>
          <w:szCs w:val="24"/>
        </w:rPr>
        <w:t>混凝土。严格落实砂料入仓前逐车、逐船氯离子含量快速筛查及含泥量检测措施，</w:t>
      </w:r>
      <w:r>
        <w:rPr>
          <w:rFonts w:ascii="宋体" w:hAnsi="宋体" w:eastAsia="宋体" w:cs="宋体"/>
          <w:spacing w:val="51"/>
          <w:sz w:val="24"/>
          <w:szCs w:val="24"/>
        </w:rPr>
        <w:t xml:space="preserve"> </w:t>
      </w:r>
      <w:r>
        <w:rPr>
          <w:rFonts w:ascii="宋体" w:hAnsi="宋体" w:eastAsia="宋体" w:cs="宋体"/>
          <w:spacing w:val="-7"/>
          <w:sz w:val="24"/>
          <w:szCs w:val="24"/>
        </w:rPr>
        <w:t>发现</w:t>
      </w:r>
      <w:r>
        <w:rPr>
          <w:rFonts w:ascii="宋体" w:hAnsi="宋体" w:eastAsia="宋体" w:cs="宋体"/>
          <w:spacing w:val="-2"/>
          <w:sz w:val="24"/>
          <w:szCs w:val="24"/>
        </w:rPr>
        <w:t>异常时直接拒绝进场，杜绝出现海砂入仓情况。进场检验台账至少包含产地、品种、数</w:t>
      </w:r>
      <w:r>
        <w:rPr>
          <w:rFonts w:ascii="宋体" w:hAnsi="宋体" w:eastAsia="宋体" w:cs="宋体"/>
          <w:spacing w:val="-6"/>
          <w:sz w:val="24"/>
          <w:szCs w:val="24"/>
        </w:rPr>
        <w:t>量、日期、进货批号、检测结果等信息，</w:t>
      </w:r>
      <w:r>
        <w:rPr>
          <w:rFonts w:ascii="宋体" w:hAnsi="宋体" w:eastAsia="宋体" w:cs="宋体"/>
          <w:spacing w:val="58"/>
          <w:sz w:val="24"/>
          <w:szCs w:val="24"/>
        </w:rPr>
        <w:t xml:space="preserve"> </w:t>
      </w:r>
      <w:r>
        <w:rPr>
          <w:rFonts w:ascii="宋体" w:hAnsi="宋体" w:eastAsia="宋体" w:cs="宋体"/>
          <w:spacing w:val="-6"/>
          <w:sz w:val="24"/>
          <w:szCs w:val="24"/>
        </w:rPr>
        <w:t>不同产地、品种的砂应分</w:t>
      </w:r>
      <w:r>
        <w:rPr>
          <w:rFonts w:ascii="宋体" w:hAnsi="宋体" w:eastAsia="宋体" w:cs="宋体"/>
          <w:spacing w:val="-7"/>
          <w:sz w:val="24"/>
          <w:szCs w:val="24"/>
        </w:rPr>
        <w:t>别堆放并有明显、准</w:t>
      </w:r>
      <w:r>
        <w:rPr>
          <w:rFonts w:ascii="宋体" w:hAnsi="宋体" w:eastAsia="宋体" w:cs="宋体"/>
          <w:spacing w:val="-5"/>
          <w:sz w:val="24"/>
          <w:szCs w:val="24"/>
        </w:rPr>
        <w:t>确的标识。砂料入库时要安排专业技术人员进行跟踪核查， 发现同一来源不同时段入仓</w:t>
      </w:r>
      <w:r>
        <w:rPr>
          <w:rFonts w:ascii="宋体" w:hAnsi="宋体" w:eastAsia="宋体" w:cs="宋体"/>
          <w:spacing w:val="-6"/>
          <w:sz w:val="24"/>
          <w:szCs w:val="24"/>
        </w:rPr>
        <w:t>的砂在外观上存在显著差异，或者含泥、贝壳较多时，</w:t>
      </w:r>
      <w:r>
        <w:rPr>
          <w:rFonts w:ascii="宋体" w:hAnsi="宋体" w:eastAsia="宋体" w:cs="宋体"/>
          <w:spacing w:val="52"/>
          <w:sz w:val="24"/>
          <w:szCs w:val="24"/>
        </w:rPr>
        <w:t xml:space="preserve"> </w:t>
      </w:r>
      <w:r>
        <w:rPr>
          <w:rFonts w:ascii="宋体" w:hAnsi="宋体" w:eastAsia="宋体" w:cs="宋体"/>
          <w:spacing w:val="-6"/>
          <w:sz w:val="24"/>
          <w:szCs w:val="24"/>
        </w:rPr>
        <w:t>要及时封存并安排检验。</w:t>
      </w:r>
      <w:r>
        <w:rPr>
          <w:rFonts w:ascii="宋体" w:hAnsi="宋体" w:eastAsia="宋体" w:cs="宋体"/>
          <w:spacing w:val="-7"/>
          <w:sz w:val="24"/>
          <w:szCs w:val="24"/>
        </w:rPr>
        <w:t>当连续</w:t>
      </w:r>
      <w:r>
        <w:rPr>
          <w:rFonts w:ascii="宋体" w:hAnsi="宋体" w:eastAsia="宋体" w:cs="宋体"/>
          <w:spacing w:val="-1"/>
          <w:sz w:val="24"/>
          <w:szCs w:val="24"/>
        </w:rPr>
        <w:t>两批砂检验不合格时，要暂停商家供货资格，启用</w:t>
      </w:r>
      <w:r>
        <w:rPr>
          <w:rFonts w:ascii="宋体" w:hAnsi="宋体" w:eastAsia="宋体" w:cs="宋体"/>
          <w:spacing w:val="-2"/>
          <w:sz w:val="24"/>
          <w:szCs w:val="24"/>
        </w:rPr>
        <w:t>经批准的合格备选货源。</w:t>
      </w:r>
    </w:p>
    <w:p w14:paraId="53A5F2EE">
      <w:pPr>
        <w:spacing w:before="2" w:line="359" w:lineRule="auto"/>
        <w:ind w:left="11" w:right="120" w:firstLine="480"/>
        <w:rPr>
          <w:rFonts w:ascii="宋体" w:hAnsi="宋体" w:eastAsia="宋体" w:cs="宋体"/>
          <w:sz w:val="24"/>
          <w:szCs w:val="24"/>
        </w:rPr>
      </w:pPr>
      <w:r>
        <w:rPr>
          <w:rFonts w:ascii="宋体" w:hAnsi="宋体" w:eastAsia="宋体" w:cs="宋体"/>
          <w:spacing w:val="-6"/>
          <w:sz w:val="24"/>
          <w:szCs w:val="24"/>
        </w:rPr>
        <w:t>工程所需设备、材料如因供应的规格、数量等不能满足</w:t>
      </w:r>
      <w:r>
        <w:rPr>
          <w:rFonts w:ascii="宋体" w:hAnsi="宋体" w:eastAsia="宋体" w:cs="宋体"/>
          <w:spacing w:val="-7"/>
          <w:sz w:val="24"/>
          <w:szCs w:val="24"/>
        </w:rPr>
        <w:t>工程建设要求而需要更换时，</w:t>
      </w:r>
      <w:r>
        <w:rPr>
          <w:rFonts w:ascii="宋体" w:hAnsi="宋体" w:eastAsia="宋体" w:cs="宋体"/>
          <w:spacing w:val="-2"/>
          <w:sz w:val="24"/>
          <w:szCs w:val="24"/>
        </w:rPr>
        <w:t>按发包人材料管理办法办理相关手续，但不因此免除承包人的责任。</w:t>
      </w:r>
    </w:p>
    <w:p w14:paraId="4DC25C54">
      <w:pPr>
        <w:spacing w:before="1" w:line="218" w:lineRule="auto"/>
        <w:ind w:left="494"/>
        <w:rPr>
          <w:rFonts w:ascii="宋体" w:hAnsi="宋体" w:eastAsia="宋体" w:cs="宋体"/>
          <w:sz w:val="24"/>
          <w:szCs w:val="24"/>
        </w:rPr>
      </w:pPr>
      <w:r>
        <w:rPr>
          <w:rFonts w:ascii="宋体" w:hAnsi="宋体" w:eastAsia="宋体" w:cs="宋体"/>
          <w:spacing w:val="-1"/>
          <w:sz w:val="24"/>
          <w:szCs w:val="24"/>
        </w:rPr>
        <w:t>5.1.8 材料的防护、标识和可追溯性</w:t>
      </w:r>
    </w:p>
    <w:p w14:paraId="26D21671">
      <w:pPr>
        <w:spacing w:before="183" w:line="360" w:lineRule="auto"/>
        <w:ind w:left="8" w:right="173" w:firstLine="480"/>
        <w:rPr>
          <w:rFonts w:ascii="宋体" w:hAnsi="宋体" w:eastAsia="宋体" w:cs="宋体"/>
          <w:sz w:val="24"/>
          <w:szCs w:val="24"/>
        </w:rPr>
      </w:pPr>
      <w:r>
        <w:rPr>
          <w:rFonts w:ascii="宋体" w:hAnsi="宋体" w:eastAsia="宋体" w:cs="宋体"/>
          <w:spacing w:val="-5"/>
          <w:sz w:val="24"/>
          <w:szCs w:val="24"/>
        </w:rPr>
        <w:t>承包人应根据材料特性对材料的运输、储存和保管的方法予以规定和执行， 防止材</w:t>
      </w:r>
      <w:r>
        <w:rPr>
          <w:rFonts w:ascii="宋体" w:hAnsi="宋体" w:eastAsia="宋体" w:cs="宋体"/>
          <w:spacing w:val="-1"/>
          <w:sz w:val="24"/>
          <w:szCs w:val="24"/>
        </w:rPr>
        <w:t>料发生损坏、混淆、变质和受到污染。各种原材料、半成品的储存方式</w:t>
      </w:r>
      <w:r>
        <w:rPr>
          <w:rFonts w:ascii="宋体" w:hAnsi="宋体" w:eastAsia="宋体" w:cs="宋体"/>
          <w:spacing w:val="-2"/>
          <w:sz w:val="24"/>
          <w:szCs w:val="24"/>
        </w:rPr>
        <w:t>及所用的仓库、储罐、场地等应提前得到监理人的同意和确认。</w:t>
      </w:r>
    </w:p>
    <w:p w14:paraId="42F63E28">
      <w:pPr>
        <w:spacing w:line="360" w:lineRule="auto"/>
        <w:ind w:left="18" w:right="186" w:firstLine="470"/>
        <w:rPr>
          <w:rFonts w:ascii="宋体" w:hAnsi="宋体" w:eastAsia="宋体" w:cs="宋体"/>
          <w:sz w:val="24"/>
          <w:szCs w:val="24"/>
        </w:rPr>
      </w:pPr>
      <w:r>
        <w:rPr>
          <w:rFonts w:ascii="宋体" w:hAnsi="宋体" w:eastAsia="宋体" w:cs="宋体"/>
          <w:spacing w:val="-5"/>
          <w:sz w:val="24"/>
          <w:szCs w:val="24"/>
        </w:rPr>
        <w:t>承包人应对材料的种类、特性和检验状态进行标识， 确保每批材料保持良好状态并</w:t>
      </w:r>
      <w:r>
        <w:rPr>
          <w:rFonts w:ascii="宋体" w:hAnsi="宋体" w:eastAsia="宋体" w:cs="宋体"/>
          <w:spacing w:val="-3"/>
          <w:sz w:val="24"/>
          <w:szCs w:val="24"/>
        </w:rPr>
        <w:t>能追溯到采购日期、供应商和相关的质量证明文件。</w:t>
      </w:r>
    </w:p>
    <w:p w14:paraId="6EC73CBF">
      <w:pPr>
        <w:spacing w:line="360" w:lineRule="auto"/>
        <w:ind w:left="9" w:right="186" w:firstLine="480"/>
        <w:jc w:val="both"/>
        <w:rPr>
          <w:rFonts w:ascii="宋体" w:hAnsi="宋体" w:eastAsia="宋体" w:cs="宋体"/>
          <w:sz w:val="24"/>
          <w:szCs w:val="24"/>
        </w:rPr>
      </w:pPr>
      <w:r>
        <w:rPr>
          <w:rFonts w:ascii="宋体" w:hAnsi="宋体" w:eastAsia="宋体" w:cs="宋体"/>
          <w:spacing w:val="-2"/>
          <w:sz w:val="24"/>
          <w:szCs w:val="24"/>
        </w:rPr>
        <w:t>承包人在施工现场应建立原材料的进出场台帐、质量检验和质量跟踪台帐。其内容应包括进货日期、材料名称、品种、规格、数量、生产单位、供货单位、质量证明书编号、复试检验报告编号、检验结果和所用的工程部位等。</w:t>
      </w:r>
    </w:p>
    <w:p w14:paraId="5E4FD1D6">
      <w:pPr>
        <w:spacing w:before="1" w:line="218" w:lineRule="auto"/>
        <w:ind w:left="494"/>
        <w:rPr>
          <w:rFonts w:ascii="宋体" w:hAnsi="宋体" w:eastAsia="宋体" w:cs="宋体"/>
          <w:sz w:val="24"/>
          <w:szCs w:val="24"/>
        </w:rPr>
      </w:pPr>
      <w:r>
        <w:rPr>
          <w:rFonts w:ascii="宋体" w:hAnsi="宋体" w:eastAsia="宋体" w:cs="宋体"/>
          <w:spacing w:val="-1"/>
          <w:sz w:val="24"/>
          <w:szCs w:val="24"/>
        </w:rPr>
        <w:t>5.2 发包人提供的材料和工程设备</w:t>
      </w:r>
    </w:p>
    <w:p w14:paraId="3024E9A1">
      <w:pPr>
        <w:spacing w:before="183" w:line="220" w:lineRule="auto"/>
        <w:ind w:left="494"/>
        <w:rPr>
          <w:rFonts w:ascii="宋体" w:hAnsi="宋体" w:eastAsia="宋体" w:cs="宋体"/>
          <w:sz w:val="24"/>
          <w:szCs w:val="24"/>
        </w:rPr>
      </w:pPr>
      <w:r>
        <w:rPr>
          <w:rFonts w:ascii="宋体" w:hAnsi="宋体" w:eastAsia="宋体" w:cs="宋体"/>
          <w:spacing w:val="-7"/>
          <w:sz w:val="24"/>
          <w:szCs w:val="24"/>
        </w:rPr>
        <w:t>5.2.1</w:t>
      </w:r>
      <w:r>
        <w:rPr>
          <w:rFonts w:ascii="宋体" w:hAnsi="宋体" w:eastAsia="宋体" w:cs="宋体"/>
          <w:spacing w:val="-47"/>
          <w:sz w:val="24"/>
          <w:szCs w:val="24"/>
        </w:rPr>
        <w:t xml:space="preserve"> </w:t>
      </w:r>
      <w:r>
        <w:rPr>
          <w:rFonts w:ascii="宋体" w:hAnsi="宋体" w:eastAsia="宋体" w:cs="宋体"/>
          <w:spacing w:val="-7"/>
          <w:sz w:val="24"/>
          <w:szCs w:val="24"/>
        </w:rPr>
        <w:t>项细化为：</w:t>
      </w:r>
    </w:p>
    <w:p w14:paraId="5461EE24">
      <w:pPr>
        <w:spacing w:before="181" w:line="360" w:lineRule="auto"/>
        <w:ind w:left="10" w:right="185" w:firstLine="483"/>
        <w:rPr>
          <w:rFonts w:ascii="宋体" w:hAnsi="宋体" w:eastAsia="宋体" w:cs="宋体"/>
          <w:sz w:val="24"/>
          <w:szCs w:val="24"/>
        </w:rPr>
      </w:pPr>
      <w:r>
        <w:rPr>
          <w:rFonts w:ascii="宋体" w:hAnsi="宋体" w:eastAsia="宋体" w:cs="宋体"/>
          <w:spacing w:val="-4"/>
          <w:sz w:val="24"/>
          <w:szCs w:val="24"/>
        </w:rPr>
        <w:t>5.2.1</w:t>
      </w:r>
      <w:r>
        <w:rPr>
          <w:rFonts w:ascii="宋体" w:hAnsi="宋体" w:eastAsia="宋体" w:cs="宋体"/>
          <w:spacing w:val="-38"/>
          <w:sz w:val="24"/>
          <w:szCs w:val="24"/>
        </w:rPr>
        <w:t xml:space="preserve"> </w:t>
      </w:r>
      <w:r>
        <w:rPr>
          <w:rFonts w:ascii="宋体" w:hAnsi="宋体" w:eastAsia="宋体" w:cs="宋体"/>
          <w:spacing w:val="-4"/>
          <w:sz w:val="24"/>
          <w:szCs w:val="24"/>
        </w:rPr>
        <w:t>为确保本项目的建设质量，发包人将按</w:t>
      </w:r>
      <w:r>
        <w:rPr>
          <w:rFonts w:ascii="宋体" w:hAnsi="宋体" w:eastAsia="宋体" w:cs="宋体"/>
          <w:spacing w:val="-52"/>
          <w:sz w:val="24"/>
          <w:szCs w:val="24"/>
        </w:rPr>
        <w:t xml:space="preserve"> </w:t>
      </w:r>
      <w:r>
        <w:rPr>
          <w:rFonts w:ascii="宋体" w:hAnsi="宋体" w:eastAsia="宋体" w:cs="宋体"/>
          <w:spacing w:val="-4"/>
          <w:sz w:val="24"/>
          <w:szCs w:val="24"/>
        </w:rPr>
        <w:t>4.3.15</w:t>
      </w:r>
      <w:r>
        <w:rPr>
          <w:rFonts w:ascii="宋体" w:hAnsi="宋体" w:eastAsia="宋体" w:cs="宋体"/>
          <w:spacing w:val="-50"/>
          <w:sz w:val="24"/>
          <w:szCs w:val="24"/>
        </w:rPr>
        <w:t xml:space="preserve"> </w:t>
      </w:r>
      <w:r>
        <w:rPr>
          <w:rFonts w:ascii="宋体" w:hAnsi="宋体" w:eastAsia="宋体" w:cs="宋体"/>
          <w:spacing w:val="-4"/>
          <w:sz w:val="24"/>
          <w:szCs w:val="24"/>
        </w:rPr>
        <w:t>款关于特殊分包人或供货人的</w:t>
      </w:r>
      <w:r>
        <w:rPr>
          <w:rFonts w:ascii="宋体" w:hAnsi="宋体" w:eastAsia="宋体" w:cs="宋体"/>
          <w:spacing w:val="-2"/>
          <w:sz w:val="24"/>
          <w:szCs w:val="24"/>
        </w:rPr>
        <w:t>规定，将本合同附件十《特殊材料设备供应一览表》（下称一览表）规定的材料设备通过招标方式选定材料设备供货人。材料设备供货人将按表列的价格向承包人提供材料设</w:t>
      </w:r>
      <w:r>
        <w:rPr>
          <w:rFonts w:ascii="宋体" w:hAnsi="宋体" w:eastAsia="宋体" w:cs="宋体"/>
          <w:spacing w:val="-3"/>
          <w:sz w:val="24"/>
          <w:szCs w:val="24"/>
        </w:rPr>
        <w:t>备。对于此类特殊材料的供货，应满足以下规定：</w:t>
      </w:r>
    </w:p>
    <w:p w14:paraId="506FA3F3">
      <w:pPr>
        <w:spacing w:line="360" w:lineRule="auto"/>
        <w:ind w:left="8" w:firstLine="523"/>
        <w:rPr>
          <w:rFonts w:ascii="宋体" w:hAnsi="宋体" w:eastAsia="宋体" w:cs="宋体"/>
          <w:sz w:val="24"/>
          <w:szCs w:val="24"/>
        </w:rPr>
      </w:pPr>
      <w:r>
        <w:rPr>
          <w:rFonts w:ascii="宋体" w:hAnsi="宋体" w:eastAsia="宋体" w:cs="宋体"/>
          <w:spacing w:val="-4"/>
          <w:sz w:val="24"/>
          <w:szCs w:val="24"/>
        </w:rPr>
        <w:t>(1) 发包人按一览表约定的内容提供材料设备，并负责向承包人提供产品合格证明，</w:t>
      </w:r>
      <w:r>
        <w:rPr>
          <w:rFonts w:ascii="宋体" w:hAnsi="宋体" w:eastAsia="宋体" w:cs="宋体"/>
          <w:spacing w:val="-1"/>
          <w:sz w:val="24"/>
          <w:szCs w:val="24"/>
        </w:rPr>
        <w:t>对其真实性负责。但此项规定并不表明免除承包人检验材</w:t>
      </w:r>
      <w:r>
        <w:rPr>
          <w:rFonts w:ascii="宋体" w:hAnsi="宋体" w:eastAsia="宋体" w:cs="宋体"/>
          <w:spacing w:val="-2"/>
          <w:sz w:val="24"/>
          <w:szCs w:val="24"/>
        </w:rPr>
        <w:t>料设备质量的责任。</w:t>
      </w:r>
    </w:p>
    <w:p w14:paraId="1C6A850C">
      <w:pPr>
        <w:spacing w:line="360" w:lineRule="auto"/>
        <w:ind w:left="8" w:right="186" w:firstLine="523"/>
        <w:rPr>
          <w:rFonts w:ascii="宋体" w:hAnsi="宋体" w:eastAsia="宋体" w:cs="宋体"/>
          <w:sz w:val="24"/>
          <w:szCs w:val="24"/>
        </w:rPr>
      </w:pPr>
      <w:r>
        <w:rPr>
          <w:rFonts w:ascii="宋体" w:hAnsi="宋体" w:eastAsia="宋体" w:cs="宋体"/>
          <w:spacing w:val="-3"/>
          <w:sz w:val="24"/>
          <w:szCs w:val="24"/>
        </w:rPr>
        <w:t>(2) 工程开工后，承包人应根据进度计划向发包人提出本款规定的材料设备使用计划，由发包人按计划提供材料。</w:t>
      </w:r>
    </w:p>
    <w:p w14:paraId="244E6269">
      <w:pPr>
        <w:spacing w:before="1" w:line="362" w:lineRule="auto"/>
        <w:ind w:left="9" w:right="193" w:firstLine="522"/>
        <w:rPr>
          <w:rFonts w:ascii="宋体" w:hAnsi="宋体" w:eastAsia="宋体" w:cs="宋体"/>
          <w:sz w:val="24"/>
          <w:szCs w:val="24"/>
        </w:rPr>
      </w:pPr>
      <w:r>
        <w:rPr>
          <w:rFonts w:ascii="宋体" w:hAnsi="宋体" w:eastAsia="宋体" w:cs="宋体"/>
          <w:spacing w:val="-1"/>
          <w:sz w:val="24"/>
          <w:szCs w:val="24"/>
        </w:rPr>
        <w:t>(3) 发包人在所供材料设备到货前</w:t>
      </w:r>
      <w:r>
        <w:rPr>
          <w:rFonts w:ascii="宋体" w:hAnsi="宋体" w:eastAsia="宋体" w:cs="宋体"/>
          <w:spacing w:val="-29"/>
          <w:sz w:val="24"/>
          <w:szCs w:val="24"/>
        </w:rPr>
        <w:t xml:space="preserve"> </w:t>
      </w:r>
      <w:r>
        <w:rPr>
          <w:rFonts w:ascii="宋体" w:hAnsi="宋体" w:eastAsia="宋体" w:cs="宋体"/>
          <w:spacing w:val="-1"/>
          <w:sz w:val="24"/>
          <w:szCs w:val="24"/>
        </w:rPr>
        <w:t>24</w:t>
      </w:r>
      <w:r>
        <w:rPr>
          <w:rFonts w:ascii="宋体" w:hAnsi="宋体" w:eastAsia="宋体" w:cs="宋体"/>
          <w:spacing w:val="-41"/>
          <w:sz w:val="24"/>
          <w:szCs w:val="24"/>
        </w:rPr>
        <w:t xml:space="preserve"> </w:t>
      </w:r>
      <w:r>
        <w:rPr>
          <w:rFonts w:ascii="宋体" w:hAnsi="宋体" w:eastAsia="宋体" w:cs="宋体"/>
          <w:spacing w:val="-1"/>
          <w:sz w:val="24"/>
          <w:szCs w:val="24"/>
        </w:rPr>
        <w:t>小时，以书面形式通知承包人；到货时，由</w:t>
      </w:r>
      <w:r>
        <w:rPr>
          <w:rFonts w:ascii="宋体" w:hAnsi="宋体" w:eastAsia="宋体" w:cs="宋体"/>
          <w:spacing w:val="-2"/>
          <w:sz w:val="24"/>
          <w:szCs w:val="24"/>
        </w:rPr>
        <w:t>承包人派人清点，必要时，发包人可派人参</w:t>
      </w:r>
      <w:r>
        <w:rPr>
          <w:rFonts w:ascii="宋体" w:hAnsi="宋体" w:eastAsia="宋体" w:cs="宋体"/>
          <w:spacing w:val="-3"/>
          <w:sz w:val="24"/>
          <w:szCs w:val="24"/>
        </w:rPr>
        <w:t>加。</w:t>
      </w:r>
    </w:p>
    <w:p w14:paraId="0BDBAAA1">
      <w:pPr>
        <w:spacing w:line="362" w:lineRule="auto"/>
        <w:rPr>
          <w:rFonts w:ascii="宋体" w:hAnsi="宋体" w:eastAsia="宋体" w:cs="宋体"/>
          <w:sz w:val="24"/>
          <w:szCs w:val="24"/>
        </w:rPr>
        <w:sectPr>
          <w:headerReference r:id="rId67" w:type="default"/>
          <w:footerReference r:id="rId68" w:type="default"/>
          <w:pgSz w:w="11905" w:h="16840"/>
          <w:pgMar w:top="1182" w:right="1229" w:bottom="1171" w:left="1416" w:header="849" w:footer="937" w:gutter="0"/>
          <w:pgNumType w:fmt="decimal"/>
          <w:cols w:space="720" w:num="1"/>
        </w:sectPr>
      </w:pPr>
    </w:p>
    <w:p w14:paraId="382A4A31">
      <w:pPr>
        <w:pStyle w:val="2"/>
        <w:spacing w:line="267" w:lineRule="auto"/>
      </w:pPr>
    </w:p>
    <w:p w14:paraId="1C14D1ED">
      <w:pPr>
        <w:spacing w:before="78" w:line="219" w:lineRule="auto"/>
        <w:ind w:left="531"/>
        <w:rPr>
          <w:rFonts w:ascii="宋体" w:hAnsi="宋体" w:eastAsia="宋体" w:cs="宋体"/>
          <w:sz w:val="24"/>
          <w:szCs w:val="24"/>
        </w:rPr>
      </w:pPr>
      <w:r>
        <w:rPr>
          <w:rFonts w:ascii="宋体" w:hAnsi="宋体" w:eastAsia="宋体" w:cs="宋体"/>
          <w:spacing w:val="-3"/>
          <w:sz w:val="24"/>
          <w:szCs w:val="24"/>
        </w:rPr>
        <w:t>(4) 材料设备办理清点交接手续后，承包人承担产品的储存、保管责任。</w:t>
      </w:r>
    </w:p>
    <w:p w14:paraId="0EBEBA90">
      <w:pPr>
        <w:spacing w:before="183" w:line="360" w:lineRule="auto"/>
        <w:ind w:left="11" w:right="85" w:firstLine="520"/>
        <w:rPr>
          <w:rFonts w:ascii="宋体" w:hAnsi="宋体" w:eastAsia="宋体" w:cs="宋体"/>
          <w:sz w:val="24"/>
          <w:szCs w:val="24"/>
        </w:rPr>
      </w:pPr>
      <w:r>
        <w:rPr>
          <w:rFonts w:ascii="宋体" w:hAnsi="宋体" w:eastAsia="宋体" w:cs="宋体"/>
          <w:spacing w:val="-3"/>
          <w:sz w:val="24"/>
          <w:szCs w:val="24"/>
        </w:rPr>
        <w:t>(5) 一览表约定的数量为暂定数量，发包人按承包人实际接收材料设备数量进行结</w:t>
      </w:r>
      <w:r>
        <w:rPr>
          <w:rFonts w:ascii="宋体" w:hAnsi="宋体" w:eastAsia="宋体" w:cs="宋体"/>
          <w:spacing w:val="-12"/>
          <w:sz w:val="24"/>
          <w:szCs w:val="24"/>
        </w:rPr>
        <w:t>算。</w:t>
      </w:r>
    </w:p>
    <w:p w14:paraId="5B32D220">
      <w:pPr>
        <w:spacing w:before="2" w:line="359" w:lineRule="auto"/>
        <w:ind w:left="7" w:right="85" w:firstLine="524"/>
        <w:rPr>
          <w:rFonts w:ascii="宋体" w:hAnsi="宋体" w:eastAsia="宋体" w:cs="宋体"/>
          <w:sz w:val="24"/>
          <w:szCs w:val="24"/>
        </w:rPr>
      </w:pPr>
      <w:r>
        <w:rPr>
          <w:rFonts w:ascii="宋体" w:hAnsi="宋体" w:eastAsia="宋体" w:cs="宋体"/>
          <w:spacing w:val="-3"/>
          <w:sz w:val="24"/>
          <w:szCs w:val="24"/>
        </w:rPr>
        <w:t>(6) 一览表约定的到货地点不一致时，发包人负责运达一览表指定地点；发包人采</w:t>
      </w:r>
      <w:r>
        <w:rPr>
          <w:rFonts w:ascii="宋体" w:hAnsi="宋体" w:eastAsia="宋体" w:cs="宋体"/>
          <w:spacing w:val="-2"/>
          <w:sz w:val="24"/>
          <w:szCs w:val="24"/>
        </w:rPr>
        <w:t>购单价与一览表材料设备单价不符，发包人仅承担价差（含税）。</w:t>
      </w:r>
    </w:p>
    <w:p w14:paraId="7C1DDFDE">
      <w:pPr>
        <w:spacing w:line="360" w:lineRule="auto"/>
        <w:ind w:left="10" w:firstLine="521"/>
        <w:rPr>
          <w:rFonts w:ascii="宋体" w:hAnsi="宋体" w:eastAsia="宋体" w:cs="宋体"/>
          <w:sz w:val="24"/>
          <w:szCs w:val="24"/>
        </w:rPr>
      </w:pPr>
      <w:r>
        <w:rPr>
          <w:rFonts w:ascii="宋体" w:hAnsi="宋体" w:eastAsia="宋体" w:cs="宋体"/>
          <w:spacing w:val="-3"/>
          <w:sz w:val="24"/>
          <w:szCs w:val="24"/>
        </w:rPr>
        <w:t>(7) 发包人供应的材料设备使用前，由承包人负责检验或试验，品种、规格、型号</w:t>
      </w:r>
      <w:r>
        <w:rPr>
          <w:rFonts w:ascii="宋体" w:hAnsi="宋体" w:eastAsia="宋体" w:cs="宋体"/>
          <w:sz w:val="24"/>
          <w:szCs w:val="24"/>
        </w:rPr>
        <w:t>或质量与一览表不符的，承包人可拒绝接收，发包人应负责</w:t>
      </w:r>
      <w:r>
        <w:rPr>
          <w:rFonts w:ascii="宋体" w:hAnsi="宋体" w:eastAsia="宋体" w:cs="宋体"/>
          <w:spacing w:val="-1"/>
          <w:sz w:val="24"/>
          <w:szCs w:val="24"/>
        </w:rPr>
        <w:t>运出施工场地并重新采购；</w:t>
      </w:r>
      <w:r>
        <w:rPr>
          <w:rFonts w:ascii="宋体" w:hAnsi="宋体" w:eastAsia="宋体" w:cs="宋体"/>
          <w:spacing w:val="-5"/>
          <w:sz w:val="24"/>
          <w:szCs w:val="24"/>
        </w:rPr>
        <w:t>品种、规格或型号与一览表不符但质量经检</w:t>
      </w:r>
      <w:r>
        <w:rPr>
          <w:rFonts w:ascii="宋体" w:hAnsi="宋体" w:eastAsia="宋体" w:cs="宋体"/>
          <w:spacing w:val="-6"/>
          <w:sz w:val="24"/>
          <w:szCs w:val="24"/>
        </w:rPr>
        <w:t>验合格的，经监理人同意，可调剂串换使用。</w:t>
      </w:r>
      <w:r>
        <w:rPr>
          <w:rFonts w:ascii="宋体" w:hAnsi="宋体" w:eastAsia="宋体" w:cs="宋体"/>
          <w:spacing w:val="-2"/>
          <w:sz w:val="24"/>
          <w:szCs w:val="24"/>
        </w:rPr>
        <w:t>若上述不符是属于承包人责任造成的，则因此而增加的相应费用由承包人承担。若上述不符是属于非承包人责任造成的，并因此引起承包人工期延误或费用增加，则由发包人</w:t>
      </w:r>
      <w:r>
        <w:rPr>
          <w:rFonts w:ascii="宋体" w:hAnsi="宋体" w:eastAsia="宋体" w:cs="宋体"/>
          <w:spacing w:val="-8"/>
          <w:sz w:val="24"/>
          <w:szCs w:val="24"/>
        </w:rPr>
        <w:t>负责赔偿。</w:t>
      </w:r>
    </w:p>
    <w:p w14:paraId="32DF8E8A">
      <w:pPr>
        <w:spacing w:before="2" w:line="359" w:lineRule="auto"/>
        <w:ind w:left="14" w:right="85" w:firstLine="517"/>
        <w:rPr>
          <w:rFonts w:ascii="宋体" w:hAnsi="宋体" w:eastAsia="宋体" w:cs="宋体"/>
          <w:sz w:val="24"/>
          <w:szCs w:val="24"/>
        </w:rPr>
      </w:pPr>
      <w:r>
        <w:rPr>
          <w:rFonts w:ascii="宋体" w:hAnsi="宋体" w:eastAsia="宋体" w:cs="宋体"/>
          <w:spacing w:val="-3"/>
          <w:sz w:val="24"/>
          <w:szCs w:val="24"/>
        </w:rPr>
        <w:t>(8) 为恰当和正确地使用、安装和实施这些材料和工程设备所必需的但一览表中未</w:t>
      </w:r>
      <w:r>
        <w:rPr>
          <w:rFonts w:ascii="宋体" w:hAnsi="宋体" w:eastAsia="宋体" w:cs="宋体"/>
          <w:spacing w:val="-2"/>
          <w:sz w:val="24"/>
          <w:szCs w:val="24"/>
        </w:rPr>
        <w:t>列明的其他任何辅助性材料以及人工费应已经包含在承包人的合同总价中。</w:t>
      </w:r>
    </w:p>
    <w:p w14:paraId="72B87478">
      <w:pPr>
        <w:spacing w:line="360" w:lineRule="auto"/>
        <w:ind w:left="8" w:right="85" w:firstLine="523"/>
        <w:rPr>
          <w:rFonts w:ascii="宋体" w:hAnsi="宋体" w:eastAsia="宋体" w:cs="宋体"/>
          <w:sz w:val="24"/>
          <w:szCs w:val="24"/>
        </w:rPr>
      </w:pPr>
      <w:r>
        <w:rPr>
          <w:rFonts w:ascii="宋体" w:hAnsi="宋体" w:eastAsia="宋体" w:cs="宋体"/>
          <w:spacing w:val="-3"/>
          <w:sz w:val="24"/>
          <w:szCs w:val="24"/>
        </w:rPr>
        <w:t>(9) 发包人供应的材料设备款，发包人将在供应后一个至两个月内从承包人工程进</w:t>
      </w:r>
      <w:r>
        <w:rPr>
          <w:rFonts w:ascii="宋体" w:hAnsi="宋体" w:eastAsia="宋体" w:cs="宋体"/>
          <w:spacing w:val="-5"/>
          <w:sz w:val="24"/>
          <w:szCs w:val="24"/>
        </w:rPr>
        <w:t>度款中扣回。但为保证材料设备款在交工验收时得到全额扣回， 发包人有权调整扣回时</w:t>
      </w:r>
      <w:r>
        <w:rPr>
          <w:rFonts w:ascii="宋体" w:hAnsi="宋体" w:eastAsia="宋体" w:cs="宋体"/>
          <w:spacing w:val="-7"/>
          <w:sz w:val="24"/>
          <w:szCs w:val="24"/>
        </w:rPr>
        <w:t>间及比例。</w:t>
      </w:r>
    </w:p>
    <w:p w14:paraId="7878E9BF">
      <w:pPr>
        <w:spacing w:line="360" w:lineRule="auto"/>
        <w:ind w:left="10" w:right="20" w:firstLine="521"/>
        <w:rPr>
          <w:rFonts w:ascii="宋体" w:hAnsi="宋体" w:eastAsia="宋体" w:cs="宋体"/>
          <w:sz w:val="24"/>
          <w:szCs w:val="24"/>
        </w:rPr>
      </w:pPr>
      <w:r>
        <w:rPr>
          <w:rFonts w:ascii="宋体" w:hAnsi="宋体" w:eastAsia="宋体" w:cs="宋体"/>
          <w:sz w:val="24"/>
          <w:szCs w:val="24"/>
        </w:rPr>
        <w:t>(10) 如发包人需采用任何从国（境）外进口材料和工程设备，且这些进口的材料</w:t>
      </w:r>
      <w:r>
        <w:rPr>
          <w:rFonts w:ascii="宋体" w:hAnsi="宋体" w:eastAsia="宋体" w:cs="宋体"/>
          <w:spacing w:val="-2"/>
          <w:sz w:val="24"/>
          <w:szCs w:val="24"/>
        </w:rPr>
        <w:t>和工程设备直接由发包人负责采购和办理进口，则由发包人承担进口材料和工程设备的一切开支，负责办理与此类进口有关的申请、许可、证书、外汇使用等手续并承担相应的费用。如果由于发包人原因导致进口材料和工程设备不能按计划运抵现场致使工程延</w:t>
      </w:r>
      <w:r>
        <w:rPr>
          <w:rFonts w:ascii="宋体" w:hAnsi="宋体" w:eastAsia="宋体" w:cs="宋体"/>
          <w:spacing w:val="-6"/>
          <w:sz w:val="24"/>
          <w:szCs w:val="24"/>
        </w:rPr>
        <w:t>误，承包人应就此通知监理人，监理人在收到此类通知并与承包人适当协商之后应决定：</w:t>
      </w:r>
      <w:r>
        <w:rPr>
          <w:rFonts w:ascii="宋体" w:hAnsi="宋体" w:eastAsia="宋体" w:cs="宋体"/>
          <w:sz w:val="24"/>
          <w:szCs w:val="24"/>
        </w:rPr>
        <w:t>依据第</w:t>
      </w:r>
      <w:r>
        <w:rPr>
          <w:rFonts w:ascii="宋体" w:hAnsi="宋体" w:eastAsia="宋体" w:cs="宋体"/>
          <w:spacing w:val="-23"/>
          <w:sz w:val="24"/>
          <w:szCs w:val="24"/>
        </w:rPr>
        <w:t xml:space="preserve"> </w:t>
      </w:r>
      <w:r>
        <w:rPr>
          <w:rFonts w:ascii="宋体" w:hAnsi="宋体" w:eastAsia="宋体" w:cs="宋体"/>
          <w:sz w:val="24"/>
          <w:szCs w:val="24"/>
        </w:rPr>
        <w:t>11.3</w:t>
      </w:r>
      <w:r>
        <w:rPr>
          <w:rFonts w:ascii="宋体" w:hAnsi="宋体" w:eastAsia="宋体" w:cs="宋体"/>
          <w:spacing w:val="-48"/>
          <w:sz w:val="24"/>
          <w:szCs w:val="24"/>
        </w:rPr>
        <w:t xml:space="preserve"> </w:t>
      </w:r>
      <w:r>
        <w:rPr>
          <w:rFonts w:ascii="宋体" w:hAnsi="宋体" w:eastAsia="宋体" w:cs="宋体"/>
          <w:sz w:val="24"/>
          <w:szCs w:val="24"/>
        </w:rPr>
        <w:t>款规定承包人是否可以延长工期，承包人由此而发生的额外费用是否增加</w:t>
      </w:r>
      <w:r>
        <w:rPr>
          <w:rFonts w:ascii="宋体" w:hAnsi="宋体" w:eastAsia="宋体" w:cs="宋体"/>
          <w:spacing w:val="-7"/>
          <w:sz w:val="24"/>
          <w:szCs w:val="24"/>
        </w:rPr>
        <w:t>到合同价中。</w:t>
      </w:r>
    </w:p>
    <w:p w14:paraId="7E41131C">
      <w:pPr>
        <w:spacing w:line="360" w:lineRule="auto"/>
        <w:ind w:left="11" w:firstLine="481"/>
        <w:jc w:val="both"/>
        <w:rPr>
          <w:rFonts w:ascii="宋体" w:hAnsi="宋体" w:eastAsia="宋体" w:cs="宋体"/>
          <w:sz w:val="24"/>
          <w:szCs w:val="24"/>
        </w:rPr>
      </w:pPr>
      <w:r>
        <w:rPr>
          <w:rFonts w:ascii="宋体" w:hAnsi="宋体" w:eastAsia="宋体" w:cs="宋体"/>
          <w:spacing w:val="-2"/>
          <w:sz w:val="24"/>
          <w:szCs w:val="24"/>
        </w:rPr>
        <w:t>没有发包人的书面同意，承包人不得自行采购</w:t>
      </w:r>
      <w:r>
        <w:rPr>
          <w:rFonts w:ascii="宋体" w:hAnsi="宋体" w:eastAsia="宋体" w:cs="宋体"/>
          <w:spacing w:val="-46"/>
          <w:sz w:val="24"/>
          <w:szCs w:val="24"/>
        </w:rPr>
        <w:t xml:space="preserve"> </w:t>
      </w:r>
      <w:r>
        <w:rPr>
          <w:rFonts w:ascii="宋体" w:hAnsi="宋体" w:eastAsia="宋体" w:cs="宋体"/>
          <w:spacing w:val="-2"/>
          <w:sz w:val="24"/>
          <w:szCs w:val="24"/>
        </w:rPr>
        <w:t>5.2.1</w:t>
      </w:r>
      <w:r>
        <w:rPr>
          <w:rFonts w:ascii="宋体" w:hAnsi="宋体" w:eastAsia="宋体" w:cs="宋体"/>
          <w:spacing w:val="-50"/>
          <w:sz w:val="24"/>
          <w:szCs w:val="24"/>
        </w:rPr>
        <w:t xml:space="preserve"> </w:t>
      </w:r>
      <w:r>
        <w:rPr>
          <w:rFonts w:ascii="宋体" w:hAnsi="宋体" w:eastAsia="宋体" w:cs="宋体"/>
          <w:spacing w:val="-2"/>
          <w:sz w:val="24"/>
          <w:szCs w:val="24"/>
        </w:rPr>
        <w:t>款规</w:t>
      </w:r>
      <w:r>
        <w:rPr>
          <w:rFonts w:ascii="宋体" w:hAnsi="宋体" w:eastAsia="宋体" w:cs="宋体"/>
          <w:spacing w:val="-3"/>
          <w:sz w:val="24"/>
          <w:szCs w:val="24"/>
        </w:rPr>
        <w:t>定的材料和工程设备，否</w:t>
      </w:r>
      <w:r>
        <w:rPr>
          <w:rFonts w:ascii="宋体" w:hAnsi="宋体" w:eastAsia="宋体" w:cs="宋体"/>
          <w:spacing w:val="-6"/>
          <w:sz w:val="24"/>
          <w:szCs w:val="24"/>
        </w:rPr>
        <w:t>则监理人、发包人将拒绝使用这些材料和工程设备，承包人应赔偿由此带来的一切损失。</w:t>
      </w:r>
      <w:r>
        <w:rPr>
          <w:rFonts w:ascii="宋体" w:hAnsi="宋体" w:eastAsia="宋体" w:cs="宋体"/>
          <w:sz w:val="24"/>
          <w:szCs w:val="24"/>
        </w:rPr>
        <w:t>无论出现任何情况，承包人均不得售卖发包人供应的材料</w:t>
      </w:r>
      <w:r>
        <w:rPr>
          <w:rFonts w:ascii="宋体" w:hAnsi="宋体" w:eastAsia="宋体" w:cs="宋体"/>
          <w:spacing w:val="-1"/>
          <w:sz w:val="24"/>
          <w:szCs w:val="24"/>
        </w:rPr>
        <w:t>和工程设备，否则一经查实，</w:t>
      </w:r>
      <w:r>
        <w:rPr>
          <w:rFonts w:ascii="宋体" w:hAnsi="宋体" w:eastAsia="宋体" w:cs="宋体"/>
          <w:spacing w:val="-2"/>
          <w:sz w:val="24"/>
          <w:szCs w:val="24"/>
        </w:rPr>
        <w:t>发包人有权对承包人处以售卖材料或工程设备金额两倍的违约金。</w:t>
      </w:r>
    </w:p>
    <w:p w14:paraId="4AE0D272">
      <w:pPr>
        <w:spacing w:before="1" w:line="218" w:lineRule="auto"/>
        <w:ind w:left="494"/>
        <w:rPr>
          <w:rFonts w:ascii="宋体" w:hAnsi="宋体" w:eastAsia="宋体" w:cs="宋体"/>
          <w:sz w:val="24"/>
          <w:szCs w:val="24"/>
        </w:rPr>
      </w:pPr>
      <w:r>
        <w:rPr>
          <w:rFonts w:ascii="宋体" w:hAnsi="宋体" w:eastAsia="宋体" w:cs="宋体"/>
          <w:spacing w:val="-1"/>
          <w:sz w:val="24"/>
          <w:szCs w:val="24"/>
        </w:rPr>
        <w:t>5.4 禁止使用不合格的材料和工程设备</w:t>
      </w:r>
    </w:p>
    <w:p w14:paraId="1E2029FB">
      <w:pPr>
        <w:spacing w:before="183" w:line="220" w:lineRule="auto"/>
        <w:ind w:left="488"/>
        <w:rPr>
          <w:rFonts w:ascii="宋体" w:hAnsi="宋体" w:eastAsia="宋体" w:cs="宋体"/>
          <w:sz w:val="24"/>
          <w:szCs w:val="24"/>
        </w:rPr>
      </w:pPr>
      <w:r>
        <w:rPr>
          <w:rFonts w:ascii="宋体" w:hAnsi="宋体" w:eastAsia="宋体" w:cs="宋体"/>
          <w:spacing w:val="-2"/>
          <w:sz w:val="24"/>
          <w:szCs w:val="24"/>
        </w:rPr>
        <w:t>在</w:t>
      </w:r>
      <w:r>
        <w:rPr>
          <w:rFonts w:ascii="宋体" w:hAnsi="宋体" w:eastAsia="宋体" w:cs="宋体"/>
          <w:spacing w:val="-46"/>
          <w:sz w:val="24"/>
          <w:szCs w:val="24"/>
        </w:rPr>
        <w:t xml:space="preserve"> </w:t>
      </w:r>
      <w:r>
        <w:rPr>
          <w:rFonts w:ascii="宋体" w:hAnsi="宋体" w:eastAsia="宋体" w:cs="宋体"/>
          <w:spacing w:val="-2"/>
          <w:sz w:val="24"/>
          <w:szCs w:val="24"/>
        </w:rPr>
        <w:t>5.4.2</w:t>
      </w:r>
      <w:r>
        <w:rPr>
          <w:rFonts w:ascii="宋体" w:hAnsi="宋体" w:eastAsia="宋体" w:cs="宋体"/>
          <w:spacing w:val="-47"/>
          <w:sz w:val="24"/>
          <w:szCs w:val="24"/>
        </w:rPr>
        <w:t xml:space="preserve"> </w:t>
      </w:r>
      <w:r>
        <w:rPr>
          <w:rFonts w:ascii="宋体" w:hAnsi="宋体" w:eastAsia="宋体" w:cs="宋体"/>
          <w:spacing w:val="-2"/>
          <w:sz w:val="24"/>
          <w:szCs w:val="24"/>
        </w:rPr>
        <w:t>项末尾增加：承包人还应承担由此带来的</w:t>
      </w:r>
      <w:r>
        <w:rPr>
          <w:rFonts w:ascii="宋体" w:hAnsi="宋体" w:eastAsia="宋体" w:cs="宋体"/>
          <w:spacing w:val="-3"/>
          <w:sz w:val="24"/>
          <w:szCs w:val="24"/>
        </w:rPr>
        <w:t>一切损失。</w:t>
      </w:r>
    </w:p>
    <w:p w14:paraId="2CBA6E0D">
      <w:pPr>
        <w:spacing w:before="182" w:line="219" w:lineRule="auto"/>
        <w:ind w:left="490"/>
        <w:rPr>
          <w:rFonts w:ascii="宋体" w:hAnsi="宋体" w:eastAsia="宋体" w:cs="宋体"/>
          <w:sz w:val="24"/>
          <w:szCs w:val="24"/>
        </w:rPr>
      </w:pPr>
      <w:r>
        <w:rPr>
          <w:rFonts w:ascii="宋体" w:hAnsi="宋体" w:eastAsia="宋体" w:cs="宋体"/>
          <w:spacing w:val="-4"/>
          <w:sz w:val="24"/>
          <w:szCs w:val="24"/>
        </w:rPr>
        <w:t>本条补充第 5.5</w:t>
      </w:r>
      <w:r>
        <w:rPr>
          <w:rFonts w:ascii="宋体" w:hAnsi="宋体" w:eastAsia="宋体" w:cs="宋体"/>
          <w:spacing w:val="10"/>
          <w:sz w:val="24"/>
          <w:szCs w:val="24"/>
        </w:rPr>
        <w:t xml:space="preserve"> </w:t>
      </w:r>
      <w:r>
        <w:rPr>
          <w:rFonts w:ascii="宋体" w:hAnsi="宋体" w:eastAsia="宋体" w:cs="宋体"/>
          <w:spacing w:val="-4"/>
          <w:sz w:val="24"/>
          <w:szCs w:val="24"/>
        </w:rPr>
        <w:t>款-第</w:t>
      </w:r>
      <w:r>
        <w:rPr>
          <w:rFonts w:ascii="宋体" w:hAnsi="宋体" w:eastAsia="宋体" w:cs="宋体"/>
          <w:spacing w:val="14"/>
          <w:sz w:val="24"/>
          <w:szCs w:val="24"/>
        </w:rPr>
        <w:t xml:space="preserve"> </w:t>
      </w:r>
      <w:r>
        <w:rPr>
          <w:rFonts w:ascii="宋体" w:hAnsi="宋体" w:eastAsia="宋体" w:cs="宋体"/>
          <w:spacing w:val="-4"/>
          <w:sz w:val="24"/>
          <w:szCs w:val="24"/>
        </w:rPr>
        <w:t>5.8</w:t>
      </w:r>
      <w:r>
        <w:rPr>
          <w:rFonts w:ascii="宋体" w:hAnsi="宋体" w:eastAsia="宋体" w:cs="宋体"/>
          <w:spacing w:val="10"/>
          <w:sz w:val="24"/>
          <w:szCs w:val="24"/>
        </w:rPr>
        <w:t xml:space="preserve"> </w:t>
      </w:r>
      <w:r>
        <w:rPr>
          <w:rFonts w:ascii="宋体" w:hAnsi="宋体" w:eastAsia="宋体" w:cs="宋体"/>
          <w:spacing w:val="-4"/>
          <w:sz w:val="24"/>
          <w:szCs w:val="24"/>
        </w:rPr>
        <w:t>款：</w:t>
      </w:r>
    </w:p>
    <w:p w14:paraId="70460BCE">
      <w:pPr>
        <w:spacing w:line="219" w:lineRule="auto"/>
        <w:rPr>
          <w:rFonts w:ascii="宋体" w:hAnsi="宋体" w:eastAsia="宋体" w:cs="宋体"/>
          <w:sz w:val="24"/>
          <w:szCs w:val="24"/>
        </w:rPr>
        <w:sectPr>
          <w:footerReference r:id="rId69" w:type="default"/>
          <w:pgSz w:w="11905" w:h="16840"/>
          <w:pgMar w:top="1182" w:right="1331" w:bottom="1171" w:left="1416" w:header="849" w:footer="937" w:gutter="0"/>
          <w:pgNumType w:fmt="decimal"/>
          <w:cols w:space="720" w:num="1"/>
        </w:sectPr>
      </w:pPr>
    </w:p>
    <w:p w14:paraId="4252AF95">
      <w:pPr>
        <w:pStyle w:val="2"/>
        <w:spacing w:line="267" w:lineRule="auto"/>
      </w:pPr>
    </w:p>
    <w:p w14:paraId="64200FDA">
      <w:pPr>
        <w:spacing w:before="78" w:line="219" w:lineRule="auto"/>
        <w:ind w:left="494"/>
        <w:rPr>
          <w:rFonts w:ascii="宋体" w:hAnsi="宋体" w:eastAsia="宋体" w:cs="宋体"/>
          <w:sz w:val="24"/>
          <w:szCs w:val="24"/>
        </w:rPr>
      </w:pPr>
      <w:r>
        <w:rPr>
          <w:rFonts w:ascii="宋体" w:hAnsi="宋体" w:eastAsia="宋体" w:cs="宋体"/>
          <w:spacing w:val="-3"/>
          <w:sz w:val="24"/>
          <w:szCs w:val="24"/>
        </w:rPr>
        <w:t>5.5</w:t>
      </w:r>
      <w:r>
        <w:rPr>
          <w:rFonts w:ascii="宋体" w:hAnsi="宋体" w:eastAsia="宋体" w:cs="宋体"/>
          <w:spacing w:val="-44"/>
          <w:sz w:val="24"/>
          <w:szCs w:val="24"/>
        </w:rPr>
        <w:t xml:space="preserve"> </w:t>
      </w:r>
      <w:r>
        <w:rPr>
          <w:rFonts w:ascii="宋体" w:hAnsi="宋体" w:eastAsia="宋体" w:cs="宋体"/>
          <w:spacing w:val="-3"/>
          <w:sz w:val="24"/>
          <w:szCs w:val="24"/>
        </w:rPr>
        <w:t>代用材料的使用</w:t>
      </w:r>
    </w:p>
    <w:p w14:paraId="649DDA22">
      <w:pPr>
        <w:spacing w:before="183" w:line="360" w:lineRule="auto"/>
        <w:ind w:left="10" w:right="66" w:firstLine="483"/>
        <w:jc w:val="both"/>
        <w:rPr>
          <w:rFonts w:ascii="宋体" w:hAnsi="宋体" w:eastAsia="宋体" w:cs="宋体"/>
          <w:sz w:val="24"/>
          <w:szCs w:val="24"/>
        </w:rPr>
      </w:pPr>
      <w:r>
        <w:rPr>
          <w:rFonts w:ascii="宋体" w:hAnsi="宋体" w:eastAsia="宋体" w:cs="宋体"/>
          <w:spacing w:val="-1"/>
          <w:sz w:val="24"/>
          <w:szCs w:val="24"/>
        </w:rPr>
        <w:t>5.5.1</w:t>
      </w:r>
      <w:r>
        <w:rPr>
          <w:rFonts w:ascii="宋体" w:hAnsi="宋体" w:eastAsia="宋体" w:cs="宋体"/>
          <w:spacing w:val="-34"/>
          <w:sz w:val="24"/>
          <w:szCs w:val="24"/>
        </w:rPr>
        <w:t xml:space="preserve"> </w:t>
      </w:r>
      <w:r>
        <w:rPr>
          <w:rFonts w:ascii="宋体" w:hAnsi="宋体" w:eastAsia="宋体" w:cs="宋体"/>
          <w:spacing w:val="-1"/>
          <w:sz w:val="24"/>
          <w:szCs w:val="24"/>
        </w:rPr>
        <w:t>承包人需要使用代用材料时，应经监理人认可并由发包人同意后才能使用，</w:t>
      </w:r>
      <w:r>
        <w:rPr>
          <w:rFonts w:ascii="宋体" w:hAnsi="宋体" w:eastAsia="宋体" w:cs="宋体"/>
          <w:spacing w:val="-5"/>
          <w:sz w:val="24"/>
          <w:szCs w:val="24"/>
        </w:rPr>
        <w:t>由此增减的合同价款双方以书面形式议定。承包人申请使用代用材料， 仅限于出现下列</w:t>
      </w:r>
      <w:r>
        <w:rPr>
          <w:rFonts w:ascii="宋体" w:hAnsi="宋体" w:eastAsia="宋体" w:cs="宋体"/>
          <w:spacing w:val="-13"/>
          <w:sz w:val="24"/>
          <w:szCs w:val="24"/>
        </w:rPr>
        <w:t>情况时：</w:t>
      </w:r>
    </w:p>
    <w:p w14:paraId="63475E26">
      <w:pPr>
        <w:spacing w:before="1" w:line="218" w:lineRule="auto"/>
        <w:ind w:left="531"/>
        <w:rPr>
          <w:rFonts w:ascii="宋体" w:hAnsi="宋体" w:eastAsia="宋体" w:cs="宋体"/>
          <w:sz w:val="24"/>
          <w:szCs w:val="24"/>
        </w:rPr>
      </w:pPr>
      <w:r>
        <w:rPr>
          <w:rFonts w:ascii="宋体" w:hAnsi="宋体" w:eastAsia="宋体" w:cs="宋体"/>
          <w:spacing w:val="-5"/>
          <w:sz w:val="24"/>
          <w:szCs w:val="24"/>
        </w:rPr>
        <w:t>(1)市场上无供应或在一定时间内突然供应短缺；</w:t>
      </w:r>
    </w:p>
    <w:p w14:paraId="5ED776B5">
      <w:pPr>
        <w:spacing w:before="183" w:line="219" w:lineRule="auto"/>
        <w:ind w:left="531"/>
        <w:rPr>
          <w:rFonts w:ascii="宋体" w:hAnsi="宋体" w:eastAsia="宋体" w:cs="宋体"/>
          <w:sz w:val="24"/>
          <w:szCs w:val="24"/>
        </w:rPr>
      </w:pPr>
      <w:r>
        <w:rPr>
          <w:rFonts w:ascii="宋体" w:hAnsi="宋体" w:eastAsia="宋体" w:cs="宋体"/>
          <w:spacing w:val="-4"/>
          <w:sz w:val="24"/>
          <w:szCs w:val="24"/>
        </w:rPr>
        <w:t>(2)政府或有关管理机构的后继规章、规定</w:t>
      </w:r>
      <w:r>
        <w:rPr>
          <w:rFonts w:ascii="宋体" w:hAnsi="宋体" w:eastAsia="宋体" w:cs="宋体"/>
          <w:spacing w:val="-5"/>
          <w:sz w:val="24"/>
          <w:szCs w:val="24"/>
        </w:rPr>
        <w:t>禁止使用；</w:t>
      </w:r>
    </w:p>
    <w:p w14:paraId="366035F0">
      <w:pPr>
        <w:spacing w:before="183" w:line="360" w:lineRule="auto"/>
        <w:ind w:left="10" w:right="77" w:firstLine="521"/>
        <w:rPr>
          <w:rFonts w:ascii="宋体" w:hAnsi="宋体" w:eastAsia="宋体" w:cs="宋体"/>
          <w:sz w:val="24"/>
          <w:szCs w:val="24"/>
        </w:rPr>
      </w:pPr>
      <w:r>
        <w:rPr>
          <w:rFonts w:ascii="宋体" w:hAnsi="宋体" w:eastAsia="宋体" w:cs="宋体"/>
          <w:sz w:val="24"/>
          <w:szCs w:val="24"/>
        </w:rPr>
        <w:t>(3)发包人或监理人要求使用其他替代品；或者承包人提出，发包人和监理人批准</w:t>
      </w:r>
      <w:r>
        <w:rPr>
          <w:rFonts w:ascii="宋体" w:hAnsi="宋体" w:eastAsia="宋体" w:cs="宋体"/>
          <w:spacing w:val="-8"/>
          <w:sz w:val="24"/>
          <w:szCs w:val="24"/>
        </w:rPr>
        <w:t>使用其他替代品；</w:t>
      </w:r>
    </w:p>
    <w:p w14:paraId="54164B5F">
      <w:pPr>
        <w:spacing w:before="1" w:line="219" w:lineRule="auto"/>
        <w:ind w:left="531"/>
        <w:rPr>
          <w:rFonts w:ascii="宋体" w:hAnsi="宋体" w:eastAsia="宋体" w:cs="宋体"/>
          <w:sz w:val="24"/>
          <w:szCs w:val="24"/>
        </w:rPr>
      </w:pPr>
      <w:r>
        <w:rPr>
          <w:rFonts w:ascii="宋体" w:hAnsi="宋体" w:eastAsia="宋体" w:cs="宋体"/>
          <w:spacing w:val="-5"/>
          <w:sz w:val="24"/>
          <w:szCs w:val="24"/>
        </w:rPr>
        <w:t>(4)其他原因导致使用替代品成为必要的。</w:t>
      </w:r>
    </w:p>
    <w:p w14:paraId="666D7FD1">
      <w:pPr>
        <w:spacing w:before="182" w:line="360" w:lineRule="auto"/>
        <w:ind w:left="16" w:right="71" w:firstLine="476"/>
        <w:rPr>
          <w:rFonts w:ascii="宋体" w:hAnsi="宋体" w:eastAsia="宋体" w:cs="宋体"/>
          <w:sz w:val="24"/>
          <w:szCs w:val="24"/>
        </w:rPr>
      </w:pPr>
      <w:r>
        <w:rPr>
          <w:rFonts w:ascii="宋体" w:hAnsi="宋体" w:eastAsia="宋体" w:cs="宋体"/>
          <w:sz w:val="24"/>
          <w:szCs w:val="24"/>
        </w:rPr>
        <w:t>如果使用代用材料，承包人应在使用前至少</w:t>
      </w:r>
      <w:r>
        <w:rPr>
          <w:rFonts w:ascii="宋体" w:hAnsi="宋体" w:eastAsia="宋体" w:cs="宋体"/>
          <w:spacing w:val="-24"/>
          <w:sz w:val="24"/>
          <w:szCs w:val="24"/>
        </w:rPr>
        <w:t xml:space="preserve"> </w:t>
      </w:r>
      <w:r>
        <w:rPr>
          <w:rFonts w:ascii="宋体" w:hAnsi="宋体" w:eastAsia="宋体" w:cs="宋体"/>
          <w:sz w:val="24"/>
          <w:szCs w:val="24"/>
        </w:rPr>
        <w:t>14</w:t>
      </w:r>
      <w:r>
        <w:rPr>
          <w:rFonts w:ascii="宋体" w:hAnsi="宋体" w:eastAsia="宋体" w:cs="宋体"/>
          <w:spacing w:val="-43"/>
          <w:sz w:val="24"/>
          <w:szCs w:val="24"/>
        </w:rPr>
        <w:t xml:space="preserve"> </w:t>
      </w:r>
      <w:r>
        <w:rPr>
          <w:rFonts w:ascii="宋体" w:hAnsi="宋体" w:eastAsia="宋体" w:cs="宋体"/>
          <w:sz w:val="24"/>
          <w:szCs w:val="24"/>
        </w:rPr>
        <w:t>天，以书面形式通知监理人并提交</w:t>
      </w:r>
      <w:r>
        <w:rPr>
          <w:rFonts w:ascii="宋体" w:hAnsi="宋体" w:eastAsia="宋体" w:cs="宋体"/>
          <w:spacing w:val="-12"/>
          <w:sz w:val="24"/>
          <w:szCs w:val="24"/>
        </w:rPr>
        <w:t>下列文件：</w:t>
      </w:r>
    </w:p>
    <w:p w14:paraId="05FFD790">
      <w:pPr>
        <w:spacing w:before="3" w:line="359" w:lineRule="auto"/>
        <w:ind w:left="12" w:right="95" w:firstLine="519"/>
        <w:rPr>
          <w:rFonts w:ascii="宋体" w:hAnsi="宋体" w:eastAsia="宋体" w:cs="宋体"/>
          <w:sz w:val="24"/>
          <w:szCs w:val="24"/>
        </w:rPr>
      </w:pPr>
      <w:r>
        <w:rPr>
          <w:rFonts w:ascii="宋体" w:hAnsi="宋体" w:eastAsia="宋体" w:cs="宋体"/>
          <w:sz w:val="24"/>
          <w:szCs w:val="24"/>
        </w:rPr>
        <w:t>(1)拟采用的替代品的名称、数量、规格、型号、品牌、</w:t>
      </w:r>
      <w:r>
        <w:rPr>
          <w:rFonts w:ascii="宋体" w:hAnsi="宋体" w:eastAsia="宋体" w:cs="宋体"/>
          <w:spacing w:val="-1"/>
          <w:sz w:val="24"/>
          <w:szCs w:val="24"/>
        </w:rPr>
        <w:t>性能、价格及其他必要的</w:t>
      </w:r>
      <w:r>
        <w:rPr>
          <w:rFonts w:ascii="宋体" w:hAnsi="宋体" w:eastAsia="宋体" w:cs="宋体"/>
          <w:spacing w:val="-11"/>
          <w:sz w:val="24"/>
          <w:szCs w:val="24"/>
        </w:rPr>
        <w:t>详细资料；</w:t>
      </w:r>
    </w:p>
    <w:p w14:paraId="484C0F17">
      <w:pPr>
        <w:spacing w:line="219" w:lineRule="auto"/>
        <w:ind w:left="531"/>
        <w:rPr>
          <w:rFonts w:ascii="宋体" w:hAnsi="宋体" w:eastAsia="宋体" w:cs="宋体"/>
          <w:sz w:val="24"/>
          <w:szCs w:val="24"/>
        </w:rPr>
      </w:pPr>
      <w:r>
        <w:rPr>
          <w:rFonts w:ascii="宋体" w:hAnsi="宋体" w:eastAsia="宋体" w:cs="宋体"/>
          <w:spacing w:val="-8"/>
          <w:sz w:val="24"/>
          <w:szCs w:val="24"/>
        </w:rPr>
        <w:t>(2)替代品使用的工程部位；</w:t>
      </w:r>
    </w:p>
    <w:p w14:paraId="41B4C424">
      <w:pPr>
        <w:spacing w:before="183" w:line="219" w:lineRule="auto"/>
        <w:ind w:left="531"/>
        <w:rPr>
          <w:rFonts w:ascii="宋体" w:hAnsi="宋体" w:eastAsia="宋体" w:cs="宋体"/>
          <w:sz w:val="24"/>
          <w:szCs w:val="24"/>
        </w:rPr>
      </w:pPr>
      <w:r>
        <w:rPr>
          <w:rFonts w:ascii="宋体" w:hAnsi="宋体" w:eastAsia="宋体" w:cs="宋体"/>
          <w:spacing w:val="-7"/>
          <w:sz w:val="24"/>
          <w:szCs w:val="24"/>
        </w:rPr>
        <w:t>(3)采用替代品的理由和原因；</w:t>
      </w:r>
    </w:p>
    <w:p w14:paraId="319D0D67">
      <w:pPr>
        <w:spacing w:before="183" w:line="360" w:lineRule="auto"/>
        <w:ind w:left="10" w:right="77" w:firstLine="521"/>
        <w:rPr>
          <w:rFonts w:ascii="宋体" w:hAnsi="宋体" w:eastAsia="宋体" w:cs="宋体"/>
          <w:sz w:val="24"/>
          <w:szCs w:val="24"/>
        </w:rPr>
      </w:pPr>
      <w:r>
        <w:rPr>
          <w:rFonts w:ascii="宋体" w:hAnsi="宋体" w:eastAsia="宋体" w:cs="宋体"/>
          <w:sz w:val="24"/>
          <w:szCs w:val="24"/>
        </w:rPr>
        <w:t>(4)替代品与合同中约定的产品之间的差异以及使用替代品后可能对工程产生任何</w:t>
      </w:r>
      <w:r>
        <w:rPr>
          <w:rFonts w:ascii="宋体" w:hAnsi="宋体" w:eastAsia="宋体" w:cs="宋体"/>
          <w:spacing w:val="-10"/>
          <w:sz w:val="24"/>
          <w:szCs w:val="24"/>
        </w:rPr>
        <w:t>方面的影响；</w:t>
      </w:r>
    </w:p>
    <w:p w14:paraId="43FE7451">
      <w:pPr>
        <w:spacing w:line="218" w:lineRule="auto"/>
        <w:ind w:left="531"/>
        <w:rPr>
          <w:rFonts w:ascii="宋体" w:hAnsi="宋体" w:eastAsia="宋体" w:cs="宋体"/>
          <w:sz w:val="24"/>
          <w:szCs w:val="24"/>
        </w:rPr>
      </w:pPr>
      <w:r>
        <w:rPr>
          <w:rFonts w:ascii="宋体" w:hAnsi="宋体" w:eastAsia="宋体" w:cs="宋体"/>
          <w:spacing w:val="-10"/>
          <w:sz w:val="24"/>
          <w:szCs w:val="24"/>
        </w:rPr>
        <w:t>(5)价格上的差异；</w:t>
      </w:r>
    </w:p>
    <w:p w14:paraId="516861D6">
      <w:pPr>
        <w:spacing w:before="185" w:line="219" w:lineRule="auto"/>
        <w:ind w:left="531"/>
        <w:rPr>
          <w:rFonts w:ascii="宋体" w:hAnsi="宋体" w:eastAsia="宋体" w:cs="宋体"/>
          <w:sz w:val="24"/>
          <w:szCs w:val="24"/>
        </w:rPr>
      </w:pPr>
      <w:r>
        <w:rPr>
          <w:rFonts w:ascii="宋体" w:hAnsi="宋体" w:eastAsia="宋体" w:cs="宋体"/>
          <w:spacing w:val="-3"/>
          <w:sz w:val="24"/>
          <w:szCs w:val="24"/>
        </w:rPr>
        <w:t>(6)监理人为作出适当的决定而随时要求承包人提供的任何其他文件。</w:t>
      </w:r>
    </w:p>
    <w:p w14:paraId="65AF5E8E">
      <w:pPr>
        <w:spacing w:before="183" w:line="360" w:lineRule="auto"/>
        <w:ind w:left="8" w:right="66" w:firstLine="481"/>
        <w:jc w:val="both"/>
        <w:rPr>
          <w:rFonts w:ascii="宋体" w:hAnsi="宋体" w:eastAsia="宋体" w:cs="宋体"/>
          <w:sz w:val="24"/>
          <w:szCs w:val="24"/>
        </w:rPr>
      </w:pPr>
      <w:r>
        <w:rPr>
          <w:rFonts w:ascii="宋体" w:hAnsi="宋体" w:eastAsia="宋体" w:cs="宋体"/>
          <w:sz w:val="24"/>
          <w:szCs w:val="24"/>
        </w:rPr>
        <w:t>监理人在收到此类通知及上述文件后，应在</w:t>
      </w:r>
      <w:r>
        <w:rPr>
          <w:rFonts w:ascii="宋体" w:hAnsi="宋体" w:eastAsia="宋体" w:cs="宋体"/>
          <w:spacing w:val="-27"/>
          <w:sz w:val="24"/>
          <w:szCs w:val="24"/>
        </w:rPr>
        <w:t xml:space="preserve"> </w:t>
      </w:r>
      <w:r>
        <w:rPr>
          <w:rFonts w:ascii="宋体" w:hAnsi="宋体" w:eastAsia="宋体" w:cs="宋体"/>
          <w:sz w:val="24"/>
          <w:szCs w:val="24"/>
        </w:rPr>
        <w:t>14</w:t>
      </w:r>
      <w:r>
        <w:rPr>
          <w:rFonts w:ascii="宋体" w:hAnsi="宋体" w:eastAsia="宋体" w:cs="宋体"/>
          <w:spacing w:val="-43"/>
          <w:sz w:val="24"/>
          <w:szCs w:val="24"/>
        </w:rPr>
        <w:t xml:space="preserve"> </w:t>
      </w:r>
      <w:r>
        <w:rPr>
          <w:rFonts w:ascii="宋体" w:hAnsi="宋体" w:eastAsia="宋体" w:cs="宋体"/>
          <w:sz w:val="24"/>
          <w:szCs w:val="24"/>
        </w:rPr>
        <w:t>天内作出审查意见，并报</w:t>
      </w:r>
      <w:r>
        <w:rPr>
          <w:rFonts w:ascii="宋体" w:hAnsi="宋体" w:eastAsia="宋体" w:cs="宋体"/>
          <w:spacing w:val="-1"/>
          <w:sz w:val="24"/>
          <w:szCs w:val="24"/>
        </w:rPr>
        <w:t>发包人批</w:t>
      </w:r>
      <w:r>
        <w:rPr>
          <w:rFonts w:ascii="宋体" w:hAnsi="宋体" w:eastAsia="宋体" w:cs="宋体"/>
          <w:spacing w:val="-2"/>
          <w:sz w:val="24"/>
          <w:szCs w:val="24"/>
        </w:rPr>
        <w:t>准。发包人对使用替代品的批准以及承包人据此使用替代品不应解除承包人合同约定的</w:t>
      </w:r>
      <w:r>
        <w:rPr>
          <w:rFonts w:ascii="宋体" w:hAnsi="宋体" w:eastAsia="宋体" w:cs="宋体"/>
          <w:spacing w:val="-5"/>
          <w:sz w:val="24"/>
          <w:szCs w:val="24"/>
        </w:rPr>
        <w:t>任何职责和义务。任何情况下， 使用替代品都应遵守本合同中其他对材料和工程设备的</w:t>
      </w:r>
      <w:r>
        <w:rPr>
          <w:rFonts w:ascii="宋体" w:hAnsi="宋体" w:eastAsia="宋体" w:cs="宋体"/>
          <w:spacing w:val="-7"/>
          <w:sz w:val="24"/>
          <w:szCs w:val="24"/>
        </w:rPr>
        <w:t>任何约定。</w:t>
      </w:r>
    </w:p>
    <w:p w14:paraId="170EC549">
      <w:pPr>
        <w:spacing w:before="1" w:line="218" w:lineRule="auto"/>
        <w:ind w:left="494"/>
        <w:rPr>
          <w:rFonts w:ascii="宋体" w:hAnsi="宋体" w:eastAsia="宋体" w:cs="宋体"/>
          <w:sz w:val="24"/>
          <w:szCs w:val="24"/>
        </w:rPr>
      </w:pPr>
      <w:r>
        <w:rPr>
          <w:rFonts w:ascii="宋体" w:hAnsi="宋体" w:eastAsia="宋体" w:cs="宋体"/>
          <w:spacing w:val="-1"/>
          <w:sz w:val="24"/>
          <w:szCs w:val="24"/>
        </w:rPr>
        <w:t>5.5.2  机制砂的使用</w:t>
      </w:r>
    </w:p>
    <w:p w14:paraId="27A51092">
      <w:pPr>
        <w:spacing w:before="184" w:line="219" w:lineRule="auto"/>
        <w:ind w:left="488"/>
        <w:rPr>
          <w:rFonts w:ascii="宋体" w:hAnsi="宋体" w:eastAsia="宋体" w:cs="宋体"/>
          <w:sz w:val="24"/>
          <w:szCs w:val="24"/>
        </w:rPr>
      </w:pPr>
      <w:r>
        <w:rPr>
          <w:rFonts w:ascii="宋体" w:hAnsi="宋体" w:eastAsia="宋体" w:cs="宋体"/>
          <w:spacing w:val="-1"/>
          <w:sz w:val="24"/>
          <w:szCs w:val="24"/>
        </w:rPr>
        <w:t>机制砂应满足设计文件和技术规范的要求，并按照国家、省有关文</w:t>
      </w:r>
      <w:r>
        <w:rPr>
          <w:rFonts w:ascii="宋体" w:hAnsi="宋体" w:eastAsia="宋体" w:cs="宋体"/>
          <w:spacing w:val="-2"/>
          <w:sz w:val="24"/>
          <w:szCs w:val="24"/>
        </w:rPr>
        <w:t>件的规定使用。</w:t>
      </w:r>
    </w:p>
    <w:p w14:paraId="440A8452">
      <w:pPr>
        <w:spacing w:before="183" w:line="219" w:lineRule="auto"/>
        <w:ind w:left="494"/>
        <w:rPr>
          <w:rFonts w:ascii="宋体" w:hAnsi="宋体" w:eastAsia="宋体" w:cs="宋体"/>
          <w:sz w:val="24"/>
          <w:szCs w:val="24"/>
        </w:rPr>
      </w:pPr>
      <w:r>
        <w:rPr>
          <w:rFonts w:ascii="宋体" w:hAnsi="宋体" w:eastAsia="宋体" w:cs="宋体"/>
          <w:spacing w:val="-1"/>
          <w:sz w:val="24"/>
          <w:szCs w:val="24"/>
        </w:rPr>
        <w:t>5.6 材料、工程设备和工程的试验和检验</w:t>
      </w:r>
    </w:p>
    <w:p w14:paraId="7B6564B7">
      <w:pPr>
        <w:spacing w:before="185" w:line="361" w:lineRule="auto"/>
        <w:ind w:left="8" w:firstLine="485"/>
        <w:jc w:val="both"/>
        <w:rPr>
          <w:rFonts w:ascii="宋体" w:hAnsi="宋体" w:eastAsia="宋体" w:cs="宋体"/>
          <w:sz w:val="24"/>
          <w:szCs w:val="24"/>
        </w:rPr>
      </w:pPr>
      <w:r>
        <w:rPr>
          <w:rFonts w:ascii="宋体" w:hAnsi="宋体" w:eastAsia="宋体" w:cs="宋体"/>
          <w:spacing w:val="-5"/>
          <w:sz w:val="24"/>
          <w:szCs w:val="24"/>
        </w:rPr>
        <w:t>5.6.1</w:t>
      </w:r>
      <w:r>
        <w:rPr>
          <w:rFonts w:ascii="宋体" w:hAnsi="宋体" w:eastAsia="宋体" w:cs="宋体"/>
          <w:spacing w:val="-42"/>
          <w:sz w:val="24"/>
          <w:szCs w:val="24"/>
        </w:rPr>
        <w:t xml:space="preserve"> </w:t>
      </w:r>
      <w:r>
        <w:rPr>
          <w:rFonts w:ascii="宋体" w:hAnsi="宋体" w:eastAsia="宋体" w:cs="宋体"/>
          <w:spacing w:val="-5"/>
          <w:sz w:val="24"/>
          <w:szCs w:val="24"/>
        </w:rPr>
        <w:t>承包人应按合同约定和技术标准，以及试验人的相关要求，建立工地试验室，</w:t>
      </w:r>
      <w:r>
        <w:rPr>
          <w:rFonts w:ascii="宋体" w:hAnsi="宋体" w:eastAsia="宋体" w:cs="宋体"/>
          <w:spacing w:val="-7"/>
          <w:sz w:val="24"/>
          <w:szCs w:val="24"/>
        </w:rPr>
        <w:t>完善试验和检验体系，对材料、工程设备和工程的质量进行试验和检验，</w:t>
      </w:r>
      <w:r>
        <w:rPr>
          <w:rFonts w:ascii="宋体" w:hAnsi="宋体" w:eastAsia="宋体" w:cs="宋体"/>
          <w:spacing w:val="88"/>
          <w:sz w:val="24"/>
          <w:szCs w:val="24"/>
        </w:rPr>
        <w:t xml:space="preserve"> </w:t>
      </w:r>
      <w:r>
        <w:rPr>
          <w:rFonts w:ascii="宋体" w:hAnsi="宋体" w:eastAsia="宋体" w:cs="宋体"/>
          <w:spacing w:val="-7"/>
          <w:sz w:val="24"/>
          <w:szCs w:val="24"/>
        </w:rPr>
        <w:t>向监理履行报</w:t>
      </w:r>
      <w:r>
        <w:rPr>
          <w:rFonts w:ascii="宋体" w:hAnsi="宋体" w:eastAsia="宋体" w:cs="宋体"/>
          <w:spacing w:val="-6"/>
          <w:sz w:val="24"/>
          <w:szCs w:val="24"/>
        </w:rPr>
        <w:t>检程序，并为监理人、试验人对上述材料、工程设备和工程的质量检查，</w:t>
      </w:r>
      <w:r>
        <w:rPr>
          <w:rFonts w:ascii="宋体" w:hAnsi="宋体" w:eastAsia="宋体" w:cs="宋体"/>
          <w:spacing w:val="52"/>
          <w:sz w:val="24"/>
          <w:szCs w:val="24"/>
        </w:rPr>
        <w:t xml:space="preserve"> </w:t>
      </w:r>
      <w:r>
        <w:rPr>
          <w:rFonts w:ascii="宋体" w:hAnsi="宋体" w:eastAsia="宋体" w:cs="宋体"/>
          <w:spacing w:val="-6"/>
          <w:sz w:val="24"/>
          <w:szCs w:val="24"/>
        </w:rPr>
        <w:t>提供必要</w:t>
      </w:r>
      <w:r>
        <w:rPr>
          <w:rFonts w:ascii="宋体" w:hAnsi="宋体" w:eastAsia="宋体" w:cs="宋体"/>
          <w:spacing w:val="-7"/>
          <w:sz w:val="24"/>
          <w:szCs w:val="24"/>
        </w:rPr>
        <w:t>的试</w:t>
      </w:r>
      <w:r>
        <w:rPr>
          <w:rFonts w:ascii="宋体" w:hAnsi="宋体" w:eastAsia="宋体" w:cs="宋体"/>
          <w:spacing w:val="-5"/>
          <w:sz w:val="24"/>
          <w:szCs w:val="24"/>
        </w:rPr>
        <w:t>验资料和原始记录。</w:t>
      </w:r>
    </w:p>
    <w:p w14:paraId="0C39FC7F">
      <w:pPr>
        <w:spacing w:line="361" w:lineRule="auto"/>
        <w:rPr>
          <w:rFonts w:ascii="宋体" w:hAnsi="宋体" w:eastAsia="宋体" w:cs="宋体"/>
          <w:sz w:val="24"/>
          <w:szCs w:val="24"/>
        </w:rPr>
        <w:sectPr>
          <w:headerReference r:id="rId70" w:type="default"/>
          <w:footerReference r:id="rId71" w:type="default"/>
          <w:pgSz w:w="11905" w:h="16840"/>
          <w:pgMar w:top="1182" w:right="1349" w:bottom="1171" w:left="1416" w:header="849" w:footer="937" w:gutter="0"/>
          <w:pgNumType w:fmt="decimal"/>
          <w:cols w:space="720" w:num="1"/>
        </w:sectPr>
      </w:pPr>
    </w:p>
    <w:p w14:paraId="234C9AEB">
      <w:pPr>
        <w:pStyle w:val="2"/>
        <w:spacing w:line="268" w:lineRule="auto"/>
      </w:pPr>
    </w:p>
    <w:p w14:paraId="1A237FEE">
      <w:pPr>
        <w:spacing w:before="78" w:line="360" w:lineRule="auto"/>
        <w:ind w:left="13" w:right="87" w:firstLine="480"/>
        <w:rPr>
          <w:rFonts w:ascii="宋体" w:hAnsi="宋体" w:eastAsia="宋体" w:cs="宋体"/>
          <w:sz w:val="24"/>
          <w:szCs w:val="24"/>
        </w:rPr>
      </w:pPr>
      <w:r>
        <w:rPr>
          <w:rFonts w:ascii="宋体" w:hAnsi="宋体" w:eastAsia="宋体" w:cs="宋体"/>
          <w:sz w:val="24"/>
          <w:szCs w:val="24"/>
        </w:rPr>
        <w:t>5.6.2</w:t>
      </w:r>
      <w:r>
        <w:rPr>
          <w:rFonts w:ascii="宋体" w:hAnsi="宋体" w:eastAsia="宋体" w:cs="宋体"/>
          <w:spacing w:val="-50"/>
          <w:sz w:val="24"/>
          <w:szCs w:val="24"/>
        </w:rPr>
        <w:t xml:space="preserve"> </w:t>
      </w:r>
      <w:r>
        <w:rPr>
          <w:rFonts w:ascii="宋体" w:hAnsi="宋体" w:eastAsia="宋体" w:cs="宋体"/>
          <w:sz w:val="24"/>
          <w:szCs w:val="24"/>
        </w:rPr>
        <w:t>承包人应于工程开工前完成工地试验室</w:t>
      </w:r>
      <w:r>
        <w:rPr>
          <w:rFonts w:ascii="宋体" w:hAnsi="宋体" w:eastAsia="宋体" w:cs="宋体"/>
          <w:spacing w:val="-1"/>
          <w:sz w:val="24"/>
          <w:szCs w:val="24"/>
        </w:rPr>
        <w:t>建设和资质认证工作，工地试验室建设、相关配置及管理应满足标准化要求，并按发包</w:t>
      </w:r>
      <w:r>
        <w:rPr>
          <w:rFonts w:ascii="宋体" w:hAnsi="宋体" w:eastAsia="宋体" w:cs="宋体"/>
          <w:spacing w:val="-2"/>
          <w:sz w:val="24"/>
          <w:szCs w:val="24"/>
        </w:rPr>
        <w:t>人发布的项目管理制度执行。</w:t>
      </w:r>
    </w:p>
    <w:p w14:paraId="66443AA8">
      <w:pPr>
        <w:spacing w:line="360" w:lineRule="auto"/>
        <w:ind w:left="9" w:right="85" w:firstLine="484"/>
        <w:rPr>
          <w:rFonts w:ascii="宋体" w:hAnsi="宋体" w:eastAsia="宋体" w:cs="宋体"/>
          <w:sz w:val="24"/>
          <w:szCs w:val="24"/>
        </w:rPr>
      </w:pPr>
      <w:r>
        <w:rPr>
          <w:rFonts w:ascii="宋体" w:hAnsi="宋体" w:eastAsia="宋体" w:cs="宋体"/>
          <w:sz w:val="24"/>
          <w:szCs w:val="24"/>
        </w:rPr>
        <w:t>5.6.3</w:t>
      </w:r>
      <w:r>
        <w:rPr>
          <w:rFonts w:ascii="宋体" w:hAnsi="宋体" w:eastAsia="宋体" w:cs="宋体"/>
          <w:spacing w:val="-50"/>
          <w:sz w:val="24"/>
          <w:szCs w:val="24"/>
        </w:rPr>
        <w:t xml:space="preserve"> </w:t>
      </w:r>
      <w:r>
        <w:rPr>
          <w:rFonts w:ascii="宋体" w:hAnsi="宋体" w:eastAsia="宋体" w:cs="宋体"/>
          <w:sz w:val="24"/>
          <w:szCs w:val="24"/>
        </w:rPr>
        <w:t>承包人工地试验室资质范围以外的试验</w:t>
      </w:r>
      <w:r>
        <w:rPr>
          <w:rFonts w:ascii="宋体" w:hAnsi="宋体" w:eastAsia="宋体" w:cs="宋体"/>
          <w:spacing w:val="-1"/>
          <w:sz w:val="24"/>
          <w:szCs w:val="24"/>
        </w:rPr>
        <w:t>和检验项目，经监理人和发包人同意</w:t>
      </w:r>
      <w:r>
        <w:rPr>
          <w:rFonts w:ascii="宋体" w:hAnsi="宋体" w:eastAsia="宋体" w:cs="宋体"/>
          <w:spacing w:val="-2"/>
          <w:sz w:val="24"/>
          <w:szCs w:val="24"/>
        </w:rPr>
        <w:t>可对外委托具有相应资质的检测试验机构进行试验，但承包人应将检测试验机构有关资</w:t>
      </w:r>
      <w:r>
        <w:rPr>
          <w:rFonts w:ascii="宋体" w:hAnsi="宋体" w:eastAsia="宋体" w:cs="宋体"/>
          <w:spacing w:val="-4"/>
          <w:sz w:val="24"/>
          <w:szCs w:val="24"/>
        </w:rPr>
        <w:t>料报备监理人和试验人。</w:t>
      </w:r>
    </w:p>
    <w:p w14:paraId="07797160">
      <w:pPr>
        <w:spacing w:before="2" w:line="359" w:lineRule="auto"/>
        <w:ind w:left="8" w:right="85" w:firstLine="485"/>
        <w:rPr>
          <w:rFonts w:ascii="宋体" w:hAnsi="宋体" w:eastAsia="宋体" w:cs="宋体"/>
          <w:sz w:val="24"/>
          <w:szCs w:val="24"/>
        </w:rPr>
      </w:pPr>
      <w:r>
        <w:rPr>
          <w:rFonts w:ascii="宋体" w:hAnsi="宋体" w:eastAsia="宋体" w:cs="宋体"/>
          <w:spacing w:val="-2"/>
          <w:sz w:val="24"/>
          <w:szCs w:val="24"/>
        </w:rPr>
        <w:t>5.6.4 承包人根据合同约定或监理人指示进行的现场材料试验，应由承包人提供试验场所、试验人员、试验设备器材以及其他必要的试验条件。</w:t>
      </w:r>
    </w:p>
    <w:p w14:paraId="471ED607">
      <w:pPr>
        <w:spacing w:line="360" w:lineRule="auto"/>
        <w:ind w:left="13" w:right="85" w:firstLine="480"/>
        <w:rPr>
          <w:rFonts w:ascii="宋体" w:hAnsi="宋体" w:eastAsia="宋体" w:cs="宋体"/>
          <w:sz w:val="24"/>
          <w:szCs w:val="24"/>
        </w:rPr>
      </w:pPr>
      <w:r>
        <w:rPr>
          <w:rFonts w:ascii="宋体" w:hAnsi="宋体" w:eastAsia="宋体" w:cs="宋体"/>
          <w:spacing w:val="-2"/>
          <w:sz w:val="24"/>
          <w:szCs w:val="24"/>
        </w:rPr>
        <w:t>5.6.5 如有必要，发包人、监理人、试验人可以免费使用承包人的试验场所、试验设备器材以及其他试验条件，进行以工程质量检查为目的的复核性材料试验，承包人应</w:t>
      </w:r>
      <w:r>
        <w:rPr>
          <w:rFonts w:ascii="宋体" w:hAnsi="宋体" w:eastAsia="宋体" w:cs="宋体"/>
          <w:spacing w:val="-8"/>
          <w:sz w:val="24"/>
          <w:szCs w:val="24"/>
        </w:rPr>
        <w:t>予以协助。</w:t>
      </w:r>
    </w:p>
    <w:p w14:paraId="25958ECC">
      <w:pPr>
        <w:spacing w:before="2" w:line="359" w:lineRule="auto"/>
        <w:ind w:left="10" w:firstLine="483"/>
        <w:rPr>
          <w:rFonts w:ascii="宋体" w:hAnsi="宋体" w:eastAsia="宋体" w:cs="宋体"/>
          <w:sz w:val="24"/>
          <w:szCs w:val="24"/>
        </w:rPr>
      </w:pPr>
      <w:r>
        <w:rPr>
          <w:rFonts w:ascii="宋体" w:hAnsi="宋体" w:eastAsia="宋体" w:cs="宋体"/>
          <w:spacing w:val="5"/>
          <w:sz w:val="24"/>
          <w:szCs w:val="24"/>
        </w:rPr>
        <w:t>5.6.6 承包人的试验和检验和外委试验应严格执</w:t>
      </w:r>
      <w:r>
        <w:rPr>
          <w:rFonts w:ascii="宋体" w:hAnsi="宋体" w:eastAsia="宋体" w:cs="宋体"/>
          <w:spacing w:val="4"/>
          <w:sz w:val="24"/>
          <w:szCs w:val="24"/>
        </w:rPr>
        <w:t>行专用项目管理制度的相关规定</w:t>
      </w:r>
      <w:r>
        <w:rPr>
          <w:rFonts w:ascii="宋体" w:hAnsi="宋体" w:eastAsia="宋体" w:cs="宋体"/>
          <w:spacing w:val="-5"/>
          <w:sz w:val="24"/>
          <w:szCs w:val="24"/>
        </w:rPr>
        <w:t>和要求。由承包人、监理人、试验人三方共</w:t>
      </w:r>
      <w:r>
        <w:rPr>
          <w:rFonts w:ascii="宋体" w:hAnsi="宋体" w:eastAsia="宋体" w:cs="宋体"/>
          <w:spacing w:val="-6"/>
          <w:sz w:val="24"/>
          <w:szCs w:val="24"/>
        </w:rPr>
        <w:t>同委外的检查项目的检测费用由承包人承担。</w:t>
      </w:r>
    </w:p>
    <w:p w14:paraId="1BDF5ADD">
      <w:pPr>
        <w:spacing w:line="360" w:lineRule="auto"/>
        <w:ind w:left="8" w:right="85" w:firstLine="485"/>
        <w:rPr>
          <w:rFonts w:ascii="宋体" w:hAnsi="宋体" w:eastAsia="宋体" w:cs="宋体"/>
          <w:sz w:val="24"/>
          <w:szCs w:val="24"/>
        </w:rPr>
      </w:pPr>
      <w:r>
        <w:rPr>
          <w:rFonts w:ascii="宋体" w:hAnsi="宋体" w:eastAsia="宋体" w:cs="宋体"/>
          <w:spacing w:val="-5"/>
          <w:sz w:val="24"/>
          <w:szCs w:val="24"/>
        </w:rPr>
        <w:t>5.6.7 承包人应根据材料、工程设备进场计划和工程施工计划， 制订相应试验和检</w:t>
      </w:r>
      <w:r>
        <w:rPr>
          <w:rFonts w:ascii="宋体" w:hAnsi="宋体" w:eastAsia="宋体" w:cs="宋体"/>
          <w:spacing w:val="-1"/>
          <w:sz w:val="24"/>
          <w:szCs w:val="24"/>
        </w:rPr>
        <w:t>验计划，按计划开展试验检测工作，并将上述计划报</w:t>
      </w:r>
      <w:r>
        <w:rPr>
          <w:rFonts w:ascii="宋体" w:hAnsi="宋体" w:eastAsia="宋体" w:cs="宋体"/>
          <w:spacing w:val="-2"/>
          <w:sz w:val="24"/>
          <w:szCs w:val="24"/>
        </w:rPr>
        <w:t>送监理人和和试验人。</w:t>
      </w:r>
    </w:p>
    <w:p w14:paraId="2EF6572C">
      <w:pPr>
        <w:spacing w:line="360" w:lineRule="auto"/>
        <w:ind w:left="31" w:right="85" w:firstLine="462"/>
        <w:rPr>
          <w:rFonts w:ascii="宋体" w:hAnsi="宋体" w:eastAsia="宋体" w:cs="宋体"/>
          <w:sz w:val="24"/>
          <w:szCs w:val="24"/>
        </w:rPr>
      </w:pPr>
      <w:r>
        <w:rPr>
          <w:rFonts w:ascii="宋体" w:hAnsi="宋体" w:eastAsia="宋体" w:cs="宋体"/>
          <w:spacing w:val="-2"/>
          <w:sz w:val="24"/>
          <w:szCs w:val="24"/>
        </w:rPr>
        <w:t>5.6.8 承包人的试验和检验过程须接受监理人的旁站监督；承包人应接受试验检测中心的监督指导，并按试验检测中心制定的管理制度开展试验检测工</w:t>
      </w:r>
      <w:r>
        <w:rPr>
          <w:rFonts w:ascii="宋体" w:hAnsi="宋体" w:eastAsia="宋体" w:cs="宋体"/>
          <w:spacing w:val="-3"/>
          <w:sz w:val="24"/>
          <w:szCs w:val="24"/>
        </w:rPr>
        <w:t>作。</w:t>
      </w:r>
    </w:p>
    <w:p w14:paraId="47C40993">
      <w:pPr>
        <w:spacing w:line="360" w:lineRule="auto"/>
        <w:ind w:left="9" w:right="85" w:firstLine="484"/>
        <w:rPr>
          <w:rFonts w:ascii="宋体" w:hAnsi="宋体" w:eastAsia="宋体" w:cs="宋体"/>
          <w:sz w:val="24"/>
          <w:szCs w:val="24"/>
        </w:rPr>
      </w:pPr>
      <w:r>
        <w:rPr>
          <w:rFonts w:ascii="宋体" w:hAnsi="宋体" w:eastAsia="宋体" w:cs="宋体"/>
          <w:spacing w:val="-2"/>
          <w:sz w:val="24"/>
          <w:szCs w:val="24"/>
        </w:rPr>
        <w:t>5.6.9 监理人对承包人的试验和检验结果有疑问，或为查清承包人试验和检验成果的可靠性，要求承包人重新试验和检验时，可由监理人、试验人与承包人共同进行。重</w:t>
      </w:r>
      <w:r>
        <w:rPr>
          <w:rFonts w:ascii="宋体" w:hAnsi="宋体" w:eastAsia="宋体" w:cs="宋体"/>
          <w:spacing w:val="-5"/>
          <w:sz w:val="24"/>
          <w:szCs w:val="24"/>
        </w:rPr>
        <w:t>新试验和检验的结果证明该项材料、工程设备或工程的质量不符合合同要求的， 由此增</w:t>
      </w:r>
      <w:r>
        <w:rPr>
          <w:rFonts w:ascii="宋体" w:hAnsi="宋体" w:eastAsia="宋体" w:cs="宋体"/>
          <w:spacing w:val="-3"/>
          <w:sz w:val="24"/>
          <w:szCs w:val="24"/>
        </w:rPr>
        <w:t>加的费用和（或）工期延误由承包人承担。</w:t>
      </w:r>
    </w:p>
    <w:p w14:paraId="73FB7D37">
      <w:pPr>
        <w:spacing w:line="360" w:lineRule="auto"/>
        <w:ind w:left="8" w:right="85" w:firstLine="485"/>
        <w:rPr>
          <w:rFonts w:ascii="宋体" w:hAnsi="宋体" w:eastAsia="宋体" w:cs="宋体"/>
          <w:sz w:val="24"/>
          <w:szCs w:val="24"/>
        </w:rPr>
      </w:pPr>
      <w:r>
        <w:rPr>
          <w:rFonts w:ascii="宋体" w:hAnsi="宋体" w:eastAsia="宋体" w:cs="宋体"/>
          <w:spacing w:val="1"/>
          <w:sz w:val="24"/>
          <w:szCs w:val="24"/>
        </w:rPr>
        <w:t>5.6.10 发包人、监理人和相关政府部门或发包人认可的其他第三方机构有权对工</w:t>
      </w:r>
      <w:r>
        <w:rPr>
          <w:rFonts w:ascii="宋体" w:hAnsi="宋体" w:eastAsia="宋体" w:cs="宋体"/>
          <w:spacing w:val="-2"/>
          <w:sz w:val="24"/>
          <w:szCs w:val="24"/>
        </w:rPr>
        <w:t>程的所有部位及其施工工艺、工程设备和材料进行检查和检验。承包人应为上述人员的</w:t>
      </w:r>
      <w:r>
        <w:rPr>
          <w:rFonts w:ascii="宋体" w:hAnsi="宋体" w:eastAsia="宋体" w:cs="宋体"/>
          <w:spacing w:val="-6"/>
          <w:sz w:val="24"/>
          <w:szCs w:val="24"/>
        </w:rPr>
        <w:t>检查和检验提供方便，包括到施工现场，或制造、加工地点，</w:t>
      </w:r>
      <w:r>
        <w:rPr>
          <w:rFonts w:ascii="宋体" w:hAnsi="宋体" w:eastAsia="宋体" w:cs="宋体"/>
          <w:spacing w:val="54"/>
          <w:sz w:val="24"/>
          <w:szCs w:val="24"/>
        </w:rPr>
        <w:t xml:space="preserve"> </w:t>
      </w:r>
      <w:r>
        <w:rPr>
          <w:rFonts w:ascii="宋体" w:hAnsi="宋体" w:eastAsia="宋体" w:cs="宋体"/>
          <w:spacing w:val="-6"/>
          <w:sz w:val="24"/>
          <w:szCs w:val="24"/>
        </w:rPr>
        <w:t>或其他地方进行</w:t>
      </w:r>
      <w:r>
        <w:rPr>
          <w:rFonts w:ascii="宋体" w:hAnsi="宋体" w:eastAsia="宋体" w:cs="宋体"/>
          <w:spacing w:val="-7"/>
          <w:sz w:val="24"/>
          <w:szCs w:val="24"/>
        </w:rPr>
        <w:t>察看和查</w:t>
      </w:r>
      <w:r>
        <w:rPr>
          <w:rFonts w:ascii="宋体" w:hAnsi="宋体" w:eastAsia="宋体" w:cs="宋体"/>
          <w:spacing w:val="-6"/>
          <w:sz w:val="24"/>
          <w:szCs w:val="24"/>
        </w:rPr>
        <w:t>阅施工原始记录。承包人还应按发包人、监理人、试验人和发包人认可的人员指示，</w:t>
      </w:r>
      <w:r>
        <w:rPr>
          <w:rFonts w:ascii="宋体" w:hAnsi="宋体" w:eastAsia="宋体" w:cs="宋体"/>
          <w:spacing w:val="50"/>
          <w:sz w:val="24"/>
          <w:szCs w:val="24"/>
        </w:rPr>
        <w:t xml:space="preserve"> </w:t>
      </w:r>
      <w:r>
        <w:rPr>
          <w:rFonts w:ascii="宋体" w:hAnsi="宋体" w:eastAsia="宋体" w:cs="宋体"/>
          <w:spacing w:val="-6"/>
          <w:sz w:val="24"/>
          <w:szCs w:val="24"/>
        </w:rPr>
        <w:t>进行施工现场取样试验、工程复核测量和设备性能检测，</w:t>
      </w:r>
      <w:r>
        <w:rPr>
          <w:rFonts w:ascii="宋体" w:hAnsi="宋体" w:eastAsia="宋体" w:cs="宋体"/>
          <w:spacing w:val="50"/>
          <w:sz w:val="24"/>
          <w:szCs w:val="24"/>
        </w:rPr>
        <w:t xml:space="preserve"> </w:t>
      </w:r>
      <w:r>
        <w:rPr>
          <w:rFonts w:ascii="宋体" w:hAnsi="宋体" w:eastAsia="宋体" w:cs="宋体"/>
          <w:spacing w:val="-6"/>
          <w:sz w:val="24"/>
          <w:szCs w:val="24"/>
        </w:rPr>
        <w:t>提供试验样品，提交试验报告和</w:t>
      </w:r>
      <w:r>
        <w:rPr>
          <w:rFonts w:ascii="宋体" w:hAnsi="宋体" w:eastAsia="宋体" w:cs="宋体"/>
          <w:spacing w:val="-2"/>
          <w:sz w:val="24"/>
          <w:szCs w:val="24"/>
        </w:rPr>
        <w:t>测量成果，完成上述人员要求进行的其他检查和检验工作。</w:t>
      </w:r>
    </w:p>
    <w:p w14:paraId="36AC3F2F">
      <w:pPr>
        <w:spacing w:line="362" w:lineRule="auto"/>
        <w:ind w:left="9" w:right="85" w:firstLine="483"/>
        <w:rPr>
          <w:rFonts w:ascii="宋体" w:hAnsi="宋体" w:eastAsia="宋体" w:cs="宋体"/>
          <w:sz w:val="24"/>
          <w:szCs w:val="24"/>
        </w:rPr>
      </w:pPr>
      <w:r>
        <w:rPr>
          <w:rFonts w:ascii="宋体" w:hAnsi="宋体" w:eastAsia="宋体" w:cs="宋体"/>
          <w:spacing w:val="-2"/>
          <w:sz w:val="24"/>
          <w:szCs w:val="24"/>
        </w:rPr>
        <w:t>发包人、监理人、试验人和发包人认可的相关政府部门或其他第三方机构的检查和</w:t>
      </w:r>
      <w:r>
        <w:rPr>
          <w:rFonts w:ascii="宋体" w:hAnsi="宋体" w:eastAsia="宋体" w:cs="宋体"/>
          <w:spacing w:val="-3"/>
          <w:sz w:val="24"/>
          <w:szCs w:val="24"/>
        </w:rPr>
        <w:t>检验，不免除承包人合同约定的责任。</w:t>
      </w:r>
    </w:p>
    <w:p w14:paraId="7E85DE6E">
      <w:pPr>
        <w:spacing w:before="74" w:line="219" w:lineRule="auto"/>
        <w:ind w:left="494"/>
        <w:rPr>
          <w:rFonts w:ascii="宋体" w:hAnsi="宋体" w:eastAsia="宋体" w:cs="宋体"/>
          <w:sz w:val="24"/>
          <w:szCs w:val="24"/>
        </w:rPr>
      </w:pPr>
      <w:r>
        <w:rPr>
          <w:rFonts w:ascii="宋体" w:hAnsi="宋体" w:eastAsia="宋体" w:cs="宋体"/>
          <w:spacing w:val="1"/>
          <w:sz w:val="24"/>
          <w:szCs w:val="24"/>
        </w:rPr>
        <w:t>5.6.11 本项目将对部分试验检验设备要求具有数据自动采集、实时上传功能，达</w:t>
      </w:r>
    </w:p>
    <w:p w14:paraId="6A12851C">
      <w:pPr>
        <w:spacing w:line="219" w:lineRule="auto"/>
        <w:rPr>
          <w:rFonts w:ascii="宋体" w:hAnsi="宋体" w:eastAsia="宋体" w:cs="宋体"/>
          <w:sz w:val="24"/>
          <w:szCs w:val="24"/>
        </w:rPr>
        <w:sectPr>
          <w:footerReference r:id="rId72" w:type="default"/>
          <w:pgSz w:w="11905" w:h="16840"/>
          <w:pgMar w:top="1182" w:right="1331" w:bottom="1171" w:left="1416" w:header="849" w:footer="937" w:gutter="0"/>
          <w:pgNumType w:fmt="decimal"/>
          <w:cols w:space="720" w:num="1"/>
        </w:sectPr>
      </w:pPr>
    </w:p>
    <w:p w14:paraId="282BF8A4">
      <w:pPr>
        <w:pStyle w:val="2"/>
        <w:spacing w:line="348" w:lineRule="auto"/>
      </w:pPr>
    </w:p>
    <w:p w14:paraId="3A13D457">
      <w:pPr>
        <w:spacing w:before="78" w:line="364" w:lineRule="auto"/>
        <w:ind w:left="11" w:right="66" w:firstLine="4"/>
        <w:jc w:val="both"/>
        <w:rPr>
          <w:rFonts w:ascii="宋体" w:hAnsi="宋体" w:eastAsia="宋体" w:cs="宋体"/>
          <w:sz w:val="24"/>
          <w:szCs w:val="24"/>
        </w:rPr>
      </w:pPr>
      <w:r>
        <w:rPr>
          <w:rFonts w:ascii="宋体" w:hAnsi="宋体" w:eastAsia="宋体" w:cs="宋体"/>
          <w:spacing w:val="-2"/>
          <w:sz w:val="24"/>
          <w:szCs w:val="24"/>
        </w:rPr>
        <w:t>到试验检测和质量安全监督工作的自动化和实时化的管理目标。承包人须按要求采购相关的自动采集终端设备，并负责设备安装、调试与维护。承包人不得对自动采集的试验数据进行修改、造假，否则按照第</w:t>
      </w:r>
      <w:r>
        <w:rPr>
          <w:rFonts w:ascii="宋体" w:hAnsi="宋体" w:eastAsia="宋体" w:cs="宋体"/>
          <w:spacing w:val="-48"/>
          <w:sz w:val="24"/>
          <w:szCs w:val="24"/>
        </w:rPr>
        <w:t xml:space="preserve"> </w:t>
      </w:r>
      <w:r>
        <w:rPr>
          <w:rFonts w:ascii="宋体" w:hAnsi="宋体" w:eastAsia="宋体" w:cs="宋体"/>
          <w:spacing w:val="-2"/>
          <w:sz w:val="24"/>
          <w:szCs w:val="24"/>
        </w:rPr>
        <w:t>22.1</w:t>
      </w:r>
      <w:r>
        <w:rPr>
          <w:rFonts w:ascii="宋体" w:hAnsi="宋体" w:eastAsia="宋体" w:cs="宋体"/>
          <w:spacing w:val="-50"/>
          <w:sz w:val="24"/>
          <w:szCs w:val="24"/>
        </w:rPr>
        <w:t xml:space="preserve"> </w:t>
      </w:r>
      <w:r>
        <w:rPr>
          <w:rFonts w:ascii="宋体" w:hAnsi="宋体" w:eastAsia="宋体" w:cs="宋体"/>
          <w:spacing w:val="-3"/>
          <w:sz w:val="24"/>
          <w:szCs w:val="24"/>
        </w:rPr>
        <w:t>款承包人违约处理。</w:t>
      </w:r>
    </w:p>
    <w:p w14:paraId="0A918595">
      <w:pPr>
        <w:spacing w:line="220" w:lineRule="auto"/>
        <w:ind w:left="494"/>
        <w:rPr>
          <w:rFonts w:ascii="宋体" w:hAnsi="宋体" w:eastAsia="宋体" w:cs="宋体"/>
          <w:sz w:val="24"/>
          <w:szCs w:val="24"/>
        </w:rPr>
      </w:pPr>
      <w:r>
        <w:rPr>
          <w:rFonts w:ascii="宋体" w:hAnsi="宋体" w:eastAsia="宋体" w:cs="宋体"/>
          <w:spacing w:val="-2"/>
          <w:sz w:val="24"/>
          <w:szCs w:val="24"/>
        </w:rPr>
        <w:t>5.7 标准试验</w:t>
      </w:r>
    </w:p>
    <w:p w14:paraId="263D0D3C">
      <w:pPr>
        <w:spacing w:before="181" w:line="360" w:lineRule="auto"/>
        <w:ind w:left="8" w:right="66" w:firstLine="485"/>
        <w:rPr>
          <w:rFonts w:ascii="宋体" w:hAnsi="宋体" w:eastAsia="宋体" w:cs="宋体"/>
          <w:sz w:val="24"/>
          <w:szCs w:val="24"/>
        </w:rPr>
      </w:pPr>
      <w:r>
        <w:rPr>
          <w:rFonts w:ascii="宋体" w:hAnsi="宋体" w:eastAsia="宋体" w:cs="宋体"/>
          <w:spacing w:val="-5"/>
          <w:sz w:val="24"/>
          <w:szCs w:val="24"/>
        </w:rPr>
        <w:t>5.7.1 对于混凝土配合比、标准干密度等标准试验， 承包人应于相应分项工程开工</w:t>
      </w:r>
      <w:r>
        <w:rPr>
          <w:rFonts w:ascii="宋体" w:hAnsi="宋体" w:eastAsia="宋体" w:cs="宋体"/>
          <w:spacing w:val="-2"/>
          <w:sz w:val="24"/>
          <w:szCs w:val="24"/>
        </w:rPr>
        <w:t>前完成上述试验，并将试验结果报监理人，同时由试验检测中心进行相应的平行试验检</w:t>
      </w:r>
      <w:r>
        <w:rPr>
          <w:rFonts w:ascii="宋体" w:hAnsi="宋体" w:eastAsia="宋体" w:cs="宋体"/>
          <w:spacing w:val="-3"/>
          <w:sz w:val="24"/>
          <w:szCs w:val="24"/>
        </w:rPr>
        <w:t>验，履行审批程序后方可用于工程施工控制。</w:t>
      </w:r>
    </w:p>
    <w:p w14:paraId="1437ED40">
      <w:pPr>
        <w:spacing w:before="2" w:line="359" w:lineRule="auto"/>
        <w:ind w:left="13" w:right="66" w:firstLine="480"/>
        <w:rPr>
          <w:rFonts w:ascii="宋体" w:hAnsi="宋体" w:eastAsia="宋体" w:cs="宋体"/>
          <w:sz w:val="24"/>
          <w:szCs w:val="24"/>
        </w:rPr>
      </w:pPr>
      <w:r>
        <w:rPr>
          <w:rFonts w:ascii="宋体" w:hAnsi="宋体" w:eastAsia="宋体" w:cs="宋体"/>
          <w:spacing w:val="-2"/>
          <w:sz w:val="24"/>
          <w:szCs w:val="24"/>
        </w:rPr>
        <w:t>5.7.2 当用于工程施工的原材料发生变化时，承包人应重新进行上述标准试验，并</w:t>
      </w:r>
      <w:r>
        <w:rPr>
          <w:rFonts w:ascii="宋体" w:hAnsi="宋体" w:eastAsia="宋体" w:cs="宋体"/>
          <w:spacing w:val="-4"/>
          <w:sz w:val="24"/>
          <w:szCs w:val="24"/>
        </w:rPr>
        <w:t>履行平行试验和审批程序。</w:t>
      </w:r>
    </w:p>
    <w:p w14:paraId="27DAE0BF">
      <w:pPr>
        <w:spacing w:before="1" w:line="220" w:lineRule="auto"/>
        <w:ind w:left="494"/>
        <w:rPr>
          <w:rFonts w:ascii="宋体" w:hAnsi="宋体" w:eastAsia="宋体" w:cs="宋体"/>
          <w:sz w:val="24"/>
          <w:szCs w:val="24"/>
        </w:rPr>
      </w:pPr>
      <w:r>
        <w:rPr>
          <w:rFonts w:ascii="宋体" w:hAnsi="宋体" w:eastAsia="宋体" w:cs="宋体"/>
          <w:spacing w:val="-4"/>
          <w:sz w:val="24"/>
          <w:szCs w:val="24"/>
        </w:rPr>
        <w:t>5.8</w:t>
      </w:r>
      <w:r>
        <w:rPr>
          <w:rFonts w:ascii="宋体" w:hAnsi="宋体" w:eastAsia="宋体" w:cs="宋体"/>
          <w:spacing w:val="15"/>
          <w:sz w:val="24"/>
          <w:szCs w:val="24"/>
        </w:rPr>
        <w:t xml:space="preserve"> </w:t>
      </w:r>
      <w:r>
        <w:rPr>
          <w:rFonts w:ascii="宋体" w:hAnsi="宋体" w:eastAsia="宋体" w:cs="宋体"/>
          <w:spacing w:val="-4"/>
          <w:sz w:val="24"/>
          <w:szCs w:val="24"/>
        </w:rPr>
        <w:t>工艺试验</w:t>
      </w:r>
    </w:p>
    <w:p w14:paraId="629D59A9">
      <w:pPr>
        <w:spacing w:before="180" w:line="360" w:lineRule="auto"/>
        <w:ind w:left="8" w:right="66" w:firstLine="485"/>
        <w:rPr>
          <w:rFonts w:ascii="宋体" w:hAnsi="宋体" w:eastAsia="宋体" w:cs="宋体"/>
          <w:sz w:val="24"/>
          <w:szCs w:val="24"/>
        </w:rPr>
      </w:pPr>
      <w:r>
        <w:rPr>
          <w:rFonts w:ascii="宋体" w:hAnsi="宋体" w:eastAsia="宋体" w:cs="宋体"/>
          <w:spacing w:val="-2"/>
          <w:sz w:val="24"/>
          <w:szCs w:val="24"/>
        </w:rPr>
        <w:t>5.8.1 承包人应按合同约定或监理人指示进行现场工艺试验。对大型的现场工艺试验，应编制工艺试验方案和计划，报送监理人审批后实施。</w:t>
      </w:r>
    </w:p>
    <w:p w14:paraId="04A2800A">
      <w:pPr>
        <w:spacing w:line="360" w:lineRule="auto"/>
        <w:ind w:left="10" w:right="66" w:firstLine="483"/>
        <w:rPr>
          <w:rFonts w:ascii="宋体" w:hAnsi="宋体" w:eastAsia="宋体" w:cs="宋体"/>
          <w:sz w:val="24"/>
          <w:szCs w:val="24"/>
        </w:rPr>
      </w:pPr>
      <w:r>
        <w:rPr>
          <w:rFonts w:ascii="宋体" w:hAnsi="宋体" w:eastAsia="宋体" w:cs="宋体"/>
          <w:spacing w:val="-2"/>
          <w:sz w:val="24"/>
          <w:szCs w:val="24"/>
        </w:rPr>
        <w:t>5.8.2 对于特殊工艺质量检验，承包人应制定相应的检验方案和工艺，经评委评审和发包人审核确认后应用于现场工程质量控制和检验。</w:t>
      </w:r>
    </w:p>
    <w:p w14:paraId="688CBB3F">
      <w:pPr>
        <w:spacing w:before="1" w:line="219" w:lineRule="auto"/>
        <w:ind w:left="491"/>
        <w:rPr>
          <w:rFonts w:ascii="宋体" w:hAnsi="宋体" w:eastAsia="宋体" w:cs="宋体"/>
          <w:sz w:val="24"/>
          <w:szCs w:val="24"/>
        </w:rPr>
      </w:pPr>
      <w:r>
        <w:rPr>
          <w:rFonts w:ascii="宋体" w:hAnsi="宋体" w:eastAsia="宋体" w:cs="宋体"/>
          <w:b/>
          <w:bCs/>
          <w:spacing w:val="-3"/>
          <w:sz w:val="24"/>
          <w:szCs w:val="24"/>
        </w:rPr>
        <w:t>6.</w:t>
      </w:r>
      <w:r>
        <w:rPr>
          <w:rFonts w:ascii="宋体" w:hAnsi="宋体" w:eastAsia="宋体" w:cs="宋体"/>
          <w:spacing w:val="-3"/>
          <w:sz w:val="24"/>
          <w:szCs w:val="24"/>
        </w:rPr>
        <w:t xml:space="preserve"> </w:t>
      </w:r>
      <w:r>
        <w:rPr>
          <w:rFonts w:ascii="宋体" w:hAnsi="宋体" w:eastAsia="宋体" w:cs="宋体"/>
          <w:b/>
          <w:bCs/>
          <w:spacing w:val="-3"/>
          <w:sz w:val="24"/>
          <w:szCs w:val="24"/>
        </w:rPr>
        <w:t>施工设备和临时设施</w:t>
      </w:r>
    </w:p>
    <w:p w14:paraId="677682E6">
      <w:pPr>
        <w:spacing w:before="182" w:line="219" w:lineRule="auto"/>
        <w:ind w:left="491"/>
        <w:rPr>
          <w:rFonts w:ascii="宋体" w:hAnsi="宋体" w:eastAsia="宋体" w:cs="宋体"/>
          <w:sz w:val="24"/>
          <w:szCs w:val="24"/>
        </w:rPr>
      </w:pPr>
      <w:r>
        <w:rPr>
          <w:rFonts w:ascii="宋体" w:hAnsi="宋体" w:eastAsia="宋体" w:cs="宋体"/>
          <w:spacing w:val="-2"/>
          <w:sz w:val="24"/>
          <w:szCs w:val="24"/>
        </w:rPr>
        <w:t>6.1</w:t>
      </w:r>
      <w:r>
        <w:rPr>
          <w:rFonts w:ascii="宋体" w:hAnsi="宋体" w:eastAsia="宋体" w:cs="宋体"/>
          <w:spacing w:val="-36"/>
          <w:sz w:val="24"/>
          <w:szCs w:val="24"/>
        </w:rPr>
        <w:t xml:space="preserve"> </w:t>
      </w:r>
      <w:r>
        <w:rPr>
          <w:rFonts w:ascii="宋体" w:hAnsi="宋体" w:eastAsia="宋体" w:cs="宋体"/>
          <w:spacing w:val="-2"/>
          <w:sz w:val="24"/>
          <w:szCs w:val="24"/>
        </w:rPr>
        <w:t>承包人提供的施工设备和临时设施</w:t>
      </w:r>
    </w:p>
    <w:p w14:paraId="3550D316">
      <w:pPr>
        <w:spacing w:before="183" w:line="220"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2"/>
          <w:sz w:val="24"/>
          <w:szCs w:val="24"/>
        </w:rPr>
        <w:t xml:space="preserve"> </w:t>
      </w:r>
      <w:r>
        <w:rPr>
          <w:rFonts w:ascii="宋体" w:hAnsi="宋体" w:eastAsia="宋体" w:cs="宋体"/>
          <w:spacing w:val="-8"/>
          <w:sz w:val="24"/>
          <w:szCs w:val="24"/>
        </w:rPr>
        <w:t>6.1.1</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476A2867">
      <w:pPr>
        <w:spacing w:before="183" w:line="360" w:lineRule="auto"/>
        <w:ind w:left="9" w:right="2" w:firstLine="480"/>
        <w:jc w:val="both"/>
        <w:rPr>
          <w:rFonts w:ascii="宋体" w:hAnsi="宋体" w:eastAsia="宋体" w:cs="宋体"/>
          <w:sz w:val="24"/>
          <w:szCs w:val="24"/>
        </w:rPr>
      </w:pPr>
      <w:r>
        <w:rPr>
          <w:rFonts w:ascii="宋体" w:hAnsi="宋体" w:eastAsia="宋体" w:cs="宋体"/>
          <w:spacing w:val="-8"/>
          <w:sz w:val="24"/>
          <w:szCs w:val="24"/>
        </w:rPr>
        <w:t>承包人在投标文件承诺的主要设备（含检验、试验设备）</w:t>
      </w:r>
      <w:r>
        <w:rPr>
          <w:rFonts w:ascii="宋体" w:hAnsi="宋体" w:eastAsia="宋体" w:cs="宋体"/>
          <w:spacing w:val="-59"/>
          <w:sz w:val="24"/>
          <w:szCs w:val="24"/>
        </w:rPr>
        <w:t xml:space="preserve"> </w:t>
      </w:r>
      <w:r>
        <w:rPr>
          <w:rFonts w:ascii="宋体" w:hAnsi="宋体" w:eastAsia="宋体" w:cs="宋体"/>
          <w:spacing w:val="-8"/>
          <w:sz w:val="24"/>
          <w:szCs w:val="24"/>
        </w:rPr>
        <w:t>必须按现场施工需要到位；</w:t>
      </w:r>
      <w:r>
        <w:rPr>
          <w:rFonts w:ascii="宋体" w:hAnsi="宋体" w:eastAsia="宋体" w:cs="宋体"/>
          <w:spacing w:val="-5"/>
          <w:sz w:val="24"/>
          <w:szCs w:val="24"/>
        </w:rPr>
        <w:t>承包人不管何种原因需推迟设备到位时间或改变到位设备的数量、型号等， 均须事先经</w:t>
      </w:r>
      <w:r>
        <w:rPr>
          <w:rFonts w:ascii="宋体" w:hAnsi="宋体" w:eastAsia="宋体" w:cs="宋体"/>
          <w:spacing w:val="-2"/>
          <w:sz w:val="24"/>
          <w:szCs w:val="24"/>
        </w:rPr>
        <w:t>发包人和监理人的同意并将变更情况书面报监理人备案，违反上述规定视为承包人违约</w:t>
      </w:r>
      <w:r>
        <w:rPr>
          <w:rFonts w:ascii="宋体" w:hAnsi="宋体" w:eastAsia="宋体" w:cs="宋体"/>
          <w:spacing w:val="-5"/>
          <w:sz w:val="24"/>
          <w:szCs w:val="24"/>
        </w:rPr>
        <w:t>并按</w:t>
      </w:r>
      <w:r>
        <w:rPr>
          <w:rFonts w:ascii="宋体" w:hAnsi="宋体" w:eastAsia="宋体" w:cs="宋体"/>
          <w:spacing w:val="-48"/>
          <w:sz w:val="24"/>
          <w:szCs w:val="24"/>
        </w:rPr>
        <w:t xml:space="preserve"> </w:t>
      </w:r>
      <w:r>
        <w:rPr>
          <w:rFonts w:ascii="宋体" w:hAnsi="宋体" w:eastAsia="宋体" w:cs="宋体"/>
          <w:spacing w:val="-5"/>
          <w:sz w:val="24"/>
          <w:szCs w:val="24"/>
        </w:rPr>
        <w:t>22.1</w:t>
      </w:r>
      <w:r>
        <w:rPr>
          <w:rFonts w:ascii="宋体" w:hAnsi="宋体" w:eastAsia="宋体" w:cs="宋体"/>
          <w:spacing w:val="-50"/>
          <w:sz w:val="24"/>
          <w:szCs w:val="24"/>
        </w:rPr>
        <w:t xml:space="preserve"> </w:t>
      </w:r>
      <w:r>
        <w:rPr>
          <w:rFonts w:ascii="宋体" w:hAnsi="宋体" w:eastAsia="宋体" w:cs="宋体"/>
          <w:spacing w:val="-5"/>
          <w:sz w:val="24"/>
          <w:szCs w:val="24"/>
        </w:rPr>
        <w:t>款约定处理。</w:t>
      </w:r>
    </w:p>
    <w:p w14:paraId="74903F44">
      <w:pPr>
        <w:spacing w:before="1" w:line="218" w:lineRule="auto"/>
        <w:ind w:left="490"/>
        <w:rPr>
          <w:rFonts w:ascii="宋体" w:hAnsi="宋体" w:eastAsia="宋体" w:cs="宋体"/>
          <w:sz w:val="24"/>
          <w:szCs w:val="24"/>
        </w:rPr>
      </w:pPr>
      <w:r>
        <w:rPr>
          <w:rFonts w:ascii="宋体" w:hAnsi="宋体" w:eastAsia="宋体" w:cs="宋体"/>
          <w:spacing w:val="-5"/>
          <w:sz w:val="24"/>
          <w:szCs w:val="24"/>
        </w:rPr>
        <w:t>本款补充第</w:t>
      </w:r>
      <w:r>
        <w:rPr>
          <w:rFonts w:ascii="宋体" w:hAnsi="宋体" w:eastAsia="宋体" w:cs="宋体"/>
          <w:spacing w:val="-46"/>
          <w:sz w:val="24"/>
          <w:szCs w:val="24"/>
        </w:rPr>
        <w:t xml:space="preserve"> </w:t>
      </w:r>
      <w:r>
        <w:rPr>
          <w:rFonts w:ascii="宋体" w:hAnsi="宋体" w:eastAsia="宋体" w:cs="宋体"/>
          <w:spacing w:val="-5"/>
          <w:sz w:val="24"/>
          <w:szCs w:val="24"/>
        </w:rPr>
        <w:t>6.1.3</w:t>
      </w:r>
      <w:r>
        <w:rPr>
          <w:rFonts w:ascii="宋体" w:hAnsi="宋体" w:eastAsia="宋体" w:cs="宋体"/>
          <w:spacing w:val="-47"/>
          <w:sz w:val="24"/>
          <w:szCs w:val="24"/>
        </w:rPr>
        <w:t xml:space="preserve"> </w:t>
      </w:r>
      <w:r>
        <w:rPr>
          <w:rFonts w:ascii="宋体" w:hAnsi="宋体" w:eastAsia="宋体" w:cs="宋体"/>
          <w:spacing w:val="-5"/>
          <w:sz w:val="24"/>
          <w:szCs w:val="24"/>
        </w:rPr>
        <w:t>项：</w:t>
      </w:r>
    </w:p>
    <w:p w14:paraId="22D510DC">
      <w:pPr>
        <w:spacing w:before="180" w:line="361" w:lineRule="auto"/>
        <w:ind w:left="8" w:firstLine="480"/>
        <w:jc w:val="both"/>
        <w:rPr>
          <w:rFonts w:ascii="宋体" w:hAnsi="宋体" w:eastAsia="宋体" w:cs="宋体"/>
          <w:sz w:val="24"/>
          <w:szCs w:val="24"/>
        </w:rPr>
      </w:pPr>
      <w:r>
        <w:rPr>
          <w:rFonts w:ascii="宋体" w:hAnsi="宋体" w:eastAsia="宋体" w:cs="宋体"/>
          <w:spacing w:val="-7"/>
          <w:sz w:val="24"/>
          <w:szCs w:val="24"/>
        </w:rPr>
        <w:t>承包人进场后，根据施工需要配备龙门吊、塔吊、架桥机等特种设备的，</w:t>
      </w:r>
      <w:r>
        <w:rPr>
          <w:rFonts w:ascii="宋体" w:hAnsi="宋体" w:eastAsia="宋体" w:cs="宋体"/>
          <w:spacing w:val="73"/>
          <w:sz w:val="24"/>
          <w:szCs w:val="24"/>
        </w:rPr>
        <w:t xml:space="preserve"> </w:t>
      </w:r>
      <w:r>
        <w:rPr>
          <w:rFonts w:ascii="宋体" w:hAnsi="宋体" w:eastAsia="宋体" w:cs="宋体"/>
          <w:spacing w:val="-7"/>
          <w:sz w:val="24"/>
          <w:szCs w:val="24"/>
        </w:rPr>
        <w:t>须提供厂</w:t>
      </w:r>
      <w:r>
        <w:rPr>
          <w:rFonts w:ascii="宋体" w:hAnsi="宋体" w:eastAsia="宋体" w:cs="宋体"/>
          <w:spacing w:val="-6"/>
          <w:sz w:val="24"/>
          <w:szCs w:val="24"/>
        </w:rPr>
        <w:t>家生产许可证、产品出厂合格证、设计计算书、使用说明书及图纸等资料；</w:t>
      </w:r>
      <w:r>
        <w:rPr>
          <w:rFonts w:ascii="宋体" w:hAnsi="宋体" w:eastAsia="宋体" w:cs="宋体"/>
          <w:spacing w:val="52"/>
          <w:sz w:val="24"/>
          <w:szCs w:val="24"/>
        </w:rPr>
        <w:t xml:space="preserve"> </w:t>
      </w:r>
      <w:r>
        <w:rPr>
          <w:rFonts w:ascii="宋体" w:hAnsi="宋体" w:eastAsia="宋体" w:cs="宋体"/>
          <w:spacing w:val="-6"/>
          <w:sz w:val="24"/>
          <w:szCs w:val="24"/>
        </w:rPr>
        <w:t>对于架</w:t>
      </w:r>
      <w:r>
        <w:rPr>
          <w:rFonts w:ascii="宋体" w:hAnsi="宋体" w:eastAsia="宋体" w:cs="宋体"/>
          <w:spacing w:val="-7"/>
          <w:sz w:val="24"/>
          <w:szCs w:val="24"/>
        </w:rPr>
        <w:t>桥机</w:t>
      </w:r>
      <w:r>
        <w:rPr>
          <w:rFonts w:ascii="宋体" w:hAnsi="宋体" w:eastAsia="宋体" w:cs="宋体"/>
          <w:spacing w:val="-2"/>
          <w:sz w:val="24"/>
          <w:szCs w:val="24"/>
        </w:rPr>
        <w:t>还应提供设备出厂到拟投入使用前的使用履历，包括有无发生过设备事故、有无改装以及有无经过大修；架桥机应明确其使用人及权属人。承包人在特种设备使用前应制定安</w:t>
      </w:r>
      <w:r>
        <w:rPr>
          <w:rFonts w:ascii="宋体" w:hAnsi="宋体" w:eastAsia="宋体" w:cs="宋体"/>
          <w:spacing w:val="-9"/>
          <w:sz w:val="24"/>
          <w:szCs w:val="24"/>
        </w:rPr>
        <w:t>装拆除方案及生产安全事故应急预案，由具有安装（拆除）资质的单位进</w:t>
      </w:r>
      <w:r>
        <w:rPr>
          <w:rFonts w:ascii="宋体" w:hAnsi="宋体" w:eastAsia="宋体" w:cs="宋体"/>
          <w:spacing w:val="-10"/>
          <w:sz w:val="24"/>
          <w:szCs w:val="24"/>
        </w:rPr>
        <w:t>行安装（拆除</w:t>
      </w:r>
      <w:r>
        <w:rPr>
          <w:rFonts w:ascii="宋体" w:hAnsi="宋体" w:eastAsia="宋体" w:cs="宋体"/>
          <w:spacing w:val="-62"/>
          <w:sz w:val="24"/>
          <w:szCs w:val="24"/>
        </w:rPr>
        <w:t>），</w:t>
      </w:r>
      <w:r>
        <w:rPr>
          <w:rFonts w:ascii="宋体" w:hAnsi="宋体" w:eastAsia="宋体" w:cs="宋体"/>
          <w:spacing w:val="-2"/>
          <w:sz w:val="24"/>
          <w:szCs w:val="24"/>
        </w:rPr>
        <w:t>并向特种设备所在地质量技术监督部门办理告知等一系列手续，提供验收合格证、当地</w:t>
      </w:r>
      <w:r>
        <w:rPr>
          <w:rFonts w:ascii="宋体" w:hAnsi="宋体" w:eastAsia="宋体" w:cs="宋体"/>
          <w:spacing w:val="-5"/>
          <w:sz w:val="24"/>
          <w:szCs w:val="24"/>
        </w:rPr>
        <w:t>使用登记证等资料。加强特种设备日常维护保养和自行检查制度， 对作业人员进行相应</w:t>
      </w:r>
    </w:p>
    <w:p w14:paraId="01A98A19">
      <w:pPr>
        <w:spacing w:line="361" w:lineRule="auto"/>
        <w:rPr>
          <w:rFonts w:ascii="宋体" w:hAnsi="宋体" w:eastAsia="宋体" w:cs="宋体"/>
          <w:sz w:val="24"/>
          <w:szCs w:val="24"/>
        </w:rPr>
        <w:sectPr>
          <w:headerReference r:id="rId73" w:type="default"/>
          <w:footerReference r:id="rId74" w:type="default"/>
          <w:pgSz w:w="11905" w:h="16840"/>
          <w:pgMar w:top="1182" w:right="1349" w:bottom="1171" w:left="1416" w:header="849" w:footer="937" w:gutter="0"/>
          <w:pgNumType w:fmt="decimal"/>
          <w:cols w:space="720" w:num="1"/>
        </w:sectPr>
      </w:pPr>
    </w:p>
    <w:p w14:paraId="40B9413C">
      <w:pPr>
        <w:pStyle w:val="2"/>
        <w:spacing w:line="267" w:lineRule="auto"/>
      </w:pPr>
    </w:p>
    <w:p w14:paraId="5A306F76">
      <w:pPr>
        <w:spacing w:before="78" w:line="220" w:lineRule="auto"/>
        <w:ind w:left="29"/>
        <w:rPr>
          <w:rFonts w:ascii="宋体" w:hAnsi="宋体" w:eastAsia="宋体" w:cs="宋体"/>
          <w:sz w:val="24"/>
          <w:szCs w:val="24"/>
        </w:rPr>
      </w:pPr>
      <w:r>
        <w:rPr>
          <w:rFonts w:ascii="宋体" w:hAnsi="宋体" w:eastAsia="宋体" w:cs="宋体"/>
          <w:spacing w:val="-3"/>
          <w:sz w:val="24"/>
          <w:szCs w:val="24"/>
        </w:rPr>
        <w:t>的教育培训、安全技术交底。特种作业人员必须持证上岗。</w:t>
      </w:r>
    </w:p>
    <w:p w14:paraId="7CE4312D">
      <w:pPr>
        <w:spacing w:before="182" w:line="220" w:lineRule="auto"/>
        <w:ind w:left="491"/>
        <w:rPr>
          <w:rFonts w:ascii="宋体" w:hAnsi="宋体" w:eastAsia="宋体" w:cs="宋体"/>
          <w:sz w:val="24"/>
          <w:szCs w:val="24"/>
        </w:rPr>
      </w:pPr>
      <w:r>
        <w:rPr>
          <w:rFonts w:ascii="宋体" w:hAnsi="宋体" w:eastAsia="宋体" w:cs="宋体"/>
          <w:spacing w:val="-1"/>
          <w:sz w:val="24"/>
          <w:szCs w:val="24"/>
        </w:rPr>
        <w:t>6.3 要求承包人增加或更换施工设备</w:t>
      </w:r>
    </w:p>
    <w:p w14:paraId="0F6BCC03">
      <w:pPr>
        <w:spacing w:before="182" w:line="219" w:lineRule="auto"/>
        <w:ind w:left="488"/>
        <w:rPr>
          <w:rFonts w:ascii="宋体" w:hAnsi="宋体" w:eastAsia="宋体" w:cs="宋体"/>
          <w:sz w:val="24"/>
          <w:szCs w:val="24"/>
        </w:rPr>
      </w:pPr>
      <w:r>
        <w:rPr>
          <w:rFonts w:ascii="宋体" w:hAnsi="宋体" w:eastAsia="宋体" w:cs="宋体"/>
          <w:spacing w:val="-8"/>
          <w:sz w:val="24"/>
          <w:szCs w:val="24"/>
        </w:rPr>
        <w:t>在本款后补充：</w:t>
      </w:r>
    </w:p>
    <w:p w14:paraId="68670279">
      <w:pPr>
        <w:spacing w:before="183" w:line="219" w:lineRule="auto"/>
        <w:ind w:left="489"/>
        <w:rPr>
          <w:rFonts w:ascii="宋体" w:hAnsi="宋体" w:eastAsia="宋体" w:cs="宋体"/>
          <w:sz w:val="24"/>
          <w:szCs w:val="24"/>
        </w:rPr>
      </w:pPr>
      <w:r>
        <w:rPr>
          <w:rFonts w:ascii="宋体" w:hAnsi="宋体" w:eastAsia="宋体" w:cs="宋体"/>
          <w:spacing w:val="-3"/>
          <w:sz w:val="24"/>
          <w:szCs w:val="24"/>
        </w:rPr>
        <w:t>承包人在接到上述指令</w:t>
      </w:r>
      <w:r>
        <w:rPr>
          <w:rFonts w:ascii="宋体" w:hAnsi="宋体" w:eastAsia="宋体" w:cs="宋体"/>
          <w:spacing w:val="-26"/>
          <w:sz w:val="24"/>
          <w:szCs w:val="24"/>
        </w:rPr>
        <w:t xml:space="preserve"> </w:t>
      </w:r>
      <w:r>
        <w:rPr>
          <w:rFonts w:ascii="宋体" w:hAnsi="宋体" w:eastAsia="宋体" w:cs="宋体"/>
          <w:spacing w:val="-3"/>
          <w:sz w:val="24"/>
          <w:szCs w:val="24"/>
        </w:rPr>
        <w:t>14</w:t>
      </w:r>
      <w:r>
        <w:rPr>
          <w:rFonts w:ascii="宋体" w:hAnsi="宋体" w:eastAsia="宋体" w:cs="宋体"/>
          <w:spacing w:val="-46"/>
          <w:sz w:val="24"/>
          <w:szCs w:val="24"/>
        </w:rPr>
        <w:t xml:space="preserve"> </w:t>
      </w:r>
      <w:r>
        <w:rPr>
          <w:rFonts w:ascii="宋体" w:hAnsi="宋体" w:eastAsia="宋体" w:cs="宋体"/>
          <w:spacing w:val="-3"/>
          <w:sz w:val="24"/>
          <w:szCs w:val="24"/>
        </w:rPr>
        <w:t>天内未按要求执行，将按第</w:t>
      </w:r>
      <w:r>
        <w:rPr>
          <w:rFonts w:ascii="宋体" w:hAnsi="宋体" w:eastAsia="宋体" w:cs="宋体"/>
          <w:spacing w:val="-48"/>
          <w:sz w:val="24"/>
          <w:szCs w:val="24"/>
        </w:rPr>
        <w:t xml:space="preserve"> </w:t>
      </w:r>
      <w:r>
        <w:rPr>
          <w:rFonts w:ascii="宋体" w:hAnsi="宋体" w:eastAsia="宋体" w:cs="宋体"/>
          <w:spacing w:val="-3"/>
          <w:sz w:val="24"/>
          <w:szCs w:val="24"/>
        </w:rPr>
        <w:t>22.1</w:t>
      </w:r>
      <w:r>
        <w:rPr>
          <w:rFonts w:ascii="宋体" w:hAnsi="宋体" w:eastAsia="宋体" w:cs="宋体"/>
          <w:spacing w:val="-50"/>
          <w:sz w:val="24"/>
          <w:szCs w:val="24"/>
        </w:rPr>
        <w:t xml:space="preserve"> </w:t>
      </w:r>
      <w:r>
        <w:rPr>
          <w:rFonts w:ascii="宋体" w:hAnsi="宋体" w:eastAsia="宋体" w:cs="宋体"/>
          <w:spacing w:val="-3"/>
          <w:sz w:val="24"/>
          <w:szCs w:val="24"/>
        </w:rPr>
        <w:t>款视为承包人违约。</w:t>
      </w:r>
    </w:p>
    <w:p w14:paraId="7E2B861B">
      <w:pPr>
        <w:spacing w:before="183" w:line="219" w:lineRule="auto"/>
        <w:ind w:left="490"/>
        <w:rPr>
          <w:rFonts w:ascii="宋体" w:hAnsi="宋体" w:eastAsia="宋体" w:cs="宋体"/>
          <w:sz w:val="24"/>
          <w:szCs w:val="24"/>
        </w:rPr>
      </w:pPr>
      <w:r>
        <w:rPr>
          <w:rFonts w:ascii="宋体" w:hAnsi="宋体" w:eastAsia="宋体" w:cs="宋体"/>
          <w:spacing w:val="-4"/>
          <w:sz w:val="24"/>
          <w:szCs w:val="24"/>
        </w:rPr>
        <w:t>本条补充第 6.5</w:t>
      </w:r>
      <w:r>
        <w:rPr>
          <w:rFonts w:ascii="宋体" w:hAnsi="宋体" w:eastAsia="宋体" w:cs="宋体"/>
          <w:spacing w:val="10"/>
          <w:sz w:val="24"/>
          <w:szCs w:val="24"/>
        </w:rPr>
        <w:t xml:space="preserve"> </w:t>
      </w:r>
      <w:r>
        <w:rPr>
          <w:rFonts w:ascii="宋体" w:hAnsi="宋体" w:eastAsia="宋体" w:cs="宋体"/>
          <w:spacing w:val="-4"/>
          <w:sz w:val="24"/>
          <w:szCs w:val="24"/>
        </w:rPr>
        <w:t>款：</w:t>
      </w:r>
    </w:p>
    <w:p w14:paraId="1555B3C9">
      <w:pPr>
        <w:spacing w:before="182" w:line="220" w:lineRule="auto"/>
        <w:ind w:left="491"/>
        <w:rPr>
          <w:rFonts w:ascii="宋体" w:hAnsi="宋体" w:eastAsia="宋体" w:cs="宋体"/>
          <w:sz w:val="24"/>
          <w:szCs w:val="24"/>
        </w:rPr>
      </w:pPr>
      <w:r>
        <w:rPr>
          <w:rFonts w:ascii="宋体" w:hAnsi="宋体" w:eastAsia="宋体" w:cs="宋体"/>
          <w:spacing w:val="-2"/>
          <w:sz w:val="24"/>
          <w:szCs w:val="24"/>
        </w:rPr>
        <w:t>6.5 信息化管理</w:t>
      </w:r>
    </w:p>
    <w:p w14:paraId="755A1ECB">
      <w:pPr>
        <w:spacing w:before="182" w:line="219" w:lineRule="auto"/>
        <w:ind w:left="491"/>
        <w:rPr>
          <w:rFonts w:ascii="宋体" w:hAnsi="宋体" w:eastAsia="宋体" w:cs="宋体"/>
          <w:sz w:val="24"/>
          <w:szCs w:val="24"/>
        </w:rPr>
      </w:pPr>
      <w:r>
        <w:rPr>
          <w:rFonts w:ascii="宋体" w:hAnsi="宋体" w:eastAsia="宋体" w:cs="宋体"/>
          <w:spacing w:val="-1"/>
          <w:sz w:val="24"/>
          <w:szCs w:val="24"/>
        </w:rPr>
        <w:t>6.5.1 计算机系统配置</w:t>
      </w:r>
    </w:p>
    <w:p w14:paraId="1DEA3B60">
      <w:pPr>
        <w:spacing w:before="184" w:line="360" w:lineRule="auto"/>
        <w:ind w:left="9" w:firstLine="483"/>
        <w:rPr>
          <w:rFonts w:ascii="宋体" w:hAnsi="宋体" w:eastAsia="宋体" w:cs="宋体"/>
          <w:sz w:val="24"/>
          <w:szCs w:val="24"/>
        </w:rPr>
      </w:pPr>
      <w:r>
        <w:rPr>
          <w:rFonts w:ascii="宋体" w:hAnsi="宋体" w:eastAsia="宋体" w:cs="宋体"/>
          <w:spacing w:val="-2"/>
          <w:sz w:val="24"/>
          <w:szCs w:val="24"/>
        </w:rPr>
        <w:t>发包人采用信息化手段对本项目进行管理。承包人的计算机及网络配置应满足项目</w:t>
      </w:r>
      <w:r>
        <w:rPr>
          <w:rFonts w:ascii="宋体" w:hAnsi="宋体" w:eastAsia="宋体" w:cs="宋体"/>
          <w:spacing w:val="-3"/>
          <w:sz w:val="24"/>
          <w:szCs w:val="24"/>
        </w:rPr>
        <w:t>信息化管理和发包人的有关要求。</w:t>
      </w:r>
    </w:p>
    <w:p w14:paraId="6F60AEC1">
      <w:pPr>
        <w:spacing w:before="1" w:line="359" w:lineRule="auto"/>
        <w:ind w:left="9" w:firstLine="480"/>
        <w:rPr>
          <w:rFonts w:ascii="宋体" w:hAnsi="宋体" w:eastAsia="宋体" w:cs="宋体"/>
          <w:sz w:val="24"/>
          <w:szCs w:val="24"/>
        </w:rPr>
      </w:pPr>
      <w:r>
        <w:rPr>
          <w:rFonts w:ascii="宋体" w:hAnsi="宋体" w:eastAsia="宋体" w:cs="宋体"/>
          <w:spacing w:val="-2"/>
          <w:sz w:val="24"/>
          <w:szCs w:val="24"/>
        </w:rPr>
        <w:t>承包人应确保有专用计算机和一条专用网络连接线，同时应充分考虑可视化管理的</w:t>
      </w:r>
      <w:r>
        <w:rPr>
          <w:rFonts w:ascii="宋体" w:hAnsi="宋体" w:eastAsia="宋体" w:cs="宋体"/>
          <w:spacing w:val="-4"/>
          <w:sz w:val="24"/>
          <w:szCs w:val="24"/>
        </w:rPr>
        <w:t>手段，网络速度不小于</w:t>
      </w:r>
      <w:r>
        <w:rPr>
          <w:rFonts w:ascii="宋体" w:hAnsi="宋体" w:eastAsia="宋体" w:cs="宋体"/>
          <w:spacing w:val="-20"/>
          <w:sz w:val="24"/>
          <w:szCs w:val="24"/>
        </w:rPr>
        <w:t xml:space="preserve"> </w:t>
      </w:r>
      <w:r>
        <w:rPr>
          <w:rFonts w:ascii="宋体" w:hAnsi="宋体" w:eastAsia="宋体" w:cs="宋体"/>
          <w:spacing w:val="-4"/>
          <w:sz w:val="24"/>
          <w:szCs w:val="24"/>
        </w:rPr>
        <w:t>100Mbps。</w:t>
      </w:r>
    </w:p>
    <w:p w14:paraId="525F7F85">
      <w:pPr>
        <w:spacing w:before="1" w:line="219" w:lineRule="auto"/>
        <w:ind w:left="493"/>
        <w:rPr>
          <w:rFonts w:ascii="宋体" w:hAnsi="宋体" w:eastAsia="宋体" w:cs="宋体"/>
          <w:sz w:val="24"/>
          <w:szCs w:val="24"/>
        </w:rPr>
      </w:pPr>
      <w:r>
        <w:rPr>
          <w:rFonts w:ascii="宋体" w:hAnsi="宋体" w:eastAsia="宋体" w:cs="宋体"/>
          <w:spacing w:val="-4"/>
          <w:sz w:val="24"/>
          <w:szCs w:val="24"/>
        </w:rPr>
        <w:t>项目管理系统专用计算机的管理要求：</w:t>
      </w:r>
    </w:p>
    <w:p w14:paraId="7D6CDCAC">
      <w:pPr>
        <w:spacing w:before="184" w:line="360" w:lineRule="auto"/>
        <w:ind w:left="18" w:right="10" w:firstLine="512"/>
        <w:rPr>
          <w:rFonts w:ascii="宋体" w:hAnsi="宋体" w:eastAsia="宋体" w:cs="宋体"/>
          <w:sz w:val="24"/>
          <w:szCs w:val="24"/>
        </w:rPr>
      </w:pPr>
      <w:r>
        <w:rPr>
          <w:rFonts w:ascii="宋体" w:hAnsi="宋体" w:eastAsia="宋体" w:cs="宋体"/>
          <w:sz w:val="24"/>
          <w:szCs w:val="24"/>
        </w:rPr>
        <w:t>(1)项目管理系统专用的计算机应由熟悉计算机操作的管理人员专人管理，管理人</w:t>
      </w:r>
      <w:r>
        <w:rPr>
          <w:rFonts w:ascii="宋体" w:hAnsi="宋体" w:eastAsia="宋体" w:cs="宋体"/>
          <w:spacing w:val="-4"/>
          <w:sz w:val="24"/>
          <w:szCs w:val="24"/>
        </w:rPr>
        <w:t>员必须参加发包人举办的培训班。</w:t>
      </w:r>
    </w:p>
    <w:p w14:paraId="3F52EED2">
      <w:pPr>
        <w:spacing w:line="360" w:lineRule="auto"/>
        <w:ind w:left="10" w:firstLine="521"/>
        <w:rPr>
          <w:rFonts w:ascii="宋体" w:hAnsi="宋体" w:eastAsia="宋体" w:cs="宋体"/>
          <w:sz w:val="24"/>
          <w:szCs w:val="24"/>
        </w:rPr>
      </w:pPr>
      <w:r>
        <w:rPr>
          <w:rFonts w:ascii="宋体" w:hAnsi="宋体" w:eastAsia="宋体" w:cs="宋体"/>
          <w:spacing w:val="-4"/>
          <w:sz w:val="24"/>
          <w:szCs w:val="24"/>
        </w:rPr>
        <w:t>(2)严禁在专用的计算机上安装软驱、光驱或进行登录</w:t>
      </w:r>
      <w:r>
        <w:rPr>
          <w:rFonts w:ascii="宋体" w:hAnsi="宋体" w:eastAsia="宋体" w:cs="宋体"/>
          <w:spacing w:val="-25"/>
          <w:sz w:val="24"/>
          <w:szCs w:val="24"/>
        </w:rPr>
        <w:t xml:space="preserve"> </w:t>
      </w:r>
      <w:r>
        <w:rPr>
          <w:rFonts w:ascii="宋体" w:hAnsi="宋体" w:eastAsia="宋体" w:cs="宋体"/>
          <w:spacing w:val="-4"/>
          <w:sz w:val="24"/>
          <w:szCs w:val="24"/>
        </w:rPr>
        <w:t>Internet</w:t>
      </w:r>
      <w:r>
        <w:rPr>
          <w:rFonts w:ascii="宋体" w:hAnsi="宋体" w:eastAsia="宋体" w:cs="宋体"/>
          <w:spacing w:val="-32"/>
          <w:sz w:val="24"/>
          <w:szCs w:val="24"/>
        </w:rPr>
        <w:t xml:space="preserve"> </w:t>
      </w:r>
      <w:r>
        <w:rPr>
          <w:rFonts w:ascii="宋体" w:hAnsi="宋体" w:eastAsia="宋体" w:cs="宋体"/>
          <w:spacing w:val="-4"/>
          <w:sz w:val="24"/>
          <w:szCs w:val="24"/>
        </w:rPr>
        <w:t>网及其局域网的操</w:t>
      </w:r>
      <w:r>
        <w:rPr>
          <w:rFonts w:ascii="宋体" w:hAnsi="宋体" w:eastAsia="宋体" w:cs="宋体"/>
          <w:spacing w:val="-12"/>
          <w:sz w:val="24"/>
          <w:szCs w:val="24"/>
        </w:rPr>
        <w:t>作。</w:t>
      </w:r>
    </w:p>
    <w:p w14:paraId="3993BAB7">
      <w:pPr>
        <w:spacing w:before="1" w:line="218" w:lineRule="auto"/>
        <w:ind w:left="531"/>
        <w:rPr>
          <w:rFonts w:ascii="宋体" w:hAnsi="宋体" w:eastAsia="宋体" w:cs="宋体"/>
          <w:sz w:val="24"/>
          <w:szCs w:val="24"/>
        </w:rPr>
      </w:pPr>
      <w:r>
        <w:rPr>
          <w:rFonts w:ascii="宋体" w:hAnsi="宋体" w:eastAsia="宋体" w:cs="宋体"/>
          <w:spacing w:val="-5"/>
          <w:sz w:val="24"/>
          <w:szCs w:val="24"/>
        </w:rPr>
        <w:t>(3)严禁在专用计算机上安装或卸载软件。</w:t>
      </w:r>
    </w:p>
    <w:p w14:paraId="3AA377D9">
      <w:pPr>
        <w:spacing w:before="183" w:line="360" w:lineRule="auto"/>
        <w:ind w:left="14" w:right="10" w:firstLine="517"/>
        <w:rPr>
          <w:rFonts w:ascii="宋体" w:hAnsi="宋体" w:eastAsia="宋体" w:cs="宋体"/>
          <w:sz w:val="24"/>
          <w:szCs w:val="24"/>
        </w:rPr>
      </w:pPr>
      <w:r>
        <w:rPr>
          <w:rFonts w:ascii="宋体" w:hAnsi="宋体" w:eastAsia="宋体" w:cs="宋体"/>
          <w:sz w:val="24"/>
          <w:szCs w:val="24"/>
        </w:rPr>
        <w:t>(4)本网络系统对操作者进行了权限设置，任何操作员的违规操作将按照有关规定</w:t>
      </w:r>
      <w:r>
        <w:rPr>
          <w:rFonts w:ascii="宋体" w:hAnsi="宋体" w:eastAsia="宋体" w:cs="宋体"/>
          <w:spacing w:val="-11"/>
          <w:sz w:val="24"/>
          <w:szCs w:val="24"/>
        </w:rPr>
        <w:t>处理。</w:t>
      </w:r>
    </w:p>
    <w:p w14:paraId="0E418DD3">
      <w:pPr>
        <w:spacing w:line="360" w:lineRule="auto"/>
        <w:ind w:left="9" w:firstLine="522"/>
        <w:rPr>
          <w:rFonts w:ascii="宋体" w:hAnsi="宋体" w:eastAsia="宋体" w:cs="宋体"/>
          <w:sz w:val="24"/>
          <w:szCs w:val="24"/>
        </w:rPr>
      </w:pPr>
      <w:r>
        <w:rPr>
          <w:rFonts w:ascii="宋体" w:hAnsi="宋体" w:eastAsia="宋体" w:cs="宋体"/>
          <w:sz w:val="24"/>
          <w:szCs w:val="24"/>
        </w:rPr>
        <w:t>(5)专用计算机访问登录服务器前，操作员应准备好所有要传送的资料，登录后，</w:t>
      </w:r>
      <w:r>
        <w:rPr>
          <w:rFonts w:ascii="宋体" w:hAnsi="宋体" w:eastAsia="宋体" w:cs="宋体"/>
          <w:spacing w:val="-2"/>
          <w:sz w:val="24"/>
          <w:szCs w:val="24"/>
        </w:rPr>
        <w:t>应立即进行传送的操作，以避免长时间占用通讯通道。严禁登录占用通讯通道后才开始整理资料或编制文档，若有此情况将视作霸用通讯通道处以经济惩罚。</w:t>
      </w:r>
    </w:p>
    <w:p w14:paraId="1F13E20F">
      <w:pPr>
        <w:spacing w:line="360" w:lineRule="auto"/>
        <w:ind w:left="10" w:right="10" w:firstLine="521"/>
        <w:rPr>
          <w:rFonts w:ascii="宋体" w:hAnsi="宋体" w:eastAsia="宋体" w:cs="宋体"/>
          <w:sz w:val="24"/>
          <w:szCs w:val="24"/>
        </w:rPr>
      </w:pPr>
      <w:r>
        <w:rPr>
          <w:rFonts w:ascii="宋体" w:hAnsi="宋体" w:eastAsia="宋体" w:cs="宋体"/>
          <w:sz w:val="24"/>
          <w:szCs w:val="24"/>
        </w:rPr>
        <w:t>(6)承包人应安排专人配合发包人将项目信息管理系统与广东省交通运输厅建设管</w:t>
      </w:r>
      <w:r>
        <w:rPr>
          <w:rFonts w:ascii="宋体" w:hAnsi="宋体" w:eastAsia="宋体" w:cs="宋体"/>
          <w:spacing w:val="-3"/>
          <w:sz w:val="24"/>
          <w:szCs w:val="24"/>
        </w:rPr>
        <w:t>养平台进行对接，保证网络畅通。</w:t>
      </w:r>
    </w:p>
    <w:p w14:paraId="0655C8D0">
      <w:pPr>
        <w:spacing w:before="1" w:line="219" w:lineRule="auto"/>
        <w:ind w:left="495"/>
        <w:rPr>
          <w:rFonts w:ascii="宋体" w:hAnsi="宋体" w:eastAsia="宋体" w:cs="宋体"/>
          <w:sz w:val="24"/>
          <w:szCs w:val="24"/>
        </w:rPr>
      </w:pPr>
      <w:r>
        <w:rPr>
          <w:rFonts w:ascii="宋体" w:hAnsi="宋体" w:eastAsia="宋体" w:cs="宋体"/>
          <w:spacing w:val="-2"/>
          <w:sz w:val="24"/>
          <w:szCs w:val="24"/>
        </w:rPr>
        <w:t>7.交通运输</w:t>
      </w:r>
    </w:p>
    <w:p w14:paraId="6D9763A1">
      <w:pPr>
        <w:spacing w:before="182" w:line="220" w:lineRule="auto"/>
        <w:ind w:left="495"/>
        <w:rPr>
          <w:rFonts w:ascii="宋体" w:hAnsi="宋体" w:eastAsia="宋体" w:cs="宋体"/>
          <w:sz w:val="24"/>
          <w:szCs w:val="24"/>
        </w:rPr>
      </w:pPr>
      <w:r>
        <w:rPr>
          <w:rFonts w:ascii="宋体" w:hAnsi="宋体" w:eastAsia="宋体" w:cs="宋体"/>
          <w:spacing w:val="-3"/>
          <w:sz w:val="24"/>
          <w:szCs w:val="24"/>
        </w:rPr>
        <w:t>7.2</w:t>
      </w:r>
      <w:r>
        <w:rPr>
          <w:rFonts w:ascii="宋体" w:hAnsi="宋体" w:eastAsia="宋体" w:cs="宋体"/>
          <w:spacing w:val="-48"/>
          <w:sz w:val="24"/>
          <w:szCs w:val="24"/>
        </w:rPr>
        <w:t xml:space="preserve"> </w:t>
      </w:r>
      <w:r>
        <w:rPr>
          <w:rFonts w:ascii="宋体" w:hAnsi="宋体" w:eastAsia="宋体" w:cs="宋体"/>
          <w:spacing w:val="-3"/>
          <w:sz w:val="24"/>
          <w:szCs w:val="24"/>
        </w:rPr>
        <w:t>场内施工道路</w:t>
      </w:r>
    </w:p>
    <w:p w14:paraId="201BF175">
      <w:pPr>
        <w:spacing w:before="182" w:line="219" w:lineRule="auto"/>
        <w:ind w:left="490"/>
        <w:rPr>
          <w:rFonts w:ascii="宋体" w:hAnsi="宋体" w:eastAsia="宋体" w:cs="宋体"/>
          <w:sz w:val="24"/>
          <w:szCs w:val="24"/>
        </w:rPr>
      </w:pPr>
      <w:r>
        <w:rPr>
          <w:rFonts w:ascii="宋体" w:hAnsi="宋体" w:eastAsia="宋体" w:cs="宋体"/>
          <w:spacing w:val="-5"/>
          <w:sz w:val="24"/>
          <w:szCs w:val="24"/>
        </w:rPr>
        <w:t>本款补充第</w:t>
      </w:r>
      <w:r>
        <w:rPr>
          <w:rFonts w:ascii="宋体" w:hAnsi="宋体" w:eastAsia="宋体" w:cs="宋体"/>
          <w:spacing w:val="-45"/>
          <w:sz w:val="24"/>
          <w:szCs w:val="24"/>
        </w:rPr>
        <w:t xml:space="preserve"> </w:t>
      </w:r>
      <w:r>
        <w:rPr>
          <w:rFonts w:ascii="宋体" w:hAnsi="宋体" w:eastAsia="宋体" w:cs="宋体"/>
          <w:spacing w:val="-5"/>
          <w:sz w:val="24"/>
          <w:szCs w:val="24"/>
        </w:rPr>
        <w:t>7.2.3</w:t>
      </w:r>
      <w:r>
        <w:rPr>
          <w:rFonts w:ascii="宋体" w:hAnsi="宋体" w:eastAsia="宋体" w:cs="宋体"/>
          <w:spacing w:val="-47"/>
          <w:sz w:val="24"/>
          <w:szCs w:val="24"/>
        </w:rPr>
        <w:t xml:space="preserve"> </w:t>
      </w:r>
      <w:r>
        <w:rPr>
          <w:rFonts w:ascii="宋体" w:hAnsi="宋体" w:eastAsia="宋体" w:cs="宋体"/>
          <w:spacing w:val="-5"/>
          <w:sz w:val="24"/>
          <w:szCs w:val="24"/>
        </w:rPr>
        <w:t>项：</w:t>
      </w:r>
    </w:p>
    <w:p w14:paraId="515DDC5A">
      <w:pPr>
        <w:spacing w:before="185" w:line="361" w:lineRule="auto"/>
        <w:ind w:left="12" w:firstLine="477"/>
        <w:jc w:val="both"/>
        <w:rPr>
          <w:rFonts w:ascii="宋体" w:hAnsi="宋体" w:eastAsia="宋体" w:cs="宋体"/>
          <w:sz w:val="24"/>
          <w:szCs w:val="24"/>
        </w:rPr>
      </w:pPr>
      <w:r>
        <w:rPr>
          <w:rFonts w:ascii="宋体" w:hAnsi="宋体" w:eastAsia="宋体" w:cs="宋体"/>
          <w:spacing w:val="-2"/>
          <w:sz w:val="24"/>
          <w:szCs w:val="24"/>
        </w:rPr>
        <w:t>承包人应负责对本标段内施工便道进行建设和维护，包括便道硬化及便桥加固等，并无条件允许发包人、监理人、试验人、本工程其他承包人及供应商使用。如该便道因各种原因损坏而未能及时修复，影响使用的，若发包人与承包人协调无果时，发包人有</w:t>
      </w:r>
    </w:p>
    <w:p w14:paraId="7FFF362B">
      <w:pPr>
        <w:spacing w:line="361" w:lineRule="auto"/>
        <w:rPr>
          <w:rFonts w:ascii="宋体" w:hAnsi="宋体" w:eastAsia="宋体" w:cs="宋体"/>
          <w:sz w:val="24"/>
          <w:szCs w:val="24"/>
        </w:rPr>
        <w:sectPr>
          <w:footerReference r:id="rId75" w:type="default"/>
          <w:pgSz w:w="11905" w:h="16840"/>
          <w:pgMar w:top="1182" w:right="1416" w:bottom="1171" w:left="1416" w:header="849" w:footer="937" w:gutter="0"/>
          <w:pgNumType w:fmt="decimal"/>
          <w:cols w:space="720" w:num="1"/>
        </w:sectPr>
      </w:pPr>
    </w:p>
    <w:p w14:paraId="3C5E56D3">
      <w:pPr>
        <w:pStyle w:val="2"/>
        <w:spacing w:line="267" w:lineRule="auto"/>
      </w:pPr>
    </w:p>
    <w:p w14:paraId="4A3C653C">
      <w:pPr>
        <w:spacing w:before="78" w:line="220" w:lineRule="auto"/>
        <w:ind w:left="8"/>
        <w:rPr>
          <w:rFonts w:ascii="宋体" w:hAnsi="宋体" w:eastAsia="宋体" w:cs="宋体"/>
          <w:sz w:val="24"/>
          <w:szCs w:val="24"/>
        </w:rPr>
      </w:pPr>
      <w:r>
        <w:rPr>
          <w:rFonts w:ascii="宋体" w:hAnsi="宋体" w:eastAsia="宋体" w:cs="宋体"/>
          <w:spacing w:val="-1"/>
          <w:sz w:val="24"/>
          <w:szCs w:val="24"/>
        </w:rPr>
        <w:t>权委托第三方进行修复，所发生的费用从承包人工程款中扣回，承包人应</w:t>
      </w:r>
      <w:r>
        <w:rPr>
          <w:rFonts w:ascii="宋体" w:hAnsi="宋体" w:eastAsia="宋体" w:cs="宋体"/>
          <w:spacing w:val="-2"/>
          <w:sz w:val="24"/>
          <w:szCs w:val="24"/>
        </w:rPr>
        <w:t>无条件接受。</w:t>
      </w:r>
    </w:p>
    <w:p w14:paraId="52057895">
      <w:pPr>
        <w:spacing w:before="182" w:line="219" w:lineRule="auto"/>
        <w:ind w:left="490"/>
        <w:rPr>
          <w:rFonts w:ascii="宋体" w:hAnsi="宋体" w:eastAsia="宋体" w:cs="宋体"/>
          <w:sz w:val="24"/>
          <w:szCs w:val="24"/>
        </w:rPr>
      </w:pPr>
      <w:r>
        <w:rPr>
          <w:rFonts w:ascii="宋体" w:hAnsi="宋体" w:eastAsia="宋体" w:cs="宋体"/>
          <w:spacing w:val="-5"/>
          <w:sz w:val="24"/>
          <w:szCs w:val="24"/>
        </w:rPr>
        <w:t>本款补充第</w:t>
      </w:r>
      <w:r>
        <w:rPr>
          <w:rFonts w:ascii="宋体" w:hAnsi="宋体" w:eastAsia="宋体" w:cs="宋体"/>
          <w:spacing w:val="-45"/>
          <w:sz w:val="24"/>
          <w:szCs w:val="24"/>
        </w:rPr>
        <w:t xml:space="preserve"> </w:t>
      </w:r>
      <w:r>
        <w:rPr>
          <w:rFonts w:ascii="宋体" w:hAnsi="宋体" w:eastAsia="宋体" w:cs="宋体"/>
          <w:spacing w:val="-5"/>
          <w:sz w:val="24"/>
          <w:szCs w:val="24"/>
        </w:rPr>
        <w:t>7.2.4</w:t>
      </w:r>
      <w:r>
        <w:rPr>
          <w:rFonts w:ascii="宋体" w:hAnsi="宋体" w:eastAsia="宋体" w:cs="宋体"/>
          <w:spacing w:val="-47"/>
          <w:sz w:val="24"/>
          <w:szCs w:val="24"/>
        </w:rPr>
        <w:t xml:space="preserve"> </w:t>
      </w:r>
      <w:r>
        <w:rPr>
          <w:rFonts w:ascii="宋体" w:hAnsi="宋体" w:eastAsia="宋体" w:cs="宋体"/>
          <w:spacing w:val="-5"/>
          <w:sz w:val="24"/>
          <w:szCs w:val="24"/>
        </w:rPr>
        <w:t>项：</w:t>
      </w:r>
    </w:p>
    <w:p w14:paraId="448471FD">
      <w:pPr>
        <w:spacing w:before="182" w:line="220" w:lineRule="auto"/>
        <w:ind w:left="495"/>
        <w:rPr>
          <w:rFonts w:ascii="宋体" w:hAnsi="宋体" w:eastAsia="宋体" w:cs="宋体"/>
          <w:sz w:val="24"/>
          <w:szCs w:val="24"/>
        </w:rPr>
      </w:pPr>
      <w:r>
        <w:rPr>
          <w:rFonts w:ascii="宋体" w:hAnsi="宋体" w:eastAsia="宋体" w:cs="宋体"/>
          <w:spacing w:val="-6"/>
          <w:sz w:val="24"/>
          <w:szCs w:val="24"/>
        </w:rPr>
        <w:t>7.2.4</w:t>
      </w:r>
      <w:r>
        <w:rPr>
          <w:rFonts w:ascii="宋体" w:hAnsi="宋体" w:eastAsia="宋体" w:cs="宋体"/>
          <w:spacing w:val="-51"/>
          <w:sz w:val="24"/>
          <w:szCs w:val="24"/>
        </w:rPr>
        <w:t xml:space="preserve"> </w:t>
      </w:r>
      <w:r>
        <w:rPr>
          <w:rFonts w:ascii="宋体" w:hAnsi="宋体" w:eastAsia="宋体" w:cs="宋体"/>
          <w:spacing w:val="-6"/>
          <w:sz w:val="24"/>
          <w:szCs w:val="24"/>
        </w:rPr>
        <w:t>施工便道要求：</w:t>
      </w:r>
    </w:p>
    <w:p w14:paraId="194F6DA4">
      <w:pPr>
        <w:spacing w:before="182" w:line="360" w:lineRule="auto"/>
        <w:ind w:left="8" w:right="166" w:firstLine="480"/>
        <w:jc w:val="both"/>
        <w:rPr>
          <w:rFonts w:ascii="宋体" w:hAnsi="宋体" w:eastAsia="宋体" w:cs="宋体"/>
          <w:sz w:val="24"/>
          <w:szCs w:val="24"/>
        </w:rPr>
      </w:pPr>
      <w:r>
        <w:rPr>
          <w:rFonts w:ascii="宋体" w:hAnsi="宋体" w:eastAsia="宋体" w:cs="宋体"/>
          <w:spacing w:val="-2"/>
          <w:sz w:val="24"/>
          <w:szCs w:val="24"/>
        </w:rPr>
        <w:t>承包人应无条件按发包人要求的时间节点拉通施工便道，在实施便道工程前，应做</w:t>
      </w:r>
      <w:r>
        <w:rPr>
          <w:rFonts w:ascii="宋体" w:hAnsi="宋体" w:eastAsia="宋体" w:cs="宋体"/>
          <w:spacing w:val="-6"/>
          <w:sz w:val="24"/>
          <w:szCs w:val="24"/>
        </w:rPr>
        <w:t>好现场调查，结合工点施工组织方案，编制施工便道专项方案。承包人在取弃土前，</w:t>
      </w:r>
      <w:r>
        <w:rPr>
          <w:rFonts w:ascii="宋体" w:hAnsi="宋体" w:eastAsia="宋体" w:cs="宋体"/>
          <w:spacing w:val="50"/>
          <w:sz w:val="24"/>
          <w:szCs w:val="24"/>
        </w:rPr>
        <w:t xml:space="preserve"> </w:t>
      </w:r>
      <w:r>
        <w:rPr>
          <w:rFonts w:ascii="宋体" w:hAnsi="宋体" w:eastAsia="宋体" w:cs="宋体"/>
          <w:spacing w:val="-6"/>
          <w:sz w:val="24"/>
          <w:szCs w:val="24"/>
        </w:rPr>
        <w:t>应</w:t>
      </w:r>
      <w:r>
        <w:rPr>
          <w:rFonts w:ascii="宋体" w:hAnsi="宋体" w:eastAsia="宋体" w:cs="宋体"/>
          <w:spacing w:val="-8"/>
          <w:sz w:val="24"/>
          <w:szCs w:val="24"/>
        </w:rPr>
        <w:t>对取弃土场的位置、容量等进行勘测复查，编制取弃土场专项方案。具体方案需符合《广</w:t>
      </w:r>
      <w:r>
        <w:rPr>
          <w:rFonts w:ascii="宋体" w:hAnsi="宋体" w:eastAsia="宋体" w:cs="宋体"/>
          <w:sz w:val="24"/>
          <w:szCs w:val="24"/>
        </w:rPr>
        <w:t>东省交通运输厅关于进一步加强公路施工便</w:t>
      </w:r>
      <w:r>
        <w:rPr>
          <w:rFonts w:ascii="宋体" w:hAnsi="宋体" w:eastAsia="宋体" w:cs="宋体"/>
          <w:spacing w:val="-1"/>
          <w:sz w:val="24"/>
          <w:szCs w:val="24"/>
        </w:rPr>
        <w:t>道取弃土场的设计和施工管理工作的通知》</w:t>
      </w:r>
      <w:r>
        <w:rPr>
          <w:rFonts w:ascii="宋体" w:hAnsi="宋体" w:eastAsia="宋体" w:cs="宋体"/>
          <w:sz w:val="24"/>
          <w:szCs w:val="24"/>
        </w:rPr>
        <w:t xml:space="preserve"> </w:t>
      </w:r>
      <w:r>
        <w:rPr>
          <w:rFonts w:ascii="宋体" w:hAnsi="宋体" w:eastAsia="宋体" w:cs="宋体"/>
          <w:spacing w:val="-2"/>
          <w:sz w:val="24"/>
          <w:szCs w:val="24"/>
        </w:rPr>
        <w:t>《广东省高速公路工程施工安全标准化指南》和《广东省公路工程施工标准化指南》的</w:t>
      </w:r>
      <w:r>
        <w:rPr>
          <w:rFonts w:ascii="宋体" w:hAnsi="宋体" w:eastAsia="宋体" w:cs="宋体"/>
          <w:spacing w:val="-10"/>
          <w:sz w:val="24"/>
          <w:szCs w:val="24"/>
        </w:rPr>
        <w:t>要求。</w:t>
      </w:r>
    </w:p>
    <w:p w14:paraId="2EEE3FDC">
      <w:pPr>
        <w:spacing w:line="220" w:lineRule="auto"/>
        <w:ind w:left="495"/>
        <w:rPr>
          <w:rFonts w:ascii="宋体" w:hAnsi="宋体" w:eastAsia="宋体" w:cs="宋体"/>
          <w:sz w:val="24"/>
          <w:szCs w:val="24"/>
        </w:rPr>
      </w:pPr>
      <w:r>
        <w:rPr>
          <w:rFonts w:ascii="宋体" w:hAnsi="宋体" w:eastAsia="宋体" w:cs="宋体"/>
          <w:spacing w:val="-4"/>
          <w:sz w:val="24"/>
          <w:szCs w:val="24"/>
        </w:rPr>
        <w:t>7.3</w:t>
      </w:r>
      <w:r>
        <w:rPr>
          <w:rFonts w:ascii="宋体" w:hAnsi="宋体" w:eastAsia="宋体" w:cs="宋体"/>
          <w:spacing w:val="-47"/>
          <w:sz w:val="24"/>
          <w:szCs w:val="24"/>
        </w:rPr>
        <w:t xml:space="preserve"> </w:t>
      </w:r>
      <w:r>
        <w:rPr>
          <w:rFonts w:ascii="宋体" w:hAnsi="宋体" w:eastAsia="宋体" w:cs="宋体"/>
          <w:spacing w:val="-4"/>
          <w:sz w:val="24"/>
          <w:szCs w:val="24"/>
        </w:rPr>
        <w:t>场外交通</w:t>
      </w:r>
    </w:p>
    <w:p w14:paraId="228A48C8">
      <w:pPr>
        <w:spacing w:before="182" w:line="219" w:lineRule="auto"/>
        <w:ind w:left="490"/>
        <w:rPr>
          <w:rFonts w:ascii="宋体" w:hAnsi="宋体" w:eastAsia="宋体" w:cs="宋体"/>
          <w:sz w:val="24"/>
          <w:szCs w:val="24"/>
        </w:rPr>
      </w:pPr>
      <w:r>
        <w:rPr>
          <w:rFonts w:ascii="宋体" w:hAnsi="宋体" w:eastAsia="宋体" w:cs="宋体"/>
          <w:spacing w:val="-5"/>
          <w:sz w:val="24"/>
          <w:szCs w:val="24"/>
        </w:rPr>
        <w:t>本款补充第</w:t>
      </w:r>
      <w:r>
        <w:rPr>
          <w:rFonts w:ascii="宋体" w:hAnsi="宋体" w:eastAsia="宋体" w:cs="宋体"/>
          <w:spacing w:val="-45"/>
          <w:sz w:val="24"/>
          <w:szCs w:val="24"/>
        </w:rPr>
        <w:t xml:space="preserve"> </w:t>
      </w:r>
      <w:r>
        <w:rPr>
          <w:rFonts w:ascii="宋体" w:hAnsi="宋体" w:eastAsia="宋体" w:cs="宋体"/>
          <w:spacing w:val="-5"/>
          <w:sz w:val="24"/>
          <w:szCs w:val="24"/>
        </w:rPr>
        <w:t>7.3.3</w:t>
      </w:r>
      <w:r>
        <w:rPr>
          <w:rFonts w:ascii="宋体" w:hAnsi="宋体" w:eastAsia="宋体" w:cs="宋体"/>
          <w:spacing w:val="-47"/>
          <w:sz w:val="24"/>
          <w:szCs w:val="24"/>
        </w:rPr>
        <w:t xml:space="preserve"> </w:t>
      </w:r>
      <w:r>
        <w:rPr>
          <w:rFonts w:ascii="宋体" w:hAnsi="宋体" w:eastAsia="宋体" w:cs="宋体"/>
          <w:spacing w:val="-5"/>
          <w:sz w:val="24"/>
          <w:szCs w:val="24"/>
        </w:rPr>
        <w:t>项：</w:t>
      </w:r>
    </w:p>
    <w:p w14:paraId="338EDB29">
      <w:pPr>
        <w:spacing w:before="183" w:line="219" w:lineRule="auto"/>
        <w:ind w:left="492"/>
        <w:rPr>
          <w:rFonts w:ascii="宋体" w:hAnsi="宋体" w:eastAsia="宋体" w:cs="宋体"/>
          <w:sz w:val="24"/>
          <w:szCs w:val="24"/>
        </w:rPr>
      </w:pPr>
      <w:r>
        <w:rPr>
          <w:rFonts w:ascii="宋体" w:hAnsi="宋体" w:eastAsia="宋体" w:cs="宋体"/>
          <w:spacing w:val="-3"/>
          <w:sz w:val="24"/>
          <w:szCs w:val="24"/>
        </w:rPr>
        <w:t>为保证道路交通安全及运输畅通，承包人应采取以下措施：</w:t>
      </w:r>
    </w:p>
    <w:p w14:paraId="308B7F28">
      <w:pPr>
        <w:spacing w:before="184" w:line="360" w:lineRule="auto"/>
        <w:ind w:left="36" w:right="138" w:firstLine="459"/>
        <w:rPr>
          <w:rFonts w:ascii="宋体" w:hAnsi="宋体" w:eastAsia="宋体" w:cs="宋体"/>
          <w:sz w:val="24"/>
          <w:szCs w:val="24"/>
        </w:rPr>
      </w:pPr>
      <w:r>
        <w:rPr>
          <w:rFonts w:ascii="宋体" w:hAnsi="宋体" w:eastAsia="宋体" w:cs="宋体"/>
          <w:spacing w:val="-3"/>
          <w:sz w:val="24"/>
          <w:szCs w:val="24"/>
        </w:rPr>
        <w:t>（a）承包人必须在与市政、交通和交警等部门的协商下采取足够</w:t>
      </w:r>
      <w:r>
        <w:rPr>
          <w:rFonts w:ascii="宋体" w:hAnsi="宋体" w:eastAsia="宋体" w:cs="宋体"/>
          <w:spacing w:val="-4"/>
          <w:sz w:val="24"/>
          <w:szCs w:val="24"/>
        </w:rPr>
        <w:t>的交通引导措施，</w:t>
      </w:r>
      <w:r>
        <w:rPr>
          <w:rFonts w:ascii="宋体" w:hAnsi="宋体" w:eastAsia="宋体" w:cs="宋体"/>
          <w:spacing w:val="-7"/>
          <w:sz w:val="24"/>
          <w:szCs w:val="24"/>
        </w:rPr>
        <w:t>以防止施工期间出现道路堵塞；</w:t>
      </w:r>
    </w:p>
    <w:p w14:paraId="0060BFE3">
      <w:pPr>
        <w:spacing w:line="360" w:lineRule="auto"/>
        <w:ind w:left="10" w:right="216" w:firstLine="485"/>
        <w:rPr>
          <w:rFonts w:ascii="宋体" w:hAnsi="宋体" w:eastAsia="宋体" w:cs="宋体"/>
          <w:sz w:val="24"/>
          <w:szCs w:val="24"/>
        </w:rPr>
      </w:pPr>
      <w:r>
        <w:rPr>
          <w:rFonts w:ascii="宋体" w:hAnsi="宋体" w:eastAsia="宋体" w:cs="宋体"/>
          <w:spacing w:val="1"/>
          <w:sz w:val="24"/>
          <w:szCs w:val="24"/>
        </w:rPr>
        <w:t>（b）承包人制定施工材料运输计划时，应尽量避开现有道路交通高峰时的运输活</w:t>
      </w:r>
      <w:r>
        <w:rPr>
          <w:rFonts w:ascii="宋体" w:hAnsi="宋体" w:eastAsia="宋体" w:cs="宋体"/>
          <w:spacing w:val="-12"/>
          <w:sz w:val="24"/>
          <w:szCs w:val="24"/>
        </w:rPr>
        <w:t>动。</w:t>
      </w:r>
    </w:p>
    <w:p w14:paraId="063C68C7">
      <w:pPr>
        <w:spacing w:line="360" w:lineRule="auto"/>
        <w:ind w:left="38" w:right="216" w:firstLine="457"/>
        <w:rPr>
          <w:rFonts w:ascii="宋体" w:hAnsi="宋体" w:eastAsia="宋体" w:cs="宋体"/>
          <w:sz w:val="24"/>
          <w:szCs w:val="24"/>
        </w:rPr>
      </w:pPr>
      <w:r>
        <w:rPr>
          <w:rFonts w:ascii="宋体" w:hAnsi="宋体" w:eastAsia="宋体" w:cs="宋体"/>
          <w:spacing w:val="1"/>
          <w:sz w:val="24"/>
          <w:szCs w:val="24"/>
        </w:rPr>
        <w:t>（c）承包人须编制交通组织方案，报相关部门审查批复，必要时组织评审，费用</w:t>
      </w:r>
      <w:r>
        <w:rPr>
          <w:rFonts w:ascii="宋体" w:hAnsi="宋体" w:eastAsia="宋体" w:cs="宋体"/>
          <w:spacing w:val="-5"/>
          <w:sz w:val="24"/>
          <w:szCs w:val="24"/>
        </w:rPr>
        <w:t>由承包人负责（合同另有约定除外）。</w:t>
      </w:r>
    </w:p>
    <w:p w14:paraId="18A5DC48">
      <w:pPr>
        <w:spacing w:line="219" w:lineRule="auto"/>
        <w:ind w:left="489"/>
        <w:rPr>
          <w:rFonts w:ascii="宋体" w:hAnsi="宋体" w:eastAsia="宋体" w:cs="宋体"/>
          <w:sz w:val="24"/>
          <w:szCs w:val="24"/>
        </w:rPr>
      </w:pPr>
      <w:r>
        <w:rPr>
          <w:rFonts w:ascii="宋体" w:hAnsi="宋体" w:eastAsia="宋体" w:cs="宋体"/>
          <w:spacing w:val="-2"/>
          <w:sz w:val="24"/>
          <w:szCs w:val="24"/>
        </w:rPr>
        <w:t>补充第</w:t>
      </w:r>
      <w:r>
        <w:rPr>
          <w:rFonts w:ascii="宋体" w:hAnsi="宋体" w:eastAsia="宋体" w:cs="宋体"/>
          <w:spacing w:val="-44"/>
          <w:sz w:val="24"/>
          <w:szCs w:val="24"/>
        </w:rPr>
        <w:t xml:space="preserve"> </w:t>
      </w:r>
      <w:r>
        <w:rPr>
          <w:rFonts w:ascii="宋体" w:hAnsi="宋体" w:eastAsia="宋体" w:cs="宋体"/>
          <w:spacing w:val="-2"/>
          <w:sz w:val="24"/>
          <w:szCs w:val="24"/>
        </w:rPr>
        <w:t>7.4</w:t>
      </w:r>
      <w:r>
        <w:rPr>
          <w:rFonts w:ascii="宋体" w:hAnsi="宋体" w:eastAsia="宋体" w:cs="宋体"/>
          <w:spacing w:val="-49"/>
          <w:sz w:val="24"/>
          <w:szCs w:val="24"/>
        </w:rPr>
        <w:t xml:space="preserve"> </w:t>
      </w:r>
      <w:r>
        <w:rPr>
          <w:rFonts w:ascii="宋体" w:hAnsi="宋体" w:eastAsia="宋体" w:cs="宋体"/>
          <w:spacing w:val="-2"/>
          <w:sz w:val="24"/>
          <w:szCs w:val="24"/>
        </w:rPr>
        <w:t>款：（适用于特大桥梁工程中钢结构工</w:t>
      </w:r>
      <w:r>
        <w:rPr>
          <w:rFonts w:ascii="宋体" w:hAnsi="宋体" w:eastAsia="宋体" w:cs="宋体"/>
          <w:spacing w:val="-3"/>
          <w:sz w:val="24"/>
          <w:szCs w:val="24"/>
        </w:rPr>
        <w:t>程）</w:t>
      </w:r>
    </w:p>
    <w:p w14:paraId="2E1C8F34">
      <w:pPr>
        <w:spacing w:before="182" w:line="220" w:lineRule="auto"/>
        <w:ind w:left="495"/>
        <w:rPr>
          <w:rFonts w:ascii="宋体" w:hAnsi="宋体" w:eastAsia="宋体" w:cs="宋体"/>
          <w:sz w:val="24"/>
          <w:szCs w:val="24"/>
        </w:rPr>
      </w:pPr>
      <w:r>
        <w:rPr>
          <w:rFonts w:ascii="宋体" w:hAnsi="宋体" w:eastAsia="宋体" w:cs="宋体"/>
          <w:spacing w:val="-2"/>
          <w:sz w:val="24"/>
          <w:szCs w:val="24"/>
        </w:rPr>
        <w:t>7.4 钢结构的运输</w:t>
      </w:r>
    </w:p>
    <w:p w14:paraId="5B9CFD65">
      <w:pPr>
        <w:spacing w:before="182" w:line="220" w:lineRule="auto"/>
        <w:ind w:left="495"/>
        <w:rPr>
          <w:rFonts w:ascii="宋体" w:hAnsi="宋体" w:eastAsia="宋体" w:cs="宋体"/>
          <w:sz w:val="24"/>
          <w:szCs w:val="24"/>
        </w:rPr>
      </w:pPr>
      <w:r>
        <w:rPr>
          <w:rFonts w:ascii="宋体" w:hAnsi="宋体" w:eastAsia="宋体" w:cs="宋体"/>
          <w:spacing w:val="-1"/>
          <w:sz w:val="24"/>
          <w:szCs w:val="24"/>
        </w:rPr>
        <w:t>7.4.1 运输计划和运输方案</w:t>
      </w:r>
    </w:p>
    <w:p w14:paraId="18354C88">
      <w:pPr>
        <w:spacing w:before="183" w:line="360" w:lineRule="auto"/>
        <w:ind w:left="12" w:firstLine="477"/>
        <w:rPr>
          <w:rFonts w:ascii="宋体" w:hAnsi="宋体" w:eastAsia="宋体" w:cs="宋体"/>
          <w:sz w:val="24"/>
          <w:szCs w:val="24"/>
        </w:rPr>
      </w:pPr>
      <w:r>
        <w:rPr>
          <w:rFonts w:ascii="宋体" w:hAnsi="宋体" w:eastAsia="宋体" w:cs="宋体"/>
          <w:spacing w:val="-2"/>
          <w:sz w:val="24"/>
          <w:szCs w:val="24"/>
        </w:rPr>
        <w:t>承包人应在综合考虑钢结构供应计划、制造场地和拼装场地的地理位置、减少运输或转运风险，以及其他风险和成本效益因素的前提下，在施工组织设计中对承包人的钢结构运输方式及运输线路予以详细规划，包括</w:t>
      </w:r>
      <w:r>
        <w:rPr>
          <w:rFonts w:ascii="宋体" w:hAnsi="宋体" w:eastAsia="宋体" w:cs="宋体"/>
          <w:spacing w:val="-3"/>
          <w:sz w:val="24"/>
          <w:szCs w:val="24"/>
        </w:rPr>
        <w:t>但不限于对钢结构运输至交付地点的运距、</w:t>
      </w:r>
      <w:r>
        <w:rPr>
          <w:rFonts w:ascii="宋体" w:hAnsi="宋体" w:eastAsia="宋体" w:cs="宋体"/>
          <w:spacing w:val="-2"/>
          <w:sz w:val="24"/>
          <w:szCs w:val="24"/>
        </w:rPr>
        <w:t>理论运输时间、拟投入的运输船舶数量及各自船舶运输能力、绑扎方案及受力分析（含最不利条件下的受力分析）及其他防护措施等，并附上详细的计算说明书。如发包人认</w:t>
      </w:r>
      <w:r>
        <w:rPr>
          <w:rFonts w:ascii="宋体" w:hAnsi="宋体" w:eastAsia="宋体" w:cs="宋体"/>
          <w:spacing w:val="-1"/>
          <w:sz w:val="24"/>
          <w:szCs w:val="24"/>
        </w:rPr>
        <w:t>为必要时，还应当组织专题分析会议和报告</w:t>
      </w:r>
      <w:r>
        <w:rPr>
          <w:rFonts w:ascii="宋体" w:hAnsi="宋体" w:eastAsia="宋体" w:cs="宋体"/>
          <w:spacing w:val="-2"/>
          <w:sz w:val="24"/>
          <w:szCs w:val="24"/>
        </w:rPr>
        <w:t>，论证实施可行性和实施风险。</w:t>
      </w:r>
    </w:p>
    <w:p w14:paraId="59CDA1D2">
      <w:pPr>
        <w:spacing w:before="1" w:line="361" w:lineRule="auto"/>
        <w:ind w:left="9" w:right="205" w:firstLine="485"/>
        <w:jc w:val="both"/>
        <w:rPr>
          <w:rFonts w:ascii="宋体" w:hAnsi="宋体" w:eastAsia="宋体" w:cs="宋体"/>
          <w:sz w:val="24"/>
          <w:szCs w:val="24"/>
        </w:rPr>
      </w:pPr>
      <w:r>
        <w:rPr>
          <w:rFonts w:ascii="宋体" w:hAnsi="宋体" w:eastAsia="宋体" w:cs="宋体"/>
          <w:spacing w:val="-2"/>
          <w:sz w:val="24"/>
          <w:szCs w:val="24"/>
        </w:rPr>
        <w:t>7.4.2 承包人在运输钢结构前，应负责向有关管理部门办理申请手续。运输超大件或超重件所需的道路和桥梁临时加固改造费用、海上运输通道或航道的疏浚所需办理的相关手续及所需发生的费用，以及其他有关费用均由承包人自行承担。</w:t>
      </w:r>
    </w:p>
    <w:p w14:paraId="1BC63064">
      <w:pPr>
        <w:spacing w:line="361" w:lineRule="auto"/>
        <w:rPr>
          <w:rFonts w:ascii="宋体" w:hAnsi="宋体" w:eastAsia="宋体" w:cs="宋体"/>
          <w:sz w:val="24"/>
          <w:szCs w:val="24"/>
        </w:rPr>
        <w:sectPr>
          <w:headerReference r:id="rId76" w:type="default"/>
          <w:footerReference r:id="rId77" w:type="default"/>
          <w:pgSz w:w="11905" w:h="16840"/>
          <w:pgMar w:top="1182" w:right="1211" w:bottom="1171" w:left="1416" w:header="849" w:footer="937" w:gutter="0"/>
          <w:pgNumType w:fmt="decimal"/>
          <w:cols w:space="720" w:num="1"/>
        </w:sectPr>
      </w:pPr>
    </w:p>
    <w:p w14:paraId="0794BC97">
      <w:pPr>
        <w:pStyle w:val="2"/>
        <w:spacing w:line="268" w:lineRule="auto"/>
      </w:pPr>
    </w:p>
    <w:p w14:paraId="453B6546">
      <w:pPr>
        <w:spacing w:before="78" w:line="360" w:lineRule="auto"/>
        <w:ind w:left="9" w:right="84" w:firstLine="485"/>
        <w:rPr>
          <w:rFonts w:ascii="宋体" w:hAnsi="宋体" w:eastAsia="宋体" w:cs="宋体"/>
          <w:sz w:val="24"/>
          <w:szCs w:val="24"/>
        </w:rPr>
      </w:pPr>
      <w:r>
        <w:rPr>
          <w:rFonts w:ascii="宋体" w:hAnsi="宋体" w:eastAsia="宋体" w:cs="宋体"/>
          <w:spacing w:val="-2"/>
          <w:sz w:val="24"/>
          <w:szCs w:val="24"/>
        </w:rPr>
        <w:t>7.4.3 承包人应对钢结构的运输方案和防护措施的安全性负责，如在安装完成前造成的上述钢结构划伤、损伤、变形、沉没等一切损失，均应由承包人承担，并免费进行</w:t>
      </w:r>
      <w:r>
        <w:rPr>
          <w:rFonts w:ascii="宋体" w:hAnsi="宋体" w:eastAsia="宋体" w:cs="宋体"/>
          <w:spacing w:val="-4"/>
          <w:sz w:val="24"/>
          <w:szCs w:val="24"/>
        </w:rPr>
        <w:t>修复、更换或打捞工作。</w:t>
      </w:r>
    </w:p>
    <w:p w14:paraId="25E0B067">
      <w:pPr>
        <w:spacing w:line="360" w:lineRule="auto"/>
        <w:ind w:left="8" w:firstLine="486"/>
        <w:rPr>
          <w:rFonts w:ascii="宋体" w:hAnsi="宋体" w:eastAsia="宋体" w:cs="宋体"/>
          <w:sz w:val="24"/>
          <w:szCs w:val="24"/>
        </w:rPr>
      </w:pPr>
      <w:r>
        <w:rPr>
          <w:rFonts w:ascii="宋体" w:hAnsi="宋体" w:eastAsia="宋体" w:cs="宋体"/>
          <w:spacing w:val="-2"/>
          <w:sz w:val="24"/>
          <w:szCs w:val="24"/>
        </w:rPr>
        <w:t>7.4.4 现场验收完成前，钢结构运输的通航安全维护由承包人负责，承包人应根据</w:t>
      </w:r>
      <w:r>
        <w:rPr>
          <w:rFonts w:ascii="宋体" w:hAnsi="宋体" w:eastAsia="宋体" w:cs="宋体"/>
          <w:spacing w:val="-7"/>
          <w:sz w:val="24"/>
          <w:szCs w:val="24"/>
        </w:rPr>
        <w:t>海事、航道等部门的要求和现场需要，</w:t>
      </w:r>
      <w:r>
        <w:rPr>
          <w:rFonts w:ascii="宋体" w:hAnsi="宋体" w:eastAsia="宋体" w:cs="宋体"/>
          <w:spacing w:val="93"/>
          <w:sz w:val="24"/>
          <w:szCs w:val="24"/>
        </w:rPr>
        <w:t xml:space="preserve"> </w:t>
      </w:r>
      <w:r>
        <w:rPr>
          <w:rFonts w:ascii="宋体" w:hAnsi="宋体" w:eastAsia="宋体" w:cs="宋体"/>
          <w:spacing w:val="-7"/>
          <w:sz w:val="24"/>
          <w:szCs w:val="24"/>
        </w:rPr>
        <w:t>自行设置施工指示灯、导航、防撞、</w:t>
      </w:r>
      <w:r>
        <w:rPr>
          <w:rFonts w:ascii="宋体" w:hAnsi="宋体" w:eastAsia="宋体" w:cs="宋体"/>
          <w:spacing w:val="-8"/>
          <w:sz w:val="24"/>
          <w:szCs w:val="24"/>
        </w:rPr>
        <w:t>防冲刷等安</w:t>
      </w:r>
      <w:r>
        <w:rPr>
          <w:rFonts w:ascii="宋体" w:hAnsi="宋体" w:eastAsia="宋体" w:cs="宋体"/>
          <w:spacing w:val="-7"/>
          <w:sz w:val="24"/>
          <w:szCs w:val="24"/>
        </w:rPr>
        <w:t>全维护设施，安排警戒船只及应急处理船只、设备或设施，</w:t>
      </w:r>
      <w:r>
        <w:rPr>
          <w:rFonts w:ascii="宋体" w:hAnsi="宋体" w:eastAsia="宋体" w:cs="宋体"/>
          <w:spacing w:val="-60"/>
          <w:sz w:val="24"/>
          <w:szCs w:val="24"/>
        </w:rPr>
        <w:t xml:space="preserve"> </w:t>
      </w:r>
      <w:r>
        <w:rPr>
          <w:rFonts w:ascii="宋体" w:hAnsi="宋体" w:eastAsia="宋体" w:cs="宋体"/>
          <w:spacing w:val="-7"/>
          <w:sz w:val="24"/>
          <w:szCs w:val="24"/>
        </w:rPr>
        <w:t>并承担由此产生的一切费用。</w:t>
      </w:r>
    </w:p>
    <w:p w14:paraId="310C1532">
      <w:pPr>
        <w:spacing w:line="220" w:lineRule="auto"/>
        <w:ind w:left="490"/>
        <w:rPr>
          <w:rFonts w:ascii="宋体" w:hAnsi="宋体" w:eastAsia="宋体" w:cs="宋体"/>
          <w:sz w:val="24"/>
          <w:szCs w:val="24"/>
        </w:rPr>
      </w:pPr>
      <w:r>
        <w:rPr>
          <w:rFonts w:ascii="宋体" w:hAnsi="宋体" w:eastAsia="宋体" w:cs="宋体"/>
          <w:b/>
          <w:bCs/>
          <w:spacing w:val="-3"/>
          <w:sz w:val="24"/>
          <w:szCs w:val="24"/>
        </w:rPr>
        <w:t>9.</w:t>
      </w:r>
      <w:r>
        <w:rPr>
          <w:rFonts w:ascii="宋体" w:hAnsi="宋体" w:eastAsia="宋体" w:cs="宋体"/>
          <w:spacing w:val="-3"/>
          <w:sz w:val="24"/>
          <w:szCs w:val="24"/>
        </w:rPr>
        <w:t xml:space="preserve"> </w:t>
      </w:r>
      <w:r>
        <w:rPr>
          <w:rFonts w:ascii="宋体" w:hAnsi="宋体" w:eastAsia="宋体" w:cs="宋体"/>
          <w:b/>
          <w:bCs/>
          <w:spacing w:val="-3"/>
          <w:sz w:val="24"/>
          <w:szCs w:val="24"/>
        </w:rPr>
        <w:t>施工安全、治安保卫和环境保护</w:t>
      </w:r>
    </w:p>
    <w:p w14:paraId="4CBA8769">
      <w:pPr>
        <w:spacing w:before="181" w:line="220" w:lineRule="auto"/>
        <w:ind w:left="490"/>
        <w:rPr>
          <w:rFonts w:ascii="宋体" w:hAnsi="宋体" w:eastAsia="宋体" w:cs="宋体"/>
          <w:sz w:val="24"/>
          <w:szCs w:val="24"/>
        </w:rPr>
      </w:pPr>
      <w:r>
        <w:rPr>
          <w:rFonts w:ascii="宋体" w:hAnsi="宋体" w:eastAsia="宋体" w:cs="宋体"/>
          <w:spacing w:val="-1"/>
          <w:sz w:val="24"/>
          <w:szCs w:val="24"/>
        </w:rPr>
        <w:t>9.2 承包人的施工安全责任</w:t>
      </w:r>
    </w:p>
    <w:p w14:paraId="1F239582">
      <w:pPr>
        <w:spacing w:before="182" w:line="220"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2"/>
          <w:sz w:val="24"/>
          <w:szCs w:val="24"/>
        </w:rPr>
        <w:t xml:space="preserve"> </w:t>
      </w:r>
      <w:r>
        <w:rPr>
          <w:rFonts w:ascii="宋体" w:hAnsi="宋体" w:eastAsia="宋体" w:cs="宋体"/>
          <w:spacing w:val="-8"/>
          <w:sz w:val="24"/>
          <w:szCs w:val="24"/>
        </w:rPr>
        <w:t>9.2.1</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5AC3D346">
      <w:pPr>
        <w:spacing w:before="181" w:line="220" w:lineRule="auto"/>
        <w:ind w:left="489"/>
        <w:rPr>
          <w:rFonts w:ascii="宋体" w:hAnsi="宋体" w:eastAsia="宋体" w:cs="宋体"/>
          <w:sz w:val="24"/>
          <w:szCs w:val="24"/>
        </w:rPr>
      </w:pPr>
      <w:r>
        <w:rPr>
          <w:rFonts w:ascii="宋体" w:hAnsi="宋体" w:eastAsia="宋体" w:cs="宋体"/>
          <w:spacing w:val="-1"/>
          <w:sz w:val="24"/>
          <w:szCs w:val="24"/>
        </w:rPr>
        <w:t>承包人应按《广东省高速公路工程施工安全标准化指南》的</w:t>
      </w:r>
      <w:r>
        <w:rPr>
          <w:rFonts w:ascii="宋体" w:hAnsi="宋体" w:eastAsia="宋体" w:cs="宋体"/>
          <w:spacing w:val="-2"/>
          <w:sz w:val="24"/>
          <w:szCs w:val="24"/>
        </w:rPr>
        <w:t>规定履行安全职责。</w:t>
      </w:r>
    </w:p>
    <w:p w14:paraId="1A812EFD">
      <w:pPr>
        <w:spacing w:before="182" w:line="219" w:lineRule="auto"/>
        <w:ind w:left="490"/>
        <w:rPr>
          <w:rFonts w:ascii="宋体" w:hAnsi="宋体" w:eastAsia="宋体" w:cs="宋体"/>
          <w:sz w:val="24"/>
          <w:szCs w:val="24"/>
        </w:rPr>
      </w:pPr>
      <w:r>
        <w:rPr>
          <w:rFonts w:ascii="宋体" w:hAnsi="宋体" w:eastAsia="宋体" w:cs="宋体"/>
          <w:spacing w:val="-3"/>
          <w:sz w:val="24"/>
          <w:szCs w:val="24"/>
        </w:rPr>
        <w:t>本项目需要编制专项施工方案的工程包括但不限于以下内容：</w:t>
      </w:r>
    </w:p>
    <w:p w14:paraId="71007CEA">
      <w:pPr>
        <w:spacing w:before="182" w:line="220" w:lineRule="auto"/>
        <w:ind w:left="489"/>
        <w:rPr>
          <w:rFonts w:ascii="宋体" w:hAnsi="宋体" w:eastAsia="宋体" w:cs="宋体"/>
          <w:sz w:val="24"/>
          <w:szCs w:val="24"/>
        </w:rPr>
      </w:pPr>
      <w:r>
        <w:rPr>
          <w:rFonts w:ascii="宋体" w:hAnsi="宋体" w:eastAsia="宋体" w:cs="宋体"/>
          <w:spacing w:val="-4"/>
          <w:sz w:val="24"/>
          <w:szCs w:val="24"/>
        </w:rPr>
        <w:t>补充第（11）</w:t>
      </w:r>
      <w:r>
        <w:rPr>
          <w:rFonts w:hint="eastAsia" w:ascii="宋体" w:hAnsi="宋体" w:cs="宋体"/>
          <w:spacing w:val="-4"/>
          <w:sz w:val="24"/>
          <w:szCs w:val="24"/>
          <w:lang w:eastAsia="zh-CN"/>
        </w:rPr>
        <w:t>－</w:t>
      </w:r>
      <w:r>
        <w:rPr>
          <w:rFonts w:ascii="宋体" w:hAnsi="宋体" w:eastAsia="宋体" w:cs="宋体"/>
          <w:spacing w:val="-4"/>
          <w:sz w:val="24"/>
          <w:szCs w:val="24"/>
        </w:rPr>
        <w:t>（14）目：</w:t>
      </w:r>
    </w:p>
    <w:p w14:paraId="57274C7C">
      <w:pPr>
        <w:spacing w:before="182" w:line="220" w:lineRule="auto"/>
        <w:ind w:left="495"/>
        <w:rPr>
          <w:rFonts w:ascii="宋体" w:hAnsi="宋体" w:eastAsia="宋体" w:cs="宋体"/>
          <w:sz w:val="24"/>
          <w:szCs w:val="24"/>
        </w:rPr>
      </w:pPr>
      <w:r>
        <w:rPr>
          <w:rFonts w:ascii="宋体" w:hAnsi="宋体" w:eastAsia="宋体" w:cs="宋体"/>
          <w:spacing w:val="-2"/>
          <w:sz w:val="24"/>
          <w:szCs w:val="24"/>
        </w:rPr>
        <w:t>（11）旧桥涵（含分离立交、匝道桥、现浇、连续梁）</w:t>
      </w:r>
      <w:r>
        <w:rPr>
          <w:rFonts w:ascii="宋体" w:hAnsi="宋体" w:eastAsia="宋体" w:cs="宋体"/>
          <w:spacing w:val="-3"/>
          <w:sz w:val="24"/>
          <w:szCs w:val="24"/>
        </w:rPr>
        <w:t>的拆除与加固；</w:t>
      </w:r>
    </w:p>
    <w:p w14:paraId="2650F475">
      <w:pPr>
        <w:spacing w:before="182" w:line="220" w:lineRule="auto"/>
        <w:ind w:left="495"/>
        <w:rPr>
          <w:rFonts w:ascii="宋体" w:hAnsi="宋体" w:eastAsia="宋体" w:cs="宋体"/>
          <w:sz w:val="24"/>
          <w:szCs w:val="24"/>
        </w:rPr>
      </w:pPr>
      <w:r>
        <w:rPr>
          <w:rFonts w:ascii="宋体" w:hAnsi="宋体" w:eastAsia="宋体" w:cs="宋体"/>
          <w:spacing w:val="-4"/>
          <w:sz w:val="24"/>
          <w:szCs w:val="24"/>
        </w:rPr>
        <w:t>（12）纵断面调整路段的路基路面施工；</w:t>
      </w:r>
    </w:p>
    <w:p w14:paraId="0BE12376">
      <w:pPr>
        <w:spacing w:before="182" w:line="220" w:lineRule="auto"/>
        <w:ind w:left="495"/>
        <w:rPr>
          <w:rFonts w:ascii="宋体" w:hAnsi="宋体" w:eastAsia="宋体" w:cs="宋体"/>
          <w:sz w:val="24"/>
          <w:szCs w:val="24"/>
        </w:rPr>
      </w:pPr>
      <w:r>
        <w:rPr>
          <w:rFonts w:ascii="宋体" w:hAnsi="宋体" w:eastAsia="宋体" w:cs="宋体"/>
          <w:spacing w:val="-2"/>
          <w:sz w:val="24"/>
          <w:szCs w:val="24"/>
        </w:rPr>
        <w:t>（13）旧收费雨棚及收费岛拆除，旧门架</w:t>
      </w:r>
      <w:r>
        <w:rPr>
          <w:rFonts w:ascii="宋体" w:hAnsi="宋体" w:eastAsia="宋体" w:cs="宋体"/>
          <w:spacing w:val="-3"/>
          <w:sz w:val="24"/>
          <w:szCs w:val="24"/>
        </w:rPr>
        <w:t>式监控或标志设施拆除；</w:t>
      </w:r>
    </w:p>
    <w:p w14:paraId="3BFA1137">
      <w:pPr>
        <w:spacing w:before="183" w:line="220" w:lineRule="auto"/>
        <w:ind w:left="495"/>
        <w:rPr>
          <w:rFonts w:ascii="宋体" w:hAnsi="宋体" w:eastAsia="宋体" w:cs="宋体"/>
          <w:sz w:val="24"/>
          <w:szCs w:val="24"/>
        </w:rPr>
      </w:pPr>
      <w:r>
        <w:rPr>
          <w:rFonts w:ascii="宋体" w:hAnsi="宋体" w:eastAsia="宋体" w:cs="宋体"/>
          <w:spacing w:val="-4"/>
          <w:sz w:val="24"/>
          <w:szCs w:val="24"/>
        </w:rPr>
        <w:t>（14）其他危险性较大的工程。</w:t>
      </w:r>
    </w:p>
    <w:p w14:paraId="7C16D1AD">
      <w:pPr>
        <w:spacing w:before="181" w:line="220"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2"/>
          <w:sz w:val="24"/>
          <w:szCs w:val="24"/>
        </w:rPr>
        <w:t xml:space="preserve"> </w:t>
      </w:r>
      <w:r>
        <w:rPr>
          <w:rFonts w:ascii="宋体" w:hAnsi="宋体" w:eastAsia="宋体" w:cs="宋体"/>
          <w:spacing w:val="-8"/>
          <w:sz w:val="24"/>
          <w:szCs w:val="24"/>
        </w:rPr>
        <w:t>9.2.2</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7D4B4D28">
      <w:pPr>
        <w:spacing w:before="183" w:line="360" w:lineRule="auto"/>
        <w:ind w:left="11" w:right="85" w:firstLine="478"/>
        <w:jc w:val="both"/>
        <w:rPr>
          <w:rFonts w:ascii="宋体" w:hAnsi="宋体" w:eastAsia="宋体" w:cs="宋体"/>
          <w:sz w:val="24"/>
          <w:szCs w:val="24"/>
        </w:rPr>
      </w:pPr>
      <w:r>
        <w:rPr>
          <w:rFonts w:ascii="宋体" w:hAnsi="宋体" w:eastAsia="宋体" w:cs="宋体"/>
          <w:spacing w:val="-2"/>
          <w:sz w:val="24"/>
          <w:szCs w:val="24"/>
        </w:rPr>
        <w:t>承包人应按国家和有关部门的规定，对施工现场人员和作业船舶、机械、设备的防</w:t>
      </w:r>
      <w:r>
        <w:rPr>
          <w:rFonts w:ascii="宋体" w:hAnsi="宋体" w:eastAsia="宋体" w:cs="宋体"/>
          <w:spacing w:val="-6"/>
          <w:sz w:val="24"/>
          <w:szCs w:val="24"/>
        </w:rPr>
        <w:t>台风、防突风、防风暴潮、防汛、防火、防雾、防坠落、防雷击等</w:t>
      </w:r>
      <w:r>
        <w:rPr>
          <w:rFonts w:ascii="宋体" w:hAnsi="宋体" w:eastAsia="宋体" w:cs="宋体"/>
          <w:spacing w:val="-7"/>
          <w:sz w:val="24"/>
          <w:szCs w:val="24"/>
        </w:rPr>
        <w:t>进行安全管理，</w:t>
      </w:r>
      <w:r>
        <w:rPr>
          <w:rFonts w:ascii="宋体" w:hAnsi="宋体" w:eastAsia="宋体" w:cs="宋体"/>
          <w:spacing w:val="56"/>
          <w:sz w:val="24"/>
          <w:szCs w:val="24"/>
        </w:rPr>
        <w:t xml:space="preserve"> </w:t>
      </w:r>
      <w:r>
        <w:rPr>
          <w:rFonts w:ascii="宋体" w:hAnsi="宋体" w:eastAsia="宋体" w:cs="宋体"/>
          <w:spacing w:val="-7"/>
          <w:sz w:val="24"/>
          <w:szCs w:val="24"/>
        </w:rPr>
        <w:t>对施</w:t>
      </w:r>
      <w:r>
        <w:rPr>
          <w:rFonts w:ascii="宋体" w:hAnsi="宋体" w:eastAsia="宋体" w:cs="宋体"/>
          <w:spacing w:val="-5"/>
          <w:sz w:val="24"/>
          <w:szCs w:val="24"/>
        </w:rPr>
        <w:t>工现场加强水陆交通安全管理、治安防范和消防安全防护措施， 并承担由于措施不力造</w:t>
      </w:r>
      <w:r>
        <w:rPr>
          <w:rFonts w:ascii="宋体" w:hAnsi="宋体" w:eastAsia="宋体" w:cs="宋体"/>
          <w:spacing w:val="-3"/>
          <w:sz w:val="24"/>
          <w:szCs w:val="24"/>
        </w:rPr>
        <w:t>成的事故责任和由此发生的费用。</w:t>
      </w:r>
    </w:p>
    <w:p w14:paraId="7FE76E0E">
      <w:pPr>
        <w:spacing w:before="1" w:line="219"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2"/>
          <w:sz w:val="24"/>
          <w:szCs w:val="24"/>
        </w:rPr>
        <w:t xml:space="preserve"> </w:t>
      </w:r>
      <w:r>
        <w:rPr>
          <w:rFonts w:ascii="宋体" w:hAnsi="宋体" w:eastAsia="宋体" w:cs="宋体"/>
          <w:spacing w:val="-8"/>
          <w:sz w:val="24"/>
          <w:szCs w:val="24"/>
        </w:rPr>
        <w:t>9.2.3</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326D19E8">
      <w:pPr>
        <w:spacing w:before="182" w:line="360" w:lineRule="auto"/>
        <w:ind w:left="10" w:firstLine="480"/>
        <w:rPr>
          <w:rFonts w:ascii="宋体" w:hAnsi="宋体" w:eastAsia="宋体" w:cs="宋体"/>
          <w:sz w:val="24"/>
          <w:szCs w:val="24"/>
        </w:rPr>
      </w:pPr>
      <w:r>
        <w:rPr>
          <w:rFonts w:ascii="宋体" w:hAnsi="宋体" w:eastAsia="宋体" w:cs="宋体"/>
          <w:spacing w:val="-4"/>
          <w:sz w:val="24"/>
          <w:szCs w:val="24"/>
        </w:rPr>
        <w:t>9.2.3.1</w:t>
      </w:r>
      <w:r>
        <w:rPr>
          <w:rFonts w:ascii="宋体" w:hAnsi="宋体" w:eastAsia="宋体" w:cs="宋体"/>
          <w:spacing w:val="-51"/>
          <w:sz w:val="24"/>
          <w:szCs w:val="24"/>
        </w:rPr>
        <w:t xml:space="preserve"> </w:t>
      </w:r>
      <w:r>
        <w:rPr>
          <w:rFonts w:ascii="宋体" w:hAnsi="宋体" w:eastAsia="宋体" w:cs="宋体"/>
          <w:spacing w:val="-4"/>
          <w:sz w:val="24"/>
          <w:szCs w:val="24"/>
        </w:rPr>
        <w:t>承包人应贯彻执行国家有关安全生产、职业健康与环境保护的法律</w:t>
      </w:r>
      <w:r>
        <w:rPr>
          <w:rFonts w:ascii="宋体" w:hAnsi="宋体" w:eastAsia="宋体" w:cs="宋体"/>
          <w:spacing w:val="-5"/>
          <w:sz w:val="24"/>
          <w:szCs w:val="24"/>
        </w:rPr>
        <w:t>、法规、</w:t>
      </w:r>
      <w:r>
        <w:rPr>
          <w:rFonts w:ascii="宋体" w:hAnsi="宋体" w:eastAsia="宋体" w:cs="宋体"/>
          <w:spacing w:val="-2"/>
          <w:sz w:val="24"/>
          <w:szCs w:val="24"/>
        </w:rPr>
        <w:t>工程建设强制性标准及项目所在地的有关规定，以及发包人制定的管理制度，建立有效</w:t>
      </w:r>
      <w:r>
        <w:rPr>
          <w:rFonts w:ascii="宋体" w:hAnsi="宋体" w:eastAsia="宋体" w:cs="宋体"/>
          <w:spacing w:val="-6"/>
          <w:sz w:val="24"/>
          <w:szCs w:val="24"/>
        </w:rPr>
        <w:t>的安全生产、职业健康、环境保护管理体系，</w:t>
      </w:r>
      <w:r>
        <w:rPr>
          <w:rFonts w:ascii="宋体" w:hAnsi="宋体" w:eastAsia="宋体" w:cs="宋体"/>
          <w:spacing w:val="53"/>
          <w:sz w:val="24"/>
          <w:szCs w:val="24"/>
        </w:rPr>
        <w:t xml:space="preserve"> </w:t>
      </w:r>
      <w:r>
        <w:rPr>
          <w:rFonts w:ascii="宋体" w:hAnsi="宋体" w:eastAsia="宋体" w:cs="宋体"/>
          <w:spacing w:val="-6"/>
          <w:sz w:val="24"/>
          <w:szCs w:val="24"/>
        </w:rPr>
        <w:t>用于规范项目的安全生产、职</w:t>
      </w:r>
      <w:r>
        <w:rPr>
          <w:rFonts w:ascii="宋体" w:hAnsi="宋体" w:eastAsia="宋体" w:cs="宋体"/>
          <w:spacing w:val="-7"/>
          <w:sz w:val="24"/>
          <w:szCs w:val="24"/>
        </w:rPr>
        <w:t>业健康和环</w:t>
      </w:r>
      <w:r>
        <w:rPr>
          <w:rFonts w:ascii="宋体" w:hAnsi="宋体" w:eastAsia="宋体" w:cs="宋体"/>
          <w:spacing w:val="-5"/>
          <w:sz w:val="24"/>
          <w:szCs w:val="24"/>
        </w:rPr>
        <w:t>境保护管理工作。</w:t>
      </w:r>
    </w:p>
    <w:p w14:paraId="2774E819">
      <w:pPr>
        <w:spacing w:line="360" w:lineRule="auto"/>
        <w:ind w:left="8" w:right="87" w:firstLine="481"/>
        <w:rPr>
          <w:rFonts w:ascii="宋体" w:hAnsi="宋体" w:eastAsia="宋体" w:cs="宋体"/>
          <w:sz w:val="24"/>
          <w:szCs w:val="24"/>
        </w:rPr>
      </w:pPr>
      <w:r>
        <w:rPr>
          <w:rFonts w:ascii="宋体" w:hAnsi="宋体" w:eastAsia="宋体" w:cs="宋体"/>
          <w:sz w:val="24"/>
          <w:szCs w:val="24"/>
        </w:rPr>
        <w:t>9.2.3.2</w:t>
      </w:r>
      <w:r>
        <w:rPr>
          <w:rFonts w:ascii="宋体" w:hAnsi="宋体" w:eastAsia="宋体" w:cs="宋体"/>
          <w:spacing w:val="-46"/>
          <w:sz w:val="24"/>
          <w:szCs w:val="24"/>
        </w:rPr>
        <w:t xml:space="preserve"> </w:t>
      </w:r>
      <w:r>
        <w:rPr>
          <w:rFonts w:ascii="宋体" w:hAnsi="宋体" w:eastAsia="宋体" w:cs="宋体"/>
          <w:sz w:val="24"/>
          <w:szCs w:val="24"/>
        </w:rPr>
        <w:t>项目的安全生产、职业健康和环境保</w:t>
      </w:r>
      <w:r>
        <w:rPr>
          <w:rFonts w:ascii="宋体" w:hAnsi="宋体" w:eastAsia="宋体" w:cs="宋体"/>
          <w:spacing w:val="-1"/>
          <w:sz w:val="24"/>
          <w:szCs w:val="24"/>
        </w:rPr>
        <w:t>护管理，应接受政府主管部门及其授权委托机构、发包人及其所委托的监理机构的监</w:t>
      </w:r>
      <w:r>
        <w:rPr>
          <w:rFonts w:ascii="宋体" w:hAnsi="宋体" w:eastAsia="宋体" w:cs="宋体"/>
          <w:spacing w:val="-2"/>
          <w:sz w:val="24"/>
          <w:szCs w:val="24"/>
        </w:rPr>
        <w:t>督、检查、协调与指导。</w:t>
      </w:r>
    </w:p>
    <w:p w14:paraId="7EE0989B">
      <w:pPr>
        <w:spacing w:line="362" w:lineRule="auto"/>
        <w:ind w:left="8" w:right="86" w:firstLine="481"/>
        <w:rPr>
          <w:rFonts w:ascii="宋体" w:hAnsi="宋体" w:eastAsia="宋体" w:cs="宋体"/>
          <w:sz w:val="24"/>
          <w:szCs w:val="24"/>
        </w:rPr>
      </w:pPr>
      <w:r>
        <w:rPr>
          <w:rFonts w:ascii="宋体" w:hAnsi="宋体" w:eastAsia="宋体" w:cs="宋体"/>
          <w:sz w:val="24"/>
          <w:szCs w:val="24"/>
        </w:rPr>
        <w:t>9.2.3.3</w:t>
      </w:r>
      <w:r>
        <w:rPr>
          <w:rFonts w:ascii="宋体" w:hAnsi="宋体" w:eastAsia="宋体" w:cs="宋体"/>
          <w:spacing w:val="-50"/>
          <w:sz w:val="24"/>
          <w:szCs w:val="24"/>
        </w:rPr>
        <w:t xml:space="preserve"> </w:t>
      </w:r>
      <w:r>
        <w:rPr>
          <w:rFonts w:ascii="宋体" w:hAnsi="宋体" w:eastAsia="宋体" w:cs="宋体"/>
          <w:sz w:val="24"/>
          <w:szCs w:val="24"/>
        </w:rPr>
        <w:t>承包人应建立健全并落实安全生产“一岗双责”</w:t>
      </w:r>
      <w:r>
        <w:rPr>
          <w:rFonts w:ascii="宋体" w:hAnsi="宋体" w:eastAsia="宋体" w:cs="宋体"/>
          <w:spacing w:val="-1"/>
          <w:sz w:val="24"/>
          <w:szCs w:val="24"/>
        </w:rPr>
        <w:t>责任制和全员安全生产责</w:t>
      </w:r>
      <w:r>
        <w:rPr>
          <w:rFonts w:ascii="宋体" w:hAnsi="宋体" w:eastAsia="宋体" w:cs="宋体"/>
          <w:spacing w:val="-2"/>
          <w:sz w:val="24"/>
          <w:szCs w:val="24"/>
        </w:rPr>
        <w:t>任制，确保管生产同时管安全，实现全员全过程安全管理。</w:t>
      </w:r>
    </w:p>
    <w:p w14:paraId="27DA6617">
      <w:pPr>
        <w:spacing w:line="362" w:lineRule="auto"/>
        <w:rPr>
          <w:rFonts w:ascii="宋体" w:hAnsi="宋体" w:eastAsia="宋体" w:cs="宋体"/>
          <w:sz w:val="24"/>
          <w:szCs w:val="24"/>
        </w:rPr>
        <w:sectPr>
          <w:footerReference r:id="rId78" w:type="default"/>
          <w:pgSz w:w="11905" w:h="16840"/>
          <w:pgMar w:top="1182" w:right="1331" w:bottom="1171" w:left="1416" w:header="849" w:footer="937" w:gutter="0"/>
          <w:pgNumType w:fmt="decimal"/>
          <w:cols w:space="720" w:num="1"/>
        </w:sectPr>
      </w:pPr>
    </w:p>
    <w:p w14:paraId="1134C190">
      <w:pPr>
        <w:pStyle w:val="2"/>
        <w:spacing w:line="268" w:lineRule="auto"/>
      </w:pPr>
    </w:p>
    <w:p w14:paraId="027FFA4C">
      <w:pPr>
        <w:spacing w:before="78" w:line="360" w:lineRule="auto"/>
        <w:ind w:left="9" w:right="73" w:firstLine="480"/>
        <w:jc w:val="both"/>
        <w:rPr>
          <w:rFonts w:ascii="宋体" w:hAnsi="宋体" w:eastAsia="宋体" w:cs="宋体"/>
          <w:sz w:val="24"/>
          <w:szCs w:val="24"/>
        </w:rPr>
      </w:pPr>
      <w:r>
        <w:rPr>
          <w:rFonts w:ascii="宋体" w:hAnsi="宋体" w:eastAsia="宋体" w:cs="宋体"/>
          <w:sz w:val="24"/>
          <w:szCs w:val="24"/>
        </w:rPr>
        <w:t>9.2.3.4</w:t>
      </w:r>
      <w:r>
        <w:rPr>
          <w:rFonts w:ascii="宋体" w:hAnsi="宋体" w:eastAsia="宋体" w:cs="宋体"/>
          <w:spacing w:val="-50"/>
          <w:sz w:val="24"/>
          <w:szCs w:val="24"/>
        </w:rPr>
        <w:t xml:space="preserve"> </w:t>
      </w:r>
      <w:r>
        <w:rPr>
          <w:rFonts w:ascii="宋体" w:hAnsi="宋体" w:eastAsia="宋体" w:cs="宋体"/>
          <w:sz w:val="24"/>
          <w:szCs w:val="24"/>
        </w:rPr>
        <w:t>承包人应深入开展以岗位达标、专业达标和项</w:t>
      </w:r>
      <w:r>
        <w:rPr>
          <w:rFonts w:ascii="宋体" w:hAnsi="宋体" w:eastAsia="宋体" w:cs="宋体"/>
          <w:spacing w:val="-1"/>
          <w:sz w:val="24"/>
          <w:szCs w:val="24"/>
        </w:rPr>
        <w:t>目达标为内容的安全生产标</w:t>
      </w:r>
      <w:r>
        <w:rPr>
          <w:rFonts w:ascii="宋体" w:hAnsi="宋体" w:eastAsia="宋体" w:cs="宋体"/>
          <w:spacing w:val="-2"/>
          <w:sz w:val="24"/>
          <w:szCs w:val="24"/>
        </w:rPr>
        <w:t>准化建设。重点开展公路水运工程“平安工地”建设管理活动，按照《广东省交通运输</w:t>
      </w:r>
      <w:r>
        <w:rPr>
          <w:rFonts w:ascii="宋体" w:hAnsi="宋体" w:eastAsia="宋体" w:cs="宋体"/>
          <w:spacing w:val="-5"/>
          <w:sz w:val="24"/>
          <w:szCs w:val="24"/>
        </w:rPr>
        <w:t>厅关于公路水运工程平安工地建设的管理办法》， 开展平安工地建设，经常性的开展安</w:t>
      </w:r>
      <w:r>
        <w:rPr>
          <w:rFonts w:ascii="宋体" w:hAnsi="宋体" w:eastAsia="宋体" w:cs="宋体"/>
          <w:spacing w:val="-2"/>
          <w:sz w:val="24"/>
          <w:szCs w:val="24"/>
        </w:rPr>
        <w:t>全生产自查和安全隐患排查，每月至少组织一次全面的自我考核评价，并将考核评价结</w:t>
      </w:r>
      <w:r>
        <w:rPr>
          <w:rFonts w:ascii="宋体" w:hAnsi="宋体" w:eastAsia="宋体" w:cs="宋体"/>
          <w:spacing w:val="-4"/>
          <w:sz w:val="24"/>
          <w:szCs w:val="24"/>
        </w:rPr>
        <w:t>果向监理人和发包人备案。</w:t>
      </w:r>
    </w:p>
    <w:p w14:paraId="25DECDF6">
      <w:pPr>
        <w:spacing w:line="219"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2"/>
          <w:sz w:val="24"/>
          <w:szCs w:val="24"/>
        </w:rPr>
        <w:t xml:space="preserve"> </w:t>
      </w:r>
      <w:r>
        <w:rPr>
          <w:rFonts w:ascii="宋体" w:hAnsi="宋体" w:eastAsia="宋体" w:cs="宋体"/>
          <w:spacing w:val="-8"/>
          <w:sz w:val="24"/>
          <w:szCs w:val="24"/>
        </w:rPr>
        <w:t>9.2.4</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6ABAFF6A">
      <w:pPr>
        <w:spacing w:before="182" w:line="220" w:lineRule="auto"/>
        <w:ind w:left="489"/>
        <w:rPr>
          <w:rFonts w:ascii="宋体" w:hAnsi="宋体" w:eastAsia="宋体" w:cs="宋体"/>
          <w:sz w:val="24"/>
          <w:szCs w:val="24"/>
        </w:rPr>
      </w:pPr>
      <w:r>
        <w:rPr>
          <w:rFonts w:ascii="宋体" w:hAnsi="宋体" w:eastAsia="宋体" w:cs="宋体"/>
          <w:spacing w:val="-2"/>
          <w:sz w:val="24"/>
          <w:szCs w:val="24"/>
        </w:rPr>
        <w:t>承包人必须重视应急管理，在应急管理方面要做好但不限于以下工</w:t>
      </w:r>
      <w:r>
        <w:rPr>
          <w:rFonts w:ascii="宋体" w:hAnsi="宋体" w:eastAsia="宋体" w:cs="宋体"/>
          <w:spacing w:val="-3"/>
          <w:sz w:val="24"/>
          <w:szCs w:val="24"/>
        </w:rPr>
        <w:t>作：</w:t>
      </w:r>
    </w:p>
    <w:p w14:paraId="2028D5EA">
      <w:pPr>
        <w:spacing w:before="181" w:line="220" w:lineRule="auto"/>
        <w:ind w:left="495"/>
        <w:rPr>
          <w:rFonts w:ascii="宋体" w:hAnsi="宋体" w:eastAsia="宋体" w:cs="宋体"/>
          <w:sz w:val="24"/>
          <w:szCs w:val="24"/>
        </w:rPr>
      </w:pPr>
      <w:r>
        <w:rPr>
          <w:rFonts w:ascii="宋体" w:hAnsi="宋体" w:eastAsia="宋体" w:cs="宋体"/>
          <w:spacing w:val="-4"/>
          <w:sz w:val="24"/>
          <w:szCs w:val="24"/>
        </w:rPr>
        <w:t>（1）建立和完善应急组织体系。</w:t>
      </w:r>
    </w:p>
    <w:p w14:paraId="18E0AED1">
      <w:pPr>
        <w:spacing w:before="182" w:line="360" w:lineRule="auto"/>
        <w:ind w:left="9" w:right="6" w:firstLine="486"/>
        <w:rPr>
          <w:rFonts w:ascii="宋体" w:hAnsi="宋体" w:eastAsia="宋体" w:cs="宋体"/>
          <w:sz w:val="24"/>
          <w:szCs w:val="24"/>
        </w:rPr>
      </w:pPr>
      <w:r>
        <w:rPr>
          <w:rFonts w:ascii="宋体" w:hAnsi="宋体" w:eastAsia="宋体" w:cs="宋体"/>
          <w:spacing w:val="1"/>
          <w:sz w:val="24"/>
          <w:szCs w:val="24"/>
        </w:rPr>
        <w:t>（2）结合工程特点建立完善的应急预案体系，承包人编制的应急预案必须和项目</w:t>
      </w:r>
      <w:r>
        <w:rPr>
          <w:rFonts w:ascii="宋体" w:hAnsi="宋体" w:eastAsia="宋体" w:cs="宋体"/>
          <w:spacing w:val="-7"/>
          <w:sz w:val="24"/>
          <w:szCs w:val="24"/>
        </w:rPr>
        <w:t>参建各方、项目所在地相关的应急预案体系相互衔接</w:t>
      </w:r>
      <w:r>
        <w:rPr>
          <w:rFonts w:ascii="宋体" w:hAnsi="宋体" w:eastAsia="宋体" w:cs="宋体"/>
          <w:spacing w:val="-8"/>
          <w:sz w:val="24"/>
          <w:szCs w:val="24"/>
        </w:rPr>
        <w:t>，</w:t>
      </w:r>
      <w:r>
        <w:rPr>
          <w:rFonts w:ascii="宋体" w:hAnsi="宋体" w:eastAsia="宋体" w:cs="宋体"/>
          <w:spacing w:val="-63"/>
          <w:sz w:val="24"/>
          <w:szCs w:val="24"/>
        </w:rPr>
        <w:t xml:space="preserve"> </w:t>
      </w:r>
      <w:r>
        <w:rPr>
          <w:rFonts w:ascii="宋体" w:hAnsi="宋体" w:eastAsia="宋体" w:cs="宋体"/>
          <w:spacing w:val="-8"/>
          <w:sz w:val="24"/>
          <w:szCs w:val="24"/>
        </w:rPr>
        <w:t>互为呼应。按照应急预案的要求，</w:t>
      </w:r>
      <w:r>
        <w:rPr>
          <w:rFonts w:ascii="宋体" w:hAnsi="宋体" w:eastAsia="宋体" w:cs="宋体"/>
          <w:spacing w:val="-5"/>
          <w:sz w:val="24"/>
          <w:szCs w:val="24"/>
        </w:rPr>
        <w:t>组建和完善专兼职应急救援队伍、配备应急救援设施和装备， 保证应急救援物资处于良</w:t>
      </w:r>
      <w:r>
        <w:rPr>
          <w:rFonts w:ascii="宋体" w:hAnsi="宋体" w:eastAsia="宋体" w:cs="宋体"/>
          <w:spacing w:val="-4"/>
          <w:sz w:val="24"/>
          <w:szCs w:val="24"/>
        </w:rPr>
        <w:t>好状态，确保正常使用。</w:t>
      </w:r>
    </w:p>
    <w:p w14:paraId="00EF8587">
      <w:pPr>
        <w:spacing w:line="360" w:lineRule="auto"/>
        <w:ind w:left="13" w:right="119" w:firstLine="482"/>
        <w:rPr>
          <w:rFonts w:ascii="宋体" w:hAnsi="宋体" w:eastAsia="宋体" w:cs="宋体"/>
          <w:sz w:val="24"/>
          <w:szCs w:val="24"/>
        </w:rPr>
      </w:pPr>
      <w:r>
        <w:rPr>
          <w:rFonts w:ascii="宋体" w:hAnsi="宋体" w:eastAsia="宋体" w:cs="宋体"/>
          <w:sz w:val="24"/>
          <w:szCs w:val="24"/>
        </w:rPr>
        <w:t>（3）承包人应经常组织应急预案演练，不断完善应急预案，提升应急管理水平。</w:t>
      </w:r>
      <w:r>
        <w:rPr>
          <w:rFonts w:ascii="宋体" w:hAnsi="宋体" w:eastAsia="宋体" w:cs="宋体"/>
          <w:spacing w:val="-2"/>
          <w:sz w:val="24"/>
          <w:szCs w:val="24"/>
        </w:rPr>
        <w:t>发生突发事件时，迅速启动应急预案，开展各项应急处置工作。</w:t>
      </w:r>
    </w:p>
    <w:p w14:paraId="27AEAEC2">
      <w:pPr>
        <w:spacing w:line="360" w:lineRule="auto"/>
        <w:ind w:left="9" w:right="60" w:firstLine="486"/>
        <w:rPr>
          <w:rFonts w:ascii="宋体" w:hAnsi="宋体" w:eastAsia="宋体" w:cs="宋体"/>
          <w:sz w:val="24"/>
          <w:szCs w:val="24"/>
        </w:rPr>
      </w:pPr>
      <w:r>
        <w:rPr>
          <w:rFonts w:ascii="宋体" w:hAnsi="宋体" w:eastAsia="宋体" w:cs="宋体"/>
          <w:spacing w:val="1"/>
          <w:sz w:val="24"/>
          <w:szCs w:val="24"/>
        </w:rPr>
        <w:t>（4）承包人应主动接受所在地人民政府安全生产监督管理部门和有关主管部门安</w:t>
      </w:r>
      <w:r>
        <w:rPr>
          <w:rFonts w:ascii="宋体" w:hAnsi="宋体" w:eastAsia="宋体" w:cs="宋体"/>
          <w:spacing w:val="-2"/>
          <w:sz w:val="24"/>
          <w:szCs w:val="24"/>
        </w:rPr>
        <w:t>全监督指导，并积极配合相关单位做好应急管理工作，因上述单位要求而增加的安全设</w:t>
      </w:r>
      <w:r>
        <w:rPr>
          <w:rFonts w:ascii="宋体" w:hAnsi="宋体" w:eastAsia="宋体" w:cs="宋体"/>
          <w:spacing w:val="-1"/>
          <w:sz w:val="24"/>
          <w:szCs w:val="24"/>
        </w:rPr>
        <w:t>备、措施、防护等费用，原则上由承包人从安全生产费用中列支，发</w:t>
      </w:r>
      <w:r>
        <w:rPr>
          <w:rFonts w:ascii="宋体" w:hAnsi="宋体" w:eastAsia="宋体" w:cs="宋体"/>
          <w:spacing w:val="-2"/>
          <w:sz w:val="24"/>
          <w:szCs w:val="24"/>
        </w:rPr>
        <w:t>包人不另行支付。</w:t>
      </w:r>
    </w:p>
    <w:p w14:paraId="07FDDF1F">
      <w:pPr>
        <w:spacing w:before="1" w:line="219" w:lineRule="auto"/>
        <w:ind w:left="489"/>
        <w:rPr>
          <w:rFonts w:ascii="宋体" w:hAnsi="宋体" w:eastAsia="宋体" w:cs="宋体"/>
          <w:sz w:val="24"/>
          <w:szCs w:val="24"/>
        </w:rPr>
      </w:pPr>
      <w:r>
        <w:rPr>
          <w:rFonts w:ascii="宋体" w:hAnsi="宋体" w:eastAsia="宋体" w:cs="宋体"/>
          <w:spacing w:val="-7"/>
          <w:sz w:val="24"/>
          <w:szCs w:val="24"/>
        </w:rPr>
        <w:t>第</w:t>
      </w:r>
      <w:r>
        <w:rPr>
          <w:rFonts w:ascii="宋体" w:hAnsi="宋体" w:eastAsia="宋体" w:cs="宋体"/>
          <w:spacing w:val="-49"/>
          <w:sz w:val="24"/>
          <w:szCs w:val="24"/>
        </w:rPr>
        <w:t xml:space="preserve"> </w:t>
      </w:r>
      <w:r>
        <w:rPr>
          <w:rFonts w:ascii="宋体" w:hAnsi="宋体" w:eastAsia="宋体" w:cs="宋体"/>
          <w:spacing w:val="-7"/>
          <w:sz w:val="24"/>
          <w:szCs w:val="24"/>
        </w:rPr>
        <w:t>9.2.5</w:t>
      </w:r>
      <w:r>
        <w:rPr>
          <w:rFonts w:ascii="宋体" w:hAnsi="宋体" w:eastAsia="宋体" w:cs="宋体"/>
          <w:spacing w:val="-46"/>
          <w:sz w:val="24"/>
          <w:szCs w:val="24"/>
        </w:rPr>
        <w:t xml:space="preserve"> </w:t>
      </w:r>
      <w:r>
        <w:rPr>
          <w:rFonts w:ascii="宋体" w:hAnsi="宋体" w:eastAsia="宋体" w:cs="宋体"/>
          <w:spacing w:val="-7"/>
          <w:sz w:val="24"/>
          <w:szCs w:val="24"/>
        </w:rPr>
        <w:t>项细化为：</w:t>
      </w:r>
    </w:p>
    <w:p w14:paraId="32DAF795">
      <w:pPr>
        <w:spacing w:before="185" w:line="358" w:lineRule="auto"/>
        <w:ind w:left="9" w:firstLine="480"/>
        <w:jc w:val="both"/>
        <w:rPr>
          <w:rFonts w:ascii="宋体" w:hAnsi="宋体" w:eastAsia="宋体" w:cs="宋体"/>
          <w:sz w:val="24"/>
          <w:szCs w:val="24"/>
        </w:rPr>
      </w:pPr>
      <w:r>
        <w:rPr>
          <w:rFonts w:ascii="宋体" w:hAnsi="宋体" w:eastAsia="宋体" w:cs="宋体"/>
          <w:spacing w:val="-2"/>
          <w:sz w:val="24"/>
          <w:szCs w:val="24"/>
        </w:rPr>
        <w:t>根据国家、省和广东省交通运输厅关于印发《广东省交通运输厅关于公路水运建设</w:t>
      </w:r>
      <w:r>
        <w:rPr>
          <w:rFonts w:ascii="宋体" w:hAnsi="宋体" w:eastAsia="宋体" w:cs="宋体"/>
          <w:spacing w:val="-5"/>
          <w:sz w:val="24"/>
          <w:szCs w:val="24"/>
        </w:rPr>
        <w:t>工程安全生产费用的管理办法》的通知等相关规定要求， 本合同设立安全生产费。</w:t>
      </w:r>
      <w:r>
        <w:rPr>
          <w:rFonts w:ascii="宋体" w:hAnsi="宋体" w:eastAsia="宋体" w:cs="宋体"/>
          <w:spacing w:val="-5"/>
          <w:sz w:val="24"/>
          <w:szCs w:val="24"/>
          <w:u w:val="single" w:color="auto"/>
        </w:rPr>
        <w:t>安全</w:t>
      </w:r>
      <w:r>
        <w:rPr>
          <w:rFonts w:ascii="宋体" w:hAnsi="宋体" w:eastAsia="宋体" w:cs="宋体"/>
          <w:spacing w:val="-2"/>
          <w:sz w:val="24"/>
          <w:szCs w:val="24"/>
          <w:u w:val="single" w:color="auto"/>
        </w:rPr>
        <w:t>生产费按计费基数（按</w:t>
      </w:r>
      <w:r>
        <w:rPr>
          <w:rFonts w:hint="eastAsia" w:ascii="宋体" w:hAnsi="宋体" w:eastAsia="宋体" w:cs="宋体"/>
          <w:spacing w:val="-2"/>
          <w:sz w:val="24"/>
          <w:szCs w:val="24"/>
          <w:u w:val="single" w:color="auto"/>
        </w:rPr>
        <w:t>工程量清单第100章至第900章费用之和</w:t>
      </w:r>
      <w:r>
        <w:rPr>
          <w:rFonts w:ascii="宋体" w:hAnsi="宋体" w:eastAsia="宋体" w:cs="宋体"/>
          <w:spacing w:val="-2"/>
          <w:sz w:val="24"/>
          <w:szCs w:val="24"/>
          <w:u w:val="single" w:color="auto"/>
        </w:rPr>
        <w:t>，扣除安全生产费、保险费、机电工程设备购置费以及临时用地费）的</w:t>
      </w:r>
      <w:r>
        <w:rPr>
          <w:rFonts w:ascii="宋体" w:hAnsi="宋体" w:eastAsia="宋体" w:cs="宋体"/>
          <w:spacing w:val="-26"/>
          <w:sz w:val="24"/>
          <w:szCs w:val="24"/>
          <w:u w:val="single" w:color="auto"/>
        </w:rPr>
        <w:t xml:space="preserve"> </w:t>
      </w:r>
      <w:r>
        <w:rPr>
          <w:rFonts w:ascii="宋体" w:hAnsi="宋体" w:eastAsia="宋体" w:cs="宋体"/>
          <w:spacing w:val="-2"/>
          <w:sz w:val="24"/>
          <w:szCs w:val="24"/>
          <w:u w:val="single" w:color="auto"/>
        </w:rPr>
        <w:t>1.5%（不含新建、改建、扩建以及拆除、</w:t>
      </w:r>
      <w:r>
        <w:rPr>
          <w:rFonts w:ascii="宋体" w:hAnsi="宋体" w:eastAsia="宋体" w:cs="宋体"/>
          <w:spacing w:val="1"/>
          <w:sz w:val="24"/>
          <w:szCs w:val="24"/>
          <w:u w:val="single" w:color="auto"/>
        </w:rPr>
        <w:t xml:space="preserve">加固等建设工程专项交通安全维护费，其中房建工程按 </w:t>
      </w:r>
      <w:r>
        <w:rPr>
          <w:rFonts w:hint="eastAsia" w:ascii="宋体" w:hAnsi="宋体" w:cs="宋体"/>
          <w:spacing w:val="1"/>
          <w:sz w:val="24"/>
          <w:szCs w:val="24"/>
          <w:u w:val="single" w:color="auto"/>
          <w:lang w:val="en-US" w:eastAsia="zh-CN"/>
        </w:rPr>
        <w:t>2</w:t>
      </w:r>
      <w:r>
        <w:rPr>
          <w:rFonts w:ascii="宋体" w:hAnsi="宋体" w:eastAsia="宋体" w:cs="宋体"/>
          <w:spacing w:val="1"/>
          <w:sz w:val="24"/>
          <w:szCs w:val="24"/>
          <w:u w:val="single" w:color="auto"/>
        </w:rPr>
        <w:t xml:space="preserve"> %）以固定金额的形式计入</w:t>
      </w:r>
      <w:r>
        <w:rPr>
          <w:rFonts w:ascii="宋体" w:hAnsi="宋体" w:eastAsia="宋体" w:cs="宋体"/>
          <w:spacing w:val="-2"/>
          <w:sz w:val="24"/>
          <w:szCs w:val="24"/>
          <w:u w:val="single" w:color="auto"/>
        </w:rPr>
        <w:t>工程量清单支付子目</w:t>
      </w:r>
      <w:r>
        <w:rPr>
          <w:rFonts w:ascii="宋体" w:hAnsi="宋体" w:eastAsia="宋体" w:cs="宋体"/>
          <w:spacing w:val="-16"/>
          <w:sz w:val="24"/>
          <w:szCs w:val="24"/>
          <w:u w:val="single" w:color="auto"/>
        </w:rPr>
        <w:t xml:space="preserve"> </w:t>
      </w:r>
      <w:r>
        <w:rPr>
          <w:rFonts w:ascii="宋体" w:hAnsi="宋体" w:eastAsia="宋体" w:cs="宋体"/>
          <w:spacing w:val="-2"/>
          <w:sz w:val="24"/>
          <w:szCs w:val="24"/>
          <w:u w:val="single" w:color="auto"/>
        </w:rPr>
        <w:t>102-3</w:t>
      </w:r>
      <w:r>
        <w:rPr>
          <w:rFonts w:ascii="宋体" w:hAnsi="宋体" w:eastAsia="宋体" w:cs="宋体"/>
          <w:spacing w:val="-26"/>
          <w:sz w:val="24"/>
          <w:szCs w:val="24"/>
          <w:u w:val="single" w:color="auto"/>
        </w:rPr>
        <w:t xml:space="preserve"> </w:t>
      </w:r>
      <w:r>
        <w:rPr>
          <w:rFonts w:ascii="宋体" w:hAnsi="宋体" w:eastAsia="宋体" w:cs="宋体"/>
          <w:spacing w:val="-2"/>
          <w:sz w:val="24"/>
          <w:szCs w:val="24"/>
          <w:u w:val="single" w:color="auto"/>
        </w:rPr>
        <w:t>中</w:t>
      </w:r>
      <w:r>
        <w:rPr>
          <w:rFonts w:ascii="宋体" w:hAnsi="宋体" w:eastAsia="宋体" w:cs="宋体"/>
          <w:spacing w:val="-25"/>
          <w:position w:val="12"/>
          <w:sz w:val="12"/>
          <w:szCs w:val="12"/>
        </w:rPr>
        <w:t xml:space="preserve"> </w:t>
      </w:r>
      <w:r>
        <w:rPr>
          <w:rFonts w:ascii="宋体" w:hAnsi="宋体" w:eastAsia="宋体" w:cs="宋体"/>
          <w:spacing w:val="-2"/>
          <w:sz w:val="24"/>
          <w:szCs w:val="24"/>
        </w:rPr>
        <w:t>。因设计变更以及工程量清单数量与招标图纸、施工图纸工程数量的差、错、漏而引起施工单位安全生产费用实际投入总额与合同约定不一致</w:t>
      </w:r>
      <w:r>
        <w:rPr>
          <w:rFonts w:ascii="宋体" w:hAnsi="宋体" w:eastAsia="宋体" w:cs="宋体"/>
          <w:spacing w:val="-1"/>
          <w:sz w:val="24"/>
          <w:szCs w:val="24"/>
        </w:rPr>
        <w:t>的，差额部分的安全生产费用按照批复变更金额和规定</w:t>
      </w:r>
      <w:r>
        <w:rPr>
          <w:rFonts w:ascii="宋体" w:hAnsi="宋体" w:eastAsia="宋体" w:cs="宋体"/>
          <w:spacing w:val="-2"/>
          <w:sz w:val="24"/>
          <w:szCs w:val="24"/>
        </w:rPr>
        <w:t>提取比例作相应调整。</w:t>
      </w:r>
    </w:p>
    <w:p w14:paraId="1738E460">
      <w:pPr>
        <w:spacing w:line="233" w:lineRule="auto"/>
        <w:ind w:left="495"/>
        <w:rPr>
          <w:rFonts w:hint="eastAsia" w:ascii="宋体" w:hAnsi="宋体" w:eastAsia="宋体" w:cs="宋体"/>
          <w:sz w:val="12"/>
          <w:szCs w:val="12"/>
          <w:lang w:eastAsia="zh-CN"/>
        </w:rPr>
      </w:pPr>
      <w:r>
        <w:rPr>
          <w:rFonts w:ascii="宋体" w:hAnsi="宋体" w:eastAsia="宋体" w:cs="宋体"/>
          <w:spacing w:val="-1"/>
          <w:sz w:val="24"/>
          <w:szCs w:val="24"/>
        </w:rPr>
        <w:t>（1）安全生产费用预付款比例及扣回方式：</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rPr>
        <w:t>不设安全生产费用预付款</w:t>
      </w:r>
      <w:r>
        <w:rPr>
          <w:rFonts w:ascii="宋体" w:hAnsi="宋体" w:eastAsia="宋体" w:cs="宋体"/>
          <w:spacing w:val="-1"/>
          <w:sz w:val="24"/>
          <w:szCs w:val="24"/>
          <w:u w:val="single" w:color="auto"/>
        </w:rPr>
        <w:t xml:space="preserve"> </w:t>
      </w:r>
      <w:r>
        <w:rPr>
          <w:rFonts w:ascii="宋体" w:hAnsi="宋体" w:eastAsia="宋体" w:cs="宋体"/>
          <w:spacing w:val="-87"/>
          <w:sz w:val="24"/>
          <w:szCs w:val="24"/>
        </w:rPr>
        <w:t xml:space="preserve"> </w:t>
      </w:r>
      <w:r>
        <w:rPr>
          <w:rFonts w:ascii="宋体" w:hAnsi="宋体" w:eastAsia="宋体" w:cs="宋体"/>
          <w:spacing w:val="-2"/>
          <w:sz w:val="24"/>
          <w:szCs w:val="24"/>
        </w:rPr>
        <w:t>。</w:t>
      </w:r>
    </w:p>
    <w:p w14:paraId="7BA7E803">
      <w:pPr>
        <w:pStyle w:val="2"/>
        <w:spacing w:line="466" w:lineRule="auto"/>
      </w:pPr>
    </w:p>
    <w:p w14:paraId="40A85675">
      <w:pPr>
        <w:spacing w:line="242" w:lineRule="auto"/>
        <w:rPr>
          <w:rFonts w:ascii="宋体" w:hAnsi="宋体" w:eastAsia="宋体" w:cs="宋体"/>
          <w:sz w:val="18"/>
          <w:szCs w:val="18"/>
        </w:rPr>
        <w:sectPr>
          <w:headerReference r:id="rId79" w:type="default"/>
          <w:footerReference r:id="rId80" w:type="default"/>
          <w:pgSz w:w="11905" w:h="16840"/>
          <w:pgMar w:top="1182" w:right="1343" w:bottom="1171" w:left="1416" w:header="849" w:footer="937" w:gutter="0"/>
          <w:pgNumType w:fmt="decimal"/>
          <w:cols w:space="720" w:num="1"/>
        </w:sectPr>
      </w:pPr>
    </w:p>
    <w:p w14:paraId="5709CE49">
      <w:pPr>
        <w:pStyle w:val="2"/>
        <w:spacing w:line="268" w:lineRule="auto"/>
      </w:pPr>
    </w:p>
    <w:p w14:paraId="05323CBA">
      <w:pPr>
        <w:spacing w:before="78" w:line="360" w:lineRule="auto"/>
        <w:ind w:left="9" w:right="186" w:firstLine="486"/>
        <w:rPr>
          <w:rFonts w:hint="eastAsia" w:ascii="宋体" w:hAnsi="宋体" w:eastAsia="宋体" w:cs="宋体"/>
          <w:sz w:val="12"/>
          <w:szCs w:val="12"/>
          <w:lang w:eastAsia="zh-CN"/>
        </w:rPr>
      </w:pPr>
      <w:r>
        <w:rPr>
          <w:rFonts w:ascii="宋体" w:hAnsi="宋体" w:eastAsia="宋体" w:cs="宋体"/>
          <w:spacing w:val="1"/>
          <w:sz w:val="24"/>
          <w:szCs w:val="24"/>
        </w:rPr>
        <w:t>（2）施工准备阶段，承包人应根据安全生产费总额及广东省交通运输厅关于印发</w:t>
      </w:r>
      <w:r>
        <w:rPr>
          <w:rFonts w:ascii="宋体" w:hAnsi="宋体" w:eastAsia="宋体" w:cs="宋体"/>
          <w:spacing w:val="-2"/>
          <w:sz w:val="24"/>
          <w:szCs w:val="24"/>
        </w:rPr>
        <w:t>《广东省交通运输厅关于公路水运建设工程安全生产费用的管理办法》的通知规定的安全生产费用清单附录申报子目、价格及数量（包括购买安全生产责任保险</w:t>
      </w:r>
      <w:r>
        <w:rPr>
          <w:rFonts w:ascii="宋体" w:hAnsi="宋体" w:eastAsia="宋体" w:cs="宋体"/>
          <w:spacing w:val="6"/>
          <w:sz w:val="24"/>
          <w:szCs w:val="24"/>
        </w:rPr>
        <w:t>），</w:t>
      </w:r>
      <w:r>
        <w:rPr>
          <w:rFonts w:ascii="宋体" w:hAnsi="宋体" w:eastAsia="宋体" w:cs="宋体"/>
          <w:spacing w:val="-2"/>
          <w:sz w:val="24"/>
          <w:szCs w:val="24"/>
        </w:rPr>
        <w:t>由监理单</w:t>
      </w:r>
      <w:r>
        <w:rPr>
          <w:rFonts w:ascii="宋体" w:hAnsi="宋体" w:eastAsia="宋体" w:cs="宋体"/>
          <w:spacing w:val="-1"/>
          <w:sz w:val="24"/>
          <w:szCs w:val="24"/>
        </w:rPr>
        <w:t>位审核后报发包人批准（或备案）。</w:t>
      </w:r>
    </w:p>
    <w:p w14:paraId="369FA32C">
      <w:pPr>
        <w:spacing w:line="360" w:lineRule="auto"/>
        <w:ind w:left="10" w:right="186" w:firstLine="485"/>
        <w:rPr>
          <w:rFonts w:ascii="宋体" w:hAnsi="宋体" w:eastAsia="宋体" w:cs="宋体"/>
          <w:sz w:val="24"/>
          <w:szCs w:val="24"/>
        </w:rPr>
      </w:pPr>
      <w:r>
        <w:rPr>
          <w:rFonts w:ascii="宋体" w:hAnsi="宋体" w:eastAsia="宋体" w:cs="宋体"/>
          <w:spacing w:val="1"/>
          <w:sz w:val="24"/>
          <w:szCs w:val="24"/>
        </w:rPr>
        <w:t>（3）承包人应根据每一计量周期安全生产投入情况及安全生产费用清单按实计量</w:t>
      </w:r>
      <w:r>
        <w:rPr>
          <w:rFonts w:ascii="宋体" w:hAnsi="宋体" w:eastAsia="宋体" w:cs="宋体"/>
          <w:spacing w:val="-2"/>
          <w:sz w:val="24"/>
          <w:szCs w:val="24"/>
        </w:rPr>
        <w:t>支付，经发包人同意，安全生产经费各子项经费可相互调剂使用，但最终支付总额不超</w:t>
      </w:r>
      <w:r>
        <w:rPr>
          <w:rFonts w:ascii="宋体" w:hAnsi="宋体" w:eastAsia="宋体" w:cs="宋体"/>
          <w:spacing w:val="-1"/>
          <w:sz w:val="24"/>
          <w:szCs w:val="24"/>
        </w:rPr>
        <w:t>过安全生产费总额（发生设计变更的，以按合同</w:t>
      </w:r>
      <w:r>
        <w:rPr>
          <w:rFonts w:ascii="宋体" w:hAnsi="宋体" w:eastAsia="宋体" w:cs="宋体"/>
          <w:spacing w:val="-2"/>
          <w:sz w:val="24"/>
          <w:szCs w:val="24"/>
        </w:rPr>
        <w:t>约定调整后的总额为准）。</w:t>
      </w:r>
    </w:p>
    <w:p w14:paraId="7369D522">
      <w:pPr>
        <w:spacing w:before="2" w:line="359" w:lineRule="auto"/>
        <w:ind w:left="10" w:right="197" w:firstLine="485"/>
        <w:rPr>
          <w:rFonts w:ascii="宋体" w:hAnsi="宋体" w:eastAsia="宋体" w:cs="宋体"/>
          <w:sz w:val="24"/>
          <w:szCs w:val="24"/>
        </w:rPr>
      </w:pPr>
      <w:r>
        <w:rPr>
          <w:rFonts w:ascii="宋体" w:hAnsi="宋体" w:eastAsia="宋体" w:cs="宋体"/>
          <w:spacing w:val="1"/>
          <w:sz w:val="24"/>
          <w:szCs w:val="24"/>
        </w:rPr>
        <w:t>（4）安全生产费用应专门用于完善和改进工程项目安全作业环境、安全施工措施</w:t>
      </w:r>
      <w:r>
        <w:rPr>
          <w:rFonts w:ascii="宋体" w:hAnsi="宋体" w:eastAsia="宋体" w:cs="宋体"/>
          <w:spacing w:val="-5"/>
          <w:sz w:val="24"/>
          <w:szCs w:val="24"/>
        </w:rPr>
        <w:t>和条件，严禁挪用。</w:t>
      </w:r>
    </w:p>
    <w:p w14:paraId="4F0DAEC2">
      <w:pPr>
        <w:spacing w:before="3" w:line="359" w:lineRule="auto"/>
        <w:ind w:left="10" w:right="186" w:firstLine="485"/>
        <w:rPr>
          <w:rFonts w:ascii="宋体" w:hAnsi="宋体" w:eastAsia="宋体" w:cs="宋体"/>
          <w:sz w:val="24"/>
          <w:szCs w:val="24"/>
        </w:rPr>
      </w:pPr>
      <w:r>
        <w:rPr>
          <w:rFonts w:ascii="宋体" w:hAnsi="宋体" w:eastAsia="宋体" w:cs="宋体"/>
          <w:spacing w:val="1"/>
          <w:sz w:val="24"/>
          <w:szCs w:val="24"/>
        </w:rPr>
        <w:t>（5）承包人应根据实际需要使用安全生产费用，因设计变更造成承包人安全生产</w:t>
      </w:r>
      <w:r>
        <w:rPr>
          <w:rFonts w:ascii="宋体" w:hAnsi="宋体" w:eastAsia="宋体" w:cs="宋体"/>
          <w:spacing w:val="-2"/>
          <w:sz w:val="24"/>
          <w:szCs w:val="24"/>
        </w:rPr>
        <w:t>费用实际投入总额与合同约定不一致的，差额部分的安全生产费用按照批复变更金额和</w:t>
      </w:r>
      <w:r>
        <w:rPr>
          <w:rFonts w:ascii="宋体" w:hAnsi="宋体" w:eastAsia="宋体" w:cs="宋体"/>
          <w:spacing w:val="-4"/>
          <w:sz w:val="24"/>
          <w:szCs w:val="24"/>
        </w:rPr>
        <w:t>规定提取比例同时调整。</w:t>
      </w:r>
    </w:p>
    <w:p w14:paraId="53E62D30">
      <w:pPr>
        <w:spacing w:line="219" w:lineRule="auto"/>
        <w:ind w:left="495"/>
        <w:rPr>
          <w:rFonts w:ascii="宋体" w:hAnsi="宋体" w:eastAsia="宋体" w:cs="宋体"/>
          <w:sz w:val="24"/>
          <w:szCs w:val="24"/>
        </w:rPr>
      </w:pPr>
      <w:r>
        <w:rPr>
          <w:rFonts w:ascii="宋体" w:hAnsi="宋体" w:eastAsia="宋体" w:cs="宋体"/>
          <w:sz w:val="24"/>
          <w:szCs w:val="24"/>
        </w:rPr>
        <w:t>（6）非因设计变更造成承包人安全生产费用实际投入总额与合同约定不一致的，</w:t>
      </w:r>
    </w:p>
    <w:p w14:paraId="3457EC9A">
      <w:pPr>
        <w:spacing w:before="182" w:line="360" w:lineRule="auto"/>
        <w:ind w:left="8"/>
        <w:rPr>
          <w:rFonts w:ascii="宋体" w:hAnsi="宋体" w:eastAsia="宋体" w:cs="宋体"/>
          <w:sz w:val="24"/>
          <w:szCs w:val="24"/>
        </w:rPr>
      </w:pPr>
      <w:r>
        <w:rPr>
          <w:rFonts w:ascii="宋体" w:hAnsi="宋体" w:eastAsia="宋体" w:cs="宋体"/>
          <w:spacing w:val="-3"/>
          <w:sz w:val="24"/>
          <w:szCs w:val="24"/>
        </w:rPr>
        <w:t>承包人安全生产费用实际支出超过合同约定安全生产费用总额的，发包人不再另行支付，</w:t>
      </w:r>
      <w:r>
        <w:rPr>
          <w:rFonts w:ascii="宋体" w:hAnsi="宋体" w:eastAsia="宋体" w:cs="宋体"/>
          <w:spacing w:val="-4"/>
          <w:sz w:val="24"/>
          <w:szCs w:val="24"/>
        </w:rPr>
        <w:t>超出部分由承包人自行承担。</w:t>
      </w:r>
    </w:p>
    <w:p w14:paraId="4B33BC98">
      <w:pPr>
        <w:spacing w:line="360" w:lineRule="auto"/>
        <w:ind w:left="8" w:firstLine="487"/>
        <w:rPr>
          <w:rFonts w:ascii="宋体" w:hAnsi="宋体" w:eastAsia="宋体" w:cs="宋体"/>
          <w:sz w:val="24"/>
          <w:szCs w:val="24"/>
        </w:rPr>
      </w:pPr>
      <w:r>
        <w:rPr>
          <w:rFonts w:ascii="宋体" w:hAnsi="宋体" w:eastAsia="宋体" w:cs="宋体"/>
          <w:spacing w:val="1"/>
          <w:sz w:val="24"/>
          <w:szCs w:val="24"/>
        </w:rPr>
        <w:t>（7）承包人未按照合同约定落实安全生产措施的，发包人可以责令其暂停施工或</w:t>
      </w:r>
      <w:r>
        <w:rPr>
          <w:rFonts w:ascii="宋体" w:hAnsi="宋体" w:eastAsia="宋体" w:cs="宋体"/>
          <w:spacing w:val="-2"/>
          <w:sz w:val="24"/>
          <w:szCs w:val="24"/>
        </w:rPr>
        <w:t>暂停支付安全生产费用，并要求监理人督促整改，直至承包人完成整改。若承包人未能</w:t>
      </w:r>
      <w:r>
        <w:rPr>
          <w:rFonts w:ascii="宋体" w:hAnsi="宋体" w:eastAsia="宋体" w:cs="宋体"/>
          <w:spacing w:val="-3"/>
          <w:sz w:val="24"/>
          <w:szCs w:val="24"/>
        </w:rPr>
        <w:t>在规定期限内完成对施工现场事故隐患整改的，发包人可以直接委托其他单位代为整改，</w:t>
      </w:r>
      <w:r>
        <w:rPr>
          <w:rFonts w:ascii="宋体" w:hAnsi="宋体" w:eastAsia="宋体" w:cs="宋体"/>
          <w:spacing w:val="-1"/>
          <w:sz w:val="24"/>
          <w:szCs w:val="24"/>
        </w:rPr>
        <w:t>相关费用在支付给承包人的费用中扣除，并由发包人直接</w:t>
      </w:r>
      <w:r>
        <w:rPr>
          <w:rFonts w:ascii="宋体" w:hAnsi="宋体" w:eastAsia="宋体" w:cs="宋体"/>
          <w:spacing w:val="-2"/>
          <w:sz w:val="24"/>
          <w:szCs w:val="24"/>
        </w:rPr>
        <w:t>支付给受委托单位。</w:t>
      </w:r>
    </w:p>
    <w:p w14:paraId="2F2D711C">
      <w:pPr>
        <w:spacing w:before="3" w:line="359" w:lineRule="auto"/>
        <w:ind w:left="11" w:right="197" w:firstLine="484"/>
        <w:rPr>
          <w:rFonts w:ascii="宋体" w:hAnsi="宋体" w:eastAsia="宋体" w:cs="宋体"/>
          <w:sz w:val="24"/>
          <w:szCs w:val="24"/>
        </w:rPr>
      </w:pPr>
      <w:r>
        <w:rPr>
          <w:rFonts w:ascii="宋体" w:hAnsi="宋体" w:eastAsia="宋体" w:cs="宋体"/>
          <w:spacing w:val="1"/>
          <w:sz w:val="24"/>
          <w:szCs w:val="24"/>
        </w:rPr>
        <w:t>（8）工程交工验收后，安全生产费用实际投入总额少于工程量清单中安全生产费</w:t>
      </w:r>
      <w:r>
        <w:rPr>
          <w:rFonts w:ascii="宋体" w:hAnsi="宋体" w:eastAsia="宋体" w:cs="宋体"/>
          <w:spacing w:val="-1"/>
          <w:sz w:val="24"/>
          <w:szCs w:val="24"/>
        </w:rPr>
        <w:t>用总额的，经监理人核实后，未计量部分（除变更</w:t>
      </w:r>
      <w:r>
        <w:rPr>
          <w:rFonts w:ascii="宋体" w:hAnsi="宋体" w:eastAsia="宋体" w:cs="宋体"/>
          <w:spacing w:val="-2"/>
          <w:sz w:val="24"/>
          <w:szCs w:val="24"/>
        </w:rPr>
        <w:t>费用外）原则上不再支付。</w:t>
      </w:r>
    </w:p>
    <w:p w14:paraId="3D6A2751">
      <w:pPr>
        <w:spacing w:before="1" w:line="219" w:lineRule="auto"/>
        <w:ind w:left="489"/>
        <w:rPr>
          <w:rFonts w:ascii="宋体" w:hAnsi="宋体" w:eastAsia="宋体" w:cs="宋体"/>
          <w:sz w:val="24"/>
          <w:szCs w:val="24"/>
        </w:rPr>
      </w:pPr>
      <w:r>
        <w:rPr>
          <w:rFonts w:ascii="宋体" w:hAnsi="宋体" w:eastAsia="宋体" w:cs="宋体"/>
          <w:spacing w:val="-3"/>
          <w:sz w:val="24"/>
          <w:szCs w:val="24"/>
        </w:rPr>
        <w:t>第</w:t>
      </w:r>
      <w:r>
        <w:rPr>
          <w:rFonts w:ascii="宋体" w:hAnsi="宋体" w:eastAsia="宋体" w:cs="宋体"/>
          <w:spacing w:val="-50"/>
          <w:sz w:val="24"/>
          <w:szCs w:val="24"/>
        </w:rPr>
        <w:t xml:space="preserve"> </w:t>
      </w:r>
      <w:r>
        <w:rPr>
          <w:rFonts w:ascii="宋体" w:hAnsi="宋体" w:eastAsia="宋体" w:cs="宋体"/>
          <w:spacing w:val="-3"/>
          <w:sz w:val="24"/>
          <w:szCs w:val="24"/>
        </w:rPr>
        <w:t>9.2.6</w:t>
      </w:r>
      <w:r>
        <w:rPr>
          <w:rFonts w:ascii="宋体" w:hAnsi="宋体" w:eastAsia="宋体" w:cs="宋体"/>
          <w:spacing w:val="-46"/>
          <w:sz w:val="24"/>
          <w:szCs w:val="24"/>
        </w:rPr>
        <w:t xml:space="preserve"> </w:t>
      </w:r>
      <w:r>
        <w:rPr>
          <w:rFonts w:ascii="宋体" w:hAnsi="宋体" w:eastAsia="宋体" w:cs="宋体"/>
          <w:spacing w:val="-3"/>
          <w:sz w:val="24"/>
          <w:szCs w:val="24"/>
        </w:rPr>
        <w:t>项细化为</w:t>
      </w:r>
      <w:r>
        <w:rPr>
          <w:rFonts w:hint="eastAsia" w:ascii="宋体" w:hAnsi="宋体" w:cs="宋体"/>
          <w:spacing w:val="-3"/>
          <w:sz w:val="24"/>
          <w:szCs w:val="24"/>
          <w:lang w:eastAsia="zh-CN"/>
        </w:rPr>
        <w:t>：</w:t>
      </w:r>
    </w:p>
    <w:p w14:paraId="3FAF6F1C">
      <w:pPr>
        <w:spacing w:before="182" w:line="360" w:lineRule="auto"/>
        <w:ind w:left="9" w:right="186" w:firstLine="480"/>
        <w:jc w:val="both"/>
        <w:rPr>
          <w:rFonts w:ascii="宋体" w:hAnsi="宋体" w:eastAsia="宋体" w:cs="宋体"/>
          <w:sz w:val="24"/>
          <w:szCs w:val="24"/>
        </w:rPr>
      </w:pPr>
      <w:r>
        <w:rPr>
          <w:rFonts w:ascii="宋体" w:hAnsi="宋体" w:eastAsia="宋体" w:cs="宋体"/>
          <w:spacing w:val="-2"/>
          <w:sz w:val="24"/>
          <w:szCs w:val="24"/>
        </w:rPr>
        <w:t>承包人对其分包施工现场的安全生产负总责。分包合同中应当明确各自的安全生产</w:t>
      </w:r>
      <w:r>
        <w:rPr>
          <w:rFonts w:ascii="宋体" w:hAnsi="宋体" w:eastAsia="宋体" w:cs="宋体"/>
          <w:spacing w:val="-6"/>
          <w:sz w:val="24"/>
          <w:szCs w:val="24"/>
        </w:rPr>
        <w:t>方面的权利、义务，</w:t>
      </w:r>
      <w:r>
        <w:rPr>
          <w:rFonts w:ascii="宋体" w:hAnsi="宋体" w:eastAsia="宋体" w:cs="宋体"/>
          <w:spacing w:val="49"/>
          <w:sz w:val="24"/>
          <w:szCs w:val="24"/>
        </w:rPr>
        <w:t xml:space="preserve"> </w:t>
      </w:r>
      <w:r>
        <w:rPr>
          <w:rFonts w:ascii="宋体" w:hAnsi="宋体" w:eastAsia="宋体" w:cs="宋体"/>
          <w:spacing w:val="-6"/>
          <w:sz w:val="24"/>
          <w:szCs w:val="24"/>
        </w:rPr>
        <w:t>承包人和分包人对分包工程的安全生产承担连带责任。分包单位安</w:t>
      </w:r>
      <w:r>
        <w:rPr>
          <w:rFonts w:ascii="宋体" w:hAnsi="宋体" w:eastAsia="宋体" w:cs="宋体"/>
          <w:spacing w:val="-1"/>
          <w:sz w:val="24"/>
          <w:szCs w:val="24"/>
        </w:rPr>
        <w:t>全生产条件和措施投入不足的应当由承包人负责配足，</w:t>
      </w:r>
      <w:r>
        <w:rPr>
          <w:rFonts w:ascii="宋体" w:hAnsi="宋体" w:eastAsia="宋体" w:cs="宋体"/>
          <w:spacing w:val="-2"/>
          <w:sz w:val="24"/>
          <w:szCs w:val="24"/>
        </w:rPr>
        <w:t>其费用由承包人承担。</w:t>
      </w:r>
    </w:p>
    <w:p w14:paraId="7839484D">
      <w:pPr>
        <w:spacing w:before="1" w:line="219" w:lineRule="auto"/>
        <w:ind w:left="489"/>
        <w:rPr>
          <w:rFonts w:ascii="宋体" w:hAnsi="宋体" w:eastAsia="宋体" w:cs="宋体"/>
          <w:sz w:val="24"/>
          <w:szCs w:val="24"/>
        </w:rPr>
      </w:pPr>
      <w:r>
        <w:rPr>
          <w:rFonts w:ascii="宋体" w:hAnsi="宋体" w:eastAsia="宋体" w:cs="宋体"/>
          <w:spacing w:val="-5"/>
          <w:sz w:val="24"/>
          <w:szCs w:val="24"/>
        </w:rPr>
        <w:t>第</w:t>
      </w:r>
      <w:r>
        <w:rPr>
          <w:rFonts w:ascii="宋体" w:hAnsi="宋体" w:eastAsia="宋体" w:cs="宋体"/>
          <w:spacing w:val="-48"/>
          <w:sz w:val="24"/>
          <w:szCs w:val="24"/>
        </w:rPr>
        <w:t xml:space="preserve"> </w:t>
      </w:r>
      <w:r>
        <w:rPr>
          <w:rFonts w:ascii="宋体" w:hAnsi="宋体" w:eastAsia="宋体" w:cs="宋体"/>
          <w:spacing w:val="-5"/>
          <w:sz w:val="24"/>
          <w:szCs w:val="24"/>
        </w:rPr>
        <w:t>9.2.8（4）目细化为：</w:t>
      </w:r>
    </w:p>
    <w:p w14:paraId="5EEBEB62">
      <w:pPr>
        <w:spacing w:before="180" w:line="392" w:lineRule="auto"/>
        <w:ind w:left="6" w:right="186" w:firstLine="483"/>
        <w:jc w:val="both"/>
        <w:rPr>
          <w:rFonts w:ascii="宋体" w:hAnsi="宋体" w:eastAsia="宋体" w:cs="宋体"/>
          <w:sz w:val="18"/>
          <w:szCs w:val="18"/>
        </w:rPr>
      </w:pPr>
      <w:r>
        <w:rPr>
          <w:rFonts w:ascii="宋体" w:hAnsi="宋体" w:eastAsia="宋体" w:cs="宋体"/>
          <w:spacing w:val="-2"/>
          <w:sz w:val="24"/>
          <w:szCs w:val="24"/>
        </w:rPr>
        <w:t>根据本合同各单位工程的施工特点，严格执行《公路水运工程安全生产监督管理办</w:t>
      </w:r>
      <w:r>
        <w:rPr>
          <w:rFonts w:ascii="宋体" w:hAnsi="宋体" w:eastAsia="宋体" w:cs="宋体"/>
          <w:spacing w:val="-1"/>
          <w:sz w:val="24"/>
          <w:szCs w:val="24"/>
        </w:rPr>
        <w:t>法》《公路工程施工安全技术规范》等有关规</w:t>
      </w:r>
      <w:r>
        <w:rPr>
          <w:rFonts w:ascii="宋体" w:hAnsi="宋体" w:eastAsia="宋体" w:cs="宋体"/>
          <w:spacing w:val="-2"/>
          <w:sz w:val="24"/>
          <w:szCs w:val="24"/>
        </w:rPr>
        <w:t>定。承包人须成立安全生产组织机构和独</w:t>
      </w:r>
      <w:r>
        <w:rPr>
          <w:rFonts w:ascii="宋体" w:hAnsi="宋体" w:eastAsia="宋体" w:cs="宋体"/>
          <w:spacing w:val="-1"/>
          <w:sz w:val="24"/>
          <w:szCs w:val="24"/>
        </w:rPr>
        <w:t>立的安全生产管理部门，配备安全专职副经理</w:t>
      </w:r>
      <w:r>
        <w:rPr>
          <w:rFonts w:ascii="宋体" w:hAnsi="宋体" w:eastAsia="宋体" w:cs="宋体"/>
          <w:spacing w:val="-2"/>
          <w:sz w:val="24"/>
          <w:szCs w:val="24"/>
        </w:rPr>
        <w:t>和专职安全生产管理人员，明确安全生产</w:t>
      </w:r>
    </w:p>
    <w:p w14:paraId="78941C9B">
      <w:pPr>
        <w:spacing w:line="392" w:lineRule="auto"/>
        <w:rPr>
          <w:rFonts w:ascii="宋体" w:hAnsi="宋体" w:eastAsia="宋体" w:cs="宋体"/>
          <w:sz w:val="18"/>
          <w:szCs w:val="18"/>
        </w:rPr>
        <w:sectPr>
          <w:headerReference r:id="rId81" w:type="default"/>
          <w:footerReference r:id="rId82" w:type="default"/>
          <w:pgSz w:w="11905" w:h="16840"/>
          <w:pgMar w:top="1182" w:right="1229" w:bottom="1171" w:left="1416" w:header="849" w:footer="937" w:gutter="0"/>
          <w:pgNumType w:fmt="decimal"/>
          <w:cols w:space="720" w:num="1"/>
        </w:sectPr>
      </w:pPr>
    </w:p>
    <w:p w14:paraId="1DCD1DD2">
      <w:pPr>
        <w:pStyle w:val="2"/>
        <w:spacing w:line="268" w:lineRule="auto"/>
      </w:pPr>
    </w:p>
    <w:p w14:paraId="57E0C177">
      <w:pPr>
        <w:spacing w:before="78" w:line="360" w:lineRule="auto"/>
        <w:ind w:left="13" w:right="183" w:hanging="4"/>
        <w:rPr>
          <w:rFonts w:ascii="宋体" w:hAnsi="宋体" w:eastAsia="宋体" w:cs="宋体"/>
          <w:sz w:val="24"/>
          <w:szCs w:val="24"/>
        </w:rPr>
      </w:pPr>
      <w:r>
        <w:rPr>
          <w:rFonts w:ascii="宋体" w:hAnsi="宋体" w:eastAsia="宋体" w:cs="宋体"/>
          <w:spacing w:val="-6"/>
          <w:sz w:val="24"/>
          <w:szCs w:val="24"/>
        </w:rPr>
        <w:t>第一责任人、直接责任人及其职责，</w:t>
      </w:r>
      <w:r>
        <w:rPr>
          <w:rFonts w:ascii="宋体" w:hAnsi="宋体" w:eastAsia="宋体" w:cs="宋体"/>
          <w:spacing w:val="49"/>
          <w:sz w:val="24"/>
          <w:szCs w:val="24"/>
        </w:rPr>
        <w:t xml:space="preserve"> </w:t>
      </w:r>
      <w:r>
        <w:rPr>
          <w:rFonts w:ascii="宋体" w:hAnsi="宋体" w:eastAsia="宋体" w:cs="宋体"/>
          <w:spacing w:val="-6"/>
          <w:sz w:val="24"/>
          <w:szCs w:val="24"/>
        </w:rPr>
        <w:t>如责任人和专职安全管理人员发生变动，必须立即</w:t>
      </w:r>
      <w:r>
        <w:rPr>
          <w:rFonts w:ascii="宋体" w:hAnsi="宋体" w:eastAsia="宋体" w:cs="宋体"/>
          <w:spacing w:val="-4"/>
          <w:sz w:val="24"/>
          <w:szCs w:val="24"/>
        </w:rPr>
        <w:t>书面通知监理人和发包人。</w:t>
      </w:r>
    </w:p>
    <w:p w14:paraId="72D4DE38">
      <w:pPr>
        <w:spacing w:before="1" w:line="218" w:lineRule="auto"/>
        <w:ind w:left="488"/>
        <w:rPr>
          <w:rFonts w:ascii="宋体" w:hAnsi="宋体" w:eastAsia="宋体" w:cs="宋体"/>
          <w:sz w:val="24"/>
          <w:szCs w:val="24"/>
        </w:rPr>
      </w:pPr>
      <w:r>
        <w:rPr>
          <w:rFonts w:ascii="宋体" w:hAnsi="宋体" w:eastAsia="宋体" w:cs="宋体"/>
          <w:spacing w:val="-4"/>
          <w:sz w:val="24"/>
          <w:szCs w:val="24"/>
        </w:rPr>
        <w:t>在本款补充第</w:t>
      </w:r>
      <w:r>
        <w:rPr>
          <w:rFonts w:ascii="宋体" w:hAnsi="宋体" w:eastAsia="宋体" w:cs="宋体"/>
          <w:spacing w:val="-36"/>
          <w:sz w:val="24"/>
          <w:szCs w:val="24"/>
        </w:rPr>
        <w:t xml:space="preserve"> </w:t>
      </w:r>
      <w:r>
        <w:rPr>
          <w:rFonts w:ascii="宋体" w:hAnsi="宋体" w:eastAsia="宋体" w:cs="宋体"/>
          <w:spacing w:val="-4"/>
          <w:sz w:val="24"/>
          <w:szCs w:val="24"/>
        </w:rPr>
        <w:t>9.2.12</w:t>
      </w:r>
      <w:r>
        <w:rPr>
          <w:rFonts w:ascii="宋体" w:hAnsi="宋体" w:eastAsia="宋体" w:cs="宋体"/>
          <w:spacing w:val="-46"/>
          <w:sz w:val="24"/>
          <w:szCs w:val="24"/>
        </w:rPr>
        <w:t xml:space="preserve"> </w:t>
      </w:r>
      <w:r>
        <w:rPr>
          <w:rFonts w:ascii="宋体" w:hAnsi="宋体" w:eastAsia="宋体" w:cs="宋体"/>
          <w:spacing w:val="-4"/>
          <w:sz w:val="24"/>
          <w:szCs w:val="24"/>
        </w:rPr>
        <w:t>项～第</w:t>
      </w:r>
      <w:r>
        <w:rPr>
          <w:rFonts w:ascii="宋体" w:hAnsi="宋体" w:eastAsia="宋体" w:cs="宋体"/>
          <w:spacing w:val="-50"/>
          <w:sz w:val="24"/>
          <w:szCs w:val="24"/>
        </w:rPr>
        <w:t xml:space="preserve"> </w:t>
      </w:r>
      <w:r>
        <w:rPr>
          <w:rFonts w:ascii="宋体" w:hAnsi="宋体" w:eastAsia="宋体" w:cs="宋体"/>
          <w:spacing w:val="-4"/>
          <w:sz w:val="24"/>
          <w:szCs w:val="24"/>
        </w:rPr>
        <w:t>9.2.17</w:t>
      </w:r>
      <w:r>
        <w:rPr>
          <w:rFonts w:ascii="宋体" w:hAnsi="宋体" w:eastAsia="宋体" w:cs="宋体"/>
          <w:spacing w:val="-47"/>
          <w:sz w:val="24"/>
          <w:szCs w:val="24"/>
        </w:rPr>
        <w:t xml:space="preserve"> </w:t>
      </w:r>
      <w:r>
        <w:rPr>
          <w:rFonts w:ascii="宋体" w:hAnsi="宋体" w:eastAsia="宋体" w:cs="宋体"/>
          <w:spacing w:val="-4"/>
          <w:sz w:val="24"/>
          <w:szCs w:val="24"/>
        </w:rPr>
        <w:t>项：</w:t>
      </w:r>
    </w:p>
    <w:p w14:paraId="7DA53E04">
      <w:pPr>
        <w:spacing w:before="182" w:line="220" w:lineRule="auto"/>
        <w:ind w:left="490"/>
        <w:rPr>
          <w:rFonts w:ascii="宋体" w:hAnsi="宋体" w:eastAsia="宋体" w:cs="宋体"/>
          <w:sz w:val="24"/>
          <w:szCs w:val="24"/>
        </w:rPr>
      </w:pPr>
      <w:r>
        <w:rPr>
          <w:rFonts w:ascii="宋体" w:hAnsi="宋体" w:eastAsia="宋体" w:cs="宋体"/>
          <w:spacing w:val="-2"/>
          <w:sz w:val="24"/>
          <w:szCs w:val="24"/>
        </w:rPr>
        <w:t>9.2.12</w:t>
      </w:r>
      <w:r>
        <w:rPr>
          <w:rFonts w:ascii="宋体" w:hAnsi="宋体" w:eastAsia="宋体" w:cs="宋体"/>
          <w:spacing w:val="-41"/>
          <w:sz w:val="24"/>
          <w:szCs w:val="24"/>
        </w:rPr>
        <w:t xml:space="preserve"> </w:t>
      </w:r>
      <w:r>
        <w:rPr>
          <w:rFonts w:ascii="宋体" w:hAnsi="宋体" w:eastAsia="宋体" w:cs="宋体"/>
          <w:spacing w:val="-2"/>
          <w:sz w:val="24"/>
          <w:szCs w:val="24"/>
        </w:rPr>
        <w:t>涉水及船舶安全管理</w:t>
      </w:r>
    </w:p>
    <w:p w14:paraId="61D3C241">
      <w:pPr>
        <w:spacing w:before="182" w:line="360" w:lineRule="auto"/>
        <w:ind w:left="10" w:right="183" w:firstLine="485"/>
        <w:rPr>
          <w:rFonts w:ascii="宋体" w:hAnsi="宋体" w:eastAsia="宋体" w:cs="宋体"/>
          <w:sz w:val="24"/>
          <w:szCs w:val="24"/>
        </w:rPr>
      </w:pPr>
      <w:r>
        <w:rPr>
          <w:rFonts w:ascii="宋体" w:hAnsi="宋体" w:eastAsia="宋体" w:cs="宋体"/>
          <w:spacing w:val="1"/>
          <w:sz w:val="24"/>
          <w:szCs w:val="24"/>
        </w:rPr>
        <w:t>（1）承包人应根据《中华人民共和国水上水下作业和活动通航安全管理规定》的</w:t>
      </w:r>
      <w:r>
        <w:rPr>
          <w:rFonts w:ascii="宋体" w:hAnsi="宋体" w:eastAsia="宋体" w:cs="宋体"/>
          <w:spacing w:val="-5"/>
          <w:sz w:val="24"/>
          <w:szCs w:val="24"/>
        </w:rPr>
        <w:t>规定及《中华人民共和国安全生产法》的要求， 建立健全涉水工程水上交通安全制度和</w:t>
      </w:r>
      <w:r>
        <w:rPr>
          <w:rFonts w:ascii="宋体" w:hAnsi="宋体" w:eastAsia="宋体" w:cs="宋体"/>
          <w:spacing w:val="-2"/>
          <w:sz w:val="24"/>
          <w:szCs w:val="24"/>
        </w:rPr>
        <w:t>管理体系，严格履行工程建设期水上交通安全有关职责。</w:t>
      </w:r>
    </w:p>
    <w:p w14:paraId="4C6293BB">
      <w:pPr>
        <w:spacing w:line="360" w:lineRule="auto"/>
        <w:ind w:left="10" w:right="183" w:firstLine="485"/>
        <w:rPr>
          <w:rFonts w:ascii="宋体" w:hAnsi="宋体" w:eastAsia="宋体" w:cs="宋体"/>
          <w:sz w:val="24"/>
          <w:szCs w:val="24"/>
        </w:rPr>
      </w:pPr>
      <w:r>
        <w:rPr>
          <w:rFonts w:ascii="宋体" w:hAnsi="宋体" w:eastAsia="宋体" w:cs="宋体"/>
          <w:spacing w:val="1"/>
          <w:sz w:val="24"/>
          <w:szCs w:val="24"/>
        </w:rPr>
        <w:t>（2）承包人应遵守属地政府和行业主管部门对作业船舶、作业噪音以及环境保护</w:t>
      </w:r>
      <w:r>
        <w:rPr>
          <w:rFonts w:ascii="宋体" w:hAnsi="宋体" w:eastAsia="宋体" w:cs="宋体"/>
          <w:spacing w:val="-2"/>
          <w:sz w:val="24"/>
          <w:szCs w:val="24"/>
        </w:rPr>
        <w:t>和安全生产文明施工等的管理规定，所有进入作业区域的船只必须满足航区要求，并按规定办理有关手续，因手续不全引起的一切责任均由承包人负责。有关要求包括但不限</w:t>
      </w:r>
      <w:r>
        <w:rPr>
          <w:rFonts w:ascii="宋体" w:hAnsi="宋体" w:eastAsia="宋体" w:cs="宋体"/>
          <w:spacing w:val="-17"/>
          <w:sz w:val="24"/>
          <w:szCs w:val="24"/>
        </w:rPr>
        <w:t>于：</w:t>
      </w:r>
    </w:p>
    <w:p w14:paraId="332E3573">
      <w:pPr>
        <w:spacing w:line="217" w:lineRule="auto"/>
        <w:jc w:val="right"/>
        <w:rPr>
          <w:rFonts w:ascii="宋体" w:hAnsi="宋体" w:eastAsia="宋体" w:cs="宋体"/>
          <w:sz w:val="24"/>
          <w:szCs w:val="24"/>
        </w:rPr>
      </w:pPr>
      <w:r>
        <w:rPr>
          <w:rFonts w:ascii="宋体" w:hAnsi="宋体" w:eastAsia="宋体" w:cs="宋体"/>
          <w:spacing w:val="-9"/>
          <w:sz w:val="24"/>
          <w:szCs w:val="24"/>
        </w:rPr>
        <w:t>①船舶必须持有效的船舶检验证书（包括但不限于船舶国籍证书、船舶登记证书等</w:t>
      </w:r>
      <w:r>
        <w:rPr>
          <w:rFonts w:ascii="宋体" w:hAnsi="宋体" w:eastAsia="宋体" w:cs="宋体"/>
          <w:spacing w:val="-15"/>
          <w:sz w:val="24"/>
          <w:szCs w:val="24"/>
        </w:rPr>
        <w:t>）；</w:t>
      </w:r>
    </w:p>
    <w:p w14:paraId="74B114D6">
      <w:pPr>
        <w:spacing w:before="185" w:line="360" w:lineRule="auto"/>
        <w:ind w:left="15" w:right="189" w:firstLine="472"/>
        <w:rPr>
          <w:rFonts w:ascii="宋体" w:hAnsi="宋体" w:eastAsia="宋体" w:cs="宋体"/>
          <w:sz w:val="24"/>
          <w:szCs w:val="24"/>
        </w:rPr>
      </w:pPr>
      <w:r>
        <w:rPr>
          <w:rFonts w:ascii="宋体" w:hAnsi="宋体" w:eastAsia="宋体" w:cs="宋体"/>
          <w:spacing w:val="-2"/>
          <w:sz w:val="24"/>
          <w:szCs w:val="24"/>
        </w:rPr>
        <w:t>②船舶配备的有关航行安全设施设备必须具有船舶检验部门签发的有效技术证书，</w:t>
      </w:r>
      <w:r>
        <w:rPr>
          <w:rFonts w:ascii="宋体" w:hAnsi="宋体" w:eastAsia="宋体" w:cs="宋体"/>
          <w:spacing w:val="-9"/>
          <w:sz w:val="24"/>
          <w:szCs w:val="24"/>
        </w:rPr>
        <w:t>并在有效期内；</w:t>
      </w:r>
    </w:p>
    <w:p w14:paraId="686DD475">
      <w:pPr>
        <w:spacing w:before="1" w:line="217" w:lineRule="auto"/>
        <w:ind w:left="487"/>
        <w:rPr>
          <w:rFonts w:ascii="宋体" w:hAnsi="宋体" w:eastAsia="宋体" w:cs="宋体"/>
          <w:sz w:val="24"/>
          <w:szCs w:val="24"/>
        </w:rPr>
      </w:pPr>
      <w:r>
        <w:rPr>
          <w:rFonts w:ascii="宋体" w:hAnsi="宋体" w:eastAsia="宋体" w:cs="宋体"/>
          <w:spacing w:val="-2"/>
          <w:sz w:val="24"/>
          <w:szCs w:val="24"/>
        </w:rPr>
        <w:t>③船舶应配备不低于船舶证书上要求的最低配员数量的</w:t>
      </w:r>
      <w:r>
        <w:rPr>
          <w:rFonts w:ascii="宋体" w:hAnsi="宋体" w:eastAsia="宋体" w:cs="宋体"/>
          <w:spacing w:val="-3"/>
          <w:sz w:val="24"/>
          <w:szCs w:val="24"/>
        </w:rPr>
        <w:t>合格船员；</w:t>
      </w:r>
    </w:p>
    <w:p w14:paraId="77B1E5D9">
      <w:pPr>
        <w:spacing w:before="185" w:line="217" w:lineRule="auto"/>
        <w:ind w:left="487"/>
        <w:rPr>
          <w:rFonts w:ascii="宋体" w:hAnsi="宋体" w:eastAsia="宋体" w:cs="宋体"/>
          <w:sz w:val="24"/>
          <w:szCs w:val="24"/>
        </w:rPr>
      </w:pPr>
      <w:r>
        <w:rPr>
          <w:rFonts w:ascii="宋体" w:hAnsi="宋体" w:eastAsia="宋体" w:cs="宋体"/>
          <w:spacing w:val="-4"/>
          <w:sz w:val="24"/>
          <w:szCs w:val="24"/>
        </w:rPr>
        <w:t>④交通船应具有载客证书或临时载客证书；</w:t>
      </w:r>
    </w:p>
    <w:p w14:paraId="3729398B">
      <w:pPr>
        <w:spacing w:before="186" w:line="217" w:lineRule="auto"/>
        <w:ind w:left="487"/>
        <w:rPr>
          <w:rFonts w:ascii="宋体" w:hAnsi="宋体" w:eastAsia="宋体" w:cs="宋体"/>
          <w:sz w:val="24"/>
          <w:szCs w:val="24"/>
        </w:rPr>
      </w:pPr>
      <w:r>
        <w:rPr>
          <w:rFonts w:ascii="宋体" w:hAnsi="宋体" w:eastAsia="宋体" w:cs="宋体"/>
          <w:spacing w:val="-3"/>
          <w:sz w:val="24"/>
          <w:szCs w:val="24"/>
        </w:rPr>
        <w:t>⑤所有船舶必须配备</w:t>
      </w:r>
      <w:r>
        <w:rPr>
          <w:rFonts w:ascii="宋体" w:hAnsi="宋体" w:eastAsia="宋体" w:cs="宋体"/>
          <w:spacing w:val="-59"/>
          <w:sz w:val="24"/>
          <w:szCs w:val="24"/>
        </w:rPr>
        <w:t xml:space="preserve"> </w:t>
      </w:r>
      <w:r>
        <w:rPr>
          <w:rFonts w:ascii="宋体" w:hAnsi="宋体" w:eastAsia="宋体" w:cs="宋体"/>
          <w:spacing w:val="-3"/>
          <w:sz w:val="24"/>
          <w:szCs w:val="24"/>
        </w:rPr>
        <w:t>AIS、VHF</w:t>
      </w:r>
      <w:r>
        <w:rPr>
          <w:rFonts w:ascii="宋体" w:hAnsi="宋体" w:eastAsia="宋体" w:cs="宋体"/>
          <w:spacing w:val="-49"/>
          <w:sz w:val="24"/>
          <w:szCs w:val="24"/>
        </w:rPr>
        <w:t xml:space="preserve"> </w:t>
      </w:r>
      <w:r>
        <w:rPr>
          <w:rFonts w:ascii="宋体" w:hAnsi="宋体" w:eastAsia="宋体" w:cs="宋体"/>
          <w:spacing w:val="-3"/>
          <w:sz w:val="24"/>
          <w:szCs w:val="24"/>
        </w:rPr>
        <w:t>等设备；</w:t>
      </w:r>
    </w:p>
    <w:p w14:paraId="26658F8A">
      <w:pPr>
        <w:spacing w:before="186" w:line="217" w:lineRule="auto"/>
        <w:ind w:left="487"/>
        <w:rPr>
          <w:rFonts w:ascii="宋体" w:hAnsi="宋体" w:eastAsia="宋体" w:cs="宋体"/>
          <w:sz w:val="24"/>
          <w:szCs w:val="24"/>
        </w:rPr>
      </w:pPr>
      <w:r>
        <w:rPr>
          <w:rFonts w:ascii="宋体" w:hAnsi="宋体" w:eastAsia="宋体" w:cs="宋体"/>
          <w:spacing w:val="-2"/>
          <w:sz w:val="24"/>
          <w:szCs w:val="24"/>
        </w:rPr>
        <w:t>⑥承包人应采取有效措施维护施工现场通航安全及现有航道的航行安全；</w:t>
      </w:r>
    </w:p>
    <w:p w14:paraId="3412865D">
      <w:pPr>
        <w:spacing w:before="186" w:line="360" w:lineRule="auto"/>
        <w:ind w:left="12" w:right="182" w:firstLine="475"/>
        <w:rPr>
          <w:rFonts w:ascii="宋体" w:hAnsi="宋体" w:eastAsia="宋体" w:cs="宋体"/>
          <w:sz w:val="24"/>
          <w:szCs w:val="24"/>
        </w:rPr>
      </w:pPr>
      <w:r>
        <w:rPr>
          <w:rFonts w:ascii="宋体" w:hAnsi="宋体" w:eastAsia="宋体" w:cs="宋体"/>
          <w:spacing w:val="5"/>
          <w:sz w:val="24"/>
          <w:szCs w:val="24"/>
        </w:rPr>
        <w:t>⑦为钢结构及大型预制构件运输而设置的临时航道的设计必须取得有关行业主管</w:t>
      </w:r>
      <w:r>
        <w:rPr>
          <w:rFonts w:ascii="宋体" w:hAnsi="宋体" w:eastAsia="宋体" w:cs="宋体"/>
          <w:spacing w:val="-3"/>
          <w:sz w:val="24"/>
          <w:szCs w:val="24"/>
        </w:rPr>
        <w:t>部门的批准，并在完善相关许可手续后，方可实施；</w:t>
      </w:r>
    </w:p>
    <w:p w14:paraId="4A32F116">
      <w:pPr>
        <w:spacing w:line="217" w:lineRule="auto"/>
        <w:ind w:left="487"/>
        <w:rPr>
          <w:rFonts w:ascii="宋体" w:hAnsi="宋体" w:eastAsia="宋体" w:cs="宋体"/>
          <w:sz w:val="24"/>
          <w:szCs w:val="24"/>
        </w:rPr>
      </w:pPr>
      <w:r>
        <w:rPr>
          <w:rFonts w:ascii="宋体" w:hAnsi="宋体" w:eastAsia="宋体" w:cs="宋体"/>
          <w:spacing w:val="-4"/>
          <w:sz w:val="24"/>
          <w:szCs w:val="24"/>
        </w:rPr>
        <w:t>⑧承包人须与船舶所有人签订安全协议；</w:t>
      </w:r>
    </w:p>
    <w:p w14:paraId="7C299368">
      <w:pPr>
        <w:spacing w:before="185" w:line="220" w:lineRule="auto"/>
        <w:ind w:left="489"/>
        <w:rPr>
          <w:rFonts w:ascii="宋体" w:hAnsi="宋体" w:eastAsia="宋体" w:cs="宋体"/>
          <w:sz w:val="24"/>
          <w:szCs w:val="24"/>
        </w:rPr>
      </w:pPr>
      <w:r>
        <w:rPr>
          <w:rFonts w:ascii="宋体" w:hAnsi="宋体" w:eastAsia="宋体" w:cs="宋体"/>
          <w:spacing w:val="-2"/>
          <w:sz w:val="24"/>
          <w:szCs w:val="24"/>
        </w:rPr>
        <w:t>承包人应承担因此产生的一切费用，并保障发包人免于承担相关责任。</w:t>
      </w:r>
    </w:p>
    <w:p w14:paraId="117FB3FD">
      <w:pPr>
        <w:spacing w:before="183" w:line="218" w:lineRule="auto"/>
        <w:ind w:left="490"/>
        <w:rPr>
          <w:rFonts w:ascii="宋体" w:hAnsi="宋体" w:eastAsia="宋体" w:cs="宋体"/>
          <w:sz w:val="24"/>
          <w:szCs w:val="24"/>
        </w:rPr>
      </w:pPr>
      <w:r>
        <w:rPr>
          <w:rFonts w:ascii="宋体" w:hAnsi="宋体" w:eastAsia="宋体" w:cs="宋体"/>
          <w:spacing w:val="-1"/>
          <w:sz w:val="24"/>
          <w:szCs w:val="24"/>
        </w:rPr>
        <w:t>9.2.13 施工安全风险评估</w:t>
      </w:r>
    </w:p>
    <w:p w14:paraId="7A67C56A">
      <w:pPr>
        <w:spacing w:before="184" w:line="360" w:lineRule="auto"/>
        <w:ind w:left="11" w:right="183" w:firstLine="484"/>
        <w:rPr>
          <w:rFonts w:ascii="宋体" w:hAnsi="宋体" w:eastAsia="宋体" w:cs="宋体"/>
          <w:sz w:val="24"/>
          <w:szCs w:val="24"/>
        </w:rPr>
      </w:pPr>
      <w:r>
        <w:rPr>
          <w:rFonts w:ascii="宋体" w:hAnsi="宋体" w:eastAsia="宋体" w:cs="宋体"/>
          <w:spacing w:val="1"/>
          <w:sz w:val="24"/>
          <w:szCs w:val="24"/>
        </w:rPr>
        <w:t>（1）承包人必须加强对重大危险源的管理，施工阶段风险源辨识</w:t>
      </w:r>
      <w:r>
        <w:rPr>
          <w:rFonts w:ascii="宋体" w:hAnsi="宋体" w:eastAsia="宋体" w:cs="宋体"/>
          <w:sz w:val="24"/>
          <w:szCs w:val="24"/>
        </w:rPr>
        <w:t>与评价依据《公</w:t>
      </w:r>
      <w:r>
        <w:rPr>
          <w:rFonts w:ascii="宋体" w:hAnsi="宋体" w:eastAsia="宋体" w:cs="宋体"/>
          <w:spacing w:val="-5"/>
          <w:sz w:val="24"/>
          <w:szCs w:val="24"/>
        </w:rPr>
        <w:t>路桥梁和隧道工程施工安全风险评估指南》（试行） 及《交通运输部关于发布高速公路</w:t>
      </w:r>
      <w:r>
        <w:rPr>
          <w:rFonts w:ascii="宋体" w:hAnsi="宋体" w:eastAsia="宋体" w:cs="宋体"/>
          <w:spacing w:val="-2"/>
          <w:sz w:val="24"/>
          <w:szCs w:val="24"/>
        </w:rPr>
        <w:t>路堑高边坡工程施工安全风险评估指南（试行）的通知》操作。承包人在工程开工前，必须进行重大危险源识别，建立危险源清单，对重大危险源建立管理方案和档案，过程</w:t>
      </w:r>
      <w:r>
        <w:rPr>
          <w:rFonts w:ascii="宋体" w:hAnsi="宋体" w:eastAsia="宋体" w:cs="宋体"/>
          <w:spacing w:val="-4"/>
          <w:sz w:val="24"/>
          <w:szCs w:val="24"/>
        </w:rPr>
        <w:t>中对危险源实行动态管理。</w:t>
      </w:r>
    </w:p>
    <w:p w14:paraId="226370AA">
      <w:pPr>
        <w:spacing w:before="1" w:line="361" w:lineRule="auto"/>
        <w:ind w:left="8" w:right="194" w:firstLine="487"/>
        <w:rPr>
          <w:rFonts w:ascii="宋体" w:hAnsi="宋体" w:eastAsia="宋体" w:cs="宋体"/>
          <w:sz w:val="24"/>
          <w:szCs w:val="24"/>
        </w:rPr>
      </w:pPr>
      <w:r>
        <w:rPr>
          <w:rFonts w:ascii="宋体" w:hAnsi="宋体" w:eastAsia="宋体" w:cs="宋体"/>
          <w:spacing w:val="1"/>
          <w:sz w:val="24"/>
          <w:szCs w:val="24"/>
        </w:rPr>
        <w:t>（2）承包人应严格按照交通运输部《关于开展公路桥梁和隧道工程施工安全风险</w:t>
      </w:r>
      <w:r>
        <w:rPr>
          <w:rFonts w:ascii="宋体" w:hAnsi="宋体" w:eastAsia="宋体" w:cs="宋体"/>
          <w:spacing w:val="-2"/>
          <w:sz w:val="24"/>
          <w:szCs w:val="24"/>
        </w:rPr>
        <w:t>评估试行工作的通知》及《交通运输部关于发布高速公路路堑高边坡工程施工安全风险</w:t>
      </w:r>
    </w:p>
    <w:p w14:paraId="7F53E807">
      <w:pPr>
        <w:spacing w:line="361" w:lineRule="auto"/>
        <w:rPr>
          <w:rFonts w:ascii="宋体" w:hAnsi="宋体" w:eastAsia="宋体" w:cs="宋体"/>
          <w:sz w:val="24"/>
          <w:szCs w:val="24"/>
        </w:rPr>
        <w:sectPr>
          <w:headerReference r:id="rId83" w:type="default"/>
          <w:footerReference r:id="rId84" w:type="default"/>
          <w:pgSz w:w="11905" w:h="16840"/>
          <w:pgMar w:top="1182" w:right="1232" w:bottom="1171" w:left="1416" w:header="849" w:footer="937" w:gutter="0"/>
          <w:pgNumType w:fmt="decimal"/>
          <w:cols w:space="720" w:num="1"/>
        </w:sectPr>
      </w:pPr>
    </w:p>
    <w:p w14:paraId="3C39834C">
      <w:pPr>
        <w:pStyle w:val="2"/>
        <w:spacing w:line="268" w:lineRule="auto"/>
      </w:pPr>
    </w:p>
    <w:p w14:paraId="5EB7B9CB">
      <w:pPr>
        <w:spacing w:before="78" w:line="360" w:lineRule="auto"/>
        <w:ind w:left="9" w:right="84" w:hanging="1"/>
        <w:jc w:val="both"/>
        <w:rPr>
          <w:rFonts w:ascii="宋体" w:hAnsi="宋体" w:eastAsia="宋体" w:cs="宋体"/>
          <w:sz w:val="24"/>
          <w:szCs w:val="24"/>
        </w:rPr>
      </w:pPr>
      <w:r>
        <w:rPr>
          <w:rFonts w:ascii="宋体" w:hAnsi="宋体" w:eastAsia="宋体" w:cs="宋体"/>
          <w:spacing w:val="-5"/>
          <w:sz w:val="24"/>
          <w:szCs w:val="24"/>
        </w:rPr>
        <w:t>评估指南（试行）的通知》的要求， 在施工期间开展安全风险评估工作，相关费用按照</w:t>
      </w:r>
      <w:r>
        <w:rPr>
          <w:rFonts w:ascii="宋体" w:hAnsi="宋体" w:eastAsia="宋体" w:cs="宋体"/>
          <w:spacing w:val="-2"/>
          <w:sz w:val="24"/>
          <w:szCs w:val="24"/>
        </w:rPr>
        <w:t>《广东省交通运输厅关于公路水运建设工程安全生产费用的管理办法》中安全生产费用使用范围的规定，公路桥梁和隧道工程、高速公路路堑高边坡施工安全风险评估工作费用在项目安全生产费用中列支，发包人不另行支付。</w:t>
      </w:r>
    </w:p>
    <w:p w14:paraId="237EE82B">
      <w:pPr>
        <w:spacing w:line="360" w:lineRule="auto"/>
        <w:ind w:left="9" w:right="85" w:firstLine="486"/>
        <w:jc w:val="both"/>
        <w:rPr>
          <w:rFonts w:ascii="宋体" w:hAnsi="宋体" w:eastAsia="宋体" w:cs="宋体"/>
          <w:sz w:val="24"/>
          <w:szCs w:val="24"/>
        </w:rPr>
      </w:pPr>
      <w:r>
        <w:rPr>
          <w:rFonts w:ascii="宋体" w:hAnsi="宋体" w:eastAsia="宋体" w:cs="宋体"/>
          <w:spacing w:val="1"/>
          <w:sz w:val="24"/>
          <w:szCs w:val="24"/>
        </w:rPr>
        <w:t>（3）根据《中华人民共和国水上水下作业和活动通航安全管理规定》的规定及按</w:t>
      </w:r>
      <w:r>
        <w:rPr>
          <w:rFonts w:ascii="宋体" w:hAnsi="宋体" w:eastAsia="宋体" w:cs="宋体"/>
          <w:spacing w:val="-2"/>
          <w:sz w:val="24"/>
          <w:szCs w:val="24"/>
        </w:rPr>
        <w:t>照中华人民共和国海事局《中华人民共和国海事局水上水下活动通航安全影响论证与评</w:t>
      </w:r>
      <w:r>
        <w:rPr>
          <w:rFonts w:ascii="宋体" w:hAnsi="宋体" w:eastAsia="宋体" w:cs="宋体"/>
          <w:spacing w:val="-5"/>
          <w:sz w:val="24"/>
          <w:szCs w:val="24"/>
        </w:rPr>
        <w:t>估管理办法》的规定， 在申请海事管理机构水上水下活动许可之前，开展涉水工程通航</w:t>
      </w:r>
      <w:r>
        <w:rPr>
          <w:rFonts w:ascii="宋体" w:hAnsi="宋体" w:eastAsia="宋体" w:cs="宋体"/>
          <w:spacing w:val="-3"/>
          <w:sz w:val="24"/>
          <w:szCs w:val="24"/>
        </w:rPr>
        <w:t>安全评估，并通过海事管理机构的审核。</w:t>
      </w:r>
    </w:p>
    <w:p w14:paraId="4AA1E8FA">
      <w:pPr>
        <w:spacing w:line="219" w:lineRule="auto"/>
        <w:ind w:left="490"/>
        <w:rPr>
          <w:rFonts w:ascii="宋体" w:hAnsi="宋体" w:eastAsia="宋体" w:cs="宋体"/>
          <w:sz w:val="24"/>
          <w:szCs w:val="24"/>
        </w:rPr>
      </w:pPr>
      <w:r>
        <w:rPr>
          <w:rFonts w:ascii="宋体" w:hAnsi="宋体" w:eastAsia="宋体" w:cs="宋体"/>
          <w:spacing w:val="-1"/>
          <w:sz w:val="24"/>
          <w:szCs w:val="24"/>
        </w:rPr>
        <w:t>9.2.14 施工作业人员的安全教育培训</w:t>
      </w:r>
    </w:p>
    <w:p w14:paraId="7903C8D4">
      <w:pPr>
        <w:spacing w:before="182" w:line="360" w:lineRule="auto"/>
        <w:ind w:left="8" w:right="85" w:firstLine="480"/>
        <w:rPr>
          <w:rFonts w:ascii="宋体" w:hAnsi="宋体" w:eastAsia="宋体" w:cs="宋体"/>
          <w:sz w:val="24"/>
          <w:szCs w:val="24"/>
        </w:rPr>
      </w:pPr>
      <w:r>
        <w:rPr>
          <w:rFonts w:ascii="宋体" w:hAnsi="宋体" w:eastAsia="宋体" w:cs="宋体"/>
          <w:spacing w:val="-2"/>
          <w:sz w:val="24"/>
          <w:szCs w:val="24"/>
        </w:rPr>
        <w:t>承包人应切实加强作业工人安全培训教育和安全技术交底。运用《公路施工安全视</w:t>
      </w:r>
      <w:r>
        <w:rPr>
          <w:rFonts w:ascii="宋体" w:hAnsi="宋体" w:eastAsia="宋体" w:cs="宋体"/>
          <w:spacing w:val="-6"/>
          <w:sz w:val="24"/>
          <w:szCs w:val="24"/>
        </w:rPr>
        <w:t>频教程》及配套口袋书、配套测试题集，</w:t>
      </w:r>
      <w:r>
        <w:rPr>
          <w:rFonts w:ascii="宋体" w:hAnsi="宋体" w:eastAsia="宋体" w:cs="宋体"/>
          <w:spacing w:val="54"/>
          <w:sz w:val="24"/>
          <w:szCs w:val="24"/>
        </w:rPr>
        <w:t xml:space="preserve"> </w:t>
      </w:r>
      <w:r>
        <w:rPr>
          <w:rFonts w:ascii="宋体" w:hAnsi="宋体" w:eastAsia="宋体" w:cs="宋体"/>
          <w:spacing w:val="-6"/>
          <w:sz w:val="24"/>
          <w:szCs w:val="24"/>
        </w:rPr>
        <w:t>建立工人学校或安全教育体验馆，开</w:t>
      </w:r>
      <w:r>
        <w:rPr>
          <w:rFonts w:ascii="宋体" w:hAnsi="宋体" w:eastAsia="宋体" w:cs="宋体"/>
          <w:spacing w:val="-7"/>
          <w:sz w:val="24"/>
          <w:szCs w:val="24"/>
        </w:rPr>
        <w:t>展岗前安</w:t>
      </w:r>
      <w:r>
        <w:rPr>
          <w:rFonts w:ascii="宋体" w:hAnsi="宋体" w:eastAsia="宋体" w:cs="宋体"/>
          <w:spacing w:val="-2"/>
          <w:sz w:val="24"/>
          <w:szCs w:val="24"/>
        </w:rPr>
        <w:t>全教育培训和经常性安全再教育，提高全员安全意识和安全技能。认真细致做好工人作业前安全技术交底，落实基层班组班前会制度，确保作业工人熟知作业的安全要求和班</w:t>
      </w:r>
      <w:r>
        <w:rPr>
          <w:rFonts w:ascii="宋体" w:hAnsi="宋体" w:eastAsia="宋体" w:cs="宋体"/>
          <w:spacing w:val="-5"/>
          <w:sz w:val="24"/>
          <w:szCs w:val="24"/>
        </w:rPr>
        <w:t>前危险预知内容。</w:t>
      </w:r>
    </w:p>
    <w:p w14:paraId="0FF18239">
      <w:pPr>
        <w:spacing w:line="220" w:lineRule="auto"/>
        <w:ind w:left="490"/>
        <w:rPr>
          <w:rFonts w:ascii="宋体" w:hAnsi="宋体" w:eastAsia="宋体" w:cs="宋体"/>
          <w:sz w:val="24"/>
          <w:szCs w:val="24"/>
        </w:rPr>
      </w:pPr>
      <w:r>
        <w:rPr>
          <w:rFonts w:ascii="宋体" w:hAnsi="宋体" w:eastAsia="宋体" w:cs="宋体"/>
          <w:spacing w:val="-2"/>
          <w:sz w:val="24"/>
          <w:szCs w:val="24"/>
        </w:rPr>
        <w:t>9.2.15</w:t>
      </w:r>
      <w:r>
        <w:rPr>
          <w:rFonts w:ascii="宋体" w:hAnsi="宋体" w:eastAsia="宋体" w:cs="宋体"/>
          <w:spacing w:val="-45"/>
          <w:sz w:val="24"/>
          <w:szCs w:val="24"/>
        </w:rPr>
        <w:t xml:space="preserve"> </w:t>
      </w:r>
      <w:r>
        <w:rPr>
          <w:rFonts w:ascii="宋体" w:hAnsi="宋体" w:eastAsia="宋体" w:cs="宋体"/>
          <w:spacing w:val="-2"/>
          <w:sz w:val="24"/>
          <w:szCs w:val="24"/>
        </w:rPr>
        <w:t>施工防护标准化</w:t>
      </w:r>
    </w:p>
    <w:p w14:paraId="1BFD70D3">
      <w:pPr>
        <w:spacing w:before="181" w:line="360" w:lineRule="auto"/>
        <w:ind w:left="10" w:right="85" w:firstLine="479"/>
        <w:rPr>
          <w:rFonts w:ascii="宋体" w:hAnsi="宋体" w:eastAsia="宋体" w:cs="宋体"/>
          <w:sz w:val="24"/>
          <w:szCs w:val="24"/>
        </w:rPr>
      </w:pPr>
      <w:r>
        <w:rPr>
          <w:rFonts w:ascii="宋体" w:hAnsi="宋体" w:eastAsia="宋体" w:cs="宋体"/>
          <w:spacing w:val="-2"/>
          <w:sz w:val="24"/>
          <w:szCs w:val="24"/>
        </w:rPr>
        <w:t>承包人应按照《公路工程施工安全防护设施技术指南》要求推进施工防护设施标准</w:t>
      </w:r>
      <w:r>
        <w:rPr>
          <w:rFonts w:ascii="宋体" w:hAnsi="宋体" w:eastAsia="宋体" w:cs="宋体"/>
          <w:spacing w:val="-6"/>
          <w:sz w:val="24"/>
          <w:szCs w:val="24"/>
        </w:rPr>
        <w:t>化管理，积极运用模块化、装配化、专业化的防护设施，</w:t>
      </w:r>
      <w:r>
        <w:rPr>
          <w:rFonts w:ascii="宋体" w:hAnsi="宋体" w:eastAsia="宋体" w:cs="宋体"/>
          <w:spacing w:val="51"/>
          <w:sz w:val="24"/>
          <w:szCs w:val="24"/>
        </w:rPr>
        <w:t xml:space="preserve"> </w:t>
      </w:r>
      <w:r>
        <w:rPr>
          <w:rFonts w:ascii="宋体" w:hAnsi="宋体" w:eastAsia="宋体" w:cs="宋体"/>
          <w:spacing w:val="-6"/>
          <w:sz w:val="24"/>
          <w:szCs w:val="24"/>
        </w:rPr>
        <w:t>着力提升防护设施的本</w:t>
      </w:r>
      <w:r>
        <w:rPr>
          <w:rFonts w:ascii="宋体" w:hAnsi="宋体" w:eastAsia="宋体" w:cs="宋体"/>
          <w:spacing w:val="-7"/>
          <w:sz w:val="24"/>
          <w:szCs w:val="24"/>
        </w:rPr>
        <w:t>质安全</w:t>
      </w:r>
      <w:r>
        <w:rPr>
          <w:rFonts w:ascii="宋体" w:hAnsi="宋体" w:eastAsia="宋体" w:cs="宋体"/>
          <w:spacing w:val="-6"/>
          <w:sz w:val="24"/>
          <w:szCs w:val="24"/>
        </w:rPr>
        <w:t>水平和使用效能，加强安全防护设施的验收、使用、维护等管理，</w:t>
      </w:r>
      <w:r>
        <w:rPr>
          <w:rFonts w:ascii="宋体" w:hAnsi="宋体" w:eastAsia="宋体" w:cs="宋体"/>
          <w:spacing w:val="52"/>
          <w:sz w:val="24"/>
          <w:szCs w:val="24"/>
        </w:rPr>
        <w:t xml:space="preserve"> </w:t>
      </w:r>
      <w:r>
        <w:rPr>
          <w:rFonts w:ascii="宋体" w:hAnsi="宋体" w:eastAsia="宋体" w:cs="宋体"/>
          <w:spacing w:val="-6"/>
          <w:sz w:val="24"/>
          <w:szCs w:val="24"/>
        </w:rPr>
        <w:t>提升现场施</w:t>
      </w:r>
      <w:r>
        <w:rPr>
          <w:rFonts w:ascii="宋体" w:hAnsi="宋体" w:eastAsia="宋体" w:cs="宋体"/>
          <w:spacing w:val="-7"/>
          <w:sz w:val="24"/>
          <w:szCs w:val="24"/>
        </w:rPr>
        <w:t>工安全防护保障能力。</w:t>
      </w:r>
    </w:p>
    <w:p w14:paraId="23598A0E">
      <w:pPr>
        <w:spacing w:before="1" w:line="219" w:lineRule="auto"/>
        <w:ind w:left="490"/>
        <w:rPr>
          <w:rFonts w:ascii="宋体" w:hAnsi="宋体" w:eastAsia="宋体" w:cs="宋体"/>
          <w:sz w:val="24"/>
          <w:szCs w:val="24"/>
        </w:rPr>
      </w:pPr>
      <w:r>
        <w:rPr>
          <w:rFonts w:ascii="宋体" w:hAnsi="宋体" w:eastAsia="宋体" w:cs="宋体"/>
          <w:spacing w:val="-2"/>
          <w:sz w:val="24"/>
          <w:szCs w:val="24"/>
        </w:rPr>
        <w:t>9.2.16</w:t>
      </w:r>
      <w:r>
        <w:rPr>
          <w:rFonts w:ascii="宋体" w:hAnsi="宋体" w:eastAsia="宋体" w:cs="宋体"/>
          <w:spacing w:val="-43"/>
          <w:sz w:val="24"/>
          <w:szCs w:val="24"/>
        </w:rPr>
        <w:t xml:space="preserve"> </w:t>
      </w:r>
      <w:r>
        <w:rPr>
          <w:rFonts w:ascii="宋体" w:hAnsi="宋体" w:eastAsia="宋体" w:cs="宋体"/>
          <w:spacing w:val="-2"/>
          <w:sz w:val="24"/>
          <w:szCs w:val="24"/>
        </w:rPr>
        <w:t>加强路堑边坡管理</w:t>
      </w:r>
    </w:p>
    <w:p w14:paraId="3A0C5067">
      <w:pPr>
        <w:spacing w:before="182" w:line="360" w:lineRule="auto"/>
        <w:ind w:left="10" w:right="85" w:firstLine="485"/>
        <w:rPr>
          <w:rFonts w:ascii="宋体" w:hAnsi="宋体" w:eastAsia="宋体" w:cs="宋体"/>
          <w:sz w:val="24"/>
          <w:szCs w:val="24"/>
        </w:rPr>
      </w:pPr>
      <w:r>
        <w:rPr>
          <w:rFonts w:ascii="宋体" w:hAnsi="宋体" w:eastAsia="宋体" w:cs="宋体"/>
          <w:spacing w:val="1"/>
          <w:sz w:val="24"/>
          <w:szCs w:val="24"/>
        </w:rPr>
        <w:t>（1）严格执行路堑边坡开工报告审查制度。对纳入项目重点管理的路堑边</w:t>
      </w:r>
      <w:r>
        <w:rPr>
          <w:rFonts w:ascii="宋体" w:hAnsi="宋体" w:eastAsia="宋体" w:cs="宋体"/>
          <w:sz w:val="24"/>
          <w:szCs w:val="24"/>
        </w:rPr>
        <w:t>坡，应</w:t>
      </w:r>
      <w:r>
        <w:rPr>
          <w:rFonts w:ascii="宋体" w:hAnsi="宋体" w:eastAsia="宋体" w:cs="宋体"/>
          <w:spacing w:val="-2"/>
          <w:sz w:val="24"/>
          <w:szCs w:val="24"/>
        </w:rPr>
        <w:t>严格执行开工报告审查制度，重点审查地质资料是否满足相关规范和设计要求、设计方</w:t>
      </w:r>
      <w:r>
        <w:rPr>
          <w:rFonts w:ascii="宋体" w:hAnsi="宋体" w:eastAsia="宋体" w:cs="宋体"/>
          <w:spacing w:val="-5"/>
          <w:sz w:val="24"/>
          <w:szCs w:val="24"/>
        </w:rPr>
        <w:t>案是否合理可行、施工准备工作（施工机械、材料、队伍等） 是否到位等。对具备开工</w:t>
      </w:r>
      <w:r>
        <w:rPr>
          <w:rFonts w:ascii="宋体" w:hAnsi="宋体" w:eastAsia="宋体" w:cs="宋体"/>
          <w:spacing w:val="-1"/>
          <w:sz w:val="24"/>
          <w:szCs w:val="24"/>
        </w:rPr>
        <w:t>条件的边坡，施工单位应上报开工报告，经监理</w:t>
      </w:r>
      <w:r>
        <w:rPr>
          <w:rFonts w:ascii="宋体" w:hAnsi="宋体" w:eastAsia="宋体" w:cs="宋体"/>
          <w:spacing w:val="-2"/>
          <w:sz w:val="24"/>
          <w:szCs w:val="24"/>
        </w:rPr>
        <w:t>单位审查同意后方可施工。</w:t>
      </w:r>
    </w:p>
    <w:p w14:paraId="1A146131">
      <w:pPr>
        <w:spacing w:line="360" w:lineRule="auto"/>
        <w:ind w:left="8" w:right="85" w:firstLine="487"/>
        <w:rPr>
          <w:rFonts w:ascii="宋体" w:hAnsi="宋体" w:eastAsia="宋体" w:cs="宋体"/>
          <w:sz w:val="24"/>
          <w:szCs w:val="24"/>
        </w:rPr>
      </w:pPr>
      <w:r>
        <w:rPr>
          <w:rFonts w:ascii="宋体" w:hAnsi="宋体" w:eastAsia="宋体" w:cs="宋体"/>
          <w:spacing w:val="1"/>
          <w:sz w:val="24"/>
          <w:szCs w:val="24"/>
        </w:rPr>
        <w:t>（2）强化施工技术交底与质量控制。边坡施工前必须开展各工序施工工艺与质量</w:t>
      </w:r>
      <w:r>
        <w:rPr>
          <w:rFonts w:ascii="宋体" w:hAnsi="宋体" w:eastAsia="宋体" w:cs="宋体"/>
          <w:spacing w:val="-6"/>
          <w:sz w:val="24"/>
          <w:szCs w:val="24"/>
        </w:rPr>
        <w:t>控制的技术交底；严格按照设计的坡形、坡率开挖边坡，</w:t>
      </w:r>
      <w:r>
        <w:rPr>
          <w:rFonts w:ascii="宋体" w:hAnsi="宋体" w:eastAsia="宋体" w:cs="宋体"/>
          <w:spacing w:val="52"/>
          <w:sz w:val="24"/>
          <w:szCs w:val="24"/>
        </w:rPr>
        <w:t xml:space="preserve"> </w:t>
      </w:r>
      <w:r>
        <w:rPr>
          <w:rFonts w:ascii="宋体" w:hAnsi="宋体" w:eastAsia="宋体" w:cs="宋体"/>
          <w:spacing w:val="-6"/>
          <w:sz w:val="24"/>
          <w:szCs w:val="24"/>
        </w:rPr>
        <w:t>杜绝坡面超挖或欠挖现象</w:t>
      </w:r>
      <w:r>
        <w:rPr>
          <w:rFonts w:ascii="宋体" w:hAnsi="宋体" w:eastAsia="宋体" w:cs="宋体"/>
          <w:spacing w:val="-7"/>
          <w:sz w:val="24"/>
          <w:szCs w:val="24"/>
        </w:rPr>
        <w:t>；严</w:t>
      </w:r>
      <w:r>
        <w:rPr>
          <w:rFonts w:ascii="宋体" w:hAnsi="宋体" w:eastAsia="宋体" w:cs="宋体"/>
          <w:spacing w:val="-2"/>
          <w:sz w:val="24"/>
          <w:szCs w:val="24"/>
        </w:rPr>
        <w:t>控锚杆、锚索等工程的压浆工艺，确保压浆质量和锚固力。</w:t>
      </w:r>
    </w:p>
    <w:p w14:paraId="54C40AFE">
      <w:pPr>
        <w:spacing w:before="2" w:line="361" w:lineRule="auto"/>
        <w:ind w:left="8" w:firstLine="487"/>
        <w:rPr>
          <w:rFonts w:ascii="宋体" w:hAnsi="宋体" w:eastAsia="宋体" w:cs="宋体"/>
          <w:sz w:val="24"/>
          <w:szCs w:val="24"/>
        </w:rPr>
      </w:pPr>
      <w:r>
        <w:rPr>
          <w:rFonts w:ascii="宋体" w:hAnsi="宋体" w:eastAsia="宋体" w:cs="宋体"/>
          <w:sz w:val="24"/>
          <w:szCs w:val="24"/>
        </w:rPr>
        <w:t>（3）实行边坡首件验收制。路堑边坡首件验收由项目监理</w:t>
      </w:r>
      <w:r>
        <w:rPr>
          <w:rFonts w:ascii="宋体" w:hAnsi="宋体" w:eastAsia="宋体" w:cs="宋体"/>
          <w:spacing w:val="-1"/>
          <w:sz w:val="24"/>
          <w:szCs w:val="24"/>
        </w:rPr>
        <w:t>单位组织，业主参与，</w:t>
      </w:r>
      <w:r>
        <w:rPr>
          <w:rFonts w:ascii="宋体" w:hAnsi="宋体" w:eastAsia="宋体" w:cs="宋体"/>
          <w:spacing w:val="-5"/>
          <w:sz w:val="24"/>
          <w:szCs w:val="24"/>
        </w:rPr>
        <w:t>选取先行施工、有代表性的土质和石质两类边坡</w:t>
      </w:r>
      <w:r>
        <w:rPr>
          <w:rFonts w:ascii="宋体" w:hAnsi="宋体" w:eastAsia="宋体" w:cs="宋体"/>
          <w:spacing w:val="-6"/>
          <w:sz w:val="24"/>
          <w:szCs w:val="24"/>
        </w:rPr>
        <w:t>分别进行首件验收，明确有关管理程序、</w:t>
      </w:r>
      <w:r>
        <w:rPr>
          <w:rFonts w:ascii="宋体" w:hAnsi="宋体" w:eastAsia="宋体" w:cs="宋体"/>
          <w:spacing w:val="-2"/>
          <w:sz w:val="24"/>
          <w:szCs w:val="24"/>
        </w:rPr>
        <w:t>质量标准、监管措施等，经验收合格后方可开展大面积施工。</w:t>
      </w:r>
    </w:p>
    <w:p w14:paraId="30971CB4">
      <w:pPr>
        <w:spacing w:line="361" w:lineRule="auto"/>
        <w:rPr>
          <w:rFonts w:ascii="宋体" w:hAnsi="宋体" w:eastAsia="宋体" w:cs="宋体"/>
          <w:sz w:val="24"/>
          <w:szCs w:val="24"/>
        </w:rPr>
        <w:sectPr>
          <w:footerReference r:id="rId85" w:type="default"/>
          <w:pgSz w:w="11905" w:h="16840"/>
          <w:pgMar w:top="1182" w:right="1331" w:bottom="1171" w:left="1416" w:header="849" w:footer="937" w:gutter="0"/>
          <w:pgNumType w:fmt="decimal"/>
          <w:cols w:space="720" w:num="1"/>
        </w:sectPr>
      </w:pPr>
    </w:p>
    <w:p w14:paraId="7438B483">
      <w:pPr>
        <w:pStyle w:val="2"/>
        <w:spacing w:line="268" w:lineRule="auto"/>
      </w:pPr>
    </w:p>
    <w:p w14:paraId="781B7C87">
      <w:pPr>
        <w:spacing w:before="78" w:line="360" w:lineRule="auto"/>
        <w:ind w:left="11" w:right="241" w:firstLine="484"/>
        <w:rPr>
          <w:rFonts w:ascii="宋体" w:hAnsi="宋体" w:eastAsia="宋体" w:cs="宋体"/>
          <w:sz w:val="24"/>
          <w:szCs w:val="24"/>
        </w:rPr>
      </w:pPr>
      <w:r>
        <w:rPr>
          <w:rFonts w:ascii="宋体" w:hAnsi="宋体" w:eastAsia="宋体" w:cs="宋体"/>
          <w:spacing w:val="1"/>
          <w:sz w:val="24"/>
          <w:szCs w:val="24"/>
        </w:rPr>
        <w:t>（4）加强边坡施工过程管理及其他具体要求按《广东省交通运输厅关于切实加强</w:t>
      </w:r>
      <w:r>
        <w:rPr>
          <w:rFonts w:ascii="宋体" w:hAnsi="宋体" w:eastAsia="宋体" w:cs="宋体"/>
          <w:spacing w:val="-3"/>
          <w:sz w:val="24"/>
          <w:szCs w:val="24"/>
        </w:rPr>
        <w:t>我省高速公路路堑边坡管理的通知》执行。</w:t>
      </w:r>
    </w:p>
    <w:p w14:paraId="60B968B7">
      <w:pPr>
        <w:spacing w:before="2" w:line="359" w:lineRule="auto"/>
        <w:ind w:left="13" w:right="229" w:firstLine="477"/>
        <w:rPr>
          <w:rFonts w:ascii="宋体" w:hAnsi="宋体" w:eastAsia="宋体" w:cs="宋体"/>
          <w:sz w:val="24"/>
          <w:szCs w:val="24"/>
        </w:rPr>
      </w:pPr>
      <w:r>
        <w:rPr>
          <w:rFonts w:ascii="宋体" w:hAnsi="宋体" w:eastAsia="宋体" w:cs="宋体"/>
          <w:spacing w:val="-3"/>
          <w:sz w:val="24"/>
          <w:szCs w:val="24"/>
        </w:rPr>
        <w:t>9.2.17</w:t>
      </w:r>
      <w:r>
        <w:rPr>
          <w:rFonts w:ascii="宋体" w:hAnsi="宋体" w:eastAsia="宋体" w:cs="宋体"/>
          <w:spacing w:val="-50"/>
          <w:sz w:val="24"/>
          <w:szCs w:val="24"/>
        </w:rPr>
        <w:t xml:space="preserve"> </w:t>
      </w:r>
      <w:r>
        <w:rPr>
          <w:rFonts w:ascii="宋体" w:hAnsi="宋体" w:eastAsia="宋体" w:cs="宋体"/>
          <w:spacing w:val="-3"/>
          <w:sz w:val="24"/>
          <w:szCs w:val="24"/>
        </w:rPr>
        <w:t>承包人应建立项目部“管、监”分离体系，在职能</w:t>
      </w:r>
      <w:r>
        <w:rPr>
          <w:rFonts w:ascii="宋体" w:hAnsi="宋体" w:eastAsia="宋体" w:cs="宋体"/>
          <w:spacing w:val="-4"/>
          <w:sz w:val="24"/>
          <w:szCs w:val="24"/>
        </w:rPr>
        <w:t>分工上实现“管、监”分</w:t>
      </w:r>
      <w:r>
        <w:rPr>
          <w:rFonts w:ascii="宋体" w:hAnsi="宋体" w:eastAsia="宋体" w:cs="宋体"/>
          <w:spacing w:val="-3"/>
          <w:sz w:val="24"/>
          <w:szCs w:val="24"/>
        </w:rPr>
        <w:t>离，在管理目标上实现“管、监”融合。</w:t>
      </w:r>
    </w:p>
    <w:p w14:paraId="4E85851B">
      <w:pPr>
        <w:spacing w:line="360" w:lineRule="auto"/>
        <w:ind w:left="9" w:right="164" w:firstLine="483"/>
        <w:rPr>
          <w:rFonts w:ascii="宋体" w:hAnsi="宋体" w:eastAsia="宋体" w:cs="宋体"/>
          <w:sz w:val="24"/>
          <w:szCs w:val="24"/>
        </w:rPr>
      </w:pPr>
      <w:r>
        <w:rPr>
          <w:rFonts w:ascii="宋体" w:hAnsi="宋体" w:eastAsia="宋体" w:cs="宋体"/>
          <w:spacing w:val="-6"/>
          <w:sz w:val="24"/>
          <w:szCs w:val="24"/>
        </w:rPr>
        <w:t>一是明确“管”的职能：将项目的生产组织、技术保</w:t>
      </w:r>
      <w:r>
        <w:rPr>
          <w:rFonts w:ascii="宋体" w:hAnsi="宋体" w:eastAsia="宋体" w:cs="宋体"/>
          <w:spacing w:val="-7"/>
          <w:sz w:val="24"/>
          <w:szCs w:val="24"/>
        </w:rPr>
        <w:t>障及资源配置明确为管理职责，</w:t>
      </w:r>
      <w:r>
        <w:rPr>
          <w:rFonts w:ascii="宋体" w:hAnsi="宋体" w:eastAsia="宋体" w:cs="宋体"/>
          <w:spacing w:val="-2"/>
          <w:sz w:val="24"/>
          <w:szCs w:val="24"/>
        </w:rPr>
        <w:t>通过组织、协调、控制、整改，按标准施工，确保</w:t>
      </w:r>
      <w:r>
        <w:rPr>
          <w:rFonts w:ascii="宋体" w:hAnsi="宋体" w:eastAsia="宋体" w:cs="宋体"/>
          <w:spacing w:val="-3"/>
          <w:sz w:val="24"/>
          <w:szCs w:val="24"/>
        </w:rPr>
        <w:t>施工质量安全；</w:t>
      </w:r>
    </w:p>
    <w:p w14:paraId="20F3E27F">
      <w:pPr>
        <w:spacing w:before="2" w:line="359" w:lineRule="auto"/>
        <w:ind w:left="9" w:right="217" w:firstLine="483"/>
        <w:rPr>
          <w:rFonts w:ascii="宋体" w:hAnsi="宋体" w:eastAsia="宋体" w:cs="宋体"/>
          <w:sz w:val="24"/>
          <w:szCs w:val="24"/>
        </w:rPr>
      </w:pPr>
      <w:r>
        <w:rPr>
          <w:rFonts w:ascii="宋体" w:hAnsi="宋体" w:eastAsia="宋体" w:cs="宋体"/>
          <w:spacing w:val="-1"/>
          <w:sz w:val="24"/>
          <w:szCs w:val="24"/>
        </w:rPr>
        <w:t>二是明确“监”的职能：将质量监督和安全监督明确</w:t>
      </w:r>
      <w:r>
        <w:rPr>
          <w:rFonts w:ascii="宋体" w:hAnsi="宋体" w:eastAsia="宋体" w:cs="宋体"/>
          <w:spacing w:val="-2"/>
          <w:sz w:val="24"/>
          <w:szCs w:val="24"/>
        </w:rPr>
        <w:t>为监督职责，依据法律法规、</w:t>
      </w:r>
      <w:r>
        <w:rPr>
          <w:rFonts w:ascii="宋体" w:hAnsi="宋体" w:eastAsia="宋体" w:cs="宋体"/>
          <w:spacing w:val="-1"/>
          <w:sz w:val="24"/>
          <w:szCs w:val="24"/>
        </w:rPr>
        <w:t>相关标准等对管理行为和施工质量安全进行检查、督导</w:t>
      </w:r>
      <w:r>
        <w:rPr>
          <w:rFonts w:ascii="宋体" w:hAnsi="宋体" w:eastAsia="宋体" w:cs="宋体"/>
          <w:spacing w:val="-2"/>
          <w:sz w:val="24"/>
          <w:szCs w:val="24"/>
        </w:rPr>
        <w:t>，发现问题及时纠偏。</w:t>
      </w:r>
    </w:p>
    <w:p w14:paraId="0983D1A0">
      <w:pPr>
        <w:spacing w:line="220" w:lineRule="auto"/>
        <w:ind w:left="490"/>
        <w:rPr>
          <w:rFonts w:ascii="宋体" w:hAnsi="宋体" w:eastAsia="宋体" w:cs="宋体"/>
          <w:sz w:val="24"/>
          <w:szCs w:val="24"/>
        </w:rPr>
      </w:pPr>
      <w:r>
        <w:rPr>
          <w:rFonts w:ascii="宋体" w:hAnsi="宋体" w:eastAsia="宋体" w:cs="宋体"/>
          <w:spacing w:val="-1"/>
          <w:sz w:val="24"/>
          <w:szCs w:val="24"/>
        </w:rPr>
        <w:t>9.4 环境保护</w:t>
      </w:r>
    </w:p>
    <w:p w14:paraId="7AF59485">
      <w:pPr>
        <w:spacing w:before="181" w:line="220" w:lineRule="auto"/>
        <w:ind w:left="489"/>
        <w:rPr>
          <w:rFonts w:ascii="宋体" w:hAnsi="宋体" w:eastAsia="宋体" w:cs="宋体"/>
          <w:sz w:val="24"/>
          <w:szCs w:val="24"/>
        </w:rPr>
      </w:pPr>
      <w:r>
        <w:rPr>
          <w:rFonts w:ascii="宋体" w:hAnsi="宋体" w:eastAsia="宋体" w:cs="宋体"/>
          <w:spacing w:val="-5"/>
          <w:sz w:val="24"/>
          <w:szCs w:val="24"/>
        </w:rPr>
        <w:t>第</w:t>
      </w:r>
      <w:r>
        <w:rPr>
          <w:rFonts w:ascii="宋体" w:hAnsi="宋体" w:eastAsia="宋体" w:cs="宋体"/>
          <w:spacing w:val="-50"/>
          <w:sz w:val="24"/>
          <w:szCs w:val="24"/>
        </w:rPr>
        <w:t xml:space="preserve"> </w:t>
      </w:r>
      <w:r>
        <w:rPr>
          <w:rFonts w:ascii="宋体" w:hAnsi="宋体" w:eastAsia="宋体" w:cs="宋体"/>
          <w:spacing w:val="-5"/>
          <w:sz w:val="24"/>
          <w:szCs w:val="24"/>
        </w:rPr>
        <w:t>9.4.7（1）目补充：</w:t>
      </w:r>
    </w:p>
    <w:p w14:paraId="535E9ABD">
      <w:pPr>
        <w:spacing w:before="182" w:line="360" w:lineRule="auto"/>
        <w:ind w:left="9" w:right="230" w:firstLine="479"/>
        <w:jc w:val="both"/>
        <w:rPr>
          <w:rFonts w:ascii="宋体" w:hAnsi="宋体" w:eastAsia="宋体" w:cs="宋体"/>
          <w:sz w:val="24"/>
          <w:szCs w:val="24"/>
        </w:rPr>
      </w:pPr>
      <w:r>
        <w:rPr>
          <w:rFonts w:ascii="宋体" w:hAnsi="宋体" w:eastAsia="宋体" w:cs="宋体"/>
          <w:spacing w:val="-2"/>
          <w:sz w:val="24"/>
          <w:szCs w:val="24"/>
        </w:rPr>
        <w:t>施工噪声和施工时间应满足国家及地方环境保护法律法规的规定和要求，不得影响周边单位和居民正常的生产生活。施工单位应使用经环保主管部门信息编码登记且符合</w:t>
      </w:r>
      <w:r>
        <w:rPr>
          <w:rFonts w:ascii="宋体" w:hAnsi="宋体" w:eastAsia="宋体" w:cs="宋体"/>
          <w:spacing w:val="-4"/>
          <w:sz w:val="24"/>
          <w:szCs w:val="24"/>
        </w:rPr>
        <w:t>排放标准的非道路移动机械。</w:t>
      </w:r>
    </w:p>
    <w:p w14:paraId="32E1809A">
      <w:pPr>
        <w:spacing w:line="219" w:lineRule="auto"/>
        <w:ind w:left="489"/>
        <w:rPr>
          <w:rFonts w:ascii="宋体" w:hAnsi="宋体" w:eastAsia="宋体" w:cs="宋体"/>
          <w:sz w:val="24"/>
          <w:szCs w:val="24"/>
        </w:rPr>
      </w:pPr>
      <w:r>
        <w:rPr>
          <w:rFonts w:ascii="宋体" w:hAnsi="宋体" w:eastAsia="宋体" w:cs="宋体"/>
          <w:spacing w:val="-5"/>
          <w:sz w:val="24"/>
          <w:szCs w:val="24"/>
        </w:rPr>
        <w:t>第</w:t>
      </w:r>
      <w:r>
        <w:rPr>
          <w:rFonts w:ascii="宋体" w:hAnsi="宋体" w:eastAsia="宋体" w:cs="宋体"/>
          <w:spacing w:val="-50"/>
          <w:sz w:val="24"/>
          <w:szCs w:val="24"/>
        </w:rPr>
        <w:t xml:space="preserve"> </w:t>
      </w:r>
      <w:r>
        <w:rPr>
          <w:rFonts w:ascii="宋体" w:hAnsi="宋体" w:eastAsia="宋体" w:cs="宋体"/>
          <w:spacing w:val="-5"/>
          <w:sz w:val="24"/>
          <w:szCs w:val="24"/>
        </w:rPr>
        <w:t>9.4.7（2）目补充：</w:t>
      </w:r>
    </w:p>
    <w:p w14:paraId="57FB6401">
      <w:pPr>
        <w:spacing w:before="183" w:line="360" w:lineRule="auto"/>
        <w:ind w:left="9" w:right="230" w:firstLine="485"/>
        <w:rPr>
          <w:rFonts w:ascii="宋体" w:hAnsi="宋体" w:eastAsia="宋体" w:cs="宋体"/>
          <w:sz w:val="24"/>
          <w:szCs w:val="24"/>
        </w:rPr>
      </w:pPr>
      <w:r>
        <w:rPr>
          <w:rFonts w:ascii="宋体" w:hAnsi="宋体" w:eastAsia="宋体" w:cs="宋体"/>
          <w:spacing w:val="-5"/>
          <w:sz w:val="24"/>
          <w:szCs w:val="24"/>
        </w:rPr>
        <w:t>e.隧道出渣、钻孔灌注桩施工时排出的泥浆等施工废弃物要妥善处理， 弃置形式及</w:t>
      </w:r>
      <w:r>
        <w:rPr>
          <w:rFonts w:ascii="宋体" w:hAnsi="宋体" w:eastAsia="宋体" w:cs="宋体"/>
          <w:spacing w:val="-1"/>
          <w:sz w:val="24"/>
          <w:szCs w:val="24"/>
        </w:rPr>
        <w:t>地点须经相关主管部门的批准，严禁向海洋、河流、荒</w:t>
      </w:r>
      <w:r>
        <w:rPr>
          <w:rFonts w:ascii="宋体" w:hAnsi="宋体" w:eastAsia="宋体" w:cs="宋体"/>
          <w:spacing w:val="-2"/>
          <w:sz w:val="24"/>
          <w:szCs w:val="24"/>
        </w:rPr>
        <w:t>地或市政管道等排放。</w:t>
      </w:r>
    </w:p>
    <w:p w14:paraId="26970185">
      <w:pPr>
        <w:spacing w:line="360" w:lineRule="auto"/>
        <w:ind w:left="9" w:right="230" w:firstLine="483"/>
        <w:rPr>
          <w:rFonts w:ascii="宋体" w:hAnsi="宋体" w:eastAsia="宋体" w:cs="宋体"/>
          <w:sz w:val="24"/>
          <w:szCs w:val="24"/>
        </w:rPr>
      </w:pPr>
      <w:r>
        <w:rPr>
          <w:rFonts w:ascii="宋体" w:hAnsi="宋体" w:eastAsia="宋体" w:cs="宋体"/>
          <w:spacing w:val="-2"/>
          <w:sz w:val="24"/>
          <w:szCs w:val="24"/>
        </w:rPr>
        <w:t>f.承包人必须依照《广东省交通运输厅关于加强公路水运建设项目施工现场扬</w:t>
      </w:r>
      <w:r>
        <w:rPr>
          <w:rFonts w:ascii="宋体" w:hAnsi="宋体" w:eastAsia="宋体" w:cs="宋体"/>
          <w:spacing w:val="-3"/>
          <w:sz w:val="24"/>
          <w:szCs w:val="24"/>
        </w:rPr>
        <w:t>尘管</w:t>
      </w:r>
      <w:r>
        <w:rPr>
          <w:rFonts w:ascii="宋体" w:hAnsi="宋体" w:eastAsia="宋体" w:cs="宋体"/>
          <w:spacing w:val="-5"/>
          <w:sz w:val="24"/>
          <w:szCs w:val="24"/>
        </w:rPr>
        <w:t>理的通知》， 加强施工现场管理，防止工程周边扬尘污染，运输车辆经冲洗干净后方可</w:t>
      </w:r>
      <w:r>
        <w:rPr>
          <w:rFonts w:ascii="宋体" w:hAnsi="宋体" w:eastAsia="宋体" w:cs="宋体"/>
          <w:spacing w:val="-6"/>
          <w:sz w:val="24"/>
          <w:szCs w:val="24"/>
        </w:rPr>
        <w:t>驶出建设工地。</w:t>
      </w:r>
    </w:p>
    <w:p w14:paraId="05679273">
      <w:pPr>
        <w:spacing w:before="3" w:line="359" w:lineRule="auto"/>
        <w:ind w:left="10" w:firstLine="482"/>
        <w:rPr>
          <w:rFonts w:ascii="宋体" w:hAnsi="宋体" w:eastAsia="宋体" w:cs="宋体"/>
          <w:sz w:val="24"/>
          <w:szCs w:val="24"/>
        </w:rPr>
      </w:pPr>
      <w:r>
        <w:rPr>
          <w:rFonts w:ascii="宋体" w:hAnsi="宋体" w:eastAsia="宋体" w:cs="宋体"/>
          <w:spacing w:val="-2"/>
          <w:sz w:val="24"/>
          <w:szCs w:val="24"/>
        </w:rPr>
        <w:t>g.承包人应严格执行《广东省重污染天气交通建设工程施工扬尘控制应急工作方案》</w:t>
      </w:r>
      <w:r>
        <w:rPr>
          <w:rFonts w:ascii="宋体" w:hAnsi="宋体" w:eastAsia="宋体" w:cs="宋体"/>
          <w:sz w:val="24"/>
          <w:szCs w:val="24"/>
        </w:rPr>
        <w:t>有关规定，城市区域内交通建设工程要切实做到“六个</w:t>
      </w:r>
      <w:r>
        <w:rPr>
          <w:rFonts w:ascii="宋体" w:hAnsi="宋体" w:eastAsia="宋体" w:cs="宋体"/>
          <w:spacing w:val="-30"/>
          <w:sz w:val="24"/>
          <w:szCs w:val="24"/>
        </w:rPr>
        <w:t xml:space="preserve"> </w:t>
      </w:r>
      <w:r>
        <w:rPr>
          <w:rFonts w:ascii="宋体" w:hAnsi="宋体" w:eastAsia="宋体" w:cs="宋体"/>
          <w:sz w:val="24"/>
          <w:szCs w:val="24"/>
        </w:rPr>
        <w:t>100%”：施工现场</w:t>
      </w:r>
      <w:r>
        <w:rPr>
          <w:rFonts w:ascii="宋体" w:hAnsi="宋体" w:eastAsia="宋体" w:cs="宋体"/>
          <w:spacing w:val="-31"/>
          <w:sz w:val="24"/>
          <w:szCs w:val="24"/>
        </w:rPr>
        <w:t xml:space="preserve"> </w:t>
      </w:r>
      <w:r>
        <w:rPr>
          <w:rFonts w:ascii="宋体" w:hAnsi="宋体" w:eastAsia="宋体" w:cs="宋体"/>
          <w:sz w:val="24"/>
          <w:szCs w:val="24"/>
        </w:rPr>
        <w:t>100%围蔽，</w:t>
      </w:r>
    </w:p>
    <w:p w14:paraId="61356AA6">
      <w:pPr>
        <w:spacing w:line="360" w:lineRule="auto"/>
        <w:ind w:left="10" w:right="230" w:firstLine="1"/>
        <w:rPr>
          <w:rFonts w:ascii="宋体" w:hAnsi="宋体" w:eastAsia="宋体" w:cs="宋体"/>
          <w:sz w:val="24"/>
          <w:szCs w:val="24"/>
        </w:rPr>
      </w:pPr>
      <w:r>
        <w:rPr>
          <w:rFonts w:ascii="宋体" w:hAnsi="宋体" w:eastAsia="宋体" w:cs="宋体"/>
          <w:spacing w:val="-4"/>
          <w:sz w:val="24"/>
          <w:szCs w:val="24"/>
        </w:rPr>
        <w:t>工地砂土</w:t>
      </w:r>
      <w:r>
        <w:rPr>
          <w:rFonts w:ascii="宋体" w:hAnsi="宋体" w:eastAsia="宋体" w:cs="宋体"/>
          <w:spacing w:val="-23"/>
          <w:sz w:val="24"/>
          <w:szCs w:val="24"/>
        </w:rPr>
        <w:t xml:space="preserve"> </w:t>
      </w:r>
      <w:r>
        <w:rPr>
          <w:rFonts w:ascii="宋体" w:hAnsi="宋体" w:eastAsia="宋体" w:cs="宋体"/>
          <w:spacing w:val="-4"/>
          <w:sz w:val="24"/>
          <w:szCs w:val="24"/>
        </w:rPr>
        <w:t>100%覆盖，工地路面</w:t>
      </w:r>
      <w:r>
        <w:rPr>
          <w:rFonts w:ascii="宋体" w:hAnsi="宋体" w:eastAsia="宋体" w:cs="宋体"/>
          <w:spacing w:val="-33"/>
          <w:sz w:val="24"/>
          <w:szCs w:val="24"/>
        </w:rPr>
        <w:t xml:space="preserve"> </w:t>
      </w:r>
      <w:r>
        <w:rPr>
          <w:rFonts w:ascii="宋体" w:hAnsi="宋体" w:eastAsia="宋体" w:cs="宋体"/>
          <w:spacing w:val="-4"/>
          <w:sz w:val="24"/>
          <w:szCs w:val="24"/>
        </w:rPr>
        <w:t>100%硬地化，拆除工程</w:t>
      </w:r>
      <w:r>
        <w:rPr>
          <w:rFonts w:ascii="宋体" w:hAnsi="宋体" w:eastAsia="宋体" w:cs="宋体"/>
          <w:spacing w:val="-33"/>
          <w:sz w:val="24"/>
          <w:szCs w:val="24"/>
        </w:rPr>
        <w:t xml:space="preserve"> </w:t>
      </w:r>
      <w:r>
        <w:rPr>
          <w:rFonts w:ascii="宋体" w:hAnsi="宋体" w:eastAsia="宋体" w:cs="宋体"/>
          <w:spacing w:val="-4"/>
          <w:sz w:val="24"/>
          <w:szCs w:val="24"/>
        </w:rPr>
        <w:t>100%洒水压尘，出工地车辆</w:t>
      </w:r>
      <w:r>
        <w:rPr>
          <w:rFonts w:ascii="宋体" w:hAnsi="宋体" w:eastAsia="宋体" w:cs="宋体"/>
          <w:spacing w:val="-33"/>
          <w:sz w:val="24"/>
          <w:szCs w:val="24"/>
        </w:rPr>
        <w:t xml:space="preserve"> </w:t>
      </w:r>
      <w:r>
        <w:rPr>
          <w:rFonts w:ascii="宋体" w:hAnsi="宋体" w:eastAsia="宋体" w:cs="宋体"/>
          <w:spacing w:val="-4"/>
          <w:sz w:val="24"/>
          <w:szCs w:val="24"/>
        </w:rPr>
        <w:t>100%</w:t>
      </w:r>
      <w:r>
        <w:rPr>
          <w:rFonts w:ascii="宋体" w:hAnsi="宋体" w:eastAsia="宋体" w:cs="宋体"/>
          <w:spacing w:val="-3"/>
          <w:sz w:val="24"/>
          <w:szCs w:val="24"/>
        </w:rPr>
        <w:t>冲净车轮车身，暂不开发的场地</w:t>
      </w:r>
      <w:r>
        <w:rPr>
          <w:rFonts w:ascii="宋体" w:hAnsi="宋体" w:eastAsia="宋体" w:cs="宋体"/>
          <w:spacing w:val="-31"/>
          <w:sz w:val="24"/>
          <w:szCs w:val="24"/>
        </w:rPr>
        <w:t xml:space="preserve"> </w:t>
      </w:r>
      <w:r>
        <w:rPr>
          <w:rFonts w:ascii="宋体" w:hAnsi="宋体" w:eastAsia="宋体" w:cs="宋体"/>
          <w:spacing w:val="-3"/>
          <w:sz w:val="24"/>
          <w:szCs w:val="24"/>
        </w:rPr>
        <w:t>100%绿化。</w:t>
      </w:r>
    </w:p>
    <w:p w14:paraId="743B8D15">
      <w:pPr>
        <w:spacing w:line="219" w:lineRule="auto"/>
        <w:ind w:left="489"/>
        <w:rPr>
          <w:rFonts w:ascii="宋体" w:hAnsi="宋体" w:eastAsia="宋体" w:cs="宋体"/>
          <w:sz w:val="24"/>
          <w:szCs w:val="24"/>
        </w:rPr>
      </w:pPr>
      <w:r>
        <w:rPr>
          <w:rFonts w:ascii="宋体" w:hAnsi="宋体" w:eastAsia="宋体" w:cs="宋体"/>
          <w:spacing w:val="-5"/>
          <w:sz w:val="24"/>
          <w:szCs w:val="24"/>
        </w:rPr>
        <w:t>第 9.4.10</w:t>
      </w:r>
      <w:r>
        <w:rPr>
          <w:rFonts w:ascii="宋体" w:hAnsi="宋体" w:eastAsia="宋体" w:cs="宋体"/>
          <w:spacing w:val="13"/>
          <w:sz w:val="24"/>
          <w:szCs w:val="24"/>
        </w:rPr>
        <w:t xml:space="preserve"> </w:t>
      </w:r>
      <w:r>
        <w:rPr>
          <w:rFonts w:ascii="宋体" w:hAnsi="宋体" w:eastAsia="宋体" w:cs="宋体"/>
          <w:spacing w:val="-5"/>
          <w:sz w:val="24"/>
          <w:szCs w:val="24"/>
        </w:rPr>
        <w:t>项末补充：</w:t>
      </w:r>
    </w:p>
    <w:p w14:paraId="4270D983">
      <w:pPr>
        <w:spacing w:before="183" w:line="360" w:lineRule="auto"/>
        <w:ind w:left="7" w:right="191" w:firstLine="481"/>
        <w:jc w:val="both"/>
        <w:rPr>
          <w:rFonts w:ascii="宋体" w:hAnsi="宋体" w:eastAsia="宋体" w:cs="宋体"/>
          <w:sz w:val="24"/>
          <w:szCs w:val="24"/>
        </w:rPr>
      </w:pPr>
      <w:r>
        <w:rPr>
          <w:rFonts w:ascii="宋体" w:hAnsi="宋体" w:eastAsia="宋体" w:cs="宋体"/>
          <w:spacing w:val="-1"/>
          <w:sz w:val="24"/>
          <w:szCs w:val="24"/>
        </w:rPr>
        <w:t>根据广东省国土资源厅关于印发《非农建设占用水田耕作层剥离再利用工作指引》的通知的要求，本项目按照《耕作层土壤剥</w:t>
      </w:r>
      <w:r>
        <w:rPr>
          <w:rFonts w:ascii="宋体" w:hAnsi="宋体" w:eastAsia="宋体" w:cs="宋体"/>
          <w:spacing w:val="-2"/>
          <w:sz w:val="24"/>
          <w:szCs w:val="24"/>
        </w:rPr>
        <w:t>离利用技术规范》对占用水田耕作层进行剥</w:t>
      </w:r>
      <w:r>
        <w:rPr>
          <w:rFonts w:ascii="宋体" w:hAnsi="宋体" w:eastAsia="宋体" w:cs="宋体"/>
          <w:spacing w:val="-6"/>
          <w:sz w:val="24"/>
          <w:szCs w:val="24"/>
        </w:rPr>
        <w:t>离再利用，承包人应积极配合。发包人将根据相关政策及地方政府制定的实施方案，</w:t>
      </w:r>
      <w:r>
        <w:rPr>
          <w:rFonts w:ascii="宋体" w:hAnsi="宋体" w:eastAsia="宋体" w:cs="宋体"/>
          <w:spacing w:val="51"/>
          <w:sz w:val="24"/>
          <w:szCs w:val="24"/>
        </w:rPr>
        <w:t xml:space="preserve"> </w:t>
      </w:r>
      <w:r>
        <w:rPr>
          <w:rFonts w:ascii="宋体" w:hAnsi="宋体" w:eastAsia="宋体" w:cs="宋体"/>
          <w:spacing w:val="-6"/>
          <w:sz w:val="24"/>
          <w:szCs w:val="24"/>
        </w:rPr>
        <w:t>推</w:t>
      </w:r>
      <w:r>
        <w:rPr>
          <w:rFonts w:ascii="宋体" w:hAnsi="宋体" w:eastAsia="宋体" w:cs="宋体"/>
          <w:spacing w:val="-1"/>
          <w:sz w:val="24"/>
          <w:szCs w:val="24"/>
        </w:rPr>
        <w:t>进本项目占用水田耕作层剥离工作，相关费用已包</w:t>
      </w:r>
      <w:r>
        <w:rPr>
          <w:rFonts w:ascii="宋体" w:hAnsi="宋体" w:eastAsia="宋体" w:cs="宋体"/>
          <w:spacing w:val="-2"/>
          <w:sz w:val="24"/>
          <w:szCs w:val="24"/>
        </w:rPr>
        <w:t>含在清理现场费用中。</w:t>
      </w:r>
    </w:p>
    <w:p w14:paraId="17D30E71">
      <w:pPr>
        <w:spacing w:line="220" w:lineRule="auto"/>
        <w:ind w:left="488"/>
        <w:rPr>
          <w:rFonts w:ascii="宋体" w:hAnsi="宋体" w:eastAsia="宋体" w:cs="宋体"/>
          <w:sz w:val="24"/>
          <w:szCs w:val="24"/>
        </w:rPr>
      </w:pPr>
      <w:r>
        <w:rPr>
          <w:rFonts w:ascii="宋体" w:hAnsi="宋体" w:eastAsia="宋体" w:cs="宋体"/>
          <w:spacing w:val="-4"/>
          <w:sz w:val="24"/>
          <w:szCs w:val="24"/>
        </w:rPr>
        <w:t>在</w:t>
      </w:r>
      <w:r>
        <w:rPr>
          <w:rFonts w:ascii="宋体" w:hAnsi="宋体" w:eastAsia="宋体" w:cs="宋体"/>
          <w:spacing w:val="-33"/>
          <w:sz w:val="24"/>
          <w:szCs w:val="24"/>
        </w:rPr>
        <w:t xml:space="preserve"> </w:t>
      </w:r>
      <w:r>
        <w:rPr>
          <w:rFonts w:ascii="宋体" w:hAnsi="宋体" w:eastAsia="宋体" w:cs="宋体"/>
          <w:spacing w:val="-4"/>
          <w:sz w:val="24"/>
          <w:szCs w:val="24"/>
        </w:rPr>
        <w:t>9.4</w:t>
      </w:r>
      <w:r>
        <w:rPr>
          <w:rFonts w:ascii="宋体" w:hAnsi="宋体" w:eastAsia="宋体" w:cs="宋体"/>
          <w:spacing w:val="-49"/>
          <w:sz w:val="24"/>
          <w:szCs w:val="24"/>
        </w:rPr>
        <w:t xml:space="preserve"> </w:t>
      </w:r>
      <w:r>
        <w:rPr>
          <w:rFonts w:ascii="宋体" w:hAnsi="宋体" w:eastAsia="宋体" w:cs="宋体"/>
          <w:spacing w:val="-4"/>
          <w:sz w:val="24"/>
          <w:szCs w:val="24"/>
        </w:rPr>
        <w:t>款下增加</w:t>
      </w:r>
      <w:r>
        <w:rPr>
          <w:rFonts w:ascii="宋体" w:hAnsi="宋体" w:eastAsia="宋体" w:cs="宋体"/>
          <w:spacing w:val="-50"/>
          <w:sz w:val="24"/>
          <w:szCs w:val="24"/>
        </w:rPr>
        <w:t xml:space="preserve"> </w:t>
      </w:r>
      <w:r>
        <w:rPr>
          <w:rFonts w:ascii="宋体" w:hAnsi="宋体" w:eastAsia="宋体" w:cs="宋体"/>
          <w:spacing w:val="-4"/>
          <w:sz w:val="24"/>
          <w:szCs w:val="24"/>
        </w:rPr>
        <w:t>9.4.12～9.4.17</w:t>
      </w:r>
      <w:r>
        <w:rPr>
          <w:rFonts w:ascii="宋体" w:hAnsi="宋体" w:eastAsia="宋体" w:cs="宋体"/>
          <w:spacing w:val="-47"/>
          <w:sz w:val="24"/>
          <w:szCs w:val="24"/>
        </w:rPr>
        <w:t xml:space="preserve"> </w:t>
      </w:r>
      <w:r>
        <w:rPr>
          <w:rFonts w:ascii="宋体" w:hAnsi="宋体" w:eastAsia="宋体" w:cs="宋体"/>
          <w:spacing w:val="-4"/>
          <w:sz w:val="24"/>
          <w:szCs w:val="24"/>
        </w:rPr>
        <w:t>项：</w:t>
      </w:r>
    </w:p>
    <w:p w14:paraId="2360AD81">
      <w:pPr>
        <w:spacing w:before="181" w:line="220" w:lineRule="auto"/>
        <w:ind w:left="490"/>
        <w:rPr>
          <w:rFonts w:ascii="宋体" w:hAnsi="宋体" w:eastAsia="宋体" w:cs="宋体"/>
          <w:sz w:val="24"/>
          <w:szCs w:val="24"/>
        </w:rPr>
      </w:pPr>
      <w:r>
        <w:rPr>
          <w:rFonts w:ascii="宋体" w:hAnsi="宋体" w:eastAsia="宋体" w:cs="宋体"/>
          <w:spacing w:val="-1"/>
          <w:sz w:val="24"/>
          <w:szCs w:val="24"/>
        </w:rPr>
        <w:t>9.4.12 承包人应落实环境保护及水土保持的责任人，严格按</w:t>
      </w:r>
      <w:r>
        <w:rPr>
          <w:rFonts w:ascii="宋体" w:hAnsi="宋体" w:eastAsia="宋体" w:cs="宋体"/>
          <w:spacing w:val="-2"/>
          <w:sz w:val="24"/>
          <w:szCs w:val="24"/>
        </w:rPr>
        <w:t>照《广东省水利厅 广</w:t>
      </w:r>
    </w:p>
    <w:p w14:paraId="476DFB66">
      <w:pPr>
        <w:spacing w:line="220" w:lineRule="auto"/>
        <w:rPr>
          <w:rFonts w:ascii="宋体" w:hAnsi="宋体" w:eastAsia="宋体" w:cs="宋体"/>
          <w:sz w:val="24"/>
          <w:szCs w:val="24"/>
        </w:rPr>
        <w:sectPr>
          <w:headerReference r:id="rId86" w:type="default"/>
          <w:footerReference r:id="rId87" w:type="default"/>
          <w:pgSz w:w="11905" w:h="16840"/>
          <w:pgMar w:top="1182" w:right="1185" w:bottom="1171" w:left="1416" w:header="849" w:footer="937" w:gutter="0"/>
          <w:pgNumType w:fmt="decimal"/>
          <w:cols w:space="720" w:num="1"/>
        </w:sectPr>
      </w:pPr>
    </w:p>
    <w:p w14:paraId="32C72A5F">
      <w:pPr>
        <w:pStyle w:val="2"/>
        <w:spacing w:line="268" w:lineRule="auto"/>
      </w:pPr>
    </w:p>
    <w:p w14:paraId="64ADA1C1">
      <w:pPr>
        <w:spacing w:before="78" w:line="360" w:lineRule="auto"/>
        <w:ind w:left="8" w:right="85" w:firstLine="9"/>
        <w:jc w:val="both"/>
        <w:rPr>
          <w:rFonts w:ascii="宋体" w:hAnsi="宋体" w:eastAsia="宋体" w:cs="宋体"/>
          <w:sz w:val="24"/>
          <w:szCs w:val="24"/>
        </w:rPr>
      </w:pPr>
      <w:r>
        <w:rPr>
          <w:rFonts w:ascii="宋体" w:hAnsi="宋体" w:eastAsia="宋体" w:cs="宋体"/>
          <w:spacing w:val="-2"/>
          <w:sz w:val="24"/>
          <w:szCs w:val="24"/>
        </w:rPr>
        <w:t>东省交通运输厅关于进一步加强交通建设项目水土保持工作的通知》的要求开展水土保</w:t>
      </w:r>
      <w:r>
        <w:rPr>
          <w:rFonts w:ascii="宋体" w:hAnsi="宋体" w:eastAsia="宋体" w:cs="宋体"/>
          <w:spacing w:val="-5"/>
          <w:sz w:val="24"/>
          <w:szCs w:val="24"/>
        </w:rPr>
        <w:t>持工作。自觉接受监理人的环保及水土保持教育， 落实实施施工场地符合相关环保要求</w:t>
      </w:r>
      <w:r>
        <w:rPr>
          <w:rFonts w:ascii="宋体" w:hAnsi="宋体" w:eastAsia="宋体" w:cs="宋体"/>
          <w:spacing w:val="-2"/>
          <w:sz w:val="24"/>
          <w:szCs w:val="24"/>
        </w:rPr>
        <w:t>布设；施工组织设计应按“水土保持方案报告书”有关要求制定施工中的水保措施，认真做好项目实施过程及工程结束后的水土保持的防御措施，做好有关水土保持的资料的</w:t>
      </w:r>
      <w:r>
        <w:rPr>
          <w:rFonts w:ascii="宋体" w:hAnsi="宋体" w:eastAsia="宋体" w:cs="宋体"/>
          <w:spacing w:val="-1"/>
          <w:sz w:val="24"/>
          <w:szCs w:val="24"/>
        </w:rPr>
        <w:t>记录。各类废弃物统一收集处理，施工临时弃渣堆放</w:t>
      </w:r>
      <w:r>
        <w:rPr>
          <w:rFonts w:ascii="宋体" w:hAnsi="宋体" w:eastAsia="宋体" w:cs="宋体"/>
          <w:spacing w:val="-2"/>
          <w:sz w:val="24"/>
          <w:szCs w:val="24"/>
        </w:rPr>
        <w:t>应做好水土保持措施。</w:t>
      </w:r>
    </w:p>
    <w:p w14:paraId="0F2CAF52">
      <w:pPr>
        <w:spacing w:line="360" w:lineRule="auto"/>
        <w:ind w:left="6" w:right="71" w:firstLine="483"/>
        <w:rPr>
          <w:rFonts w:ascii="宋体" w:hAnsi="宋体" w:eastAsia="宋体" w:cs="宋体"/>
          <w:sz w:val="24"/>
          <w:szCs w:val="24"/>
        </w:rPr>
      </w:pPr>
      <w:r>
        <w:rPr>
          <w:rFonts w:ascii="宋体" w:hAnsi="宋体" w:eastAsia="宋体" w:cs="宋体"/>
          <w:spacing w:val="1"/>
          <w:sz w:val="24"/>
          <w:szCs w:val="24"/>
        </w:rPr>
        <w:t>9.4.13 承包人依法取得砍伐许可后方可按照砍伐许可的面积、株数、树种进行砍</w:t>
      </w:r>
      <w:r>
        <w:rPr>
          <w:rFonts w:ascii="宋体" w:hAnsi="宋体" w:eastAsia="宋体" w:cs="宋体"/>
          <w:spacing w:val="-1"/>
          <w:sz w:val="24"/>
          <w:szCs w:val="24"/>
        </w:rPr>
        <w:t>伐，并注意保护野生动植物；施工结束后，对施</w:t>
      </w:r>
      <w:r>
        <w:rPr>
          <w:rFonts w:ascii="宋体" w:hAnsi="宋体" w:eastAsia="宋体" w:cs="宋体"/>
          <w:spacing w:val="-2"/>
          <w:sz w:val="24"/>
          <w:szCs w:val="24"/>
        </w:rPr>
        <w:t>工期占用的施工便道、料场、拌和场及</w:t>
      </w:r>
      <w:r>
        <w:rPr>
          <w:rFonts w:ascii="宋体" w:hAnsi="宋体" w:eastAsia="宋体" w:cs="宋体"/>
          <w:spacing w:val="-1"/>
          <w:sz w:val="24"/>
          <w:szCs w:val="24"/>
        </w:rPr>
        <w:t>施工场地等临时用地，按“破坏一处，恢复一处”的原则，进行全面恢复。</w:t>
      </w:r>
      <w:r>
        <w:rPr>
          <w:rFonts w:ascii="宋体" w:hAnsi="宋体" w:eastAsia="宋体" w:cs="宋体"/>
          <w:spacing w:val="-2"/>
          <w:sz w:val="24"/>
          <w:szCs w:val="24"/>
        </w:rPr>
        <w:t>施工便道、</w:t>
      </w:r>
      <w:r>
        <w:rPr>
          <w:rFonts w:ascii="宋体" w:hAnsi="宋体" w:eastAsia="宋体" w:cs="宋体"/>
          <w:spacing w:val="-6"/>
          <w:sz w:val="24"/>
          <w:szCs w:val="24"/>
        </w:rPr>
        <w:t>各种料场、预制场等的临时占地应充分利用荒地、废弃地、低覆盖草地和裸地，</w:t>
      </w:r>
      <w:r>
        <w:rPr>
          <w:rFonts w:ascii="宋体" w:hAnsi="宋体" w:eastAsia="宋体" w:cs="宋体"/>
          <w:spacing w:val="55"/>
          <w:sz w:val="24"/>
          <w:szCs w:val="24"/>
        </w:rPr>
        <w:t xml:space="preserve"> </w:t>
      </w:r>
      <w:r>
        <w:rPr>
          <w:rFonts w:ascii="宋体" w:hAnsi="宋体" w:eastAsia="宋体" w:cs="宋体"/>
          <w:spacing w:val="-7"/>
          <w:sz w:val="24"/>
          <w:szCs w:val="24"/>
        </w:rPr>
        <w:t>不应占</w:t>
      </w:r>
      <w:r>
        <w:rPr>
          <w:rFonts w:ascii="宋体" w:hAnsi="宋体" w:eastAsia="宋体" w:cs="宋体"/>
          <w:spacing w:val="-2"/>
          <w:sz w:val="24"/>
          <w:szCs w:val="24"/>
        </w:rPr>
        <w:t>压高覆盖草地、林地、基本农田，并采取有效措施防止污染。</w:t>
      </w:r>
    </w:p>
    <w:p w14:paraId="5CAD3D84">
      <w:pPr>
        <w:spacing w:line="360" w:lineRule="auto"/>
        <w:ind w:left="9" w:firstLine="480"/>
        <w:rPr>
          <w:rFonts w:ascii="宋体" w:hAnsi="宋体" w:eastAsia="宋体" w:cs="宋体"/>
          <w:sz w:val="24"/>
          <w:szCs w:val="24"/>
        </w:rPr>
      </w:pPr>
      <w:r>
        <w:rPr>
          <w:rFonts w:ascii="宋体" w:hAnsi="宋体" w:eastAsia="宋体" w:cs="宋体"/>
          <w:spacing w:val="1"/>
          <w:sz w:val="24"/>
          <w:szCs w:val="24"/>
        </w:rPr>
        <w:t>9.4.14 承包人必须采取有效预防措施，防止雨水对施工场所占有的土地、临时用</w:t>
      </w:r>
      <w:r>
        <w:rPr>
          <w:rFonts w:ascii="宋体" w:hAnsi="宋体" w:eastAsia="宋体" w:cs="宋体"/>
          <w:sz w:val="24"/>
          <w:szCs w:val="24"/>
        </w:rPr>
        <w:t>地、路基土石方、取弃土场等冲刷而造成对河流、水道、灌溉渠、排水系统产生淤积、</w:t>
      </w:r>
      <w:r>
        <w:rPr>
          <w:rFonts w:ascii="宋体" w:hAnsi="宋体" w:eastAsia="宋体" w:cs="宋体"/>
          <w:spacing w:val="-2"/>
          <w:sz w:val="24"/>
          <w:szCs w:val="24"/>
        </w:rPr>
        <w:t>堵塞，对农田造成污染、淹没。同时也应采取措施防止在施工过程中因材料运输、混合</w:t>
      </w:r>
      <w:r>
        <w:rPr>
          <w:rFonts w:ascii="宋体" w:hAnsi="宋体" w:eastAsia="宋体" w:cs="宋体"/>
          <w:spacing w:val="-5"/>
          <w:sz w:val="24"/>
          <w:szCs w:val="24"/>
        </w:rPr>
        <w:t>料拌和、现场施工而对项目沿线的建筑、既有</w:t>
      </w:r>
      <w:r>
        <w:rPr>
          <w:rFonts w:ascii="宋体" w:hAnsi="宋体" w:eastAsia="宋体" w:cs="宋体"/>
          <w:spacing w:val="-6"/>
          <w:sz w:val="24"/>
          <w:szCs w:val="24"/>
        </w:rPr>
        <w:t>道路、农田、林地、河流、水道、灌溉渠、</w:t>
      </w:r>
      <w:r>
        <w:rPr>
          <w:rFonts w:ascii="宋体" w:hAnsi="宋体" w:eastAsia="宋体" w:cs="宋体"/>
          <w:spacing w:val="-2"/>
          <w:sz w:val="24"/>
          <w:szCs w:val="24"/>
        </w:rPr>
        <w:t>排水系统等产生破坏，从而造成索赔、施工停工或工程质量隐患。如承包人未采取有效措施，由此产生的一切损失由承包人自行负责。</w:t>
      </w:r>
    </w:p>
    <w:p w14:paraId="2530A177">
      <w:pPr>
        <w:spacing w:line="360" w:lineRule="auto"/>
        <w:ind w:left="9" w:right="85" w:firstLine="480"/>
        <w:rPr>
          <w:rFonts w:ascii="宋体" w:hAnsi="宋体" w:eastAsia="宋体" w:cs="宋体"/>
          <w:sz w:val="24"/>
          <w:szCs w:val="24"/>
        </w:rPr>
      </w:pPr>
      <w:r>
        <w:rPr>
          <w:rFonts w:ascii="宋体" w:hAnsi="宋体" w:eastAsia="宋体" w:cs="宋体"/>
          <w:spacing w:val="1"/>
          <w:sz w:val="24"/>
          <w:szCs w:val="24"/>
        </w:rPr>
        <w:t>9.4.15 除合同有另外规定外，以上工作均视为承包人已经在合同报价中计入其影</w:t>
      </w:r>
      <w:r>
        <w:rPr>
          <w:rFonts w:ascii="宋体" w:hAnsi="宋体" w:eastAsia="宋体" w:cs="宋体"/>
          <w:spacing w:val="-2"/>
          <w:sz w:val="24"/>
          <w:szCs w:val="24"/>
        </w:rPr>
        <w:t>响而可能发生的一切费用，对承包人采取的一切措施，发包人和监理人有权监督，如果承包人未能对上述事项采取各种必要的措施而导致或发生与此有关的违约金、索赔、损失赔偿、诉讼费用以及其他一切责任均由承包人负责。</w:t>
      </w:r>
    </w:p>
    <w:p w14:paraId="38B5B75E">
      <w:pPr>
        <w:spacing w:line="360" w:lineRule="auto"/>
        <w:ind w:left="10" w:right="85" w:firstLine="480"/>
        <w:rPr>
          <w:rFonts w:ascii="宋体" w:hAnsi="宋体" w:eastAsia="宋体" w:cs="宋体"/>
          <w:sz w:val="24"/>
          <w:szCs w:val="24"/>
        </w:rPr>
      </w:pPr>
      <w:r>
        <w:rPr>
          <w:rFonts w:ascii="宋体" w:hAnsi="宋体" w:eastAsia="宋体" w:cs="宋体"/>
          <w:spacing w:val="-3"/>
          <w:sz w:val="24"/>
          <w:szCs w:val="24"/>
        </w:rPr>
        <w:t>9.4.16</w:t>
      </w:r>
      <w:r>
        <w:rPr>
          <w:rFonts w:ascii="宋体" w:hAnsi="宋体" w:eastAsia="宋体" w:cs="宋体"/>
          <w:spacing w:val="-51"/>
          <w:sz w:val="24"/>
          <w:szCs w:val="24"/>
        </w:rPr>
        <w:t xml:space="preserve"> </w:t>
      </w:r>
      <w:r>
        <w:rPr>
          <w:rFonts w:ascii="宋体" w:hAnsi="宋体" w:eastAsia="宋体" w:cs="宋体"/>
          <w:spacing w:val="-3"/>
          <w:sz w:val="24"/>
          <w:szCs w:val="24"/>
        </w:rPr>
        <w:t>承包人应严格执行《广东省公路工程施工标准化</w:t>
      </w:r>
      <w:r>
        <w:rPr>
          <w:rFonts w:ascii="宋体" w:hAnsi="宋体" w:eastAsia="宋体" w:cs="宋体"/>
          <w:spacing w:val="-4"/>
          <w:sz w:val="24"/>
          <w:szCs w:val="24"/>
        </w:rPr>
        <w:t>指南》关于环境保护的相关</w:t>
      </w:r>
      <w:r>
        <w:rPr>
          <w:rFonts w:ascii="宋体" w:hAnsi="宋体" w:eastAsia="宋体" w:cs="宋体"/>
          <w:spacing w:val="-11"/>
          <w:sz w:val="24"/>
          <w:szCs w:val="24"/>
        </w:rPr>
        <w:t>要求。</w:t>
      </w:r>
    </w:p>
    <w:p w14:paraId="6F00A550">
      <w:pPr>
        <w:spacing w:line="218" w:lineRule="auto"/>
        <w:ind w:left="490"/>
        <w:rPr>
          <w:rFonts w:ascii="宋体" w:hAnsi="宋体" w:eastAsia="宋体" w:cs="宋体"/>
          <w:sz w:val="24"/>
          <w:szCs w:val="24"/>
        </w:rPr>
      </w:pPr>
      <w:r>
        <w:rPr>
          <w:rFonts w:ascii="宋体" w:hAnsi="宋体" w:eastAsia="宋体" w:cs="宋体"/>
          <w:spacing w:val="-1"/>
          <w:sz w:val="24"/>
          <w:szCs w:val="24"/>
        </w:rPr>
        <w:t>9.4.17 文明环保施工价款</w:t>
      </w:r>
    </w:p>
    <w:p w14:paraId="18BA398B">
      <w:pPr>
        <w:spacing w:before="184" w:line="360" w:lineRule="auto"/>
        <w:ind w:left="10" w:right="85" w:firstLine="481"/>
        <w:jc w:val="both"/>
        <w:rPr>
          <w:rFonts w:ascii="宋体" w:hAnsi="宋体" w:eastAsia="宋体" w:cs="宋体"/>
          <w:sz w:val="24"/>
          <w:szCs w:val="24"/>
        </w:rPr>
      </w:pPr>
      <w:r>
        <w:rPr>
          <w:rFonts w:ascii="宋体" w:hAnsi="宋体" w:eastAsia="宋体" w:cs="宋体"/>
          <w:spacing w:val="-7"/>
          <w:sz w:val="24"/>
          <w:szCs w:val="24"/>
        </w:rPr>
        <w:t>为督促承包人在施工过程中，做到文明施工，加强环境保护、水土保持等工作，</w:t>
      </w:r>
      <w:r>
        <w:rPr>
          <w:rFonts w:ascii="宋体" w:hAnsi="宋体" w:eastAsia="宋体" w:cs="宋体"/>
          <w:spacing w:val="70"/>
          <w:sz w:val="24"/>
          <w:szCs w:val="24"/>
        </w:rPr>
        <w:t xml:space="preserve"> </w:t>
      </w:r>
      <w:r>
        <w:rPr>
          <w:rFonts w:ascii="宋体" w:hAnsi="宋体" w:eastAsia="宋体" w:cs="宋体"/>
          <w:spacing w:val="-7"/>
          <w:sz w:val="24"/>
          <w:szCs w:val="24"/>
        </w:rPr>
        <w:t>本</w:t>
      </w:r>
      <w:r>
        <w:rPr>
          <w:rFonts w:ascii="宋体" w:hAnsi="宋体" w:eastAsia="宋体" w:cs="宋体"/>
          <w:spacing w:val="-3"/>
          <w:sz w:val="24"/>
          <w:szCs w:val="24"/>
        </w:rPr>
        <w:t>合同设立文明、环保施工价款。该金额按技术规范</w:t>
      </w:r>
      <w:r>
        <w:rPr>
          <w:rFonts w:ascii="宋体" w:hAnsi="宋体" w:eastAsia="宋体" w:cs="宋体"/>
          <w:spacing w:val="-21"/>
          <w:sz w:val="24"/>
          <w:szCs w:val="24"/>
        </w:rPr>
        <w:t xml:space="preserve"> </w:t>
      </w:r>
      <w:r>
        <w:rPr>
          <w:rFonts w:ascii="宋体" w:hAnsi="宋体" w:eastAsia="宋体" w:cs="宋体"/>
          <w:spacing w:val="-3"/>
          <w:sz w:val="24"/>
          <w:szCs w:val="24"/>
        </w:rPr>
        <w:t>100</w:t>
      </w:r>
      <w:r>
        <w:rPr>
          <w:rFonts w:ascii="宋体" w:hAnsi="宋体" w:eastAsia="宋体" w:cs="宋体"/>
          <w:spacing w:val="-42"/>
          <w:sz w:val="24"/>
          <w:szCs w:val="24"/>
        </w:rPr>
        <w:t xml:space="preserve"> </w:t>
      </w:r>
      <w:r>
        <w:rPr>
          <w:rFonts w:ascii="宋体" w:hAnsi="宋体" w:eastAsia="宋体" w:cs="宋体"/>
          <w:spacing w:val="-3"/>
          <w:sz w:val="24"/>
          <w:szCs w:val="24"/>
        </w:rPr>
        <w:t>章规定的方式在工程量清单中单</w:t>
      </w:r>
      <w:r>
        <w:rPr>
          <w:rFonts w:ascii="宋体" w:hAnsi="宋体" w:eastAsia="宋体" w:cs="宋体"/>
          <w:spacing w:val="-2"/>
          <w:sz w:val="24"/>
          <w:szCs w:val="24"/>
        </w:rPr>
        <w:t>列。承包人获得支付的额度取决于其施工环保情况及相关检查评比中的名次。有关评比</w:t>
      </w:r>
      <w:r>
        <w:rPr>
          <w:rFonts w:ascii="宋体" w:hAnsi="宋体" w:eastAsia="宋体" w:cs="宋体"/>
          <w:spacing w:val="-3"/>
          <w:sz w:val="24"/>
          <w:szCs w:val="24"/>
        </w:rPr>
        <w:t>方案发包人将在承包人进场后予以制定。</w:t>
      </w:r>
    </w:p>
    <w:p w14:paraId="30CDAF44">
      <w:pPr>
        <w:spacing w:line="220" w:lineRule="auto"/>
        <w:ind w:left="507"/>
        <w:rPr>
          <w:rFonts w:ascii="宋体" w:hAnsi="宋体" w:eastAsia="宋体" w:cs="宋体"/>
          <w:sz w:val="24"/>
          <w:szCs w:val="24"/>
        </w:rPr>
      </w:pPr>
      <w:r>
        <w:rPr>
          <w:rFonts w:ascii="宋体" w:hAnsi="宋体" w:eastAsia="宋体" w:cs="宋体"/>
          <w:b/>
          <w:bCs/>
          <w:spacing w:val="-5"/>
          <w:sz w:val="24"/>
          <w:szCs w:val="24"/>
        </w:rPr>
        <w:t>10.</w:t>
      </w:r>
      <w:r>
        <w:rPr>
          <w:rFonts w:ascii="宋体" w:hAnsi="宋体" w:eastAsia="宋体" w:cs="宋体"/>
          <w:spacing w:val="-5"/>
          <w:sz w:val="24"/>
          <w:szCs w:val="24"/>
        </w:rPr>
        <w:t xml:space="preserve"> </w:t>
      </w:r>
      <w:r>
        <w:rPr>
          <w:rFonts w:ascii="宋体" w:hAnsi="宋体" w:eastAsia="宋体" w:cs="宋体"/>
          <w:b/>
          <w:bCs/>
          <w:spacing w:val="-5"/>
          <w:sz w:val="24"/>
          <w:szCs w:val="24"/>
        </w:rPr>
        <w:t>进度计划</w:t>
      </w:r>
    </w:p>
    <w:p w14:paraId="3816E53F">
      <w:pPr>
        <w:spacing w:before="182" w:line="220" w:lineRule="auto"/>
        <w:ind w:left="507"/>
        <w:rPr>
          <w:rFonts w:ascii="宋体" w:hAnsi="宋体" w:eastAsia="宋体" w:cs="宋体"/>
          <w:sz w:val="24"/>
          <w:szCs w:val="24"/>
        </w:rPr>
      </w:pPr>
      <w:r>
        <w:rPr>
          <w:rFonts w:ascii="宋体" w:hAnsi="宋体" w:eastAsia="宋体" w:cs="宋体"/>
          <w:spacing w:val="-3"/>
          <w:sz w:val="24"/>
          <w:szCs w:val="24"/>
        </w:rPr>
        <w:t>10.1 合同进度计划</w:t>
      </w:r>
    </w:p>
    <w:p w14:paraId="48489EA6">
      <w:pPr>
        <w:spacing w:before="181" w:line="220" w:lineRule="auto"/>
        <w:ind w:left="489"/>
        <w:rPr>
          <w:rFonts w:ascii="宋体" w:hAnsi="宋体" w:eastAsia="宋体" w:cs="宋体"/>
          <w:sz w:val="24"/>
          <w:szCs w:val="24"/>
        </w:rPr>
      </w:pPr>
      <w:r>
        <w:rPr>
          <w:rFonts w:ascii="宋体" w:hAnsi="宋体" w:eastAsia="宋体" w:cs="宋体"/>
          <w:spacing w:val="-2"/>
          <w:sz w:val="24"/>
          <w:szCs w:val="24"/>
        </w:rPr>
        <w:t>承包人编制施工方案说明的内容包括：按照关键线路网络图和主要工作横道图两种</w:t>
      </w:r>
    </w:p>
    <w:p w14:paraId="04B2ABA8">
      <w:pPr>
        <w:spacing w:line="220" w:lineRule="auto"/>
        <w:rPr>
          <w:rFonts w:ascii="宋体" w:hAnsi="宋体" w:eastAsia="宋体" w:cs="宋体"/>
          <w:sz w:val="24"/>
          <w:szCs w:val="24"/>
        </w:rPr>
        <w:sectPr>
          <w:footerReference r:id="rId88" w:type="default"/>
          <w:pgSz w:w="11905" w:h="16840"/>
          <w:pgMar w:top="1182" w:right="1331" w:bottom="1171" w:left="1416" w:header="849" w:footer="937" w:gutter="0"/>
          <w:pgNumType w:fmt="decimal"/>
          <w:cols w:space="720" w:num="1"/>
        </w:sectPr>
      </w:pPr>
    </w:p>
    <w:p w14:paraId="006CEBAE">
      <w:pPr>
        <w:pStyle w:val="2"/>
        <w:spacing w:line="268" w:lineRule="auto"/>
      </w:pPr>
    </w:p>
    <w:p w14:paraId="1F0C5B29">
      <w:pPr>
        <w:spacing w:before="78" w:line="360" w:lineRule="auto"/>
        <w:ind w:left="8" w:firstLine="3"/>
        <w:jc w:val="both"/>
        <w:rPr>
          <w:rFonts w:ascii="宋体" w:hAnsi="宋体" w:eastAsia="宋体" w:cs="宋体"/>
          <w:sz w:val="24"/>
          <w:szCs w:val="24"/>
        </w:rPr>
      </w:pPr>
      <w:r>
        <w:rPr>
          <w:rFonts w:ascii="宋体" w:hAnsi="宋体" w:eastAsia="宋体" w:cs="宋体"/>
          <w:spacing w:val="-6"/>
          <w:sz w:val="24"/>
          <w:szCs w:val="24"/>
        </w:rPr>
        <w:t>形式分别编绘合同进度计划，列出各主要工程项目的计划开工、完工时</w:t>
      </w:r>
      <w:r>
        <w:rPr>
          <w:rFonts w:ascii="宋体" w:hAnsi="宋体" w:eastAsia="宋体" w:cs="宋体"/>
          <w:spacing w:val="-7"/>
          <w:sz w:val="24"/>
          <w:szCs w:val="24"/>
        </w:rPr>
        <w:t>间，</w:t>
      </w:r>
      <w:r>
        <w:rPr>
          <w:rFonts w:ascii="宋体" w:hAnsi="宋体" w:eastAsia="宋体" w:cs="宋体"/>
          <w:spacing w:val="53"/>
          <w:sz w:val="24"/>
          <w:szCs w:val="24"/>
        </w:rPr>
        <w:t xml:space="preserve"> </w:t>
      </w:r>
      <w:r>
        <w:rPr>
          <w:rFonts w:ascii="宋体" w:hAnsi="宋体" w:eastAsia="宋体" w:cs="宋体"/>
          <w:spacing w:val="-7"/>
          <w:sz w:val="24"/>
          <w:szCs w:val="24"/>
        </w:rPr>
        <w:t>并应包括每</w:t>
      </w:r>
      <w:r>
        <w:rPr>
          <w:rFonts w:ascii="宋体" w:hAnsi="宋体" w:eastAsia="宋体" w:cs="宋体"/>
          <w:spacing w:val="-6"/>
          <w:sz w:val="24"/>
          <w:szCs w:val="24"/>
        </w:rPr>
        <w:t>个阶段预计完成的工作量和形象进度。计划中应包括工程的施工时间</w:t>
      </w:r>
      <w:r>
        <w:rPr>
          <w:rFonts w:ascii="宋体" w:hAnsi="宋体" w:eastAsia="宋体" w:cs="宋体"/>
          <w:spacing w:val="-7"/>
          <w:sz w:val="24"/>
          <w:szCs w:val="24"/>
        </w:rPr>
        <w:t>、方法和顺序，</w:t>
      </w:r>
      <w:r>
        <w:rPr>
          <w:rFonts w:ascii="宋体" w:hAnsi="宋体" w:eastAsia="宋体" w:cs="宋体"/>
          <w:spacing w:val="58"/>
          <w:sz w:val="24"/>
          <w:szCs w:val="24"/>
        </w:rPr>
        <w:t xml:space="preserve"> </w:t>
      </w:r>
      <w:r>
        <w:rPr>
          <w:rFonts w:ascii="宋体" w:hAnsi="宋体" w:eastAsia="宋体" w:cs="宋体"/>
          <w:spacing w:val="-7"/>
          <w:sz w:val="24"/>
          <w:szCs w:val="24"/>
        </w:rPr>
        <w:t>资</w:t>
      </w:r>
      <w:r>
        <w:rPr>
          <w:rFonts w:ascii="宋体" w:hAnsi="宋体" w:eastAsia="宋体" w:cs="宋体"/>
          <w:spacing w:val="-2"/>
          <w:sz w:val="24"/>
          <w:szCs w:val="24"/>
        </w:rPr>
        <w:t>源的安排，材料、设备及人员的获得和运输等。</w:t>
      </w:r>
    </w:p>
    <w:p w14:paraId="5D655743">
      <w:pPr>
        <w:spacing w:line="219" w:lineRule="auto"/>
        <w:ind w:left="507"/>
        <w:rPr>
          <w:rFonts w:ascii="宋体" w:hAnsi="宋体" w:eastAsia="宋体" w:cs="宋体"/>
          <w:sz w:val="24"/>
          <w:szCs w:val="24"/>
        </w:rPr>
      </w:pPr>
      <w:r>
        <w:rPr>
          <w:rFonts w:ascii="宋体" w:hAnsi="宋体" w:eastAsia="宋体" w:cs="宋体"/>
          <w:spacing w:val="-3"/>
          <w:sz w:val="24"/>
          <w:szCs w:val="24"/>
        </w:rPr>
        <w:t>10.3 年度施工计划</w:t>
      </w:r>
    </w:p>
    <w:p w14:paraId="01D04C63">
      <w:pPr>
        <w:spacing w:before="182" w:line="219" w:lineRule="auto"/>
        <w:ind w:left="488"/>
        <w:rPr>
          <w:rFonts w:ascii="宋体" w:hAnsi="宋体" w:eastAsia="宋体" w:cs="宋体"/>
          <w:sz w:val="24"/>
          <w:szCs w:val="24"/>
        </w:rPr>
      </w:pPr>
      <w:r>
        <w:rPr>
          <w:rFonts w:ascii="宋体" w:hAnsi="宋体" w:eastAsia="宋体" w:cs="宋体"/>
          <w:spacing w:val="-6"/>
          <w:sz w:val="24"/>
          <w:szCs w:val="24"/>
        </w:rPr>
        <w:t>在本款末增加以下内容：</w:t>
      </w:r>
    </w:p>
    <w:p w14:paraId="1EEA793C">
      <w:pPr>
        <w:spacing w:before="183" w:line="360" w:lineRule="auto"/>
        <w:ind w:left="9" w:firstLine="479"/>
        <w:rPr>
          <w:rFonts w:ascii="宋体" w:hAnsi="宋体" w:eastAsia="宋体" w:cs="宋体"/>
          <w:sz w:val="24"/>
          <w:szCs w:val="24"/>
        </w:rPr>
      </w:pPr>
      <w:r>
        <w:rPr>
          <w:rFonts w:ascii="宋体" w:hAnsi="宋体" w:eastAsia="宋体" w:cs="宋体"/>
          <w:spacing w:val="-2"/>
          <w:sz w:val="24"/>
          <w:szCs w:val="24"/>
        </w:rPr>
        <w:t>在年度施工计划的基础上，承包人应根据发包人及监理人的具体安排编制和落实其</w:t>
      </w:r>
      <w:r>
        <w:rPr>
          <w:rFonts w:ascii="宋体" w:hAnsi="宋体" w:eastAsia="宋体" w:cs="宋体"/>
          <w:spacing w:val="-5"/>
          <w:sz w:val="24"/>
          <w:szCs w:val="24"/>
        </w:rPr>
        <w:t>他阶段性施工计划。</w:t>
      </w:r>
    </w:p>
    <w:p w14:paraId="00913A8C">
      <w:pPr>
        <w:spacing w:before="1" w:line="218" w:lineRule="auto"/>
        <w:ind w:left="490"/>
        <w:rPr>
          <w:rFonts w:ascii="宋体" w:hAnsi="宋体" w:eastAsia="宋体" w:cs="宋体"/>
          <w:sz w:val="24"/>
          <w:szCs w:val="24"/>
        </w:rPr>
      </w:pPr>
      <w:r>
        <w:rPr>
          <w:rFonts w:ascii="宋体" w:hAnsi="宋体" w:eastAsia="宋体" w:cs="宋体"/>
          <w:spacing w:val="-6"/>
          <w:sz w:val="24"/>
          <w:szCs w:val="24"/>
        </w:rPr>
        <w:t>本条补充第</w:t>
      </w:r>
      <w:r>
        <w:rPr>
          <w:rFonts w:ascii="宋体" w:hAnsi="宋体" w:eastAsia="宋体" w:cs="宋体"/>
          <w:spacing w:val="-29"/>
          <w:sz w:val="24"/>
          <w:szCs w:val="24"/>
        </w:rPr>
        <w:t xml:space="preserve"> </w:t>
      </w:r>
      <w:r>
        <w:rPr>
          <w:rFonts w:ascii="宋体" w:hAnsi="宋体" w:eastAsia="宋体" w:cs="宋体"/>
          <w:spacing w:val="-6"/>
          <w:sz w:val="24"/>
          <w:szCs w:val="24"/>
        </w:rPr>
        <w:t>10.5</w:t>
      </w:r>
      <w:r>
        <w:rPr>
          <w:rFonts w:ascii="宋体" w:hAnsi="宋体" w:eastAsia="宋体" w:cs="宋体"/>
          <w:spacing w:val="-50"/>
          <w:sz w:val="24"/>
          <w:szCs w:val="24"/>
        </w:rPr>
        <w:t xml:space="preserve"> </w:t>
      </w:r>
      <w:r>
        <w:rPr>
          <w:rFonts w:ascii="宋体" w:hAnsi="宋体" w:eastAsia="宋体" w:cs="宋体"/>
          <w:spacing w:val="-6"/>
          <w:sz w:val="24"/>
          <w:szCs w:val="24"/>
        </w:rPr>
        <w:t>款、第</w:t>
      </w:r>
      <w:r>
        <w:rPr>
          <w:rFonts w:ascii="宋体" w:hAnsi="宋体" w:eastAsia="宋体" w:cs="宋体"/>
          <w:spacing w:val="-33"/>
          <w:sz w:val="24"/>
          <w:szCs w:val="24"/>
        </w:rPr>
        <w:t xml:space="preserve"> </w:t>
      </w:r>
      <w:r>
        <w:rPr>
          <w:rFonts w:ascii="宋体" w:hAnsi="宋体" w:eastAsia="宋体" w:cs="宋体"/>
          <w:spacing w:val="-6"/>
          <w:sz w:val="24"/>
          <w:szCs w:val="24"/>
        </w:rPr>
        <w:t>10.6</w:t>
      </w:r>
      <w:r>
        <w:rPr>
          <w:rFonts w:ascii="宋体" w:hAnsi="宋体" w:eastAsia="宋体" w:cs="宋体"/>
          <w:spacing w:val="-50"/>
          <w:sz w:val="24"/>
          <w:szCs w:val="24"/>
        </w:rPr>
        <w:t xml:space="preserve"> </w:t>
      </w:r>
      <w:r>
        <w:rPr>
          <w:rFonts w:ascii="宋体" w:hAnsi="宋体" w:eastAsia="宋体" w:cs="宋体"/>
          <w:spacing w:val="-6"/>
          <w:sz w:val="24"/>
          <w:szCs w:val="24"/>
        </w:rPr>
        <w:t>款、第</w:t>
      </w:r>
      <w:r>
        <w:rPr>
          <w:rFonts w:ascii="宋体" w:hAnsi="宋体" w:eastAsia="宋体" w:cs="宋体"/>
          <w:spacing w:val="-33"/>
          <w:sz w:val="24"/>
          <w:szCs w:val="24"/>
        </w:rPr>
        <w:t xml:space="preserve"> </w:t>
      </w:r>
      <w:r>
        <w:rPr>
          <w:rFonts w:ascii="宋体" w:hAnsi="宋体" w:eastAsia="宋体" w:cs="宋体"/>
          <w:spacing w:val="-6"/>
          <w:sz w:val="24"/>
          <w:szCs w:val="24"/>
        </w:rPr>
        <w:t>10.7</w:t>
      </w:r>
      <w:r>
        <w:rPr>
          <w:rFonts w:ascii="宋体" w:hAnsi="宋体" w:eastAsia="宋体" w:cs="宋体"/>
          <w:spacing w:val="-49"/>
          <w:sz w:val="24"/>
          <w:szCs w:val="24"/>
        </w:rPr>
        <w:t xml:space="preserve"> </w:t>
      </w:r>
      <w:r>
        <w:rPr>
          <w:rFonts w:ascii="宋体" w:hAnsi="宋体" w:eastAsia="宋体" w:cs="宋体"/>
          <w:spacing w:val="-6"/>
          <w:sz w:val="24"/>
          <w:szCs w:val="24"/>
        </w:rPr>
        <w:t>款：</w:t>
      </w:r>
    </w:p>
    <w:p w14:paraId="5BE4A9F8">
      <w:pPr>
        <w:spacing w:before="183" w:line="220" w:lineRule="auto"/>
        <w:ind w:left="507"/>
        <w:rPr>
          <w:rFonts w:ascii="宋体" w:hAnsi="宋体" w:eastAsia="宋体" w:cs="宋体"/>
          <w:sz w:val="24"/>
          <w:szCs w:val="24"/>
        </w:rPr>
      </w:pPr>
      <w:r>
        <w:rPr>
          <w:rFonts w:ascii="宋体" w:hAnsi="宋体" w:eastAsia="宋体" w:cs="宋体"/>
          <w:spacing w:val="-4"/>
          <w:sz w:val="24"/>
          <w:szCs w:val="24"/>
        </w:rPr>
        <w:t>10.5</w:t>
      </w:r>
      <w:r>
        <w:rPr>
          <w:rFonts w:ascii="宋体" w:hAnsi="宋体" w:eastAsia="宋体" w:cs="宋体"/>
          <w:spacing w:val="-47"/>
          <w:sz w:val="24"/>
          <w:szCs w:val="24"/>
        </w:rPr>
        <w:t xml:space="preserve"> </w:t>
      </w:r>
      <w:r>
        <w:rPr>
          <w:rFonts w:ascii="宋体" w:hAnsi="宋体" w:eastAsia="宋体" w:cs="宋体"/>
          <w:spacing w:val="-4"/>
          <w:sz w:val="24"/>
          <w:szCs w:val="24"/>
        </w:rPr>
        <w:t>工程进度记录</w:t>
      </w:r>
    </w:p>
    <w:p w14:paraId="5D79B7B4">
      <w:pPr>
        <w:spacing w:before="182" w:line="360" w:lineRule="auto"/>
        <w:ind w:left="16" w:firstLine="472"/>
        <w:rPr>
          <w:rFonts w:ascii="宋体" w:hAnsi="宋体" w:eastAsia="宋体" w:cs="宋体"/>
          <w:sz w:val="24"/>
          <w:szCs w:val="24"/>
        </w:rPr>
      </w:pPr>
      <w:r>
        <w:rPr>
          <w:rFonts w:ascii="宋体" w:hAnsi="宋体" w:eastAsia="宋体" w:cs="宋体"/>
          <w:spacing w:val="-5"/>
          <w:sz w:val="24"/>
          <w:szCs w:val="24"/>
        </w:rPr>
        <w:t>承包人应保持每日、每月和其他定期的工程进度记录和报告， 这些记录和报告包括</w:t>
      </w:r>
      <w:r>
        <w:rPr>
          <w:rFonts w:ascii="宋体" w:hAnsi="宋体" w:eastAsia="宋体" w:cs="宋体"/>
          <w:spacing w:val="-9"/>
          <w:sz w:val="24"/>
          <w:szCs w:val="24"/>
        </w:rPr>
        <w:t>下列有关资料：</w:t>
      </w:r>
    </w:p>
    <w:p w14:paraId="5A324320">
      <w:pPr>
        <w:spacing w:line="219" w:lineRule="auto"/>
        <w:ind w:left="531"/>
        <w:rPr>
          <w:rFonts w:ascii="宋体" w:hAnsi="宋体" w:eastAsia="宋体" w:cs="宋体"/>
          <w:sz w:val="24"/>
          <w:szCs w:val="24"/>
        </w:rPr>
      </w:pPr>
      <w:r>
        <w:rPr>
          <w:rFonts w:ascii="宋体" w:hAnsi="宋体" w:eastAsia="宋体" w:cs="宋体"/>
          <w:spacing w:val="-12"/>
          <w:sz w:val="24"/>
          <w:szCs w:val="24"/>
        </w:rPr>
        <w:t>(a)气象条件；</w:t>
      </w:r>
    </w:p>
    <w:p w14:paraId="157F52EA">
      <w:pPr>
        <w:spacing w:before="183" w:line="222" w:lineRule="auto"/>
        <w:ind w:left="531"/>
        <w:rPr>
          <w:rFonts w:ascii="宋体" w:hAnsi="宋体" w:eastAsia="宋体" w:cs="宋体"/>
          <w:sz w:val="24"/>
          <w:szCs w:val="24"/>
        </w:rPr>
      </w:pPr>
      <w:r>
        <w:rPr>
          <w:rFonts w:ascii="宋体" w:hAnsi="宋体" w:eastAsia="宋体" w:cs="宋体"/>
          <w:spacing w:val="-12"/>
          <w:sz w:val="24"/>
          <w:szCs w:val="24"/>
        </w:rPr>
        <w:t>(b)施工记录；</w:t>
      </w:r>
    </w:p>
    <w:p w14:paraId="54DC2B13">
      <w:pPr>
        <w:spacing w:before="179" w:line="220" w:lineRule="auto"/>
        <w:ind w:left="531"/>
        <w:rPr>
          <w:rFonts w:ascii="宋体" w:hAnsi="宋体" w:eastAsia="宋体" w:cs="宋体"/>
          <w:sz w:val="24"/>
          <w:szCs w:val="24"/>
        </w:rPr>
      </w:pPr>
      <w:r>
        <w:rPr>
          <w:rFonts w:ascii="宋体" w:hAnsi="宋体" w:eastAsia="宋体" w:cs="宋体"/>
          <w:spacing w:val="-8"/>
          <w:sz w:val="24"/>
          <w:szCs w:val="24"/>
        </w:rPr>
        <w:t>(c)施工设施和设备状况；</w:t>
      </w:r>
    </w:p>
    <w:p w14:paraId="2FE51547">
      <w:pPr>
        <w:spacing w:before="182" w:line="220" w:lineRule="auto"/>
        <w:ind w:left="531"/>
        <w:rPr>
          <w:rFonts w:ascii="宋体" w:hAnsi="宋体" w:eastAsia="宋体" w:cs="宋体"/>
          <w:sz w:val="24"/>
          <w:szCs w:val="24"/>
        </w:rPr>
      </w:pPr>
      <w:r>
        <w:rPr>
          <w:rFonts w:ascii="宋体" w:hAnsi="宋体" w:eastAsia="宋体" w:cs="宋体"/>
          <w:spacing w:val="-9"/>
          <w:sz w:val="24"/>
          <w:szCs w:val="24"/>
        </w:rPr>
        <w:t>(d)承包人人员统计；</w:t>
      </w:r>
    </w:p>
    <w:p w14:paraId="166910C2">
      <w:pPr>
        <w:spacing w:before="182" w:line="219" w:lineRule="auto"/>
        <w:ind w:left="531"/>
        <w:rPr>
          <w:rFonts w:ascii="宋体" w:hAnsi="宋体" w:eastAsia="宋体" w:cs="宋体"/>
          <w:sz w:val="24"/>
          <w:szCs w:val="24"/>
        </w:rPr>
      </w:pPr>
      <w:r>
        <w:rPr>
          <w:rFonts w:ascii="宋体" w:hAnsi="宋体" w:eastAsia="宋体" w:cs="宋体"/>
          <w:spacing w:val="-4"/>
          <w:sz w:val="24"/>
          <w:szCs w:val="24"/>
        </w:rPr>
        <w:t>(e)现场材料，材料搬移记录、交货期、发票及有关资料；</w:t>
      </w:r>
    </w:p>
    <w:p w14:paraId="0D40FA58">
      <w:pPr>
        <w:spacing w:before="183" w:line="220" w:lineRule="auto"/>
        <w:ind w:left="531"/>
        <w:rPr>
          <w:rFonts w:ascii="宋体" w:hAnsi="宋体" w:eastAsia="宋体" w:cs="宋体"/>
          <w:sz w:val="24"/>
          <w:szCs w:val="24"/>
        </w:rPr>
      </w:pPr>
      <w:r>
        <w:rPr>
          <w:rFonts w:ascii="宋体" w:hAnsi="宋体" w:eastAsia="宋体" w:cs="宋体"/>
          <w:spacing w:val="-6"/>
          <w:sz w:val="24"/>
          <w:szCs w:val="24"/>
        </w:rPr>
        <w:t>(f)环境保护、水土保持实施记录；</w:t>
      </w:r>
    </w:p>
    <w:p w14:paraId="3657347E">
      <w:pPr>
        <w:spacing w:before="182" w:line="214" w:lineRule="auto"/>
        <w:ind w:left="531"/>
        <w:rPr>
          <w:rFonts w:ascii="宋体" w:hAnsi="宋体" w:eastAsia="宋体" w:cs="宋体"/>
          <w:sz w:val="24"/>
          <w:szCs w:val="24"/>
        </w:rPr>
      </w:pPr>
      <w:r>
        <w:rPr>
          <w:rFonts w:ascii="宋体" w:hAnsi="宋体" w:eastAsia="宋体" w:cs="宋体"/>
          <w:spacing w:val="-9"/>
          <w:sz w:val="24"/>
          <w:szCs w:val="24"/>
        </w:rPr>
        <w:t>(g)安全生产实施记录；</w:t>
      </w:r>
    </w:p>
    <w:p w14:paraId="60559AA9">
      <w:pPr>
        <w:spacing w:before="191" w:line="220" w:lineRule="auto"/>
        <w:ind w:left="531"/>
        <w:rPr>
          <w:rFonts w:ascii="宋体" w:hAnsi="宋体" w:eastAsia="宋体" w:cs="宋体"/>
          <w:sz w:val="24"/>
          <w:szCs w:val="24"/>
        </w:rPr>
      </w:pPr>
      <w:r>
        <w:rPr>
          <w:rFonts w:ascii="宋体" w:hAnsi="宋体" w:eastAsia="宋体" w:cs="宋体"/>
          <w:spacing w:val="-5"/>
          <w:sz w:val="24"/>
          <w:szCs w:val="24"/>
        </w:rPr>
        <w:t>(h)所有在施工过程中发生的其他事项。</w:t>
      </w:r>
    </w:p>
    <w:p w14:paraId="4DFDB2CF">
      <w:pPr>
        <w:spacing w:before="182" w:line="220" w:lineRule="auto"/>
        <w:ind w:left="507"/>
        <w:rPr>
          <w:rFonts w:ascii="宋体" w:hAnsi="宋体" w:eastAsia="宋体" w:cs="宋体"/>
          <w:sz w:val="24"/>
          <w:szCs w:val="24"/>
        </w:rPr>
      </w:pPr>
      <w:r>
        <w:rPr>
          <w:rFonts w:ascii="宋体" w:hAnsi="宋体" w:eastAsia="宋体" w:cs="宋体"/>
          <w:spacing w:val="-3"/>
          <w:sz w:val="24"/>
          <w:szCs w:val="24"/>
        </w:rPr>
        <w:t>10.6 工程的进度奖罚</w:t>
      </w:r>
    </w:p>
    <w:p w14:paraId="6F8DEAAA">
      <w:pPr>
        <w:spacing w:before="182" w:line="360" w:lineRule="auto"/>
        <w:ind w:left="11" w:firstLine="480"/>
        <w:rPr>
          <w:rFonts w:ascii="宋体" w:hAnsi="宋体" w:eastAsia="宋体" w:cs="宋体"/>
          <w:sz w:val="24"/>
          <w:szCs w:val="24"/>
        </w:rPr>
      </w:pPr>
      <w:r>
        <w:rPr>
          <w:rFonts w:ascii="宋体" w:hAnsi="宋体" w:eastAsia="宋体" w:cs="宋体"/>
          <w:spacing w:val="-2"/>
          <w:sz w:val="24"/>
          <w:szCs w:val="24"/>
        </w:rPr>
        <w:t>为激励承包人加快工程进度，确保合同工期，本合同设立工程进度奖金，用于承包人提前或确保进度的奖励。该金额由发包人统一掌握使用。承包人获得支付的额度取决于其完成进度的情况及在评比中的名次。有关评比方案发包人将在承包人进场后予以制</w:t>
      </w:r>
      <w:r>
        <w:rPr>
          <w:rFonts w:ascii="宋体" w:hAnsi="宋体" w:eastAsia="宋体" w:cs="宋体"/>
          <w:spacing w:val="-12"/>
          <w:sz w:val="24"/>
          <w:szCs w:val="24"/>
        </w:rPr>
        <w:t>定。</w:t>
      </w:r>
    </w:p>
    <w:p w14:paraId="525B56EB">
      <w:pPr>
        <w:spacing w:line="219" w:lineRule="auto"/>
        <w:ind w:left="507"/>
        <w:rPr>
          <w:rFonts w:ascii="宋体" w:hAnsi="宋体" w:eastAsia="宋体" w:cs="宋体"/>
          <w:sz w:val="24"/>
          <w:szCs w:val="24"/>
        </w:rPr>
      </w:pPr>
      <w:r>
        <w:rPr>
          <w:rFonts w:ascii="宋体" w:hAnsi="宋体" w:eastAsia="宋体" w:cs="宋体"/>
          <w:b/>
          <w:bCs/>
          <w:spacing w:val="-6"/>
          <w:sz w:val="24"/>
          <w:szCs w:val="24"/>
        </w:rPr>
        <w:t>11.开工和竣工</w:t>
      </w:r>
    </w:p>
    <w:p w14:paraId="51648FE1">
      <w:pPr>
        <w:spacing w:before="183" w:line="220" w:lineRule="auto"/>
        <w:ind w:left="507"/>
        <w:rPr>
          <w:rFonts w:ascii="宋体" w:hAnsi="宋体" w:eastAsia="宋体" w:cs="宋体"/>
          <w:sz w:val="24"/>
          <w:szCs w:val="24"/>
        </w:rPr>
      </w:pPr>
      <w:r>
        <w:rPr>
          <w:rFonts w:ascii="宋体" w:hAnsi="宋体" w:eastAsia="宋体" w:cs="宋体"/>
          <w:spacing w:val="-4"/>
          <w:sz w:val="24"/>
          <w:szCs w:val="24"/>
        </w:rPr>
        <w:t>11.3</w:t>
      </w:r>
      <w:r>
        <w:rPr>
          <w:rFonts w:ascii="宋体" w:hAnsi="宋体" w:eastAsia="宋体" w:cs="宋体"/>
          <w:spacing w:val="-39"/>
          <w:sz w:val="24"/>
          <w:szCs w:val="24"/>
        </w:rPr>
        <w:t xml:space="preserve"> </w:t>
      </w:r>
      <w:r>
        <w:rPr>
          <w:rFonts w:ascii="宋体" w:hAnsi="宋体" w:eastAsia="宋体" w:cs="宋体"/>
          <w:spacing w:val="-4"/>
          <w:sz w:val="24"/>
          <w:szCs w:val="24"/>
        </w:rPr>
        <w:t>发包人的工期延误</w:t>
      </w:r>
    </w:p>
    <w:p w14:paraId="5BA426A0">
      <w:pPr>
        <w:spacing w:before="182"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12D4C32D">
      <w:pPr>
        <w:spacing w:before="185" w:line="361" w:lineRule="auto"/>
        <w:ind w:left="16" w:firstLine="471"/>
        <w:jc w:val="both"/>
        <w:rPr>
          <w:rFonts w:ascii="宋体" w:hAnsi="宋体" w:eastAsia="宋体" w:cs="宋体"/>
          <w:sz w:val="24"/>
          <w:szCs w:val="24"/>
        </w:rPr>
      </w:pPr>
      <w:r>
        <w:rPr>
          <w:rFonts w:ascii="宋体" w:hAnsi="宋体" w:eastAsia="宋体" w:cs="宋体"/>
          <w:spacing w:val="-2"/>
          <w:sz w:val="24"/>
          <w:szCs w:val="24"/>
        </w:rPr>
        <w:t>在履行合同过程中，由于发包人的下列原因造成工期延误的，承包人在满足发包人的项目总体工期目标前提下，有权要求发包人顺延工期，需要修订合同进度计划的，按</w:t>
      </w:r>
      <w:r>
        <w:rPr>
          <w:rFonts w:ascii="宋体" w:hAnsi="宋体" w:eastAsia="宋体" w:cs="宋体"/>
          <w:spacing w:val="-7"/>
          <w:sz w:val="24"/>
          <w:szCs w:val="24"/>
        </w:rPr>
        <w:t>照第</w:t>
      </w:r>
      <w:r>
        <w:rPr>
          <w:rFonts w:ascii="宋体" w:hAnsi="宋体" w:eastAsia="宋体" w:cs="宋体"/>
          <w:spacing w:val="-26"/>
          <w:sz w:val="24"/>
          <w:szCs w:val="24"/>
        </w:rPr>
        <w:t xml:space="preserve"> </w:t>
      </w:r>
      <w:r>
        <w:rPr>
          <w:rFonts w:ascii="宋体" w:hAnsi="宋体" w:eastAsia="宋体" w:cs="宋体"/>
          <w:spacing w:val="-7"/>
          <w:sz w:val="24"/>
          <w:szCs w:val="24"/>
        </w:rPr>
        <w:t>10.2</w:t>
      </w:r>
      <w:r>
        <w:rPr>
          <w:rFonts w:ascii="宋体" w:hAnsi="宋体" w:eastAsia="宋体" w:cs="宋体"/>
          <w:spacing w:val="-50"/>
          <w:sz w:val="24"/>
          <w:szCs w:val="24"/>
        </w:rPr>
        <w:t xml:space="preserve"> </w:t>
      </w:r>
      <w:r>
        <w:rPr>
          <w:rFonts w:ascii="宋体" w:hAnsi="宋体" w:eastAsia="宋体" w:cs="宋体"/>
          <w:spacing w:val="-7"/>
          <w:sz w:val="24"/>
          <w:szCs w:val="24"/>
        </w:rPr>
        <w:t>款的约定办理。</w:t>
      </w:r>
    </w:p>
    <w:p w14:paraId="0CBAFC08">
      <w:pPr>
        <w:spacing w:line="361" w:lineRule="auto"/>
        <w:rPr>
          <w:rFonts w:ascii="宋体" w:hAnsi="宋体" w:eastAsia="宋体" w:cs="宋体"/>
          <w:sz w:val="24"/>
          <w:szCs w:val="24"/>
        </w:rPr>
        <w:sectPr>
          <w:footerReference r:id="rId89" w:type="default"/>
          <w:pgSz w:w="11905" w:h="16840"/>
          <w:pgMar w:top="1182" w:right="1416" w:bottom="1171" w:left="1416" w:header="849" w:footer="936" w:gutter="0"/>
          <w:pgNumType w:fmt="decimal"/>
          <w:cols w:space="720" w:num="1"/>
        </w:sectPr>
      </w:pPr>
    </w:p>
    <w:p w14:paraId="34C205EF">
      <w:pPr>
        <w:pStyle w:val="2"/>
        <w:spacing w:line="267" w:lineRule="auto"/>
      </w:pPr>
    </w:p>
    <w:p w14:paraId="195D0562">
      <w:pPr>
        <w:spacing w:before="78" w:line="220" w:lineRule="auto"/>
        <w:ind w:left="495"/>
        <w:rPr>
          <w:rFonts w:ascii="宋体" w:hAnsi="宋体" w:eastAsia="宋体" w:cs="宋体"/>
          <w:sz w:val="24"/>
          <w:szCs w:val="24"/>
        </w:rPr>
      </w:pPr>
      <w:r>
        <w:rPr>
          <w:rFonts w:ascii="宋体" w:hAnsi="宋体" w:eastAsia="宋体" w:cs="宋体"/>
          <w:spacing w:val="-3"/>
          <w:sz w:val="24"/>
          <w:szCs w:val="24"/>
        </w:rPr>
        <w:t>（1）由于征地拆迁的原因造成关键线路上的工程暂停施工；</w:t>
      </w:r>
    </w:p>
    <w:p w14:paraId="3510ED66">
      <w:pPr>
        <w:spacing w:before="182" w:line="220" w:lineRule="auto"/>
        <w:ind w:left="495"/>
        <w:rPr>
          <w:rFonts w:ascii="宋体" w:hAnsi="宋体" w:eastAsia="宋体" w:cs="宋体"/>
          <w:sz w:val="24"/>
          <w:szCs w:val="24"/>
        </w:rPr>
      </w:pPr>
      <w:r>
        <w:rPr>
          <w:rFonts w:ascii="宋体" w:hAnsi="宋体" w:eastAsia="宋体" w:cs="宋体"/>
          <w:spacing w:val="-3"/>
          <w:sz w:val="24"/>
          <w:szCs w:val="24"/>
        </w:rPr>
        <w:t>（2）未按合同约定及时支付预付款、进度款，造成暂停施工的；</w:t>
      </w:r>
    </w:p>
    <w:p w14:paraId="1A5158C4">
      <w:pPr>
        <w:spacing w:before="181" w:line="220" w:lineRule="auto"/>
        <w:ind w:left="495"/>
        <w:rPr>
          <w:rFonts w:ascii="宋体" w:hAnsi="宋体" w:eastAsia="宋体" w:cs="宋体"/>
          <w:sz w:val="24"/>
          <w:szCs w:val="24"/>
        </w:rPr>
      </w:pPr>
      <w:r>
        <w:rPr>
          <w:rFonts w:ascii="宋体" w:hAnsi="宋体" w:eastAsia="宋体" w:cs="宋体"/>
          <w:spacing w:val="-3"/>
          <w:sz w:val="24"/>
          <w:szCs w:val="24"/>
        </w:rPr>
        <w:t>（3）由于重大设计方案调整造成关键线路上的工程暂停施工；</w:t>
      </w:r>
    </w:p>
    <w:p w14:paraId="166E13D8">
      <w:pPr>
        <w:spacing w:before="182" w:line="219" w:lineRule="auto"/>
        <w:ind w:left="495"/>
        <w:rPr>
          <w:rFonts w:ascii="宋体" w:hAnsi="宋体" w:eastAsia="宋体" w:cs="宋体"/>
          <w:sz w:val="24"/>
          <w:szCs w:val="24"/>
        </w:rPr>
      </w:pPr>
      <w:r>
        <w:rPr>
          <w:rFonts w:ascii="宋体" w:hAnsi="宋体" w:eastAsia="宋体" w:cs="宋体"/>
          <w:spacing w:val="-2"/>
          <w:sz w:val="24"/>
          <w:szCs w:val="24"/>
        </w:rPr>
        <w:t>（4）甲供材料断供或供应不及时，造成暂停施工</w:t>
      </w:r>
      <w:r>
        <w:rPr>
          <w:rFonts w:ascii="宋体" w:hAnsi="宋体" w:eastAsia="宋体" w:cs="宋体"/>
          <w:spacing w:val="-3"/>
          <w:sz w:val="24"/>
          <w:szCs w:val="24"/>
        </w:rPr>
        <w:t>的。</w:t>
      </w:r>
    </w:p>
    <w:p w14:paraId="3AE40405">
      <w:pPr>
        <w:spacing w:before="183" w:line="360" w:lineRule="auto"/>
        <w:ind w:left="10" w:right="104" w:firstLine="480"/>
        <w:jc w:val="both"/>
        <w:rPr>
          <w:rFonts w:ascii="宋体" w:hAnsi="宋体" w:eastAsia="宋体" w:cs="宋体"/>
          <w:sz w:val="24"/>
          <w:szCs w:val="24"/>
        </w:rPr>
      </w:pPr>
      <w:r>
        <w:rPr>
          <w:rFonts w:ascii="宋体" w:hAnsi="宋体" w:eastAsia="宋体" w:cs="宋体"/>
          <w:spacing w:val="-2"/>
          <w:sz w:val="24"/>
          <w:szCs w:val="24"/>
        </w:rPr>
        <w:t>上述原因如顺延合同工期在项目专用合同条款数据表的时间以内的，发包人将不予增加费用；如顺延合同工期在项目专用合同条款数据表的时间以上的，发包人将按如下</w:t>
      </w:r>
      <w:r>
        <w:rPr>
          <w:rFonts w:ascii="宋体" w:hAnsi="宋体" w:eastAsia="宋体" w:cs="宋体"/>
          <w:spacing w:val="-9"/>
          <w:sz w:val="24"/>
          <w:szCs w:val="24"/>
        </w:rPr>
        <w:t>原则给予补偿：</w:t>
      </w:r>
    </w:p>
    <w:p w14:paraId="6D6642E1">
      <w:pPr>
        <w:spacing w:line="220" w:lineRule="auto"/>
        <w:ind w:left="507"/>
        <w:rPr>
          <w:rFonts w:ascii="宋体" w:hAnsi="宋体" w:eastAsia="宋体" w:cs="宋体"/>
          <w:sz w:val="24"/>
          <w:szCs w:val="24"/>
        </w:rPr>
      </w:pPr>
      <w:r>
        <w:rPr>
          <w:rFonts w:ascii="宋体" w:hAnsi="宋体" w:eastAsia="宋体" w:cs="宋体"/>
          <w:spacing w:val="-7"/>
          <w:sz w:val="24"/>
          <w:szCs w:val="24"/>
        </w:rPr>
        <w:t>1）驻地建设场地租金；</w:t>
      </w:r>
    </w:p>
    <w:p w14:paraId="2122F223">
      <w:pPr>
        <w:spacing w:before="182" w:line="360" w:lineRule="auto"/>
        <w:ind w:left="14" w:right="104" w:firstLine="478"/>
        <w:rPr>
          <w:rFonts w:ascii="宋体" w:hAnsi="宋体" w:eastAsia="宋体" w:cs="宋体"/>
          <w:sz w:val="24"/>
          <w:szCs w:val="24"/>
        </w:rPr>
      </w:pPr>
      <w:r>
        <w:rPr>
          <w:rFonts w:ascii="宋体" w:hAnsi="宋体" w:eastAsia="宋体" w:cs="宋体"/>
          <w:spacing w:val="-2"/>
          <w:sz w:val="24"/>
          <w:szCs w:val="24"/>
        </w:rPr>
        <w:t>2）合同承诺投入且已进场的机械设备停置费，停置数量不得超过第二章 投标人须</w:t>
      </w:r>
      <w:r>
        <w:rPr>
          <w:rFonts w:ascii="宋体" w:hAnsi="宋体" w:eastAsia="宋体" w:cs="宋体"/>
          <w:spacing w:val="-3"/>
          <w:sz w:val="24"/>
          <w:szCs w:val="24"/>
        </w:rPr>
        <w:t>知附录</w:t>
      </w:r>
      <w:r>
        <w:rPr>
          <w:rFonts w:ascii="宋体" w:hAnsi="宋体" w:eastAsia="宋体" w:cs="宋体"/>
          <w:spacing w:val="-32"/>
          <w:sz w:val="24"/>
          <w:szCs w:val="24"/>
        </w:rPr>
        <w:t xml:space="preserve"> </w:t>
      </w:r>
      <w:r>
        <w:rPr>
          <w:rFonts w:ascii="宋体" w:hAnsi="宋体" w:eastAsia="宋体" w:cs="宋体"/>
          <w:spacing w:val="-3"/>
          <w:sz w:val="24"/>
          <w:szCs w:val="24"/>
        </w:rPr>
        <w:t>7 资格审查条件</w:t>
      </w:r>
      <w:r>
        <w:rPr>
          <w:rFonts w:hint="eastAsia" w:ascii="宋体" w:hAnsi="宋体" w:cs="宋体"/>
          <w:spacing w:val="-3"/>
          <w:sz w:val="24"/>
          <w:szCs w:val="24"/>
          <w:lang w:eastAsia="zh-CN"/>
        </w:rPr>
        <w:t>（</w:t>
      </w:r>
      <w:r>
        <w:rPr>
          <w:rFonts w:ascii="宋体" w:hAnsi="宋体" w:eastAsia="宋体" w:cs="宋体"/>
          <w:spacing w:val="-3"/>
          <w:sz w:val="24"/>
          <w:szCs w:val="24"/>
        </w:rPr>
        <w:t>主要设备最低要求</w:t>
      </w:r>
      <w:r>
        <w:rPr>
          <w:rFonts w:hint="eastAsia" w:ascii="宋体" w:hAnsi="宋体" w:cs="宋体"/>
          <w:spacing w:val="-3"/>
          <w:sz w:val="24"/>
          <w:szCs w:val="24"/>
          <w:lang w:eastAsia="zh-CN"/>
        </w:rPr>
        <w:t>）</w:t>
      </w:r>
      <w:r>
        <w:rPr>
          <w:rFonts w:ascii="宋体" w:hAnsi="宋体" w:eastAsia="宋体" w:cs="宋体"/>
          <w:spacing w:val="-3"/>
          <w:sz w:val="24"/>
          <w:szCs w:val="24"/>
        </w:rPr>
        <w:t>，按以下两种情况计算：</w:t>
      </w:r>
    </w:p>
    <w:p w14:paraId="7E09DD6E">
      <w:pPr>
        <w:spacing w:before="1" w:line="218" w:lineRule="auto"/>
        <w:ind w:left="490"/>
        <w:rPr>
          <w:rFonts w:ascii="宋体" w:hAnsi="宋体" w:eastAsia="宋体" w:cs="宋体"/>
          <w:sz w:val="24"/>
          <w:szCs w:val="24"/>
        </w:rPr>
      </w:pPr>
      <w:r>
        <w:rPr>
          <w:rFonts w:ascii="宋体" w:hAnsi="宋体" w:eastAsia="宋体" w:cs="宋体"/>
          <w:spacing w:val="-2"/>
          <w:sz w:val="24"/>
          <w:szCs w:val="24"/>
        </w:rPr>
        <w:t>a.《公路工程机械台班费用定额》包含的机械设备停置费按如下公式计算：</w:t>
      </w:r>
    </w:p>
    <w:p w14:paraId="4E2EC2D9">
      <w:pPr>
        <w:spacing w:before="184" w:line="360" w:lineRule="auto"/>
        <w:ind w:left="11" w:right="104" w:firstLine="479"/>
        <w:rPr>
          <w:rFonts w:ascii="宋体" w:hAnsi="宋体" w:eastAsia="宋体" w:cs="宋体"/>
          <w:sz w:val="24"/>
          <w:szCs w:val="24"/>
        </w:rPr>
      </w:pPr>
      <w:r>
        <w:rPr>
          <w:rFonts w:ascii="宋体" w:hAnsi="宋体" w:eastAsia="宋体" w:cs="宋体"/>
          <w:spacing w:val="-1"/>
          <w:sz w:val="24"/>
          <w:szCs w:val="24"/>
        </w:rPr>
        <w:t>停置费=（折旧费+检修费+维护费）*50%+</w:t>
      </w:r>
      <w:r>
        <w:rPr>
          <w:rFonts w:ascii="宋体" w:hAnsi="宋体" w:eastAsia="宋体" w:cs="宋体"/>
          <w:spacing w:val="-2"/>
          <w:sz w:val="24"/>
          <w:szCs w:val="24"/>
        </w:rPr>
        <w:t>人工费+机上人员管理费+养路费及车船使</w:t>
      </w:r>
      <w:r>
        <w:rPr>
          <w:rFonts w:ascii="宋体" w:hAnsi="宋体" w:eastAsia="宋体" w:cs="宋体"/>
          <w:spacing w:val="-3"/>
          <w:sz w:val="24"/>
          <w:szCs w:val="24"/>
        </w:rPr>
        <w:t>用税</w:t>
      </w:r>
    </w:p>
    <w:p w14:paraId="08795D9B">
      <w:pPr>
        <w:spacing w:line="360" w:lineRule="auto"/>
        <w:ind w:left="8" w:right="135" w:firstLine="481"/>
        <w:rPr>
          <w:rFonts w:ascii="宋体" w:hAnsi="宋体" w:eastAsia="宋体" w:cs="宋体"/>
          <w:sz w:val="24"/>
          <w:szCs w:val="24"/>
        </w:rPr>
      </w:pPr>
      <w:r>
        <w:rPr>
          <w:rFonts w:ascii="宋体" w:hAnsi="宋体" w:eastAsia="宋体" w:cs="宋体"/>
          <w:spacing w:val="-2"/>
          <w:sz w:val="24"/>
          <w:szCs w:val="24"/>
        </w:rPr>
        <w:t>其中：机上人员管理费按人工费的</w:t>
      </w:r>
      <w:r>
        <w:rPr>
          <w:rFonts w:ascii="宋体" w:hAnsi="宋体" w:eastAsia="宋体" w:cs="宋体"/>
          <w:spacing w:val="-17"/>
          <w:sz w:val="24"/>
          <w:szCs w:val="24"/>
        </w:rPr>
        <w:t xml:space="preserve"> </w:t>
      </w:r>
      <w:r>
        <w:rPr>
          <w:rFonts w:ascii="宋体" w:hAnsi="宋体" w:eastAsia="宋体" w:cs="宋体"/>
          <w:spacing w:val="-2"/>
          <w:sz w:val="24"/>
          <w:szCs w:val="24"/>
        </w:rPr>
        <w:t>10%计算；车船使用税按规定的广东省车船使用</w:t>
      </w:r>
      <w:r>
        <w:rPr>
          <w:rFonts w:ascii="宋体" w:hAnsi="宋体" w:eastAsia="宋体" w:cs="宋体"/>
          <w:spacing w:val="-6"/>
          <w:sz w:val="24"/>
          <w:szCs w:val="24"/>
        </w:rPr>
        <w:t>税标准计算。</w:t>
      </w:r>
    </w:p>
    <w:p w14:paraId="5034BEF8">
      <w:pPr>
        <w:spacing w:line="360" w:lineRule="auto"/>
        <w:ind w:left="8" w:firstLine="477"/>
        <w:rPr>
          <w:rFonts w:ascii="宋体" w:hAnsi="宋体" w:eastAsia="宋体" w:cs="宋体"/>
          <w:sz w:val="24"/>
          <w:szCs w:val="24"/>
        </w:rPr>
      </w:pPr>
      <w:r>
        <w:rPr>
          <w:rFonts w:ascii="宋体" w:hAnsi="宋体" w:eastAsia="宋体" w:cs="宋体"/>
          <w:spacing w:val="1"/>
          <w:sz w:val="24"/>
          <w:szCs w:val="24"/>
        </w:rPr>
        <w:t>b. 《公路工程机械台班费用定额》未包含的机械设备停置费按如下公式计算：按</w:t>
      </w:r>
      <w:r>
        <w:rPr>
          <w:rFonts w:ascii="宋体" w:hAnsi="宋体" w:eastAsia="宋体" w:cs="宋体"/>
          <w:spacing w:val="-6"/>
          <w:sz w:val="24"/>
          <w:szCs w:val="24"/>
        </w:rPr>
        <w:t>照年限平均法直线计提折旧，折旧年限为</w:t>
      </w:r>
      <w:r>
        <w:rPr>
          <w:rFonts w:ascii="宋体" w:hAnsi="宋体" w:eastAsia="宋体" w:cs="宋体"/>
          <w:spacing w:val="-18"/>
          <w:sz w:val="24"/>
          <w:szCs w:val="24"/>
        </w:rPr>
        <w:t xml:space="preserve"> </w:t>
      </w:r>
      <w:r>
        <w:rPr>
          <w:rFonts w:ascii="宋体" w:hAnsi="宋体" w:eastAsia="宋体" w:cs="宋体"/>
          <w:spacing w:val="-6"/>
          <w:sz w:val="24"/>
          <w:szCs w:val="24"/>
        </w:rPr>
        <w:t>10</w:t>
      </w:r>
      <w:r>
        <w:rPr>
          <w:rFonts w:ascii="宋体" w:hAnsi="宋体" w:eastAsia="宋体" w:cs="宋体"/>
          <w:spacing w:val="-50"/>
          <w:sz w:val="24"/>
          <w:szCs w:val="24"/>
        </w:rPr>
        <w:t xml:space="preserve"> </w:t>
      </w:r>
      <w:r>
        <w:rPr>
          <w:rFonts w:ascii="宋体" w:hAnsi="宋体" w:eastAsia="宋体" w:cs="宋体"/>
          <w:spacing w:val="-6"/>
          <w:sz w:val="24"/>
          <w:szCs w:val="24"/>
        </w:rPr>
        <w:t>年，年折旧额=固定资产原值×（1-残值率）</w:t>
      </w:r>
      <w:r>
        <w:rPr>
          <w:rFonts w:ascii="宋体" w:hAnsi="宋体" w:eastAsia="宋体" w:cs="宋体"/>
          <w:sz w:val="24"/>
          <w:szCs w:val="24"/>
        </w:rPr>
        <w:t xml:space="preserve"> </w:t>
      </w:r>
      <w:r>
        <w:rPr>
          <w:rFonts w:ascii="宋体" w:hAnsi="宋体" w:eastAsia="宋体" w:cs="宋体"/>
          <w:spacing w:val="-6"/>
          <w:sz w:val="24"/>
          <w:szCs w:val="24"/>
        </w:rPr>
        <w:t>/折旧年限，残值率为</w:t>
      </w:r>
      <w:r>
        <w:rPr>
          <w:rFonts w:ascii="宋体" w:hAnsi="宋体" w:eastAsia="宋体" w:cs="宋体"/>
          <w:spacing w:val="-52"/>
          <w:sz w:val="24"/>
          <w:szCs w:val="24"/>
        </w:rPr>
        <w:t xml:space="preserve"> </w:t>
      </w:r>
      <w:r>
        <w:rPr>
          <w:rFonts w:ascii="宋体" w:hAnsi="宋体" w:eastAsia="宋体" w:cs="宋体"/>
          <w:spacing w:val="-6"/>
          <w:sz w:val="24"/>
          <w:szCs w:val="24"/>
        </w:rPr>
        <w:t>4%；月折旧额=年折旧额/12，末月的天数≥16</w:t>
      </w:r>
      <w:r>
        <w:rPr>
          <w:rFonts w:ascii="宋体" w:hAnsi="宋体" w:eastAsia="宋体" w:cs="宋体"/>
          <w:spacing w:val="-40"/>
          <w:sz w:val="24"/>
          <w:szCs w:val="24"/>
        </w:rPr>
        <w:t xml:space="preserve"> </w:t>
      </w:r>
      <w:r>
        <w:rPr>
          <w:rFonts w:ascii="宋体" w:hAnsi="宋体" w:eastAsia="宋体" w:cs="宋体"/>
          <w:spacing w:val="-6"/>
          <w:sz w:val="24"/>
          <w:szCs w:val="24"/>
        </w:rPr>
        <w:t>时，按</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51"/>
          <w:sz w:val="24"/>
          <w:szCs w:val="24"/>
        </w:rPr>
        <w:t xml:space="preserve"> </w:t>
      </w:r>
      <w:r>
        <w:rPr>
          <w:rFonts w:ascii="宋体" w:hAnsi="宋体" w:eastAsia="宋体" w:cs="宋体"/>
          <w:spacing w:val="-6"/>
          <w:sz w:val="24"/>
          <w:szCs w:val="24"/>
        </w:rPr>
        <w:t>个月计算，否则末月不计。</w:t>
      </w:r>
    </w:p>
    <w:p w14:paraId="29C6A778">
      <w:pPr>
        <w:spacing w:line="360" w:lineRule="auto"/>
        <w:ind w:left="8" w:right="100" w:firstLine="485"/>
        <w:rPr>
          <w:rFonts w:ascii="宋体" w:hAnsi="宋体" w:eastAsia="宋体" w:cs="宋体"/>
          <w:sz w:val="24"/>
          <w:szCs w:val="24"/>
        </w:rPr>
      </w:pPr>
      <w:r>
        <w:rPr>
          <w:rFonts w:ascii="宋体" w:hAnsi="宋体" w:eastAsia="宋体" w:cs="宋体"/>
          <w:spacing w:val="1"/>
          <w:sz w:val="24"/>
          <w:szCs w:val="24"/>
        </w:rPr>
        <w:t>3）已进场的主要管理人员的工资费用。补偿的人员数量</w:t>
      </w:r>
      <w:r>
        <w:rPr>
          <w:rFonts w:ascii="宋体" w:hAnsi="宋体" w:eastAsia="宋体" w:cs="宋体"/>
          <w:sz w:val="24"/>
          <w:szCs w:val="24"/>
        </w:rPr>
        <w:t>不得超过合同承诺投入的</w:t>
      </w:r>
      <w:r>
        <w:rPr>
          <w:rFonts w:ascii="宋体" w:hAnsi="宋体" w:eastAsia="宋体" w:cs="宋体"/>
          <w:spacing w:val="3"/>
          <w:sz w:val="24"/>
          <w:szCs w:val="24"/>
        </w:rPr>
        <w:t>相应数量（第二章 投标人须知附录</w:t>
      </w:r>
      <w:r>
        <w:rPr>
          <w:rFonts w:ascii="宋体" w:hAnsi="宋体" w:eastAsia="宋体" w:cs="宋体"/>
          <w:spacing w:val="-49"/>
          <w:sz w:val="24"/>
          <w:szCs w:val="24"/>
        </w:rPr>
        <w:t xml:space="preserve"> </w:t>
      </w:r>
      <w:r>
        <w:rPr>
          <w:rFonts w:ascii="宋体" w:hAnsi="宋体" w:eastAsia="宋体" w:cs="宋体"/>
          <w:spacing w:val="3"/>
          <w:sz w:val="24"/>
          <w:szCs w:val="24"/>
        </w:rPr>
        <w:t>6 资格审查条件</w:t>
      </w:r>
      <w:r>
        <w:rPr>
          <w:rFonts w:hint="eastAsia" w:ascii="宋体" w:hAnsi="宋体" w:cs="宋体"/>
          <w:spacing w:val="3"/>
          <w:sz w:val="24"/>
          <w:szCs w:val="24"/>
          <w:lang w:eastAsia="zh-CN"/>
        </w:rPr>
        <w:t>（</w:t>
      </w:r>
      <w:r>
        <w:rPr>
          <w:rFonts w:ascii="宋体" w:hAnsi="宋体" w:eastAsia="宋体" w:cs="宋体"/>
          <w:spacing w:val="3"/>
          <w:sz w:val="24"/>
          <w:szCs w:val="24"/>
        </w:rPr>
        <w:t>其他管理人员和技术人员最</w:t>
      </w:r>
      <w:r>
        <w:rPr>
          <w:rFonts w:ascii="宋体" w:hAnsi="宋体" w:eastAsia="宋体" w:cs="宋体"/>
          <w:spacing w:val="2"/>
          <w:sz w:val="24"/>
          <w:szCs w:val="24"/>
        </w:rPr>
        <w:t>低要</w:t>
      </w:r>
      <w:r>
        <w:rPr>
          <w:rFonts w:ascii="宋体" w:hAnsi="宋体" w:eastAsia="宋体" w:cs="宋体"/>
          <w:spacing w:val="1"/>
          <w:sz w:val="24"/>
          <w:szCs w:val="24"/>
        </w:rPr>
        <w:t>求</w:t>
      </w:r>
      <w:r>
        <w:rPr>
          <w:rFonts w:hint="eastAsia" w:ascii="宋体" w:hAnsi="宋体" w:cs="宋体"/>
          <w:spacing w:val="1"/>
          <w:sz w:val="24"/>
          <w:szCs w:val="24"/>
          <w:lang w:eastAsia="zh-CN"/>
        </w:rPr>
        <w:t>）</w:t>
      </w:r>
      <w:r>
        <w:rPr>
          <w:rFonts w:ascii="宋体" w:hAnsi="宋体" w:eastAsia="宋体" w:cs="宋体"/>
          <w:spacing w:val="6"/>
          <w:sz w:val="24"/>
          <w:szCs w:val="24"/>
        </w:rPr>
        <w:t>）；</w:t>
      </w:r>
      <w:r>
        <w:rPr>
          <w:rFonts w:ascii="宋体" w:hAnsi="宋体" w:eastAsia="宋体" w:cs="宋体"/>
          <w:spacing w:val="1"/>
          <w:sz w:val="24"/>
          <w:szCs w:val="24"/>
        </w:rPr>
        <w:t>补偿单价以统计局公布的项目所在地上一年度平均月收入为基数，具有高级职</w:t>
      </w:r>
      <w:r>
        <w:rPr>
          <w:rFonts w:ascii="宋体" w:hAnsi="宋体" w:eastAsia="宋体" w:cs="宋体"/>
          <w:spacing w:val="-3"/>
          <w:sz w:val="24"/>
          <w:szCs w:val="24"/>
        </w:rPr>
        <w:t>称的人员工资按</w:t>
      </w:r>
      <w:r>
        <w:rPr>
          <w:rFonts w:ascii="宋体" w:hAnsi="宋体" w:eastAsia="宋体" w:cs="宋体"/>
          <w:spacing w:val="-35"/>
          <w:sz w:val="24"/>
          <w:szCs w:val="24"/>
        </w:rPr>
        <w:t xml:space="preserve"> </w:t>
      </w:r>
      <w:r>
        <w:rPr>
          <w:rFonts w:ascii="宋体" w:hAnsi="宋体" w:eastAsia="宋体" w:cs="宋体"/>
          <w:spacing w:val="-3"/>
          <w:sz w:val="24"/>
          <w:szCs w:val="24"/>
        </w:rPr>
        <w:t>3</w:t>
      </w:r>
      <w:r>
        <w:rPr>
          <w:rFonts w:ascii="宋体" w:hAnsi="宋体" w:eastAsia="宋体" w:cs="宋体"/>
          <w:spacing w:val="-50"/>
          <w:sz w:val="24"/>
          <w:szCs w:val="24"/>
        </w:rPr>
        <w:t xml:space="preserve"> </w:t>
      </w:r>
      <w:r>
        <w:rPr>
          <w:rFonts w:ascii="宋体" w:hAnsi="宋体" w:eastAsia="宋体" w:cs="宋体"/>
          <w:spacing w:val="-3"/>
          <w:sz w:val="24"/>
          <w:szCs w:val="24"/>
        </w:rPr>
        <w:t>倍计算，具有中级职称的人员工资按</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51"/>
          <w:sz w:val="24"/>
          <w:szCs w:val="24"/>
        </w:rPr>
        <w:t xml:space="preserve"> </w:t>
      </w:r>
      <w:r>
        <w:rPr>
          <w:rFonts w:ascii="宋体" w:hAnsi="宋体" w:eastAsia="宋体" w:cs="宋体"/>
          <w:spacing w:val="-3"/>
          <w:sz w:val="24"/>
          <w:szCs w:val="24"/>
        </w:rPr>
        <w:t>倍计算，其他管理人员工资按</w:t>
      </w:r>
      <w:r>
        <w:rPr>
          <w:rFonts w:ascii="宋体" w:hAnsi="宋体" w:eastAsia="宋体" w:cs="宋体"/>
          <w:spacing w:val="-12"/>
          <w:sz w:val="24"/>
          <w:szCs w:val="24"/>
        </w:rPr>
        <w:t>1</w:t>
      </w:r>
      <w:r>
        <w:rPr>
          <w:rFonts w:ascii="宋体" w:hAnsi="宋体" w:eastAsia="宋体" w:cs="宋体"/>
          <w:spacing w:val="-50"/>
          <w:sz w:val="24"/>
          <w:szCs w:val="24"/>
        </w:rPr>
        <w:t xml:space="preserve"> </w:t>
      </w:r>
      <w:r>
        <w:rPr>
          <w:rFonts w:ascii="宋体" w:hAnsi="宋体" w:eastAsia="宋体" w:cs="宋体"/>
          <w:spacing w:val="-12"/>
          <w:sz w:val="24"/>
          <w:szCs w:val="24"/>
        </w:rPr>
        <w:t>倍计算；</w:t>
      </w:r>
    </w:p>
    <w:p w14:paraId="6EBBA9FD">
      <w:pPr>
        <w:spacing w:line="219" w:lineRule="auto"/>
        <w:ind w:left="488"/>
        <w:rPr>
          <w:rFonts w:ascii="宋体" w:hAnsi="宋体" w:eastAsia="宋体" w:cs="宋体"/>
          <w:spacing w:val="-3"/>
          <w:sz w:val="24"/>
          <w:szCs w:val="24"/>
        </w:rPr>
      </w:pPr>
      <w:r>
        <w:rPr>
          <w:rFonts w:ascii="宋体" w:hAnsi="宋体" w:eastAsia="宋体" w:cs="宋体"/>
          <w:spacing w:val="-2"/>
          <w:sz w:val="24"/>
          <w:szCs w:val="24"/>
        </w:rPr>
        <w:t>4) 仅对超出项目专用合同条款数据表明确</w:t>
      </w:r>
      <w:r>
        <w:rPr>
          <w:rFonts w:ascii="宋体" w:hAnsi="宋体" w:eastAsia="宋体" w:cs="宋体"/>
          <w:spacing w:val="-3"/>
          <w:sz w:val="24"/>
          <w:szCs w:val="24"/>
        </w:rPr>
        <w:t>的时间进行补偿；</w:t>
      </w:r>
    </w:p>
    <w:p w14:paraId="4D9C381D">
      <w:pPr>
        <w:spacing w:line="219" w:lineRule="auto"/>
        <w:ind w:left="488"/>
        <w:rPr>
          <w:rFonts w:hint="eastAsia" w:ascii="宋体" w:hAnsi="宋体" w:eastAsia="宋体" w:cs="宋体"/>
          <w:spacing w:val="-3"/>
          <w:sz w:val="24"/>
          <w:szCs w:val="24"/>
        </w:rPr>
      </w:pPr>
      <w:r>
        <w:rPr>
          <w:rFonts w:hint="eastAsia" w:ascii="宋体" w:hAnsi="宋体" w:eastAsia="宋体" w:cs="宋体"/>
          <w:spacing w:val="-3"/>
          <w:sz w:val="24"/>
          <w:szCs w:val="24"/>
        </w:rPr>
        <w:t>5）除上述规定的补偿项目之外，其余由于工期顺延增加的费用由承包人承担。</w:t>
      </w:r>
    </w:p>
    <w:p w14:paraId="0EEDFA31">
      <w:pPr>
        <w:spacing w:line="219" w:lineRule="auto"/>
        <w:rPr>
          <w:rFonts w:hint="eastAsia" w:ascii="宋体" w:hAnsi="宋体" w:eastAsia="宋体" w:cs="宋体"/>
          <w:spacing w:val="-3"/>
          <w:sz w:val="24"/>
          <w:szCs w:val="24"/>
        </w:rPr>
      </w:pPr>
      <w:r>
        <w:rPr>
          <w:rFonts w:hint="eastAsia" w:ascii="宋体" w:hAnsi="宋体" w:eastAsia="宋体" w:cs="宋体"/>
          <w:spacing w:val="-3"/>
          <w:sz w:val="24"/>
          <w:szCs w:val="24"/>
        </w:rPr>
        <w:t>（3）由于重大设计方案调整造成关键线路上的工程暂停施工；</w:t>
      </w:r>
    </w:p>
    <w:p w14:paraId="0347E8E9">
      <w:pPr>
        <w:spacing w:line="219" w:lineRule="auto"/>
        <w:rPr>
          <w:rFonts w:ascii="宋体" w:hAnsi="宋体" w:eastAsia="宋体" w:cs="宋体"/>
          <w:spacing w:val="-3"/>
          <w:sz w:val="24"/>
          <w:szCs w:val="24"/>
        </w:rPr>
      </w:pPr>
      <w:r>
        <w:rPr>
          <w:rFonts w:hint="eastAsia" w:ascii="宋体" w:hAnsi="宋体" w:eastAsia="宋体" w:cs="宋体"/>
          <w:spacing w:val="-3"/>
          <w:sz w:val="24"/>
          <w:szCs w:val="24"/>
        </w:rPr>
        <w:t>（4）甲供材料断供或供应不及时。</w:t>
      </w:r>
    </w:p>
    <w:p w14:paraId="5841520E">
      <w:pPr>
        <w:spacing w:before="1" w:line="219" w:lineRule="auto"/>
        <w:ind w:left="507"/>
        <w:rPr>
          <w:rFonts w:ascii="宋体" w:hAnsi="宋体" w:eastAsia="宋体" w:cs="宋体"/>
          <w:sz w:val="24"/>
          <w:szCs w:val="24"/>
        </w:rPr>
      </w:pPr>
      <w:r>
        <w:rPr>
          <w:rFonts w:ascii="宋体" w:hAnsi="宋体" w:eastAsia="宋体" w:cs="宋体"/>
          <w:spacing w:val="-3"/>
          <w:sz w:val="24"/>
          <w:szCs w:val="24"/>
        </w:rPr>
        <w:t>11.4</w:t>
      </w:r>
      <w:r>
        <w:rPr>
          <w:rFonts w:ascii="宋体" w:hAnsi="宋体" w:eastAsia="宋体" w:cs="宋体"/>
          <w:spacing w:val="-48"/>
          <w:sz w:val="24"/>
          <w:szCs w:val="24"/>
        </w:rPr>
        <w:t xml:space="preserve"> </w:t>
      </w:r>
      <w:r>
        <w:rPr>
          <w:rFonts w:ascii="宋体" w:hAnsi="宋体" w:eastAsia="宋体" w:cs="宋体"/>
          <w:spacing w:val="-3"/>
          <w:sz w:val="24"/>
          <w:szCs w:val="24"/>
        </w:rPr>
        <w:t>异常恶劣的气候条件</w:t>
      </w:r>
    </w:p>
    <w:p w14:paraId="163BCBB1">
      <w:pPr>
        <w:spacing w:before="182" w:line="219" w:lineRule="auto"/>
        <w:ind w:left="492"/>
        <w:rPr>
          <w:rFonts w:ascii="宋体" w:hAnsi="宋体" w:eastAsia="宋体" w:cs="宋体"/>
          <w:sz w:val="24"/>
          <w:szCs w:val="24"/>
        </w:rPr>
      </w:pPr>
      <w:r>
        <w:rPr>
          <w:rFonts w:ascii="宋体" w:hAnsi="宋体" w:eastAsia="宋体" w:cs="宋体"/>
          <w:spacing w:val="-2"/>
          <w:sz w:val="24"/>
          <w:szCs w:val="24"/>
        </w:rPr>
        <w:t>异常恶劣的气候条件是指十级以上强风暴、龙卷风或五十年一遇以上洪水造成重大</w:t>
      </w:r>
    </w:p>
    <w:p w14:paraId="30B43343">
      <w:pPr>
        <w:spacing w:line="219" w:lineRule="auto"/>
        <w:rPr>
          <w:rFonts w:ascii="宋体" w:hAnsi="宋体" w:eastAsia="宋体" w:cs="宋体"/>
          <w:sz w:val="24"/>
          <w:szCs w:val="24"/>
        </w:rPr>
        <w:sectPr>
          <w:headerReference r:id="rId90" w:type="default"/>
          <w:footerReference r:id="rId91" w:type="default"/>
          <w:pgSz w:w="11905" w:h="16840"/>
          <w:pgMar w:top="1182" w:right="1331" w:bottom="1171" w:left="1416" w:header="849" w:footer="937" w:gutter="0"/>
          <w:pgNumType w:fmt="decimal"/>
          <w:cols w:space="720" w:num="1"/>
        </w:sectPr>
      </w:pPr>
    </w:p>
    <w:p w14:paraId="7602046E">
      <w:pPr>
        <w:pStyle w:val="2"/>
        <w:spacing w:line="267" w:lineRule="auto"/>
      </w:pPr>
    </w:p>
    <w:p w14:paraId="3BAF7AB0">
      <w:pPr>
        <w:spacing w:before="78" w:line="220" w:lineRule="auto"/>
        <w:ind w:left="8"/>
        <w:rPr>
          <w:rFonts w:ascii="宋体" w:hAnsi="宋体" w:eastAsia="宋体" w:cs="宋体"/>
          <w:sz w:val="24"/>
          <w:szCs w:val="24"/>
        </w:rPr>
      </w:pPr>
      <w:r>
        <w:rPr>
          <w:rFonts w:ascii="宋体" w:hAnsi="宋体" w:eastAsia="宋体" w:cs="宋体"/>
          <w:spacing w:val="-4"/>
          <w:sz w:val="24"/>
          <w:szCs w:val="24"/>
        </w:rPr>
        <w:t>破坏等情况无法施工持续</w:t>
      </w:r>
      <w:r>
        <w:rPr>
          <w:rFonts w:ascii="宋体" w:hAnsi="宋体" w:eastAsia="宋体" w:cs="宋体"/>
          <w:spacing w:val="-37"/>
          <w:sz w:val="24"/>
          <w:szCs w:val="24"/>
        </w:rPr>
        <w:t xml:space="preserve"> </w:t>
      </w:r>
      <w:r>
        <w:rPr>
          <w:rFonts w:ascii="宋体" w:hAnsi="宋体" w:eastAsia="宋体" w:cs="宋体"/>
          <w:spacing w:val="-4"/>
          <w:sz w:val="24"/>
          <w:szCs w:val="24"/>
        </w:rPr>
        <w:t>30</w:t>
      </w:r>
      <w:r>
        <w:rPr>
          <w:rFonts w:ascii="宋体" w:hAnsi="宋体" w:eastAsia="宋体" w:cs="宋体"/>
          <w:spacing w:val="-46"/>
          <w:sz w:val="24"/>
          <w:szCs w:val="24"/>
        </w:rPr>
        <w:t xml:space="preserve"> </w:t>
      </w:r>
      <w:r>
        <w:rPr>
          <w:rFonts w:ascii="宋体" w:hAnsi="宋体" w:eastAsia="宋体" w:cs="宋体"/>
          <w:spacing w:val="-4"/>
          <w:sz w:val="24"/>
          <w:szCs w:val="24"/>
        </w:rPr>
        <w:t>天以上者。</w:t>
      </w:r>
    </w:p>
    <w:p w14:paraId="3842DB9C">
      <w:pPr>
        <w:spacing w:before="182" w:line="220" w:lineRule="auto"/>
        <w:ind w:left="507"/>
        <w:rPr>
          <w:rFonts w:ascii="宋体" w:hAnsi="宋体" w:eastAsia="宋体" w:cs="宋体"/>
          <w:sz w:val="24"/>
          <w:szCs w:val="24"/>
        </w:rPr>
      </w:pPr>
      <w:r>
        <w:rPr>
          <w:rFonts w:ascii="宋体" w:hAnsi="宋体" w:eastAsia="宋体" w:cs="宋体"/>
          <w:spacing w:val="-2"/>
          <w:sz w:val="24"/>
          <w:szCs w:val="24"/>
        </w:rPr>
        <w:t>11.5 承包人的工期延误</w:t>
      </w:r>
    </w:p>
    <w:p w14:paraId="545D39AF">
      <w:pPr>
        <w:spacing w:before="182" w:line="219" w:lineRule="auto"/>
        <w:ind w:left="488"/>
        <w:rPr>
          <w:rFonts w:ascii="宋体" w:hAnsi="宋体" w:eastAsia="宋体" w:cs="宋体"/>
          <w:sz w:val="24"/>
          <w:szCs w:val="24"/>
        </w:rPr>
      </w:pPr>
      <w:r>
        <w:rPr>
          <w:rFonts w:ascii="宋体" w:hAnsi="宋体" w:eastAsia="宋体" w:cs="宋体"/>
          <w:spacing w:val="-5"/>
          <w:sz w:val="24"/>
          <w:szCs w:val="24"/>
        </w:rPr>
        <w:t>在本款后增加第</w:t>
      </w:r>
      <w:r>
        <w:rPr>
          <w:rFonts w:hint="eastAsia" w:ascii="宋体" w:hAnsi="宋体" w:cs="宋体"/>
          <w:spacing w:val="-5"/>
          <w:sz w:val="24"/>
          <w:szCs w:val="24"/>
          <w:lang w:eastAsia="zh-CN"/>
        </w:rPr>
        <w:t>（</w:t>
      </w:r>
      <w:r>
        <w:rPr>
          <w:rFonts w:ascii="宋体" w:hAnsi="宋体" w:eastAsia="宋体" w:cs="宋体"/>
          <w:spacing w:val="-5"/>
          <w:sz w:val="24"/>
          <w:szCs w:val="24"/>
        </w:rPr>
        <w:t>6</w:t>
      </w:r>
      <w:r>
        <w:rPr>
          <w:rFonts w:hint="eastAsia" w:ascii="宋体" w:hAnsi="宋体" w:cs="宋体"/>
          <w:spacing w:val="-5"/>
          <w:sz w:val="24"/>
          <w:szCs w:val="24"/>
          <w:lang w:eastAsia="zh-CN"/>
        </w:rPr>
        <w:t>）</w:t>
      </w:r>
      <w:r>
        <w:rPr>
          <w:rFonts w:ascii="宋体" w:hAnsi="宋体" w:eastAsia="宋体" w:cs="宋体"/>
          <w:spacing w:val="-5"/>
          <w:sz w:val="24"/>
          <w:szCs w:val="24"/>
        </w:rPr>
        <w:t>项：</w:t>
      </w:r>
    </w:p>
    <w:p w14:paraId="457FC264">
      <w:pPr>
        <w:spacing w:before="183" w:line="360" w:lineRule="auto"/>
        <w:ind w:left="10" w:right="68" w:firstLine="485"/>
        <w:jc w:val="both"/>
        <w:rPr>
          <w:rFonts w:ascii="宋体" w:hAnsi="宋体" w:eastAsia="宋体" w:cs="宋体"/>
          <w:sz w:val="24"/>
          <w:szCs w:val="24"/>
        </w:rPr>
      </w:pPr>
      <w:r>
        <w:rPr>
          <w:rFonts w:ascii="宋体" w:hAnsi="宋体" w:eastAsia="宋体" w:cs="宋体"/>
          <w:spacing w:val="-4"/>
          <w:sz w:val="24"/>
          <w:szCs w:val="24"/>
        </w:rPr>
        <w:t>（6）承包人连续三个月未能完成发包人下发（批复）的月计划任务的</w:t>
      </w:r>
      <w:r>
        <w:rPr>
          <w:rFonts w:ascii="宋体" w:hAnsi="宋体" w:eastAsia="宋体" w:cs="宋体"/>
          <w:spacing w:val="-35"/>
          <w:sz w:val="24"/>
          <w:szCs w:val="24"/>
        </w:rPr>
        <w:t xml:space="preserve"> </w:t>
      </w:r>
      <w:r>
        <w:rPr>
          <w:rFonts w:ascii="宋体" w:hAnsi="宋体" w:eastAsia="宋体" w:cs="宋体"/>
          <w:spacing w:val="-4"/>
          <w:sz w:val="24"/>
          <w:szCs w:val="24"/>
        </w:rPr>
        <w:t>80%或累计未</w:t>
      </w:r>
      <w:r>
        <w:rPr>
          <w:rFonts w:ascii="宋体" w:hAnsi="宋体" w:eastAsia="宋体" w:cs="宋体"/>
          <w:sz w:val="24"/>
          <w:szCs w:val="24"/>
        </w:rPr>
        <w:t>能完成发包人下发（批复）的季度计划任务的</w:t>
      </w:r>
      <w:r>
        <w:rPr>
          <w:rFonts w:ascii="宋体" w:hAnsi="宋体" w:eastAsia="宋体" w:cs="宋体"/>
          <w:spacing w:val="-48"/>
          <w:sz w:val="24"/>
          <w:szCs w:val="24"/>
        </w:rPr>
        <w:t xml:space="preserve"> </w:t>
      </w:r>
      <w:r>
        <w:rPr>
          <w:rFonts w:ascii="宋体" w:hAnsi="宋体" w:eastAsia="宋体" w:cs="宋体"/>
          <w:sz w:val="24"/>
          <w:szCs w:val="24"/>
        </w:rPr>
        <w:t>80%，发包</w:t>
      </w:r>
      <w:r>
        <w:rPr>
          <w:rFonts w:ascii="宋体" w:hAnsi="宋体" w:eastAsia="宋体" w:cs="宋体"/>
          <w:spacing w:val="-1"/>
          <w:sz w:val="24"/>
          <w:szCs w:val="24"/>
        </w:rPr>
        <w:t>人和监理人认为承包人无法在</w:t>
      </w:r>
      <w:r>
        <w:rPr>
          <w:rFonts w:ascii="宋体" w:hAnsi="宋体" w:eastAsia="宋体" w:cs="宋体"/>
          <w:spacing w:val="-2"/>
          <w:sz w:val="24"/>
          <w:szCs w:val="24"/>
        </w:rPr>
        <w:t>合同工期内完成任务的，发包人有权按第</w:t>
      </w:r>
      <w:r>
        <w:rPr>
          <w:rFonts w:ascii="宋体" w:hAnsi="宋体" w:eastAsia="宋体" w:cs="宋体"/>
          <w:spacing w:val="-50"/>
          <w:sz w:val="24"/>
          <w:szCs w:val="24"/>
        </w:rPr>
        <w:t xml:space="preserve"> </w:t>
      </w:r>
      <w:r>
        <w:rPr>
          <w:rFonts w:ascii="宋体" w:hAnsi="宋体" w:eastAsia="宋体" w:cs="宋体"/>
          <w:spacing w:val="-2"/>
          <w:sz w:val="24"/>
          <w:szCs w:val="24"/>
        </w:rPr>
        <w:t>4.3.15</w:t>
      </w:r>
      <w:r>
        <w:rPr>
          <w:rFonts w:ascii="宋体" w:hAnsi="宋体" w:eastAsia="宋体" w:cs="宋体"/>
          <w:spacing w:val="-50"/>
          <w:sz w:val="24"/>
          <w:szCs w:val="24"/>
        </w:rPr>
        <w:t xml:space="preserve"> </w:t>
      </w:r>
      <w:r>
        <w:rPr>
          <w:rFonts w:ascii="宋体" w:hAnsi="宋体" w:eastAsia="宋体" w:cs="宋体"/>
          <w:spacing w:val="-2"/>
          <w:sz w:val="24"/>
          <w:szCs w:val="24"/>
        </w:rPr>
        <w:t>款、第</w:t>
      </w:r>
      <w:r>
        <w:rPr>
          <w:rFonts w:ascii="宋体" w:hAnsi="宋体" w:eastAsia="宋体" w:cs="宋体"/>
          <w:spacing w:val="-51"/>
          <w:sz w:val="24"/>
          <w:szCs w:val="24"/>
        </w:rPr>
        <w:t xml:space="preserve"> </w:t>
      </w:r>
      <w:r>
        <w:rPr>
          <w:rFonts w:ascii="宋体" w:hAnsi="宋体" w:eastAsia="宋体" w:cs="宋体"/>
          <w:spacing w:val="-2"/>
          <w:sz w:val="24"/>
          <w:szCs w:val="24"/>
        </w:rPr>
        <w:t>4.3.16</w:t>
      </w:r>
      <w:r>
        <w:rPr>
          <w:rFonts w:ascii="宋体" w:hAnsi="宋体" w:eastAsia="宋体" w:cs="宋体"/>
          <w:spacing w:val="-50"/>
          <w:sz w:val="24"/>
          <w:szCs w:val="24"/>
        </w:rPr>
        <w:t xml:space="preserve"> </w:t>
      </w:r>
      <w:r>
        <w:rPr>
          <w:rFonts w:ascii="宋体" w:hAnsi="宋体" w:eastAsia="宋体" w:cs="宋体"/>
          <w:spacing w:val="-2"/>
          <w:sz w:val="24"/>
          <w:szCs w:val="24"/>
        </w:rPr>
        <w:t>款进行处理。</w:t>
      </w:r>
    </w:p>
    <w:p w14:paraId="696DBA44">
      <w:pPr>
        <w:spacing w:line="220" w:lineRule="auto"/>
        <w:ind w:left="507"/>
        <w:rPr>
          <w:rFonts w:ascii="宋体" w:hAnsi="宋体" w:eastAsia="宋体" w:cs="宋体"/>
          <w:sz w:val="24"/>
          <w:szCs w:val="24"/>
        </w:rPr>
      </w:pPr>
      <w:r>
        <w:rPr>
          <w:rFonts w:ascii="宋体" w:hAnsi="宋体" w:eastAsia="宋体" w:cs="宋体"/>
          <w:b/>
          <w:bCs/>
          <w:spacing w:val="-8"/>
          <w:sz w:val="24"/>
          <w:szCs w:val="24"/>
        </w:rPr>
        <w:t>12.</w:t>
      </w:r>
      <w:r>
        <w:rPr>
          <w:rFonts w:ascii="宋体" w:hAnsi="宋体" w:eastAsia="宋体" w:cs="宋体"/>
          <w:spacing w:val="17"/>
          <w:sz w:val="24"/>
          <w:szCs w:val="24"/>
        </w:rPr>
        <w:t xml:space="preserve"> </w:t>
      </w:r>
      <w:r>
        <w:rPr>
          <w:rFonts w:ascii="宋体" w:hAnsi="宋体" w:eastAsia="宋体" w:cs="宋体"/>
          <w:b/>
          <w:bCs/>
          <w:spacing w:val="-8"/>
          <w:sz w:val="24"/>
          <w:szCs w:val="24"/>
        </w:rPr>
        <w:t>暂停施工</w:t>
      </w:r>
    </w:p>
    <w:p w14:paraId="2CDCF443">
      <w:pPr>
        <w:spacing w:before="181" w:line="220" w:lineRule="auto"/>
        <w:ind w:left="507"/>
        <w:rPr>
          <w:rFonts w:ascii="宋体" w:hAnsi="宋体" w:eastAsia="宋体" w:cs="宋体"/>
          <w:sz w:val="24"/>
          <w:szCs w:val="24"/>
        </w:rPr>
      </w:pPr>
      <w:r>
        <w:rPr>
          <w:rFonts w:ascii="宋体" w:hAnsi="宋体" w:eastAsia="宋体" w:cs="宋体"/>
          <w:spacing w:val="-2"/>
          <w:sz w:val="24"/>
          <w:szCs w:val="24"/>
        </w:rPr>
        <w:t>12.1 承包人暂停施工的责任</w:t>
      </w:r>
    </w:p>
    <w:p w14:paraId="081DB2BE">
      <w:pPr>
        <w:spacing w:before="182" w:line="220" w:lineRule="auto"/>
        <w:ind w:left="507"/>
        <w:rPr>
          <w:rFonts w:ascii="宋体" w:hAnsi="宋体" w:eastAsia="宋体" w:cs="宋体"/>
          <w:sz w:val="24"/>
          <w:szCs w:val="24"/>
        </w:rPr>
      </w:pPr>
      <w:r>
        <w:rPr>
          <w:rFonts w:ascii="宋体" w:hAnsi="宋体" w:eastAsia="宋体" w:cs="宋体"/>
          <w:spacing w:val="-4"/>
          <w:sz w:val="24"/>
          <w:szCs w:val="24"/>
        </w:rPr>
        <w:t>12.1</w:t>
      </w:r>
      <w:r>
        <w:rPr>
          <w:rFonts w:ascii="宋体" w:hAnsi="宋体" w:eastAsia="宋体" w:cs="宋体"/>
          <w:spacing w:val="55"/>
          <w:sz w:val="24"/>
          <w:szCs w:val="24"/>
        </w:rPr>
        <w:t xml:space="preserve"> </w:t>
      </w:r>
      <w:r>
        <w:rPr>
          <w:rFonts w:ascii="宋体" w:hAnsi="宋体" w:eastAsia="宋体" w:cs="宋体"/>
          <w:spacing w:val="-4"/>
          <w:sz w:val="24"/>
          <w:szCs w:val="24"/>
        </w:rPr>
        <w:t>(6</w:t>
      </w:r>
      <w:r>
        <w:rPr>
          <w:rFonts w:hint="eastAsia" w:ascii="宋体" w:hAnsi="宋体" w:cs="宋体"/>
          <w:spacing w:val="-4"/>
          <w:sz w:val="24"/>
          <w:szCs w:val="24"/>
          <w:lang w:eastAsia="zh-CN"/>
        </w:rPr>
        <w:t>）</w:t>
      </w:r>
      <w:r>
        <w:rPr>
          <w:rFonts w:ascii="宋体" w:hAnsi="宋体" w:eastAsia="宋体" w:cs="宋体"/>
          <w:spacing w:val="-4"/>
          <w:sz w:val="24"/>
          <w:szCs w:val="24"/>
        </w:rPr>
        <w:t>由承包人承担的其他暂停施工：</w:t>
      </w:r>
      <w:r>
        <w:rPr>
          <w:rFonts w:ascii="宋体" w:hAnsi="宋体" w:eastAsia="宋体" w:cs="宋体"/>
          <w:sz w:val="24"/>
          <w:szCs w:val="24"/>
          <w:u w:val="single" w:color="auto"/>
        </w:rPr>
        <w:t xml:space="preserve">        </w:t>
      </w:r>
      <w:r>
        <w:rPr>
          <w:rFonts w:hint="eastAsia" w:ascii="宋体" w:hAnsi="宋体" w:cs="宋体"/>
          <w:sz w:val="24"/>
          <w:szCs w:val="24"/>
          <w:u w:val="single" w:color="auto"/>
          <w:lang w:val="en-US" w:eastAsia="zh-CN"/>
        </w:rPr>
        <w:t>/</w:t>
      </w:r>
      <w:r>
        <w:rPr>
          <w:rFonts w:ascii="宋体" w:hAnsi="宋体" w:eastAsia="宋体" w:cs="宋体"/>
          <w:sz w:val="24"/>
          <w:szCs w:val="24"/>
          <w:u w:val="single" w:color="auto"/>
        </w:rPr>
        <w:t xml:space="preserve">           </w:t>
      </w:r>
    </w:p>
    <w:p w14:paraId="5920A39C">
      <w:pPr>
        <w:spacing w:before="181" w:line="220" w:lineRule="auto"/>
        <w:ind w:left="507"/>
        <w:rPr>
          <w:rFonts w:ascii="宋体" w:hAnsi="宋体" w:eastAsia="宋体" w:cs="宋体"/>
          <w:sz w:val="24"/>
          <w:szCs w:val="24"/>
        </w:rPr>
      </w:pPr>
      <w:r>
        <w:rPr>
          <w:rFonts w:ascii="宋体" w:hAnsi="宋体" w:eastAsia="宋体" w:cs="宋体"/>
          <w:spacing w:val="-2"/>
          <w:sz w:val="24"/>
          <w:szCs w:val="24"/>
        </w:rPr>
        <w:t>12.2 发包人暂停施工的责任</w:t>
      </w:r>
    </w:p>
    <w:p w14:paraId="3131AF65">
      <w:pPr>
        <w:spacing w:before="183"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3ACF5276">
      <w:pPr>
        <w:spacing w:before="183" w:line="220" w:lineRule="auto"/>
        <w:ind w:left="518"/>
        <w:rPr>
          <w:rFonts w:ascii="宋体" w:hAnsi="宋体" w:eastAsia="宋体" w:cs="宋体"/>
          <w:sz w:val="24"/>
          <w:szCs w:val="24"/>
        </w:rPr>
      </w:pPr>
      <w:r>
        <w:rPr>
          <w:rFonts w:ascii="宋体" w:hAnsi="宋体" w:eastAsia="宋体" w:cs="宋体"/>
          <w:spacing w:val="-3"/>
          <w:sz w:val="24"/>
          <w:szCs w:val="24"/>
        </w:rPr>
        <w:t>由于发包人原因引起的暂停施工造成工期延误的，按第</w:t>
      </w:r>
      <w:r>
        <w:rPr>
          <w:rFonts w:ascii="宋体" w:hAnsi="宋体" w:eastAsia="宋体" w:cs="宋体"/>
          <w:spacing w:val="-33"/>
          <w:sz w:val="24"/>
          <w:szCs w:val="24"/>
        </w:rPr>
        <w:t xml:space="preserve"> </w:t>
      </w:r>
      <w:r>
        <w:rPr>
          <w:rFonts w:ascii="宋体" w:hAnsi="宋体" w:eastAsia="宋体" w:cs="宋体"/>
          <w:spacing w:val="-3"/>
          <w:sz w:val="24"/>
          <w:szCs w:val="24"/>
        </w:rPr>
        <w:t>11.3</w:t>
      </w:r>
      <w:r>
        <w:rPr>
          <w:rFonts w:ascii="宋体" w:hAnsi="宋体" w:eastAsia="宋体" w:cs="宋体"/>
          <w:spacing w:val="-50"/>
          <w:sz w:val="24"/>
          <w:szCs w:val="24"/>
        </w:rPr>
        <w:t xml:space="preserve"> </w:t>
      </w:r>
      <w:r>
        <w:rPr>
          <w:rFonts w:ascii="宋体" w:hAnsi="宋体" w:eastAsia="宋体" w:cs="宋体"/>
          <w:spacing w:val="-3"/>
          <w:sz w:val="24"/>
          <w:szCs w:val="24"/>
        </w:rPr>
        <w:t>款的约定执行。</w:t>
      </w:r>
    </w:p>
    <w:p w14:paraId="13E07004">
      <w:pPr>
        <w:spacing w:before="183" w:line="220" w:lineRule="auto"/>
        <w:ind w:left="507"/>
        <w:rPr>
          <w:rFonts w:ascii="宋体" w:hAnsi="宋体" w:eastAsia="宋体" w:cs="宋体"/>
          <w:sz w:val="24"/>
          <w:szCs w:val="24"/>
        </w:rPr>
      </w:pPr>
      <w:r>
        <w:rPr>
          <w:rFonts w:ascii="宋体" w:hAnsi="宋体" w:eastAsia="宋体" w:cs="宋体"/>
          <w:b/>
          <w:bCs/>
          <w:spacing w:val="-8"/>
          <w:sz w:val="24"/>
          <w:szCs w:val="24"/>
        </w:rPr>
        <w:t>13.</w:t>
      </w:r>
      <w:r>
        <w:rPr>
          <w:rFonts w:ascii="宋体" w:hAnsi="宋体" w:eastAsia="宋体" w:cs="宋体"/>
          <w:spacing w:val="16"/>
          <w:sz w:val="24"/>
          <w:szCs w:val="24"/>
        </w:rPr>
        <w:t xml:space="preserve"> </w:t>
      </w:r>
      <w:r>
        <w:rPr>
          <w:rFonts w:ascii="宋体" w:hAnsi="宋体" w:eastAsia="宋体" w:cs="宋体"/>
          <w:b/>
          <w:bCs/>
          <w:spacing w:val="-8"/>
          <w:sz w:val="24"/>
          <w:szCs w:val="24"/>
        </w:rPr>
        <w:t>工程质量</w:t>
      </w:r>
    </w:p>
    <w:p w14:paraId="4A10F5B4">
      <w:pPr>
        <w:spacing w:before="182" w:line="220" w:lineRule="auto"/>
        <w:ind w:left="507"/>
        <w:rPr>
          <w:rFonts w:ascii="宋体" w:hAnsi="宋体" w:eastAsia="宋体" w:cs="宋体"/>
          <w:sz w:val="24"/>
          <w:szCs w:val="24"/>
        </w:rPr>
      </w:pPr>
      <w:r>
        <w:rPr>
          <w:rFonts w:ascii="宋体" w:hAnsi="宋体" w:eastAsia="宋体" w:cs="宋体"/>
          <w:spacing w:val="-3"/>
          <w:sz w:val="24"/>
          <w:szCs w:val="24"/>
        </w:rPr>
        <w:t>13.1 工程质量要求</w:t>
      </w:r>
    </w:p>
    <w:p w14:paraId="7BDA1789">
      <w:pPr>
        <w:spacing w:before="181" w:line="219" w:lineRule="auto"/>
        <w:ind w:left="488"/>
        <w:rPr>
          <w:rFonts w:ascii="宋体" w:hAnsi="宋体" w:eastAsia="宋体" w:cs="宋体"/>
          <w:sz w:val="24"/>
          <w:szCs w:val="24"/>
        </w:rPr>
      </w:pPr>
      <w:r>
        <w:rPr>
          <w:rFonts w:ascii="宋体" w:hAnsi="宋体" w:eastAsia="宋体" w:cs="宋体"/>
          <w:spacing w:val="-6"/>
          <w:sz w:val="24"/>
          <w:szCs w:val="24"/>
        </w:rPr>
        <w:t>在本款第</w:t>
      </w:r>
      <w:r>
        <w:rPr>
          <w:rFonts w:ascii="宋体" w:hAnsi="宋体" w:eastAsia="宋体" w:cs="宋体"/>
          <w:spacing w:val="-17"/>
          <w:sz w:val="24"/>
          <w:szCs w:val="24"/>
        </w:rPr>
        <w:t xml:space="preserve"> </w:t>
      </w:r>
      <w:r>
        <w:rPr>
          <w:rFonts w:ascii="宋体" w:hAnsi="宋体" w:eastAsia="宋体" w:cs="宋体"/>
          <w:spacing w:val="-6"/>
          <w:sz w:val="24"/>
          <w:szCs w:val="24"/>
        </w:rPr>
        <w:t>13.1.2</w:t>
      </w:r>
      <w:r>
        <w:rPr>
          <w:rFonts w:ascii="宋体" w:hAnsi="宋体" w:eastAsia="宋体" w:cs="宋体"/>
          <w:spacing w:val="-46"/>
          <w:sz w:val="24"/>
          <w:szCs w:val="24"/>
        </w:rPr>
        <w:t xml:space="preserve"> </w:t>
      </w:r>
      <w:r>
        <w:rPr>
          <w:rFonts w:ascii="宋体" w:hAnsi="宋体" w:eastAsia="宋体" w:cs="宋体"/>
          <w:spacing w:val="-6"/>
          <w:sz w:val="24"/>
          <w:szCs w:val="24"/>
        </w:rPr>
        <w:t>项后增加以下内容：</w:t>
      </w:r>
    </w:p>
    <w:p w14:paraId="7DB3023A">
      <w:pPr>
        <w:spacing w:before="184" w:line="360" w:lineRule="auto"/>
        <w:ind w:left="9" w:firstLine="479"/>
        <w:jc w:val="both"/>
        <w:rPr>
          <w:rFonts w:ascii="宋体" w:hAnsi="宋体" w:eastAsia="宋体" w:cs="宋体"/>
          <w:sz w:val="24"/>
          <w:szCs w:val="24"/>
        </w:rPr>
      </w:pPr>
      <w:r>
        <w:rPr>
          <w:rFonts w:ascii="宋体" w:hAnsi="宋体" w:eastAsia="宋体" w:cs="宋体"/>
          <w:spacing w:val="-2"/>
          <w:sz w:val="24"/>
          <w:szCs w:val="24"/>
        </w:rPr>
        <w:t>在工程经过验收并计量之后的任何时候，因任何方式（包括政府质量监督部门、发</w:t>
      </w:r>
      <w:r>
        <w:rPr>
          <w:rFonts w:ascii="宋体" w:hAnsi="宋体" w:eastAsia="宋体" w:cs="宋体"/>
          <w:spacing w:val="-6"/>
          <w:sz w:val="24"/>
          <w:szCs w:val="24"/>
        </w:rPr>
        <w:t>包人或监理人组织的各类检查）发现的关键工程质量不合格、工序不规范造成质量隐患，</w:t>
      </w:r>
      <w:r>
        <w:rPr>
          <w:rFonts w:ascii="宋体" w:hAnsi="宋体" w:eastAsia="宋体" w:cs="宋体"/>
          <w:spacing w:val="-2"/>
          <w:sz w:val="24"/>
          <w:szCs w:val="24"/>
        </w:rPr>
        <w:t>承包人应负责自费返工。发包人将根据本合同《工程质量、安全及文明施工违约项目一</w:t>
      </w:r>
      <w:r>
        <w:rPr>
          <w:rFonts w:ascii="宋体" w:hAnsi="宋体" w:eastAsia="宋体" w:cs="宋体"/>
          <w:spacing w:val="-1"/>
          <w:sz w:val="24"/>
          <w:szCs w:val="24"/>
        </w:rPr>
        <w:t>览表》对承包人进行处理。该处理不免除承包人自费进</w:t>
      </w:r>
      <w:r>
        <w:rPr>
          <w:rFonts w:ascii="宋体" w:hAnsi="宋体" w:eastAsia="宋体" w:cs="宋体"/>
          <w:spacing w:val="-2"/>
          <w:sz w:val="24"/>
          <w:szCs w:val="24"/>
        </w:rPr>
        <w:t>行返工或修复的责任。</w:t>
      </w:r>
    </w:p>
    <w:p w14:paraId="574826FF">
      <w:pPr>
        <w:spacing w:line="219" w:lineRule="auto"/>
        <w:ind w:left="507"/>
        <w:rPr>
          <w:rFonts w:ascii="宋体" w:hAnsi="宋体" w:eastAsia="宋体" w:cs="宋体"/>
          <w:sz w:val="24"/>
          <w:szCs w:val="24"/>
        </w:rPr>
      </w:pPr>
      <w:r>
        <w:rPr>
          <w:rFonts w:ascii="宋体" w:hAnsi="宋体" w:eastAsia="宋体" w:cs="宋体"/>
          <w:spacing w:val="-3"/>
          <w:sz w:val="24"/>
          <w:szCs w:val="24"/>
        </w:rPr>
        <w:t>13.2</w:t>
      </w:r>
      <w:r>
        <w:rPr>
          <w:rFonts w:ascii="宋体" w:hAnsi="宋体" w:eastAsia="宋体" w:cs="宋体"/>
          <w:spacing w:val="-51"/>
          <w:sz w:val="24"/>
          <w:szCs w:val="24"/>
        </w:rPr>
        <w:t xml:space="preserve"> </w:t>
      </w:r>
      <w:r>
        <w:rPr>
          <w:rFonts w:ascii="宋体" w:hAnsi="宋体" w:eastAsia="宋体" w:cs="宋体"/>
          <w:spacing w:val="-3"/>
          <w:sz w:val="24"/>
          <w:szCs w:val="24"/>
        </w:rPr>
        <w:t>承包人的质量管理</w:t>
      </w:r>
    </w:p>
    <w:p w14:paraId="4A258ACF">
      <w:pPr>
        <w:spacing w:before="182" w:line="220" w:lineRule="auto"/>
        <w:ind w:left="489"/>
        <w:rPr>
          <w:rFonts w:ascii="宋体" w:hAnsi="宋体" w:eastAsia="宋体" w:cs="宋体"/>
          <w:sz w:val="24"/>
          <w:szCs w:val="24"/>
        </w:rPr>
      </w:pPr>
      <w:r>
        <w:rPr>
          <w:rFonts w:ascii="宋体" w:hAnsi="宋体" w:eastAsia="宋体" w:cs="宋体"/>
          <w:spacing w:val="-4"/>
          <w:sz w:val="24"/>
          <w:szCs w:val="24"/>
        </w:rPr>
        <w:t>补充第</w:t>
      </w:r>
      <w:r>
        <w:rPr>
          <w:rFonts w:ascii="宋体" w:hAnsi="宋体" w:eastAsia="宋体" w:cs="宋体"/>
          <w:spacing w:val="-25"/>
          <w:sz w:val="24"/>
          <w:szCs w:val="24"/>
        </w:rPr>
        <w:t xml:space="preserve"> </w:t>
      </w:r>
      <w:r>
        <w:rPr>
          <w:rFonts w:ascii="宋体" w:hAnsi="宋体" w:eastAsia="宋体" w:cs="宋体"/>
          <w:spacing w:val="-4"/>
          <w:sz w:val="24"/>
          <w:szCs w:val="24"/>
        </w:rPr>
        <w:t>13.2.11～13.2.15</w:t>
      </w:r>
      <w:r>
        <w:rPr>
          <w:rFonts w:ascii="宋体" w:hAnsi="宋体" w:eastAsia="宋体" w:cs="宋体"/>
          <w:spacing w:val="-47"/>
          <w:sz w:val="24"/>
          <w:szCs w:val="24"/>
        </w:rPr>
        <w:t xml:space="preserve"> </w:t>
      </w:r>
      <w:r>
        <w:rPr>
          <w:rFonts w:ascii="宋体" w:hAnsi="宋体" w:eastAsia="宋体" w:cs="宋体"/>
          <w:spacing w:val="-4"/>
          <w:sz w:val="24"/>
          <w:szCs w:val="24"/>
        </w:rPr>
        <w:t>项：</w:t>
      </w:r>
    </w:p>
    <w:p w14:paraId="7D69E0C4">
      <w:pPr>
        <w:spacing w:before="183" w:line="360" w:lineRule="auto"/>
        <w:ind w:left="10" w:right="65" w:firstLine="496"/>
        <w:rPr>
          <w:rFonts w:ascii="宋体" w:hAnsi="宋体" w:eastAsia="宋体" w:cs="宋体"/>
          <w:sz w:val="24"/>
          <w:szCs w:val="24"/>
        </w:rPr>
      </w:pPr>
      <w:r>
        <w:rPr>
          <w:rFonts w:ascii="宋体" w:hAnsi="宋体" w:eastAsia="宋体" w:cs="宋体"/>
          <w:spacing w:val="-2"/>
          <w:sz w:val="24"/>
          <w:szCs w:val="24"/>
        </w:rPr>
        <w:t>13.2.11 对未分包由承包人直接负责的工程，承包人应强化施工自管的主体地位，实现技术、人员、材料、机械设备、资金等全要素“一竿子到底”的穿透式管控，确保质量安全保证体系有效运转，真正实现“自己干、自己管”。</w:t>
      </w:r>
    </w:p>
    <w:p w14:paraId="7296E91C">
      <w:pPr>
        <w:spacing w:line="360" w:lineRule="auto"/>
        <w:ind w:left="10" w:right="66" w:firstLine="496"/>
        <w:rPr>
          <w:rFonts w:ascii="宋体" w:hAnsi="宋体" w:eastAsia="宋体" w:cs="宋体"/>
          <w:sz w:val="24"/>
          <w:szCs w:val="24"/>
        </w:rPr>
      </w:pPr>
      <w:r>
        <w:rPr>
          <w:rFonts w:ascii="宋体" w:hAnsi="宋体" w:eastAsia="宋体" w:cs="宋体"/>
          <w:spacing w:val="3"/>
          <w:sz w:val="24"/>
          <w:szCs w:val="24"/>
        </w:rPr>
        <w:t>13.2.12</w:t>
      </w:r>
      <w:r>
        <w:rPr>
          <w:rFonts w:ascii="宋体" w:hAnsi="宋体" w:eastAsia="宋体" w:cs="宋体"/>
          <w:spacing w:val="-44"/>
          <w:sz w:val="24"/>
          <w:szCs w:val="24"/>
        </w:rPr>
        <w:t xml:space="preserve"> </w:t>
      </w:r>
      <w:r>
        <w:rPr>
          <w:rFonts w:ascii="宋体" w:hAnsi="宋体" w:eastAsia="宋体" w:cs="宋体"/>
          <w:spacing w:val="3"/>
          <w:sz w:val="24"/>
          <w:szCs w:val="24"/>
        </w:rPr>
        <w:t>承包人应按照《广东省公路工程施工项目部管理指南（试</w:t>
      </w:r>
      <w:r>
        <w:rPr>
          <w:rFonts w:ascii="宋体" w:hAnsi="宋体" w:eastAsia="宋体" w:cs="宋体"/>
          <w:spacing w:val="2"/>
          <w:sz w:val="24"/>
          <w:szCs w:val="24"/>
        </w:rPr>
        <w:t>行）》第</w:t>
      </w:r>
      <w:r>
        <w:rPr>
          <w:rFonts w:ascii="宋体" w:hAnsi="宋体" w:eastAsia="宋体" w:cs="宋体"/>
          <w:spacing w:val="-25"/>
          <w:sz w:val="24"/>
          <w:szCs w:val="24"/>
        </w:rPr>
        <w:t xml:space="preserve"> </w:t>
      </w:r>
      <w:r>
        <w:rPr>
          <w:rFonts w:ascii="宋体" w:hAnsi="宋体" w:eastAsia="宋体" w:cs="宋体"/>
          <w:spacing w:val="2"/>
          <w:sz w:val="24"/>
          <w:szCs w:val="24"/>
        </w:rPr>
        <w:t>11.3</w:t>
      </w:r>
      <w:r>
        <w:rPr>
          <w:rFonts w:ascii="宋体" w:hAnsi="宋体" w:eastAsia="宋体" w:cs="宋体"/>
          <w:spacing w:val="-6"/>
          <w:sz w:val="24"/>
          <w:szCs w:val="24"/>
        </w:rPr>
        <w:t>点做好施组、方案管理工作，</w:t>
      </w:r>
      <w:r>
        <w:rPr>
          <w:rFonts w:ascii="宋体" w:hAnsi="宋体" w:eastAsia="宋体" w:cs="宋体"/>
          <w:spacing w:val="48"/>
          <w:sz w:val="24"/>
          <w:szCs w:val="24"/>
        </w:rPr>
        <w:t xml:space="preserve"> </w:t>
      </w:r>
      <w:r>
        <w:rPr>
          <w:rFonts w:ascii="宋体" w:hAnsi="宋体" w:eastAsia="宋体" w:cs="宋体"/>
          <w:spacing w:val="-6"/>
          <w:sz w:val="24"/>
          <w:szCs w:val="24"/>
        </w:rPr>
        <w:t>按《广东省高速公路工程施工组织</w:t>
      </w:r>
      <w:r>
        <w:rPr>
          <w:rFonts w:ascii="宋体" w:hAnsi="宋体" w:eastAsia="宋体" w:cs="宋体"/>
          <w:spacing w:val="-7"/>
          <w:sz w:val="24"/>
          <w:szCs w:val="24"/>
        </w:rPr>
        <w:t>设计和施工方案标准化</w:t>
      </w:r>
      <w:r>
        <w:rPr>
          <w:rFonts w:ascii="宋体" w:hAnsi="宋体" w:eastAsia="宋体" w:cs="宋体"/>
          <w:spacing w:val="-9"/>
          <w:sz w:val="24"/>
          <w:szCs w:val="24"/>
        </w:rPr>
        <w:t>管理指南》的相关要求， 确保施工组织设计、施工方案和资金安排科学合理</w:t>
      </w:r>
      <w:r>
        <w:rPr>
          <w:rFonts w:ascii="宋体" w:hAnsi="宋体" w:eastAsia="宋体" w:cs="宋体"/>
          <w:spacing w:val="-10"/>
          <w:sz w:val="24"/>
          <w:szCs w:val="24"/>
        </w:rPr>
        <w:t>，</w:t>
      </w:r>
      <w:r>
        <w:rPr>
          <w:rFonts w:ascii="宋体" w:hAnsi="宋体" w:eastAsia="宋体" w:cs="宋体"/>
          <w:spacing w:val="56"/>
          <w:sz w:val="24"/>
          <w:szCs w:val="24"/>
        </w:rPr>
        <w:t xml:space="preserve"> </w:t>
      </w:r>
      <w:r>
        <w:rPr>
          <w:rFonts w:ascii="宋体" w:hAnsi="宋体" w:eastAsia="宋体" w:cs="宋体"/>
          <w:spacing w:val="-10"/>
          <w:sz w:val="24"/>
          <w:szCs w:val="24"/>
        </w:rPr>
        <w:t>实施管理</w:t>
      </w:r>
      <w:r>
        <w:rPr>
          <w:rFonts w:ascii="宋体" w:hAnsi="宋体" w:eastAsia="宋体" w:cs="宋体"/>
          <w:spacing w:val="-2"/>
          <w:sz w:val="24"/>
          <w:szCs w:val="24"/>
        </w:rPr>
        <w:t>严肃规范，严格按照经审批的施工组织设计和方案施工，不得“编一套，做一套”，坚</w:t>
      </w:r>
      <w:r>
        <w:rPr>
          <w:rFonts w:ascii="宋体" w:hAnsi="宋体" w:eastAsia="宋体" w:cs="宋体"/>
          <w:spacing w:val="-3"/>
          <w:sz w:val="24"/>
          <w:szCs w:val="24"/>
        </w:rPr>
        <w:t>决杜绝方案编制审批与实施“两张皮”现象。</w:t>
      </w:r>
    </w:p>
    <w:p w14:paraId="6EF19CA4">
      <w:pPr>
        <w:spacing w:before="1" w:line="219" w:lineRule="auto"/>
        <w:ind w:left="507"/>
        <w:rPr>
          <w:rFonts w:ascii="宋体" w:hAnsi="宋体" w:eastAsia="宋体" w:cs="宋体"/>
          <w:sz w:val="24"/>
          <w:szCs w:val="24"/>
        </w:rPr>
      </w:pPr>
      <w:r>
        <w:rPr>
          <w:rFonts w:ascii="宋体" w:hAnsi="宋体" w:eastAsia="宋体" w:cs="宋体"/>
          <w:spacing w:val="-5"/>
          <w:sz w:val="24"/>
          <w:szCs w:val="24"/>
        </w:rPr>
        <w:t>13.2.13</w:t>
      </w:r>
      <w:r>
        <w:rPr>
          <w:rFonts w:ascii="宋体" w:hAnsi="宋体" w:eastAsia="宋体" w:cs="宋体"/>
          <w:spacing w:val="-35"/>
          <w:sz w:val="24"/>
          <w:szCs w:val="24"/>
        </w:rPr>
        <w:t xml:space="preserve"> </w:t>
      </w:r>
      <w:r>
        <w:rPr>
          <w:rFonts w:ascii="宋体" w:hAnsi="宋体" w:eastAsia="宋体" w:cs="宋体"/>
          <w:spacing w:val="-5"/>
          <w:sz w:val="24"/>
          <w:szCs w:val="24"/>
        </w:rPr>
        <w:t>项目部应按照《广东省公路工程施工项目部管理指南（试行）》第</w:t>
      </w:r>
      <w:r>
        <w:rPr>
          <w:rFonts w:ascii="宋体" w:hAnsi="宋体" w:eastAsia="宋体" w:cs="宋体"/>
          <w:spacing w:val="-32"/>
          <w:sz w:val="24"/>
          <w:szCs w:val="24"/>
        </w:rPr>
        <w:t xml:space="preserve"> </w:t>
      </w:r>
      <w:r>
        <w:rPr>
          <w:rFonts w:ascii="宋体" w:hAnsi="宋体" w:eastAsia="宋体" w:cs="宋体"/>
          <w:spacing w:val="-5"/>
          <w:sz w:val="24"/>
          <w:szCs w:val="24"/>
        </w:rPr>
        <w:t>10</w:t>
      </w:r>
      <w:r>
        <w:rPr>
          <w:rFonts w:ascii="宋体" w:hAnsi="宋体" w:eastAsia="宋体" w:cs="宋体"/>
          <w:spacing w:val="-39"/>
          <w:sz w:val="24"/>
          <w:szCs w:val="24"/>
        </w:rPr>
        <w:t xml:space="preserve"> </w:t>
      </w:r>
      <w:r>
        <w:rPr>
          <w:rFonts w:ascii="宋体" w:hAnsi="宋体" w:eastAsia="宋体" w:cs="宋体"/>
          <w:spacing w:val="-5"/>
          <w:sz w:val="24"/>
          <w:szCs w:val="24"/>
        </w:rPr>
        <w:t>点做</w:t>
      </w:r>
    </w:p>
    <w:p w14:paraId="5A47C667">
      <w:pPr>
        <w:spacing w:line="219" w:lineRule="auto"/>
        <w:rPr>
          <w:rFonts w:ascii="宋体" w:hAnsi="宋体" w:eastAsia="宋体" w:cs="宋体"/>
          <w:sz w:val="24"/>
          <w:szCs w:val="24"/>
        </w:rPr>
        <w:sectPr>
          <w:headerReference r:id="rId92" w:type="default"/>
          <w:footerReference r:id="rId93" w:type="default"/>
          <w:pgSz w:w="11905" w:h="16840"/>
          <w:pgMar w:top="1182" w:right="1349" w:bottom="1171" w:left="1416" w:header="849" w:footer="936" w:gutter="0"/>
          <w:pgNumType w:fmt="decimal"/>
          <w:cols w:space="720" w:num="1"/>
        </w:sectPr>
      </w:pPr>
    </w:p>
    <w:p w14:paraId="426DD7D4">
      <w:pPr>
        <w:pStyle w:val="2"/>
        <w:spacing w:line="268" w:lineRule="auto"/>
      </w:pPr>
    </w:p>
    <w:p w14:paraId="2D5F02FF">
      <w:pPr>
        <w:spacing w:before="78" w:line="360" w:lineRule="auto"/>
        <w:ind w:left="13" w:right="66" w:hanging="4"/>
        <w:jc w:val="both"/>
        <w:rPr>
          <w:rFonts w:ascii="宋体" w:hAnsi="宋体" w:eastAsia="宋体" w:cs="宋体"/>
          <w:sz w:val="24"/>
          <w:szCs w:val="24"/>
        </w:rPr>
      </w:pPr>
      <w:r>
        <w:rPr>
          <w:rFonts w:ascii="宋体" w:hAnsi="宋体" w:eastAsia="宋体" w:cs="宋体"/>
          <w:spacing w:val="-2"/>
          <w:sz w:val="24"/>
          <w:szCs w:val="24"/>
        </w:rPr>
        <w:t>好设备管理，加强对租赁及自有机械设备（含特种设备）有效管理，建立动态统一管理</w:t>
      </w:r>
      <w:r>
        <w:rPr>
          <w:rFonts w:ascii="宋体" w:hAnsi="宋体" w:eastAsia="宋体" w:cs="宋体"/>
          <w:spacing w:val="-6"/>
          <w:sz w:val="24"/>
          <w:szCs w:val="24"/>
        </w:rPr>
        <w:t>台账，将机械设备的准入、使用、安全管理纳入项目管理体系，</w:t>
      </w:r>
      <w:r>
        <w:rPr>
          <w:rFonts w:ascii="宋体" w:hAnsi="宋体" w:eastAsia="宋体" w:cs="宋体"/>
          <w:spacing w:val="51"/>
          <w:sz w:val="24"/>
          <w:szCs w:val="24"/>
        </w:rPr>
        <w:t xml:space="preserve"> </w:t>
      </w:r>
      <w:r>
        <w:rPr>
          <w:rFonts w:ascii="宋体" w:hAnsi="宋体" w:eastAsia="宋体" w:cs="宋体"/>
          <w:spacing w:val="-6"/>
          <w:sz w:val="24"/>
          <w:szCs w:val="24"/>
        </w:rPr>
        <w:t>特别要</w:t>
      </w:r>
      <w:r>
        <w:rPr>
          <w:rFonts w:ascii="宋体" w:hAnsi="宋体" w:eastAsia="宋体" w:cs="宋体"/>
          <w:spacing w:val="-7"/>
          <w:sz w:val="24"/>
          <w:szCs w:val="24"/>
        </w:rPr>
        <w:t>加强租赁设备的</w:t>
      </w:r>
      <w:r>
        <w:rPr>
          <w:rFonts w:ascii="宋体" w:hAnsi="宋体" w:eastAsia="宋体" w:cs="宋体"/>
          <w:spacing w:val="-6"/>
          <w:sz w:val="24"/>
          <w:szCs w:val="24"/>
        </w:rPr>
        <w:t>安全监管。不得仅以完成工程量计量支付租赁设备费用，</w:t>
      </w:r>
      <w:r>
        <w:rPr>
          <w:rFonts w:ascii="宋体" w:hAnsi="宋体" w:eastAsia="宋体" w:cs="宋体"/>
          <w:spacing w:val="46"/>
          <w:sz w:val="24"/>
          <w:szCs w:val="24"/>
        </w:rPr>
        <w:t xml:space="preserve"> </w:t>
      </w:r>
      <w:r>
        <w:rPr>
          <w:rFonts w:ascii="宋体" w:hAnsi="宋体" w:eastAsia="宋体" w:cs="宋体"/>
          <w:spacing w:val="-6"/>
          <w:sz w:val="24"/>
          <w:szCs w:val="24"/>
        </w:rPr>
        <w:t>应综合租赁时间、实际作</w:t>
      </w:r>
      <w:r>
        <w:rPr>
          <w:rFonts w:ascii="宋体" w:hAnsi="宋体" w:eastAsia="宋体" w:cs="宋体"/>
          <w:spacing w:val="-7"/>
          <w:sz w:val="24"/>
          <w:szCs w:val="24"/>
        </w:rPr>
        <w:t>业时</w:t>
      </w:r>
      <w:r>
        <w:rPr>
          <w:rFonts w:ascii="宋体" w:hAnsi="宋体" w:eastAsia="宋体" w:cs="宋体"/>
          <w:spacing w:val="-1"/>
          <w:sz w:val="24"/>
          <w:szCs w:val="24"/>
        </w:rPr>
        <w:t>间、实际完成工作量等计量租赁设备费用，防止“以租赁</w:t>
      </w:r>
      <w:r>
        <w:rPr>
          <w:rFonts w:ascii="宋体" w:hAnsi="宋体" w:eastAsia="宋体" w:cs="宋体"/>
          <w:spacing w:val="-2"/>
          <w:sz w:val="24"/>
          <w:szCs w:val="24"/>
        </w:rPr>
        <w:t>设备之名，行分包之实”。</w:t>
      </w:r>
    </w:p>
    <w:p w14:paraId="1A93E796">
      <w:pPr>
        <w:spacing w:line="360" w:lineRule="auto"/>
        <w:ind w:left="8" w:right="66" w:firstLine="498"/>
        <w:rPr>
          <w:rFonts w:ascii="宋体" w:hAnsi="宋体" w:eastAsia="宋体" w:cs="宋体"/>
          <w:sz w:val="24"/>
          <w:szCs w:val="24"/>
        </w:rPr>
      </w:pPr>
      <w:r>
        <w:rPr>
          <w:rFonts w:ascii="宋体" w:hAnsi="宋体" w:eastAsia="宋体" w:cs="宋体"/>
          <w:spacing w:val="-1"/>
          <w:sz w:val="24"/>
          <w:szCs w:val="24"/>
        </w:rPr>
        <w:t>13.2.14</w:t>
      </w:r>
      <w:r>
        <w:rPr>
          <w:rFonts w:ascii="宋体" w:hAnsi="宋体" w:eastAsia="宋体" w:cs="宋体"/>
          <w:spacing w:val="-40"/>
          <w:sz w:val="24"/>
          <w:szCs w:val="24"/>
        </w:rPr>
        <w:t xml:space="preserve"> </w:t>
      </w:r>
      <w:r>
        <w:rPr>
          <w:rFonts w:ascii="宋体" w:hAnsi="宋体" w:eastAsia="宋体" w:cs="宋体"/>
          <w:spacing w:val="-1"/>
          <w:sz w:val="24"/>
          <w:szCs w:val="24"/>
        </w:rPr>
        <w:t>承包人应对分包单位和劳务合作企业的失信行为负主要责任，要做好相关</w:t>
      </w:r>
      <w:r>
        <w:rPr>
          <w:rFonts w:ascii="宋体" w:hAnsi="宋体" w:eastAsia="宋体" w:cs="宋体"/>
          <w:spacing w:val="-2"/>
          <w:sz w:val="24"/>
          <w:szCs w:val="24"/>
        </w:rPr>
        <w:t>信用管理，按要求开展信用评价工作并建立台账，定期上报评价结果，相关信用行为纳</w:t>
      </w:r>
      <w:r>
        <w:rPr>
          <w:rFonts w:ascii="宋体" w:hAnsi="宋体" w:eastAsia="宋体" w:cs="宋体"/>
          <w:spacing w:val="-3"/>
          <w:sz w:val="24"/>
          <w:szCs w:val="24"/>
        </w:rPr>
        <w:t>入行业信用“红黑名单”管理。</w:t>
      </w:r>
    </w:p>
    <w:p w14:paraId="227E350D">
      <w:pPr>
        <w:spacing w:line="360" w:lineRule="auto"/>
        <w:ind w:left="7" w:right="66" w:firstLine="499"/>
        <w:rPr>
          <w:rFonts w:ascii="宋体" w:hAnsi="宋体" w:eastAsia="宋体" w:cs="宋体"/>
          <w:sz w:val="24"/>
          <w:szCs w:val="24"/>
        </w:rPr>
      </w:pPr>
      <w:r>
        <w:rPr>
          <w:rFonts w:ascii="宋体" w:hAnsi="宋体" w:eastAsia="宋体" w:cs="宋体"/>
          <w:spacing w:val="-1"/>
          <w:sz w:val="24"/>
          <w:szCs w:val="24"/>
        </w:rPr>
        <w:t>13.2.15</w:t>
      </w:r>
      <w:r>
        <w:rPr>
          <w:rFonts w:ascii="宋体" w:hAnsi="宋体" w:eastAsia="宋体" w:cs="宋体"/>
          <w:spacing w:val="-40"/>
          <w:sz w:val="24"/>
          <w:szCs w:val="24"/>
        </w:rPr>
        <w:t xml:space="preserve"> </w:t>
      </w:r>
      <w:r>
        <w:rPr>
          <w:rFonts w:ascii="宋体" w:hAnsi="宋体" w:eastAsia="宋体" w:cs="宋体"/>
          <w:spacing w:val="-1"/>
          <w:sz w:val="24"/>
          <w:szCs w:val="24"/>
        </w:rPr>
        <w:t>强化承包人“产品生产者”的主人翁意识，压实其施工主体责任。对于理应由承包人自行承担、承包人自行承担更加</w:t>
      </w:r>
      <w:r>
        <w:rPr>
          <w:rFonts w:ascii="宋体" w:hAnsi="宋体" w:eastAsia="宋体" w:cs="宋体"/>
          <w:spacing w:val="-2"/>
          <w:sz w:val="24"/>
          <w:szCs w:val="24"/>
        </w:rPr>
        <w:t>合理以及承包人自行承担更有利于压实其主</w:t>
      </w:r>
      <w:r>
        <w:rPr>
          <w:rFonts w:ascii="宋体" w:hAnsi="宋体" w:eastAsia="宋体" w:cs="宋体"/>
          <w:spacing w:val="-1"/>
          <w:sz w:val="24"/>
          <w:szCs w:val="24"/>
        </w:rPr>
        <w:t>体责任，但现状由监理单位负责的工作，应</w:t>
      </w:r>
      <w:r>
        <w:rPr>
          <w:rFonts w:ascii="宋体" w:hAnsi="宋体" w:eastAsia="宋体" w:cs="宋体"/>
          <w:spacing w:val="-2"/>
          <w:sz w:val="24"/>
          <w:szCs w:val="24"/>
        </w:rPr>
        <w:t>回归承包人自行承担和管理，以扭转承包人</w:t>
      </w:r>
      <w:r>
        <w:rPr>
          <w:rFonts w:ascii="宋体" w:hAnsi="宋体" w:eastAsia="宋体" w:cs="宋体"/>
          <w:spacing w:val="-5"/>
          <w:sz w:val="24"/>
          <w:szCs w:val="24"/>
        </w:rPr>
        <w:t>对监理单位“保姆式”管理的过多依赖。承包人应相应调整管理力量， 由发包人在招标文件中明确施工单位调整管理人员的数量及要求、在工程量清单中单列专项费用， 为该项改革工作的顺利实施提供人员和费用保障。当施工单位的自身管理力量不足时， 可聘</w:t>
      </w:r>
      <w:r>
        <w:rPr>
          <w:rFonts w:ascii="宋体" w:hAnsi="宋体" w:eastAsia="宋体" w:cs="宋体"/>
          <w:spacing w:val="-2"/>
          <w:sz w:val="24"/>
          <w:szCs w:val="24"/>
        </w:rPr>
        <w:t>请外部技术咨询单位协助管理，并纳入自身质量安全保证体系。</w:t>
      </w:r>
    </w:p>
    <w:p w14:paraId="334AE379">
      <w:pPr>
        <w:spacing w:line="219" w:lineRule="auto"/>
        <w:ind w:left="490"/>
        <w:rPr>
          <w:rFonts w:ascii="宋体" w:hAnsi="宋体" w:eastAsia="宋体" w:cs="宋体"/>
          <w:sz w:val="24"/>
          <w:szCs w:val="24"/>
        </w:rPr>
      </w:pPr>
      <w:r>
        <w:rPr>
          <w:rFonts w:ascii="宋体" w:hAnsi="宋体" w:eastAsia="宋体" w:cs="宋体"/>
          <w:spacing w:val="-5"/>
          <w:sz w:val="24"/>
          <w:szCs w:val="24"/>
        </w:rPr>
        <w:t>增加第</w:t>
      </w:r>
      <w:r>
        <w:rPr>
          <w:rFonts w:ascii="宋体" w:hAnsi="宋体" w:eastAsia="宋体" w:cs="宋体"/>
          <w:spacing w:val="-30"/>
          <w:sz w:val="24"/>
          <w:szCs w:val="24"/>
        </w:rPr>
        <w:t xml:space="preserve"> </w:t>
      </w:r>
      <w:r>
        <w:rPr>
          <w:rFonts w:ascii="宋体" w:hAnsi="宋体" w:eastAsia="宋体" w:cs="宋体"/>
          <w:spacing w:val="-5"/>
          <w:sz w:val="24"/>
          <w:szCs w:val="24"/>
        </w:rPr>
        <w:t>13.7～13.12</w:t>
      </w:r>
      <w:r>
        <w:rPr>
          <w:rFonts w:ascii="宋体" w:hAnsi="宋体" w:eastAsia="宋体" w:cs="宋体"/>
          <w:spacing w:val="-49"/>
          <w:sz w:val="24"/>
          <w:szCs w:val="24"/>
        </w:rPr>
        <w:t xml:space="preserve"> </w:t>
      </w:r>
      <w:r>
        <w:rPr>
          <w:rFonts w:ascii="宋体" w:hAnsi="宋体" w:eastAsia="宋体" w:cs="宋体"/>
          <w:spacing w:val="-5"/>
          <w:sz w:val="24"/>
          <w:szCs w:val="24"/>
        </w:rPr>
        <w:t>款：</w:t>
      </w:r>
    </w:p>
    <w:p w14:paraId="69DA824A">
      <w:pPr>
        <w:spacing w:before="182" w:line="220" w:lineRule="auto"/>
        <w:ind w:left="507"/>
        <w:rPr>
          <w:rFonts w:ascii="宋体" w:hAnsi="宋体" w:eastAsia="宋体" w:cs="宋体"/>
          <w:sz w:val="24"/>
          <w:szCs w:val="24"/>
        </w:rPr>
      </w:pPr>
      <w:r>
        <w:rPr>
          <w:rFonts w:ascii="宋体" w:hAnsi="宋体" w:eastAsia="宋体" w:cs="宋体"/>
          <w:spacing w:val="-4"/>
          <w:sz w:val="24"/>
          <w:szCs w:val="24"/>
        </w:rPr>
        <w:t>13.7</w:t>
      </w:r>
      <w:r>
        <w:rPr>
          <w:rFonts w:ascii="宋体" w:hAnsi="宋体" w:eastAsia="宋体" w:cs="宋体"/>
          <w:spacing w:val="-43"/>
          <w:sz w:val="24"/>
          <w:szCs w:val="24"/>
        </w:rPr>
        <w:t xml:space="preserve"> </w:t>
      </w:r>
      <w:r>
        <w:rPr>
          <w:rFonts w:ascii="宋体" w:hAnsi="宋体" w:eastAsia="宋体" w:cs="宋体"/>
          <w:spacing w:val="-4"/>
          <w:sz w:val="24"/>
          <w:szCs w:val="24"/>
        </w:rPr>
        <w:t>承包人偷工减料</w:t>
      </w:r>
    </w:p>
    <w:p w14:paraId="136F22A0">
      <w:pPr>
        <w:spacing w:before="182" w:line="360" w:lineRule="auto"/>
        <w:ind w:left="8" w:firstLine="480"/>
        <w:rPr>
          <w:rFonts w:ascii="宋体" w:hAnsi="宋体" w:eastAsia="宋体" w:cs="宋体"/>
          <w:sz w:val="24"/>
          <w:szCs w:val="24"/>
        </w:rPr>
      </w:pPr>
      <w:r>
        <w:rPr>
          <w:rFonts w:ascii="宋体" w:hAnsi="宋体" w:eastAsia="宋体" w:cs="宋体"/>
          <w:spacing w:val="-6"/>
          <w:sz w:val="24"/>
          <w:szCs w:val="24"/>
        </w:rPr>
        <w:t>承包人施工过程中存在偷工减料，有意降低工程质量，企图蒙</w:t>
      </w:r>
      <w:r>
        <w:rPr>
          <w:rFonts w:ascii="宋体" w:hAnsi="宋体" w:eastAsia="宋体" w:cs="宋体"/>
          <w:spacing w:val="-7"/>
          <w:sz w:val="24"/>
          <w:szCs w:val="24"/>
        </w:rPr>
        <w:t>骗发包人、监理人的，</w:t>
      </w:r>
      <w:r>
        <w:rPr>
          <w:rFonts w:ascii="宋体" w:hAnsi="宋体" w:eastAsia="宋体" w:cs="宋体"/>
          <w:spacing w:val="-2"/>
          <w:sz w:val="24"/>
          <w:szCs w:val="24"/>
        </w:rPr>
        <w:t>属于承包人违约，经发包人发现确认，情节严重的，发包人有权单方终止合同，另选承</w:t>
      </w:r>
      <w:r>
        <w:rPr>
          <w:rFonts w:ascii="宋体" w:hAnsi="宋体" w:eastAsia="宋体" w:cs="宋体"/>
          <w:spacing w:val="-5"/>
          <w:sz w:val="24"/>
          <w:szCs w:val="24"/>
        </w:rPr>
        <w:t>包人进行剩余工程的施工。发包人按照承包人自开工以来， 至发包人发出终止合同的函</w:t>
      </w:r>
      <w:r>
        <w:rPr>
          <w:rFonts w:ascii="宋体" w:hAnsi="宋体" w:eastAsia="宋体" w:cs="宋体"/>
          <w:sz w:val="24"/>
          <w:szCs w:val="24"/>
        </w:rPr>
        <w:t>件止所完成的工程量与承包人清算，因承包人退场产生的所有费用由承包人自行负责，</w:t>
      </w:r>
      <w:r>
        <w:rPr>
          <w:rFonts w:ascii="宋体" w:hAnsi="宋体" w:eastAsia="宋体" w:cs="宋体"/>
          <w:spacing w:val="-5"/>
          <w:sz w:val="24"/>
          <w:szCs w:val="24"/>
        </w:rPr>
        <w:t>发包人不因此额外补偿任何费用。同时， 发包人单方终止合同并不免除承包人修复已施</w:t>
      </w:r>
      <w:r>
        <w:rPr>
          <w:rFonts w:ascii="宋体" w:hAnsi="宋体" w:eastAsia="宋体" w:cs="宋体"/>
          <w:spacing w:val="-4"/>
          <w:sz w:val="24"/>
          <w:szCs w:val="24"/>
        </w:rPr>
        <w:t>工的不合格工程的责任。</w:t>
      </w:r>
    </w:p>
    <w:p w14:paraId="48A01614">
      <w:pPr>
        <w:spacing w:line="219" w:lineRule="auto"/>
        <w:ind w:left="507"/>
        <w:rPr>
          <w:rFonts w:ascii="宋体" w:hAnsi="宋体" w:eastAsia="宋体" w:cs="宋体"/>
          <w:sz w:val="24"/>
          <w:szCs w:val="24"/>
        </w:rPr>
      </w:pPr>
      <w:r>
        <w:rPr>
          <w:rFonts w:ascii="宋体" w:hAnsi="宋体" w:eastAsia="宋体" w:cs="宋体"/>
          <w:spacing w:val="-4"/>
          <w:sz w:val="24"/>
          <w:szCs w:val="24"/>
        </w:rPr>
        <w:t>13.8</w:t>
      </w:r>
      <w:r>
        <w:rPr>
          <w:rFonts w:ascii="宋体" w:hAnsi="宋体" w:eastAsia="宋体" w:cs="宋体"/>
          <w:spacing w:val="-43"/>
          <w:sz w:val="24"/>
          <w:szCs w:val="24"/>
        </w:rPr>
        <w:t xml:space="preserve"> </w:t>
      </w:r>
      <w:r>
        <w:rPr>
          <w:rFonts w:ascii="宋体" w:hAnsi="宋体" w:eastAsia="宋体" w:cs="宋体"/>
          <w:spacing w:val="-4"/>
          <w:sz w:val="24"/>
          <w:szCs w:val="24"/>
        </w:rPr>
        <w:t>承包人质量自检</w:t>
      </w:r>
    </w:p>
    <w:p w14:paraId="0D2F7639">
      <w:pPr>
        <w:spacing w:before="182" w:line="360" w:lineRule="auto"/>
        <w:ind w:left="8" w:right="66" w:firstLine="480"/>
        <w:rPr>
          <w:rFonts w:ascii="宋体" w:hAnsi="宋体" w:eastAsia="宋体" w:cs="宋体"/>
          <w:sz w:val="24"/>
          <w:szCs w:val="24"/>
        </w:rPr>
      </w:pPr>
      <w:r>
        <w:rPr>
          <w:rFonts w:ascii="宋体" w:hAnsi="宋体" w:eastAsia="宋体" w:cs="宋体"/>
          <w:spacing w:val="-2"/>
          <w:sz w:val="24"/>
          <w:szCs w:val="24"/>
        </w:rPr>
        <w:t>承包人必须建立完善的质量自检体系，对已完工程进行严格的质量自检，只有自检合格的工程才能向监理人、发包人提出验收和计量的申请。监理人在收到验收申请后的48</w:t>
      </w:r>
      <w:r>
        <w:rPr>
          <w:rFonts w:ascii="宋体" w:hAnsi="宋体" w:eastAsia="宋体" w:cs="宋体"/>
          <w:spacing w:val="-29"/>
          <w:sz w:val="24"/>
          <w:szCs w:val="24"/>
        </w:rPr>
        <w:t xml:space="preserve"> </w:t>
      </w:r>
      <w:r>
        <w:rPr>
          <w:rFonts w:ascii="宋体" w:hAnsi="宋体" w:eastAsia="宋体" w:cs="宋体"/>
          <w:spacing w:val="-2"/>
          <w:sz w:val="24"/>
          <w:szCs w:val="24"/>
        </w:rPr>
        <w:t>小时内对工程进行抽检和验收，对抽检不合格的工程由承包人自费修复或返工。</w:t>
      </w:r>
    </w:p>
    <w:p w14:paraId="79ED6D2E">
      <w:pPr>
        <w:spacing w:before="1" w:line="219" w:lineRule="auto"/>
        <w:ind w:left="507"/>
        <w:rPr>
          <w:rFonts w:ascii="宋体" w:hAnsi="宋体" w:eastAsia="宋体" w:cs="宋体"/>
          <w:sz w:val="24"/>
          <w:szCs w:val="24"/>
        </w:rPr>
      </w:pPr>
      <w:r>
        <w:rPr>
          <w:rFonts w:ascii="宋体" w:hAnsi="宋体" w:eastAsia="宋体" w:cs="宋体"/>
          <w:spacing w:val="-4"/>
          <w:sz w:val="24"/>
          <w:szCs w:val="24"/>
        </w:rPr>
        <w:t>13.9</w:t>
      </w:r>
      <w:r>
        <w:rPr>
          <w:rFonts w:ascii="宋体" w:hAnsi="宋体" w:eastAsia="宋体" w:cs="宋体"/>
          <w:spacing w:val="-43"/>
          <w:sz w:val="24"/>
          <w:szCs w:val="24"/>
        </w:rPr>
        <w:t xml:space="preserve"> </w:t>
      </w:r>
      <w:r>
        <w:rPr>
          <w:rFonts w:ascii="宋体" w:hAnsi="宋体" w:eastAsia="宋体" w:cs="宋体"/>
          <w:spacing w:val="-4"/>
          <w:sz w:val="24"/>
          <w:szCs w:val="24"/>
        </w:rPr>
        <w:t>不定期现场检查</w:t>
      </w:r>
    </w:p>
    <w:p w14:paraId="3DDFF2EF">
      <w:pPr>
        <w:spacing w:before="183" w:line="360" w:lineRule="auto"/>
        <w:ind w:left="11" w:right="66" w:firstLine="481"/>
        <w:rPr>
          <w:rFonts w:ascii="宋体" w:hAnsi="宋体" w:eastAsia="宋体" w:cs="宋体"/>
          <w:sz w:val="24"/>
          <w:szCs w:val="24"/>
        </w:rPr>
      </w:pPr>
      <w:r>
        <w:rPr>
          <w:rFonts w:ascii="宋体" w:hAnsi="宋体" w:eastAsia="宋体" w:cs="宋体"/>
          <w:spacing w:val="-2"/>
          <w:sz w:val="24"/>
          <w:szCs w:val="24"/>
        </w:rPr>
        <w:t>发包人和监理人将不定期进行现场检查，对检查结果按本合同《工程质量、安全及文明施工违约项目一览表》进行处理，承包人必须接受。</w:t>
      </w:r>
    </w:p>
    <w:p w14:paraId="13DA9970">
      <w:pPr>
        <w:spacing w:before="1" w:line="220" w:lineRule="auto"/>
        <w:ind w:left="507"/>
        <w:rPr>
          <w:rFonts w:ascii="宋体" w:hAnsi="宋体" w:eastAsia="宋体" w:cs="宋体"/>
          <w:sz w:val="24"/>
          <w:szCs w:val="24"/>
        </w:rPr>
      </w:pPr>
      <w:r>
        <w:rPr>
          <w:rFonts w:ascii="宋体" w:hAnsi="宋体" w:eastAsia="宋体" w:cs="宋体"/>
          <w:spacing w:val="-4"/>
          <w:sz w:val="24"/>
          <w:szCs w:val="24"/>
        </w:rPr>
        <w:t>13.10</w:t>
      </w:r>
      <w:r>
        <w:rPr>
          <w:rFonts w:ascii="宋体" w:hAnsi="宋体" w:eastAsia="宋体" w:cs="宋体"/>
          <w:spacing w:val="-51"/>
          <w:sz w:val="24"/>
          <w:szCs w:val="24"/>
        </w:rPr>
        <w:t xml:space="preserve"> </w:t>
      </w:r>
      <w:r>
        <w:rPr>
          <w:rFonts w:ascii="宋体" w:hAnsi="宋体" w:eastAsia="宋体" w:cs="宋体"/>
          <w:spacing w:val="-4"/>
          <w:sz w:val="24"/>
          <w:szCs w:val="24"/>
        </w:rPr>
        <w:t>施工误差</w:t>
      </w:r>
    </w:p>
    <w:p w14:paraId="738B945D">
      <w:pPr>
        <w:spacing w:line="220" w:lineRule="auto"/>
        <w:rPr>
          <w:rFonts w:ascii="宋体" w:hAnsi="宋体" w:eastAsia="宋体" w:cs="宋体"/>
          <w:sz w:val="24"/>
          <w:szCs w:val="24"/>
        </w:rPr>
        <w:sectPr>
          <w:footerReference r:id="rId94" w:type="default"/>
          <w:pgSz w:w="11905" w:h="16840"/>
          <w:pgMar w:top="1182" w:right="1349" w:bottom="1171" w:left="1416" w:header="849" w:footer="937" w:gutter="0"/>
          <w:pgNumType w:fmt="decimal"/>
          <w:cols w:space="720" w:num="1"/>
        </w:sectPr>
      </w:pPr>
    </w:p>
    <w:p w14:paraId="5639B599">
      <w:pPr>
        <w:pStyle w:val="2"/>
        <w:spacing w:line="267" w:lineRule="auto"/>
      </w:pPr>
    </w:p>
    <w:p w14:paraId="013F2F2B">
      <w:pPr>
        <w:spacing w:before="78" w:line="220" w:lineRule="auto"/>
        <w:ind w:left="488"/>
        <w:rPr>
          <w:rFonts w:ascii="宋体" w:hAnsi="宋体" w:eastAsia="宋体" w:cs="宋体"/>
          <w:sz w:val="24"/>
          <w:szCs w:val="24"/>
        </w:rPr>
      </w:pPr>
      <w:r>
        <w:rPr>
          <w:rFonts w:ascii="宋体" w:hAnsi="宋体" w:eastAsia="宋体" w:cs="宋体"/>
          <w:spacing w:val="-2"/>
          <w:sz w:val="24"/>
          <w:szCs w:val="24"/>
        </w:rPr>
        <w:t>施工质量不满足要求的，承包人须承担一切返工费</w:t>
      </w:r>
      <w:r>
        <w:rPr>
          <w:rFonts w:ascii="宋体" w:hAnsi="宋体" w:eastAsia="宋体" w:cs="宋体"/>
          <w:spacing w:val="-3"/>
          <w:sz w:val="24"/>
          <w:szCs w:val="24"/>
        </w:rPr>
        <w:t>用。其中：</w:t>
      </w:r>
    </w:p>
    <w:p w14:paraId="7DD90446">
      <w:pPr>
        <w:spacing w:before="182" w:line="360" w:lineRule="auto"/>
        <w:ind w:left="10" w:firstLine="485"/>
        <w:rPr>
          <w:rFonts w:ascii="宋体" w:hAnsi="宋体" w:eastAsia="宋体" w:cs="宋体"/>
          <w:sz w:val="24"/>
          <w:szCs w:val="24"/>
        </w:rPr>
      </w:pPr>
      <w:r>
        <w:rPr>
          <w:rFonts w:ascii="宋体" w:hAnsi="宋体" w:eastAsia="宋体" w:cs="宋体"/>
          <w:spacing w:val="-4"/>
          <w:sz w:val="24"/>
          <w:szCs w:val="24"/>
        </w:rPr>
        <w:t>（1）路基交工时，如有部分路基高出设计</w:t>
      </w:r>
      <w:r>
        <w:rPr>
          <w:rFonts w:ascii="宋体" w:hAnsi="宋体" w:eastAsia="宋体" w:cs="宋体"/>
          <w:spacing w:val="-33"/>
          <w:sz w:val="24"/>
          <w:szCs w:val="24"/>
        </w:rPr>
        <w:t xml:space="preserve"> </w:t>
      </w:r>
      <w:r>
        <w:rPr>
          <w:rFonts w:ascii="宋体" w:hAnsi="宋体" w:eastAsia="宋体" w:cs="宋体"/>
          <w:spacing w:val="-4"/>
          <w:sz w:val="24"/>
          <w:szCs w:val="24"/>
        </w:rPr>
        <w:t>1cm，则由路基桥涵承包人修整。若部分</w:t>
      </w:r>
      <w:r>
        <w:rPr>
          <w:rFonts w:ascii="宋体" w:hAnsi="宋体" w:eastAsia="宋体" w:cs="宋体"/>
          <w:sz w:val="24"/>
          <w:szCs w:val="24"/>
        </w:rPr>
        <w:t>路基低于设计</w:t>
      </w:r>
      <w:r>
        <w:rPr>
          <w:rFonts w:ascii="宋体" w:hAnsi="宋体" w:eastAsia="宋体" w:cs="宋体"/>
          <w:spacing w:val="-29"/>
          <w:sz w:val="24"/>
          <w:szCs w:val="24"/>
        </w:rPr>
        <w:t xml:space="preserve"> </w:t>
      </w:r>
      <w:r>
        <w:rPr>
          <w:rFonts w:ascii="宋体" w:hAnsi="宋体" w:eastAsia="宋体" w:cs="宋体"/>
          <w:sz w:val="24"/>
          <w:szCs w:val="24"/>
        </w:rPr>
        <w:t>1.5cm（土质）或</w:t>
      </w:r>
      <w:r>
        <w:rPr>
          <w:rFonts w:ascii="宋体" w:hAnsi="宋体" w:eastAsia="宋体" w:cs="宋体"/>
          <w:spacing w:val="-43"/>
          <w:sz w:val="24"/>
          <w:szCs w:val="24"/>
        </w:rPr>
        <w:t xml:space="preserve"> </w:t>
      </w:r>
      <w:r>
        <w:rPr>
          <w:rFonts w:ascii="宋体" w:hAnsi="宋体" w:eastAsia="宋体" w:cs="宋体"/>
          <w:sz w:val="24"/>
          <w:szCs w:val="24"/>
        </w:rPr>
        <w:t>2.0cm（石质</w:t>
      </w:r>
      <w:r>
        <w:rPr>
          <w:rFonts w:ascii="宋体" w:hAnsi="宋体" w:eastAsia="宋体" w:cs="宋体"/>
          <w:spacing w:val="5"/>
          <w:sz w:val="24"/>
          <w:szCs w:val="24"/>
        </w:rPr>
        <w:t>），</w:t>
      </w:r>
      <w:r>
        <w:rPr>
          <w:rFonts w:ascii="宋体" w:hAnsi="宋体" w:eastAsia="宋体" w:cs="宋体"/>
          <w:sz w:val="24"/>
          <w:szCs w:val="24"/>
        </w:rPr>
        <w:t>低于的部分则由路面承包</w:t>
      </w:r>
      <w:r>
        <w:rPr>
          <w:rFonts w:ascii="宋体" w:hAnsi="宋体" w:eastAsia="宋体" w:cs="宋体"/>
          <w:spacing w:val="-1"/>
          <w:sz w:val="24"/>
          <w:szCs w:val="24"/>
        </w:rPr>
        <w:t>人使用规定</w:t>
      </w:r>
      <w:r>
        <w:rPr>
          <w:rFonts w:ascii="宋体" w:hAnsi="宋体" w:eastAsia="宋体" w:cs="宋体"/>
          <w:spacing w:val="-2"/>
          <w:sz w:val="24"/>
          <w:szCs w:val="24"/>
        </w:rPr>
        <w:t>填料进行回填，相关费用由路基桥涵承包人承担，在该标准以内的部分，由路面承包人使用规定的填料进行回填，费用包含在路面标的投标报价中，不另行计算。若路槽开挖由路面承包人负责施工的，超出允许偏差的处理则由路面承包人负责并承担费用。所有</w:t>
      </w:r>
      <w:r>
        <w:rPr>
          <w:rFonts w:ascii="宋体" w:hAnsi="宋体" w:eastAsia="宋体" w:cs="宋体"/>
          <w:spacing w:val="-3"/>
          <w:sz w:val="24"/>
          <w:szCs w:val="24"/>
        </w:rPr>
        <w:t>整修方法须按照监理人的指令执行。</w:t>
      </w:r>
    </w:p>
    <w:p w14:paraId="4B00BBC3">
      <w:pPr>
        <w:spacing w:line="360" w:lineRule="auto"/>
        <w:ind w:left="9" w:firstLine="486"/>
        <w:rPr>
          <w:rFonts w:ascii="宋体" w:hAnsi="宋体" w:eastAsia="宋体" w:cs="宋体"/>
          <w:sz w:val="24"/>
          <w:szCs w:val="24"/>
        </w:rPr>
      </w:pPr>
      <w:r>
        <w:rPr>
          <w:rFonts w:ascii="宋体" w:hAnsi="宋体" w:eastAsia="宋体" w:cs="宋体"/>
          <w:spacing w:val="1"/>
          <w:sz w:val="24"/>
          <w:szCs w:val="24"/>
        </w:rPr>
        <w:t>（2）由现浇或预制梁板的上拱度造成的桥面铺装（调平层、沥青面层）工程量变</w:t>
      </w:r>
      <w:r>
        <w:rPr>
          <w:rFonts w:ascii="宋体" w:hAnsi="宋体" w:eastAsia="宋体" w:cs="宋体"/>
          <w:spacing w:val="-2"/>
          <w:sz w:val="24"/>
          <w:szCs w:val="24"/>
        </w:rPr>
        <w:t>化，超过标准规定范围外引起的调坡所增加的费用，由梁板预制承包人和该合同段路基</w:t>
      </w:r>
      <w:r>
        <w:rPr>
          <w:rFonts w:ascii="宋体" w:hAnsi="宋体" w:eastAsia="宋体" w:cs="宋体"/>
          <w:sz w:val="24"/>
          <w:szCs w:val="24"/>
        </w:rPr>
        <w:t>桥涵承包人各承担</w:t>
      </w:r>
      <w:r>
        <w:rPr>
          <w:rFonts w:ascii="宋体" w:hAnsi="宋体" w:eastAsia="宋体" w:cs="宋体"/>
          <w:spacing w:val="-46"/>
          <w:sz w:val="24"/>
          <w:szCs w:val="24"/>
        </w:rPr>
        <w:t xml:space="preserve"> </w:t>
      </w:r>
      <w:r>
        <w:rPr>
          <w:rFonts w:ascii="宋体" w:hAnsi="宋体" w:eastAsia="宋体" w:cs="宋体"/>
          <w:sz w:val="24"/>
          <w:szCs w:val="24"/>
        </w:rPr>
        <w:t>50%；不需调坡时，桥面铺装（</w:t>
      </w:r>
      <w:r>
        <w:rPr>
          <w:rFonts w:ascii="宋体" w:hAnsi="宋体" w:eastAsia="宋体" w:cs="宋体"/>
          <w:spacing w:val="-1"/>
          <w:sz w:val="24"/>
          <w:szCs w:val="24"/>
        </w:rPr>
        <w:t>调平层、沥青面层）工程量的偏差的</w:t>
      </w:r>
      <w:r>
        <w:rPr>
          <w:rFonts w:ascii="宋体" w:hAnsi="宋体" w:eastAsia="宋体" w:cs="宋体"/>
          <w:spacing w:val="-5"/>
          <w:sz w:val="24"/>
          <w:szCs w:val="24"/>
        </w:rPr>
        <w:t>风险由该合同段路基桥涵承包人承担。在标准规定范围内的部分， 由路面承包人使用规</w:t>
      </w:r>
      <w:r>
        <w:rPr>
          <w:rFonts w:ascii="宋体" w:hAnsi="宋体" w:eastAsia="宋体" w:cs="宋体"/>
          <w:spacing w:val="-2"/>
          <w:sz w:val="24"/>
          <w:szCs w:val="24"/>
        </w:rPr>
        <w:t>定的填料进行回填，费用包含在路面标的投标报价中，不另行计算。</w:t>
      </w:r>
    </w:p>
    <w:p w14:paraId="320B2A7F">
      <w:pPr>
        <w:spacing w:line="360" w:lineRule="auto"/>
        <w:ind w:left="9" w:firstLine="486"/>
        <w:rPr>
          <w:rFonts w:ascii="宋体" w:hAnsi="宋体" w:eastAsia="宋体" w:cs="宋体"/>
          <w:sz w:val="24"/>
          <w:szCs w:val="24"/>
        </w:rPr>
      </w:pPr>
      <w:r>
        <w:rPr>
          <w:rFonts w:ascii="宋体" w:hAnsi="宋体" w:eastAsia="宋体" w:cs="宋体"/>
          <w:spacing w:val="1"/>
          <w:sz w:val="24"/>
          <w:szCs w:val="24"/>
        </w:rPr>
        <w:t>（3）路基桥涵工程完工后，由监理人组织桥涵分段中间交工验收，承包人应保证</w:t>
      </w:r>
      <w:r>
        <w:rPr>
          <w:rFonts w:ascii="宋体" w:hAnsi="宋体" w:eastAsia="宋体" w:cs="宋体"/>
          <w:spacing w:val="-2"/>
          <w:sz w:val="24"/>
          <w:szCs w:val="24"/>
        </w:rPr>
        <w:t>桥面整体化层整洁，无浮浆。桥涵承包人桥面整体化的浮浆清理须满足监理人和发包人的要求，如桥面整体化层浮浆未清理干净或未清理彻底，未取得监理人认可，则由监理人督促桥涵承包人限期清理，逾期未清理干净的或清理效果未取得监理人认可，则发包人视情况，将桥面整体化层浮浆清理工作，转由路面承包人进行精铣刨处理，相关费用</w:t>
      </w:r>
      <w:r>
        <w:rPr>
          <w:rFonts w:ascii="宋体" w:hAnsi="宋体" w:eastAsia="宋体" w:cs="宋体"/>
          <w:spacing w:val="-5"/>
          <w:sz w:val="24"/>
          <w:szCs w:val="24"/>
        </w:rPr>
        <w:t>由桥涵承包人承担。</w:t>
      </w:r>
    </w:p>
    <w:p w14:paraId="0E40D965">
      <w:pPr>
        <w:spacing w:line="218" w:lineRule="auto"/>
        <w:ind w:left="507"/>
        <w:rPr>
          <w:rFonts w:ascii="宋体" w:hAnsi="宋体" w:eastAsia="宋体" w:cs="宋体"/>
          <w:sz w:val="24"/>
          <w:szCs w:val="24"/>
        </w:rPr>
      </w:pPr>
      <w:r>
        <w:rPr>
          <w:rFonts w:ascii="宋体" w:hAnsi="宋体" w:eastAsia="宋体" w:cs="宋体"/>
          <w:spacing w:val="-4"/>
          <w:sz w:val="24"/>
          <w:szCs w:val="24"/>
        </w:rPr>
        <w:t>13.11</w:t>
      </w:r>
      <w:r>
        <w:rPr>
          <w:rFonts w:ascii="宋体" w:hAnsi="宋体" w:eastAsia="宋体" w:cs="宋体"/>
          <w:spacing w:val="-43"/>
          <w:sz w:val="24"/>
          <w:szCs w:val="24"/>
        </w:rPr>
        <w:t xml:space="preserve"> </w:t>
      </w:r>
      <w:r>
        <w:rPr>
          <w:rFonts w:ascii="宋体" w:hAnsi="宋体" w:eastAsia="宋体" w:cs="宋体"/>
          <w:spacing w:val="-4"/>
          <w:sz w:val="24"/>
          <w:szCs w:val="24"/>
        </w:rPr>
        <w:t>优质优价价款</w:t>
      </w:r>
    </w:p>
    <w:p w14:paraId="5C7A040D">
      <w:pPr>
        <w:spacing w:before="184" w:line="360" w:lineRule="auto"/>
        <w:ind w:left="9" w:firstLine="479"/>
        <w:rPr>
          <w:rFonts w:ascii="宋体" w:hAnsi="宋体" w:eastAsia="宋体" w:cs="宋体"/>
          <w:sz w:val="24"/>
          <w:szCs w:val="24"/>
        </w:rPr>
      </w:pPr>
      <w:r>
        <w:rPr>
          <w:rFonts w:ascii="宋体" w:hAnsi="宋体" w:eastAsia="宋体" w:cs="宋体"/>
          <w:spacing w:val="-6"/>
          <w:sz w:val="24"/>
          <w:szCs w:val="24"/>
        </w:rPr>
        <w:t>在本项目建设全过程中，全面推行“双标管理”（标准化管理、标杆管理）</w:t>
      </w:r>
      <w:r>
        <w:rPr>
          <w:rFonts w:ascii="宋体" w:hAnsi="宋体" w:eastAsia="宋体" w:cs="宋体"/>
          <w:spacing w:val="38"/>
          <w:sz w:val="24"/>
          <w:szCs w:val="24"/>
        </w:rPr>
        <w:t xml:space="preserve"> </w:t>
      </w:r>
      <w:r>
        <w:rPr>
          <w:rFonts w:ascii="宋体" w:hAnsi="宋体" w:eastAsia="宋体" w:cs="宋体"/>
          <w:spacing w:val="-6"/>
          <w:sz w:val="24"/>
          <w:szCs w:val="24"/>
        </w:rPr>
        <w:t>，建立</w:t>
      </w:r>
      <w:r>
        <w:rPr>
          <w:rFonts w:ascii="宋体" w:hAnsi="宋体" w:eastAsia="宋体" w:cs="宋体"/>
          <w:spacing w:val="-2"/>
          <w:sz w:val="24"/>
          <w:szCs w:val="24"/>
        </w:rPr>
        <w:t>工程质量优质优价奖罚制度，激励承包人提高工程质量和管理水平，具体按发包人根据广东省交通运输厅《关于印发广东省高速公路工程优质优价和施工监理优监优酬实施意</w:t>
      </w:r>
      <w:r>
        <w:rPr>
          <w:rFonts w:ascii="宋体" w:hAnsi="宋体" w:eastAsia="宋体" w:cs="宋体"/>
          <w:spacing w:val="-3"/>
          <w:sz w:val="24"/>
          <w:szCs w:val="24"/>
        </w:rPr>
        <w:t>见的通知》等文件制订的实施细则执行。</w:t>
      </w:r>
    </w:p>
    <w:p w14:paraId="4115D8DE">
      <w:pPr>
        <w:spacing w:line="360" w:lineRule="auto"/>
        <w:ind w:left="12" w:firstLine="480"/>
        <w:jc w:val="both"/>
        <w:rPr>
          <w:rFonts w:ascii="宋体" w:hAnsi="宋体" w:eastAsia="宋体" w:cs="宋体"/>
          <w:sz w:val="24"/>
          <w:szCs w:val="24"/>
        </w:rPr>
      </w:pPr>
      <w:r>
        <w:rPr>
          <w:rFonts w:ascii="宋体" w:hAnsi="宋体" w:eastAsia="宋体" w:cs="宋体"/>
          <w:spacing w:val="-2"/>
          <w:sz w:val="24"/>
          <w:szCs w:val="24"/>
        </w:rPr>
        <w:t>发包人将根据工程实际开展各项工程的质量评比和奖罚，项目（如项目采</w:t>
      </w:r>
      <w:r>
        <w:rPr>
          <w:rFonts w:ascii="宋体" w:hAnsi="宋体" w:eastAsia="宋体" w:cs="宋体"/>
          <w:spacing w:val="-3"/>
          <w:sz w:val="24"/>
          <w:szCs w:val="24"/>
        </w:rPr>
        <w:t>用分段管</w:t>
      </w:r>
      <w:r>
        <w:rPr>
          <w:rFonts w:ascii="宋体" w:hAnsi="宋体" w:eastAsia="宋体" w:cs="宋体"/>
          <w:spacing w:val="-2"/>
          <w:sz w:val="24"/>
          <w:szCs w:val="24"/>
        </w:rPr>
        <w:t>理，则按项目段计列）用于奖励的金额比例详见项目专用合同条款数据表的约定，由项</w:t>
      </w:r>
      <w:r>
        <w:rPr>
          <w:rFonts w:ascii="宋体" w:hAnsi="宋体" w:eastAsia="宋体" w:cs="宋体"/>
          <w:spacing w:val="-7"/>
          <w:sz w:val="24"/>
          <w:szCs w:val="24"/>
        </w:rPr>
        <w:t>目统筹使用。</w:t>
      </w:r>
    </w:p>
    <w:p w14:paraId="3CC3848F">
      <w:pPr>
        <w:spacing w:line="219" w:lineRule="auto"/>
        <w:ind w:left="507"/>
        <w:rPr>
          <w:rFonts w:ascii="宋体" w:hAnsi="宋体" w:eastAsia="宋体" w:cs="宋体"/>
          <w:sz w:val="24"/>
          <w:szCs w:val="24"/>
        </w:rPr>
      </w:pPr>
      <w:r>
        <w:rPr>
          <w:rFonts w:ascii="宋体" w:hAnsi="宋体" w:eastAsia="宋体" w:cs="宋体"/>
          <w:spacing w:val="-3"/>
          <w:sz w:val="24"/>
          <w:szCs w:val="24"/>
        </w:rPr>
        <w:t>13.12</w:t>
      </w:r>
      <w:r>
        <w:rPr>
          <w:rFonts w:ascii="宋体" w:hAnsi="宋体" w:eastAsia="宋体" w:cs="宋体"/>
          <w:spacing w:val="-37"/>
          <w:sz w:val="24"/>
          <w:szCs w:val="24"/>
        </w:rPr>
        <w:t xml:space="preserve"> </w:t>
      </w:r>
      <w:r>
        <w:rPr>
          <w:rFonts w:ascii="宋体" w:hAnsi="宋体" w:eastAsia="宋体" w:cs="宋体"/>
          <w:spacing w:val="-3"/>
          <w:sz w:val="24"/>
          <w:szCs w:val="24"/>
        </w:rPr>
        <w:t>未解除承包人的义务和责任</w:t>
      </w:r>
    </w:p>
    <w:p w14:paraId="0C5620F5">
      <w:pPr>
        <w:spacing w:before="184" w:line="361" w:lineRule="auto"/>
        <w:ind w:left="12" w:firstLine="477"/>
        <w:rPr>
          <w:rFonts w:ascii="宋体" w:hAnsi="宋体" w:eastAsia="宋体" w:cs="宋体"/>
          <w:sz w:val="24"/>
          <w:szCs w:val="24"/>
        </w:rPr>
      </w:pPr>
      <w:r>
        <w:rPr>
          <w:rFonts w:ascii="宋体" w:hAnsi="宋体" w:eastAsia="宋体" w:cs="宋体"/>
          <w:spacing w:val="-2"/>
          <w:sz w:val="24"/>
          <w:szCs w:val="24"/>
        </w:rPr>
        <w:t>承包人是工程质量的直接责任人，监理人对工程材料和施工工艺的认可或对工程进行验收和计量支付，并不免除承包人对这些工程的合同责任。承包人不但应对质量缺陷或质量事故进行自费修复或返工，还应承担由此带来的一切损失。如承包人出现严重的</w:t>
      </w:r>
    </w:p>
    <w:p w14:paraId="6A4CC999">
      <w:pPr>
        <w:spacing w:line="361" w:lineRule="auto"/>
        <w:rPr>
          <w:rFonts w:ascii="宋体" w:hAnsi="宋体" w:eastAsia="宋体" w:cs="宋体"/>
          <w:sz w:val="24"/>
          <w:szCs w:val="24"/>
        </w:rPr>
        <w:sectPr>
          <w:headerReference r:id="rId95" w:type="default"/>
          <w:footerReference r:id="rId96" w:type="default"/>
          <w:pgSz w:w="11905" w:h="16840"/>
          <w:pgMar w:top="1182" w:right="1416" w:bottom="1171" w:left="1416" w:header="849" w:footer="937" w:gutter="0"/>
          <w:pgNumType w:fmt="decimal"/>
          <w:cols w:space="720" w:num="1"/>
        </w:sectPr>
      </w:pPr>
    </w:p>
    <w:p w14:paraId="479FA444">
      <w:pPr>
        <w:pStyle w:val="2"/>
        <w:spacing w:line="268" w:lineRule="auto"/>
      </w:pPr>
    </w:p>
    <w:p w14:paraId="7DB12D03">
      <w:pPr>
        <w:spacing w:before="78" w:line="360" w:lineRule="auto"/>
        <w:ind w:left="12" w:right="186" w:hanging="2"/>
        <w:rPr>
          <w:rFonts w:ascii="宋体" w:hAnsi="宋体" w:eastAsia="宋体" w:cs="宋体"/>
          <w:sz w:val="24"/>
          <w:szCs w:val="24"/>
        </w:rPr>
      </w:pPr>
      <w:r>
        <w:rPr>
          <w:rFonts w:ascii="宋体" w:hAnsi="宋体" w:eastAsia="宋体" w:cs="宋体"/>
          <w:spacing w:val="-2"/>
          <w:sz w:val="24"/>
          <w:szCs w:val="24"/>
        </w:rPr>
        <w:t>质量缺陷或质量事故，除应承担上述责任和处罚外，视为承包人违约，发包人有权单方</w:t>
      </w:r>
      <w:r>
        <w:rPr>
          <w:rFonts w:ascii="宋体" w:hAnsi="宋体" w:eastAsia="宋体" w:cs="宋体"/>
          <w:spacing w:val="-8"/>
          <w:sz w:val="24"/>
          <w:szCs w:val="24"/>
        </w:rPr>
        <w:t>终止合同。</w:t>
      </w:r>
    </w:p>
    <w:p w14:paraId="67CC600B">
      <w:pPr>
        <w:spacing w:before="1" w:line="220" w:lineRule="auto"/>
        <w:ind w:left="507"/>
        <w:rPr>
          <w:rFonts w:ascii="宋体" w:hAnsi="宋体" w:eastAsia="宋体" w:cs="宋体"/>
          <w:sz w:val="24"/>
          <w:szCs w:val="24"/>
        </w:rPr>
      </w:pPr>
      <w:r>
        <w:rPr>
          <w:rFonts w:ascii="宋体" w:hAnsi="宋体" w:eastAsia="宋体" w:cs="宋体"/>
          <w:b/>
          <w:bCs/>
          <w:spacing w:val="-9"/>
          <w:sz w:val="24"/>
          <w:szCs w:val="24"/>
        </w:rPr>
        <w:t>15.</w:t>
      </w:r>
      <w:r>
        <w:rPr>
          <w:rFonts w:ascii="宋体" w:hAnsi="宋体" w:eastAsia="宋体" w:cs="宋体"/>
          <w:spacing w:val="11"/>
          <w:sz w:val="24"/>
          <w:szCs w:val="24"/>
        </w:rPr>
        <w:t xml:space="preserve"> </w:t>
      </w:r>
      <w:r>
        <w:rPr>
          <w:rFonts w:ascii="宋体" w:hAnsi="宋体" w:eastAsia="宋体" w:cs="宋体"/>
          <w:b/>
          <w:bCs/>
          <w:spacing w:val="-9"/>
          <w:sz w:val="24"/>
          <w:szCs w:val="24"/>
        </w:rPr>
        <w:t>变更</w:t>
      </w:r>
    </w:p>
    <w:p w14:paraId="62A8CDCC">
      <w:pPr>
        <w:spacing w:before="180" w:line="220" w:lineRule="auto"/>
        <w:ind w:left="507"/>
        <w:rPr>
          <w:rFonts w:ascii="宋体" w:hAnsi="宋体" w:eastAsia="宋体" w:cs="宋体"/>
          <w:sz w:val="24"/>
          <w:szCs w:val="24"/>
        </w:rPr>
      </w:pPr>
      <w:r>
        <w:rPr>
          <w:rFonts w:ascii="宋体" w:hAnsi="宋体" w:eastAsia="宋体" w:cs="宋体"/>
          <w:spacing w:val="-2"/>
          <w:sz w:val="24"/>
          <w:szCs w:val="24"/>
        </w:rPr>
        <w:t>15.1 变更变更的范围和内容</w:t>
      </w:r>
    </w:p>
    <w:p w14:paraId="7A620368">
      <w:pPr>
        <w:spacing w:before="182" w:line="360" w:lineRule="auto"/>
        <w:ind w:left="12" w:right="186" w:firstLine="519"/>
        <w:jc w:val="both"/>
        <w:rPr>
          <w:rFonts w:ascii="宋体" w:hAnsi="宋体" w:eastAsia="宋体" w:cs="宋体"/>
          <w:sz w:val="24"/>
          <w:szCs w:val="24"/>
        </w:rPr>
      </w:pPr>
      <w:r>
        <w:rPr>
          <w:rFonts w:ascii="宋体" w:hAnsi="宋体" w:eastAsia="宋体" w:cs="宋体"/>
          <w:spacing w:val="-1"/>
          <w:sz w:val="24"/>
          <w:szCs w:val="24"/>
        </w:rPr>
        <w:t>(6)工程量清单中某单项工程量的变化幅度超过</w:t>
      </w:r>
      <w:r>
        <w:rPr>
          <w:rFonts w:ascii="宋体" w:hAnsi="宋体" w:eastAsia="宋体" w:cs="宋体"/>
          <w:spacing w:val="-2"/>
          <w:sz w:val="24"/>
          <w:szCs w:val="24"/>
        </w:rPr>
        <w:t xml:space="preserve"> 20</w:t>
      </w:r>
      <w:r>
        <w:rPr>
          <w:rFonts w:ascii="宋体" w:hAnsi="宋体" w:eastAsia="宋体" w:cs="宋体"/>
          <w:spacing w:val="-45"/>
          <w:sz w:val="24"/>
          <w:szCs w:val="24"/>
        </w:rPr>
        <w:t xml:space="preserve"> </w:t>
      </w:r>
      <w:r>
        <w:rPr>
          <w:rFonts w:ascii="宋体" w:hAnsi="宋体" w:eastAsia="宋体" w:cs="宋体"/>
          <w:spacing w:val="-2"/>
          <w:sz w:val="24"/>
          <w:szCs w:val="24"/>
        </w:rPr>
        <w:t>%，且对合同总价影响幅度超过</w:t>
      </w:r>
      <w:r>
        <w:rPr>
          <w:rFonts w:ascii="宋体" w:hAnsi="宋体" w:eastAsia="宋体" w:cs="宋体"/>
          <w:spacing w:val="1"/>
          <w:sz w:val="24"/>
          <w:szCs w:val="24"/>
        </w:rPr>
        <w:t>2 %时，经发包人与承包人协商一致同意可调整该工程量清单项目的综合单价，调整原</w:t>
      </w:r>
      <w:r>
        <w:rPr>
          <w:rFonts w:ascii="宋体" w:hAnsi="宋体" w:eastAsia="宋体" w:cs="宋体"/>
          <w:spacing w:val="-6"/>
          <w:sz w:val="24"/>
          <w:szCs w:val="24"/>
        </w:rPr>
        <w:t>则按</w:t>
      </w:r>
      <w:r>
        <w:rPr>
          <w:rFonts w:ascii="宋体" w:hAnsi="宋体" w:eastAsia="宋体" w:cs="宋体"/>
          <w:spacing w:val="-25"/>
          <w:sz w:val="24"/>
          <w:szCs w:val="24"/>
        </w:rPr>
        <w:t xml:space="preserve"> </w:t>
      </w:r>
      <w:r>
        <w:rPr>
          <w:rFonts w:ascii="宋体" w:hAnsi="宋体" w:eastAsia="宋体" w:cs="宋体"/>
          <w:spacing w:val="-6"/>
          <w:sz w:val="24"/>
          <w:szCs w:val="24"/>
        </w:rPr>
        <w:t>15.4.4.1</w:t>
      </w:r>
      <w:r>
        <w:rPr>
          <w:rFonts w:ascii="宋体" w:hAnsi="宋体" w:eastAsia="宋体" w:cs="宋体"/>
          <w:spacing w:val="-51"/>
          <w:sz w:val="24"/>
          <w:szCs w:val="24"/>
        </w:rPr>
        <w:t xml:space="preserve"> </w:t>
      </w:r>
      <w:r>
        <w:rPr>
          <w:rFonts w:ascii="宋体" w:hAnsi="宋体" w:eastAsia="宋体" w:cs="宋体"/>
          <w:spacing w:val="-6"/>
          <w:sz w:val="24"/>
          <w:szCs w:val="24"/>
        </w:rPr>
        <w:t>执行。</w:t>
      </w:r>
    </w:p>
    <w:p w14:paraId="5CE2FA52">
      <w:pPr>
        <w:spacing w:line="220" w:lineRule="auto"/>
        <w:ind w:left="507"/>
        <w:rPr>
          <w:rFonts w:ascii="宋体" w:hAnsi="宋体" w:eastAsia="宋体" w:cs="宋体"/>
          <w:sz w:val="24"/>
          <w:szCs w:val="24"/>
        </w:rPr>
      </w:pPr>
      <w:r>
        <w:rPr>
          <w:rFonts w:ascii="宋体" w:hAnsi="宋体" w:eastAsia="宋体" w:cs="宋体"/>
          <w:spacing w:val="-3"/>
          <w:sz w:val="24"/>
          <w:szCs w:val="24"/>
        </w:rPr>
        <w:t>15.3 变更程序</w:t>
      </w:r>
    </w:p>
    <w:p w14:paraId="573ECA3E">
      <w:pPr>
        <w:spacing w:before="181" w:line="219" w:lineRule="auto"/>
        <w:ind w:left="488"/>
        <w:rPr>
          <w:rFonts w:ascii="宋体" w:hAnsi="宋体" w:eastAsia="宋体" w:cs="宋体"/>
          <w:sz w:val="24"/>
          <w:szCs w:val="24"/>
        </w:rPr>
      </w:pPr>
      <w:r>
        <w:rPr>
          <w:rFonts w:ascii="宋体" w:hAnsi="宋体" w:eastAsia="宋体" w:cs="宋体"/>
          <w:spacing w:val="-6"/>
          <w:sz w:val="24"/>
          <w:szCs w:val="24"/>
        </w:rPr>
        <w:t>在本款第</w:t>
      </w:r>
      <w:r>
        <w:rPr>
          <w:rFonts w:ascii="宋体" w:hAnsi="宋体" w:eastAsia="宋体" w:cs="宋体"/>
          <w:spacing w:val="-17"/>
          <w:sz w:val="24"/>
          <w:szCs w:val="24"/>
        </w:rPr>
        <w:t xml:space="preserve"> </w:t>
      </w:r>
      <w:r>
        <w:rPr>
          <w:rFonts w:ascii="宋体" w:hAnsi="宋体" w:eastAsia="宋体" w:cs="宋体"/>
          <w:spacing w:val="-6"/>
          <w:sz w:val="24"/>
          <w:szCs w:val="24"/>
        </w:rPr>
        <w:t>15.3.4</w:t>
      </w:r>
      <w:r>
        <w:rPr>
          <w:rFonts w:ascii="宋体" w:hAnsi="宋体" w:eastAsia="宋体" w:cs="宋体"/>
          <w:spacing w:val="-46"/>
          <w:sz w:val="24"/>
          <w:szCs w:val="24"/>
        </w:rPr>
        <w:t xml:space="preserve"> </w:t>
      </w:r>
      <w:r>
        <w:rPr>
          <w:rFonts w:ascii="宋体" w:hAnsi="宋体" w:eastAsia="宋体" w:cs="宋体"/>
          <w:spacing w:val="-6"/>
          <w:sz w:val="24"/>
          <w:szCs w:val="24"/>
        </w:rPr>
        <w:t>项后增加以下内容：</w:t>
      </w:r>
    </w:p>
    <w:p w14:paraId="22C5D44F">
      <w:pPr>
        <w:spacing w:before="183" w:line="360" w:lineRule="auto"/>
        <w:ind w:left="17" w:right="183" w:firstLine="495"/>
        <w:rPr>
          <w:rFonts w:ascii="宋体" w:hAnsi="宋体" w:eastAsia="宋体" w:cs="宋体"/>
          <w:sz w:val="24"/>
          <w:szCs w:val="24"/>
        </w:rPr>
      </w:pPr>
      <w:r>
        <w:rPr>
          <w:rFonts w:ascii="宋体" w:hAnsi="宋体" w:eastAsia="宋体" w:cs="宋体"/>
          <w:spacing w:val="5"/>
          <w:sz w:val="24"/>
          <w:szCs w:val="24"/>
        </w:rPr>
        <w:t>同时工程变更还应执行广东省交通运输厅及发</w:t>
      </w:r>
      <w:r>
        <w:rPr>
          <w:rFonts w:ascii="宋体" w:hAnsi="宋体" w:eastAsia="宋体" w:cs="宋体"/>
          <w:spacing w:val="4"/>
          <w:sz w:val="24"/>
          <w:szCs w:val="24"/>
        </w:rPr>
        <w:t>包人颁布的相关变更管理办法和广</w:t>
      </w:r>
      <w:r>
        <w:rPr>
          <w:rFonts w:ascii="宋体" w:hAnsi="宋体" w:eastAsia="宋体" w:cs="宋体"/>
          <w:spacing w:val="-3"/>
          <w:sz w:val="24"/>
          <w:szCs w:val="24"/>
        </w:rPr>
        <w:t>东省《公路工程造价管理指南》规定。</w:t>
      </w:r>
    </w:p>
    <w:p w14:paraId="6C0D12C4">
      <w:pPr>
        <w:spacing w:line="218" w:lineRule="auto"/>
        <w:ind w:left="507"/>
        <w:rPr>
          <w:rFonts w:ascii="宋体" w:hAnsi="宋体" w:eastAsia="宋体" w:cs="宋体"/>
          <w:sz w:val="24"/>
          <w:szCs w:val="24"/>
        </w:rPr>
      </w:pPr>
      <w:r>
        <w:rPr>
          <w:rFonts w:ascii="宋体" w:hAnsi="宋体" w:eastAsia="宋体" w:cs="宋体"/>
          <w:spacing w:val="-3"/>
          <w:sz w:val="24"/>
          <w:szCs w:val="24"/>
        </w:rPr>
        <w:t>15.4 变更的估价原则</w:t>
      </w:r>
    </w:p>
    <w:p w14:paraId="3FFCD26F">
      <w:pPr>
        <w:spacing w:before="184" w:line="219" w:lineRule="auto"/>
        <w:ind w:left="487"/>
        <w:rPr>
          <w:rFonts w:ascii="宋体" w:hAnsi="宋体" w:eastAsia="宋体" w:cs="宋体"/>
          <w:sz w:val="24"/>
          <w:szCs w:val="24"/>
        </w:rPr>
      </w:pPr>
      <w:r>
        <w:rPr>
          <w:rFonts w:ascii="宋体" w:hAnsi="宋体" w:eastAsia="宋体" w:cs="宋体"/>
          <w:spacing w:val="-3"/>
          <w:sz w:val="24"/>
          <w:szCs w:val="24"/>
        </w:rPr>
        <w:t>将本款第</w:t>
      </w:r>
      <w:r>
        <w:rPr>
          <w:rFonts w:ascii="宋体" w:hAnsi="宋体" w:eastAsia="宋体" w:cs="宋体"/>
          <w:spacing w:val="-33"/>
          <w:sz w:val="24"/>
          <w:szCs w:val="24"/>
        </w:rPr>
        <w:t xml:space="preserve"> </w:t>
      </w:r>
      <w:r>
        <w:rPr>
          <w:rFonts w:ascii="宋体" w:hAnsi="宋体" w:eastAsia="宋体" w:cs="宋体"/>
          <w:spacing w:val="-3"/>
          <w:sz w:val="24"/>
          <w:szCs w:val="24"/>
        </w:rPr>
        <w:t>15.4.1～15.4.5</w:t>
      </w:r>
      <w:r>
        <w:rPr>
          <w:rFonts w:ascii="宋体" w:hAnsi="宋体" w:eastAsia="宋体" w:cs="宋体"/>
          <w:spacing w:val="-47"/>
          <w:sz w:val="24"/>
          <w:szCs w:val="24"/>
        </w:rPr>
        <w:t xml:space="preserve"> </w:t>
      </w:r>
      <w:r>
        <w:rPr>
          <w:rFonts w:ascii="宋体" w:hAnsi="宋体" w:eastAsia="宋体" w:cs="宋体"/>
          <w:spacing w:val="-3"/>
          <w:sz w:val="24"/>
          <w:szCs w:val="24"/>
        </w:rPr>
        <w:t>项删除，</w:t>
      </w:r>
      <w:r>
        <w:rPr>
          <w:rFonts w:ascii="宋体" w:hAnsi="宋体" w:eastAsia="宋体" w:cs="宋体"/>
          <w:spacing w:val="-4"/>
          <w:sz w:val="24"/>
          <w:szCs w:val="24"/>
        </w:rPr>
        <w:t>并用以下内容代替：</w:t>
      </w:r>
    </w:p>
    <w:p w14:paraId="4E6E9848">
      <w:pPr>
        <w:spacing w:before="184" w:line="218" w:lineRule="auto"/>
        <w:ind w:left="508"/>
        <w:rPr>
          <w:rFonts w:ascii="宋体" w:hAnsi="宋体" w:eastAsia="宋体" w:cs="宋体"/>
          <w:sz w:val="24"/>
          <w:szCs w:val="24"/>
        </w:rPr>
      </w:pPr>
      <w:r>
        <w:rPr>
          <w:rFonts w:ascii="宋体" w:hAnsi="宋体" w:eastAsia="宋体" w:cs="宋体"/>
          <w:spacing w:val="-3"/>
          <w:sz w:val="24"/>
          <w:szCs w:val="24"/>
        </w:rPr>
        <w:t>因变更引起的价格调整，应按以下优先顺序所列原则进行处理：</w:t>
      </w:r>
    </w:p>
    <w:p w14:paraId="5C1D571A">
      <w:pPr>
        <w:spacing w:before="185" w:line="218" w:lineRule="auto"/>
        <w:ind w:left="507"/>
        <w:rPr>
          <w:rFonts w:ascii="宋体" w:hAnsi="宋体" w:eastAsia="宋体" w:cs="宋体"/>
          <w:sz w:val="24"/>
          <w:szCs w:val="24"/>
        </w:rPr>
      </w:pPr>
      <w:r>
        <w:rPr>
          <w:rFonts w:ascii="宋体" w:hAnsi="宋体" w:eastAsia="宋体" w:cs="宋体"/>
          <w:spacing w:val="-3"/>
          <w:sz w:val="24"/>
          <w:szCs w:val="24"/>
        </w:rPr>
        <w:t>15.4.1 如果取消某项工作，则该项工作的总额价不予支付；</w:t>
      </w:r>
    </w:p>
    <w:p w14:paraId="339451C0">
      <w:pPr>
        <w:spacing w:before="184" w:line="360" w:lineRule="auto"/>
        <w:ind w:left="14" w:right="186" w:firstLine="492"/>
        <w:rPr>
          <w:rFonts w:ascii="宋体" w:hAnsi="宋体" w:eastAsia="宋体" w:cs="宋体"/>
          <w:sz w:val="24"/>
          <w:szCs w:val="24"/>
        </w:rPr>
      </w:pPr>
      <w:r>
        <w:rPr>
          <w:rFonts w:ascii="宋体" w:hAnsi="宋体" w:eastAsia="宋体" w:cs="宋体"/>
          <w:spacing w:val="-4"/>
          <w:sz w:val="24"/>
          <w:szCs w:val="24"/>
        </w:rPr>
        <w:t>15.4.2</w:t>
      </w:r>
      <w:r>
        <w:rPr>
          <w:rFonts w:ascii="宋体" w:hAnsi="宋体" w:eastAsia="宋体" w:cs="宋体"/>
          <w:spacing w:val="-41"/>
          <w:sz w:val="24"/>
          <w:szCs w:val="24"/>
        </w:rPr>
        <w:t xml:space="preserve"> </w:t>
      </w:r>
      <w:r>
        <w:rPr>
          <w:rFonts w:ascii="宋体" w:hAnsi="宋体" w:eastAsia="宋体" w:cs="宋体"/>
          <w:spacing w:val="-4"/>
          <w:sz w:val="24"/>
          <w:szCs w:val="24"/>
        </w:rPr>
        <w:t>本合同段工程量清单中有相同或相似工程细目单价的，经发包人与承包人协</w:t>
      </w:r>
      <w:r>
        <w:rPr>
          <w:rFonts w:ascii="宋体" w:hAnsi="宋体" w:eastAsia="宋体" w:cs="宋体"/>
          <w:spacing w:val="-5"/>
          <w:sz w:val="24"/>
          <w:szCs w:val="24"/>
        </w:rPr>
        <w:t>商一致同意可直接套用该单价。本合同段内没有相同或适用合同单价的， 原则上应套用</w:t>
      </w:r>
      <w:r>
        <w:rPr>
          <w:rFonts w:ascii="宋体" w:hAnsi="宋体" w:eastAsia="宋体" w:cs="宋体"/>
          <w:spacing w:val="1"/>
          <w:sz w:val="24"/>
          <w:szCs w:val="24"/>
        </w:rPr>
        <w:t>同类合同段相应单价的</w:t>
      </w:r>
      <w:r>
        <w:rPr>
          <w:rFonts w:ascii="宋体" w:hAnsi="宋体" w:eastAsia="宋体" w:cs="宋体"/>
          <w:spacing w:val="1"/>
          <w:sz w:val="24"/>
          <w:szCs w:val="24"/>
          <w:u w:val="single" w:color="auto"/>
        </w:rPr>
        <w:t>算术平均值/加权平均值</w:t>
      </w:r>
      <w:r>
        <w:rPr>
          <w:rFonts w:ascii="宋体" w:hAnsi="宋体" w:eastAsia="宋体" w:cs="宋体"/>
          <w:spacing w:val="1"/>
          <w:sz w:val="24"/>
          <w:szCs w:val="24"/>
        </w:rPr>
        <w:t>；但监理人认为受施工现场自然环境影</w:t>
      </w:r>
      <w:r>
        <w:rPr>
          <w:rFonts w:ascii="宋体" w:hAnsi="宋体" w:eastAsia="宋体" w:cs="宋体"/>
          <w:spacing w:val="-2"/>
          <w:sz w:val="24"/>
          <w:szCs w:val="24"/>
        </w:rPr>
        <w:t>响大的工程项目单价，报发包人同意后可套用自然环境相近似的合同段相应细目；</w:t>
      </w:r>
    </w:p>
    <w:p w14:paraId="51860AF5">
      <w:pPr>
        <w:spacing w:line="360" w:lineRule="auto"/>
        <w:ind w:left="8" w:right="101" w:firstLine="498"/>
        <w:rPr>
          <w:rFonts w:ascii="宋体" w:hAnsi="宋体" w:eastAsia="宋体" w:cs="宋体"/>
          <w:sz w:val="24"/>
          <w:szCs w:val="24"/>
        </w:rPr>
      </w:pPr>
      <w:r>
        <w:rPr>
          <w:rFonts w:ascii="宋体" w:hAnsi="宋体" w:eastAsia="宋体" w:cs="宋体"/>
          <w:spacing w:val="-4"/>
          <w:sz w:val="24"/>
          <w:szCs w:val="24"/>
        </w:rPr>
        <w:t>15.4.3</w:t>
      </w:r>
      <w:r>
        <w:rPr>
          <w:rFonts w:ascii="宋体" w:hAnsi="宋体" w:eastAsia="宋体" w:cs="宋体"/>
          <w:spacing w:val="-24"/>
          <w:sz w:val="24"/>
          <w:szCs w:val="24"/>
        </w:rPr>
        <w:t xml:space="preserve"> </w:t>
      </w:r>
      <w:r>
        <w:rPr>
          <w:rFonts w:ascii="宋体" w:hAnsi="宋体" w:eastAsia="宋体" w:cs="宋体"/>
          <w:spacing w:val="-4"/>
          <w:sz w:val="24"/>
          <w:szCs w:val="24"/>
        </w:rPr>
        <w:t>以综合单价报价的计量项目，如果只</w:t>
      </w:r>
      <w:r>
        <w:rPr>
          <w:rFonts w:ascii="宋体" w:hAnsi="宋体" w:eastAsia="宋体" w:cs="宋体"/>
          <w:spacing w:val="-5"/>
          <w:sz w:val="24"/>
          <w:szCs w:val="24"/>
        </w:rPr>
        <w:t>是由于使用材料或局部尺寸调整，则原支付单价不变，而只在原合同单价基础上，调整</w:t>
      </w:r>
      <w:r>
        <w:rPr>
          <w:rFonts w:ascii="宋体" w:hAnsi="宋体" w:eastAsia="宋体" w:cs="宋体"/>
          <w:spacing w:val="-6"/>
          <w:sz w:val="24"/>
          <w:szCs w:val="24"/>
        </w:rPr>
        <w:t>相应的材料价差和合理的工效增减费用。</w:t>
      </w:r>
      <w:r>
        <w:rPr>
          <w:rFonts w:ascii="宋体" w:hAnsi="宋体" w:eastAsia="宋体" w:cs="宋体"/>
          <w:spacing w:val="-2"/>
          <w:sz w:val="24"/>
          <w:szCs w:val="24"/>
        </w:rPr>
        <w:t>对于机电设备和装饰材料，如发包人未提高技术标准或参数指标，任何品牌或型号的调整，其性能指标不得低于技术规范及设计文件要求，且发包人不予价格调整；如因非承</w:t>
      </w:r>
      <w:r>
        <w:rPr>
          <w:rFonts w:ascii="宋体" w:hAnsi="宋体" w:eastAsia="宋体" w:cs="宋体"/>
          <w:spacing w:val="-5"/>
          <w:sz w:val="24"/>
          <w:szCs w:val="24"/>
        </w:rPr>
        <w:t>包人原因需要对《投标人拟投入的关键设备承诺表》的品牌进行调整时， 经发包人批准</w:t>
      </w:r>
      <w:r>
        <w:rPr>
          <w:rFonts w:ascii="宋体" w:hAnsi="宋体" w:eastAsia="宋体" w:cs="宋体"/>
          <w:spacing w:val="-2"/>
          <w:sz w:val="24"/>
          <w:szCs w:val="24"/>
        </w:rPr>
        <w:t>后，调整相应设备价差和合理的工效增减费用。</w:t>
      </w:r>
    </w:p>
    <w:p w14:paraId="4E0A5B90">
      <w:pPr>
        <w:spacing w:line="360" w:lineRule="auto"/>
        <w:ind w:left="11" w:firstLine="495"/>
        <w:rPr>
          <w:rFonts w:ascii="宋体" w:hAnsi="宋体" w:eastAsia="宋体" w:cs="宋体"/>
          <w:sz w:val="24"/>
          <w:szCs w:val="24"/>
        </w:rPr>
      </w:pPr>
      <w:r>
        <w:rPr>
          <w:rFonts w:ascii="宋体" w:hAnsi="宋体" w:eastAsia="宋体" w:cs="宋体"/>
          <w:spacing w:val="-5"/>
          <w:sz w:val="24"/>
          <w:szCs w:val="24"/>
        </w:rPr>
        <w:t>15.4.4</w:t>
      </w:r>
      <w:r>
        <w:rPr>
          <w:rFonts w:ascii="宋体" w:hAnsi="宋体" w:eastAsia="宋体" w:cs="宋体"/>
          <w:spacing w:val="-47"/>
          <w:sz w:val="24"/>
          <w:szCs w:val="24"/>
        </w:rPr>
        <w:t xml:space="preserve"> </w:t>
      </w:r>
      <w:r>
        <w:rPr>
          <w:rFonts w:ascii="宋体" w:hAnsi="宋体" w:eastAsia="宋体" w:cs="宋体"/>
          <w:spacing w:val="-5"/>
          <w:sz w:val="24"/>
          <w:szCs w:val="24"/>
        </w:rPr>
        <w:t>如上述价格调整原则不适用或按上述原则计算的单价不合理，经发包人</w:t>
      </w:r>
      <w:r>
        <w:rPr>
          <w:rFonts w:ascii="宋体" w:hAnsi="宋体" w:eastAsia="宋体" w:cs="宋体"/>
          <w:spacing w:val="-6"/>
          <w:sz w:val="24"/>
          <w:szCs w:val="24"/>
        </w:rPr>
        <w:t>同意，按以下原则执行。</w:t>
      </w:r>
    </w:p>
    <w:p w14:paraId="643FE714">
      <w:pPr>
        <w:spacing w:before="4" w:line="360" w:lineRule="auto"/>
        <w:ind w:left="12" w:right="182" w:firstLine="494"/>
        <w:jc w:val="both"/>
        <w:rPr>
          <w:rFonts w:ascii="宋体" w:hAnsi="宋体" w:eastAsia="宋体" w:cs="宋体"/>
          <w:sz w:val="24"/>
          <w:szCs w:val="24"/>
        </w:rPr>
      </w:pPr>
      <w:r>
        <w:rPr>
          <w:rFonts w:ascii="宋体" w:hAnsi="宋体" w:eastAsia="宋体" w:cs="宋体"/>
          <w:spacing w:val="-4"/>
          <w:sz w:val="24"/>
          <w:szCs w:val="24"/>
        </w:rPr>
        <w:t>15.4.4.1</w:t>
      </w:r>
      <w:r>
        <w:rPr>
          <w:rFonts w:ascii="宋体" w:hAnsi="宋体" w:eastAsia="宋体" w:cs="宋体"/>
          <w:spacing w:val="-37"/>
          <w:sz w:val="24"/>
          <w:szCs w:val="24"/>
        </w:rPr>
        <w:t xml:space="preserve"> </w:t>
      </w:r>
      <w:r>
        <w:rPr>
          <w:rFonts w:ascii="宋体" w:hAnsi="宋体" w:eastAsia="宋体" w:cs="宋体"/>
          <w:spacing w:val="-4"/>
          <w:sz w:val="24"/>
          <w:szCs w:val="24"/>
        </w:rPr>
        <w:t>参照招标人公布的最高投标限价编制时选用的有关定额及补充的定额，人</w:t>
      </w:r>
      <w:r>
        <w:rPr>
          <w:rFonts w:ascii="宋体" w:hAnsi="宋体" w:eastAsia="宋体" w:cs="宋体"/>
          <w:spacing w:val="-1"/>
          <w:sz w:val="24"/>
          <w:szCs w:val="24"/>
        </w:rPr>
        <w:t>工、材料、机械单价按公布的最高投标限价采用的</w:t>
      </w:r>
      <w:r>
        <w:rPr>
          <w:rFonts w:ascii="宋体" w:hAnsi="宋体" w:eastAsia="宋体" w:cs="宋体"/>
          <w:spacing w:val="-2"/>
          <w:sz w:val="24"/>
          <w:szCs w:val="24"/>
        </w:rPr>
        <w:t>月份（**年**月）信息价编制预算，</w:t>
      </w:r>
      <w:r>
        <w:rPr>
          <w:rFonts w:ascii="宋体" w:hAnsi="宋体" w:eastAsia="宋体" w:cs="宋体"/>
          <w:spacing w:val="5"/>
          <w:sz w:val="24"/>
          <w:szCs w:val="24"/>
        </w:rPr>
        <w:t>并在上述预算价的基础上按本合同段投标人中标总价较最高投标限价之下浮比</w:t>
      </w:r>
      <w:r>
        <w:rPr>
          <w:rFonts w:ascii="宋体" w:hAnsi="宋体" w:eastAsia="宋体" w:cs="宋体"/>
          <w:spacing w:val="4"/>
          <w:sz w:val="24"/>
          <w:szCs w:val="24"/>
        </w:rPr>
        <w:t>例下浮</w:t>
      </w:r>
    </w:p>
    <w:p w14:paraId="1221CA72">
      <w:pPr>
        <w:spacing w:line="360" w:lineRule="auto"/>
        <w:rPr>
          <w:rFonts w:ascii="宋体" w:hAnsi="宋体" w:eastAsia="宋体" w:cs="宋体"/>
          <w:sz w:val="24"/>
          <w:szCs w:val="24"/>
        </w:rPr>
        <w:sectPr>
          <w:headerReference r:id="rId97" w:type="default"/>
          <w:footerReference r:id="rId98" w:type="default"/>
          <w:pgSz w:w="11905" w:h="16840"/>
          <w:pgMar w:top="1182" w:right="1229" w:bottom="1171" w:left="1416" w:header="849" w:footer="937" w:gutter="0"/>
          <w:pgNumType w:fmt="decimal"/>
          <w:cols w:space="720" w:num="1"/>
        </w:sectPr>
      </w:pPr>
    </w:p>
    <w:p w14:paraId="03D383EA">
      <w:pPr>
        <w:pStyle w:val="2"/>
        <w:spacing w:line="268" w:lineRule="auto"/>
      </w:pPr>
    </w:p>
    <w:p w14:paraId="6CC027C2">
      <w:pPr>
        <w:spacing w:before="78" w:line="360" w:lineRule="auto"/>
        <w:ind w:left="8" w:right="85"/>
        <w:rPr>
          <w:rFonts w:ascii="宋体" w:hAnsi="宋体" w:eastAsia="宋体" w:cs="宋体"/>
          <w:sz w:val="24"/>
          <w:szCs w:val="24"/>
        </w:rPr>
      </w:pPr>
      <w:r>
        <w:rPr>
          <w:rFonts w:ascii="宋体" w:hAnsi="宋体" w:eastAsia="宋体" w:cs="宋体"/>
          <w:spacing w:val="-2"/>
          <w:sz w:val="24"/>
          <w:szCs w:val="24"/>
        </w:rPr>
        <w:t>确定变更工程价格。上述“信息价”指由建设项目所在地级市及以上交通运输工程造价</w:t>
      </w:r>
      <w:r>
        <w:rPr>
          <w:rFonts w:ascii="宋体" w:hAnsi="宋体" w:eastAsia="宋体" w:cs="宋体"/>
          <w:spacing w:val="-1"/>
          <w:sz w:val="24"/>
          <w:szCs w:val="24"/>
        </w:rPr>
        <w:t>机构发布的项目施工所在地区材料信息价（如无相应信息价，由发包</w:t>
      </w:r>
      <w:r>
        <w:rPr>
          <w:rFonts w:ascii="宋体" w:hAnsi="宋体" w:eastAsia="宋体" w:cs="宋体"/>
          <w:spacing w:val="-2"/>
          <w:sz w:val="24"/>
          <w:szCs w:val="24"/>
        </w:rPr>
        <w:t>人另行确定）。</w:t>
      </w:r>
    </w:p>
    <w:p w14:paraId="7D5E71B5">
      <w:pPr>
        <w:spacing w:before="2" w:line="356" w:lineRule="auto"/>
        <w:ind w:left="27" w:right="85" w:firstLine="484"/>
        <w:rPr>
          <w:rFonts w:ascii="宋体" w:hAnsi="宋体" w:eastAsia="宋体" w:cs="宋体"/>
          <w:sz w:val="24"/>
          <w:szCs w:val="24"/>
        </w:rPr>
      </w:pPr>
      <w:r>
        <w:rPr>
          <w:rFonts w:ascii="宋体" w:hAnsi="宋体" w:eastAsia="宋体" w:cs="宋体"/>
          <w:spacing w:val="-4"/>
          <w:sz w:val="24"/>
          <w:szCs w:val="24"/>
        </w:rPr>
        <w:t>中标下浮率 =（本合同段最高投标限价 -</w:t>
      </w:r>
      <w:r>
        <w:rPr>
          <w:rFonts w:ascii="宋体" w:hAnsi="宋体" w:eastAsia="宋体" w:cs="宋体"/>
          <w:spacing w:val="32"/>
          <w:sz w:val="24"/>
          <w:szCs w:val="24"/>
        </w:rPr>
        <w:t xml:space="preserve"> </w:t>
      </w:r>
      <w:r>
        <w:rPr>
          <w:rFonts w:ascii="宋体" w:hAnsi="宋体" w:eastAsia="宋体" w:cs="宋体"/>
          <w:spacing w:val="-4"/>
          <w:sz w:val="24"/>
          <w:szCs w:val="24"/>
        </w:rPr>
        <w:t>中标总价）/ 本合同段最高</w:t>
      </w:r>
      <w:r>
        <w:rPr>
          <w:rFonts w:ascii="宋体" w:hAnsi="宋体" w:eastAsia="宋体" w:cs="宋体"/>
          <w:spacing w:val="-5"/>
          <w:sz w:val="24"/>
          <w:szCs w:val="24"/>
        </w:rPr>
        <w:t>投标限价</w:t>
      </w:r>
      <w:r>
        <w:rPr>
          <w:rFonts w:ascii="宋体" w:hAnsi="宋体" w:eastAsia="宋体" w:cs="宋体"/>
          <w:spacing w:val="44"/>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
          <w:sz w:val="24"/>
          <w:szCs w:val="24"/>
        </w:rPr>
        <w:t>100%；计算时，最高投标限价及中标价均不含暂估价、暂列金额和安全生产费。</w:t>
      </w:r>
    </w:p>
    <w:p w14:paraId="0C325BEA">
      <w:pPr>
        <w:spacing w:before="8" w:line="360" w:lineRule="auto"/>
        <w:ind w:left="11" w:right="30" w:firstLine="495"/>
        <w:rPr>
          <w:rFonts w:ascii="宋体" w:hAnsi="宋体" w:eastAsia="宋体" w:cs="宋体"/>
          <w:sz w:val="24"/>
          <w:szCs w:val="24"/>
        </w:rPr>
      </w:pPr>
      <w:r>
        <w:rPr>
          <w:rFonts w:ascii="宋体" w:hAnsi="宋体" w:eastAsia="宋体" w:cs="宋体"/>
          <w:spacing w:val="-2"/>
          <w:sz w:val="24"/>
          <w:szCs w:val="24"/>
        </w:rPr>
        <w:t>15.4.4.2</w:t>
      </w:r>
      <w:r>
        <w:rPr>
          <w:rFonts w:ascii="宋体" w:hAnsi="宋体" w:eastAsia="宋体" w:cs="宋体"/>
          <w:spacing w:val="-49"/>
          <w:sz w:val="24"/>
          <w:szCs w:val="24"/>
        </w:rPr>
        <w:t xml:space="preserve"> </w:t>
      </w:r>
      <w:r>
        <w:rPr>
          <w:rFonts w:ascii="宋体" w:hAnsi="宋体" w:eastAsia="宋体" w:cs="宋体"/>
          <w:spacing w:val="-2"/>
          <w:sz w:val="24"/>
          <w:szCs w:val="24"/>
        </w:rPr>
        <w:t>按变更程序办理的应急抢险工程，经变更预</w:t>
      </w:r>
      <w:r>
        <w:rPr>
          <w:rFonts w:ascii="宋体" w:hAnsi="宋体" w:eastAsia="宋体" w:cs="宋体"/>
          <w:spacing w:val="-3"/>
          <w:sz w:val="24"/>
          <w:szCs w:val="24"/>
        </w:rPr>
        <w:t>算对应审批权限单位同意后，</w:t>
      </w:r>
      <w:r>
        <w:rPr>
          <w:rFonts w:ascii="宋体" w:hAnsi="宋体" w:eastAsia="宋体" w:cs="宋体"/>
          <w:spacing w:val="-1"/>
          <w:sz w:val="24"/>
          <w:szCs w:val="24"/>
        </w:rPr>
        <w:t>可根据实际情况编制预算，变更金额确定原则在项目专用合</w:t>
      </w:r>
      <w:r>
        <w:rPr>
          <w:rFonts w:ascii="宋体" w:hAnsi="宋体" w:eastAsia="宋体" w:cs="宋体"/>
          <w:spacing w:val="-2"/>
          <w:sz w:val="24"/>
          <w:szCs w:val="24"/>
        </w:rPr>
        <w:t>同条款数据表中约定。</w:t>
      </w:r>
    </w:p>
    <w:p w14:paraId="73D20DFA">
      <w:pPr>
        <w:spacing w:line="218" w:lineRule="auto"/>
        <w:ind w:left="507"/>
        <w:rPr>
          <w:rFonts w:ascii="宋体" w:hAnsi="宋体" w:eastAsia="宋体" w:cs="宋体"/>
          <w:sz w:val="24"/>
          <w:szCs w:val="24"/>
        </w:rPr>
      </w:pPr>
      <w:r>
        <w:rPr>
          <w:rFonts w:ascii="宋体" w:hAnsi="宋体" w:eastAsia="宋体" w:cs="宋体"/>
          <w:spacing w:val="-3"/>
          <w:sz w:val="24"/>
          <w:szCs w:val="24"/>
        </w:rPr>
        <w:t>15.4.4.3</w:t>
      </w:r>
      <w:r>
        <w:rPr>
          <w:rFonts w:ascii="宋体" w:hAnsi="宋体" w:eastAsia="宋体" w:cs="宋体"/>
          <w:spacing w:val="-45"/>
          <w:sz w:val="24"/>
          <w:szCs w:val="24"/>
        </w:rPr>
        <w:t xml:space="preserve"> </w:t>
      </w:r>
      <w:r>
        <w:rPr>
          <w:rFonts w:ascii="宋体" w:hAnsi="宋体" w:eastAsia="宋体" w:cs="宋体"/>
          <w:spacing w:val="-3"/>
          <w:sz w:val="24"/>
          <w:szCs w:val="24"/>
        </w:rPr>
        <w:t>新增机电设备的变更作价，按以下所列原则进行处理：</w:t>
      </w:r>
    </w:p>
    <w:p w14:paraId="5350C588">
      <w:pPr>
        <w:spacing w:before="184" w:line="360" w:lineRule="auto"/>
        <w:ind w:left="10" w:right="85" w:firstLine="479"/>
        <w:rPr>
          <w:rFonts w:ascii="宋体" w:hAnsi="宋体" w:eastAsia="宋体" w:cs="宋体"/>
          <w:sz w:val="24"/>
          <w:szCs w:val="24"/>
        </w:rPr>
      </w:pPr>
      <w:r>
        <w:rPr>
          <w:rFonts w:ascii="宋体" w:hAnsi="宋体" w:eastAsia="宋体" w:cs="宋体"/>
          <w:spacing w:val="-5"/>
          <w:sz w:val="24"/>
          <w:szCs w:val="24"/>
        </w:rPr>
        <w:t>变更预算按发包人核定的市场价格加上采保费、税金及合理利润进行计算， 变更单</w:t>
      </w:r>
      <w:r>
        <w:rPr>
          <w:rFonts w:ascii="宋体" w:hAnsi="宋体" w:eastAsia="宋体" w:cs="宋体"/>
          <w:spacing w:val="-2"/>
          <w:sz w:val="24"/>
          <w:szCs w:val="24"/>
        </w:rPr>
        <w:t>价或费用=变更预算×（1-中标下浮率）</w:t>
      </w:r>
    </w:p>
    <w:p w14:paraId="0BC006EB">
      <w:pPr>
        <w:spacing w:line="218" w:lineRule="auto"/>
        <w:ind w:left="507"/>
        <w:rPr>
          <w:rFonts w:ascii="宋体" w:hAnsi="宋体" w:eastAsia="宋体" w:cs="宋体"/>
          <w:sz w:val="24"/>
          <w:szCs w:val="24"/>
        </w:rPr>
      </w:pPr>
      <w:r>
        <w:rPr>
          <w:rFonts w:ascii="宋体" w:hAnsi="宋体" w:eastAsia="宋体" w:cs="宋体"/>
          <w:spacing w:val="7"/>
          <w:sz w:val="24"/>
          <w:szCs w:val="24"/>
        </w:rPr>
        <w:t>15.4.5 如果双方对变更工程价款有争议，则发包人和承包人双方认可的机构按</w:t>
      </w:r>
    </w:p>
    <w:p w14:paraId="0A26F005">
      <w:pPr>
        <w:spacing w:before="184" w:line="360" w:lineRule="auto"/>
        <w:ind w:left="12" w:right="71" w:firstLine="14"/>
        <w:rPr>
          <w:rFonts w:ascii="宋体" w:hAnsi="宋体" w:eastAsia="宋体" w:cs="宋体"/>
          <w:sz w:val="24"/>
          <w:szCs w:val="24"/>
        </w:rPr>
      </w:pPr>
      <w:r>
        <w:rPr>
          <w:rFonts w:ascii="宋体" w:hAnsi="宋体" w:eastAsia="宋体" w:cs="宋体"/>
          <w:spacing w:val="-4"/>
          <w:sz w:val="24"/>
          <w:szCs w:val="24"/>
        </w:rPr>
        <w:t>15.4.4</w:t>
      </w:r>
      <w:r>
        <w:rPr>
          <w:rFonts w:ascii="宋体" w:hAnsi="宋体" w:eastAsia="宋体" w:cs="宋体"/>
          <w:spacing w:val="-33"/>
          <w:sz w:val="24"/>
          <w:szCs w:val="24"/>
        </w:rPr>
        <w:t xml:space="preserve"> </w:t>
      </w:r>
      <w:r>
        <w:rPr>
          <w:rFonts w:ascii="宋体" w:hAnsi="宋体" w:eastAsia="宋体" w:cs="宋体"/>
          <w:spacing w:val="-4"/>
          <w:sz w:val="24"/>
          <w:szCs w:val="24"/>
        </w:rPr>
        <w:t>款要求编制预算，由发包人委托，委托费用由发包人和承包人各负责一半，变更</w:t>
      </w:r>
      <w:r>
        <w:rPr>
          <w:rFonts w:ascii="宋体" w:hAnsi="宋体" w:eastAsia="宋体" w:cs="宋体"/>
          <w:spacing w:val="-1"/>
          <w:sz w:val="24"/>
          <w:szCs w:val="24"/>
        </w:rPr>
        <w:t>工程造价或单价按本合同段投标人中标价较招标时最高投标限</w:t>
      </w:r>
      <w:r>
        <w:rPr>
          <w:rFonts w:ascii="宋体" w:hAnsi="宋体" w:eastAsia="宋体" w:cs="宋体"/>
          <w:spacing w:val="-2"/>
          <w:sz w:val="24"/>
          <w:szCs w:val="24"/>
        </w:rPr>
        <w:t>价之下浮比例下浮确定。</w:t>
      </w:r>
    </w:p>
    <w:p w14:paraId="714ED277">
      <w:pPr>
        <w:spacing w:line="360" w:lineRule="auto"/>
        <w:ind w:left="7" w:right="85" w:firstLine="485"/>
        <w:rPr>
          <w:rFonts w:ascii="宋体" w:hAnsi="宋体" w:eastAsia="宋体" w:cs="宋体"/>
          <w:sz w:val="24"/>
          <w:szCs w:val="24"/>
        </w:rPr>
      </w:pPr>
      <w:r>
        <w:rPr>
          <w:rFonts w:ascii="宋体" w:hAnsi="宋体" w:eastAsia="宋体" w:cs="宋体"/>
          <w:spacing w:val="-2"/>
          <w:sz w:val="24"/>
          <w:szCs w:val="24"/>
        </w:rPr>
        <w:t>发包人与承包人如按上述原则协商未果，发包人有权根据实际情况按上述某一原则</w:t>
      </w:r>
      <w:r>
        <w:rPr>
          <w:rFonts w:ascii="宋体" w:hAnsi="宋体" w:eastAsia="宋体" w:cs="宋体"/>
          <w:spacing w:val="-3"/>
          <w:sz w:val="24"/>
          <w:szCs w:val="24"/>
        </w:rPr>
        <w:t>进行处理，承包人必须无条件接受。</w:t>
      </w:r>
    </w:p>
    <w:p w14:paraId="5758E9BC">
      <w:pPr>
        <w:spacing w:before="2" w:line="359" w:lineRule="auto"/>
        <w:ind w:left="21" w:right="82" w:firstLine="467"/>
        <w:rPr>
          <w:rFonts w:ascii="宋体" w:hAnsi="宋体" w:eastAsia="宋体" w:cs="宋体"/>
          <w:sz w:val="24"/>
          <w:szCs w:val="24"/>
        </w:rPr>
      </w:pPr>
      <w:r>
        <w:rPr>
          <w:rFonts w:ascii="宋体" w:hAnsi="宋体" w:eastAsia="宋体" w:cs="宋体"/>
          <w:spacing w:val="5"/>
          <w:sz w:val="24"/>
          <w:szCs w:val="24"/>
        </w:rPr>
        <w:t>所有的变更设计都必须按发包人及其上级主管部门颁布的变更设计管理办法进行</w:t>
      </w:r>
      <w:r>
        <w:rPr>
          <w:rFonts w:ascii="宋体" w:hAnsi="宋体" w:eastAsia="宋体" w:cs="宋体"/>
          <w:spacing w:val="-13"/>
          <w:sz w:val="24"/>
          <w:szCs w:val="24"/>
        </w:rPr>
        <w:t>审批。</w:t>
      </w:r>
    </w:p>
    <w:p w14:paraId="30F07313">
      <w:pPr>
        <w:spacing w:line="218" w:lineRule="auto"/>
        <w:ind w:left="507"/>
        <w:rPr>
          <w:rFonts w:ascii="宋体" w:hAnsi="宋体" w:eastAsia="宋体" w:cs="宋体"/>
          <w:sz w:val="24"/>
          <w:szCs w:val="24"/>
        </w:rPr>
      </w:pPr>
      <w:r>
        <w:rPr>
          <w:rFonts w:ascii="宋体" w:hAnsi="宋体" w:eastAsia="宋体" w:cs="宋体"/>
          <w:spacing w:val="-5"/>
          <w:sz w:val="24"/>
          <w:szCs w:val="24"/>
        </w:rPr>
        <w:t>16.</w:t>
      </w:r>
      <w:r>
        <w:rPr>
          <w:rFonts w:ascii="宋体" w:hAnsi="宋体" w:eastAsia="宋体" w:cs="宋体"/>
          <w:spacing w:val="10"/>
          <w:sz w:val="24"/>
          <w:szCs w:val="24"/>
        </w:rPr>
        <w:t xml:space="preserve"> </w:t>
      </w:r>
      <w:r>
        <w:rPr>
          <w:rFonts w:ascii="宋体" w:hAnsi="宋体" w:eastAsia="宋体" w:cs="宋体"/>
          <w:spacing w:val="-5"/>
          <w:sz w:val="24"/>
          <w:szCs w:val="24"/>
        </w:rPr>
        <w:t>价格调整</w:t>
      </w:r>
    </w:p>
    <w:p w14:paraId="7659A4A6">
      <w:pPr>
        <w:spacing w:before="185" w:line="218" w:lineRule="auto"/>
        <w:ind w:left="507"/>
        <w:rPr>
          <w:rFonts w:ascii="宋体" w:hAnsi="宋体" w:eastAsia="宋体" w:cs="宋体"/>
          <w:spacing w:val="-2"/>
          <w:sz w:val="24"/>
          <w:szCs w:val="24"/>
        </w:rPr>
      </w:pPr>
      <w:r>
        <w:rPr>
          <w:rFonts w:ascii="宋体" w:hAnsi="宋体" w:eastAsia="宋体" w:cs="宋体"/>
          <w:spacing w:val="-2"/>
          <w:sz w:val="24"/>
          <w:szCs w:val="24"/>
        </w:rPr>
        <w:t>16.1 物价波动引起的价格调整</w:t>
      </w:r>
    </w:p>
    <w:p w14:paraId="544947D1">
      <w:pPr>
        <w:spacing w:before="185" w:line="218" w:lineRule="auto"/>
        <w:ind w:left="507"/>
        <w:rPr>
          <w:rFonts w:hint="default" w:ascii="宋体" w:hAnsi="宋体" w:eastAsia="宋体" w:cs="宋体"/>
          <w:spacing w:val="-2"/>
          <w:sz w:val="24"/>
          <w:szCs w:val="24"/>
          <w:lang w:val="en-US" w:eastAsia="zh-CN"/>
        </w:rPr>
      </w:pPr>
      <w:r>
        <w:rPr>
          <w:rFonts w:hint="eastAsia" w:ascii="宋体" w:hAnsi="宋体" w:cs="宋体"/>
          <w:spacing w:val="-2"/>
          <w:sz w:val="24"/>
          <w:szCs w:val="24"/>
          <w:lang w:val="en-US" w:eastAsia="zh-CN"/>
        </w:rPr>
        <w:t>合同期内不调价</w:t>
      </w:r>
    </w:p>
    <w:p w14:paraId="3E7BAC83">
      <w:pPr>
        <w:spacing w:before="184" w:line="218" w:lineRule="auto"/>
        <w:ind w:left="507"/>
        <w:rPr>
          <w:rFonts w:ascii="宋体" w:hAnsi="宋体" w:eastAsia="宋体" w:cs="宋体"/>
          <w:sz w:val="24"/>
          <w:szCs w:val="24"/>
        </w:rPr>
      </w:pPr>
      <w:r>
        <w:rPr>
          <w:rFonts w:ascii="宋体" w:hAnsi="宋体" w:eastAsia="宋体" w:cs="宋体"/>
          <w:spacing w:val="-2"/>
          <w:sz w:val="24"/>
          <w:szCs w:val="24"/>
        </w:rPr>
        <w:t>16.1.2 采用造价信息调整价格差额</w:t>
      </w:r>
    </w:p>
    <w:p w14:paraId="33642618">
      <w:pPr>
        <w:spacing w:before="184" w:line="219" w:lineRule="auto"/>
        <w:ind w:left="490"/>
        <w:rPr>
          <w:rFonts w:ascii="宋体" w:hAnsi="宋体" w:eastAsia="宋体" w:cs="宋体"/>
          <w:sz w:val="24"/>
          <w:szCs w:val="24"/>
        </w:rPr>
      </w:pPr>
      <w:r>
        <w:rPr>
          <w:rFonts w:ascii="宋体" w:hAnsi="宋体" w:eastAsia="宋体" w:cs="宋体"/>
          <w:spacing w:val="-10"/>
          <w:sz w:val="24"/>
          <w:szCs w:val="24"/>
        </w:rPr>
        <w:t>本项细化为：</w:t>
      </w:r>
    </w:p>
    <w:p w14:paraId="3CED3BAB">
      <w:pPr>
        <w:spacing w:before="184" w:line="360" w:lineRule="auto"/>
        <w:ind w:left="9" w:firstLine="480"/>
        <w:jc w:val="both"/>
        <w:rPr>
          <w:rFonts w:ascii="宋体" w:hAnsi="宋体" w:eastAsia="宋体" w:cs="宋体"/>
          <w:sz w:val="24"/>
          <w:szCs w:val="24"/>
        </w:rPr>
      </w:pPr>
      <w:r>
        <w:rPr>
          <w:rFonts w:ascii="宋体" w:hAnsi="宋体" w:eastAsia="宋体" w:cs="宋体"/>
          <w:spacing w:val="-2"/>
          <w:sz w:val="24"/>
          <w:szCs w:val="24"/>
        </w:rPr>
        <w:t>合同履行期间，发包人参照《广东省交通运输厅关于于印发我省交通建设项目材料</w:t>
      </w:r>
      <w:r>
        <w:rPr>
          <w:rFonts w:ascii="宋体" w:hAnsi="宋体" w:eastAsia="宋体" w:cs="宋体"/>
          <w:spacing w:val="1"/>
          <w:sz w:val="24"/>
          <w:szCs w:val="24"/>
        </w:rPr>
        <w:t>价差调整指导性意见的通知》</w:t>
      </w:r>
      <w:r>
        <w:rPr>
          <w:rFonts w:hint="eastAsia" w:ascii="宋体" w:hAnsi="宋体" w:cs="宋体"/>
          <w:spacing w:val="1"/>
          <w:sz w:val="24"/>
          <w:szCs w:val="24"/>
          <w:lang w:eastAsia="zh-CN"/>
        </w:rPr>
        <w:t>，</w:t>
      </w:r>
      <w:r>
        <w:rPr>
          <w:rFonts w:ascii="宋体" w:hAnsi="宋体" w:eastAsia="宋体" w:cs="宋体"/>
          <w:spacing w:val="1"/>
          <w:sz w:val="24"/>
          <w:szCs w:val="24"/>
        </w:rPr>
        <w:t>对项目允许调整价格差额的材料进行价差调整，其中材</w:t>
      </w:r>
      <w:r>
        <w:rPr>
          <w:rFonts w:ascii="宋体" w:hAnsi="宋体" w:eastAsia="宋体" w:cs="宋体"/>
          <w:spacing w:val="-5"/>
          <w:sz w:val="24"/>
          <w:szCs w:val="24"/>
        </w:rPr>
        <w:t>料价格调整的工程范围不包括一般性临时工程</w:t>
      </w:r>
      <w:r>
        <w:rPr>
          <w:rFonts w:ascii="宋体" w:hAnsi="宋体" w:eastAsia="宋体" w:cs="宋体"/>
          <w:spacing w:val="-6"/>
          <w:sz w:val="24"/>
          <w:szCs w:val="24"/>
        </w:rPr>
        <w:t>、临时设施的用材消耗，或虽属特大桥梁、</w:t>
      </w:r>
      <w:r>
        <w:rPr>
          <w:rFonts w:ascii="宋体" w:hAnsi="宋体" w:eastAsia="宋体" w:cs="宋体"/>
          <w:spacing w:val="-2"/>
          <w:sz w:val="24"/>
          <w:szCs w:val="24"/>
        </w:rPr>
        <w:t>特大隧道、大型船闸的临时工程但不需专项设计的用材消耗。材料价差调整费用系指材</w:t>
      </w:r>
      <w:r>
        <w:rPr>
          <w:rFonts w:ascii="宋体" w:hAnsi="宋体" w:eastAsia="宋体" w:cs="宋体"/>
          <w:spacing w:val="-5"/>
          <w:sz w:val="24"/>
          <w:szCs w:val="24"/>
        </w:rPr>
        <w:t>料价格（包含材料采购增值税）变化产生的综</w:t>
      </w:r>
      <w:r>
        <w:rPr>
          <w:rFonts w:ascii="宋体" w:hAnsi="宋体" w:eastAsia="宋体" w:cs="宋体"/>
          <w:spacing w:val="-6"/>
          <w:sz w:val="24"/>
          <w:szCs w:val="24"/>
        </w:rPr>
        <w:t>合调整费用，不再计算材料采购及保管费、管理费等费用。除本款约定允许调整价格差额的材料以外，</w:t>
      </w:r>
      <w:r>
        <w:rPr>
          <w:rFonts w:ascii="宋体" w:hAnsi="宋体" w:eastAsia="宋体" w:cs="宋体"/>
          <w:spacing w:val="49"/>
          <w:sz w:val="24"/>
          <w:szCs w:val="24"/>
        </w:rPr>
        <w:t xml:space="preserve"> </w:t>
      </w:r>
      <w:r>
        <w:rPr>
          <w:rFonts w:ascii="宋体" w:hAnsi="宋体" w:eastAsia="宋体" w:cs="宋体"/>
          <w:spacing w:val="-6"/>
          <w:sz w:val="24"/>
          <w:szCs w:val="24"/>
        </w:rPr>
        <w:t>其他材料、设备等不进行价</w:t>
      </w:r>
      <w:r>
        <w:rPr>
          <w:rFonts w:ascii="宋体" w:hAnsi="宋体" w:eastAsia="宋体" w:cs="宋体"/>
          <w:spacing w:val="-2"/>
          <w:sz w:val="24"/>
          <w:szCs w:val="24"/>
        </w:rPr>
        <w:t>差调整，承包人应将上述风险考虑在投标报价中。</w:t>
      </w:r>
    </w:p>
    <w:p w14:paraId="761EF4F3">
      <w:pPr>
        <w:spacing w:line="218" w:lineRule="auto"/>
        <w:ind w:left="507"/>
        <w:rPr>
          <w:rFonts w:ascii="宋体" w:hAnsi="宋体" w:eastAsia="宋体" w:cs="宋体"/>
          <w:sz w:val="24"/>
          <w:szCs w:val="24"/>
        </w:rPr>
      </w:pPr>
      <w:r>
        <w:rPr>
          <w:rFonts w:ascii="宋体" w:hAnsi="宋体" w:eastAsia="宋体" w:cs="宋体"/>
          <w:spacing w:val="-2"/>
          <w:sz w:val="24"/>
          <w:szCs w:val="24"/>
        </w:rPr>
        <w:t>16.1.2.1</w:t>
      </w:r>
      <w:r>
        <w:rPr>
          <w:rFonts w:ascii="宋体" w:hAnsi="宋体" w:eastAsia="宋体" w:cs="宋体"/>
          <w:spacing w:val="-35"/>
          <w:sz w:val="24"/>
          <w:szCs w:val="24"/>
        </w:rPr>
        <w:t xml:space="preserve"> </w:t>
      </w:r>
      <w:r>
        <w:rPr>
          <w:rFonts w:ascii="宋体" w:hAnsi="宋体" w:eastAsia="宋体" w:cs="宋体"/>
          <w:spacing w:val="-2"/>
          <w:sz w:val="24"/>
          <w:szCs w:val="24"/>
        </w:rPr>
        <w:t>统一采购供应材料、甲控乙购材料价差调整</w:t>
      </w:r>
    </w:p>
    <w:p w14:paraId="0331FCC9">
      <w:pPr>
        <w:spacing w:before="185" w:line="450" w:lineRule="auto"/>
        <w:ind w:left="6" w:right="87" w:firstLine="489"/>
        <w:rPr>
          <w:rFonts w:ascii="宋体" w:hAnsi="宋体" w:eastAsia="宋体" w:cs="宋体"/>
          <w:sz w:val="18"/>
          <w:szCs w:val="18"/>
        </w:rPr>
      </w:pPr>
      <w:r>
        <w:rPr>
          <w:rFonts w:ascii="宋体" w:hAnsi="宋体" w:eastAsia="宋体" w:cs="宋体"/>
          <w:sz w:val="24"/>
          <w:szCs w:val="24"/>
        </w:rPr>
        <w:t>（1）材料范围：详见招标文件中《统一采购供应材料一览表》《甲控乙购</w:t>
      </w:r>
      <w:r>
        <w:rPr>
          <w:rFonts w:ascii="宋体" w:hAnsi="宋体" w:eastAsia="宋体" w:cs="宋体"/>
          <w:spacing w:val="-19"/>
          <w:sz w:val="24"/>
          <w:szCs w:val="24"/>
        </w:rPr>
        <w:t xml:space="preserve"> </w:t>
      </w:r>
      <w:r>
        <w:rPr>
          <w:rFonts w:ascii="宋体" w:hAnsi="宋体" w:eastAsia="宋体" w:cs="宋体"/>
          <w:sz w:val="24"/>
          <w:szCs w:val="24"/>
        </w:rPr>
        <w:t>I</w:t>
      </w:r>
      <w:r>
        <w:rPr>
          <w:rFonts w:ascii="宋体" w:hAnsi="宋体" w:eastAsia="宋体" w:cs="宋体"/>
          <w:spacing w:val="-49"/>
          <w:sz w:val="24"/>
          <w:szCs w:val="24"/>
        </w:rPr>
        <w:t xml:space="preserve"> </w:t>
      </w:r>
      <w:r>
        <w:rPr>
          <w:rFonts w:ascii="宋体" w:hAnsi="宋体" w:eastAsia="宋体" w:cs="宋体"/>
          <w:sz w:val="24"/>
          <w:szCs w:val="24"/>
        </w:rPr>
        <w:t>类材</w:t>
      </w:r>
    </w:p>
    <w:p w14:paraId="66CE7D51">
      <w:pPr>
        <w:spacing w:line="450" w:lineRule="auto"/>
        <w:rPr>
          <w:rFonts w:ascii="宋体" w:hAnsi="宋体" w:eastAsia="宋体" w:cs="宋体"/>
          <w:sz w:val="18"/>
          <w:szCs w:val="18"/>
        </w:rPr>
        <w:sectPr>
          <w:footerReference r:id="rId99" w:type="default"/>
          <w:pgSz w:w="11905" w:h="16840"/>
          <w:pgMar w:top="1182" w:right="1331" w:bottom="1171" w:left="1416" w:header="849" w:footer="937" w:gutter="0"/>
          <w:pgNumType w:fmt="decimal"/>
          <w:cols w:space="720" w:num="1"/>
        </w:sectPr>
      </w:pPr>
    </w:p>
    <w:p w14:paraId="3BCF9692">
      <w:pPr>
        <w:pStyle w:val="2"/>
        <w:spacing w:line="268" w:lineRule="auto"/>
      </w:pPr>
    </w:p>
    <w:p w14:paraId="4A69A503">
      <w:pPr>
        <w:spacing w:before="78" w:line="220" w:lineRule="auto"/>
        <w:ind w:left="9"/>
        <w:rPr>
          <w:rFonts w:ascii="宋体" w:hAnsi="宋体" w:eastAsia="宋体" w:cs="宋体"/>
          <w:sz w:val="24"/>
          <w:szCs w:val="24"/>
        </w:rPr>
      </w:pPr>
      <w:r>
        <w:rPr>
          <w:rFonts w:ascii="宋体" w:hAnsi="宋体" w:eastAsia="宋体" w:cs="宋体"/>
          <w:spacing w:val="-4"/>
          <w:sz w:val="24"/>
          <w:szCs w:val="24"/>
        </w:rPr>
        <w:t>料一览表》</w:t>
      </w:r>
    </w:p>
    <w:p w14:paraId="1FA777A9">
      <w:pPr>
        <w:spacing w:before="181" w:line="218" w:lineRule="auto"/>
        <w:ind w:left="495"/>
        <w:rPr>
          <w:rFonts w:ascii="宋体" w:hAnsi="宋体" w:eastAsia="宋体" w:cs="宋体"/>
          <w:sz w:val="24"/>
          <w:szCs w:val="24"/>
        </w:rPr>
      </w:pPr>
      <w:r>
        <w:rPr>
          <w:rFonts w:ascii="宋体" w:hAnsi="宋体" w:eastAsia="宋体" w:cs="宋体"/>
          <w:spacing w:val="-6"/>
          <w:sz w:val="24"/>
          <w:szCs w:val="24"/>
        </w:rPr>
        <w:t>（2）材料价差计算方法：</w:t>
      </w:r>
    </w:p>
    <w:p w14:paraId="22FBEA32">
      <w:pPr>
        <w:spacing w:before="184" w:line="218" w:lineRule="auto"/>
        <w:ind w:left="491"/>
        <w:rPr>
          <w:rFonts w:ascii="宋体" w:hAnsi="宋体" w:eastAsia="宋体" w:cs="宋体"/>
          <w:sz w:val="24"/>
          <w:szCs w:val="24"/>
        </w:rPr>
      </w:pPr>
      <w:r>
        <w:rPr>
          <w:rFonts w:ascii="宋体" w:hAnsi="宋体" w:eastAsia="宋体" w:cs="宋体"/>
          <w:spacing w:val="-5"/>
          <w:sz w:val="24"/>
          <w:szCs w:val="24"/>
        </w:rPr>
        <w:t>按月调整材料价差，具体如下：</w:t>
      </w:r>
    </w:p>
    <w:p w14:paraId="2021D2DD">
      <w:pPr>
        <w:spacing w:before="164" w:line="365" w:lineRule="auto"/>
        <w:ind w:left="10" w:right="18" w:firstLine="506"/>
        <w:jc w:val="both"/>
        <w:rPr>
          <w:rFonts w:ascii="宋体" w:hAnsi="宋体" w:eastAsia="宋体" w:cs="宋体"/>
          <w:sz w:val="24"/>
          <w:szCs w:val="24"/>
        </w:rPr>
      </w:pPr>
      <w:r>
        <w:rPr>
          <w:rFonts w:ascii="宋体" w:hAnsi="宋体" w:eastAsia="宋体" w:cs="宋体"/>
          <w:spacing w:val="1"/>
          <w:sz w:val="24"/>
          <w:szCs w:val="24"/>
        </w:rPr>
        <w:t>以建设项目所在地地级市及以上交通运输工程造价机构每月公布</w:t>
      </w:r>
      <w:r>
        <w:rPr>
          <w:rFonts w:ascii="宋体" w:hAnsi="宋体" w:eastAsia="宋体" w:cs="宋体"/>
          <w:sz w:val="24"/>
          <w:szCs w:val="24"/>
        </w:rPr>
        <w:t>的交通建设工程</w:t>
      </w:r>
      <w:r>
        <w:rPr>
          <w:rFonts w:ascii="宋体" w:hAnsi="宋体" w:eastAsia="宋体" w:cs="宋体"/>
          <w:spacing w:val="-1"/>
          <w:sz w:val="24"/>
          <w:szCs w:val="24"/>
        </w:rPr>
        <w:t>主要外购材料信息价为依据，每个月</w:t>
      </w:r>
      <w:r>
        <w:rPr>
          <w:rFonts w:ascii="宋体" w:hAnsi="宋体" w:eastAsia="宋体" w:cs="宋体"/>
          <w:spacing w:val="-25"/>
          <w:sz w:val="24"/>
          <w:szCs w:val="24"/>
        </w:rPr>
        <w:t xml:space="preserve"> </w:t>
      </w:r>
      <w:r>
        <w:rPr>
          <w:rFonts w:ascii="宋体" w:hAnsi="宋体" w:eastAsia="宋体" w:cs="宋体"/>
          <w:spacing w:val="-1"/>
          <w:sz w:val="24"/>
          <w:szCs w:val="24"/>
        </w:rPr>
        <w:t>15 日（不含当天</w:t>
      </w:r>
      <w:r>
        <w:rPr>
          <w:rFonts w:ascii="宋体" w:hAnsi="宋体" w:eastAsia="宋体" w:cs="宋体"/>
          <w:spacing w:val="-2"/>
          <w:sz w:val="24"/>
          <w:szCs w:val="24"/>
        </w:rPr>
        <w:t>）后供应的货物纳入下个月进行</w:t>
      </w:r>
      <w:r>
        <w:rPr>
          <w:rFonts w:ascii="宋体" w:hAnsi="宋体" w:eastAsia="宋体" w:cs="宋体"/>
          <w:spacing w:val="-8"/>
          <w:sz w:val="24"/>
          <w:szCs w:val="24"/>
        </w:rPr>
        <w:t>价格调整。</w:t>
      </w:r>
    </w:p>
    <w:p w14:paraId="2976639D">
      <w:pPr>
        <w:spacing w:before="1" w:line="222" w:lineRule="auto"/>
        <w:ind w:left="481"/>
        <w:rPr>
          <w:rFonts w:ascii="宋体" w:hAnsi="宋体" w:eastAsia="宋体" w:cs="宋体"/>
          <w:sz w:val="24"/>
          <w:szCs w:val="24"/>
        </w:rPr>
      </w:pPr>
      <w:r>
        <w:rPr>
          <w:rFonts w:ascii="宋体" w:hAnsi="宋体" w:eastAsia="宋体" w:cs="宋体"/>
          <w:spacing w:val="-1"/>
          <w:sz w:val="24"/>
          <w:szCs w:val="24"/>
        </w:rPr>
        <w:t>A=(B-C)(1+D)</w:t>
      </w:r>
    </w:p>
    <w:p w14:paraId="1D81D672">
      <w:pPr>
        <w:spacing w:before="179" w:line="360" w:lineRule="auto"/>
        <w:ind w:left="11" w:right="17" w:firstLine="470"/>
        <w:rPr>
          <w:rFonts w:ascii="宋体" w:hAnsi="宋体" w:eastAsia="宋体" w:cs="宋体"/>
          <w:sz w:val="24"/>
          <w:szCs w:val="24"/>
        </w:rPr>
      </w:pPr>
      <w:r>
        <w:rPr>
          <w:rFonts w:ascii="宋体" w:hAnsi="宋体" w:eastAsia="宋体" w:cs="宋体"/>
          <w:spacing w:val="1"/>
          <w:sz w:val="24"/>
          <w:szCs w:val="24"/>
        </w:rPr>
        <w:t>A</w:t>
      </w:r>
      <w:r>
        <w:rPr>
          <w:rFonts w:hint="eastAsia" w:ascii="宋体" w:hAnsi="宋体" w:cs="宋体"/>
          <w:spacing w:val="1"/>
          <w:sz w:val="24"/>
          <w:szCs w:val="24"/>
          <w:lang w:eastAsia="zh-CN"/>
        </w:rPr>
        <w:t>：</w:t>
      </w:r>
      <w:r>
        <w:rPr>
          <w:rFonts w:ascii="宋体" w:hAnsi="宋体" w:eastAsia="宋体" w:cs="宋体"/>
          <w:spacing w:val="1"/>
          <w:sz w:val="24"/>
          <w:szCs w:val="24"/>
        </w:rPr>
        <w:t>实际调整价差，A</w:t>
      </w:r>
      <w:r>
        <w:rPr>
          <w:rFonts w:ascii="宋体" w:hAnsi="宋体" w:eastAsia="宋体" w:cs="宋体"/>
          <w:spacing w:val="-46"/>
          <w:sz w:val="24"/>
          <w:szCs w:val="24"/>
        </w:rPr>
        <w:t xml:space="preserve"> </w:t>
      </w:r>
      <w:r>
        <w:rPr>
          <w:rFonts w:ascii="宋体" w:hAnsi="宋体" w:eastAsia="宋体" w:cs="宋体"/>
          <w:spacing w:val="1"/>
          <w:sz w:val="24"/>
          <w:szCs w:val="24"/>
        </w:rPr>
        <w:t>为正值时，由发包人补给承包人该价差，A</w:t>
      </w:r>
      <w:r>
        <w:rPr>
          <w:rFonts w:ascii="宋体" w:hAnsi="宋体" w:eastAsia="宋体" w:cs="宋体"/>
          <w:spacing w:val="-47"/>
          <w:sz w:val="24"/>
          <w:szCs w:val="24"/>
        </w:rPr>
        <w:t xml:space="preserve"> </w:t>
      </w:r>
      <w:r>
        <w:rPr>
          <w:rFonts w:ascii="宋体" w:hAnsi="宋体" w:eastAsia="宋体" w:cs="宋体"/>
          <w:spacing w:val="1"/>
          <w:sz w:val="24"/>
          <w:szCs w:val="24"/>
        </w:rPr>
        <w:t>为负值时，由发包</w:t>
      </w:r>
      <w:r>
        <w:rPr>
          <w:rFonts w:ascii="宋体" w:hAnsi="宋体" w:eastAsia="宋体" w:cs="宋体"/>
          <w:spacing w:val="-3"/>
          <w:sz w:val="24"/>
          <w:szCs w:val="24"/>
        </w:rPr>
        <w:t>人从承包人承包价中扣回该价差。</w:t>
      </w:r>
    </w:p>
    <w:p w14:paraId="1B46CF0B">
      <w:pPr>
        <w:spacing w:before="2" w:line="359" w:lineRule="auto"/>
        <w:ind w:left="11" w:right="13" w:firstLine="472"/>
        <w:rPr>
          <w:rFonts w:ascii="宋体" w:hAnsi="宋体" w:eastAsia="宋体" w:cs="宋体"/>
          <w:sz w:val="24"/>
          <w:szCs w:val="24"/>
        </w:rPr>
      </w:pPr>
      <w:r>
        <w:rPr>
          <w:rFonts w:ascii="宋体" w:hAnsi="宋体" w:eastAsia="宋体" w:cs="宋体"/>
          <w:spacing w:val="-1"/>
          <w:sz w:val="24"/>
          <w:szCs w:val="24"/>
        </w:rPr>
        <w:t>B</w:t>
      </w:r>
      <w:r>
        <w:rPr>
          <w:rFonts w:hint="eastAsia" w:ascii="宋体" w:hAnsi="宋体" w:cs="宋体"/>
          <w:spacing w:val="-1"/>
          <w:sz w:val="24"/>
          <w:szCs w:val="24"/>
          <w:lang w:eastAsia="zh-CN"/>
        </w:rPr>
        <w:t>：</w:t>
      </w:r>
      <w:r>
        <w:rPr>
          <w:rFonts w:ascii="宋体" w:hAnsi="宋体" w:eastAsia="宋体" w:cs="宋体"/>
          <w:spacing w:val="-1"/>
          <w:sz w:val="24"/>
          <w:szCs w:val="24"/>
        </w:rPr>
        <w:t>实际采购供应价</w:t>
      </w:r>
      <w:r>
        <w:rPr>
          <w:rFonts w:hint="eastAsia" w:ascii="宋体" w:hAnsi="宋体" w:cs="宋体"/>
          <w:spacing w:val="-1"/>
          <w:sz w:val="24"/>
          <w:szCs w:val="24"/>
          <w:lang w:eastAsia="zh-CN"/>
        </w:rPr>
        <w:t>（</w:t>
      </w:r>
      <w:r>
        <w:rPr>
          <w:rFonts w:ascii="宋体" w:hAnsi="宋体" w:eastAsia="宋体" w:cs="宋体"/>
          <w:spacing w:val="-1"/>
          <w:sz w:val="24"/>
          <w:szCs w:val="24"/>
        </w:rPr>
        <w:t>不含税</w:t>
      </w:r>
      <w:r>
        <w:rPr>
          <w:rFonts w:hint="eastAsia" w:ascii="宋体" w:hAnsi="宋体" w:cs="宋体"/>
          <w:spacing w:val="-1"/>
          <w:sz w:val="24"/>
          <w:szCs w:val="24"/>
          <w:lang w:eastAsia="zh-CN"/>
        </w:rPr>
        <w:t>）</w:t>
      </w:r>
      <w:r>
        <w:rPr>
          <w:rFonts w:ascii="宋体" w:hAnsi="宋体" w:eastAsia="宋体" w:cs="宋体"/>
          <w:spacing w:val="-1"/>
          <w:sz w:val="24"/>
          <w:szCs w:val="24"/>
        </w:rPr>
        <w:t>，该价格为实际支付</w:t>
      </w:r>
      <w:r>
        <w:rPr>
          <w:rFonts w:ascii="宋体" w:hAnsi="宋体" w:eastAsia="宋体" w:cs="宋体"/>
          <w:spacing w:val="-2"/>
          <w:sz w:val="24"/>
          <w:szCs w:val="24"/>
        </w:rPr>
        <w:t>给供应商（卖方）的价格，该价格按与供应商签定的采购供应合同（含补充合同/协议）确定。</w:t>
      </w:r>
    </w:p>
    <w:p w14:paraId="295E6BD5">
      <w:pPr>
        <w:spacing w:line="218" w:lineRule="auto"/>
        <w:ind w:left="487"/>
        <w:rPr>
          <w:rFonts w:ascii="宋体" w:hAnsi="宋体" w:eastAsia="宋体" w:cs="宋体"/>
          <w:sz w:val="24"/>
          <w:szCs w:val="24"/>
        </w:rPr>
      </w:pPr>
      <w:r>
        <w:rPr>
          <w:rFonts w:ascii="宋体" w:hAnsi="宋体" w:eastAsia="宋体" w:cs="宋体"/>
          <w:spacing w:val="-1"/>
          <w:sz w:val="24"/>
          <w:szCs w:val="24"/>
        </w:rPr>
        <w:t>C</w:t>
      </w:r>
      <w:r>
        <w:rPr>
          <w:rFonts w:hint="eastAsia" w:ascii="宋体" w:hAnsi="宋体" w:cs="宋体"/>
          <w:spacing w:val="-1"/>
          <w:sz w:val="24"/>
          <w:szCs w:val="24"/>
          <w:lang w:eastAsia="zh-CN"/>
        </w:rPr>
        <w:t>：</w:t>
      </w:r>
      <w:r>
        <w:rPr>
          <w:rFonts w:ascii="宋体" w:hAnsi="宋体" w:eastAsia="宋体" w:cs="宋体"/>
          <w:spacing w:val="-1"/>
          <w:sz w:val="24"/>
          <w:szCs w:val="24"/>
        </w:rPr>
        <w:t>材料基准价格</w:t>
      </w:r>
      <w:r>
        <w:rPr>
          <w:rFonts w:hint="eastAsia" w:ascii="宋体" w:hAnsi="宋体" w:cs="宋体"/>
          <w:spacing w:val="-1"/>
          <w:sz w:val="24"/>
          <w:szCs w:val="24"/>
          <w:lang w:eastAsia="zh-CN"/>
        </w:rPr>
        <w:t>（</w:t>
      </w:r>
      <w:r>
        <w:rPr>
          <w:rFonts w:ascii="宋体" w:hAnsi="宋体" w:eastAsia="宋体" w:cs="宋体"/>
          <w:spacing w:val="-1"/>
          <w:sz w:val="24"/>
          <w:szCs w:val="24"/>
        </w:rPr>
        <w:t>不含税</w:t>
      </w:r>
      <w:r>
        <w:rPr>
          <w:rFonts w:hint="eastAsia" w:ascii="宋体" w:hAnsi="宋体" w:cs="宋体"/>
          <w:spacing w:val="-1"/>
          <w:sz w:val="24"/>
          <w:szCs w:val="24"/>
          <w:lang w:eastAsia="zh-CN"/>
        </w:rPr>
        <w:t>）</w:t>
      </w:r>
      <w:r>
        <w:rPr>
          <w:rFonts w:ascii="宋体" w:hAnsi="宋体" w:eastAsia="宋体" w:cs="宋体"/>
          <w:spacing w:val="-1"/>
          <w:sz w:val="24"/>
          <w:szCs w:val="24"/>
        </w:rPr>
        <w:t>，由招标人在招标文件（或补遗书）中统一规定。</w:t>
      </w:r>
    </w:p>
    <w:p w14:paraId="54E740A1">
      <w:pPr>
        <w:spacing w:before="185" w:line="218" w:lineRule="auto"/>
        <w:ind w:left="484"/>
        <w:rPr>
          <w:rFonts w:ascii="宋体" w:hAnsi="宋体" w:eastAsia="宋体" w:cs="宋体"/>
          <w:sz w:val="24"/>
          <w:szCs w:val="24"/>
        </w:rPr>
      </w:pPr>
      <w:r>
        <w:rPr>
          <w:rFonts w:ascii="宋体" w:hAnsi="宋体" w:eastAsia="宋体" w:cs="宋体"/>
          <w:spacing w:val="-1"/>
          <w:sz w:val="24"/>
          <w:szCs w:val="24"/>
        </w:rPr>
        <w:t>D</w:t>
      </w:r>
      <w:r>
        <w:rPr>
          <w:rFonts w:hint="eastAsia" w:ascii="宋体" w:hAnsi="宋体" w:cs="宋体"/>
          <w:spacing w:val="-1"/>
          <w:sz w:val="24"/>
          <w:szCs w:val="24"/>
          <w:lang w:eastAsia="zh-CN"/>
        </w:rPr>
        <w:t>：</w:t>
      </w:r>
      <w:r>
        <w:rPr>
          <w:rFonts w:ascii="宋体" w:hAnsi="宋体" w:eastAsia="宋体" w:cs="宋体"/>
          <w:spacing w:val="-1"/>
          <w:sz w:val="24"/>
          <w:szCs w:val="24"/>
        </w:rPr>
        <w:t>增值税税率，指国家最新规定对应调价材</w:t>
      </w:r>
      <w:r>
        <w:rPr>
          <w:rFonts w:ascii="宋体" w:hAnsi="宋体" w:eastAsia="宋体" w:cs="宋体"/>
          <w:spacing w:val="-2"/>
          <w:sz w:val="24"/>
          <w:szCs w:val="24"/>
        </w:rPr>
        <w:t>料销售的增值税税率。</w:t>
      </w:r>
    </w:p>
    <w:p w14:paraId="210E30F2">
      <w:pPr>
        <w:spacing w:before="185" w:line="218" w:lineRule="auto"/>
        <w:ind w:left="507"/>
        <w:rPr>
          <w:rFonts w:ascii="宋体" w:hAnsi="宋体" w:eastAsia="宋体" w:cs="宋体"/>
          <w:sz w:val="24"/>
          <w:szCs w:val="24"/>
        </w:rPr>
      </w:pPr>
      <w:r>
        <w:rPr>
          <w:rFonts w:ascii="宋体" w:hAnsi="宋体" w:eastAsia="宋体" w:cs="宋体"/>
          <w:spacing w:val="-2"/>
          <w:sz w:val="24"/>
          <w:szCs w:val="24"/>
        </w:rPr>
        <w:t>16.1.2.2</w:t>
      </w:r>
      <w:r>
        <w:rPr>
          <w:rFonts w:ascii="宋体" w:hAnsi="宋体" w:eastAsia="宋体" w:cs="宋体"/>
          <w:spacing w:val="-46"/>
          <w:sz w:val="24"/>
          <w:szCs w:val="24"/>
        </w:rPr>
        <w:t xml:space="preserve"> </w:t>
      </w:r>
      <w:r>
        <w:rPr>
          <w:rFonts w:ascii="宋体" w:hAnsi="宋体" w:eastAsia="宋体" w:cs="宋体"/>
          <w:spacing w:val="-2"/>
          <w:sz w:val="24"/>
          <w:szCs w:val="24"/>
        </w:rPr>
        <w:t>承包人自行采购材料价差调整</w:t>
      </w:r>
    </w:p>
    <w:p w14:paraId="413A5404">
      <w:pPr>
        <w:spacing w:before="184" w:line="220" w:lineRule="auto"/>
        <w:ind w:left="507"/>
        <w:rPr>
          <w:rFonts w:ascii="宋体" w:hAnsi="宋体" w:eastAsia="宋体" w:cs="宋体"/>
          <w:sz w:val="24"/>
          <w:szCs w:val="24"/>
        </w:rPr>
      </w:pPr>
      <w:r>
        <w:rPr>
          <w:rFonts w:ascii="宋体" w:hAnsi="宋体" w:eastAsia="宋体" w:cs="宋体"/>
          <w:spacing w:val="-3"/>
          <w:sz w:val="24"/>
          <w:szCs w:val="24"/>
        </w:rPr>
        <w:t>16.1.2.2.1</w:t>
      </w:r>
      <w:r>
        <w:rPr>
          <w:rFonts w:ascii="宋体" w:hAnsi="宋体" w:eastAsia="宋体" w:cs="宋体"/>
          <w:spacing w:val="-44"/>
          <w:sz w:val="24"/>
          <w:szCs w:val="24"/>
        </w:rPr>
        <w:t xml:space="preserve"> </w:t>
      </w:r>
      <w:r>
        <w:rPr>
          <w:rFonts w:ascii="宋体" w:hAnsi="宋体" w:eastAsia="宋体" w:cs="宋体"/>
          <w:spacing w:val="-3"/>
          <w:sz w:val="24"/>
          <w:szCs w:val="24"/>
        </w:rPr>
        <w:t>工程范围</w:t>
      </w:r>
    </w:p>
    <w:p w14:paraId="79605F5F">
      <w:pPr>
        <w:spacing w:before="182" w:line="360" w:lineRule="auto"/>
        <w:ind w:left="11" w:firstLine="480"/>
        <w:jc w:val="both"/>
        <w:rPr>
          <w:rFonts w:ascii="宋体" w:hAnsi="宋体" w:eastAsia="宋体" w:cs="宋体"/>
          <w:sz w:val="24"/>
          <w:szCs w:val="24"/>
        </w:rPr>
      </w:pPr>
      <w:r>
        <w:rPr>
          <w:rFonts w:ascii="宋体" w:hAnsi="宋体" w:eastAsia="宋体" w:cs="宋体"/>
          <w:spacing w:val="-2"/>
          <w:sz w:val="24"/>
          <w:szCs w:val="24"/>
        </w:rPr>
        <w:t>指建设项目的实体工程所消耗的主要材料（含构成永久性结构的水中钢护筒、溶洞处理钢护筒等</w:t>
      </w:r>
      <w:r>
        <w:rPr>
          <w:rFonts w:ascii="宋体" w:hAnsi="宋体" w:eastAsia="宋体" w:cs="宋体"/>
          <w:spacing w:val="5"/>
          <w:sz w:val="24"/>
          <w:szCs w:val="24"/>
        </w:rPr>
        <w:t>），</w:t>
      </w:r>
      <w:r>
        <w:rPr>
          <w:rFonts w:ascii="宋体" w:hAnsi="宋体" w:eastAsia="宋体" w:cs="宋体"/>
          <w:spacing w:val="-2"/>
          <w:sz w:val="24"/>
          <w:szCs w:val="24"/>
        </w:rPr>
        <w:t>以及特大桥梁、特长隧道、大型船闸等有专项设计的大型临时工程所消耗的主要材料纳入材料调差调整范围。一般性临时工程、临时设施所消耗的材料以及</w:t>
      </w:r>
      <w:r>
        <w:rPr>
          <w:rFonts w:ascii="宋体" w:hAnsi="宋体" w:eastAsia="宋体" w:cs="宋体"/>
          <w:spacing w:val="-1"/>
          <w:sz w:val="24"/>
          <w:szCs w:val="24"/>
        </w:rPr>
        <w:t>属于水运工程范围的材料（合同中包含水运工程的除外）均不纳</w:t>
      </w:r>
      <w:r>
        <w:rPr>
          <w:rFonts w:ascii="宋体" w:hAnsi="宋体" w:eastAsia="宋体" w:cs="宋体"/>
          <w:spacing w:val="-2"/>
          <w:sz w:val="24"/>
          <w:szCs w:val="24"/>
        </w:rPr>
        <w:t>入材料调差调整范围。</w:t>
      </w:r>
    </w:p>
    <w:p w14:paraId="0EDF7E83">
      <w:pPr>
        <w:spacing w:before="1" w:line="218" w:lineRule="auto"/>
        <w:ind w:left="507"/>
        <w:rPr>
          <w:rFonts w:ascii="宋体" w:hAnsi="宋体" w:eastAsia="宋体" w:cs="宋体"/>
          <w:sz w:val="24"/>
          <w:szCs w:val="24"/>
        </w:rPr>
      </w:pPr>
      <w:r>
        <w:rPr>
          <w:rFonts w:ascii="宋体" w:hAnsi="宋体" w:eastAsia="宋体" w:cs="宋体"/>
          <w:spacing w:val="-3"/>
          <w:sz w:val="24"/>
          <w:szCs w:val="24"/>
        </w:rPr>
        <w:t>16.1.2.2.2</w:t>
      </w:r>
      <w:r>
        <w:rPr>
          <w:rFonts w:ascii="宋体" w:hAnsi="宋体" w:eastAsia="宋体" w:cs="宋体"/>
          <w:spacing w:val="-44"/>
          <w:sz w:val="24"/>
          <w:szCs w:val="24"/>
        </w:rPr>
        <w:t xml:space="preserve"> </w:t>
      </w:r>
      <w:r>
        <w:rPr>
          <w:rFonts w:ascii="宋体" w:hAnsi="宋体" w:eastAsia="宋体" w:cs="宋体"/>
          <w:spacing w:val="-3"/>
          <w:sz w:val="24"/>
          <w:szCs w:val="24"/>
        </w:rPr>
        <w:t>材料范围</w:t>
      </w:r>
    </w:p>
    <w:p w14:paraId="6D183087">
      <w:pPr>
        <w:spacing w:before="183" w:line="219" w:lineRule="auto"/>
        <w:ind w:left="491"/>
        <w:rPr>
          <w:rFonts w:ascii="宋体" w:hAnsi="宋体" w:eastAsia="宋体" w:cs="宋体"/>
          <w:sz w:val="24"/>
          <w:szCs w:val="24"/>
        </w:rPr>
      </w:pPr>
      <w:r>
        <w:rPr>
          <w:rFonts w:ascii="宋体" w:hAnsi="宋体" w:eastAsia="宋体" w:cs="宋体"/>
          <w:spacing w:val="-6"/>
          <w:sz w:val="24"/>
          <w:szCs w:val="24"/>
        </w:rPr>
        <w:t>可调差主要材料范围如下：</w:t>
      </w:r>
    </w:p>
    <w:p w14:paraId="0CE33A04">
      <w:pPr>
        <w:pStyle w:val="2"/>
        <w:spacing w:line="247" w:lineRule="auto"/>
      </w:pPr>
    </w:p>
    <w:p w14:paraId="4B5BC6E9">
      <w:pPr>
        <w:pStyle w:val="2"/>
        <w:spacing w:line="247" w:lineRule="auto"/>
      </w:pPr>
    </w:p>
    <w:p w14:paraId="4B791F80">
      <w:pPr>
        <w:pStyle w:val="2"/>
        <w:spacing w:line="247" w:lineRule="auto"/>
      </w:pPr>
    </w:p>
    <w:p w14:paraId="6B296A1D">
      <w:pPr>
        <w:pStyle w:val="2"/>
        <w:spacing w:line="247" w:lineRule="auto"/>
      </w:pPr>
    </w:p>
    <w:p w14:paraId="01E7C581">
      <w:pPr>
        <w:pStyle w:val="2"/>
        <w:spacing w:line="247" w:lineRule="auto"/>
      </w:pPr>
    </w:p>
    <w:p w14:paraId="57ACA487">
      <w:pPr>
        <w:pStyle w:val="2"/>
        <w:spacing w:line="247" w:lineRule="auto"/>
      </w:pPr>
    </w:p>
    <w:p w14:paraId="29971A1B">
      <w:pPr>
        <w:pStyle w:val="2"/>
        <w:spacing w:line="247" w:lineRule="auto"/>
      </w:pPr>
    </w:p>
    <w:p w14:paraId="480CAEC7">
      <w:pPr>
        <w:pStyle w:val="2"/>
        <w:spacing w:line="247" w:lineRule="auto"/>
      </w:pPr>
    </w:p>
    <w:p w14:paraId="47C047C5">
      <w:pPr>
        <w:pStyle w:val="2"/>
        <w:spacing w:line="247" w:lineRule="auto"/>
      </w:pPr>
    </w:p>
    <w:p w14:paraId="02AC661C">
      <w:pPr>
        <w:pStyle w:val="2"/>
        <w:spacing w:line="247" w:lineRule="auto"/>
      </w:pPr>
    </w:p>
    <w:p w14:paraId="708B2380">
      <w:pPr>
        <w:pStyle w:val="2"/>
        <w:spacing w:line="247" w:lineRule="auto"/>
      </w:pPr>
    </w:p>
    <w:p w14:paraId="722C142A">
      <w:pPr>
        <w:pStyle w:val="2"/>
        <w:spacing w:line="247" w:lineRule="auto"/>
      </w:pPr>
    </w:p>
    <w:p w14:paraId="707B3F36">
      <w:pPr>
        <w:pStyle w:val="2"/>
        <w:spacing w:line="248" w:lineRule="auto"/>
      </w:pPr>
    </w:p>
    <w:p w14:paraId="3998626C">
      <w:pPr>
        <w:pStyle w:val="2"/>
        <w:spacing w:line="248" w:lineRule="auto"/>
      </w:pPr>
    </w:p>
    <w:p w14:paraId="60A1FB83">
      <w:pPr>
        <w:pStyle w:val="2"/>
        <w:spacing w:line="248" w:lineRule="auto"/>
      </w:pPr>
    </w:p>
    <w:p w14:paraId="5324C33E">
      <w:pPr>
        <w:pStyle w:val="2"/>
        <w:spacing w:line="248" w:lineRule="auto"/>
      </w:pPr>
    </w:p>
    <w:p w14:paraId="05B24173">
      <w:pPr>
        <w:spacing w:line="217" w:lineRule="auto"/>
        <w:rPr>
          <w:rFonts w:ascii="宋体" w:hAnsi="宋体" w:eastAsia="宋体" w:cs="宋体"/>
          <w:sz w:val="18"/>
          <w:szCs w:val="18"/>
        </w:rPr>
        <w:sectPr>
          <w:headerReference r:id="rId100" w:type="default"/>
          <w:footerReference r:id="rId101" w:type="default"/>
          <w:pgSz w:w="11905" w:h="16840"/>
          <w:pgMar w:top="1182" w:right="1403" w:bottom="1171" w:left="1416" w:header="849" w:footer="937" w:gutter="0"/>
          <w:pgNumType w:fmt="decimal"/>
          <w:cols w:space="720" w:num="1"/>
        </w:sectPr>
      </w:pPr>
    </w:p>
    <w:p w14:paraId="2DDBF6DE">
      <w:pPr>
        <w:pStyle w:val="2"/>
        <w:spacing w:line="249" w:lineRule="auto"/>
      </w:pPr>
    </w:p>
    <w:p w14:paraId="3B4C82D8">
      <w:pPr>
        <w:spacing w:before="78" w:line="233" w:lineRule="auto"/>
        <w:ind w:left="3640"/>
        <w:rPr>
          <w:rFonts w:hint="eastAsia" w:ascii="宋体" w:hAnsi="宋体" w:eastAsia="宋体" w:cs="宋体"/>
          <w:sz w:val="12"/>
          <w:szCs w:val="12"/>
          <w:lang w:eastAsia="zh-CN"/>
        </w:rPr>
      </w:pPr>
      <w:r>
        <w:rPr>
          <w:rFonts w:ascii="宋体" w:hAnsi="宋体" w:eastAsia="宋体" w:cs="宋体"/>
          <w:b/>
          <w:bCs/>
          <w:spacing w:val="-3"/>
          <w:sz w:val="24"/>
          <w:szCs w:val="24"/>
        </w:rPr>
        <w:t>可调差材料一览表</w:t>
      </w:r>
    </w:p>
    <w:p w14:paraId="49A9B768">
      <w:pPr>
        <w:spacing w:line="70"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1160"/>
        <w:gridCol w:w="1161"/>
        <w:gridCol w:w="1160"/>
        <w:gridCol w:w="1161"/>
        <w:gridCol w:w="1160"/>
        <w:gridCol w:w="1161"/>
        <w:gridCol w:w="1164"/>
      </w:tblGrid>
      <w:tr w14:paraId="31F7F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165" w:type="dxa"/>
            <w:vAlign w:val="top"/>
          </w:tcPr>
          <w:p w14:paraId="7E63BC37">
            <w:pPr>
              <w:pStyle w:val="9"/>
              <w:spacing w:before="132" w:line="221" w:lineRule="auto"/>
              <w:ind w:left="376"/>
            </w:pPr>
            <w:r>
              <w:rPr>
                <w:spacing w:val="-2"/>
              </w:rPr>
              <w:t>序号</w:t>
            </w:r>
          </w:p>
        </w:tc>
        <w:tc>
          <w:tcPr>
            <w:tcW w:w="1160" w:type="dxa"/>
            <w:vAlign w:val="top"/>
          </w:tcPr>
          <w:p w14:paraId="37BBE193">
            <w:pPr>
              <w:pStyle w:val="9"/>
              <w:spacing w:before="132" w:line="219" w:lineRule="auto"/>
              <w:ind w:left="164"/>
            </w:pPr>
            <w:r>
              <w:rPr>
                <w:spacing w:val="-2"/>
              </w:rPr>
              <w:t>材料名称</w:t>
            </w:r>
          </w:p>
        </w:tc>
        <w:tc>
          <w:tcPr>
            <w:tcW w:w="1161" w:type="dxa"/>
            <w:vAlign w:val="top"/>
          </w:tcPr>
          <w:p w14:paraId="59D770AD">
            <w:pPr>
              <w:pStyle w:val="9"/>
              <w:spacing w:before="132" w:line="220" w:lineRule="auto"/>
              <w:ind w:left="373"/>
            </w:pPr>
            <w:r>
              <w:rPr>
                <w:spacing w:val="-2"/>
              </w:rPr>
              <w:t>代号</w:t>
            </w:r>
          </w:p>
        </w:tc>
        <w:tc>
          <w:tcPr>
            <w:tcW w:w="1160" w:type="dxa"/>
            <w:vAlign w:val="top"/>
          </w:tcPr>
          <w:p w14:paraId="2D79236C">
            <w:pPr>
              <w:pStyle w:val="9"/>
              <w:spacing w:before="132" w:line="220" w:lineRule="auto"/>
              <w:ind w:left="376"/>
            </w:pPr>
            <w:r>
              <w:rPr>
                <w:spacing w:val="-3"/>
              </w:rPr>
              <w:t>单位</w:t>
            </w:r>
          </w:p>
        </w:tc>
        <w:tc>
          <w:tcPr>
            <w:tcW w:w="1161" w:type="dxa"/>
            <w:vAlign w:val="top"/>
          </w:tcPr>
          <w:p w14:paraId="2311C3E4">
            <w:pPr>
              <w:pStyle w:val="9"/>
              <w:spacing w:before="132" w:line="221" w:lineRule="auto"/>
              <w:ind w:left="374"/>
            </w:pPr>
            <w:r>
              <w:rPr>
                <w:spacing w:val="-2"/>
              </w:rPr>
              <w:t>序号</w:t>
            </w:r>
          </w:p>
        </w:tc>
        <w:tc>
          <w:tcPr>
            <w:tcW w:w="1160" w:type="dxa"/>
            <w:vAlign w:val="top"/>
          </w:tcPr>
          <w:p w14:paraId="657A23BD">
            <w:pPr>
              <w:pStyle w:val="9"/>
              <w:spacing w:before="132" w:line="219" w:lineRule="auto"/>
              <w:ind w:left="166"/>
            </w:pPr>
            <w:r>
              <w:rPr>
                <w:spacing w:val="-2"/>
              </w:rPr>
              <w:t>材料名称</w:t>
            </w:r>
          </w:p>
        </w:tc>
        <w:tc>
          <w:tcPr>
            <w:tcW w:w="1161" w:type="dxa"/>
            <w:vAlign w:val="top"/>
          </w:tcPr>
          <w:p w14:paraId="52C0A678">
            <w:pPr>
              <w:pStyle w:val="9"/>
              <w:spacing w:before="132" w:line="220" w:lineRule="auto"/>
              <w:ind w:left="375"/>
            </w:pPr>
            <w:r>
              <w:rPr>
                <w:spacing w:val="-2"/>
              </w:rPr>
              <w:t>代号</w:t>
            </w:r>
          </w:p>
        </w:tc>
        <w:tc>
          <w:tcPr>
            <w:tcW w:w="1164" w:type="dxa"/>
            <w:vAlign w:val="top"/>
          </w:tcPr>
          <w:p w14:paraId="534013FD">
            <w:pPr>
              <w:pStyle w:val="9"/>
              <w:spacing w:before="132" w:line="220" w:lineRule="auto"/>
              <w:ind w:left="378"/>
            </w:pPr>
            <w:r>
              <w:rPr>
                <w:spacing w:val="-3"/>
              </w:rPr>
              <w:t>单位</w:t>
            </w:r>
          </w:p>
        </w:tc>
      </w:tr>
      <w:tr w14:paraId="1DAEF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vAlign w:val="top"/>
          </w:tcPr>
          <w:p w14:paraId="444AB452">
            <w:pPr>
              <w:pStyle w:val="9"/>
              <w:spacing w:before="127" w:line="241" w:lineRule="auto"/>
              <w:ind w:left="551"/>
            </w:pPr>
            <w:r>
              <w:t>1</w:t>
            </w:r>
          </w:p>
        </w:tc>
        <w:tc>
          <w:tcPr>
            <w:tcW w:w="1160" w:type="dxa"/>
            <w:vAlign w:val="top"/>
          </w:tcPr>
          <w:p w14:paraId="32A1B42A">
            <w:pPr>
              <w:pStyle w:val="9"/>
              <w:spacing w:before="127" w:line="241" w:lineRule="auto"/>
              <w:ind w:left="533"/>
            </w:pPr>
            <w:r>
              <w:t>2</w:t>
            </w:r>
          </w:p>
        </w:tc>
        <w:tc>
          <w:tcPr>
            <w:tcW w:w="1161" w:type="dxa"/>
            <w:vAlign w:val="top"/>
          </w:tcPr>
          <w:p w14:paraId="72598A80">
            <w:pPr>
              <w:pStyle w:val="9"/>
              <w:spacing w:before="126"/>
              <w:ind w:left="537"/>
            </w:pPr>
            <w:r>
              <w:t>3</w:t>
            </w:r>
          </w:p>
        </w:tc>
        <w:tc>
          <w:tcPr>
            <w:tcW w:w="1160" w:type="dxa"/>
            <w:vAlign w:val="top"/>
          </w:tcPr>
          <w:p w14:paraId="6C68AA4B">
            <w:pPr>
              <w:pStyle w:val="9"/>
              <w:spacing w:before="127" w:line="241" w:lineRule="auto"/>
              <w:ind w:left="531"/>
            </w:pPr>
            <w:r>
              <w:t>4</w:t>
            </w:r>
          </w:p>
        </w:tc>
        <w:tc>
          <w:tcPr>
            <w:tcW w:w="1161" w:type="dxa"/>
            <w:vAlign w:val="top"/>
          </w:tcPr>
          <w:p w14:paraId="31D4FE3C">
            <w:pPr>
              <w:pStyle w:val="9"/>
              <w:spacing w:before="127" w:line="241" w:lineRule="auto"/>
              <w:ind w:left="549"/>
            </w:pPr>
            <w:r>
              <w:t>1</w:t>
            </w:r>
          </w:p>
        </w:tc>
        <w:tc>
          <w:tcPr>
            <w:tcW w:w="1160" w:type="dxa"/>
            <w:vAlign w:val="top"/>
          </w:tcPr>
          <w:p w14:paraId="0FE1DD36">
            <w:pPr>
              <w:pStyle w:val="9"/>
              <w:spacing w:before="127" w:line="241" w:lineRule="auto"/>
              <w:ind w:left="535"/>
            </w:pPr>
            <w:r>
              <w:t>2</w:t>
            </w:r>
          </w:p>
        </w:tc>
        <w:tc>
          <w:tcPr>
            <w:tcW w:w="1161" w:type="dxa"/>
            <w:vAlign w:val="top"/>
          </w:tcPr>
          <w:p w14:paraId="070FF379">
            <w:pPr>
              <w:pStyle w:val="9"/>
              <w:spacing w:before="126"/>
              <w:ind w:left="539"/>
            </w:pPr>
            <w:r>
              <w:t>3</w:t>
            </w:r>
          </w:p>
        </w:tc>
        <w:tc>
          <w:tcPr>
            <w:tcW w:w="1164" w:type="dxa"/>
            <w:vAlign w:val="top"/>
          </w:tcPr>
          <w:p w14:paraId="6F7686B4">
            <w:pPr>
              <w:pStyle w:val="9"/>
              <w:spacing w:before="127" w:line="241" w:lineRule="auto"/>
              <w:ind w:left="533"/>
            </w:pPr>
            <w:r>
              <w:t>4</w:t>
            </w:r>
          </w:p>
        </w:tc>
      </w:tr>
      <w:tr w14:paraId="36BAB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vAlign w:val="top"/>
          </w:tcPr>
          <w:p w14:paraId="6F196C95">
            <w:pPr>
              <w:pStyle w:val="9"/>
              <w:spacing w:before="206" w:line="163" w:lineRule="exact"/>
              <w:ind w:left="486"/>
            </w:pPr>
            <w:r>
              <w:rPr>
                <w:position w:val="-4"/>
              </w:rPr>
              <w:t>一</w:t>
            </w:r>
          </w:p>
        </w:tc>
        <w:tc>
          <w:tcPr>
            <w:tcW w:w="1160" w:type="dxa"/>
            <w:vAlign w:val="top"/>
          </w:tcPr>
          <w:p w14:paraId="3072FDBD">
            <w:pPr>
              <w:pStyle w:val="9"/>
              <w:spacing w:before="127" w:line="219" w:lineRule="auto"/>
              <w:ind w:left="372"/>
            </w:pPr>
            <w:r>
              <w:rPr>
                <w:spacing w:val="-4"/>
              </w:rPr>
              <w:t>钢材</w:t>
            </w:r>
          </w:p>
        </w:tc>
        <w:tc>
          <w:tcPr>
            <w:tcW w:w="1161" w:type="dxa"/>
            <w:vAlign w:val="top"/>
          </w:tcPr>
          <w:p w14:paraId="23881E14">
            <w:pPr>
              <w:rPr>
                <w:rFonts w:ascii="Arial"/>
                <w:sz w:val="21"/>
              </w:rPr>
            </w:pPr>
          </w:p>
        </w:tc>
        <w:tc>
          <w:tcPr>
            <w:tcW w:w="1160" w:type="dxa"/>
            <w:vAlign w:val="top"/>
          </w:tcPr>
          <w:p w14:paraId="4A8B995C">
            <w:pPr>
              <w:rPr>
                <w:rFonts w:ascii="Arial"/>
                <w:sz w:val="21"/>
              </w:rPr>
            </w:pPr>
          </w:p>
        </w:tc>
        <w:tc>
          <w:tcPr>
            <w:tcW w:w="1161" w:type="dxa"/>
            <w:vAlign w:val="top"/>
          </w:tcPr>
          <w:p w14:paraId="1133DE3A">
            <w:pPr>
              <w:pStyle w:val="9"/>
              <w:spacing w:before="166" w:line="178" w:lineRule="auto"/>
              <w:ind w:left="484"/>
            </w:pPr>
            <w:r>
              <w:t>二</w:t>
            </w:r>
          </w:p>
        </w:tc>
        <w:tc>
          <w:tcPr>
            <w:tcW w:w="1160" w:type="dxa"/>
            <w:vAlign w:val="top"/>
          </w:tcPr>
          <w:p w14:paraId="481A14AB">
            <w:pPr>
              <w:pStyle w:val="9"/>
              <w:spacing w:before="127" w:line="220" w:lineRule="auto"/>
              <w:ind w:left="378"/>
            </w:pPr>
            <w:r>
              <w:rPr>
                <w:spacing w:val="-6"/>
              </w:rPr>
              <w:t>水泥</w:t>
            </w:r>
          </w:p>
        </w:tc>
        <w:tc>
          <w:tcPr>
            <w:tcW w:w="1161" w:type="dxa"/>
            <w:vAlign w:val="top"/>
          </w:tcPr>
          <w:p w14:paraId="62A5FFD7">
            <w:pPr>
              <w:rPr>
                <w:rFonts w:ascii="Arial"/>
                <w:sz w:val="21"/>
              </w:rPr>
            </w:pPr>
          </w:p>
        </w:tc>
        <w:tc>
          <w:tcPr>
            <w:tcW w:w="1164" w:type="dxa"/>
            <w:vAlign w:val="top"/>
          </w:tcPr>
          <w:p w14:paraId="10C0D74A">
            <w:pPr>
              <w:rPr>
                <w:rFonts w:ascii="Arial"/>
                <w:sz w:val="21"/>
              </w:rPr>
            </w:pPr>
          </w:p>
        </w:tc>
      </w:tr>
      <w:tr w14:paraId="580E9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65" w:type="dxa"/>
            <w:vAlign w:val="top"/>
          </w:tcPr>
          <w:p w14:paraId="5A32311D">
            <w:pPr>
              <w:rPr>
                <w:rFonts w:ascii="Arial"/>
                <w:sz w:val="21"/>
              </w:rPr>
            </w:pPr>
          </w:p>
        </w:tc>
        <w:tc>
          <w:tcPr>
            <w:tcW w:w="1160" w:type="dxa"/>
            <w:vAlign w:val="top"/>
          </w:tcPr>
          <w:p w14:paraId="361EA1C7">
            <w:pPr>
              <w:rPr>
                <w:rFonts w:ascii="Arial"/>
                <w:sz w:val="21"/>
              </w:rPr>
            </w:pPr>
          </w:p>
        </w:tc>
        <w:tc>
          <w:tcPr>
            <w:tcW w:w="1161" w:type="dxa"/>
            <w:vAlign w:val="top"/>
          </w:tcPr>
          <w:p w14:paraId="2215D893">
            <w:pPr>
              <w:rPr>
                <w:rFonts w:ascii="Arial"/>
                <w:sz w:val="21"/>
              </w:rPr>
            </w:pPr>
          </w:p>
        </w:tc>
        <w:tc>
          <w:tcPr>
            <w:tcW w:w="1160" w:type="dxa"/>
            <w:vAlign w:val="top"/>
          </w:tcPr>
          <w:p w14:paraId="407FA342">
            <w:pPr>
              <w:rPr>
                <w:rFonts w:ascii="Arial"/>
                <w:sz w:val="21"/>
              </w:rPr>
            </w:pPr>
          </w:p>
        </w:tc>
        <w:tc>
          <w:tcPr>
            <w:tcW w:w="1161" w:type="dxa"/>
            <w:vAlign w:val="top"/>
          </w:tcPr>
          <w:p w14:paraId="5FAB9C89">
            <w:pPr>
              <w:rPr>
                <w:rFonts w:ascii="Arial"/>
                <w:sz w:val="21"/>
              </w:rPr>
            </w:pPr>
          </w:p>
        </w:tc>
        <w:tc>
          <w:tcPr>
            <w:tcW w:w="1160" w:type="dxa"/>
            <w:vAlign w:val="top"/>
          </w:tcPr>
          <w:p w14:paraId="4C81EB11">
            <w:pPr>
              <w:rPr>
                <w:rFonts w:ascii="Arial"/>
                <w:sz w:val="21"/>
              </w:rPr>
            </w:pPr>
          </w:p>
        </w:tc>
        <w:tc>
          <w:tcPr>
            <w:tcW w:w="1161" w:type="dxa"/>
            <w:vAlign w:val="top"/>
          </w:tcPr>
          <w:p w14:paraId="58C8C9FD">
            <w:pPr>
              <w:rPr>
                <w:rFonts w:ascii="Arial"/>
                <w:sz w:val="21"/>
              </w:rPr>
            </w:pPr>
          </w:p>
        </w:tc>
        <w:tc>
          <w:tcPr>
            <w:tcW w:w="1164" w:type="dxa"/>
            <w:vAlign w:val="top"/>
          </w:tcPr>
          <w:p w14:paraId="0599E53D">
            <w:pPr>
              <w:rPr>
                <w:rFonts w:ascii="Arial"/>
                <w:sz w:val="21"/>
              </w:rPr>
            </w:pPr>
          </w:p>
        </w:tc>
      </w:tr>
      <w:tr w14:paraId="71CA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vAlign w:val="top"/>
          </w:tcPr>
          <w:p w14:paraId="7EBB984F">
            <w:pPr>
              <w:rPr>
                <w:rFonts w:ascii="Arial"/>
                <w:sz w:val="21"/>
              </w:rPr>
            </w:pPr>
          </w:p>
        </w:tc>
        <w:tc>
          <w:tcPr>
            <w:tcW w:w="1160" w:type="dxa"/>
            <w:vAlign w:val="top"/>
          </w:tcPr>
          <w:p w14:paraId="3348B913">
            <w:pPr>
              <w:rPr>
                <w:rFonts w:ascii="Arial"/>
                <w:sz w:val="21"/>
              </w:rPr>
            </w:pPr>
          </w:p>
        </w:tc>
        <w:tc>
          <w:tcPr>
            <w:tcW w:w="1161" w:type="dxa"/>
            <w:vAlign w:val="top"/>
          </w:tcPr>
          <w:p w14:paraId="44ABD90E">
            <w:pPr>
              <w:rPr>
                <w:rFonts w:ascii="Arial"/>
                <w:sz w:val="21"/>
              </w:rPr>
            </w:pPr>
          </w:p>
        </w:tc>
        <w:tc>
          <w:tcPr>
            <w:tcW w:w="1160" w:type="dxa"/>
            <w:vAlign w:val="top"/>
          </w:tcPr>
          <w:p w14:paraId="23F39AA9">
            <w:pPr>
              <w:rPr>
                <w:rFonts w:ascii="Arial"/>
                <w:sz w:val="21"/>
              </w:rPr>
            </w:pPr>
          </w:p>
        </w:tc>
        <w:tc>
          <w:tcPr>
            <w:tcW w:w="1161" w:type="dxa"/>
            <w:vAlign w:val="top"/>
          </w:tcPr>
          <w:p w14:paraId="7D50A157">
            <w:pPr>
              <w:rPr>
                <w:rFonts w:ascii="Arial"/>
                <w:sz w:val="21"/>
              </w:rPr>
            </w:pPr>
          </w:p>
        </w:tc>
        <w:tc>
          <w:tcPr>
            <w:tcW w:w="1160" w:type="dxa"/>
            <w:vAlign w:val="top"/>
          </w:tcPr>
          <w:p w14:paraId="06236241">
            <w:pPr>
              <w:rPr>
                <w:rFonts w:ascii="Arial"/>
                <w:sz w:val="21"/>
              </w:rPr>
            </w:pPr>
          </w:p>
        </w:tc>
        <w:tc>
          <w:tcPr>
            <w:tcW w:w="1161" w:type="dxa"/>
            <w:vAlign w:val="top"/>
          </w:tcPr>
          <w:p w14:paraId="383DCFC4">
            <w:pPr>
              <w:rPr>
                <w:rFonts w:ascii="Arial"/>
                <w:sz w:val="21"/>
              </w:rPr>
            </w:pPr>
          </w:p>
        </w:tc>
        <w:tc>
          <w:tcPr>
            <w:tcW w:w="1164" w:type="dxa"/>
            <w:vAlign w:val="top"/>
          </w:tcPr>
          <w:p w14:paraId="7BD588C4">
            <w:pPr>
              <w:rPr>
                <w:rFonts w:ascii="Arial"/>
                <w:sz w:val="21"/>
              </w:rPr>
            </w:pPr>
          </w:p>
        </w:tc>
      </w:tr>
      <w:tr w14:paraId="7A850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vAlign w:val="top"/>
          </w:tcPr>
          <w:p w14:paraId="223083A9">
            <w:pPr>
              <w:rPr>
                <w:rFonts w:ascii="Arial"/>
                <w:sz w:val="21"/>
              </w:rPr>
            </w:pPr>
          </w:p>
        </w:tc>
        <w:tc>
          <w:tcPr>
            <w:tcW w:w="1160" w:type="dxa"/>
            <w:vAlign w:val="top"/>
          </w:tcPr>
          <w:p w14:paraId="222D0D79">
            <w:pPr>
              <w:rPr>
                <w:rFonts w:ascii="Arial"/>
                <w:sz w:val="21"/>
              </w:rPr>
            </w:pPr>
          </w:p>
        </w:tc>
        <w:tc>
          <w:tcPr>
            <w:tcW w:w="1161" w:type="dxa"/>
            <w:vAlign w:val="top"/>
          </w:tcPr>
          <w:p w14:paraId="2EBB4C9C">
            <w:pPr>
              <w:rPr>
                <w:rFonts w:ascii="Arial"/>
                <w:sz w:val="21"/>
              </w:rPr>
            </w:pPr>
          </w:p>
        </w:tc>
        <w:tc>
          <w:tcPr>
            <w:tcW w:w="1160" w:type="dxa"/>
            <w:vAlign w:val="top"/>
          </w:tcPr>
          <w:p w14:paraId="407E661A">
            <w:pPr>
              <w:rPr>
                <w:rFonts w:ascii="Arial"/>
                <w:sz w:val="21"/>
              </w:rPr>
            </w:pPr>
          </w:p>
        </w:tc>
        <w:tc>
          <w:tcPr>
            <w:tcW w:w="1161" w:type="dxa"/>
            <w:vAlign w:val="top"/>
          </w:tcPr>
          <w:p w14:paraId="6196760D">
            <w:pPr>
              <w:rPr>
                <w:rFonts w:ascii="Arial"/>
                <w:sz w:val="21"/>
              </w:rPr>
            </w:pPr>
          </w:p>
        </w:tc>
        <w:tc>
          <w:tcPr>
            <w:tcW w:w="1160" w:type="dxa"/>
            <w:vAlign w:val="top"/>
          </w:tcPr>
          <w:p w14:paraId="428BFB0E">
            <w:pPr>
              <w:rPr>
                <w:rFonts w:ascii="Arial"/>
                <w:sz w:val="21"/>
              </w:rPr>
            </w:pPr>
          </w:p>
        </w:tc>
        <w:tc>
          <w:tcPr>
            <w:tcW w:w="1161" w:type="dxa"/>
            <w:vAlign w:val="top"/>
          </w:tcPr>
          <w:p w14:paraId="7A7ECC56">
            <w:pPr>
              <w:rPr>
                <w:rFonts w:ascii="Arial"/>
                <w:sz w:val="21"/>
              </w:rPr>
            </w:pPr>
          </w:p>
        </w:tc>
        <w:tc>
          <w:tcPr>
            <w:tcW w:w="1164" w:type="dxa"/>
            <w:vAlign w:val="top"/>
          </w:tcPr>
          <w:p w14:paraId="5CE88D00">
            <w:pPr>
              <w:rPr>
                <w:rFonts w:ascii="Arial"/>
                <w:sz w:val="21"/>
              </w:rPr>
            </w:pPr>
          </w:p>
        </w:tc>
      </w:tr>
      <w:tr w14:paraId="4225B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65" w:type="dxa"/>
            <w:vAlign w:val="top"/>
          </w:tcPr>
          <w:p w14:paraId="67E677DC">
            <w:pPr>
              <w:rPr>
                <w:rFonts w:ascii="Arial"/>
                <w:sz w:val="21"/>
              </w:rPr>
            </w:pPr>
          </w:p>
        </w:tc>
        <w:tc>
          <w:tcPr>
            <w:tcW w:w="1160" w:type="dxa"/>
            <w:vAlign w:val="top"/>
          </w:tcPr>
          <w:p w14:paraId="1C9523B8">
            <w:pPr>
              <w:rPr>
                <w:rFonts w:ascii="Arial"/>
                <w:sz w:val="21"/>
              </w:rPr>
            </w:pPr>
          </w:p>
        </w:tc>
        <w:tc>
          <w:tcPr>
            <w:tcW w:w="1161" w:type="dxa"/>
            <w:vAlign w:val="top"/>
          </w:tcPr>
          <w:p w14:paraId="258175F0">
            <w:pPr>
              <w:rPr>
                <w:rFonts w:ascii="Arial"/>
                <w:sz w:val="21"/>
              </w:rPr>
            </w:pPr>
          </w:p>
        </w:tc>
        <w:tc>
          <w:tcPr>
            <w:tcW w:w="1160" w:type="dxa"/>
            <w:vAlign w:val="top"/>
          </w:tcPr>
          <w:p w14:paraId="6D1E50D4">
            <w:pPr>
              <w:rPr>
                <w:rFonts w:ascii="Arial"/>
                <w:sz w:val="21"/>
              </w:rPr>
            </w:pPr>
          </w:p>
        </w:tc>
        <w:tc>
          <w:tcPr>
            <w:tcW w:w="1161" w:type="dxa"/>
            <w:vAlign w:val="top"/>
          </w:tcPr>
          <w:p w14:paraId="72606CC2">
            <w:pPr>
              <w:rPr>
                <w:rFonts w:ascii="Arial"/>
                <w:sz w:val="21"/>
              </w:rPr>
            </w:pPr>
          </w:p>
        </w:tc>
        <w:tc>
          <w:tcPr>
            <w:tcW w:w="1160" w:type="dxa"/>
            <w:vAlign w:val="top"/>
          </w:tcPr>
          <w:p w14:paraId="3DD12178">
            <w:pPr>
              <w:rPr>
                <w:rFonts w:ascii="Arial"/>
                <w:sz w:val="21"/>
              </w:rPr>
            </w:pPr>
          </w:p>
        </w:tc>
        <w:tc>
          <w:tcPr>
            <w:tcW w:w="1161" w:type="dxa"/>
            <w:vAlign w:val="top"/>
          </w:tcPr>
          <w:p w14:paraId="198D27D3">
            <w:pPr>
              <w:rPr>
                <w:rFonts w:ascii="Arial"/>
                <w:sz w:val="21"/>
              </w:rPr>
            </w:pPr>
          </w:p>
        </w:tc>
        <w:tc>
          <w:tcPr>
            <w:tcW w:w="1164" w:type="dxa"/>
            <w:vAlign w:val="top"/>
          </w:tcPr>
          <w:p w14:paraId="102A8311">
            <w:pPr>
              <w:rPr>
                <w:rFonts w:ascii="Arial"/>
                <w:sz w:val="21"/>
              </w:rPr>
            </w:pPr>
          </w:p>
        </w:tc>
      </w:tr>
      <w:tr w14:paraId="75F20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vAlign w:val="top"/>
          </w:tcPr>
          <w:p w14:paraId="5E00E28B">
            <w:pPr>
              <w:pStyle w:val="9"/>
              <w:spacing w:before="129" w:line="237" w:lineRule="auto"/>
              <w:ind w:left="483"/>
            </w:pPr>
            <w:r>
              <w:t>三</w:t>
            </w:r>
          </w:p>
        </w:tc>
        <w:tc>
          <w:tcPr>
            <w:tcW w:w="1160" w:type="dxa"/>
            <w:vAlign w:val="top"/>
          </w:tcPr>
          <w:p w14:paraId="4EDFFF1B">
            <w:pPr>
              <w:pStyle w:val="9"/>
              <w:spacing w:before="129" w:line="220" w:lineRule="auto"/>
              <w:ind w:left="267"/>
            </w:pPr>
            <w:r>
              <w:rPr>
                <w:spacing w:val="-2"/>
              </w:rPr>
              <w:t>砂石料</w:t>
            </w:r>
          </w:p>
        </w:tc>
        <w:tc>
          <w:tcPr>
            <w:tcW w:w="1161" w:type="dxa"/>
            <w:vAlign w:val="top"/>
          </w:tcPr>
          <w:p w14:paraId="33429238">
            <w:pPr>
              <w:rPr>
                <w:rFonts w:ascii="Arial"/>
                <w:sz w:val="21"/>
              </w:rPr>
            </w:pPr>
          </w:p>
        </w:tc>
        <w:tc>
          <w:tcPr>
            <w:tcW w:w="1160" w:type="dxa"/>
            <w:vAlign w:val="top"/>
          </w:tcPr>
          <w:p w14:paraId="0A59075B">
            <w:pPr>
              <w:rPr>
                <w:rFonts w:ascii="Arial"/>
                <w:sz w:val="21"/>
              </w:rPr>
            </w:pPr>
          </w:p>
        </w:tc>
        <w:tc>
          <w:tcPr>
            <w:tcW w:w="1161" w:type="dxa"/>
            <w:vAlign w:val="top"/>
          </w:tcPr>
          <w:p w14:paraId="1335847D">
            <w:pPr>
              <w:pStyle w:val="9"/>
              <w:spacing w:before="129" w:line="222" w:lineRule="auto"/>
              <w:ind w:left="500"/>
            </w:pPr>
            <w:r>
              <w:t>四</w:t>
            </w:r>
          </w:p>
        </w:tc>
        <w:tc>
          <w:tcPr>
            <w:tcW w:w="1160" w:type="dxa"/>
            <w:vAlign w:val="top"/>
          </w:tcPr>
          <w:p w14:paraId="4522760C">
            <w:pPr>
              <w:pStyle w:val="9"/>
              <w:spacing w:before="129" w:line="220" w:lineRule="auto"/>
              <w:ind w:left="379"/>
            </w:pPr>
            <w:r>
              <w:rPr>
                <w:spacing w:val="-6"/>
              </w:rPr>
              <w:t>油料</w:t>
            </w:r>
          </w:p>
        </w:tc>
        <w:tc>
          <w:tcPr>
            <w:tcW w:w="1161" w:type="dxa"/>
            <w:vAlign w:val="top"/>
          </w:tcPr>
          <w:p w14:paraId="1D9B1F6E">
            <w:pPr>
              <w:rPr>
                <w:rFonts w:ascii="Arial"/>
                <w:sz w:val="21"/>
              </w:rPr>
            </w:pPr>
          </w:p>
        </w:tc>
        <w:tc>
          <w:tcPr>
            <w:tcW w:w="1164" w:type="dxa"/>
            <w:vAlign w:val="top"/>
          </w:tcPr>
          <w:p w14:paraId="63C9AAD5">
            <w:pPr>
              <w:rPr>
                <w:rFonts w:ascii="Arial"/>
                <w:sz w:val="21"/>
              </w:rPr>
            </w:pPr>
          </w:p>
        </w:tc>
      </w:tr>
      <w:tr w14:paraId="41C7B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vAlign w:val="top"/>
          </w:tcPr>
          <w:p w14:paraId="44ED4D78">
            <w:pPr>
              <w:rPr>
                <w:rFonts w:ascii="Arial"/>
                <w:sz w:val="21"/>
              </w:rPr>
            </w:pPr>
          </w:p>
        </w:tc>
        <w:tc>
          <w:tcPr>
            <w:tcW w:w="1160" w:type="dxa"/>
            <w:vAlign w:val="top"/>
          </w:tcPr>
          <w:p w14:paraId="03A9179A">
            <w:pPr>
              <w:rPr>
                <w:rFonts w:ascii="Arial"/>
                <w:sz w:val="21"/>
              </w:rPr>
            </w:pPr>
          </w:p>
        </w:tc>
        <w:tc>
          <w:tcPr>
            <w:tcW w:w="1161" w:type="dxa"/>
            <w:vAlign w:val="top"/>
          </w:tcPr>
          <w:p w14:paraId="1513CC45">
            <w:pPr>
              <w:rPr>
                <w:rFonts w:ascii="Arial"/>
                <w:sz w:val="21"/>
              </w:rPr>
            </w:pPr>
          </w:p>
        </w:tc>
        <w:tc>
          <w:tcPr>
            <w:tcW w:w="1160" w:type="dxa"/>
            <w:vAlign w:val="top"/>
          </w:tcPr>
          <w:p w14:paraId="5A39096D">
            <w:pPr>
              <w:rPr>
                <w:rFonts w:ascii="Arial"/>
                <w:sz w:val="21"/>
              </w:rPr>
            </w:pPr>
          </w:p>
        </w:tc>
        <w:tc>
          <w:tcPr>
            <w:tcW w:w="1161" w:type="dxa"/>
            <w:vAlign w:val="top"/>
          </w:tcPr>
          <w:p w14:paraId="28D68293">
            <w:pPr>
              <w:rPr>
                <w:rFonts w:ascii="Arial"/>
                <w:sz w:val="21"/>
              </w:rPr>
            </w:pPr>
          </w:p>
        </w:tc>
        <w:tc>
          <w:tcPr>
            <w:tcW w:w="1160" w:type="dxa"/>
            <w:vAlign w:val="top"/>
          </w:tcPr>
          <w:p w14:paraId="538DF18C">
            <w:pPr>
              <w:rPr>
                <w:rFonts w:ascii="Arial"/>
                <w:sz w:val="21"/>
              </w:rPr>
            </w:pPr>
          </w:p>
        </w:tc>
        <w:tc>
          <w:tcPr>
            <w:tcW w:w="1161" w:type="dxa"/>
            <w:vAlign w:val="top"/>
          </w:tcPr>
          <w:p w14:paraId="78C46488">
            <w:pPr>
              <w:rPr>
                <w:rFonts w:ascii="Arial"/>
                <w:sz w:val="21"/>
              </w:rPr>
            </w:pPr>
          </w:p>
        </w:tc>
        <w:tc>
          <w:tcPr>
            <w:tcW w:w="1164" w:type="dxa"/>
            <w:vAlign w:val="top"/>
          </w:tcPr>
          <w:p w14:paraId="70BA73BE">
            <w:pPr>
              <w:rPr>
                <w:rFonts w:ascii="Arial"/>
                <w:sz w:val="21"/>
              </w:rPr>
            </w:pPr>
          </w:p>
        </w:tc>
      </w:tr>
      <w:tr w14:paraId="20AEA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165" w:type="dxa"/>
            <w:vAlign w:val="top"/>
          </w:tcPr>
          <w:p w14:paraId="07364810">
            <w:pPr>
              <w:rPr>
                <w:rFonts w:ascii="Arial"/>
                <w:sz w:val="21"/>
              </w:rPr>
            </w:pPr>
          </w:p>
        </w:tc>
        <w:tc>
          <w:tcPr>
            <w:tcW w:w="1160" w:type="dxa"/>
            <w:vAlign w:val="top"/>
          </w:tcPr>
          <w:p w14:paraId="2C6AF31B">
            <w:pPr>
              <w:rPr>
                <w:rFonts w:ascii="Arial"/>
                <w:sz w:val="21"/>
              </w:rPr>
            </w:pPr>
          </w:p>
        </w:tc>
        <w:tc>
          <w:tcPr>
            <w:tcW w:w="1161" w:type="dxa"/>
            <w:vAlign w:val="top"/>
          </w:tcPr>
          <w:p w14:paraId="075697C2">
            <w:pPr>
              <w:rPr>
                <w:rFonts w:ascii="Arial"/>
                <w:sz w:val="21"/>
              </w:rPr>
            </w:pPr>
          </w:p>
        </w:tc>
        <w:tc>
          <w:tcPr>
            <w:tcW w:w="1160" w:type="dxa"/>
            <w:vAlign w:val="top"/>
          </w:tcPr>
          <w:p w14:paraId="3E3C1EA5">
            <w:pPr>
              <w:rPr>
                <w:rFonts w:ascii="Arial"/>
                <w:sz w:val="21"/>
              </w:rPr>
            </w:pPr>
          </w:p>
        </w:tc>
        <w:tc>
          <w:tcPr>
            <w:tcW w:w="1161" w:type="dxa"/>
            <w:vAlign w:val="top"/>
          </w:tcPr>
          <w:p w14:paraId="140AA398">
            <w:pPr>
              <w:rPr>
                <w:rFonts w:ascii="Arial"/>
                <w:sz w:val="21"/>
              </w:rPr>
            </w:pPr>
          </w:p>
        </w:tc>
        <w:tc>
          <w:tcPr>
            <w:tcW w:w="1160" w:type="dxa"/>
            <w:vAlign w:val="top"/>
          </w:tcPr>
          <w:p w14:paraId="5EDD7D4F">
            <w:pPr>
              <w:rPr>
                <w:rFonts w:ascii="Arial"/>
                <w:sz w:val="21"/>
              </w:rPr>
            </w:pPr>
          </w:p>
        </w:tc>
        <w:tc>
          <w:tcPr>
            <w:tcW w:w="1161" w:type="dxa"/>
            <w:vAlign w:val="top"/>
          </w:tcPr>
          <w:p w14:paraId="349D64DB">
            <w:pPr>
              <w:rPr>
                <w:rFonts w:ascii="Arial"/>
                <w:sz w:val="21"/>
              </w:rPr>
            </w:pPr>
          </w:p>
        </w:tc>
        <w:tc>
          <w:tcPr>
            <w:tcW w:w="1164" w:type="dxa"/>
            <w:vAlign w:val="top"/>
          </w:tcPr>
          <w:p w14:paraId="2CF94EDA">
            <w:pPr>
              <w:rPr>
                <w:rFonts w:ascii="Arial"/>
                <w:sz w:val="21"/>
              </w:rPr>
            </w:pPr>
          </w:p>
        </w:tc>
      </w:tr>
      <w:tr w14:paraId="60052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165" w:type="dxa"/>
            <w:vAlign w:val="top"/>
          </w:tcPr>
          <w:p w14:paraId="037B7DA7">
            <w:pPr>
              <w:pStyle w:val="9"/>
              <w:spacing w:before="129" w:line="230" w:lineRule="auto"/>
              <w:ind w:left="486"/>
            </w:pPr>
            <w:r>
              <w:t>五</w:t>
            </w:r>
          </w:p>
        </w:tc>
        <w:tc>
          <w:tcPr>
            <w:tcW w:w="1160" w:type="dxa"/>
            <w:vAlign w:val="top"/>
          </w:tcPr>
          <w:p w14:paraId="55973025">
            <w:pPr>
              <w:pStyle w:val="9"/>
              <w:spacing w:before="130" w:line="220" w:lineRule="auto"/>
              <w:ind w:left="375"/>
            </w:pPr>
            <w:r>
              <w:rPr>
                <w:spacing w:val="-5"/>
              </w:rPr>
              <w:t>其他</w:t>
            </w:r>
          </w:p>
        </w:tc>
        <w:tc>
          <w:tcPr>
            <w:tcW w:w="1161" w:type="dxa"/>
            <w:vAlign w:val="top"/>
          </w:tcPr>
          <w:p w14:paraId="5FC17BF9">
            <w:pPr>
              <w:rPr>
                <w:rFonts w:ascii="Arial"/>
                <w:sz w:val="21"/>
              </w:rPr>
            </w:pPr>
          </w:p>
        </w:tc>
        <w:tc>
          <w:tcPr>
            <w:tcW w:w="1160" w:type="dxa"/>
            <w:vAlign w:val="top"/>
          </w:tcPr>
          <w:p w14:paraId="0D8A614D">
            <w:pPr>
              <w:rPr>
                <w:rFonts w:ascii="Arial"/>
                <w:sz w:val="21"/>
              </w:rPr>
            </w:pPr>
          </w:p>
        </w:tc>
        <w:tc>
          <w:tcPr>
            <w:tcW w:w="1161" w:type="dxa"/>
            <w:vAlign w:val="top"/>
          </w:tcPr>
          <w:p w14:paraId="66ED352F">
            <w:pPr>
              <w:rPr>
                <w:rFonts w:ascii="Arial"/>
                <w:sz w:val="21"/>
              </w:rPr>
            </w:pPr>
          </w:p>
        </w:tc>
        <w:tc>
          <w:tcPr>
            <w:tcW w:w="1160" w:type="dxa"/>
            <w:vAlign w:val="top"/>
          </w:tcPr>
          <w:p w14:paraId="349804EE">
            <w:pPr>
              <w:rPr>
                <w:rFonts w:ascii="Arial"/>
                <w:sz w:val="21"/>
              </w:rPr>
            </w:pPr>
          </w:p>
        </w:tc>
        <w:tc>
          <w:tcPr>
            <w:tcW w:w="1161" w:type="dxa"/>
            <w:vAlign w:val="top"/>
          </w:tcPr>
          <w:p w14:paraId="5E4E1099">
            <w:pPr>
              <w:rPr>
                <w:rFonts w:ascii="Arial"/>
                <w:sz w:val="21"/>
              </w:rPr>
            </w:pPr>
          </w:p>
        </w:tc>
        <w:tc>
          <w:tcPr>
            <w:tcW w:w="1164" w:type="dxa"/>
            <w:vAlign w:val="top"/>
          </w:tcPr>
          <w:p w14:paraId="748D03FB">
            <w:pPr>
              <w:rPr>
                <w:rFonts w:ascii="Arial"/>
                <w:sz w:val="21"/>
              </w:rPr>
            </w:pPr>
          </w:p>
        </w:tc>
      </w:tr>
      <w:tr w14:paraId="41A62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165" w:type="dxa"/>
            <w:vAlign w:val="top"/>
          </w:tcPr>
          <w:p w14:paraId="53A366BF">
            <w:pPr>
              <w:rPr>
                <w:rFonts w:ascii="Arial"/>
                <w:sz w:val="21"/>
              </w:rPr>
            </w:pPr>
          </w:p>
        </w:tc>
        <w:tc>
          <w:tcPr>
            <w:tcW w:w="1160" w:type="dxa"/>
            <w:vAlign w:val="top"/>
          </w:tcPr>
          <w:p w14:paraId="61228B98">
            <w:pPr>
              <w:rPr>
                <w:rFonts w:ascii="Arial"/>
                <w:sz w:val="21"/>
              </w:rPr>
            </w:pPr>
          </w:p>
        </w:tc>
        <w:tc>
          <w:tcPr>
            <w:tcW w:w="1161" w:type="dxa"/>
            <w:vAlign w:val="top"/>
          </w:tcPr>
          <w:p w14:paraId="1067BB1E">
            <w:pPr>
              <w:rPr>
                <w:rFonts w:ascii="Arial"/>
                <w:sz w:val="21"/>
              </w:rPr>
            </w:pPr>
          </w:p>
        </w:tc>
        <w:tc>
          <w:tcPr>
            <w:tcW w:w="1160" w:type="dxa"/>
            <w:vAlign w:val="top"/>
          </w:tcPr>
          <w:p w14:paraId="12671758">
            <w:pPr>
              <w:rPr>
                <w:rFonts w:ascii="Arial"/>
                <w:sz w:val="21"/>
              </w:rPr>
            </w:pPr>
          </w:p>
        </w:tc>
        <w:tc>
          <w:tcPr>
            <w:tcW w:w="1161" w:type="dxa"/>
            <w:vAlign w:val="top"/>
          </w:tcPr>
          <w:p w14:paraId="131A5B6D">
            <w:pPr>
              <w:rPr>
                <w:rFonts w:ascii="Arial"/>
                <w:sz w:val="21"/>
              </w:rPr>
            </w:pPr>
          </w:p>
        </w:tc>
        <w:tc>
          <w:tcPr>
            <w:tcW w:w="1160" w:type="dxa"/>
            <w:vAlign w:val="top"/>
          </w:tcPr>
          <w:p w14:paraId="7E604FC6">
            <w:pPr>
              <w:rPr>
                <w:rFonts w:ascii="Arial"/>
                <w:sz w:val="21"/>
              </w:rPr>
            </w:pPr>
          </w:p>
        </w:tc>
        <w:tc>
          <w:tcPr>
            <w:tcW w:w="1161" w:type="dxa"/>
            <w:vAlign w:val="top"/>
          </w:tcPr>
          <w:p w14:paraId="5C725EB8">
            <w:pPr>
              <w:rPr>
                <w:rFonts w:ascii="Arial"/>
                <w:sz w:val="21"/>
              </w:rPr>
            </w:pPr>
          </w:p>
        </w:tc>
        <w:tc>
          <w:tcPr>
            <w:tcW w:w="1164" w:type="dxa"/>
            <w:vAlign w:val="top"/>
          </w:tcPr>
          <w:p w14:paraId="44A147FF">
            <w:pPr>
              <w:rPr>
                <w:rFonts w:ascii="Arial"/>
                <w:sz w:val="21"/>
              </w:rPr>
            </w:pPr>
          </w:p>
        </w:tc>
      </w:tr>
      <w:tr w14:paraId="51F00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7" w:hRule="atLeast"/>
        </w:trPr>
        <w:tc>
          <w:tcPr>
            <w:tcW w:w="9292" w:type="dxa"/>
            <w:gridSpan w:val="8"/>
            <w:vAlign w:val="top"/>
          </w:tcPr>
          <w:p w14:paraId="7DA8B95D">
            <w:pPr>
              <w:pStyle w:val="9"/>
              <w:spacing w:before="275" w:line="220" w:lineRule="auto"/>
              <w:ind w:left="118"/>
            </w:pPr>
            <w:r>
              <w:rPr>
                <w:spacing w:val="-14"/>
              </w:rPr>
              <w:t>说明：</w:t>
            </w:r>
          </w:p>
          <w:p w14:paraId="2335CD58">
            <w:pPr>
              <w:pStyle w:val="9"/>
              <w:spacing w:before="219" w:line="411" w:lineRule="auto"/>
              <w:ind w:left="116" w:right="114" w:firstLine="14"/>
            </w:pPr>
            <w:r>
              <w:t>1.当采用商品水泥混凝土、商品沥青混凝土、混凝土构件、钢筋混凝土构件、钢构件等半成品时：</w:t>
            </w:r>
            <w:r>
              <w:rPr>
                <w:spacing w:val="1"/>
              </w:rPr>
              <w:t>若有对应的地区发布的半成品信息价，则按信息价调差</w:t>
            </w:r>
            <w:r>
              <w:t>；若没有该信息价，则按照交通运输部颁布</w:t>
            </w:r>
            <w:r>
              <w:rPr>
                <w:spacing w:val="-1"/>
              </w:rPr>
              <w:t>的《公路工程预算定额》附录中的配合比表，将半成品换算成对应的组成材料后进行调差。</w:t>
            </w:r>
          </w:p>
          <w:p w14:paraId="71A2EAB9">
            <w:pPr>
              <w:pStyle w:val="9"/>
              <w:spacing w:line="218" w:lineRule="auto"/>
              <w:ind w:left="118"/>
            </w:pPr>
            <w:r>
              <w:rPr>
                <w:spacing w:val="-2"/>
              </w:rPr>
              <w:t>2.表中材料代号按交通运输部颁布的《公路工程预算定额》编制。</w:t>
            </w:r>
          </w:p>
        </w:tc>
      </w:tr>
    </w:tbl>
    <w:p w14:paraId="093A17E3">
      <w:pPr>
        <w:pStyle w:val="2"/>
        <w:spacing w:line="250" w:lineRule="auto"/>
      </w:pPr>
    </w:p>
    <w:p w14:paraId="0F6A3BDC">
      <w:pPr>
        <w:pStyle w:val="2"/>
        <w:spacing w:line="250" w:lineRule="auto"/>
      </w:pPr>
    </w:p>
    <w:p w14:paraId="250E581C">
      <w:pPr>
        <w:spacing w:before="78" w:line="218" w:lineRule="auto"/>
        <w:ind w:left="619"/>
        <w:rPr>
          <w:rFonts w:ascii="宋体" w:hAnsi="宋体" w:eastAsia="宋体" w:cs="宋体"/>
          <w:sz w:val="24"/>
          <w:szCs w:val="24"/>
        </w:rPr>
      </w:pPr>
      <w:r>
        <w:rPr>
          <w:rFonts w:ascii="宋体" w:hAnsi="宋体" w:eastAsia="宋体" w:cs="宋体"/>
          <w:spacing w:val="-3"/>
          <w:sz w:val="24"/>
          <w:szCs w:val="24"/>
        </w:rPr>
        <w:t>16.1.2.2.3</w:t>
      </w:r>
      <w:r>
        <w:rPr>
          <w:rFonts w:ascii="宋体" w:hAnsi="宋体" w:eastAsia="宋体" w:cs="宋体"/>
          <w:spacing w:val="-49"/>
          <w:sz w:val="24"/>
          <w:szCs w:val="24"/>
        </w:rPr>
        <w:t xml:space="preserve"> </w:t>
      </w:r>
      <w:r>
        <w:rPr>
          <w:rFonts w:ascii="宋体" w:hAnsi="宋体" w:eastAsia="宋体" w:cs="宋体"/>
          <w:spacing w:val="-3"/>
          <w:sz w:val="24"/>
          <w:szCs w:val="24"/>
        </w:rPr>
        <w:t>风险幅度（r）</w:t>
      </w:r>
    </w:p>
    <w:p w14:paraId="5C50BB73">
      <w:pPr>
        <w:spacing w:before="184" w:line="360" w:lineRule="auto"/>
        <w:ind w:left="122" w:right="112" w:firstLine="480"/>
        <w:rPr>
          <w:rFonts w:ascii="宋体" w:hAnsi="宋体" w:eastAsia="宋体" w:cs="宋体"/>
          <w:sz w:val="24"/>
          <w:szCs w:val="24"/>
        </w:rPr>
      </w:pPr>
      <w:r>
        <w:rPr>
          <w:rFonts w:ascii="宋体" w:hAnsi="宋体" w:eastAsia="宋体" w:cs="宋体"/>
          <w:spacing w:val="-2"/>
          <w:sz w:val="24"/>
          <w:szCs w:val="24"/>
        </w:rPr>
        <w:t>风险幅度是指交通建设项目合同双方各自应承担的材料价格涨跌风险比例大小。风</w:t>
      </w:r>
      <w:r>
        <w:rPr>
          <w:rFonts w:ascii="宋体" w:hAnsi="宋体" w:eastAsia="宋体" w:cs="宋体"/>
          <w:spacing w:val="-6"/>
          <w:sz w:val="24"/>
          <w:szCs w:val="24"/>
        </w:rPr>
        <w:t>险幅度范围内的价差应作为建设单位（项目法人）、承包人的风险，</w:t>
      </w:r>
      <w:r>
        <w:rPr>
          <w:rFonts w:ascii="宋体" w:hAnsi="宋体" w:eastAsia="宋体" w:cs="宋体"/>
          <w:spacing w:val="57"/>
          <w:sz w:val="24"/>
          <w:szCs w:val="24"/>
        </w:rPr>
        <w:t xml:space="preserve"> </w:t>
      </w:r>
      <w:r>
        <w:rPr>
          <w:rFonts w:ascii="宋体" w:hAnsi="宋体" w:eastAsia="宋体" w:cs="宋体"/>
          <w:spacing w:val="-6"/>
          <w:sz w:val="24"/>
          <w:szCs w:val="24"/>
        </w:rPr>
        <w:t>不</w:t>
      </w:r>
      <w:r>
        <w:rPr>
          <w:rFonts w:ascii="宋体" w:hAnsi="宋体" w:eastAsia="宋体" w:cs="宋体"/>
          <w:spacing w:val="-7"/>
          <w:sz w:val="24"/>
          <w:szCs w:val="24"/>
        </w:rPr>
        <w:t>予调差。各类材</w:t>
      </w:r>
      <w:r>
        <w:rPr>
          <w:rFonts w:ascii="宋体" w:hAnsi="宋体" w:eastAsia="宋体" w:cs="宋体"/>
          <w:spacing w:val="-2"/>
          <w:sz w:val="24"/>
          <w:szCs w:val="24"/>
        </w:rPr>
        <w:t>料幅度系数如下</w:t>
      </w:r>
      <w:r>
        <w:rPr>
          <w:rFonts w:ascii="宋体" w:hAnsi="宋体" w:eastAsia="宋体" w:cs="宋体"/>
          <w:spacing w:val="-23"/>
          <w:position w:val="11"/>
          <w:sz w:val="12"/>
          <w:szCs w:val="12"/>
        </w:rPr>
        <w:t xml:space="preserve"> </w:t>
      </w:r>
      <w:r>
        <w:rPr>
          <w:rFonts w:ascii="宋体" w:hAnsi="宋体" w:eastAsia="宋体" w:cs="宋体"/>
          <w:spacing w:val="-2"/>
          <w:sz w:val="24"/>
          <w:szCs w:val="24"/>
        </w:rPr>
        <w:t>:</w:t>
      </w:r>
    </w:p>
    <w:p w14:paraId="00BBD45A">
      <w:pPr>
        <w:spacing w:line="218" w:lineRule="auto"/>
        <w:ind w:left="601"/>
        <w:rPr>
          <w:rFonts w:ascii="宋体" w:hAnsi="宋体" w:eastAsia="宋体" w:cs="宋体"/>
          <w:sz w:val="24"/>
          <w:szCs w:val="24"/>
        </w:rPr>
      </w:pPr>
      <w:r>
        <w:rPr>
          <w:rFonts w:ascii="宋体" w:hAnsi="宋体" w:eastAsia="宋体" w:cs="宋体"/>
          <w:sz w:val="24"/>
          <w:szCs w:val="24"/>
        </w:rPr>
        <w:t>砂石料，r＝</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（-5～+5）</w:t>
      </w:r>
      <w:r>
        <w:rPr>
          <w:rFonts w:ascii="宋体" w:hAnsi="宋体" w:eastAsia="宋体" w:cs="宋体"/>
          <w:sz w:val="24"/>
          <w:szCs w:val="24"/>
          <w:u w:val="single" w:color="auto"/>
        </w:rPr>
        <w:t xml:space="preserve"> </w:t>
      </w:r>
      <w:r>
        <w:rPr>
          <w:rFonts w:ascii="宋体" w:hAnsi="宋体" w:eastAsia="宋体" w:cs="宋体"/>
          <w:spacing w:val="-117"/>
          <w:sz w:val="24"/>
          <w:szCs w:val="24"/>
        </w:rPr>
        <w:t xml:space="preserve"> </w:t>
      </w:r>
      <w:r>
        <w:rPr>
          <w:rFonts w:ascii="宋体" w:hAnsi="宋体" w:eastAsia="宋体" w:cs="宋体"/>
          <w:sz w:val="24"/>
          <w:szCs w:val="24"/>
        </w:rPr>
        <w:t>%；</w:t>
      </w:r>
      <w:r>
        <w:rPr>
          <w:rFonts w:hint="eastAsia" w:ascii="宋体" w:hAnsi="宋体" w:cs="宋体"/>
          <w:sz w:val="24"/>
          <w:szCs w:val="24"/>
          <w:lang w:eastAsia="zh-CN"/>
        </w:rPr>
        <w:t>（</w:t>
      </w:r>
      <w:r>
        <w:rPr>
          <w:rFonts w:ascii="宋体" w:hAnsi="宋体" w:eastAsia="宋体" w:cs="宋体"/>
          <w:sz w:val="24"/>
          <w:szCs w:val="24"/>
        </w:rPr>
        <w:t>幅度系</w:t>
      </w:r>
      <w:r>
        <w:rPr>
          <w:rFonts w:ascii="宋体" w:hAnsi="宋体" w:eastAsia="宋体" w:cs="宋体"/>
          <w:spacing w:val="-1"/>
          <w:sz w:val="24"/>
          <w:szCs w:val="24"/>
        </w:rPr>
        <w:t>数范围为（-5～+5）%)</w:t>
      </w:r>
    </w:p>
    <w:p w14:paraId="1411B23A">
      <w:pPr>
        <w:spacing w:before="184" w:line="218" w:lineRule="auto"/>
        <w:ind w:left="605"/>
        <w:rPr>
          <w:rFonts w:ascii="宋体" w:hAnsi="宋体" w:eastAsia="宋体" w:cs="宋体"/>
          <w:sz w:val="24"/>
          <w:szCs w:val="24"/>
        </w:rPr>
      </w:pPr>
      <w:r>
        <w:rPr>
          <w:rFonts w:ascii="宋体" w:hAnsi="宋体" w:eastAsia="宋体" w:cs="宋体"/>
          <w:sz w:val="24"/>
          <w:szCs w:val="24"/>
        </w:rPr>
        <w:t>水泥、半成品，r＝</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（-4～+4）</w:t>
      </w:r>
      <w:r>
        <w:rPr>
          <w:rFonts w:ascii="宋体" w:hAnsi="宋体" w:eastAsia="宋体" w:cs="宋体"/>
          <w:sz w:val="24"/>
          <w:szCs w:val="24"/>
          <w:u w:val="single" w:color="auto"/>
        </w:rPr>
        <w:t xml:space="preserve"> </w:t>
      </w:r>
      <w:r>
        <w:rPr>
          <w:rFonts w:ascii="宋体" w:hAnsi="宋体" w:eastAsia="宋体" w:cs="宋体"/>
          <w:spacing w:val="-117"/>
          <w:sz w:val="24"/>
          <w:szCs w:val="24"/>
        </w:rPr>
        <w:t xml:space="preserve"> </w:t>
      </w:r>
      <w:r>
        <w:rPr>
          <w:rFonts w:ascii="宋体" w:hAnsi="宋体" w:eastAsia="宋体" w:cs="宋体"/>
          <w:sz w:val="24"/>
          <w:szCs w:val="24"/>
        </w:rPr>
        <w:t>%；</w:t>
      </w:r>
      <w:r>
        <w:rPr>
          <w:rFonts w:hint="eastAsia" w:ascii="宋体" w:hAnsi="宋体" w:cs="宋体"/>
          <w:sz w:val="24"/>
          <w:szCs w:val="24"/>
          <w:lang w:eastAsia="zh-CN"/>
        </w:rPr>
        <w:t>（</w:t>
      </w:r>
      <w:r>
        <w:rPr>
          <w:rFonts w:ascii="宋体" w:hAnsi="宋体" w:eastAsia="宋体" w:cs="宋体"/>
          <w:spacing w:val="-1"/>
          <w:sz w:val="24"/>
          <w:szCs w:val="24"/>
        </w:rPr>
        <w:t>幅度系数范围为（-4～+4）%)</w:t>
      </w:r>
    </w:p>
    <w:p w14:paraId="35D42EC9">
      <w:pPr>
        <w:spacing w:before="185" w:line="218" w:lineRule="auto"/>
        <w:ind w:left="600"/>
        <w:rPr>
          <w:rFonts w:ascii="宋体" w:hAnsi="宋体" w:eastAsia="宋体" w:cs="宋体"/>
          <w:sz w:val="24"/>
          <w:szCs w:val="24"/>
        </w:rPr>
      </w:pPr>
      <w:r>
        <w:rPr>
          <w:rFonts w:ascii="宋体" w:hAnsi="宋体" w:eastAsia="宋体" w:cs="宋体"/>
          <w:sz w:val="24"/>
          <w:szCs w:val="24"/>
        </w:rPr>
        <w:t>钢材、油料及其他，r＝</w:t>
      </w:r>
      <w:r>
        <w:rPr>
          <w:rFonts w:ascii="宋体" w:hAnsi="宋体" w:eastAsia="宋体" w:cs="宋体"/>
          <w:sz w:val="24"/>
          <w:szCs w:val="24"/>
          <w:u w:val="single" w:color="auto"/>
        </w:rPr>
        <w:t xml:space="preserve"> </w:t>
      </w:r>
      <w:r>
        <w:rPr>
          <w:rFonts w:hint="eastAsia" w:ascii="宋体" w:hAnsi="宋体" w:eastAsia="宋体" w:cs="宋体"/>
          <w:sz w:val="24"/>
          <w:szCs w:val="24"/>
          <w:u w:val="single" w:color="auto"/>
        </w:rPr>
        <w:t>（-3～+3）</w:t>
      </w:r>
      <w:r>
        <w:rPr>
          <w:rFonts w:ascii="宋体" w:hAnsi="宋体" w:eastAsia="宋体" w:cs="宋体"/>
          <w:sz w:val="24"/>
          <w:szCs w:val="24"/>
          <w:u w:val="single" w:color="auto"/>
        </w:rPr>
        <w:t xml:space="preserve">  </w:t>
      </w:r>
      <w:r>
        <w:rPr>
          <w:rFonts w:ascii="宋体" w:hAnsi="宋体" w:eastAsia="宋体" w:cs="宋体"/>
          <w:spacing w:val="-117"/>
          <w:sz w:val="24"/>
          <w:szCs w:val="24"/>
        </w:rPr>
        <w:t xml:space="preserve"> </w:t>
      </w:r>
      <w:r>
        <w:rPr>
          <w:rFonts w:ascii="宋体" w:hAnsi="宋体" w:eastAsia="宋体" w:cs="宋体"/>
          <w:sz w:val="24"/>
          <w:szCs w:val="24"/>
        </w:rPr>
        <w:t>%；</w:t>
      </w:r>
      <w:r>
        <w:rPr>
          <w:rFonts w:hint="eastAsia" w:ascii="宋体" w:hAnsi="宋体" w:cs="宋体"/>
          <w:sz w:val="24"/>
          <w:szCs w:val="24"/>
          <w:lang w:eastAsia="zh-CN"/>
        </w:rPr>
        <w:t>（</w:t>
      </w:r>
      <w:r>
        <w:rPr>
          <w:rFonts w:ascii="宋体" w:hAnsi="宋体" w:eastAsia="宋体" w:cs="宋体"/>
          <w:sz w:val="24"/>
          <w:szCs w:val="24"/>
        </w:rPr>
        <w:t>幅度系数</w:t>
      </w:r>
      <w:r>
        <w:rPr>
          <w:rFonts w:ascii="宋体" w:hAnsi="宋体" w:eastAsia="宋体" w:cs="宋体"/>
          <w:spacing w:val="-1"/>
          <w:sz w:val="24"/>
          <w:szCs w:val="24"/>
        </w:rPr>
        <w:t>范围为（-3～+3）%)</w:t>
      </w:r>
    </w:p>
    <w:p w14:paraId="054654BC">
      <w:pPr>
        <w:pStyle w:val="2"/>
        <w:spacing w:line="254" w:lineRule="auto"/>
      </w:pPr>
    </w:p>
    <w:p w14:paraId="75761072">
      <w:pPr>
        <w:pStyle w:val="2"/>
        <w:spacing w:line="254" w:lineRule="auto"/>
      </w:pPr>
    </w:p>
    <w:p w14:paraId="0E97F419">
      <w:pPr>
        <w:spacing w:line="242" w:lineRule="auto"/>
        <w:rPr>
          <w:rFonts w:ascii="宋体" w:hAnsi="宋体" w:eastAsia="宋体" w:cs="宋体"/>
          <w:sz w:val="18"/>
          <w:szCs w:val="18"/>
        </w:rPr>
        <w:sectPr>
          <w:footerReference r:id="rId102" w:type="default"/>
          <w:pgSz w:w="11905" w:h="16840"/>
          <w:pgMar w:top="1182" w:right="1303" w:bottom="1171" w:left="1303" w:header="849" w:footer="937" w:gutter="0"/>
          <w:pgNumType w:fmt="decimal"/>
          <w:cols w:space="720" w:num="1"/>
        </w:sectPr>
      </w:pPr>
    </w:p>
    <w:p w14:paraId="7B033D8B">
      <w:pPr>
        <w:pStyle w:val="2"/>
        <w:spacing w:line="267" w:lineRule="auto"/>
      </w:pPr>
    </w:p>
    <w:p w14:paraId="7B2A8446">
      <w:pPr>
        <w:spacing w:before="78" w:line="220" w:lineRule="auto"/>
        <w:ind w:left="619"/>
        <w:rPr>
          <w:rFonts w:ascii="宋体" w:hAnsi="宋体" w:eastAsia="宋体" w:cs="宋体"/>
          <w:sz w:val="24"/>
          <w:szCs w:val="24"/>
        </w:rPr>
      </w:pPr>
      <w:r>
        <w:rPr>
          <w:rFonts w:ascii="宋体" w:hAnsi="宋体" w:eastAsia="宋体" w:cs="宋体"/>
          <w:spacing w:val="-3"/>
          <w:sz w:val="24"/>
          <w:szCs w:val="24"/>
        </w:rPr>
        <w:t>16.1.2.2.4</w:t>
      </w:r>
      <w:r>
        <w:rPr>
          <w:rFonts w:ascii="宋体" w:hAnsi="宋体" w:eastAsia="宋体" w:cs="宋体"/>
          <w:spacing w:val="-44"/>
          <w:sz w:val="24"/>
          <w:szCs w:val="24"/>
        </w:rPr>
        <w:t xml:space="preserve"> </w:t>
      </w:r>
      <w:r>
        <w:rPr>
          <w:rFonts w:ascii="宋体" w:hAnsi="宋体" w:eastAsia="宋体" w:cs="宋体"/>
          <w:spacing w:val="-3"/>
          <w:sz w:val="24"/>
          <w:szCs w:val="24"/>
        </w:rPr>
        <w:t>计算方法</w:t>
      </w:r>
    </w:p>
    <w:p w14:paraId="2C9B30F0">
      <w:pPr>
        <w:spacing w:before="182" w:line="220" w:lineRule="auto"/>
        <w:ind w:left="649"/>
        <w:rPr>
          <w:rFonts w:ascii="宋体" w:hAnsi="宋体" w:eastAsia="宋体" w:cs="宋体"/>
          <w:sz w:val="24"/>
          <w:szCs w:val="24"/>
        </w:rPr>
      </w:pPr>
      <w:r>
        <w:rPr>
          <w:rFonts w:ascii="宋体" w:hAnsi="宋体" w:eastAsia="宋体" w:cs="宋体"/>
          <w:sz w:val="24"/>
          <w:szCs w:val="24"/>
        </w:rPr>
        <w:t>ΔC=(ΔP-Po×r</w:t>
      </w:r>
      <w:r>
        <w:rPr>
          <w:rFonts w:hint="eastAsia" w:ascii="宋体" w:hAnsi="宋体" w:cs="宋体"/>
          <w:sz w:val="24"/>
          <w:szCs w:val="24"/>
          <w:lang w:eastAsia="zh-CN"/>
        </w:rPr>
        <w:t>)</w:t>
      </w:r>
      <w:r>
        <w:rPr>
          <w:rFonts w:ascii="宋体" w:hAnsi="宋体" w:eastAsia="宋体" w:cs="宋体"/>
          <w:sz w:val="24"/>
          <w:szCs w:val="24"/>
        </w:rPr>
        <w:t>×Q×（1+D</w:t>
      </w:r>
      <w:r>
        <w:rPr>
          <w:rFonts w:ascii="宋体" w:hAnsi="宋体" w:eastAsia="宋体" w:cs="宋体"/>
          <w:spacing w:val="5"/>
          <w:sz w:val="24"/>
          <w:szCs w:val="24"/>
        </w:rPr>
        <w:t>），</w:t>
      </w:r>
      <w:r>
        <w:rPr>
          <w:rFonts w:ascii="宋体" w:hAnsi="宋体" w:eastAsia="宋体" w:cs="宋体"/>
          <w:sz w:val="24"/>
          <w:szCs w:val="24"/>
        </w:rPr>
        <w:t>其中：</w:t>
      </w:r>
    </w:p>
    <w:p w14:paraId="5B78DE6B">
      <w:pPr>
        <w:spacing w:before="181" w:line="213" w:lineRule="auto"/>
        <w:ind w:left="706"/>
        <w:rPr>
          <w:rFonts w:ascii="宋体" w:hAnsi="宋体" w:eastAsia="宋体" w:cs="宋体"/>
          <w:sz w:val="24"/>
          <w:szCs w:val="24"/>
        </w:rPr>
      </w:pPr>
      <w:r>
        <w:rPr>
          <w:rFonts w:ascii="宋体" w:hAnsi="宋体" w:eastAsia="宋体" w:cs="宋体"/>
          <w:spacing w:val="-11"/>
          <w:sz w:val="24"/>
          <w:szCs w:val="24"/>
        </w:rPr>
        <w:t>|</w:t>
      </w:r>
      <w:r>
        <w:rPr>
          <w:rFonts w:ascii="宋体" w:hAnsi="宋体" w:eastAsia="宋体" w:cs="宋体"/>
          <w:spacing w:val="51"/>
          <w:sz w:val="24"/>
          <w:szCs w:val="24"/>
        </w:rPr>
        <w:t xml:space="preserve"> </w:t>
      </w:r>
      <w:r>
        <w:rPr>
          <w:rFonts w:ascii="宋体" w:hAnsi="宋体" w:eastAsia="宋体" w:cs="宋体"/>
          <w:spacing w:val="-11"/>
          <w:sz w:val="24"/>
          <w:szCs w:val="24"/>
        </w:rPr>
        <w:t>ΔP</w:t>
      </w:r>
      <w:r>
        <w:rPr>
          <w:rFonts w:ascii="宋体" w:hAnsi="宋体" w:eastAsia="宋体" w:cs="宋体"/>
          <w:spacing w:val="-1"/>
          <w:sz w:val="24"/>
          <w:szCs w:val="24"/>
        </w:rPr>
        <w:t>｜＞｜</w:t>
      </w:r>
      <w:r>
        <w:rPr>
          <w:rFonts w:ascii="宋体" w:hAnsi="宋体" w:eastAsia="宋体" w:cs="宋体"/>
          <w:spacing w:val="-11"/>
          <w:sz w:val="24"/>
          <w:szCs w:val="24"/>
        </w:rPr>
        <w:t>Po×r |</w:t>
      </w:r>
      <w:r>
        <w:rPr>
          <w:rFonts w:ascii="宋体" w:hAnsi="宋体" w:eastAsia="宋体" w:cs="宋体"/>
          <w:spacing w:val="26"/>
          <w:sz w:val="24"/>
          <w:szCs w:val="24"/>
        </w:rPr>
        <w:t xml:space="preserve">  </w:t>
      </w:r>
      <w:r>
        <w:rPr>
          <w:rFonts w:ascii="宋体" w:hAnsi="宋体" w:eastAsia="宋体" w:cs="宋体"/>
          <w:spacing w:val="-11"/>
          <w:sz w:val="24"/>
          <w:szCs w:val="24"/>
        </w:rPr>
        <w:t>ΔP＝Pi（i=1,…,n</w:t>
      </w:r>
      <w:r>
        <w:rPr>
          <w:rFonts w:ascii="宋体" w:hAnsi="宋体" w:eastAsia="宋体" w:cs="宋体"/>
          <w:spacing w:val="-1"/>
          <w:sz w:val="24"/>
          <w:szCs w:val="24"/>
        </w:rPr>
        <w:t>）－</w:t>
      </w:r>
      <w:r>
        <w:rPr>
          <w:rFonts w:ascii="宋体" w:hAnsi="宋体" w:eastAsia="宋体" w:cs="宋体"/>
          <w:spacing w:val="-11"/>
          <w:sz w:val="24"/>
          <w:szCs w:val="24"/>
        </w:rPr>
        <w:t>Po，i</w:t>
      </w:r>
      <w:r>
        <w:rPr>
          <w:rFonts w:ascii="宋体" w:hAnsi="宋体" w:eastAsia="宋体" w:cs="宋体"/>
          <w:spacing w:val="-48"/>
          <w:sz w:val="24"/>
          <w:szCs w:val="24"/>
        </w:rPr>
        <w:t xml:space="preserve"> </w:t>
      </w:r>
      <w:r>
        <w:rPr>
          <w:rFonts w:ascii="宋体" w:hAnsi="宋体" w:eastAsia="宋体" w:cs="宋体"/>
          <w:spacing w:val="-11"/>
          <w:sz w:val="24"/>
          <w:szCs w:val="24"/>
        </w:rPr>
        <w:t>指计量申报时间。</w:t>
      </w:r>
    </w:p>
    <w:p w14:paraId="49CBDFC2">
      <w:pPr>
        <w:spacing w:before="191" w:line="220" w:lineRule="auto"/>
        <w:ind w:left="606"/>
        <w:rPr>
          <w:rFonts w:ascii="宋体" w:hAnsi="宋体" w:eastAsia="宋体" w:cs="宋体"/>
          <w:sz w:val="24"/>
          <w:szCs w:val="24"/>
        </w:rPr>
      </w:pPr>
      <w:r>
        <w:rPr>
          <w:rFonts w:ascii="宋体" w:hAnsi="宋体" w:eastAsia="宋体" w:cs="宋体"/>
          <w:spacing w:val="-16"/>
          <w:sz w:val="24"/>
          <w:szCs w:val="24"/>
        </w:rPr>
        <w:t>式中：</w:t>
      </w:r>
    </w:p>
    <w:p w14:paraId="25D11F80">
      <w:pPr>
        <w:spacing w:before="182" w:line="218" w:lineRule="auto"/>
        <w:ind w:left="649"/>
        <w:rPr>
          <w:rFonts w:ascii="宋体" w:hAnsi="宋体" w:eastAsia="宋体" w:cs="宋体"/>
          <w:sz w:val="24"/>
          <w:szCs w:val="24"/>
        </w:rPr>
      </w:pPr>
      <w:r>
        <w:rPr>
          <w:rFonts w:ascii="宋体" w:hAnsi="宋体" w:eastAsia="宋体" w:cs="宋体"/>
          <w:spacing w:val="-4"/>
          <w:sz w:val="24"/>
          <w:szCs w:val="24"/>
        </w:rPr>
        <w:t>ΔC—价差调整费用，系按调价周期计算的当次费用。</w:t>
      </w:r>
    </w:p>
    <w:p w14:paraId="58033778">
      <w:pPr>
        <w:spacing w:before="184" w:line="218" w:lineRule="auto"/>
        <w:ind w:left="649"/>
        <w:rPr>
          <w:rFonts w:ascii="宋体" w:hAnsi="宋体" w:eastAsia="宋体" w:cs="宋体"/>
          <w:sz w:val="24"/>
          <w:szCs w:val="24"/>
        </w:rPr>
      </w:pPr>
      <w:r>
        <w:rPr>
          <w:rFonts w:ascii="宋体" w:hAnsi="宋体" w:eastAsia="宋体" w:cs="宋体"/>
          <w:spacing w:val="-10"/>
          <w:sz w:val="24"/>
          <w:szCs w:val="24"/>
        </w:rPr>
        <w:t>ΔP—材料价格差。</w:t>
      </w:r>
    </w:p>
    <w:p w14:paraId="6226A410">
      <w:pPr>
        <w:spacing w:before="185" w:line="360" w:lineRule="auto"/>
        <w:ind w:left="122" w:right="46" w:firstLine="476"/>
        <w:rPr>
          <w:rFonts w:ascii="宋体" w:hAnsi="宋体" w:eastAsia="宋体" w:cs="宋体"/>
          <w:sz w:val="24"/>
          <w:szCs w:val="24"/>
        </w:rPr>
      </w:pPr>
      <w:r>
        <w:rPr>
          <w:rFonts w:ascii="宋体" w:hAnsi="宋体" w:eastAsia="宋体" w:cs="宋体"/>
          <w:spacing w:val="-1"/>
          <w:sz w:val="24"/>
          <w:szCs w:val="24"/>
        </w:rPr>
        <w:t>Po—基准价（不含税</w:t>
      </w:r>
      <w:r>
        <w:rPr>
          <w:rFonts w:ascii="宋体" w:hAnsi="宋体" w:eastAsia="宋体" w:cs="宋体"/>
          <w:spacing w:val="-9"/>
          <w:sz w:val="24"/>
          <w:szCs w:val="24"/>
        </w:rPr>
        <w:t>），</w:t>
      </w:r>
      <w:r>
        <w:rPr>
          <w:rFonts w:ascii="宋体" w:hAnsi="宋体" w:eastAsia="宋体" w:cs="宋体"/>
          <w:spacing w:val="-1"/>
          <w:sz w:val="24"/>
          <w:szCs w:val="24"/>
        </w:rPr>
        <w:t>指建设单位（项目法人）确定最高投标限价时所采用的交</w:t>
      </w:r>
      <w:r>
        <w:rPr>
          <w:rFonts w:ascii="宋体" w:hAnsi="宋体" w:eastAsia="宋体" w:cs="宋体"/>
          <w:spacing w:val="-6"/>
          <w:sz w:val="24"/>
          <w:szCs w:val="24"/>
        </w:rPr>
        <w:t>通建设项目所在地地级市及以上工程造价专业机构发布的</w:t>
      </w:r>
      <w:r>
        <w:rPr>
          <w:rFonts w:ascii="宋体" w:hAnsi="宋体" w:eastAsia="宋体" w:cs="宋体"/>
          <w:spacing w:val="-6"/>
          <w:sz w:val="24"/>
          <w:szCs w:val="24"/>
          <w:u w:val="single" w:color="auto"/>
        </w:rPr>
        <w:t xml:space="preserve"> </w:t>
      </w:r>
      <w:r>
        <w:rPr>
          <w:rFonts w:hint="eastAsia" w:ascii="宋体" w:hAnsi="宋体" w:cs="宋体"/>
          <w:spacing w:val="-6"/>
          <w:sz w:val="24"/>
          <w:szCs w:val="24"/>
          <w:u w:val="single" w:color="auto"/>
          <w:lang w:val="en-US" w:eastAsia="zh-CN"/>
        </w:rPr>
        <w:t>当</w:t>
      </w:r>
      <w:r>
        <w:rPr>
          <w:rFonts w:ascii="宋体" w:hAnsi="宋体" w:eastAsia="宋体" w:cs="宋体"/>
          <w:spacing w:val="-6"/>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6"/>
          <w:sz w:val="24"/>
          <w:szCs w:val="24"/>
        </w:rPr>
        <w:t>年</w:t>
      </w:r>
      <w:r>
        <w:rPr>
          <w:rFonts w:ascii="宋体" w:hAnsi="宋体" w:eastAsia="宋体" w:cs="宋体"/>
          <w:spacing w:val="-6"/>
          <w:sz w:val="24"/>
          <w:szCs w:val="24"/>
          <w:u w:val="single" w:color="auto"/>
        </w:rPr>
        <w:t xml:space="preserve"> </w:t>
      </w:r>
      <w:r>
        <w:rPr>
          <w:rFonts w:hint="eastAsia" w:ascii="宋体" w:hAnsi="宋体" w:cs="宋体"/>
          <w:spacing w:val="-6"/>
          <w:sz w:val="24"/>
          <w:szCs w:val="24"/>
          <w:u w:val="single" w:color="auto"/>
          <w:lang w:val="en-US" w:eastAsia="zh-CN"/>
        </w:rPr>
        <w:t>当</w:t>
      </w:r>
      <w:r>
        <w:rPr>
          <w:rFonts w:ascii="宋体" w:hAnsi="宋体" w:eastAsia="宋体" w:cs="宋体"/>
          <w:spacing w:val="-105"/>
          <w:sz w:val="24"/>
          <w:szCs w:val="24"/>
        </w:rPr>
        <w:t xml:space="preserve"> </w:t>
      </w:r>
      <w:r>
        <w:rPr>
          <w:rFonts w:ascii="宋体" w:hAnsi="宋体" w:eastAsia="宋体" w:cs="宋体"/>
          <w:spacing w:val="-6"/>
          <w:sz w:val="24"/>
          <w:szCs w:val="24"/>
        </w:rPr>
        <w:t>月（或季</w:t>
      </w:r>
      <w:r>
        <w:rPr>
          <w:rFonts w:ascii="宋体" w:hAnsi="宋体" w:eastAsia="宋体" w:cs="宋体"/>
          <w:spacing w:val="-7"/>
          <w:sz w:val="24"/>
          <w:szCs w:val="24"/>
        </w:rPr>
        <w:t>度）信息价，</w:t>
      </w:r>
      <w:r>
        <w:rPr>
          <w:rFonts w:ascii="宋体" w:hAnsi="宋体" w:eastAsia="宋体" w:cs="宋体"/>
          <w:spacing w:val="-2"/>
          <w:sz w:val="24"/>
          <w:szCs w:val="24"/>
        </w:rPr>
        <w:t>如项目或合同段跨两个以上地级市的，按权重取平均值计算。</w:t>
      </w:r>
    </w:p>
    <w:p w14:paraId="2CC87753">
      <w:pPr>
        <w:spacing w:before="4" w:line="359" w:lineRule="auto"/>
        <w:ind w:left="121" w:right="112" w:firstLine="477"/>
        <w:jc w:val="both"/>
        <w:rPr>
          <w:rFonts w:ascii="宋体" w:hAnsi="宋体" w:eastAsia="宋体" w:cs="宋体"/>
          <w:sz w:val="24"/>
          <w:szCs w:val="24"/>
        </w:rPr>
      </w:pPr>
      <w:r>
        <w:rPr>
          <w:rFonts w:ascii="宋体" w:hAnsi="宋体" w:eastAsia="宋体" w:cs="宋体"/>
          <w:spacing w:val="-1"/>
          <w:sz w:val="24"/>
          <w:szCs w:val="24"/>
        </w:rPr>
        <w:t>Pi—信息价（不含税</w:t>
      </w:r>
      <w:r>
        <w:rPr>
          <w:rFonts w:ascii="宋体" w:hAnsi="宋体" w:eastAsia="宋体" w:cs="宋体"/>
          <w:spacing w:val="-10"/>
          <w:sz w:val="24"/>
          <w:szCs w:val="24"/>
        </w:rPr>
        <w:t>），</w:t>
      </w:r>
      <w:r>
        <w:rPr>
          <w:rFonts w:ascii="宋体" w:hAnsi="宋体" w:eastAsia="宋体" w:cs="宋体"/>
          <w:spacing w:val="-1"/>
          <w:sz w:val="24"/>
          <w:szCs w:val="24"/>
        </w:rPr>
        <w:t>指采购材料时交通建设项目所在地级市及以上工程造价专</w:t>
      </w:r>
      <w:r>
        <w:rPr>
          <w:rFonts w:ascii="宋体" w:hAnsi="宋体" w:eastAsia="宋体" w:cs="宋体"/>
          <w:spacing w:val="-2"/>
          <w:sz w:val="24"/>
          <w:szCs w:val="24"/>
        </w:rPr>
        <w:t>业机构发布的上季（月）度信息价，项目通车前已完工但在之后计量的，套用通车当月</w:t>
      </w:r>
      <w:r>
        <w:rPr>
          <w:rFonts w:ascii="宋体" w:hAnsi="宋体" w:eastAsia="宋体" w:cs="宋体"/>
          <w:spacing w:val="-1"/>
          <w:sz w:val="24"/>
          <w:szCs w:val="24"/>
        </w:rPr>
        <w:t>的信息价进行调差。如项目或合同段跨两个以上地级市的，按权重</w:t>
      </w:r>
      <w:r>
        <w:rPr>
          <w:rFonts w:ascii="宋体" w:hAnsi="宋体" w:eastAsia="宋体" w:cs="宋体"/>
          <w:spacing w:val="-2"/>
          <w:sz w:val="24"/>
          <w:szCs w:val="24"/>
        </w:rPr>
        <w:t>取平均值计算。</w:t>
      </w:r>
    </w:p>
    <w:p w14:paraId="6A02DC99">
      <w:pPr>
        <w:spacing w:before="4" w:line="359" w:lineRule="auto"/>
        <w:ind w:left="123" w:right="112" w:firstLine="477"/>
        <w:jc w:val="both"/>
        <w:rPr>
          <w:rFonts w:ascii="宋体" w:hAnsi="宋体" w:eastAsia="宋体" w:cs="宋体"/>
          <w:sz w:val="24"/>
          <w:szCs w:val="24"/>
        </w:rPr>
      </w:pPr>
      <w:r>
        <w:rPr>
          <w:rFonts w:ascii="宋体" w:hAnsi="宋体" w:eastAsia="宋体" w:cs="宋体"/>
          <w:spacing w:val="1"/>
          <w:sz w:val="24"/>
          <w:szCs w:val="24"/>
        </w:rPr>
        <w:t>Q—调整材料数量，指工程实际使用的可调差的材料数量。《调价材料单位用量指</w:t>
      </w:r>
      <w:r>
        <w:rPr>
          <w:rFonts w:ascii="宋体" w:hAnsi="宋体" w:eastAsia="宋体" w:cs="宋体"/>
          <w:spacing w:val="-4"/>
          <w:sz w:val="24"/>
          <w:szCs w:val="24"/>
        </w:rPr>
        <w:t>标表》中所列材料以承包人当月计量的实体工程量为基础，</w:t>
      </w:r>
      <w:r>
        <w:rPr>
          <w:rFonts w:ascii="宋体" w:hAnsi="宋体" w:eastAsia="宋体" w:cs="宋体"/>
          <w:spacing w:val="-28"/>
          <w:sz w:val="24"/>
          <w:szCs w:val="24"/>
        </w:rPr>
        <w:t xml:space="preserve"> </w:t>
      </w:r>
      <w:r>
        <w:rPr>
          <w:rFonts w:ascii="宋体" w:hAnsi="宋体" w:eastAsia="宋体" w:cs="宋体"/>
          <w:spacing w:val="-4"/>
          <w:sz w:val="24"/>
          <w:szCs w:val="24"/>
        </w:rPr>
        <w:t>按照表中的单位用量指标计</w:t>
      </w:r>
      <w:r>
        <w:rPr>
          <w:rFonts w:ascii="宋体" w:hAnsi="宋体" w:eastAsia="宋体" w:cs="宋体"/>
          <w:spacing w:val="-2"/>
          <w:sz w:val="24"/>
          <w:szCs w:val="24"/>
        </w:rPr>
        <w:t>算调整材料数量。通车后计量的调差工程量统一纳入通车当期计算。</w:t>
      </w:r>
    </w:p>
    <w:p w14:paraId="05E0E20F">
      <w:pPr>
        <w:spacing w:line="218" w:lineRule="auto"/>
        <w:ind w:left="600"/>
        <w:rPr>
          <w:rFonts w:ascii="宋体" w:hAnsi="宋体" w:eastAsia="宋体" w:cs="宋体"/>
          <w:sz w:val="24"/>
          <w:szCs w:val="24"/>
        </w:rPr>
      </w:pPr>
      <w:r>
        <w:rPr>
          <w:rFonts w:ascii="宋体" w:hAnsi="宋体" w:eastAsia="宋体" w:cs="宋体"/>
          <w:spacing w:val="-2"/>
          <w:sz w:val="24"/>
          <w:szCs w:val="24"/>
        </w:rPr>
        <w:t>r—风险幅度系数。当ΔP&gt;0</w:t>
      </w:r>
      <w:r>
        <w:rPr>
          <w:rFonts w:ascii="宋体" w:hAnsi="宋体" w:eastAsia="宋体" w:cs="宋体"/>
          <w:spacing w:val="-39"/>
          <w:sz w:val="24"/>
          <w:szCs w:val="24"/>
        </w:rPr>
        <w:t xml:space="preserve"> </w:t>
      </w:r>
      <w:r>
        <w:rPr>
          <w:rFonts w:ascii="宋体" w:hAnsi="宋体" w:eastAsia="宋体" w:cs="宋体"/>
          <w:spacing w:val="-2"/>
          <w:sz w:val="24"/>
          <w:szCs w:val="24"/>
        </w:rPr>
        <w:t>时，r</w:t>
      </w:r>
      <w:r>
        <w:rPr>
          <w:rFonts w:ascii="宋体" w:hAnsi="宋体" w:eastAsia="宋体" w:cs="宋体"/>
          <w:spacing w:val="-48"/>
          <w:sz w:val="24"/>
          <w:szCs w:val="24"/>
        </w:rPr>
        <w:t xml:space="preserve"> </w:t>
      </w:r>
      <w:r>
        <w:rPr>
          <w:rFonts w:ascii="宋体" w:hAnsi="宋体" w:eastAsia="宋体" w:cs="宋体"/>
          <w:spacing w:val="-2"/>
          <w:sz w:val="24"/>
          <w:szCs w:val="24"/>
        </w:rPr>
        <w:t>为正值，当ΔP&lt;</w:t>
      </w:r>
      <w:r>
        <w:rPr>
          <w:rFonts w:ascii="宋体" w:hAnsi="宋体" w:eastAsia="宋体" w:cs="宋体"/>
          <w:spacing w:val="-3"/>
          <w:sz w:val="24"/>
          <w:szCs w:val="24"/>
        </w:rPr>
        <w:t>0 时，r</w:t>
      </w:r>
      <w:r>
        <w:rPr>
          <w:rFonts w:ascii="宋体" w:hAnsi="宋体" w:eastAsia="宋体" w:cs="宋体"/>
          <w:spacing w:val="-48"/>
          <w:sz w:val="24"/>
          <w:szCs w:val="24"/>
        </w:rPr>
        <w:t xml:space="preserve"> </w:t>
      </w:r>
      <w:r>
        <w:rPr>
          <w:rFonts w:ascii="宋体" w:hAnsi="宋体" w:eastAsia="宋体" w:cs="宋体"/>
          <w:spacing w:val="-3"/>
          <w:sz w:val="24"/>
          <w:szCs w:val="24"/>
        </w:rPr>
        <w:t>为负值。</w:t>
      </w:r>
    </w:p>
    <w:p w14:paraId="560E41A9">
      <w:pPr>
        <w:spacing w:before="184" w:line="220" w:lineRule="auto"/>
        <w:ind w:left="597"/>
        <w:rPr>
          <w:rFonts w:ascii="宋体" w:hAnsi="宋体" w:eastAsia="宋体" w:cs="宋体"/>
          <w:sz w:val="24"/>
          <w:szCs w:val="24"/>
        </w:rPr>
      </w:pPr>
      <w:r>
        <w:rPr>
          <w:rFonts w:ascii="宋体" w:hAnsi="宋体" w:eastAsia="宋体" w:cs="宋体"/>
          <w:spacing w:val="-2"/>
          <w:sz w:val="24"/>
          <w:szCs w:val="24"/>
        </w:rPr>
        <w:t>D-增值税税率，指国家最新规定对应建筑业增值税税率。</w:t>
      </w:r>
    </w:p>
    <w:p w14:paraId="0D2285AB">
      <w:pPr>
        <w:pStyle w:val="2"/>
        <w:spacing w:line="284" w:lineRule="auto"/>
      </w:pPr>
    </w:p>
    <w:p w14:paraId="19758378">
      <w:pPr>
        <w:pStyle w:val="2"/>
        <w:spacing w:line="285" w:lineRule="auto"/>
      </w:pPr>
    </w:p>
    <w:p w14:paraId="29F9AE0E">
      <w:pPr>
        <w:spacing w:before="78" w:line="218" w:lineRule="auto"/>
        <w:ind w:left="3340"/>
        <w:rPr>
          <w:rFonts w:ascii="宋体" w:hAnsi="宋体" w:eastAsia="宋体" w:cs="宋体"/>
          <w:sz w:val="24"/>
          <w:szCs w:val="24"/>
        </w:rPr>
      </w:pPr>
      <w:r>
        <w:rPr>
          <w:rFonts w:ascii="宋体" w:hAnsi="宋体" w:eastAsia="宋体" w:cs="宋体"/>
          <w:b/>
          <w:bCs/>
          <w:spacing w:val="-3"/>
          <w:sz w:val="24"/>
          <w:szCs w:val="24"/>
        </w:rPr>
        <w:t>调价材料单位用量指标表</w:t>
      </w:r>
    </w:p>
    <w:p w14:paraId="2EB34257">
      <w:pPr>
        <w:spacing w:line="71"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2"/>
        <w:gridCol w:w="2704"/>
        <w:gridCol w:w="2003"/>
        <w:gridCol w:w="2643"/>
      </w:tblGrid>
      <w:tr w14:paraId="054CB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942" w:type="dxa"/>
            <w:vAlign w:val="top"/>
          </w:tcPr>
          <w:p w14:paraId="5E82733C">
            <w:pPr>
              <w:pStyle w:val="9"/>
              <w:spacing w:before="55" w:line="250" w:lineRule="auto"/>
              <w:ind w:left="556" w:right="548" w:firstLine="106"/>
            </w:pPr>
            <w:r>
              <w:rPr>
                <w:spacing w:val="-4"/>
              </w:rPr>
              <w:t>调价的</w:t>
            </w:r>
            <w:r>
              <w:rPr>
                <w:spacing w:val="-3"/>
              </w:rPr>
              <w:t>材料名称</w:t>
            </w:r>
          </w:p>
        </w:tc>
        <w:tc>
          <w:tcPr>
            <w:tcW w:w="2704" w:type="dxa"/>
            <w:vAlign w:val="top"/>
          </w:tcPr>
          <w:p w14:paraId="0B65F243">
            <w:pPr>
              <w:pStyle w:val="9"/>
              <w:spacing w:before="210" w:line="218" w:lineRule="auto"/>
              <w:ind w:left="412"/>
            </w:pPr>
            <w:r>
              <w:rPr>
                <w:spacing w:val="-1"/>
              </w:rPr>
              <w:t>调价的清单子目编号</w:t>
            </w:r>
          </w:p>
        </w:tc>
        <w:tc>
          <w:tcPr>
            <w:tcW w:w="2003" w:type="dxa"/>
            <w:vAlign w:val="top"/>
          </w:tcPr>
          <w:p w14:paraId="67630130">
            <w:pPr>
              <w:pStyle w:val="9"/>
              <w:spacing w:before="210" w:line="218" w:lineRule="auto"/>
              <w:ind w:left="274"/>
            </w:pPr>
            <w:r>
              <w:rPr>
                <w:spacing w:val="-2"/>
              </w:rPr>
              <w:t>调价的项目名称</w:t>
            </w:r>
          </w:p>
        </w:tc>
        <w:tc>
          <w:tcPr>
            <w:tcW w:w="2643" w:type="dxa"/>
            <w:vAlign w:val="top"/>
          </w:tcPr>
          <w:p w14:paraId="5B41EA52">
            <w:pPr>
              <w:pStyle w:val="9"/>
              <w:spacing w:before="55" w:line="250" w:lineRule="auto"/>
              <w:ind w:left="645" w:right="374" w:hanging="264"/>
              <w:rPr>
                <w:rFonts w:hint="eastAsia" w:eastAsia="宋体"/>
                <w:sz w:val="10"/>
                <w:szCs w:val="10"/>
                <w:lang w:eastAsia="zh-CN"/>
              </w:rPr>
            </w:pPr>
            <w:r>
              <w:rPr>
                <w:spacing w:val="-1"/>
              </w:rPr>
              <w:t>计算调价材料数量的单位用量指标</w:t>
            </w:r>
          </w:p>
        </w:tc>
      </w:tr>
      <w:tr w14:paraId="358E2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942" w:type="dxa"/>
            <w:vAlign w:val="top"/>
          </w:tcPr>
          <w:p w14:paraId="759FFAC8">
            <w:pPr>
              <w:pStyle w:val="9"/>
              <w:spacing w:before="165" w:line="220" w:lineRule="auto"/>
              <w:ind w:left="765"/>
            </w:pPr>
            <w:r>
              <w:rPr>
                <w:spacing w:val="-2"/>
              </w:rPr>
              <w:t>碎石</w:t>
            </w:r>
          </w:p>
        </w:tc>
        <w:tc>
          <w:tcPr>
            <w:tcW w:w="2704" w:type="dxa"/>
            <w:vAlign w:val="top"/>
          </w:tcPr>
          <w:p w14:paraId="6229ED12">
            <w:pPr>
              <w:pStyle w:val="9"/>
              <w:spacing w:before="165" w:line="220" w:lineRule="auto"/>
              <w:ind w:left="520"/>
            </w:pPr>
            <w:r>
              <w:rPr>
                <w:spacing w:val="-2"/>
              </w:rPr>
              <w:t>具体清单子目编号</w:t>
            </w:r>
          </w:p>
        </w:tc>
        <w:tc>
          <w:tcPr>
            <w:tcW w:w="2003" w:type="dxa"/>
            <w:vAlign w:val="top"/>
          </w:tcPr>
          <w:p w14:paraId="1B8F0776">
            <w:pPr>
              <w:pStyle w:val="9"/>
              <w:spacing w:before="165" w:line="220" w:lineRule="auto"/>
              <w:ind w:left="170"/>
            </w:pPr>
            <w:r>
              <w:rPr>
                <w:spacing w:val="-2"/>
              </w:rPr>
              <w:t>具体清单项目名称</w:t>
            </w:r>
          </w:p>
        </w:tc>
        <w:tc>
          <w:tcPr>
            <w:tcW w:w="2643" w:type="dxa"/>
            <w:vAlign w:val="top"/>
          </w:tcPr>
          <w:p w14:paraId="15D43DA2">
            <w:pPr>
              <w:pStyle w:val="9"/>
              <w:tabs>
                <w:tab w:val="left" w:pos="1318"/>
              </w:tabs>
              <w:spacing w:before="151" w:line="237" w:lineRule="auto"/>
              <w:rPr>
                <w:sz w:val="10"/>
                <w:szCs w:val="10"/>
              </w:rPr>
            </w:pPr>
            <w:r>
              <w:rPr>
                <w:rFonts w:hint="eastAsia"/>
                <w:position w:val="-1"/>
                <w:u w:val="single" w:color="auto"/>
              </w:rPr>
              <w:t>按照施工图纸、实际计量 及预算定额确定消耗量</w:t>
            </w:r>
          </w:p>
        </w:tc>
      </w:tr>
      <w:tr w14:paraId="1CEA9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942" w:type="dxa"/>
            <w:vAlign w:val="top"/>
          </w:tcPr>
          <w:p w14:paraId="624BF963">
            <w:pPr>
              <w:pStyle w:val="9"/>
              <w:spacing w:before="167" w:line="220" w:lineRule="auto"/>
              <w:ind w:left="470"/>
            </w:pPr>
            <w:r>
              <w:rPr>
                <w:spacing w:val="-5"/>
              </w:rPr>
              <w:t>中（粗）砂</w:t>
            </w:r>
          </w:p>
        </w:tc>
        <w:tc>
          <w:tcPr>
            <w:tcW w:w="2704" w:type="dxa"/>
            <w:vAlign w:val="top"/>
          </w:tcPr>
          <w:p w14:paraId="2ADF4E79">
            <w:pPr>
              <w:pStyle w:val="9"/>
              <w:spacing w:before="166" w:line="220" w:lineRule="auto"/>
              <w:ind w:left="520"/>
            </w:pPr>
            <w:r>
              <w:rPr>
                <w:spacing w:val="-2"/>
              </w:rPr>
              <w:t>具体清单子目编号</w:t>
            </w:r>
          </w:p>
        </w:tc>
        <w:tc>
          <w:tcPr>
            <w:tcW w:w="2003" w:type="dxa"/>
            <w:vAlign w:val="top"/>
          </w:tcPr>
          <w:p w14:paraId="613B0B52">
            <w:pPr>
              <w:pStyle w:val="9"/>
              <w:spacing w:before="167" w:line="220" w:lineRule="auto"/>
              <w:ind w:left="170"/>
            </w:pPr>
            <w:r>
              <w:rPr>
                <w:spacing w:val="-2"/>
              </w:rPr>
              <w:t>具体清单项目名称</w:t>
            </w:r>
          </w:p>
        </w:tc>
        <w:tc>
          <w:tcPr>
            <w:tcW w:w="2643" w:type="dxa"/>
            <w:vAlign w:val="top"/>
          </w:tcPr>
          <w:p w14:paraId="627D949F">
            <w:pPr>
              <w:spacing w:before="153" w:line="236" w:lineRule="auto"/>
              <w:rPr>
                <w:sz w:val="10"/>
                <w:szCs w:val="10"/>
              </w:rPr>
            </w:pPr>
            <w:r>
              <w:rPr>
                <w:rFonts w:hint="eastAsia"/>
                <w:position w:val="-1"/>
                <w:u w:val="single" w:color="auto"/>
              </w:rPr>
              <w:t>按照施工图纸、实际计量 及预算定额确定消耗量</w:t>
            </w:r>
          </w:p>
        </w:tc>
      </w:tr>
      <w:tr w14:paraId="5E23A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6" w:hRule="atLeast"/>
        </w:trPr>
        <w:tc>
          <w:tcPr>
            <w:tcW w:w="1942" w:type="dxa"/>
            <w:vAlign w:val="top"/>
          </w:tcPr>
          <w:p w14:paraId="3B2C4892">
            <w:pPr>
              <w:spacing w:line="252" w:lineRule="auto"/>
              <w:rPr>
                <w:rFonts w:ascii="Arial"/>
                <w:sz w:val="21"/>
              </w:rPr>
            </w:pPr>
          </w:p>
          <w:p w14:paraId="329802AA">
            <w:pPr>
              <w:spacing w:line="253" w:lineRule="auto"/>
              <w:rPr>
                <w:rFonts w:ascii="Arial"/>
                <w:sz w:val="21"/>
              </w:rPr>
            </w:pPr>
          </w:p>
          <w:p w14:paraId="677A54AE">
            <w:pPr>
              <w:spacing w:line="253" w:lineRule="auto"/>
              <w:rPr>
                <w:rFonts w:ascii="Arial"/>
                <w:sz w:val="21"/>
              </w:rPr>
            </w:pPr>
          </w:p>
          <w:p w14:paraId="489BBB29">
            <w:pPr>
              <w:spacing w:line="253" w:lineRule="auto"/>
              <w:rPr>
                <w:rFonts w:ascii="Arial"/>
                <w:sz w:val="21"/>
              </w:rPr>
            </w:pPr>
          </w:p>
          <w:p w14:paraId="23070DDB">
            <w:pPr>
              <w:spacing w:line="253" w:lineRule="auto"/>
              <w:rPr>
                <w:rFonts w:ascii="Arial"/>
                <w:sz w:val="21"/>
              </w:rPr>
            </w:pPr>
          </w:p>
          <w:p w14:paraId="766F2F57">
            <w:pPr>
              <w:pStyle w:val="9"/>
              <w:spacing w:before="68" w:line="220" w:lineRule="auto"/>
              <w:ind w:left="768"/>
            </w:pPr>
            <w:r>
              <w:rPr>
                <w:spacing w:val="-3"/>
              </w:rPr>
              <w:t>水泥</w:t>
            </w:r>
          </w:p>
        </w:tc>
        <w:tc>
          <w:tcPr>
            <w:tcW w:w="2704" w:type="dxa"/>
            <w:vAlign w:val="top"/>
          </w:tcPr>
          <w:p w14:paraId="698D179A">
            <w:pPr>
              <w:spacing w:line="288" w:lineRule="auto"/>
              <w:rPr>
                <w:rFonts w:ascii="Arial"/>
                <w:sz w:val="21"/>
              </w:rPr>
            </w:pPr>
          </w:p>
          <w:p w14:paraId="50AD1371">
            <w:pPr>
              <w:spacing w:line="289" w:lineRule="auto"/>
              <w:rPr>
                <w:rFonts w:ascii="Arial"/>
                <w:sz w:val="21"/>
              </w:rPr>
            </w:pPr>
          </w:p>
          <w:p w14:paraId="2A8AE51F">
            <w:pPr>
              <w:spacing w:line="289" w:lineRule="auto"/>
              <w:rPr>
                <w:rFonts w:ascii="Arial"/>
                <w:sz w:val="21"/>
              </w:rPr>
            </w:pPr>
          </w:p>
          <w:p w14:paraId="3A9D047D">
            <w:pPr>
              <w:pStyle w:val="9"/>
              <w:spacing w:before="68" w:line="219" w:lineRule="auto"/>
              <w:ind w:left="110"/>
            </w:pPr>
            <w:r>
              <w:rPr>
                <w:spacing w:val="-3"/>
              </w:rPr>
              <w:t>清单的</w:t>
            </w:r>
            <w:r>
              <w:rPr>
                <w:spacing w:val="-44"/>
              </w:rPr>
              <w:t xml:space="preserve"> </w:t>
            </w:r>
            <w:r>
              <w:rPr>
                <w:spacing w:val="-3"/>
              </w:rPr>
              <w:t>200-900</w:t>
            </w:r>
            <w:r>
              <w:rPr>
                <w:spacing w:val="-51"/>
              </w:rPr>
              <w:t xml:space="preserve"> </w:t>
            </w:r>
            <w:r>
              <w:rPr>
                <w:spacing w:val="-3"/>
              </w:rPr>
              <w:t>章中所有含</w:t>
            </w:r>
          </w:p>
          <w:p w14:paraId="4828FC5C">
            <w:pPr>
              <w:pStyle w:val="9"/>
              <w:spacing w:before="151" w:line="220" w:lineRule="auto"/>
              <w:ind w:left="111"/>
            </w:pPr>
            <w:r>
              <w:rPr>
                <w:spacing w:val="-4"/>
              </w:rPr>
              <w:t>轻质土、水泥稳定层、水泥</w:t>
            </w:r>
          </w:p>
          <w:p w14:paraId="1258797F">
            <w:pPr>
              <w:pStyle w:val="9"/>
              <w:spacing w:before="150" w:line="220" w:lineRule="auto"/>
              <w:ind w:left="518"/>
            </w:pPr>
            <w:r>
              <w:rPr>
                <w:spacing w:val="-2"/>
              </w:rPr>
              <w:t>混凝土的清单子目</w:t>
            </w:r>
          </w:p>
        </w:tc>
        <w:tc>
          <w:tcPr>
            <w:tcW w:w="2003" w:type="dxa"/>
            <w:vAlign w:val="top"/>
          </w:tcPr>
          <w:p w14:paraId="55D25E6D">
            <w:pPr>
              <w:spacing w:line="288" w:lineRule="auto"/>
              <w:rPr>
                <w:rFonts w:ascii="Arial"/>
                <w:sz w:val="21"/>
              </w:rPr>
            </w:pPr>
          </w:p>
          <w:p w14:paraId="07AFE04F">
            <w:pPr>
              <w:spacing w:line="288" w:lineRule="auto"/>
              <w:rPr>
                <w:rFonts w:ascii="Arial"/>
                <w:sz w:val="21"/>
              </w:rPr>
            </w:pPr>
          </w:p>
          <w:p w14:paraId="6C3DC1E1">
            <w:pPr>
              <w:spacing w:line="289" w:lineRule="auto"/>
              <w:rPr>
                <w:rFonts w:ascii="Arial"/>
                <w:sz w:val="21"/>
              </w:rPr>
            </w:pPr>
          </w:p>
          <w:p w14:paraId="5CB625F6">
            <w:pPr>
              <w:pStyle w:val="9"/>
              <w:spacing w:before="69" w:line="220" w:lineRule="auto"/>
              <w:ind w:left="167"/>
            </w:pPr>
            <w:r>
              <w:rPr>
                <w:spacing w:val="-1"/>
              </w:rPr>
              <w:t>轻质土、水泥稳定</w:t>
            </w:r>
          </w:p>
          <w:p w14:paraId="0A9433CC">
            <w:pPr>
              <w:pStyle w:val="9"/>
              <w:spacing w:before="150" w:line="220" w:lineRule="auto"/>
              <w:ind w:left="113"/>
            </w:pPr>
            <w:r>
              <w:rPr>
                <w:spacing w:val="-13"/>
              </w:rPr>
              <w:t>层、水泥混凝土中的</w:t>
            </w:r>
          </w:p>
          <w:p w14:paraId="4A6534B5">
            <w:pPr>
              <w:pStyle w:val="9"/>
              <w:spacing w:before="149" w:line="220" w:lineRule="auto"/>
              <w:ind w:left="799"/>
            </w:pPr>
            <w:r>
              <w:rPr>
                <w:spacing w:val="-3"/>
              </w:rPr>
              <w:t>水泥</w:t>
            </w:r>
          </w:p>
        </w:tc>
        <w:tc>
          <w:tcPr>
            <w:tcW w:w="2643" w:type="dxa"/>
            <w:vAlign w:val="center"/>
          </w:tcPr>
          <w:p w14:paraId="5936B183">
            <w:pPr>
              <w:spacing w:line="233" w:lineRule="auto"/>
              <w:ind w:left="105"/>
            </w:pPr>
            <w:r>
              <w:rPr>
                <w:rFonts w:hint="eastAsia"/>
                <w:position w:val="-1"/>
                <w:u w:val="single" w:color="auto"/>
              </w:rPr>
              <w:t>按照施工图纸、实际计量 及预算定额确定消耗量</w:t>
            </w:r>
          </w:p>
        </w:tc>
      </w:tr>
    </w:tbl>
    <w:p w14:paraId="3D03AF0F">
      <w:pPr>
        <w:pStyle w:val="2"/>
        <w:spacing w:line="462" w:lineRule="auto"/>
      </w:pPr>
    </w:p>
    <w:p w14:paraId="2A775F7D">
      <w:pPr>
        <w:spacing w:line="217" w:lineRule="auto"/>
        <w:rPr>
          <w:rFonts w:ascii="宋体" w:hAnsi="宋体" w:eastAsia="宋体" w:cs="宋体"/>
          <w:sz w:val="18"/>
          <w:szCs w:val="18"/>
        </w:rPr>
        <w:sectPr>
          <w:footerReference r:id="rId103" w:type="default"/>
          <w:pgSz w:w="11905" w:h="16840"/>
          <w:pgMar w:top="1182" w:right="1303" w:bottom="1171" w:left="1303" w:header="849" w:footer="936" w:gutter="0"/>
          <w:pgNumType w:fmt="decimal"/>
          <w:cols w:space="720" w:num="1"/>
        </w:sectPr>
      </w:pPr>
    </w:p>
    <w:p w14:paraId="10FFDBCC">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2"/>
        <w:gridCol w:w="2704"/>
        <w:gridCol w:w="2003"/>
        <w:gridCol w:w="2643"/>
      </w:tblGrid>
      <w:tr w14:paraId="66DED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9" w:hRule="atLeast"/>
        </w:trPr>
        <w:tc>
          <w:tcPr>
            <w:tcW w:w="1942" w:type="dxa"/>
            <w:vAlign w:val="top"/>
          </w:tcPr>
          <w:p w14:paraId="03DFDDA6">
            <w:pPr>
              <w:rPr>
                <w:rFonts w:ascii="Arial"/>
                <w:sz w:val="21"/>
              </w:rPr>
            </w:pPr>
          </w:p>
        </w:tc>
        <w:tc>
          <w:tcPr>
            <w:tcW w:w="2704" w:type="dxa"/>
            <w:vAlign w:val="top"/>
          </w:tcPr>
          <w:p w14:paraId="4FB68E4F">
            <w:pPr>
              <w:rPr>
                <w:rFonts w:ascii="Arial"/>
                <w:sz w:val="21"/>
              </w:rPr>
            </w:pPr>
          </w:p>
        </w:tc>
        <w:tc>
          <w:tcPr>
            <w:tcW w:w="2003" w:type="dxa"/>
            <w:vAlign w:val="top"/>
          </w:tcPr>
          <w:p w14:paraId="26712137">
            <w:pPr>
              <w:rPr>
                <w:rFonts w:ascii="Arial"/>
                <w:sz w:val="21"/>
              </w:rPr>
            </w:pPr>
          </w:p>
        </w:tc>
        <w:tc>
          <w:tcPr>
            <w:tcW w:w="2643" w:type="dxa"/>
            <w:vAlign w:val="top"/>
          </w:tcPr>
          <w:p w14:paraId="62AADAC4">
            <w:pPr>
              <w:pStyle w:val="9"/>
              <w:spacing w:before="130" w:line="220" w:lineRule="auto"/>
              <w:ind w:left="538"/>
            </w:pPr>
          </w:p>
        </w:tc>
      </w:tr>
      <w:tr w14:paraId="43B28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942" w:type="dxa"/>
            <w:vAlign w:val="top"/>
          </w:tcPr>
          <w:p w14:paraId="29CE5427">
            <w:pPr>
              <w:spacing w:line="288" w:lineRule="auto"/>
              <w:rPr>
                <w:rFonts w:ascii="Arial"/>
                <w:sz w:val="21"/>
              </w:rPr>
            </w:pPr>
          </w:p>
          <w:p w14:paraId="07AACB68">
            <w:pPr>
              <w:pStyle w:val="9"/>
              <w:spacing w:before="69" w:line="220" w:lineRule="auto"/>
              <w:ind w:left="764"/>
            </w:pPr>
            <w:r>
              <w:rPr>
                <w:spacing w:val="-2"/>
              </w:rPr>
              <w:t>钢筋</w:t>
            </w:r>
          </w:p>
        </w:tc>
        <w:tc>
          <w:tcPr>
            <w:tcW w:w="2704" w:type="dxa"/>
            <w:vAlign w:val="top"/>
          </w:tcPr>
          <w:p w14:paraId="246429E6">
            <w:pPr>
              <w:pStyle w:val="9"/>
              <w:spacing w:before="158" w:line="220" w:lineRule="auto"/>
              <w:ind w:left="205"/>
            </w:pPr>
            <w:r>
              <w:rPr>
                <w:spacing w:val="-2"/>
              </w:rPr>
              <w:t>实体工程中所有钢筋的清</w:t>
            </w:r>
          </w:p>
          <w:p w14:paraId="268F49A1">
            <w:pPr>
              <w:pStyle w:val="9"/>
              <w:spacing w:before="151" w:line="209" w:lineRule="auto"/>
              <w:ind w:left="1042"/>
            </w:pPr>
            <w:r>
              <w:rPr>
                <w:spacing w:val="-3"/>
              </w:rPr>
              <w:t>单子目</w:t>
            </w:r>
          </w:p>
        </w:tc>
        <w:tc>
          <w:tcPr>
            <w:tcW w:w="2003" w:type="dxa"/>
            <w:vAlign w:val="top"/>
          </w:tcPr>
          <w:p w14:paraId="31F02488">
            <w:pPr>
              <w:spacing w:line="288" w:lineRule="auto"/>
              <w:rPr>
                <w:rFonts w:ascii="Arial"/>
                <w:sz w:val="21"/>
              </w:rPr>
            </w:pPr>
          </w:p>
          <w:p w14:paraId="263C2282">
            <w:pPr>
              <w:pStyle w:val="9"/>
              <w:spacing w:before="69" w:line="220" w:lineRule="auto"/>
              <w:ind w:left="795"/>
            </w:pPr>
            <w:r>
              <w:rPr>
                <w:spacing w:val="-2"/>
              </w:rPr>
              <w:t>钢筋</w:t>
            </w:r>
          </w:p>
        </w:tc>
        <w:tc>
          <w:tcPr>
            <w:tcW w:w="2643" w:type="dxa"/>
            <w:vAlign w:val="center"/>
          </w:tcPr>
          <w:p w14:paraId="6537219F">
            <w:pPr>
              <w:spacing w:line="233" w:lineRule="auto"/>
              <w:ind w:left="105"/>
              <w:rPr>
                <w:rFonts w:hint="eastAsia"/>
                <w:position w:val="-1"/>
                <w:u w:val="single" w:color="auto"/>
              </w:rPr>
            </w:pPr>
            <w:r>
              <w:rPr>
                <w:rFonts w:hint="eastAsia"/>
                <w:position w:val="-1"/>
                <w:u w:val="single" w:color="auto"/>
              </w:rPr>
              <w:t>按照施工图纸、实际计量 及预算定额确定消耗量</w:t>
            </w:r>
          </w:p>
        </w:tc>
      </w:tr>
      <w:tr w14:paraId="43452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942" w:type="dxa"/>
            <w:vAlign w:val="top"/>
          </w:tcPr>
          <w:p w14:paraId="7CDC73F1">
            <w:pPr>
              <w:spacing w:line="286" w:lineRule="auto"/>
              <w:rPr>
                <w:rFonts w:ascii="Arial"/>
                <w:sz w:val="21"/>
              </w:rPr>
            </w:pPr>
          </w:p>
          <w:p w14:paraId="6FEF26CE">
            <w:pPr>
              <w:pStyle w:val="9"/>
              <w:spacing w:before="68" w:line="220" w:lineRule="auto"/>
              <w:ind w:left="659"/>
            </w:pPr>
            <w:r>
              <w:rPr>
                <w:spacing w:val="-2"/>
              </w:rPr>
              <w:t>钢绞线</w:t>
            </w:r>
          </w:p>
        </w:tc>
        <w:tc>
          <w:tcPr>
            <w:tcW w:w="2704" w:type="dxa"/>
            <w:vAlign w:val="top"/>
          </w:tcPr>
          <w:p w14:paraId="0283683D">
            <w:pPr>
              <w:pStyle w:val="9"/>
              <w:spacing w:before="156" w:line="282" w:lineRule="auto"/>
              <w:ind w:left="935" w:right="196" w:hanging="730"/>
            </w:pPr>
            <w:r>
              <w:rPr>
                <w:spacing w:val="-2"/>
              </w:rPr>
              <w:t>实体工程中所有钢绞线的清单子目</w:t>
            </w:r>
          </w:p>
        </w:tc>
        <w:tc>
          <w:tcPr>
            <w:tcW w:w="2003" w:type="dxa"/>
            <w:vAlign w:val="top"/>
          </w:tcPr>
          <w:p w14:paraId="236FF794">
            <w:pPr>
              <w:spacing w:line="286" w:lineRule="auto"/>
              <w:rPr>
                <w:rFonts w:ascii="Arial"/>
                <w:sz w:val="21"/>
              </w:rPr>
            </w:pPr>
          </w:p>
          <w:p w14:paraId="751A6252">
            <w:pPr>
              <w:pStyle w:val="9"/>
              <w:spacing w:before="68" w:line="220" w:lineRule="auto"/>
              <w:ind w:left="690"/>
            </w:pPr>
            <w:r>
              <w:rPr>
                <w:spacing w:val="-2"/>
              </w:rPr>
              <w:t>钢绞线</w:t>
            </w:r>
          </w:p>
        </w:tc>
        <w:tc>
          <w:tcPr>
            <w:tcW w:w="2643" w:type="dxa"/>
            <w:vAlign w:val="center"/>
          </w:tcPr>
          <w:p w14:paraId="4D443945">
            <w:pPr>
              <w:spacing w:line="233" w:lineRule="auto"/>
              <w:ind w:left="105"/>
              <w:rPr>
                <w:rFonts w:hint="eastAsia"/>
                <w:position w:val="-1"/>
                <w:u w:val="single" w:color="auto"/>
              </w:rPr>
            </w:pPr>
            <w:r>
              <w:rPr>
                <w:rFonts w:hint="eastAsia"/>
                <w:position w:val="-1"/>
                <w:u w:val="single" w:color="auto"/>
              </w:rPr>
              <w:t>按照施工图纸、实际计量 及预算定额确定消耗量</w:t>
            </w:r>
          </w:p>
        </w:tc>
      </w:tr>
      <w:tr w14:paraId="5E1AD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942" w:type="dxa"/>
            <w:vAlign w:val="top"/>
          </w:tcPr>
          <w:p w14:paraId="338BB53E">
            <w:pPr>
              <w:spacing w:line="283" w:lineRule="auto"/>
              <w:rPr>
                <w:rFonts w:ascii="Arial"/>
                <w:sz w:val="21"/>
              </w:rPr>
            </w:pPr>
          </w:p>
          <w:p w14:paraId="7132F08A">
            <w:pPr>
              <w:pStyle w:val="9"/>
              <w:spacing w:before="68" w:line="219" w:lineRule="auto"/>
              <w:ind w:left="766"/>
            </w:pPr>
            <w:r>
              <w:rPr>
                <w:spacing w:val="-3"/>
              </w:rPr>
              <w:t>沥青</w:t>
            </w:r>
          </w:p>
        </w:tc>
        <w:tc>
          <w:tcPr>
            <w:tcW w:w="2704" w:type="dxa"/>
            <w:vAlign w:val="top"/>
          </w:tcPr>
          <w:p w14:paraId="3E50869C">
            <w:pPr>
              <w:pStyle w:val="9"/>
              <w:spacing w:before="151" w:line="284" w:lineRule="auto"/>
              <w:ind w:left="935" w:right="196" w:hanging="730"/>
            </w:pPr>
            <w:r>
              <w:rPr>
                <w:spacing w:val="-2"/>
              </w:rPr>
              <w:t>实体工程中所有含沥青的清单子目</w:t>
            </w:r>
          </w:p>
        </w:tc>
        <w:tc>
          <w:tcPr>
            <w:tcW w:w="2003" w:type="dxa"/>
            <w:vAlign w:val="top"/>
          </w:tcPr>
          <w:p w14:paraId="110CDBB3">
            <w:pPr>
              <w:spacing w:line="283" w:lineRule="auto"/>
              <w:rPr>
                <w:rFonts w:ascii="Arial"/>
                <w:sz w:val="21"/>
              </w:rPr>
            </w:pPr>
          </w:p>
          <w:p w14:paraId="18CA80EE">
            <w:pPr>
              <w:pStyle w:val="9"/>
              <w:spacing w:before="68" w:line="219" w:lineRule="auto"/>
              <w:ind w:left="796"/>
            </w:pPr>
            <w:r>
              <w:rPr>
                <w:spacing w:val="-3"/>
              </w:rPr>
              <w:t>沥青</w:t>
            </w:r>
          </w:p>
        </w:tc>
        <w:tc>
          <w:tcPr>
            <w:tcW w:w="2643" w:type="dxa"/>
            <w:vAlign w:val="center"/>
          </w:tcPr>
          <w:p w14:paraId="0C2548C0">
            <w:pPr>
              <w:spacing w:line="233" w:lineRule="auto"/>
              <w:ind w:left="105"/>
              <w:rPr>
                <w:rFonts w:hint="eastAsia"/>
                <w:position w:val="-1"/>
                <w:u w:val="single" w:color="auto"/>
              </w:rPr>
            </w:pPr>
            <w:r>
              <w:rPr>
                <w:rFonts w:hint="eastAsia"/>
                <w:position w:val="-1"/>
                <w:u w:val="single" w:color="auto"/>
              </w:rPr>
              <w:t>按照施工图纸、实际计量 及预算定额确定消耗量</w:t>
            </w:r>
          </w:p>
        </w:tc>
      </w:tr>
      <w:tr w14:paraId="74FCA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942" w:type="dxa"/>
            <w:vAlign w:val="top"/>
          </w:tcPr>
          <w:p w14:paraId="4C21C777">
            <w:pPr>
              <w:pStyle w:val="9"/>
              <w:spacing w:before="177" w:line="220" w:lineRule="auto"/>
              <w:ind w:left="766"/>
            </w:pPr>
            <w:r>
              <w:rPr>
                <w:spacing w:val="-3"/>
              </w:rPr>
              <w:t>柴油</w:t>
            </w:r>
          </w:p>
        </w:tc>
        <w:tc>
          <w:tcPr>
            <w:tcW w:w="2704" w:type="dxa"/>
            <w:vAlign w:val="top"/>
          </w:tcPr>
          <w:p w14:paraId="4BD94EF0">
            <w:pPr>
              <w:pStyle w:val="9"/>
              <w:spacing w:before="177" w:line="220" w:lineRule="auto"/>
              <w:ind w:left="520"/>
            </w:pPr>
            <w:r>
              <w:rPr>
                <w:spacing w:val="-2"/>
              </w:rPr>
              <w:t>具体清单子目编号</w:t>
            </w:r>
          </w:p>
        </w:tc>
        <w:tc>
          <w:tcPr>
            <w:tcW w:w="2003" w:type="dxa"/>
            <w:vAlign w:val="top"/>
          </w:tcPr>
          <w:p w14:paraId="0D34B9AC">
            <w:pPr>
              <w:pStyle w:val="9"/>
              <w:spacing w:before="177" w:line="220" w:lineRule="auto"/>
              <w:ind w:left="170"/>
            </w:pPr>
            <w:r>
              <w:rPr>
                <w:spacing w:val="-2"/>
              </w:rPr>
              <w:t>具体清单项目名称</w:t>
            </w:r>
          </w:p>
        </w:tc>
        <w:tc>
          <w:tcPr>
            <w:tcW w:w="2643" w:type="dxa"/>
            <w:vAlign w:val="center"/>
          </w:tcPr>
          <w:p w14:paraId="2F655880">
            <w:pPr>
              <w:spacing w:line="233" w:lineRule="auto"/>
              <w:ind w:left="105"/>
              <w:rPr>
                <w:rFonts w:hint="eastAsia"/>
                <w:position w:val="-1"/>
                <w:u w:val="single" w:color="auto"/>
              </w:rPr>
            </w:pPr>
            <w:r>
              <w:rPr>
                <w:rFonts w:hint="eastAsia"/>
                <w:position w:val="-1"/>
                <w:u w:val="single" w:color="auto"/>
              </w:rPr>
              <w:t>按照施工图纸、实际计量 及预算定额确定消耗量</w:t>
            </w:r>
          </w:p>
        </w:tc>
      </w:tr>
      <w:tr w14:paraId="1637B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942" w:type="dxa"/>
            <w:vAlign w:val="top"/>
          </w:tcPr>
          <w:p w14:paraId="3C4C150E">
            <w:pPr>
              <w:spacing w:line="279" w:lineRule="auto"/>
              <w:rPr>
                <w:rFonts w:ascii="Arial"/>
                <w:sz w:val="21"/>
              </w:rPr>
            </w:pPr>
          </w:p>
          <w:p w14:paraId="65326081">
            <w:pPr>
              <w:pStyle w:val="9"/>
              <w:spacing w:before="68" w:line="220" w:lineRule="auto"/>
              <w:ind w:left="453"/>
            </w:pPr>
            <w:r>
              <w:rPr>
                <w:spacing w:val="-2"/>
              </w:rPr>
              <w:t>混凝土管桩</w:t>
            </w:r>
          </w:p>
        </w:tc>
        <w:tc>
          <w:tcPr>
            <w:tcW w:w="2704" w:type="dxa"/>
            <w:vAlign w:val="top"/>
          </w:tcPr>
          <w:p w14:paraId="7B41E81D">
            <w:pPr>
              <w:pStyle w:val="9"/>
              <w:spacing w:before="149" w:line="285" w:lineRule="auto"/>
              <w:ind w:left="725" w:right="196" w:hanging="520"/>
            </w:pPr>
            <w:r>
              <w:rPr>
                <w:spacing w:val="-2"/>
              </w:rPr>
              <w:t>实体工程中所有混凝土管桩的清单子目</w:t>
            </w:r>
          </w:p>
        </w:tc>
        <w:tc>
          <w:tcPr>
            <w:tcW w:w="2003" w:type="dxa"/>
            <w:vAlign w:val="top"/>
          </w:tcPr>
          <w:p w14:paraId="6CF0592A">
            <w:pPr>
              <w:spacing w:line="279" w:lineRule="auto"/>
              <w:rPr>
                <w:rFonts w:ascii="Arial"/>
                <w:sz w:val="21"/>
              </w:rPr>
            </w:pPr>
          </w:p>
          <w:p w14:paraId="7147A2A4">
            <w:pPr>
              <w:pStyle w:val="9"/>
              <w:spacing w:before="68" w:line="220" w:lineRule="auto"/>
              <w:ind w:left="484"/>
            </w:pPr>
            <w:r>
              <w:rPr>
                <w:spacing w:val="-2"/>
              </w:rPr>
              <w:t>混凝土管桩</w:t>
            </w:r>
          </w:p>
        </w:tc>
        <w:tc>
          <w:tcPr>
            <w:tcW w:w="2643" w:type="dxa"/>
            <w:vAlign w:val="center"/>
          </w:tcPr>
          <w:p w14:paraId="63A58D69">
            <w:pPr>
              <w:spacing w:line="233" w:lineRule="auto"/>
              <w:ind w:left="105"/>
              <w:rPr>
                <w:rFonts w:hint="eastAsia"/>
                <w:position w:val="-1"/>
                <w:u w:val="single" w:color="auto"/>
              </w:rPr>
            </w:pPr>
            <w:r>
              <w:rPr>
                <w:rFonts w:hint="eastAsia"/>
                <w:position w:val="-1"/>
                <w:u w:val="single" w:color="auto"/>
              </w:rPr>
              <w:t>按照施工图纸、实际计量 及预算定额确定消耗量</w:t>
            </w:r>
          </w:p>
        </w:tc>
      </w:tr>
      <w:tr w14:paraId="44549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942" w:type="dxa"/>
            <w:vAlign w:val="top"/>
          </w:tcPr>
          <w:p w14:paraId="0287AE76">
            <w:pPr>
              <w:spacing w:line="257" w:lineRule="auto"/>
              <w:rPr>
                <w:rFonts w:ascii="Arial"/>
                <w:sz w:val="21"/>
              </w:rPr>
            </w:pPr>
          </w:p>
          <w:p w14:paraId="1648ABEC">
            <w:pPr>
              <w:pStyle w:val="9"/>
              <w:spacing w:before="68" w:line="87" w:lineRule="exact"/>
              <w:ind w:left="824"/>
            </w:pPr>
            <w:r>
              <w:rPr>
                <w:spacing w:val="-5"/>
                <w:position w:val="1"/>
              </w:rPr>
              <w:t>...</w:t>
            </w:r>
          </w:p>
        </w:tc>
        <w:tc>
          <w:tcPr>
            <w:tcW w:w="2704" w:type="dxa"/>
            <w:vAlign w:val="top"/>
          </w:tcPr>
          <w:p w14:paraId="283A8B70">
            <w:pPr>
              <w:rPr>
                <w:rFonts w:ascii="Arial"/>
                <w:sz w:val="21"/>
              </w:rPr>
            </w:pPr>
          </w:p>
        </w:tc>
        <w:tc>
          <w:tcPr>
            <w:tcW w:w="2003" w:type="dxa"/>
            <w:vAlign w:val="top"/>
          </w:tcPr>
          <w:p w14:paraId="34DB9D83">
            <w:pPr>
              <w:rPr>
                <w:rFonts w:ascii="Arial"/>
                <w:sz w:val="21"/>
              </w:rPr>
            </w:pPr>
          </w:p>
        </w:tc>
        <w:tc>
          <w:tcPr>
            <w:tcW w:w="2643" w:type="dxa"/>
            <w:vAlign w:val="top"/>
          </w:tcPr>
          <w:p w14:paraId="046F5478">
            <w:pPr>
              <w:rPr>
                <w:rFonts w:ascii="Arial"/>
                <w:sz w:val="21"/>
              </w:rPr>
            </w:pPr>
          </w:p>
        </w:tc>
      </w:tr>
    </w:tbl>
    <w:p w14:paraId="266A93D5">
      <w:pPr>
        <w:pStyle w:val="2"/>
        <w:spacing w:line="316" w:lineRule="auto"/>
      </w:pPr>
    </w:p>
    <w:p w14:paraId="011A8EC9">
      <w:pPr>
        <w:pStyle w:val="2"/>
        <w:spacing w:line="316" w:lineRule="auto"/>
      </w:pPr>
    </w:p>
    <w:p w14:paraId="705233D6">
      <w:pPr>
        <w:spacing w:before="68" w:line="220" w:lineRule="auto"/>
        <w:ind w:left="540"/>
        <w:rPr>
          <w:rFonts w:ascii="宋体" w:hAnsi="宋体" w:eastAsia="宋体" w:cs="宋体"/>
          <w:sz w:val="21"/>
          <w:szCs w:val="21"/>
        </w:rPr>
      </w:pPr>
      <w:r>
        <w:pict>
          <v:shape id="_x0000_s1037" o:spid="_x0000_s1037" o:spt="202" type="#_x0000_t202" style="position:absolute;left:0pt;margin-left:197.3pt;margin-top:-2.5pt;height:9.5pt;width:19.6pt;z-index:251696128;mso-width-relative:page;mso-height-relative:page;" filled="f" stroked="f" coordsize="21600,21600">
            <v:path/>
            <v:fill on="f" focussize="0,0"/>
            <v:stroke on="f"/>
            <v:imagedata o:title=""/>
            <o:lock v:ext="edit" aspectratio="f"/>
            <v:textbox inset="0mm,0mm,0mm,0mm">
              <w:txbxContent>
                <w:p w14:paraId="1E3BA7A7">
                  <w:pPr>
                    <w:spacing w:before="19" w:line="185" w:lineRule="auto"/>
                    <w:ind w:left="20"/>
                    <w:rPr>
                      <w:rFonts w:ascii="宋体" w:hAnsi="宋体" w:eastAsia="宋体" w:cs="宋体"/>
                      <w:sz w:val="15"/>
                      <w:szCs w:val="15"/>
                    </w:rPr>
                  </w:pPr>
                  <w:r>
                    <w:rPr>
                      <w:rFonts w:ascii="宋体" w:hAnsi="宋体" w:eastAsia="宋体" w:cs="宋体"/>
                      <w:spacing w:val="-5"/>
                      <w:sz w:val="15"/>
                      <w:szCs w:val="15"/>
                    </w:rPr>
                    <w:t>3</w:t>
                  </w:r>
                  <w:r>
                    <w:rPr>
                      <w:rFonts w:ascii="宋体" w:hAnsi="宋体" w:eastAsia="宋体" w:cs="宋体"/>
                      <w:spacing w:val="34"/>
                      <w:w w:val="101"/>
                      <w:sz w:val="15"/>
                      <w:szCs w:val="15"/>
                    </w:rPr>
                    <w:t xml:space="preserve">  </w:t>
                  </w:r>
                  <w:r>
                    <w:rPr>
                      <w:rFonts w:ascii="宋体" w:hAnsi="宋体" w:eastAsia="宋体" w:cs="宋体"/>
                      <w:spacing w:val="-5"/>
                      <w:sz w:val="15"/>
                      <w:szCs w:val="15"/>
                    </w:rPr>
                    <w:t>3</w:t>
                  </w:r>
                </w:p>
              </w:txbxContent>
            </v:textbox>
          </v:shape>
        </w:pict>
      </w:r>
      <w:r>
        <w:rPr>
          <w:rFonts w:ascii="宋体" w:hAnsi="宋体" w:eastAsia="宋体" w:cs="宋体"/>
          <w:spacing w:val="-2"/>
          <w:sz w:val="21"/>
          <w:szCs w:val="21"/>
        </w:rPr>
        <w:t>注</w:t>
      </w:r>
      <w:r>
        <w:rPr>
          <w:rFonts w:hint="eastAsia" w:ascii="宋体" w:hAnsi="宋体" w:cs="宋体"/>
          <w:spacing w:val="-2"/>
          <w:sz w:val="21"/>
          <w:szCs w:val="21"/>
          <w:lang w:eastAsia="zh-CN"/>
        </w:rPr>
        <w:t>：</w:t>
      </w:r>
      <w:r>
        <w:rPr>
          <w:rFonts w:ascii="宋体" w:hAnsi="宋体" w:eastAsia="宋体" w:cs="宋体"/>
          <w:spacing w:val="-2"/>
          <w:sz w:val="21"/>
          <w:szCs w:val="21"/>
        </w:rPr>
        <w:t xml:space="preserve"> 1.石料单位用量指标中单位</w:t>
      </w:r>
      <w:r>
        <w:rPr>
          <w:rFonts w:ascii="宋体" w:hAnsi="宋体" w:eastAsia="宋体" w:cs="宋体"/>
          <w:spacing w:val="-10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03"/>
          <w:sz w:val="21"/>
          <w:szCs w:val="21"/>
        </w:rPr>
        <w:t xml:space="preserve"> </w:t>
      </w:r>
      <w:r>
        <w:rPr>
          <w:rFonts w:ascii="宋体" w:hAnsi="宋体" w:eastAsia="宋体" w:cs="宋体"/>
          <w:spacing w:val="-2"/>
          <w:sz w:val="21"/>
          <w:szCs w:val="21"/>
        </w:rPr>
        <w:t>m</w:t>
      </w:r>
      <w:r>
        <w:rPr>
          <w:rFonts w:ascii="宋体" w:hAnsi="宋体" w:eastAsia="宋体" w:cs="宋体"/>
          <w:spacing w:val="-22"/>
          <w:sz w:val="21"/>
          <w:szCs w:val="21"/>
        </w:rPr>
        <w:t xml:space="preserve"> </w:t>
      </w:r>
      <w:r>
        <w:rPr>
          <w:rFonts w:ascii="宋体" w:hAnsi="宋体" w:eastAsia="宋体" w:cs="宋体"/>
          <w:spacing w:val="-2"/>
          <w:sz w:val="21"/>
          <w:szCs w:val="21"/>
        </w:rPr>
        <w:t>/m 代表每计量</w:t>
      </w:r>
      <w:r>
        <w:rPr>
          <w:rFonts w:ascii="宋体" w:hAnsi="宋体" w:eastAsia="宋体" w:cs="宋体"/>
          <w:spacing w:val="-29"/>
          <w:sz w:val="21"/>
          <w:szCs w:val="21"/>
        </w:rPr>
        <w:t xml:space="preserve"> </w:t>
      </w:r>
      <w:r>
        <w:rPr>
          <w:rFonts w:ascii="宋体" w:hAnsi="宋体" w:eastAsia="宋体" w:cs="宋体"/>
          <w:spacing w:val="-2"/>
          <w:sz w:val="21"/>
          <w:szCs w:val="21"/>
        </w:rPr>
        <w:t>1</w:t>
      </w:r>
      <w:r>
        <w:rPr>
          <w:rFonts w:ascii="宋体" w:hAnsi="宋体" w:eastAsia="宋体" w:cs="宋体"/>
          <w:spacing w:val="-43"/>
          <w:sz w:val="21"/>
          <w:szCs w:val="21"/>
        </w:rPr>
        <w:t xml:space="preserve"> </w:t>
      </w:r>
      <w:r>
        <w:rPr>
          <w:rFonts w:ascii="宋体" w:hAnsi="宋体" w:eastAsia="宋体" w:cs="宋体"/>
          <w:spacing w:val="-2"/>
          <w:sz w:val="21"/>
          <w:szCs w:val="21"/>
        </w:rPr>
        <w:t>立方米实体工程消耗的石料堆方数量为</w:t>
      </w:r>
    </w:p>
    <w:p w14:paraId="0DD5EC7C">
      <w:pPr>
        <w:spacing w:before="263" w:line="214" w:lineRule="auto"/>
        <w:ind w:left="120"/>
        <w:rPr>
          <w:rFonts w:ascii="宋体" w:hAnsi="宋体" w:eastAsia="宋体" w:cs="宋体"/>
          <w:sz w:val="21"/>
          <w:szCs w:val="21"/>
        </w:rPr>
      </w:pPr>
      <w:r>
        <w:rPr>
          <w:rFonts w:ascii="宋体" w:hAnsi="宋体" w:eastAsia="宋体" w:cs="宋体"/>
          <w:spacing w:val="-2"/>
          <w:sz w:val="21"/>
          <w:szCs w:val="21"/>
        </w:rPr>
        <w:t>立方米；</w:t>
      </w:r>
      <w:r>
        <w:rPr>
          <w:rFonts w:ascii="宋体" w:hAnsi="宋体" w:eastAsia="宋体" w:cs="宋体"/>
          <w:spacing w:val="-2"/>
          <w:sz w:val="21"/>
          <w:szCs w:val="21"/>
          <w:u w:val="single" w:color="auto"/>
        </w:rPr>
        <w:t xml:space="preserve">    </w:t>
      </w:r>
      <w:r>
        <w:rPr>
          <w:rFonts w:ascii="宋体" w:hAnsi="宋体" w:eastAsia="宋体" w:cs="宋体"/>
          <w:spacing w:val="-99"/>
          <w:sz w:val="21"/>
          <w:szCs w:val="21"/>
        </w:rPr>
        <w:t xml:space="preserve"> </w:t>
      </w:r>
      <w:r>
        <w:rPr>
          <w:rFonts w:ascii="宋体" w:hAnsi="宋体" w:eastAsia="宋体" w:cs="宋体"/>
          <w:spacing w:val="-2"/>
          <w:sz w:val="21"/>
          <w:szCs w:val="21"/>
        </w:rPr>
        <w:t>kg/m3</w:t>
      </w:r>
      <w:r>
        <w:rPr>
          <w:rFonts w:ascii="宋体" w:hAnsi="宋体" w:eastAsia="宋体" w:cs="宋体"/>
          <w:spacing w:val="-45"/>
          <w:sz w:val="21"/>
          <w:szCs w:val="21"/>
        </w:rPr>
        <w:t xml:space="preserve"> </w:t>
      </w:r>
      <w:r>
        <w:rPr>
          <w:rFonts w:ascii="宋体" w:hAnsi="宋体" w:eastAsia="宋体" w:cs="宋体"/>
          <w:spacing w:val="-2"/>
          <w:sz w:val="21"/>
          <w:szCs w:val="21"/>
        </w:rPr>
        <w:t>代表每计量</w:t>
      </w:r>
      <w:r>
        <w:rPr>
          <w:rFonts w:ascii="宋体" w:hAnsi="宋体" w:eastAsia="宋体" w:cs="宋体"/>
          <w:spacing w:val="-29"/>
          <w:sz w:val="21"/>
          <w:szCs w:val="21"/>
        </w:rPr>
        <w:t xml:space="preserve"> </w:t>
      </w:r>
      <w:r>
        <w:rPr>
          <w:rFonts w:ascii="宋体" w:hAnsi="宋体" w:eastAsia="宋体" w:cs="宋体"/>
          <w:spacing w:val="-2"/>
          <w:sz w:val="21"/>
          <w:szCs w:val="21"/>
        </w:rPr>
        <w:t>1</w:t>
      </w:r>
      <w:r>
        <w:rPr>
          <w:rFonts w:ascii="宋体" w:hAnsi="宋体" w:eastAsia="宋体" w:cs="宋体"/>
          <w:spacing w:val="-44"/>
          <w:sz w:val="21"/>
          <w:szCs w:val="21"/>
        </w:rPr>
        <w:t xml:space="preserve"> </w:t>
      </w:r>
      <w:r>
        <w:rPr>
          <w:rFonts w:ascii="宋体" w:hAnsi="宋体" w:eastAsia="宋体" w:cs="宋体"/>
          <w:spacing w:val="-2"/>
          <w:sz w:val="21"/>
          <w:szCs w:val="21"/>
        </w:rPr>
        <w:t>立方米实体工程消耗的重量为</w:t>
      </w:r>
      <w:r>
        <w:rPr>
          <w:rFonts w:ascii="宋体" w:hAnsi="宋体" w:eastAsia="宋体" w:cs="宋体"/>
          <w:spacing w:val="-2"/>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2"/>
          <w:sz w:val="21"/>
          <w:szCs w:val="21"/>
        </w:rPr>
        <w:t>公斤。其余以</w:t>
      </w:r>
      <w:r>
        <w:rPr>
          <w:rFonts w:ascii="宋体" w:hAnsi="宋体" w:eastAsia="宋体" w:cs="宋体"/>
          <w:spacing w:val="-3"/>
          <w:sz w:val="21"/>
          <w:szCs w:val="21"/>
        </w:rPr>
        <w:t>此类推。</w:t>
      </w:r>
    </w:p>
    <w:p w14:paraId="78292068">
      <w:pPr>
        <w:spacing w:before="226" w:line="411" w:lineRule="auto"/>
        <w:ind w:left="120" w:right="115" w:firstLine="422"/>
        <w:rPr>
          <w:rFonts w:ascii="宋体" w:hAnsi="宋体" w:eastAsia="宋体" w:cs="宋体"/>
          <w:sz w:val="21"/>
          <w:szCs w:val="21"/>
        </w:rPr>
      </w:pPr>
      <w:r>
        <w:rPr>
          <w:rFonts w:ascii="宋体" w:hAnsi="宋体" w:eastAsia="宋体" w:cs="宋体"/>
          <w:sz w:val="21"/>
          <w:szCs w:val="21"/>
        </w:rPr>
        <w:t>2.碎石统一按照定额材料代号</w:t>
      </w:r>
      <w:r>
        <w:rPr>
          <w:rFonts w:ascii="宋体" w:hAnsi="宋体" w:eastAsia="宋体" w:cs="宋体"/>
          <w:spacing w:val="-37"/>
          <w:sz w:val="21"/>
          <w:szCs w:val="21"/>
        </w:rPr>
        <w:t xml:space="preserve"> </w:t>
      </w:r>
      <w:r>
        <w:rPr>
          <w:rFonts w:ascii="宋体" w:hAnsi="宋体" w:eastAsia="宋体" w:cs="宋体"/>
          <w:sz w:val="21"/>
          <w:szCs w:val="21"/>
        </w:rPr>
        <w:t>5505016</w:t>
      </w:r>
      <w:r>
        <w:rPr>
          <w:rFonts w:ascii="宋体" w:hAnsi="宋体" w:eastAsia="宋体" w:cs="宋体"/>
          <w:spacing w:val="-38"/>
          <w:sz w:val="21"/>
          <w:szCs w:val="21"/>
        </w:rPr>
        <w:t xml:space="preserve"> </w:t>
      </w:r>
      <w:r>
        <w:rPr>
          <w:rFonts w:ascii="宋体" w:hAnsi="宋体" w:eastAsia="宋体" w:cs="宋体"/>
          <w:sz w:val="21"/>
          <w:szCs w:val="21"/>
        </w:rPr>
        <w:t>号“碎石”价格进行调整；机制砂统一按照定额</w:t>
      </w:r>
      <w:r>
        <w:rPr>
          <w:rFonts w:ascii="宋体" w:hAnsi="宋体" w:eastAsia="宋体" w:cs="宋体"/>
          <w:spacing w:val="-1"/>
          <w:sz w:val="21"/>
          <w:szCs w:val="21"/>
        </w:rPr>
        <w:t>材料代</w:t>
      </w:r>
      <w:r>
        <w:rPr>
          <w:rFonts w:ascii="宋体" w:hAnsi="宋体" w:eastAsia="宋体" w:cs="宋体"/>
          <w:sz w:val="21"/>
          <w:szCs w:val="21"/>
        </w:rPr>
        <w:t>号</w:t>
      </w:r>
      <w:r>
        <w:rPr>
          <w:rFonts w:ascii="宋体" w:hAnsi="宋体" w:eastAsia="宋体" w:cs="宋体"/>
          <w:spacing w:val="-40"/>
          <w:sz w:val="21"/>
          <w:szCs w:val="21"/>
        </w:rPr>
        <w:t xml:space="preserve"> </w:t>
      </w:r>
      <w:r>
        <w:rPr>
          <w:rFonts w:ascii="宋体" w:hAnsi="宋体" w:eastAsia="宋体" w:cs="宋体"/>
          <w:sz w:val="21"/>
          <w:szCs w:val="21"/>
        </w:rPr>
        <w:t>5503002</w:t>
      </w:r>
      <w:r>
        <w:rPr>
          <w:rFonts w:ascii="宋体" w:hAnsi="宋体" w:eastAsia="宋体" w:cs="宋体"/>
          <w:spacing w:val="-37"/>
          <w:sz w:val="21"/>
          <w:szCs w:val="21"/>
        </w:rPr>
        <w:t xml:space="preserve"> </w:t>
      </w:r>
      <w:r>
        <w:rPr>
          <w:rFonts w:ascii="宋体" w:hAnsi="宋体" w:eastAsia="宋体" w:cs="宋体"/>
          <w:sz w:val="21"/>
          <w:szCs w:val="21"/>
        </w:rPr>
        <w:t>号“机制砂”价格进行调整。若采用机制砂，计算调价材料数量的单位用量指标按</w:t>
      </w:r>
      <w:r>
        <w:rPr>
          <w:rFonts w:ascii="宋体" w:hAnsi="宋体" w:eastAsia="宋体" w:cs="宋体"/>
          <w:spacing w:val="-1"/>
          <w:sz w:val="21"/>
          <w:szCs w:val="21"/>
        </w:rPr>
        <w:t>砂用</w:t>
      </w:r>
      <w:r>
        <w:rPr>
          <w:rFonts w:ascii="宋体" w:hAnsi="宋体" w:eastAsia="宋体" w:cs="宋体"/>
          <w:spacing w:val="-10"/>
          <w:sz w:val="21"/>
          <w:szCs w:val="21"/>
        </w:rPr>
        <w:t>量。</w:t>
      </w:r>
    </w:p>
    <w:p w14:paraId="170BB630">
      <w:pPr>
        <w:spacing w:before="2" w:line="411" w:lineRule="auto"/>
        <w:ind w:left="120" w:right="109" w:firstLine="424"/>
        <w:rPr>
          <w:rFonts w:ascii="宋体" w:hAnsi="宋体" w:eastAsia="宋体" w:cs="宋体"/>
          <w:sz w:val="21"/>
          <w:szCs w:val="21"/>
        </w:rPr>
      </w:pPr>
      <w:r>
        <w:rPr>
          <w:rFonts w:ascii="宋体" w:hAnsi="宋体" w:eastAsia="宋体" w:cs="宋体"/>
          <w:spacing w:val="1"/>
          <w:sz w:val="21"/>
          <w:szCs w:val="21"/>
        </w:rPr>
        <w:t>3. 桥梁桩基础混凝土中的水泥统一按照定额材料代号</w:t>
      </w:r>
      <w:r>
        <w:rPr>
          <w:rFonts w:ascii="宋体" w:hAnsi="宋体" w:eastAsia="宋体" w:cs="宋体"/>
          <w:spacing w:val="-34"/>
          <w:sz w:val="21"/>
          <w:szCs w:val="21"/>
        </w:rPr>
        <w:t xml:space="preserve"> </w:t>
      </w:r>
      <w:r>
        <w:rPr>
          <w:rFonts w:ascii="宋体" w:hAnsi="宋体" w:eastAsia="宋体" w:cs="宋体"/>
          <w:spacing w:val="1"/>
          <w:sz w:val="21"/>
          <w:szCs w:val="21"/>
        </w:rPr>
        <w:t>5509002</w:t>
      </w:r>
      <w:r>
        <w:rPr>
          <w:rFonts w:ascii="宋体" w:hAnsi="宋体" w:eastAsia="宋体" w:cs="宋体"/>
          <w:spacing w:val="-36"/>
          <w:sz w:val="21"/>
          <w:szCs w:val="21"/>
        </w:rPr>
        <w:t xml:space="preserve"> </w:t>
      </w:r>
      <w:r>
        <w:rPr>
          <w:rFonts w:ascii="宋体" w:hAnsi="宋体" w:eastAsia="宋体" w:cs="宋体"/>
          <w:spacing w:val="1"/>
          <w:sz w:val="21"/>
          <w:szCs w:val="21"/>
        </w:rPr>
        <w:t>号</w:t>
      </w:r>
      <w:r>
        <w:rPr>
          <w:rFonts w:ascii="宋体" w:hAnsi="宋体" w:eastAsia="宋体" w:cs="宋体"/>
          <w:sz w:val="21"/>
          <w:szCs w:val="21"/>
        </w:rPr>
        <w:t>“42.5</w:t>
      </w:r>
      <w:r>
        <w:rPr>
          <w:rFonts w:ascii="宋体" w:hAnsi="宋体" w:eastAsia="宋体" w:cs="宋体"/>
          <w:spacing w:val="-40"/>
          <w:sz w:val="21"/>
          <w:szCs w:val="21"/>
        </w:rPr>
        <w:t xml:space="preserve"> </w:t>
      </w:r>
      <w:r>
        <w:rPr>
          <w:rFonts w:ascii="宋体" w:hAnsi="宋体" w:eastAsia="宋体" w:cs="宋体"/>
          <w:sz w:val="21"/>
          <w:szCs w:val="21"/>
        </w:rPr>
        <w:t>级水泥”价格进行调</w:t>
      </w:r>
      <w:r>
        <w:rPr>
          <w:rFonts w:ascii="宋体" w:hAnsi="宋体" w:eastAsia="宋体" w:cs="宋体"/>
          <w:spacing w:val="-1"/>
          <w:sz w:val="21"/>
          <w:szCs w:val="21"/>
        </w:rPr>
        <w:t>整；其他实体工程混凝土中的水泥，标号小于等于</w:t>
      </w:r>
      <w:r>
        <w:rPr>
          <w:rFonts w:ascii="宋体" w:hAnsi="宋体" w:eastAsia="宋体" w:cs="宋体"/>
          <w:spacing w:val="-47"/>
          <w:sz w:val="21"/>
          <w:szCs w:val="21"/>
        </w:rPr>
        <w:t xml:space="preserve"> </w:t>
      </w:r>
      <w:r>
        <w:rPr>
          <w:rFonts w:ascii="宋体" w:hAnsi="宋体" w:eastAsia="宋体" w:cs="宋体"/>
          <w:spacing w:val="-1"/>
          <w:sz w:val="21"/>
          <w:szCs w:val="21"/>
        </w:rPr>
        <w:t>C40</w:t>
      </w:r>
      <w:r>
        <w:rPr>
          <w:rFonts w:ascii="宋体" w:hAnsi="宋体" w:eastAsia="宋体" w:cs="宋体"/>
          <w:spacing w:val="-26"/>
          <w:sz w:val="21"/>
          <w:szCs w:val="21"/>
        </w:rPr>
        <w:t xml:space="preserve"> </w:t>
      </w:r>
      <w:r>
        <w:rPr>
          <w:rFonts w:ascii="宋体" w:hAnsi="宋体" w:eastAsia="宋体" w:cs="宋体"/>
          <w:spacing w:val="-1"/>
          <w:sz w:val="21"/>
          <w:szCs w:val="21"/>
        </w:rPr>
        <w:t>的统一按照定额</w:t>
      </w:r>
      <w:r>
        <w:rPr>
          <w:rFonts w:ascii="宋体" w:hAnsi="宋体" w:eastAsia="宋体" w:cs="宋体"/>
          <w:spacing w:val="-2"/>
          <w:sz w:val="21"/>
          <w:szCs w:val="21"/>
        </w:rPr>
        <w:t>材料代号</w:t>
      </w:r>
      <w:r>
        <w:rPr>
          <w:rFonts w:ascii="宋体" w:hAnsi="宋体" w:eastAsia="宋体" w:cs="宋体"/>
          <w:spacing w:val="-40"/>
          <w:sz w:val="21"/>
          <w:szCs w:val="21"/>
        </w:rPr>
        <w:t xml:space="preserve"> </w:t>
      </w:r>
      <w:r>
        <w:rPr>
          <w:rFonts w:ascii="宋体" w:hAnsi="宋体" w:eastAsia="宋体" w:cs="宋体"/>
          <w:spacing w:val="-2"/>
          <w:sz w:val="21"/>
          <w:szCs w:val="21"/>
        </w:rPr>
        <w:t>5509002</w:t>
      </w:r>
      <w:r>
        <w:rPr>
          <w:rFonts w:ascii="宋体" w:hAnsi="宋体" w:eastAsia="宋体" w:cs="宋体"/>
          <w:spacing w:val="-39"/>
          <w:sz w:val="21"/>
          <w:szCs w:val="21"/>
        </w:rPr>
        <w:t xml:space="preserve"> </w:t>
      </w:r>
      <w:r>
        <w:rPr>
          <w:rFonts w:ascii="宋体" w:hAnsi="宋体" w:eastAsia="宋体" w:cs="宋体"/>
          <w:spacing w:val="-2"/>
          <w:sz w:val="21"/>
          <w:szCs w:val="21"/>
        </w:rPr>
        <w:t>号“42.5级水泥”价格进行调整，标号大于等于</w:t>
      </w:r>
      <w:r>
        <w:rPr>
          <w:rFonts w:ascii="宋体" w:hAnsi="宋体" w:eastAsia="宋体" w:cs="宋体"/>
          <w:spacing w:val="-32"/>
          <w:sz w:val="21"/>
          <w:szCs w:val="21"/>
        </w:rPr>
        <w:t xml:space="preserve"> </w:t>
      </w:r>
      <w:r>
        <w:rPr>
          <w:rFonts w:ascii="宋体" w:hAnsi="宋体" w:eastAsia="宋体" w:cs="宋体"/>
          <w:spacing w:val="-2"/>
          <w:sz w:val="21"/>
          <w:szCs w:val="21"/>
        </w:rPr>
        <w:t>C50</w:t>
      </w:r>
      <w:r>
        <w:rPr>
          <w:rFonts w:ascii="宋体" w:hAnsi="宋体" w:eastAsia="宋体" w:cs="宋体"/>
          <w:spacing w:val="-27"/>
          <w:sz w:val="21"/>
          <w:szCs w:val="21"/>
        </w:rPr>
        <w:t xml:space="preserve"> </w:t>
      </w:r>
      <w:r>
        <w:rPr>
          <w:rFonts w:ascii="宋体" w:hAnsi="宋体" w:eastAsia="宋体" w:cs="宋体"/>
          <w:spacing w:val="-2"/>
          <w:sz w:val="21"/>
          <w:szCs w:val="21"/>
        </w:rPr>
        <w:t>的统一按照定额材料代号</w:t>
      </w:r>
      <w:r>
        <w:rPr>
          <w:rFonts w:ascii="宋体" w:hAnsi="宋体" w:eastAsia="宋体" w:cs="宋体"/>
          <w:spacing w:val="-40"/>
          <w:sz w:val="21"/>
          <w:szCs w:val="21"/>
        </w:rPr>
        <w:t xml:space="preserve"> </w:t>
      </w:r>
      <w:r>
        <w:rPr>
          <w:rFonts w:ascii="宋体" w:hAnsi="宋体" w:eastAsia="宋体" w:cs="宋体"/>
          <w:spacing w:val="-2"/>
          <w:sz w:val="21"/>
          <w:szCs w:val="21"/>
        </w:rPr>
        <w:t>5509003</w:t>
      </w:r>
      <w:r>
        <w:rPr>
          <w:rFonts w:ascii="宋体" w:hAnsi="宋体" w:eastAsia="宋体" w:cs="宋体"/>
          <w:spacing w:val="-41"/>
          <w:sz w:val="21"/>
          <w:szCs w:val="21"/>
        </w:rPr>
        <w:t xml:space="preserve"> </w:t>
      </w:r>
      <w:r>
        <w:rPr>
          <w:rFonts w:ascii="宋体" w:hAnsi="宋体" w:eastAsia="宋体" w:cs="宋体"/>
          <w:spacing w:val="-2"/>
          <w:sz w:val="21"/>
          <w:szCs w:val="21"/>
        </w:rPr>
        <w:t>号“52.5</w:t>
      </w:r>
      <w:r>
        <w:rPr>
          <w:rFonts w:ascii="宋体" w:hAnsi="宋体" w:eastAsia="宋体" w:cs="宋体"/>
          <w:spacing w:val="-41"/>
          <w:sz w:val="21"/>
          <w:szCs w:val="21"/>
        </w:rPr>
        <w:t xml:space="preserve"> </w:t>
      </w:r>
      <w:r>
        <w:rPr>
          <w:rFonts w:ascii="宋体" w:hAnsi="宋体" w:eastAsia="宋体" w:cs="宋体"/>
          <w:spacing w:val="-2"/>
          <w:sz w:val="21"/>
          <w:szCs w:val="21"/>
        </w:rPr>
        <w:t>级水泥”价</w:t>
      </w:r>
      <w:r>
        <w:rPr>
          <w:rFonts w:ascii="宋体" w:hAnsi="宋体" w:eastAsia="宋体" w:cs="宋体"/>
          <w:spacing w:val="1"/>
          <w:sz w:val="21"/>
          <w:szCs w:val="21"/>
        </w:rPr>
        <w:t>格进行调整；桥梁桩基础根据设计桩径按计量长度换算为</w:t>
      </w:r>
      <w:r>
        <w:rPr>
          <w:rFonts w:ascii="宋体" w:hAnsi="宋体" w:eastAsia="宋体" w:cs="宋体"/>
          <w:sz w:val="21"/>
          <w:szCs w:val="21"/>
        </w:rPr>
        <w:t>混凝土体积，相关成孔损耗已在上表中水</w:t>
      </w:r>
      <w:r>
        <w:rPr>
          <w:rFonts w:ascii="宋体" w:hAnsi="宋体" w:eastAsia="宋体" w:cs="宋体"/>
          <w:spacing w:val="-4"/>
          <w:sz w:val="21"/>
          <w:szCs w:val="21"/>
        </w:rPr>
        <w:t>泥用量指标综合考虑。</w:t>
      </w:r>
    </w:p>
    <w:p w14:paraId="69C3AC09">
      <w:pPr>
        <w:spacing w:before="1" w:line="411" w:lineRule="auto"/>
        <w:ind w:left="121" w:right="38" w:firstLine="418"/>
        <w:rPr>
          <w:rFonts w:ascii="宋体" w:hAnsi="宋体" w:eastAsia="宋体" w:cs="宋体"/>
          <w:sz w:val="21"/>
          <w:szCs w:val="21"/>
        </w:rPr>
      </w:pPr>
      <w:r>
        <w:rPr>
          <w:rFonts w:ascii="宋体" w:hAnsi="宋体" w:eastAsia="宋体" w:cs="宋体"/>
          <w:sz w:val="21"/>
          <w:szCs w:val="21"/>
        </w:rPr>
        <w:t>4.沥青视采用的品种，按照定额材料代号</w:t>
      </w:r>
      <w:r>
        <w:rPr>
          <w:rFonts w:ascii="宋体" w:hAnsi="宋体" w:eastAsia="宋体" w:cs="宋体"/>
          <w:spacing w:val="-35"/>
          <w:sz w:val="21"/>
          <w:szCs w:val="21"/>
        </w:rPr>
        <w:t xml:space="preserve"> </w:t>
      </w:r>
      <w:r>
        <w:rPr>
          <w:rFonts w:ascii="宋体" w:hAnsi="宋体" w:eastAsia="宋体" w:cs="宋体"/>
          <w:sz w:val="21"/>
          <w:szCs w:val="21"/>
        </w:rPr>
        <w:t>3001001</w:t>
      </w:r>
      <w:r>
        <w:rPr>
          <w:rFonts w:ascii="宋体" w:hAnsi="宋体" w:eastAsia="宋体" w:cs="宋体"/>
          <w:spacing w:val="-1"/>
          <w:sz w:val="21"/>
          <w:szCs w:val="21"/>
        </w:rPr>
        <w:t>020</w:t>
      </w:r>
      <w:r>
        <w:rPr>
          <w:rFonts w:ascii="宋体" w:hAnsi="宋体" w:eastAsia="宋体" w:cs="宋体"/>
          <w:spacing w:val="-39"/>
          <w:sz w:val="21"/>
          <w:szCs w:val="21"/>
        </w:rPr>
        <w:t xml:space="preserve"> </w:t>
      </w:r>
      <w:r>
        <w:rPr>
          <w:rFonts w:ascii="宋体" w:hAnsi="宋体" w:eastAsia="宋体" w:cs="宋体"/>
          <w:spacing w:val="-1"/>
          <w:sz w:val="21"/>
          <w:szCs w:val="21"/>
        </w:rPr>
        <w:t>号“国产沥青”或</w:t>
      </w:r>
      <w:r>
        <w:rPr>
          <w:rFonts w:ascii="宋体" w:hAnsi="宋体" w:eastAsia="宋体" w:cs="宋体"/>
          <w:spacing w:val="-39"/>
          <w:sz w:val="21"/>
          <w:szCs w:val="21"/>
        </w:rPr>
        <w:t xml:space="preserve"> </w:t>
      </w:r>
      <w:r>
        <w:rPr>
          <w:rFonts w:ascii="宋体" w:hAnsi="宋体" w:eastAsia="宋体" w:cs="宋体"/>
          <w:spacing w:val="-1"/>
          <w:sz w:val="21"/>
          <w:szCs w:val="21"/>
        </w:rPr>
        <w:t>3001001021</w:t>
      </w:r>
      <w:r>
        <w:rPr>
          <w:rFonts w:ascii="宋体" w:hAnsi="宋体" w:eastAsia="宋体" w:cs="宋体"/>
          <w:spacing w:val="-38"/>
          <w:sz w:val="21"/>
          <w:szCs w:val="21"/>
        </w:rPr>
        <w:t xml:space="preserve"> </w:t>
      </w:r>
      <w:r>
        <w:rPr>
          <w:rFonts w:ascii="宋体" w:hAnsi="宋体" w:eastAsia="宋体" w:cs="宋体"/>
          <w:spacing w:val="-1"/>
          <w:sz w:val="21"/>
          <w:szCs w:val="21"/>
        </w:rPr>
        <w:t>号“进口</w:t>
      </w:r>
      <w:r>
        <w:rPr>
          <w:rFonts w:ascii="宋体" w:hAnsi="宋体" w:eastAsia="宋体" w:cs="宋体"/>
          <w:spacing w:val="-2"/>
          <w:sz w:val="21"/>
          <w:szCs w:val="21"/>
        </w:rPr>
        <w:t>石油沥青”、3001002010</w:t>
      </w:r>
      <w:r>
        <w:rPr>
          <w:rFonts w:ascii="宋体" w:hAnsi="宋体" w:eastAsia="宋体" w:cs="宋体"/>
          <w:spacing w:val="-24"/>
          <w:sz w:val="21"/>
          <w:szCs w:val="21"/>
        </w:rPr>
        <w:t xml:space="preserve"> </w:t>
      </w:r>
      <w:r>
        <w:rPr>
          <w:rFonts w:ascii="宋体" w:hAnsi="宋体" w:eastAsia="宋体" w:cs="宋体"/>
          <w:spacing w:val="-2"/>
          <w:sz w:val="21"/>
          <w:szCs w:val="21"/>
        </w:rPr>
        <w:t>号“国产改性沥青”或</w:t>
      </w:r>
      <w:r>
        <w:rPr>
          <w:rFonts w:ascii="宋体" w:hAnsi="宋体" w:eastAsia="宋体" w:cs="宋体"/>
          <w:spacing w:val="-39"/>
          <w:sz w:val="21"/>
          <w:szCs w:val="21"/>
        </w:rPr>
        <w:t xml:space="preserve"> </w:t>
      </w:r>
      <w:r>
        <w:rPr>
          <w:rFonts w:ascii="宋体" w:hAnsi="宋体" w:eastAsia="宋体" w:cs="宋体"/>
          <w:spacing w:val="-2"/>
          <w:sz w:val="21"/>
          <w:szCs w:val="21"/>
        </w:rPr>
        <w:t>3001002011</w:t>
      </w:r>
      <w:r>
        <w:rPr>
          <w:rFonts w:ascii="宋体" w:hAnsi="宋体" w:eastAsia="宋体" w:cs="宋体"/>
          <w:spacing w:val="-41"/>
          <w:sz w:val="21"/>
          <w:szCs w:val="21"/>
        </w:rPr>
        <w:t xml:space="preserve"> </w:t>
      </w:r>
      <w:r>
        <w:rPr>
          <w:rFonts w:ascii="宋体" w:hAnsi="宋体" w:eastAsia="宋体" w:cs="宋体"/>
          <w:spacing w:val="-2"/>
          <w:sz w:val="21"/>
          <w:szCs w:val="21"/>
        </w:rPr>
        <w:t>号“进口改性沥青”的价格进行调整。</w:t>
      </w:r>
    </w:p>
    <w:p w14:paraId="3896A6E7">
      <w:pPr>
        <w:spacing w:before="2" w:line="412" w:lineRule="auto"/>
        <w:ind w:left="124" w:right="110" w:firstLine="420"/>
        <w:rPr>
          <w:rFonts w:ascii="宋体" w:hAnsi="宋体" w:eastAsia="宋体" w:cs="宋体"/>
          <w:sz w:val="21"/>
          <w:szCs w:val="21"/>
        </w:rPr>
      </w:pPr>
      <w:r>
        <w:rPr>
          <w:rFonts w:ascii="宋体" w:hAnsi="宋体" w:eastAsia="宋体" w:cs="宋体"/>
          <w:spacing w:val="-1"/>
          <w:sz w:val="21"/>
          <w:szCs w:val="21"/>
        </w:rPr>
        <w:t>5.沥青混合料及改性沥青混合料拌合消耗的燃油、天然气统一按定额材料代号</w:t>
      </w:r>
      <w:r>
        <w:rPr>
          <w:rFonts w:ascii="宋体" w:hAnsi="宋体" w:eastAsia="宋体" w:cs="宋体"/>
          <w:spacing w:val="-29"/>
          <w:sz w:val="21"/>
          <w:szCs w:val="21"/>
        </w:rPr>
        <w:t xml:space="preserve"> </w:t>
      </w:r>
      <w:r>
        <w:rPr>
          <w:rFonts w:ascii="宋体" w:hAnsi="宋体" w:eastAsia="宋体" w:cs="宋体"/>
          <w:spacing w:val="-1"/>
          <w:sz w:val="21"/>
          <w:szCs w:val="21"/>
        </w:rPr>
        <w:t>3003001 号“重</w:t>
      </w:r>
      <w:r>
        <w:rPr>
          <w:rFonts w:ascii="宋体" w:hAnsi="宋体" w:eastAsia="宋体" w:cs="宋体"/>
          <w:spacing w:val="-5"/>
          <w:sz w:val="21"/>
          <w:szCs w:val="21"/>
        </w:rPr>
        <w:t>油”价格进行调整。</w:t>
      </w:r>
    </w:p>
    <w:p w14:paraId="764A2388">
      <w:pPr>
        <w:spacing w:line="412" w:lineRule="auto"/>
        <w:rPr>
          <w:rFonts w:ascii="宋体" w:hAnsi="宋体" w:eastAsia="宋体" w:cs="宋体"/>
          <w:sz w:val="21"/>
          <w:szCs w:val="21"/>
        </w:rPr>
        <w:sectPr>
          <w:pgSz w:w="11905" w:h="16840"/>
          <w:pgMar w:top="1182" w:right="1303" w:bottom="1171" w:left="1303" w:header="849" w:footer="936" w:gutter="0"/>
          <w:pgNumType w:fmt="decimal"/>
          <w:cols w:space="720" w:num="1"/>
        </w:sectPr>
      </w:pPr>
    </w:p>
    <w:p w14:paraId="138F23E7">
      <w:pPr>
        <w:pStyle w:val="2"/>
        <w:spacing w:line="291" w:lineRule="auto"/>
      </w:pPr>
    </w:p>
    <w:p w14:paraId="7769DD39">
      <w:pPr>
        <w:spacing w:before="68" w:line="218" w:lineRule="auto"/>
        <w:ind w:left="429"/>
        <w:rPr>
          <w:rFonts w:ascii="宋体" w:hAnsi="宋体" w:eastAsia="宋体" w:cs="宋体"/>
          <w:sz w:val="21"/>
          <w:szCs w:val="21"/>
        </w:rPr>
      </w:pPr>
      <w:r>
        <w:rPr>
          <w:rFonts w:ascii="宋体" w:hAnsi="宋体" w:eastAsia="宋体" w:cs="宋体"/>
          <w:spacing w:val="-2"/>
          <w:sz w:val="21"/>
          <w:szCs w:val="21"/>
        </w:rPr>
        <w:t>6.混凝土管桩仅按成品信息价格进行调差。</w:t>
      </w:r>
    </w:p>
    <w:p w14:paraId="2093219B">
      <w:pPr>
        <w:spacing w:before="219" w:line="220" w:lineRule="auto"/>
        <w:ind w:left="433"/>
        <w:rPr>
          <w:rFonts w:ascii="宋体" w:hAnsi="宋体" w:eastAsia="宋体" w:cs="宋体"/>
          <w:sz w:val="21"/>
          <w:szCs w:val="21"/>
        </w:rPr>
      </w:pPr>
      <w:r>
        <w:rPr>
          <w:rFonts w:ascii="宋体" w:hAnsi="宋体" w:eastAsia="宋体" w:cs="宋体"/>
          <w:spacing w:val="-1"/>
          <w:sz w:val="21"/>
          <w:szCs w:val="21"/>
        </w:rPr>
        <w:t>7.表中的单位用量指标，发包人应参照《公路工程预算定额》的定</w:t>
      </w:r>
      <w:r>
        <w:rPr>
          <w:rFonts w:ascii="宋体" w:hAnsi="宋体" w:eastAsia="宋体" w:cs="宋体"/>
          <w:spacing w:val="-2"/>
          <w:sz w:val="21"/>
          <w:szCs w:val="21"/>
        </w:rPr>
        <w:t>额消耗量确定。</w:t>
      </w:r>
    </w:p>
    <w:p w14:paraId="11D20FF9">
      <w:pPr>
        <w:spacing w:before="204" w:line="218" w:lineRule="auto"/>
        <w:ind w:left="507"/>
        <w:rPr>
          <w:rFonts w:ascii="宋体" w:hAnsi="宋体" w:eastAsia="宋体" w:cs="宋体"/>
          <w:sz w:val="24"/>
          <w:szCs w:val="24"/>
        </w:rPr>
      </w:pPr>
      <w:r>
        <w:rPr>
          <w:rFonts w:ascii="宋体" w:hAnsi="宋体" w:eastAsia="宋体" w:cs="宋体"/>
          <w:spacing w:val="-2"/>
          <w:sz w:val="24"/>
          <w:szCs w:val="24"/>
        </w:rPr>
        <w:t>16.1.3 实际采购价格法</w:t>
      </w:r>
    </w:p>
    <w:p w14:paraId="208FCA6D">
      <w:pPr>
        <w:spacing w:before="184" w:line="360" w:lineRule="auto"/>
        <w:ind w:left="57" w:firstLine="480"/>
        <w:rPr>
          <w:rFonts w:ascii="宋体" w:hAnsi="宋体" w:eastAsia="宋体" w:cs="宋体"/>
          <w:sz w:val="24"/>
          <w:szCs w:val="24"/>
        </w:rPr>
      </w:pPr>
      <w:r>
        <w:rPr>
          <w:rFonts w:ascii="宋体" w:hAnsi="宋体" w:eastAsia="宋体" w:cs="宋体"/>
          <w:spacing w:val="-9"/>
          <w:sz w:val="24"/>
          <w:szCs w:val="24"/>
        </w:rPr>
        <w:t>ΔC=(ΔP-Po×r</w:t>
      </w:r>
      <w:r>
        <w:rPr>
          <w:rFonts w:hint="eastAsia" w:ascii="宋体" w:hAnsi="宋体" w:cs="宋体"/>
          <w:spacing w:val="-9"/>
          <w:sz w:val="24"/>
          <w:szCs w:val="24"/>
          <w:lang w:eastAsia="zh-CN"/>
        </w:rPr>
        <w:t>)</w:t>
      </w:r>
      <w:r>
        <w:rPr>
          <w:rFonts w:ascii="宋体" w:hAnsi="宋体" w:eastAsia="宋体" w:cs="宋体"/>
          <w:spacing w:val="-83"/>
          <w:sz w:val="24"/>
          <w:szCs w:val="24"/>
        </w:rPr>
        <w:t xml:space="preserve"> </w:t>
      </w:r>
      <w:r>
        <w:rPr>
          <w:rFonts w:ascii="宋体" w:hAnsi="宋体" w:eastAsia="宋体" w:cs="宋体"/>
          <w:spacing w:val="-9"/>
          <w:sz w:val="24"/>
          <w:szCs w:val="24"/>
        </w:rPr>
        <w:t>×Q×（1+D</w:t>
      </w:r>
      <w:r>
        <w:rPr>
          <w:rFonts w:ascii="宋体" w:hAnsi="宋体" w:eastAsia="宋体" w:cs="宋体"/>
          <w:spacing w:val="-3"/>
          <w:sz w:val="24"/>
          <w:szCs w:val="24"/>
        </w:rPr>
        <w:t>），</w:t>
      </w:r>
      <w:r>
        <w:rPr>
          <w:rFonts w:ascii="宋体" w:hAnsi="宋体" w:eastAsia="宋体" w:cs="宋体"/>
          <w:spacing w:val="-9"/>
          <w:sz w:val="24"/>
          <w:szCs w:val="24"/>
        </w:rPr>
        <w:t>其中 |</w:t>
      </w:r>
      <w:r>
        <w:rPr>
          <w:rFonts w:ascii="宋体" w:hAnsi="宋体" w:eastAsia="宋体" w:cs="宋体"/>
          <w:spacing w:val="52"/>
          <w:sz w:val="24"/>
          <w:szCs w:val="24"/>
        </w:rPr>
        <w:t xml:space="preserve"> </w:t>
      </w:r>
      <w:r>
        <w:rPr>
          <w:rFonts w:ascii="宋体" w:hAnsi="宋体" w:eastAsia="宋体" w:cs="宋体"/>
          <w:spacing w:val="-10"/>
          <w:sz w:val="24"/>
          <w:szCs w:val="24"/>
        </w:rPr>
        <w:t>ΔP</w:t>
      </w:r>
      <w:r>
        <w:rPr>
          <w:rFonts w:ascii="宋体" w:hAnsi="宋体" w:eastAsia="宋体" w:cs="宋体"/>
          <w:spacing w:val="-3"/>
          <w:sz w:val="24"/>
          <w:szCs w:val="24"/>
        </w:rPr>
        <w:t>｜＞｜</w:t>
      </w:r>
      <w:r>
        <w:rPr>
          <w:rFonts w:ascii="宋体" w:hAnsi="宋体" w:eastAsia="宋体" w:cs="宋体"/>
          <w:spacing w:val="-10"/>
          <w:sz w:val="24"/>
          <w:szCs w:val="24"/>
        </w:rPr>
        <w:t>Po×r |</w:t>
      </w:r>
      <w:r>
        <w:rPr>
          <w:rFonts w:ascii="宋体" w:hAnsi="宋体" w:eastAsia="宋体" w:cs="宋体"/>
          <w:spacing w:val="25"/>
          <w:sz w:val="24"/>
          <w:szCs w:val="24"/>
        </w:rPr>
        <w:t xml:space="preserve">  </w:t>
      </w:r>
      <w:r>
        <w:rPr>
          <w:rFonts w:ascii="宋体" w:hAnsi="宋体" w:eastAsia="宋体" w:cs="宋体"/>
          <w:spacing w:val="-10"/>
          <w:sz w:val="24"/>
          <w:szCs w:val="24"/>
        </w:rPr>
        <w:t>ΔP＝Pa－Po，式中：</w:t>
      </w:r>
      <w:r>
        <w:rPr>
          <w:rFonts w:ascii="宋体" w:hAnsi="宋体" w:eastAsia="宋体" w:cs="宋体"/>
          <w:spacing w:val="1"/>
          <w:sz w:val="24"/>
          <w:szCs w:val="24"/>
        </w:rPr>
        <w:t xml:space="preserve"> </w:t>
      </w:r>
      <w:r>
        <w:rPr>
          <w:rFonts w:ascii="宋体" w:hAnsi="宋体" w:eastAsia="宋体" w:cs="宋体"/>
          <w:spacing w:val="-7"/>
          <w:sz w:val="24"/>
          <w:szCs w:val="24"/>
        </w:rPr>
        <w:t>ΔC、ΔP、Q、r、D</w:t>
      </w:r>
      <w:r>
        <w:rPr>
          <w:rFonts w:ascii="宋体" w:hAnsi="宋体" w:eastAsia="宋体" w:cs="宋体"/>
          <w:spacing w:val="-28"/>
          <w:sz w:val="24"/>
          <w:szCs w:val="24"/>
        </w:rPr>
        <w:t xml:space="preserve"> </w:t>
      </w:r>
      <w:r>
        <w:rPr>
          <w:rFonts w:ascii="宋体" w:hAnsi="宋体" w:eastAsia="宋体" w:cs="宋体"/>
          <w:spacing w:val="-7"/>
          <w:sz w:val="24"/>
          <w:szCs w:val="24"/>
        </w:rPr>
        <w:t>同</w:t>
      </w:r>
      <w:r>
        <w:rPr>
          <w:rFonts w:ascii="宋体" w:hAnsi="宋体" w:eastAsia="宋体" w:cs="宋体"/>
          <w:spacing w:val="-33"/>
          <w:sz w:val="24"/>
          <w:szCs w:val="24"/>
        </w:rPr>
        <w:t xml:space="preserve"> </w:t>
      </w:r>
      <w:r>
        <w:rPr>
          <w:rFonts w:ascii="宋体" w:hAnsi="宋体" w:eastAsia="宋体" w:cs="宋体"/>
          <w:spacing w:val="-7"/>
          <w:sz w:val="24"/>
          <w:szCs w:val="24"/>
        </w:rPr>
        <w:t>16.1.2</w:t>
      </w:r>
      <w:r>
        <w:rPr>
          <w:rFonts w:ascii="宋体" w:hAnsi="宋体" w:eastAsia="宋体" w:cs="宋体"/>
          <w:spacing w:val="-50"/>
          <w:sz w:val="24"/>
          <w:szCs w:val="24"/>
        </w:rPr>
        <w:t xml:space="preserve"> </w:t>
      </w:r>
      <w:r>
        <w:rPr>
          <w:rFonts w:ascii="宋体" w:hAnsi="宋体" w:eastAsia="宋体" w:cs="宋体"/>
          <w:spacing w:val="-7"/>
          <w:sz w:val="24"/>
          <w:szCs w:val="24"/>
        </w:rPr>
        <w:t>款。</w:t>
      </w:r>
    </w:p>
    <w:p w14:paraId="7DAD10BF">
      <w:pPr>
        <w:spacing w:before="2" w:line="359" w:lineRule="auto"/>
        <w:ind w:left="20" w:right="51" w:firstLine="464"/>
        <w:rPr>
          <w:rFonts w:ascii="宋体" w:hAnsi="宋体" w:eastAsia="宋体" w:cs="宋体"/>
          <w:sz w:val="24"/>
          <w:szCs w:val="24"/>
        </w:rPr>
      </w:pPr>
      <w:r>
        <w:rPr>
          <w:rFonts w:ascii="宋体" w:hAnsi="宋体" w:eastAsia="宋体" w:cs="宋体"/>
          <w:spacing w:val="-1"/>
          <w:sz w:val="24"/>
          <w:szCs w:val="24"/>
        </w:rPr>
        <w:t>Po—基准价（不含税</w:t>
      </w:r>
      <w:r>
        <w:rPr>
          <w:rFonts w:ascii="宋体" w:hAnsi="宋体" w:eastAsia="宋体" w:cs="宋体"/>
          <w:spacing w:val="-3"/>
          <w:sz w:val="24"/>
          <w:szCs w:val="24"/>
        </w:rPr>
        <w:t>），</w:t>
      </w:r>
      <w:r>
        <w:rPr>
          <w:rFonts w:ascii="宋体" w:hAnsi="宋体" w:eastAsia="宋体" w:cs="宋体"/>
          <w:spacing w:val="-1"/>
          <w:sz w:val="24"/>
          <w:szCs w:val="24"/>
        </w:rPr>
        <w:t>指项目招标时，建设单</w:t>
      </w:r>
      <w:r>
        <w:rPr>
          <w:rFonts w:ascii="宋体" w:hAnsi="宋体" w:eastAsia="宋体" w:cs="宋体"/>
          <w:spacing w:val="-2"/>
          <w:sz w:val="24"/>
          <w:szCs w:val="24"/>
        </w:rPr>
        <w:t>位（项目法人）确定最高投标限价</w:t>
      </w:r>
      <w:r>
        <w:rPr>
          <w:rFonts w:ascii="宋体" w:hAnsi="宋体" w:eastAsia="宋体" w:cs="宋体"/>
          <w:spacing w:val="-1"/>
          <w:sz w:val="24"/>
          <w:szCs w:val="24"/>
        </w:rPr>
        <w:t>时采用的材料单价。建设单位（项目法人）应在</w:t>
      </w:r>
      <w:r>
        <w:rPr>
          <w:rFonts w:ascii="宋体" w:hAnsi="宋体" w:eastAsia="宋体" w:cs="宋体"/>
          <w:spacing w:val="-2"/>
          <w:sz w:val="24"/>
          <w:szCs w:val="24"/>
        </w:rPr>
        <w:t>招标文件中明确基准价（Po）的价格。</w:t>
      </w:r>
    </w:p>
    <w:p w14:paraId="33B3E97A">
      <w:pPr>
        <w:spacing w:before="1" w:line="356" w:lineRule="auto"/>
        <w:ind w:left="11" w:right="63" w:firstLine="474"/>
        <w:rPr>
          <w:rFonts w:ascii="宋体" w:hAnsi="宋体" w:eastAsia="宋体" w:cs="宋体"/>
          <w:sz w:val="24"/>
          <w:szCs w:val="24"/>
        </w:rPr>
      </w:pPr>
      <w:r>
        <w:rPr>
          <w:rFonts w:ascii="宋体" w:hAnsi="宋体" w:eastAsia="宋体" w:cs="宋体"/>
          <w:spacing w:val="-6"/>
          <w:sz w:val="24"/>
          <w:szCs w:val="24"/>
        </w:rPr>
        <w:t>Pa—采购价</w:t>
      </w:r>
      <w:r>
        <w:rPr>
          <w:rFonts w:hint="eastAsia" w:ascii="宋体" w:hAnsi="宋体" w:cs="宋体"/>
          <w:spacing w:val="-6"/>
          <w:sz w:val="24"/>
          <w:szCs w:val="24"/>
          <w:lang w:eastAsia="zh-CN"/>
        </w:rPr>
        <w:t>（</w:t>
      </w:r>
      <w:r>
        <w:rPr>
          <w:rFonts w:ascii="宋体" w:hAnsi="宋体" w:eastAsia="宋体" w:cs="宋体"/>
          <w:spacing w:val="-6"/>
          <w:sz w:val="24"/>
          <w:szCs w:val="24"/>
        </w:rPr>
        <w:t>不含税</w:t>
      </w:r>
      <w:r>
        <w:rPr>
          <w:rFonts w:hint="eastAsia" w:ascii="宋体" w:hAnsi="宋体" w:cs="宋体"/>
          <w:spacing w:val="-6"/>
          <w:sz w:val="24"/>
          <w:szCs w:val="24"/>
          <w:lang w:eastAsia="zh-CN"/>
        </w:rPr>
        <w:t>）</w:t>
      </w:r>
      <w:r>
        <w:rPr>
          <w:rFonts w:ascii="宋体" w:hAnsi="宋体" w:eastAsia="宋体" w:cs="宋体"/>
          <w:spacing w:val="-6"/>
          <w:sz w:val="24"/>
          <w:szCs w:val="24"/>
        </w:rPr>
        <w:t>，经建设单位（项目法人）、监理核实的，</w:t>
      </w:r>
      <w:r>
        <w:rPr>
          <w:rFonts w:ascii="宋体" w:hAnsi="宋体" w:eastAsia="宋体" w:cs="宋体"/>
          <w:spacing w:val="54"/>
          <w:sz w:val="24"/>
          <w:szCs w:val="24"/>
        </w:rPr>
        <w:t xml:space="preserve"> </w:t>
      </w:r>
      <w:r>
        <w:rPr>
          <w:rFonts w:ascii="宋体" w:hAnsi="宋体" w:eastAsia="宋体" w:cs="宋体"/>
          <w:spacing w:val="-6"/>
          <w:sz w:val="24"/>
          <w:szCs w:val="24"/>
        </w:rPr>
        <w:t>有相应的合法支撑</w:t>
      </w:r>
      <w:r>
        <w:rPr>
          <w:rFonts w:ascii="宋体" w:hAnsi="宋体" w:eastAsia="宋体" w:cs="宋体"/>
          <w:spacing w:val="1"/>
          <w:sz w:val="24"/>
          <w:szCs w:val="24"/>
        </w:rPr>
        <w:t>依据的实际采购材料价格</w:t>
      </w:r>
      <w:r>
        <w:rPr>
          <w:rFonts w:ascii="宋体" w:hAnsi="宋体" w:eastAsia="宋体" w:cs="宋体"/>
          <w:spacing w:val="-16"/>
          <w:position w:val="12"/>
          <w:sz w:val="12"/>
          <w:szCs w:val="12"/>
        </w:rPr>
        <w:t xml:space="preserve"> </w:t>
      </w:r>
      <w:r>
        <w:rPr>
          <w:rFonts w:hint="eastAsia" w:ascii="宋体" w:hAnsi="宋体" w:cs="宋体"/>
          <w:spacing w:val="-16"/>
          <w:position w:val="12"/>
          <w:sz w:val="12"/>
          <w:szCs w:val="12"/>
          <w:lang w:eastAsia="zh-CN"/>
        </w:rPr>
        <w:t>，</w:t>
      </w:r>
      <w:r>
        <w:rPr>
          <w:rFonts w:ascii="宋体" w:hAnsi="宋体" w:eastAsia="宋体" w:cs="宋体"/>
          <w:spacing w:val="1"/>
          <w:sz w:val="24"/>
          <w:szCs w:val="24"/>
        </w:rPr>
        <w:t>分批采购时按权重取平均值计算。</w:t>
      </w:r>
    </w:p>
    <w:p w14:paraId="11B3B054">
      <w:pPr>
        <w:spacing w:before="10" w:line="218" w:lineRule="auto"/>
        <w:ind w:left="488"/>
        <w:rPr>
          <w:rFonts w:ascii="宋体" w:hAnsi="宋体" w:eastAsia="宋体" w:cs="宋体"/>
          <w:sz w:val="24"/>
          <w:szCs w:val="24"/>
        </w:rPr>
      </w:pPr>
      <w:r>
        <w:rPr>
          <w:rFonts w:ascii="宋体" w:hAnsi="宋体" w:eastAsia="宋体" w:cs="宋体"/>
          <w:spacing w:val="-3"/>
          <w:sz w:val="24"/>
          <w:szCs w:val="24"/>
        </w:rPr>
        <w:t>采用实际采购价格法调整材料价差的其他约定，同</w:t>
      </w:r>
      <w:r>
        <w:rPr>
          <w:rFonts w:ascii="宋体" w:hAnsi="宋体" w:eastAsia="宋体" w:cs="宋体"/>
          <w:spacing w:val="-21"/>
          <w:sz w:val="24"/>
          <w:szCs w:val="24"/>
        </w:rPr>
        <w:t xml:space="preserve"> </w:t>
      </w:r>
      <w:r>
        <w:rPr>
          <w:rFonts w:ascii="宋体" w:hAnsi="宋体" w:eastAsia="宋体" w:cs="宋体"/>
          <w:spacing w:val="-3"/>
          <w:sz w:val="24"/>
          <w:szCs w:val="24"/>
        </w:rPr>
        <w:t>16.1.2.2 目。</w:t>
      </w:r>
    </w:p>
    <w:p w14:paraId="67413522">
      <w:pPr>
        <w:spacing w:before="184" w:line="220" w:lineRule="auto"/>
        <w:ind w:left="507"/>
        <w:rPr>
          <w:rFonts w:ascii="宋体" w:hAnsi="宋体" w:eastAsia="宋体" w:cs="宋体"/>
          <w:sz w:val="24"/>
          <w:szCs w:val="24"/>
        </w:rPr>
      </w:pPr>
      <w:r>
        <w:rPr>
          <w:rFonts w:ascii="宋体" w:hAnsi="宋体" w:eastAsia="宋体" w:cs="宋体"/>
          <w:spacing w:val="-3"/>
          <w:sz w:val="24"/>
          <w:szCs w:val="24"/>
        </w:rPr>
        <w:t>16.1.4</w:t>
      </w:r>
      <w:r>
        <w:rPr>
          <w:rFonts w:ascii="宋体" w:hAnsi="宋体" w:eastAsia="宋体" w:cs="宋体"/>
          <w:spacing w:val="-43"/>
          <w:sz w:val="24"/>
          <w:szCs w:val="24"/>
        </w:rPr>
        <w:t xml:space="preserve"> </w:t>
      </w:r>
      <w:r>
        <w:rPr>
          <w:rFonts w:ascii="宋体" w:hAnsi="宋体" w:eastAsia="宋体" w:cs="宋体"/>
          <w:spacing w:val="-3"/>
          <w:sz w:val="24"/>
          <w:szCs w:val="24"/>
        </w:rPr>
        <w:t>砂石料运输费用调整</w:t>
      </w:r>
    </w:p>
    <w:p w14:paraId="53879D16">
      <w:pPr>
        <w:spacing w:before="182" w:line="360" w:lineRule="auto"/>
        <w:ind w:left="8" w:firstLine="481"/>
        <w:rPr>
          <w:rFonts w:ascii="宋体" w:hAnsi="宋体" w:eastAsia="宋体" w:cs="宋体"/>
          <w:sz w:val="24"/>
          <w:szCs w:val="24"/>
        </w:rPr>
      </w:pPr>
      <w:r>
        <w:rPr>
          <w:rFonts w:ascii="宋体" w:hAnsi="宋体" w:eastAsia="宋体" w:cs="宋体"/>
          <w:spacing w:val="-2"/>
          <w:sz w:val="24"/>
          <w:szCs w:val="24"/>
        </w:rPr>
        <w:t>合同工程量清单中的沥青混凝土路面上面层用的砂石料（砂石料指</w:t>
      </w:r>
      <w:r>
        <w:rPr>
          <w:rFonts w:ascii="宋体" w:hAnsi="宋体" w:eastAsia="宋体" w:cs="宋体"/>
          <w:spacing w:val="-3"/>
          <w:sz w:val="24"/>
          <w:szCs w:val="24"/>
        </w:rPr>
        <w:t>碎石及同母材的</w:t>
      </w:r>
      <w:r>
        <w:rPr>
          <w:rFonts w:ascii="宋体" w:hAnsi="宋体" w:eastAsia="宋体" w:cs="宋体"/>
          <w:spacing w:val="1"/>
          <w:sz w:val="24"/>
          <w:szCs w:val="24"/>
        </w:rPr>
        <w:t>机制砂）材料单价包含了</w:t>
      </w:r>
      <w:r>
        <w:rPr>
          <w:rFonts w:ascii="宋体" w:hAnsi="宋体" w:eastAsia="宋体" w:cs="宋体"/>
          <w:spacing w:val="-115"/>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1"/>
          <w:sz w:val="24"/>
          <w:szCs w:val="24"/>
        </w:rPr>
        <w:t xml:space="preserve">公里运输费用（其中：水路运输 Y 公里，公路运输 </w:t>
      </w:r>
      <w:r>
        <w:rPr>
          <w:rFonts w:ascii="宋体" w:hAnsi="宋体" w:eastAsia="宋体" w:cs="宋体"/>
          <w:sz w:val="24"/>
          <w:szCs w:val="24"/>
        </w:rPr>
        <w:t>Z 公</w:t>
      </w:r>
      <w:r>
        <w:rPr>
          <w:rFonts w:ascii="宋体" w:hAnsi="宋体" w:eastAsia="宋体" w:cs="宋体"/>
          <w:spacing w:val="-4"/>
          <w:sz w:val="24"/>
          <w:szCs w:val="24"/>
        </w:rPr>
        <w:t>里</w:t>
      </w:r>
      <w:r>
        <w:rPr>
          <w:rFonts w:ascii="宋体" w:hAnsi="宋体" w:eastAsia="宋体" w:cs="宋体"/>
          <w:spacing w:val="-43"/>
          <w:sz w:val="24"/>
          <w:szCs w:val="24"/>
        </w:rPr>
        <w:t>），</w:t>
      </w:r>
      <w:r>
        <w:rPr>
          <w:rFonts w:ascii="宋体" w:hAnsi="宋体" w:eastAsia="宋体" w:cs="宋体"/>
          <w:spacing w:val="-4"/>
          <w:sz w:val="24"/>
          <w:szCs w:val="24"/>
        </w:rPr>
        <w:t>如实际运输方式和运输距离与清单预算不一致时，运输费用按如下原则进行调整：</w:t>
      </w:r>
    </w:p>
    <w:p w14:paraId="22E62005">
      <w:pPr>
        <w:spacing w:before="3" w:line="359" w:lineRule="auto"/>
        <w:ind w:left="11" w:right="77" w:firstLine="495"/>
        <w:rPr>
          <w:rFonts w:ascii="宋体" w:hAnsi="宋体" w:eastAsia="宋体" w:cs="宋体"/>
          <w:sz w:val="24"/>
          <w:szCs w:val="24"/>
        </w:rPr>
      </w:pPr>
      <w:r>
        <w:rPr>
          <w:rFonts w:ascii="宋体" w:hAnsi="宋体" w:eastAsia="宋体" w:cs="宋体"/>
          <w:spacing w:val="1"/>
          <w:sz w:val="24"/>
          <w:szCs w:val="24"/>
        </w:rPr>
        <w:t>1、本项目实际运距指单个沥青拌和场至单个石场的运输距离，运输距</w:t>
      </w:r>
      <w:r>
        <w:rPr>
          <w:rFonts w:ascii="宋体" w:hAnsi="宋体" w:eastAsia="宋体" w:cs="宋体"/>
          <w:sz w:val="24"/>
          <w:szCs w:val="24"/>
        </w:rPr>
        <w:t>离及砂石料</w:t>
      </w:r>
      <w:r>
        <w:rPr>
          <w:rFonts w:ascii="宋体" w:hAnsi="宋体" w:eastAsia="宋体" w:cs="宋体"/>
          <w:spacing w:val="-4"/>
          <w:sz w:val="24"/>
          <w:szCs w:val="24"/>
        </w:rPr>
        <w:t>用量以承包人、监理人、发包人三方确定为准；</w:t>
      </w:r>
    </w:p>
    <w:p w14:paraId="0163616B">
      <w:pPr>
        <w:spacing w:before="3" w:line="376" w:lineRule="auto"/>
        <w:ind w:left="8" w:right="60" w:firstLine="483"/>
        <w:rPr>
          <w:rFonts w:ascii="宋体" w:hAnsi="宋体" w:eastAsia="宋体" w:cs="宋体"/>
          <w:sz w:val="24"/>
          <w:szCs w:val="24"/>
        </w:rPr>
      </w:pPr>
      <w:r>
        <w:rPr>
          <w:rFonts w:ascii="宋体" w:hAnsi="宋体" w:eastAsia="宋体" w:cs="宋体"/>
          <w:spacing w:val="-5"/>
          <w:sz w:val="24"/>
          <w:szCs w:val="24"/>
        </w:rPr>
        <w:t>2、从不同石场采购的砂石料按各自的实际运距计算调整费用， 公路运输单价</w:t>
      </w:r>
      <w:r>
        <w:rPr>
          <w:rFonts w:ascii="宋体" w:hAnsi="宋体" w:eastAsia="宋体" w:cs="宋体"/>
          <w:spacing w:val="-5"/>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5"/>
          <w:sz w:val="24"/>
          <w:szCs w:val="24"/>
        </w:rPr>
        <w:t>元</w:t>
      </w:r>
      <w:r>
        <w:rPr>
          <w:rFonts w:ascii="宋体" w:hAnsi="宋体" w:eastAsia="宋体" w:cs="宋体"/>
          <w:spacing w:val="-3"/>
          <w:sz w:val="24"/>
          <w:szCs w:val="24"/>
        </w:rPr>
        <w:t>/m</w:t>
      </w:r>
      <w:r>
        <w:rPr>
          <w:rFonts w:ascii="宋体" w:hAnsi="宋体" w:eastAsia="宋体" w:cs="宋体"/>
          <w:spacing w:val="-3"/>
          <w:position w:val="14"/>
          <w:sz w:val="15"/>
          <w:szCs w:val="15"/>
        </w:rPr>
        <w:t>3</w:t>
      </w:r>
      <w:r>
        <w:rPr>
          <w:rFonts w:ascii="宋体" w:hAnsi="宋体" w:eastAsia="宋体" w:cs="宋体"/>
          <w:spacing w:val="16"/>
          <w:position w:val="14"/>
          <w:sz w:val="15"/>
          <w:szCs w:val="15"/>
        </w:rPr>
        <w:t xml:space="preserve"> </w:t>
      </w:r>
      <w:r>
        <w:rPr>
          <w:rFonts w:ascii="宋体" w:hAnsi="宋体" w:eastAsia="宋体" w:cs="宋体"/>
          <w:spacing w:val="-12"/>
          <w:sz w:val="24"/>
          <w:szCs w:val="24"/>
        </w:rPr>
        <w:t>·km，水运单价</w:t>
      </w:r>
      <w:r>
        <w:rPr>
          <w:rFonts w:ascii="宋体" w:hAnsi="宋体" w:eastAsia="宋体" w:cs="宋体"/>
          <w:spacing w:val="-119"/>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12"/>
          <w:sz w:val="24"/>
          <w:szCs w:val="24"/>
        </w:rPr>
        <w:t>元/m</w:t>
      </w:r>
      <w:r>
        <w:rPr>
          <w:rFonts w:ascii="宋体" w:hAnsi="宋体" w:eastAsia="宋体" w:cs="宋体"/>
          <w:spacing w:val="6"/>
          <w:position w:val="14"/>
          <w:sz w:val="15"/>
          <w:szCs w:val="15"/>
        </w:rPr>
        <w:t>3</w:t>
      </w:r>
      <w:r>
        <w:rPr>
          <w:rFonts w:ascii="宋体" w:hAnsi="宋体" w:eastAsia="宋体" w:cs="宋体"/>
          <w:spacing w:val="16"/>
          <w:position w:val="14"/>
          <w:sz w:val="15"/>
          <w:szCs w:val="15"/>
        </w:rPr>
        <w:t xml:space="preserve"> </w:t>
      </w:r>
      <w:r>
        <w:rPr>
          <w:rFonts w:ascii="宋体" w:hAnsi="宋体" w:eastAsia="宋体" w:cs="宋体"/>
          <w:spacing w:val="-34"/>
          <w:sz w:val="24"/>
          <w:szCs w:val="24"/>
        </w:rPr>
        <w:t>·km</w:t>
      </w:r>
      <w:r>
        <w:rPr>
          <w:rFonts w:ascii="宋体" w:hAnsi="宋体" w:eastAsia="宋体" w:cs="宋体"/>
          <w:spacing w:val="-30"/>
          <w:position w:val="11"/>
          <w:sz w:val="12"/>
          <w:szCs w:val="12"/>
        </w:rPr>
        <w:t xml:space="preserve"> </w:t>
      </w:r>
      <w:r>
        <w:rPr>
          <w:rFonts w:ascii="宋体" w:hAnsi="宋体" w:eastAsia="宋体" w:cs="宋体"/>
          <w:spacing w:val="-5"/>
          <w:sz w:val="24"/>
          <w:szCs w:val="24"/>
        </w:rPr>
        <w:t>,</w:t>
      </w:r>
      <w:r>
        <w:rPr>
          <w:rFonts w:ascii="宋体" w:hAnsi="宋体" w:eastAsia="宋体" w:cs="宋体"/>
          <w:spacing w:val="54"/>
          <w:sz w:val="24"/>
          <w:szCs w:val="24"/>
        </w:rPr>
        <w:t xml:space="preserve"> </w:t>
      </w:r>
      <w:r>
        <w:rPr>
          <w:rFonts w:ascii="宋体" w:hAnsi="宋体" w:eastAsia="宋体" w:cs="宋体"/>
          <w:spacing w:val="-5"/>
          <w:sz w:val="24"/>
          <w:szCs w:val="24"/>
        </w:rPr>
        <w:t>调整运输费用=</w:t>
      </w:r>
      <w:r>
        <w:rPr>
          <w:rFonts w:ascii="宋体" w:hAnsi="宋体" w:eastAsia="宋体" w:cs="宋体"/>
          <w:spacing w:val="-19"/>
          <w:sz w:val="24"/>
          <w:szCs w:val="24"/>
        </w:rPr>
        <w:t>（（</w:t>
      </w:r>
      <w:r>
        <w:rPr>
          <w:rFonts w:ascii="宋体" w:hAnsi="宋体" w:eastAsia="宋体" w:cs="宋体"/>
          <w:spacing w:val="-5"/>
          <w:sz w:val="24"/>
          <w:szCs w:val="24"/>
        </w:rPr>
        <w:t>水路运输实际运距-Y-A）</w:t>
      </w:r>
      <w:r>
        <w:rPr>
          <w:rFonts w:ascii="宋体" w:hAnsi="宋体" w:eastAsia="宋体" w:cs="宋体"/>
          <w:spacing w:val="-87"/>
          <w:sz w:val="24"/>
          <w:szCs w:val="24"/>
        </w:rPr>
        <w:t xml:space="preserve"> </w:t>
      </w:r>
      <w:r>
        <w:rPr>
          <w:rFonts w:ascii="宋体" w:hAnsi="宋体" w:eastAsia="宋体" w:cs="宋体"/>
          <w:spacing w:val="-5"/>
          <w:sz w:val="24"/>
          <w:szCs w:val="24"/>
        </w:rPr>
        <w:t>×水运</w:t>
      </w:r>
      <w:r>
        <w:rPr>
          <w:rFonts w:ascii="宋体" w:hAnsi="宋体" w:eastAsia="宋体" w:cs="宋体"/>
          <w:sz w:val="24"/>
          <w:szCs w:val="24"/>
        </w:rPr>
        <w:t>单价+（公路运输实际运距-Z-B）×公路运输单价）</w:t>
      </w:r>
      <w:r>
        <w:rPr>
          <w:rFonts w:ascii="宋体" w:hAnsi="宋体" w:eastAsia="宋体" w:cs="宋体"/>
          <w:spacing w:val="-61"/>
          <w:sz w:val="24"/>
          <w:szCs w:val="24"/>
        </w:rPr>
        <w:t xml:space="preserve"> </w:t>
      </w:r>
      <w:r>
        <w:rPr>
          <w:rFonts w:ascii="宋体" w:hAnsi="宋体" w:eastAsia="宋体" w:cs="宋体"/>
          <w:sz w:val="24"/>
          <w:szCs w:val="24"/>
        </w:rPr>
        <w:t>×砂石料运输数量，正数为发包人</w:t>
      </w:r>
      <w:r>
        <w:rPr>
          <w:rFonts w:ascii="宋体" w:hAnsi="宋体" w:eastAsia="宋体" w:cs="宋体"/>
          <w:spacing w:val="-1"/>
          <w:sz w:val="24"/>
          <w:szCs w:val="24"/>
        </w:rPr>
        <w:t>向承包人支付调差（承包人应向发包人提供等额的完税发票</w:t>
      </w:r>
      <w:r>
        <w:rPr>
          <w:rFonts w:ascii="宋体" w:hAnsi="宋体" w:eastAsia="宋体" w:cs="宋体"/>
          <w:spacing w:val="-11"/>
          <w:sz w:val="24"/>
          <w:szCs w:val="24"/>
        </w:rPr>
        <w:t>），</w:t>
      </w:r>
      <w:r>
        <w:rPr>
          <w:rFonts w:ascii="宋体" w:hAnsi="宋体" w:eastAsia="宋体" w:cs="宋体"/>
          <w:spacing w:val="-1"/>
          <w:sz w:val="24"/>
          <w:szCs w:val="24"/>
        </w:rPr>
        <w:t>负数为发包人向承包人</w:t>
      </w:r>
      <w:r>
        <w:rPr>
          <w:rFonts w:ascii="宋体" w:hAnsi="宋体" w:eastAsia="宋体" w:cs="宋体"/>
          <w:spacing w:val="-4"/>
          <w:sz w:val="24"/>
          <w:szCs w:val="24"/>
        </w:rPr>
        <w:t>扣回调差（从应付工程款中扣除）。其中：</w:t>
      </w:r>
    </w:p>
    <w:p w14:paraId="281762E6">
      <w:pPr>
        <w:spacing w:before="2" w:line="359" w:lineRule="auto"/>
        <w:ind w:left="11" w:right="85" w:firstLine="520"/>
        <w:rPr>
          <w:rFonts w:ascii="宋体" w:hAnsi="宋体" w:eastAsia="宋体" w:cs="宋体"/>
          <w:sz w:val="24"/>
          <w:szCs w:val="24"/>
        </w:rPr>
      </w:pPr>
      <w:r>
        <w:rPr>
          <w:rFonts w:ascii="宋体" w:hAnsi="宋体" w:eastAsia="宋体" w:cs="宋体"/>
          <w:sz w:val="24"/>
          <w:szCs w:val="24"/>
        </w:rPr>
        <w:t>(1)当水路运输实际运距在（Y-</w:t>
      </w:r>
      <w:r>
        <w:rPr>
          <w:rFonts w:ascii="宋体" w:hAnsi="宋体" w:eastAsia="宋体" w:cs="宋体"/>
          <w:sz w:val="24"/>
          <w:szCs w:val="24"/>
          <w:u w:val="single" w:color="auto"/>
        </w:rPr>
        <w:t>k</w:t>
      </w:r>
      <w:r>
        <w:rPr>
          <w:rFonts w:ascii="宋体" w:hAnsi="宋体" w:eastAsia="宋体" w:cs="宋体"/>
          <w:spacing w:val="-1"/>
          <w:sz w:val="24"/>
          <w:szCs w:val="24"/>
        </w:rPr>
        <w:t>）～（</w:t>
      </w:r>
      <w:r>
        <w:rPr>
          <w:rFonts w:ascii="宋体" w:hAnsi="宋体" w:eastAsia="宋体" w:cs="宋体"/>
          <w:sz w:val="24"/>
          <w:szCs w:val="24"/>
        </w:rPr>
        <w:t>Y+</w:t>
      </w:r>
      <w:r>
        <w:rPr>
          <w:rFonts w:ascii="宋体" w:hAnsi="宋体" w:eastAsia="宋体" w:cs="宋体"/>
          <w:sz w:val="24"/>
          <w:szCs w:val="24"/>
          <w:u w:val="single" w:color="auto"/>
        </w:rPr>
        <w:t>k</w:t>
      </w:r>
      <w:r>
        <w:rPr>
          <w:rFonts w:ascii="宋体" w:hAnsi="宋体" w:eastAsia="宋体" w:cs="宋体"/>
          <w:sz w:val="24"/>
          <w:szCs w:val="24"/>
        </w:rPr>
        <w:t>）公里之间（含界值）时，水路运输费用不作调整；小于（Y-</w:t>
      </w:r>
      <w:r>
        <w:rPr>
          <w:rFonts w:ascii="宋体" w:hAnsi="宋体" w:eastAsia="宋体" w:cs="宋体"/>
          <w:sz w:val="24"/>
          <w:szCs w:val="24"/>
          <w:u w:val="single" w:color="auto"/>
        </w:rPr>
        <w:t>k</w:t>
      </w:r>
      <w:r>
        <w:rPr>
          <w:rFonts w:ascii="宋体" w:hAnsi="宋体" w:eastAsia="宋体" w:cs="宋体"/>
          <w:sz w:val="24"/>
          <w:szCs w:val="24"/>
        </w:rPr>
        <w:t>）公里时，A=-</w:t>
      </w:r>
      <w:r>
        <w:rPr>
          <w:rFonts w:ascii="宋体" w:hAnsi="宋体" w:eastAsia="宋体" w:cs="宋体"/>
          <w:sz w:val="24"/>
          <w:szCs w:val="24"/>
          <w:u w:val="single" w:color="auto"/>
        </w:rPr>
        <w:t>k</w:t>
      </w:r>
      <w:r>
        <w:rPr>
          <w:rFonts w:ascii="宋体" w:hAnsi="宋体" w:eastAsia="宋体" w:cs="宋体"/>
          <w:sz w:val="24"/>
          <w:szCs w:val="24"/>
        </w:rPr>
        <w:t>；大于</w:t>
      </w:r>
      <w:r>
        <w:rPr>
          <w:rFonts w:ascii="宋体" w:hAnsi="宋体" w:eastAsia="宋体" w:cs="宋体"/>
          <w:spacing w:val="-1"/>
          <w:sz w:val="24"/>
          <w:szCs w:val="24"/>
        </w:rPr>
        <w:t>（Y+</w:t>
      </w:r>
      <w:r>
        <w:rPr>
          <w:rFonts w:ascii="宋体" w:hAnsi="宋体" w:eastAsia="宋体" w:cs="宋体"/>
          <w:spacing w:val="-1"/>
          <w:sz w:val="24"/>
          <w:szCs w:val="24"/>
          <w:u w:val="single" w:color="auto"/>
        </w:rPr>
        <w:t>k</w:t>
      </w:r>
      <w:r>
        <w:rPr>
          <w:rFonts w:ascii="宋体" w:hAnsi="宋体" w:eastAsia="宋体" w:cs="宋体"/>
          <w:spacing w:val="-1"/>
          <w:sz w:val="24"/>
          <w:szCs w:val="24"/>
        </w:rPr>
        <w:t>）公里时，A=</w:t>
      </w:r>
      <w:r>
        <w:rPr>
          <w:rFonts w:ascii="宋体" w:hAnsi="宋体" w:eastAsia="宋体" w:cs="宋体"/>
          <w:spacing w:val="-1"/>
          <w:sz w:val="24"/>
          <w:szCs w:val="24"/>
          <w:u w:val="single" w:color="auto"/>
        </w:rPr>
        <w:t>k</w:t>
      </w:r>
      <w:r>
        <w:rPr>
          <w:rFonts w:ascii="宋体" w:hAnsi="宋体" w:eastAsia="宋体" w:cs="宋体"/>
          <w:spacing w:val="-1"/>
          <w:sz w:val="24"/>
          <w:szCs w:val="24"/>
        </w:rPr>
        <w:t>；</w:t>
      </w:r>
    </w:p>
    <w:p w14:paraId="4A79726E">
      <w:pPr>
        <w:spacing w:before="2" w:line="362" w:lineRule="auto"/>
        <w:ind w:left="11" w:right="85" w:firstLine="520"/>
        <w:rPr>
          <w:rFonts w:ascii="宋体" w:hAnsi="宋体" w:eastAsia="宋体" w:cs="宋体"/>
          <w:sz w:val="24"/>
          <w:szCs w:val="24"/>
        </w:rPr>
      </w:pPr>
      <w:r>
        <w:rPr>
          <w:rFonts w:ascii="宋体" w:hAnsi="宋体" w:eastAsia="宋体" w:cs="宋体"/>
          <w:sz w:val="24"/>
          <w:szCs w:val="24"/>
        </w:rPr>
        <w:t>(2)当公路运输实际运距在（Z-</w:t>
      </w:r>
      <w:r>
        <w:rPr>
          <w:rFonts w:ascii="宋体" w:hAnsi="宋体" w:eastAsia="宋体" w:cs="宋体"/>
          <w:sz w:val="24"/>
          <w:szCs w:val="24"/>
          <w:u w:val="single" w:color="auto"/>
        </w:rPr>
        <w:t>k</w:t>
      </w:r>
      <w:r>
        <w:rPr>
          <w:rFonts w:ascii="宋体" w:hAnsi="宋体" w:eastAsia="宋体" w:cs="宋体"/>
          <w:spacing w:val="-1"/>
          <w:sz w:val="24"/>
          <w:szCs w:val="24"/>
        </w:rPr>
        <w:t>）～（</w:t>
      </w:r>
      <w:r>
        <w:rPr>
          <w:rFonts w:ascii="宋体" w:hAnsi="宋体" w:eastAsia="宋体" w:cs="宋体"/>
          <w:sz w:val="24"/>
          <w:szCs w:val="24"/>
        </w:rPr>
        <w:t>Z+</w:t>
      </w:r>
      <w:r>
        <w:rPr>
          <w:rFonts w:ascii="宋体" w:hAnsi="宋体" w:eastAsia="宋体" w:cs="宋体"/>
          <w:sz w:val="24"/>
          <w:szCs w:val="24"/>
          <w:u w:val="single" w:color="auto"/>
        </w:rPr>
        <w:t>k</w:t>
      </w:r>
      <w:r>
        <w:rPr>
          <w:rFonts w:ascii="宋体" w:hAnsi="宋体" w:eastAsia="宋体" w:cs="宋体"/>
          <w:sz w:val="24"/>
          <w:szCs w:val="24"/>
        </w:rPr>
        <w:t>）公里之间（含界值）时，公路运输费用不作调整；小于（Z-</w:t>
      </w:r>
      <w:r>
        <w:rPr>
          <w:rFonts w:ascii="宋体" w:hAnsi="宋体" w:eastAsia="宋体" w:cs="宋体"/>
          <w:sz w:val="24"/>
          <w:szCs w:val="24"/>
          <w:u w:val="single" w:color="auto"/>
        </w:rPr>
        <w:t>k</w:t>
      </w:r>
      <w:r>
        <w:rPr>
          <w:rFonts w:ascii="宋体" w:hAnsi="宋体" w:eastAsia="宋体" w:cs="宋体"/>
          <w:sz w:val="24"/>
          <w:szCs w:val="24"/>
        </w:rPr>
        <w:t>）公里时，B=</w:t>
      </w:r>
      <w:r>
        <w:rPr>
          <w:rFonts w:ascii="宋体" w:hAnsi="宋体" w:eastAsia="宋体" w:cs="宋体"/>
          <w:sz w:val="24"/>
          <w:szCs w:val="24"/>
          <w:u w:val="single" w:color="auto"/>
        </w:rPr>
        <w:t>-k</w:t>
      </w:r>
      <w:r>
        <w:rPr>
          <w:rFonts w:ascii="宋体" w:hAnsi="宋体" w:eastAsia="宋体" w:cs="宋体"/>
          <w:sz w:val="24"/>
          <w:szCs w:val="24"/>
        </w:rPr>
        <w:t>；大于</w:t>
      </w:r>
      <w:r>
        <w:rPr>
          <w:rFonts w:ascii="宋体" w:hAnsi="宋体" w:eastAsia="宋体" w:cs="宋体"/>
          <w:spacing w:val="-1"/>
          <w:sz w:val="24"/>
          <w:szCs w:val="24"/>
        </w:rPr>
        <w:t>（Z+</w:t>
      </w:r>
      <w:r>
        <w:rPr>
          <w:rFonts w:ascii="宋体" w:hAnsi="宋体" w:eastAsia="宋体" w:cs="宋体"/>
          <w:spacing w:val="-1"/>
          <w:sz w:val="24"/>
          <w:szCs w:val="24"/>
          <w:u w:val="single" w:color="auto"/>
        </w:rPr>
        <w:t>k</w:t>
      </w:r>
      <w:r>
        <w:rPr>
          <w:rFonts w:ascii="宋体" w:hAnsi="宋体" w:eastAsia="宋体" w:cs="宋体"/>
          <w:spacing w:val="-1"/>
          <w:sz w:val="24"/>
          <w:szCs w:val="24"/>
        </w:rPr>
        <w:t>）公里时，B=</w:t>
      </w:r>
      <w:r>
        <w:rPr>
          <w:rFonts w:ascii="宋体" w:hAnsi="宋体" w:eastAsia="宋体" w:cs="宋体"/>
          <w:spacing w:val="-1"/>
          <w:sz w:val="24"/>
          <w:szCs w:val="24"/>
          <w:u w:val="single" w:color="auto"/>
        </w:rPr>
        <w:t>k</w:t>
      </w:r>
      <w:r>
        <w:rPr>
          <w:rFonts w:ascii="宋体" w:hAnsi="宋体" w:eastAsia="宋体" w:cs="宋体"/>
          <w:spacing w:val="-1"/>
          <w:sz w:val="24"/>
          <w:szCs w:val="24"/>
        </w:rPr>
        <w:t>；</w:t>
      </w:r>
    </w:p>
    <w:p w14:paraId="257D26A2">
      <w:pPr>
        <w:spacing w:before="30"/>
        <w:ind w:left="531"/>
        <w:rPr>
          <w:rFonts w:ascii="宋体" w:hAnsi="宋体" w:eastAsia="宋体" w:cs="宋体"/>
          <w:sz w:val="24"/>
          <w:szCs w:val="24"/>
        </w:rPr>
      </w:pPr>
      <w:r>
        <w:rPr>
          <w:rFonts w:ascii="宋体" w:hAnsi="宋体" w:eastAsia="宋体" w:cs="宋体"/>
          <w:spacing w:val="-3"/>
          <w:sz w:val="24"/>
          <w:szCs w:val="24"/>
        </w:rPr>
        <w:t>(3)运输运距以公里为单位，运输数量以</w:t>
      </w:r>
      <w:r>
        <w:rPr>
          <w:rFonts w:ascii="宋体" w:hAnsi="宋体" w:eastAsia="宋体" w:cs="宋体"/>
          <w:spacing w:val="-57"/>
          <w:sz w:val="24"/>
          <w:szCs w:val="24"/>
        </w:rPr>
        <w:t xml:space="preserve"> </w:t>
      </w:r>
      <w:r>
        <w:rPr>
          <w:rFonts w:ascii="宋体" w:hAnsi="宋体" w:eastAsia="宋体" w:cs="宋体"/>
          <w:spacing w:val="-3"/>
          <w:sz w:val="24"/>
          <w:szCs w:val="24"/>
        </w:rPr>
        <w:t>m</w:t>
      </w:r>
      <w:r>
        <w:rPr>
          <w:rFonts w:ascii="宋体" w:hAnsi="宋体" w:eastAsia="宋体" w:cs="宋体"/>
          <w:spacing w:val="-4"/>
          <w:position w:val="14"/>
          <w:sz w:val="13"/>
          <w:szCs w:val="13"/>
        </w:rPr>
        <w:t>3</w:t>
      </w:r>
      <w:r>
        <w:rPr>
          <w:rFonts w:ascii="宋体" w:hAnsi="宋体" w:eastAsia="宋体" w:cs="宋体"/>
          <w:spacing w:val="-18"/>
          <w:position w:val="14"/>
          <w:sz w:val="13"/>
          <w:szCs w:val="13"/>
        </w:rPr>
        <w:t xml:space="preserve"> </w:t>
      </w:r>
      <w:r>
        <w:rPr>
          <w:rFonts w:ascii="宋体" w:hAnsi="宋体" w:eastAsia="宋体" w:cs="宋体"/>
          <w:spacing w:val="-4"/>
          <w:sz w:val="24"/>
          <w:szCs w:val="24"/>
        </w:rPr>
        <w:t>为单位；k</w:t>
      </w:r>
      <w:r>
        <w:rPr>
          <w:rFonts w:ascii="宋体" w:hAnsi="宋体" w:eastAsia="宋体" w:cs="宋体"/>
          <w:spacing w:val="-47"/>
          <w:sz w:val="24"/>
          <w:szCs w:val="24"/>
        </w:rPr>
        <w:t xml:space="preserve"> </w:t>
      </w:r>
      <w:r>
        <w:rPr>
          <w:rFonts w:ascii="宋体" w:hAnsi="宋体" w:eastAsia="宋体" w:cs="宋体"/>
          <w:spacing w:val="-4"/>
          <w:sz w:val="24"/>
          <w:szCs w:val="24"/>
        </w:rPr>
        <w:t>一般取值</w:t>
      </w:r>
      <w:r>
        <w:rPr>
          <w:rFonts w:ascii="宋体" w:hAnsi="宋体" w:eastAsia="宋体" w:cs="宋体"/>
          <w:spacing w:val="-46"/>
          <w:sz w:val="24"/>
          <w:szCs w:val="24"/>
        </w:rPr>
        <w:t xml:space="preserve"> </w:t>
      </w:r>
      <w:r>
        <w:rPr>
          <w:rFonts w:ascii="宋体" w:hAnsi="宋体" w:eastAsia="宋体" w:cs="宋体"/>
          <w:spacing w:val="-4"/>
          <w:sz w:val="24"/>
          <w:szCs w:val="24"/>
        </w:rPr>
        <w:t>30；</w:t>
      </w:r>
    </w:p>
    <w:p w14:paraId="4E227FEC">
      <w:pPr>
        <w:spacing w:before="246" w:line="218" w:lineRule="auto"/>
        <w:ind w:left="531"/>
        <w:rPr>
          <w:rFonts w:ascii="宋体" w:hAnsi="宋体" w:eastAsia="宋体" w:cs="宋体"/>
          <w:sz w:val="24"/>
          <w:szCs w:val="24"/>
        </w:rPr>
      </w:pPr>
      <w:r>
        <w:rPr>
          <w:rFonts w:ascii="宋体" w:hAnsi="宋体" w:eastAsia="宋体" w:cs="宋体"/>
          <w:spacing w:val="-4"/>
          <w:sz w:val="24"/>
          <w:szCs w:val="24"/>
        </w:rPr>
        <w:t>(4)采用铁路运输，铁路运输单价及运输费用调整同水路运输；</w:t>
      </w:r>
    </w:p>
    <w:p w14:paraId="28F0A7F5">
      <w:pPr>
        <w:pStyle w:val="2"/>
        <w:spacing w:line="267" w:lineRule="auto"/>
      </w:pPr>
    </w:p>
    <w:p w14:paraId="5E346F5B">
      <w:pPr>
        <w:pStyle w:val="2"/>
        <w:spacing w:line="268" w:lineRule="auto"/>
      </w:pPr>
    </w:p>
    <w:p w14:paraId="6288DD29">
      <w:pPr>
        <w:spacing w:before="38" w:line="214" w:lineRule="auto"/>
        <w:ind w:left="5"/>
        <w:rPr>
          <w:rFonts w:ascii="宋体" w:hAnsi="宋体" w:eastAsia="宋体" w:cs="宋体"/>
          <w:sz w:val="18"/>
          <w:szCs w:val="18"/>
        </w:rPr>
      </w:pPr>
    </w:p>
    <w:p w14:paraId="66E6B908">
      <w:pPr>
        <w:spacing w:line="214" w:lineRule="auto"/>
        <w:rPr>
          <w:rFonts w:ascii="宋体" w:hAnsi="宋体" w:eastAsia="宋体" w:cs="宋体"/>
          <w:sz w:val="18"/>
          <w:szCs w:val="18"/>
        </w:rPr>
        <w:sectPr>
          <w:headerReference r:id="rId104" w:type="default"/>
          <w:footerReference r:id="rId105" w:type="default"/>
          <w:pgSz w:w="11905" w:h="16840"/>
          <w:pgMar w:top="1182" w:right="1351" w:bottom="1171" w:left="1416" w:header="849" w:footer="937" w:gutter="0"/>
          <w:pgNumType w:fmt="decimal"/>
          <w:cols w:space="720" w:num="1"/>
        </w:sectPr>
      </w:pPr>
    </w:p>
    <w:p w14:paraId="25317DFF">
      <w:pPr>
        <w:pStyle w:val="2"/>
        <w:spacing w:line="250" w:lineRule="auto"/>
      </w:pPr>
    </w:p>
    <w:p w14:paraId="5B3E8F8C">
      <w:pPr>
        <w:spacing w:before="78" w:line="233" w:lineRule="auto"/>
        <w:ind w:left="531"/>
        <w:rPr>
          <w:rFonts w:ascii="宋体" w:hAnsi="宋体" w:eastAsia="宋体" w:cs="宋体"/>
          <w:sz w:val="24"/>
          <w:szCs w:val="24"/>
        </w:rPr>
      </w:pPr>
      <w:r>
        <w:rPr>
          <w:rFonts w:ascii="宋体" w:hAnsi="宋体" w:eastAsia="宋体" w:cs="宋体"/>
          <w:spacing w:val="-2"/>
          <w:sz w:val="24"/>
          <w:szCs w:val="24"/>
        </w:rPr>
        <w:t>(5)可补偿的实际运距费用按其对应数量计算最多不超过</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元/m</w:t>
      </w:r>
      <w:r>
        <w:rPr>
          <w:rFonts w:ascii="宋体" w:hAnsi="宋体" w:eastAsia="宋体" w:cs="宋体"/>
          <w:spacing w:val="-2"/>
          <w:position w:val="11"/>
          <w:sz w:val="12"/>
          <w:szCs w:val="12"/>
        </w:rPr>
        <w:t>3</w:t>
      </w:r>
      <w:r>
        <w:rPr>
          <w:rFonts w:ascii="宋体" w:hAnsi="宋体" w:eastAsia="宋体" w:cs="宋体"/>
          <w:spacing w:val="-2"/>
          <w:sz w:val="24"/>
          <w:szCs w:val="24"/>
        </w:rPr>
        <w:t>。</w:t>
      </w:r>
    </w:p>
    <w:p w14:paraId="612C23E7">
      <w:pPr>
        <w:spacing w:before="182" w:line="360" w:lineRule="auto"/>
        <w:ind w:left="8" w:right="79" w:firstLine="485"/>
        <w:rPr>
          <w:rFonts w:ascii="宋体" w:hAnsi="宋体" w:eastAsia="宋体" w:cs="宋体"/>
          <w:sz w:val="24"/>
          <w:szCs w:val="24"/>
        </w:rPr>
      </w:pPr>
      <w:r>
        <w:rPr>
          <w:rFonts w:ascii="宋体" w:hAnsi="宋体" w:eastAsia="宋体" w:cs="宋体"/>
          <w:spacing w:val="1"/>
          <w:sz w:val="24"/>
          <w:szCs w:val="24"/>
        </w:rPr>
        <w:t>3、按以上原则计算的调整费用为包干费用，不再考虑路桥费、装卸费、转运、仓</w:t>
      </w:r>
      <w:r>
        <w:rPr>
          <w:rFonts w:ascii="宋体" w:hAnsi="宋体" w:eastAsia="宋体" w:cs="宋体"/>
          <w:spacing w:val="-6"/>
          <w:sz w:val="24"/>
          <w:szCs w:val="24"/>
        </w:rPr>
        <w:t>储、管理费。</w:t>
      </w:r>
    </w:p>
    <w:p w14:paraId="2EBA0C61">
      <w:pPr>
        <w:spacing w:line="220" w:lineRule="auto"/>
        <w:ind w:left="507"/>
        <w:rPr>
          <w:rFonts w:ascii="宋体" w:hAnsi="宋体" w:eastAsia="宋体" w:cs="宋体"/>
          <w:sz w:val="24"/>
          <w:szCs w:val="24"/>
        </w:rPr>
      </w:pPr>
      <w:r>
        <w:rPr>
          <w:rFonts w:ascii="宋体" w:hAnsi="宋体" w:eastAsia="宋体" w:cs="宋体"/>
          <w:spacing w:val="-4"/>
          <w:sz w:val="24"/>
          <w:szCs w:val="24"/>
        </w:rPr>
        <w:t>16.1.5</w:t>
      </w:r>
      <w:r>
        <w:rPr>
          <w:rFonts w:ascii="宋体" w:hAnsi="宋体" w:eastAsia="宋体" w:cs="宋体"/>
          <w:spacing w:val="-47"/>
          <w:sz w:val="24"/>
          <w:szCs w:val="24"/>
        </w:rPr>
        <w:t xml:space="preserve"> </w:t>
      </w:r>
      <w:r>
        <w:rPr>
          <w:rFonts w:ascii="宋体" w:hAnsi="宋体" w:eastAsia="宋体" w:cs="宋体"/>
          <w:spacing w:val="-4"/>
          <w:sz w:val="24"/>
          <w:szCs w:val="24"/>
        </w:rPr>
        <w:t>税费增减</w:t>
      </w:r>
    </w:p>
    <w:p w14:paraId="54235AF1">
      <w:pPr>
        <w:spacing w:before="181" w:line="218" w:lineRule="auto"/>
        <w:ind w:left="518"/>
        <w:rPr>
          <w:rFonts w:ascii="宋体" w:hAnsi="宋体" w:eastAsia="宋体" w:cs="宋体"/>
          <w:sz w:val="24"/>
          <w:szCs w:val="24"/>
        </w:rPr>
      </w:pPr>
      <w:r>
        <w:rPr>
          <w:rFonts w:ascii="宋体" w:hAnsi="宋体" w:eastAsia="宋体" w:cs="宋体"/>
          <w:spacing w:val="-2"/>
          <w:sz w:val="24"/>
          <w:szCs w:val="24"/>
        </w:rPr>
        <w:t>由材料价差调整所产生的增值税增减额由发包人承担，其他税费由承包人</w:t>
      </w:r>
      <w:r>
        <w:rPr>
          <w:rFonts w:ascii="宋体" w:hAnsi="宋体" w:eastAsia="宋体" w:cs="宋体"/>
          <w:spacing w:val="-3"/>
          <w:sz w:val="24"/>
          <w:szCs w:val="24"/>
        </w:rPr>
        <w:t>承担。</w:t>
      </w:r>
    </w:p>
    <w:p w14:paraId="648CC608">
      <w:pPr>
        <w:spacing w:before="185" w:line="218" w:lineRule="auto"/>
        <w:ind w:left="507"/>
        <w:rPr>
          <w:rFonts w:ascii="宋体" w:hAnsi="宋体" w:eastAsia="宋体" w:cs="宋体"/>
          <w:sz w:val="24"/>
          <w:szCs w:val="24"/>
        </w:rPr>
      </w:pPr>
      <w:r>
        <w:rPr>
          <w:rFonts w:ascii="宋体" w:hAnsi="宋体" w:eastAsia="宋体" w:cs="宋体"/>
          <w:spacing w:val="-2"/>
          <w:sz w:val="24"/>
          <w:szCs w:val="24"/>
        </w:rPr>
        <w:t>16.2 法律变化引起的价格调整</w:t>
      </w:r>
    </w:p>
    <w:p w14:paraId="53251E7E">
      <w:pPr>
        <w:spacing w:before="184"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671135AF">
      <w:pPr>
        <w:spacing w:before="183" w:line="360" w:lineRule="auto"/>
        <w:ind w:left="7" w:right="66" w:firstLine="488"/>
        <w:rPr>
          <w:rFonts w:ascii="宋体" w:hAnsi="宋体" w:eastAsia="宋体" w:cs="宋体"/>
          <w:sz w:val="24"/>
          <w:szCs w:val="24"/>
        </w:rPr>
      </w:pPr>
      <w:r>
        <w:rPr>
          <w:rFonts w:ascii="宋体" w:hAnsi="宋体" w:eastAsia="宋体" w:cs="宋体"/>
          <w:spacing w:val="-2"/>
          <w:sz w:val="24"/>
          <w:szCs w:val="24"/>
        </w:rPr>
        <w:t>（1）除合同另有约定外，如果在投标文件</w:t>
      </w:r>
      <w:r>
        <w:rPr>
          <w:rFonts w:ascii="宋体" w:hAnsi="宋体" w:eastAsia="宋体" w:cs="宋体"/>
          <w:spacing w:val="-3"/>
          <w:sz w:val="24"/>
          <w:szCs w:val="24"/>
        </w:rPr>
        <w:t>递交截止日</w:t>
      </w:r>
      <w:r>
        <w:rPr>
          <w:rFonts w:ascii="宋体" w:hAnsi="宋体" w:eastAsia="宋体" w:cs="宋体"/>
          <w:spacing w:val="-47"/>
          <w:sz w:val="24"/>
          <w:szCs w:val="24"/>
        </w:rPr>
        <w:t xml:space="preserve"> </w:t>
      </w:r>
      <w:r>
        <w:rPr>
          <w:rFonts w:ascii="宋体" w:hAnsi="宋体" w:eastAsia="宋体" w:cs="宋体"/>
          <w:spacing w:val="-3"/>
          <w:sz w:val="24"/>
          <w:szCs w:val="24"/>
        </w:rPr>
        <w:t>28</w:t>
      </w:r>
      <w:r>
        <w:rPr>
          <w:rFonts w:ascii="宋体" w:hAnsi="宋体" w:eastAsia="宋体" w:cs="宋体"/>
          <w:spacing w:val="-46"/>
          <w:sz w:val="24"/>
          <w:szCs w:val="24"/>
        </w:rPr>
        <w:t xml:space="preserve"> </w:t>
      </w:r>
      <w:r>
        <w:rPr>
          <w:rFonts w:ascii="宋体" w:hAnsi="宋体" w:eastAsia="宋体" w:cs="宋体"/>
          <w:spacing w:val="-3"/>
          <w:sz w:val="24"/>
          <w:szCs w:val="24"/>
        </w:rPr>
        <w:t>天之后，国家或省颁布的</w:t>
      </w:r>
      <w:r>
        <w:rPr>
          <w:rFonts w:ascii="宋体" w:hAnsi="宋体" w:eastAsia="宋体" w:cs="宋体"/>
          <w:spacing w:val="-6"/>
          <w:sz w:val="24"/>
          <w:szCs w:val="24"/>
        </w:rPr>
        <w:t>法律、法规出现修改或变更， 因采用上述法律、法</w:t>
      </w:r>
      <w:r>
        <w:rPr>
          <w:rFonts w:ascii="宋体" w:hAnsi="宋体" w:eastAsia="宋体" w:cs="宋体"/>
          <w:spacing w:val="-7"/>
          <w:sz w:val="24"/>
          <w:szCs w:val="24"/>
        </w:rPr>
        <w:t>规使承包人在履行合同中发生第</w:t>
      </w:r>
      <w:r>
        <w:rPr>
          <w:rFonts w:ascii="宋体" w:hAnsi="宋体" w:eastAsia="宋体" w:cs="宋体"/>
          <w:spacing w:val="-33"/>
          <w:sz w:val="24"/>
          <w:szCs w:val="24"/>
        </w:rPr>
        <w:t xml:space="preserve"> </w:t>
      </w:r>
      <w:r>
        <w:rPr>
          <w:rFonts w:ascii="宋体" w:hAnsi="宋体" w:eastAsia="宋体" w:cs="宋体"/>
          <w:spacing w:val="-7"/>
          <w:sz w:val="24"/>
          <w:szCs w:val="24"/>
        </w:rPr>
        <w:t>16.1</w:t>
      </w:r>
      <w:r>
        <w:rPr>
          <w:rFonts w:ascii="宋体" w:hAnsi="宋体" w:eastAsia="宋体" w:cs="宋体"/>
          <w:spacing w:val="-1"/>
          <w:sz w:val="24"/>
          <w:szCs w:val="24"/>
        </w:rPr>
        <w:t>款规定的价格调整以外的费用增加或减少的</w:t>
      </w:r>
      <w:r>
        <w:rPr>
          <w:rFonts w:ascii="宋体" w:hAnsi="宋体" w:eastAsia="宋体" w:cs="宋体"/>
          <w:spacing w:val="-2"/>
          <w:sz w:val="24"/>
          <w:szCs w:val="24"/>
        </w:rPr>
        <w:t>，相关增减费用由监理人与承包人协商后，</w:t>
      </w:r>
      <w:r>
        <w:rPr>
          <w:rFonts w:ascii="宋体" w:hAnsi="宋体" w:eastAsia="宋体" w:cs="宋体"/>
          <w:spacing w:val="-5"/>
          <w:sz w:val="24"/>
          <w:szCs w:val="24"/>
        </w:rPr>
        <w:t>报发包人审核审批。</w:t>
      </w:r>
    </w:p>
    <w:p w14:paraId="63C5667C">
      <w:pPr>
        <w:spacing w:line="360" w:lineRule="auto"/>
        <w:ind w:left="11" w:right="66" w:firstLine="484"/>
        <w:rPr>
          <w:rFonts w:ascii="宋体" w:hAnsi="宋体" w:eastAsia="宋体" w:cs="宋体"/>
          <w:sz w:val="24"/>
          <w:szCs w:val="24"/>
        </w:rPr>
      </w:pPr>
      <w:r>
        <w:rPr>
          <w:rFonts w:ascii="宋体" w:hAnsi="宋体" w:eastAsia="宋体" w:cs="宋体"/>
          <w:spacing w:val="1"/>
          <w:sz w:val="24"/>
          <w:szCs w:val="24"/>
        </w:rPr>
        <w:t>（2）在工程实施过程中，所引用的国家标准和规范如果有修改或新颁，应由发包</w:t>
      </w:r>
      <w:r>
        <w:rPr>
          <w:rFonts w:ascii="宋体" w:hAnsi="宋体" w:eastAsia="宋体" w:cs="宋体"/>
          <w:spacing w:val="-2"/>
          <w:sz w:val="24"/>
          <w:szCs w:val="24"/>
        </w:rPr>
        <w:t>人决定是否采用新标准或新规范，承包人应在监理人的监督下按发包人的决定执行。采用新标准、新规范（相对于招标文件）所增加的相应费用由发包人承担。</w:t>
      </w:r>
    </w:p>
    <w:p w14:paraId="5ECCF85F">
      <w:pPr>
        <w:spacing w:line="360" w:lineRule="auto"/>
        <w:ind w:left="10" w:firstLine="485"/>
        <w:rPr>
          <w:rFonts w:ascii="宋体" w:hAnsi="宋体" w:eastAsia="宋体" w:cs="宋体"/>
          <w:sz w:val="24"/>
          <w:szCs w:val="24"/>
        </w:rPr>
      </w:pPr>
      <w:r>
        <w:rPr>
          <w:rFonts w:ascii="宋体" w:hAnsi="宋体" w:eastAsia="宋体" w:cs="宋体"/>
          <w:spacing w:val="1"/>
          <w:sz w:val="24"/>
          <w:szCs w:val="24"/>
        </w:rPr>
        <w:t>（3）合同执行期间，如发生税务政策调整，则执行新</w:t>
      </w:r>
      <w:r>
        <w:rPr>
          <w:rFonts w:ascii="宋体" w:hAnsi="宋体" w:eastAsia="宋体" w:cs="宋体"/>
          <w:sz w:val="24"/>
          <w:szCs w:val="24"/>
        </w:rPr>
        <w:t>的税务政策，按以下公式调</w:t>
      </w:r>
      <w:r>
        <w:rPr>
          <w:rFonts w:ascii="宋体" w:hAnsi="宋体" w:eastAsia="宋体" w:cs="宋体"/>
          <w:spacing w:val="-9"/>
          <w:sz w:val="24"/>
          <w:szCs w:val="24"/>
        </w:rPr>
        <w:t>整剩余合同价款，并签订补充协议。调整后合同价=原合同价/</w:t>
      </w:r>
      <w:r>
        <w:rPr>
          <w:rFonts w:hint="eastAsia" w:ascii="宋体" w:hAnsi="宋体" w:cs="宋体"/>
          <w:spacing w:val="-9"/>
          <w:sz w:val="24"/>
          <w:szCs w:val="24"/>
          <w:lang w:eastAsia="zh-CN"/>
        </w:rPr>
        <w:t>（</w:t>
      </w:r>
      <w:r>
        <w:rPr>
          <w:rFonts w:ascii="宋体" w:hAnsi="宋体" w:eastAsia="宋体" w:cs="宋体"/>
          <w:spacing w:val="-9"/>
          <w:sz w:val="24"/>
          <w:szCs w:val="24"/>
        </w:rPr>
        <w:t>1+原税率）*（1+新税率</w:t>
      </w:r>
      <w:r>
        <w:rPr>
          <w:rFonts w:ascii="宋体" w:hAnsi="宋体" w:eastAsia="宋体" w:cs="宋体"/>
          <w:spacing w:val="-48"/>
          <w:sz w:val="24"/>
          <w:szCs w:val="24"/>
        </w:rPr>
        <w:t>），</w:t>
      </w:r>
      <w:r>
        <w:rPr>
          <w:rFonts w:ascii="宋体" w:hAnsi="宋体" w:eastAsia="宋体" w:cs="宋体"/>
          <w:spacing w:val="-1"/>
          <w:sz w:val="24"/>
          <w:szCs w:val="24"/>
        </w:rPr>
        <w:t>因承包人提供发票不及时或有误导致工程款不能</w:t>
      </w:r>
      <w:r>
        <w:rPr>
          <w:rFonts w:ascii="宋体" w:hAnsi="宋体" w:eastAsia="宋体" w:cs="宋体"/>
          <w:spacing w:val="-2"/>
          <w:sz w:val="24"/>
          <w:szCs w:val="24"/>
        </w:rPr>
        <w:t>支付的责任由承包人承担。</w:t>
      </w:r>
    </w:p>
    <w:p w14:paraId="16DAC174">
      <w:pPr>
        <w:spacing w:before="1" w:line="218" w:lineRule="auto"/>
        <w:ind w:left="490"/>
        <w:rPr>
          <w:rFonts w:ascii="宋体" w:hAnsi="宋体" w:eastAsia="宋体" w:cs="宋体"/>
          <w:sz w:val="24"/>
          <w:szCs w:val="24"/>
        </w:rPr>
      </w:pPr>
      <w:r>
        <w:rPr>
          <w:rFonts w:ascii="宋体" w:hAnsi="宋体" w:eastAsia="宋体" w:cs="宋体"/>
          <w:spacing w:val="-6"/>
          <w:sz w:val="24"/>
          <w:szCs w:val="24"/>
        </w:rPr>
        <w:t>本条补充第</w:t>
      </w:r>
      <w:r>
        <w:rPr>
          <w:rFonts w:ascii="宋体" w:hAnsi="宋体" w:eastAsia="宋体" w:cs="宋体"/>
          <w:spacing w:val="-33"/>
          <w:sz w:val="24"/>
          <w:szCs w:val="24"/>
        </w:rPr>
        <w:t xml:space="preserve"> </w:t>
      </w:r>
      <w:r>
        <w:rPr>
          <w:rFonts w:ascii="宋体" w:hAnsi="宋体" w:eastAsia="宋体" w:cs="宋体"/>
          <w:spacing w:val="-6"/>
          <w:sz w:val="24"/>
          <w:szCs w:val="24"/>
        </w:rPr>
        <w:t>16.3</w:t>
      </w:r>
      <w:r>
        <w:rPr>
          <w:rFonts w:ascii="宋体" w:hAnsi="宋体" w:eastAsia="宋体" w:cs="宋体"/>
          <w:spacing w:val="-50"/>
          <w:sz w:val="24"/>
          <w:szCs w:val="24"/>
        </w:rPr>
        <w:t xml:space="preserve"> </w:t>
      </w:r>
      <w:r>
        <w:rPr>
          <w:rFonts w:ascii="宋体" w:hAnsi="宋体" w:eastAsia="宋体" w:cs="宋体"/>
          <w:spacing w:val="-6"/>
          <w:sz w:val="24"/>
          <w:szCs w:val="24"/>
        </w:rPr>
        <w:t>款-第</w:t>
      </w:r>
      <w:r>
        <w:rPr>
          <w:rFonts w:ascii="宋体" w:hAnsi="宋体" w:eastAsia="宋体" w:cs="宋体"/>
          <w:spacing w:val="-33"/>
          <w:sz w:val="24"/>
          <w:szCs w:val="24"/>
        </w:rPr>
        <w:t xml:space="preserve"> </w:t>
      </w:r>
      <w:r>
        <w:rPr>
          <w:rFonts w:ascii="宋体" w:hAnsi="宋体" w:eastAsia="宋体" w:cs="宋体"/>
          <w:spacing w:val="-6"/>
          <w:sz w:val="24"/>
          <w:szCs w:val="24"/>
        </w:rPr>
        <w:t>16.5</w:t>
      </w:r>
      <w:r>
        <w:rPr>
          <w:rFonts w:ascii="宋体" w:hAnsi="宋体" w:eastAsia="宋体" w:cs="宋体"/>
          <w:spacing w:val="-50"/>
          <w:sz w:val="24"/>
          <w:szCs w:val="24"/>
        </w:rPr>
        <w:t xml:space="preserve"> </w:t>
      </w:r>
      <w:r>
        <w:rPr>
          <w:rFonts w:ascii="宋体" w:hAnsi="宋体" w:eastAsia="宋体" w:cs="宋体"/>
          <w:spacing w:val="-6"/>
          <w:sz w:val="24"/>
          <w:szCs w:val="24"/>
        </w:rPr>
        <w:t>款：</w:t>
      </w:r>
    </w:p>
    <w:p w14:paraId="159C42EC">
      <w:pPr>
        <w:spacing w:before="183" w:line="220" w:lineRule="auto"/>
        <w:ind w:left="507"/>
        <w:rPr>
          <w:rFonts w:ascii="宋体" w:hAnsi="宋体" w:eastAsia="宋体" w:cs="宋体"/>
          <w:sz w:val="24"/>
          <w:szCs w:val="24"/>
        </w:rPr>
      </w:pPr>
      <w:r>
        <w:rPr>
          <w:rFonts w:ascii="宋体" w:hAnsi="宋体" w:eastAsia="宋体" w:cs="宋体"/>
          <w:spacing w:val="-2"/>
          <w:sz w:val="24"/>
          <w:szCs w:val="24"/>
        </w:rPr>
        <w:t>16.3 执行国家和行业标准</w:t>
      </w:r>
    </w:p>
    <w:p w14:paraId="41E99FC7">
      <w:pPr>
        <w:spacing w:before="183" w:line="360" w:lineRule="auto"/>
        <w:ind w:left="11" w:right="66" w:firstLine="492"/>
        <w:rPr>
          <w:rFonts w:ascii="宋体" w:hAnsi="宋体" w:eastAsia="宋体" w:cs="宋体"/>
          <w:sz w:val="24"/>
          <w:szCs w:val="24"/>
        </w:rPr>
      </w:pPr>
      <w:r>
        <w:rPr>
          <w:rFonts w:ascii="宋体" w:hAnsi="宋体" w:eastAsia="宋体" w:cs="宋体"/>
          <w:spacing w:val="-2"/>
          <w:sz w:val="24"/>
          <w:szCs w:val="24"/>
        </w:rPr>
        <w:t>除非发包人和监理人专门批准，如果本工程技术规范和图纸标准低于国家和行业标</w:t>
      </w:r>
      <w:r>
        <w:rPr>
          <w:rFonts w:ascii="宋体" w:hAnsi="宋体" w:eastAsia="宋体" w:cs="宋体"/>
          <w:spacing w:val="-1"/>
          <w:sz w:val="24"/>
          <w:szCs w:val="24"/>
        </w:rPr>
        <w:t>准，则应按国家和行业标准执行，承包人不能因此提出</w:t>
      </w:r>
      <w:r>
        <w:rPr>
          <w:rFonts w:ascii="宋体" w:hAnsi="宋体" w:eastAsia="宋体" w:cs="宋体"/>
          <w:spacing w:val="-2"/>
          <w:sz w:val="24"/>
          <w:szCs w:val="24"/>
        </w:rPr>
        <w:t>增加费用的要求和索赔。</w:t>
      </w:r>
    </w:p>
    <w:p w14:paraId="77D857FF">
      <w:pPr>
        <w:spacing w:line="218" w:lineRule="auto"/>
        <w:ind w:left="507"/>
        <w:rPr>
          <w:rFonts w:ascii="宋体" w:hAnsi="宋体" w:eastAsia="宋体" w:cs="宋体"/>
          <w:sz w:val="24"/>
          <w:szCs w:val="24"/>
        </w:rPr>
      </w:pPr>
      <w:r>
        <w:rPr>
          <w:rFonts w:ascii="宋体" w:hAnsi="宋体" w:eastAsia="宋体" w:cs="宋体"/>
          <w:spacing w:val="-2"/>
          <w:sz w:val="24"/>
          <w:szCs w:val="24"/>
        </w:rPr>
        <w:t>16.4 工期拖期的价格调整</w:t>
      </w:r>
    </w:p>
    <w:p w14:paraId="263B6329">
      <w:pPr>
        <w:spacing w:before="182" w:line="357" w:lineRule="auto"/>
        <w:ind w:left="9" w:right="66" w:firstLine="509"/>
        <w:rPr>
          <w:rFonts w:ascii="宋体" w:hAnsi="宋体" w:eastAsia="宋体" w:cs="宋体"/>
          <w:sz w:val="24"/>
          <w:szCs w:val="24"/>
        </w:rPr>
      </w:pPr>
      <w:r>
        <w:rPr>
          <w:rFonts w:ascii="宋体" w:hAnsi="宋体" w:eastAsia="宋体" w:cs="宋体"/>
          <w:spacing w:val="-2"/>
          <w:sz w:val="24"/>
          <w:szCs w:val="24"/>
        </w:rPr>
        <w:t>由于承包人原因未能在投标函中写明的工期内</w:t>
      </w:r>
      <w:r>
        <w:rPr>
          <w:rFonts w:ascii="宋体" w:hAnsi="宋体" w:eastAsia="宋体" w:cs="宋体"/>
          <w:spacing w:val="-3"/>
          <w:sz w:val="24"/>
          <w:szCs w:val="24"/>
        </w:rPr>
        <w:t>完成本合同工程，在超出合同工期以</w:t>
      </w:r>
      <w:r>
        <w:rPr>
          <w:rFonts w:ascii="宋体" w:hAnsi="宋体" w:eastAsia="宋体" w:cs="宋体"/>
          <w:spacing w:val="-2"/>
          <w:sz w:val="24"/>
          <w:szCs w:val="24"/>
        </w:rPr>
        <w:t>后施工的工程，承包人不能因此提出调整合同单价（总额价）要求。即使某种延期符合</w:t>
      </w:r>
      <w:r>
        <w:rPr>
          <w:rFonts w:ascii="宋体" w:hAnsi="宋体" w:eastAsia="宋体" w:cs="宋体"/>
          <w:sz w:val="24"/>
          <w:szCs w:val="24"/>
        </w:rPr>
        <w:t>第</w:t>
      </w:r>
      <w:r>
        <w:rPr>
          <w:rFonts w:ascii="宋体" w:hAnsi="宋体" w:eastAsia="宋体" w:cs="宋体"/>
          <w:spacing w:val="-21"/>
          <w:sz w:val="24"/>
          <w:szCs w:val="24"/>
        </w:rPr>
        <w:t xml:space="preserve"> </w:t>
      </w:r>
      <w:r>
        <w:rPr>
          <w:rFonts w:ascii="宋体" w:hAnsi="宋体" w:eastAsia="宋体" w:cs="宋体"/>
          <w:sz w:val="24"/>
          <w:szCs w:val="24"/>
        </w:rPr>
        <w:t>11.4</w:t>
      </w:r>
      <w:r>
        <w:rPr>
          <w:rFonts w:ascii="宋体" w:hAnsi="宋体" w:eastAsia="宋体" w:cs="宋体"/>
          <w:spacing w:val="-48"/>
          <w:sz w:val="24"/>
          <w:szCs w:val="24"/>
        </w:rPr>
        <w:t xml:space="preserve"> </w:t>
      </w:r>
      <w:r>
        <w:rPr>
          <w:rFonts w:ascii="宋体" w:hAnsi="宋体" w:eastAsia="宋体" w:cs="宋体"/>
          <w:sz w:val="24"/>
          <w:szCs w:val="24"/>
        </w:rPr>
        <w:t>条及本合同条款相关规定，在该延长的合同工期到期以后施工的工程，承包人</w:t>
      </w:r>
      <w:r>
        <w:rPr>
          <w:rFonts w:ascii="宋体" w:hAnsi="宋体" w:eastAsia="宋体" w:cs="宋体"/>
          <w:spacing w:val="-2"/>
          <w:sz w:val="24"/>
          <w:szCs w:val="24"/>
        </w:rPr>
        <w:t>也不能因此提出调整合同单价（总额价）要</w:t>
      </w:r>
      <w:r>
        <w:rPr>
          <w:rFonts w:ascii="宋体" w:hAnsi="宋体" w:eastAsia="宋体" w:cs="宋体"/>
          <w:spacing w:val="-3"/>
          <w:sz w:val="24"/>
          <w:szCs w:val="24"/>
        </w:rPr>
        <w:t>求。</w:t>
      </w:r>
    </w:p>
    <w:p w14:paraId="10BCDA56">
      <w:pPr>
        <w:spacing w:line="232" w:lineRule="auto"/>
        <w:ind w:left="507"/>
        <w:rPr>
          <w:rFonts w:hint="eastAsia" w:ascii="宋体" w:hAnsi="宋体" w:eastAsia="宋体" w:cs="宋体"/>
          <w:sz w:val="12"/>
          <w:szCs w:val="12"/>
          <w:lang w:eastAsia="zh-CN"/>
        </w:rPr>
      </w:pPr>
      <w:r>
        <w:rPr>
          <w:rFonts w:ascii="宋体" w:hAnsi="宋体" w:eastAsia="宋体" w:cs="宋体"/>
          <w:spacing w:val="-3"/>
          <w:sz w:val="24"/>
          <w:szCs w:val="24"/>
        </w:rPr>
        <w:t>16.5</w:t>
      </w:r>
      <w:r>
        <w:rPr>
          <w:rFonts w:ascii="宋体" w:hAnsi="宋体" w:eastAsia="宋体" w:cs="宋体"/>
          <w:spacing w:val="-41"/>
          <w:sz w:val="24"/>
          <w:szCs w:val="24"/>
        </w:rPr>
        <w:t xml:space="preserve"> </w:t>
      </w:r>
      <w:r>
        <w:rPr>
          <w:rFonts w:ascii="宋体" w:hAnsi="宋体" w:eastAsia="宋体" w:cs="宋体"/>
          <w:spacing w:val="-3"/>
          <w:sz w:val="24"/>
          <w:szCs w:val="24"/>
        </w:rPr>
        <w:t>其他原因引起的价格调整</w:t>
      </w:r>
    </w:p>
    <w:p w14:paraId="3BF7F030">
      <w:pPr>
        <w:spacing w:before="185" w:line="220" w:lineRule="auto"/>
        <w:ind w:left="507"/>
        <w:rPr>
          <w:rFonts w:ascii="宋体" w:hAnsi="宋体" w:eastAsia="宋体" w:cs="宋体"/>
          <w:sz w:val="24"/>
          <w:szCs w:val="24"/>
        </w:rPr>
      </w:pPr>
      <w:r>
        <w:rPr>
          <w:rFonts w:ascii="宋体" w:hAnsi="宋体" w:eastAsia="宋体" w:cs="宋体"/>
          <w:spacing w:val="-3"/>
          <w:sz w:val="24"/>
          <w:szCs w:val="24"/>
        </w:rPr>
        <w:t>16.5.1</w:t>
      </w:r>
      <w:r>
        <w:rPr>
          <w:rFonts w:ascii="宋体" w:hAnsi="宋体" w:eastAsia="宋体" w:cs="宋体"/>
          <w:spacing w:val="-51"/>
          <w:sz w:val="24"/>
          <w:szCs w:val="24"/>
        </w:rPr>
        <w:t xml:space="preserve"> </w:t>
      </w:r>
      <w:r>
        <w:rPr>
          <w:rFonts w:ascii="宋体" w:hAnsi="宋体" w:eastAsia="宋体" w:cs="宋体"/>
          <w:spacing w:val="-3"/>
          <w:sz w:val="24"/>
          <w:szCs w:val="24"/>
        </w:rPr>
        <w:t>应急抢险工程</w:t>
      </w:r>
    </w:p>
    <w:p w14:paraId="11A301EA">
      <w:pPr>
        <w:spacing w:before="182" w:line="450" w:lineRule="auto"/>
        <w:ind w:left="6" w:right="66" w:firstLine="501"/>
        <w:rPr>
          <w:rFonts w:ascii="宋体" w:hAnsi="宋体" w:eastAsia="宋体" w:cs="宋体"/>
          <w:sz w:val="18"/>
          <w:szCs w:val="18"/>
        </w:rPr>
      </w:pPr>
      <w:r>
        <w:rPr>
          <w:rFonts w:ascii="宋体" w:hAnsi="宋体" w:eastAsia="宋体" w:cs="宋体"/>
          <w:spacing w:val="-7"/>
          <w:sz w:val="24"/>
          <w:szCs w:val="24"/>
        </w:rPr>
        <w:t>因自然灾害、地质灾害以及其他突发事件引发，</w:t>
      </w:r>
      <w:r>
        <w:rPr>
          <w:rFonts w:ascii="宋体" w:hAnsi="宋体" w:eastAsia="宋体" w:cs="宋体"/>
          <w:spacing w:val="54"/>
          <w:sz w:val="24"/>
          <w:szCs w:val="24"/>
        </w:rPr>
        <w:t xml:space="preserve"> </w:t>
      </w:r>
      <w:r>
        <w:rPr>
          <w:rFonts w:ascii="宋体" w:hAnsi="宋体" w:eastAsia="宋体" w:cs="宋体"/>
          <w:spacing w:val="-7"/>
          <w:sz w:val="24"/>
          <w:szCs w:val="24"/>
        </w:rPr>
        <w:t>导致高速公路及沿线设施受损，正</w:t>
      </w:r>
    </w:p>
    <w:p w14:paraId="2D118C1E">
      <w:pPr>
        <w:spacing w:line="450" w:lineRule="auto"/>
        <w:rPr>
          <w:rFonts w:ascii="宋体" w:hAnsi="宋体" w:eastAsia="宋体" w:cs="宋体"/>
          <w:sz w:val="18"/>
          <w:szCs w:val="18"/>
        </w:rPr>
        <w:sectPr>
          <w:headerReference r:id="rId106" w:type="default"/>
          <w:footerReference r:id="rId107" w:type="default"/>
          <w:pgSz w:w="11905" w:h="16840"/>
          <w:pgMar w:top="1182" w:right="1349" w:bottom="1171" w:left="1416" w:header="849" w:footer="936" w:gutter="0"/>
          <w:pgNumType w:fmt="decimal"/>
          <w:cols w:space="720" w:num="1"/>
        </w:sectPr>
      </w:pPr>
    </w:p>
    <w:p w14:paraId="16D5EA86">
      <w:pPr>
        <w:pStyle w:val="2"/>
        <w:spacing w:line="268" w:lineRule="auto"/>
      </w:pPr>
    </w:p>
    <w:p w14:paraId="7ACE74BF">
      <w:pPr>
        <w:spacing w:before="78" w:line="360" w:lineRule="auto"/>
        <w:ind w:left="7" w:right="1"/>
        <w:jc w:val="both"/>
        <w:rPr>
          <w:rFonts w:ascii="宋体" w:hAnsi="宋体" w:eastAsia="宋体" w:cs="宋体"/>
          <w:sz w:val="24"/>
          <w:szCs w:val="24"/>
        </w:rPr>
      </w:pPr>
      <w:r>
        <w:rPr>
          <w:rFonts w:ascii="宋体" w:hAnsi="宋体" w:eastAsia="宋体" w:cs="宋体"/>
          <w:spacing w:val="-2"/>
          <w:sz w:val="24"/>
          <w:szCs w:val="24"/>
        </w:rPr>
        <w:t>在发生严重危害或即将产生严重危害，必须迅速采取措施的工程或因应对突发事件需要</w:t>
      </w:r>
      <w:r>
        <w:rPr>
          <w:rFonts w:ascii="宋体" w:hAnsi="宋体" w:eastAsia="宋体" w:cs="宋体"/>
          <w:spacing w:val="-1"/>
          <w:sz w:val="24"/>
          <w:szCs w:val="24"/>
        </w:rPr>
        <w:t>在短期内启动并尽快完成的抢险修复工程，</w:t>
      </w:r>
      <w:r>
        <w:rPr>
          <w:rFonts w:ascii="宋体" w:hAnsi="宋体" w:eastAsia="宋体" w:cs="宋体"/>
          <w:spacing w:val="-2"/>
          <w:sz w:val="24"/>
          <w:szCs w:val="24"/>
        </w:rPr>
        <w:t>经发包人和监理人确认后，按应急抢险工程</w:t>
      </w:r>
      <w:r>
        <w:rPr>
          <w:rFonts w:ascii="宋体" w:hAnsi="宋体" w:eastAsia="宋体" w:cs="宋体"/>
          <w:spacing w:val="-3"/>
          <w:sz w:val="24"/>
          <w:szCs w:val="24"/>
        </w:rPr>
        <w:t>进行处理。应急抢险工程的变更作价按</w:t>
      </w:r>
      <w:r>
        <w:rPr>
          <w:rFonts w:ascii="宋体" w:hAnsi="宋体" w:eastAsia="宋体" w:cs="宋体"/>
          <w:spacing w:val="-20"/>
          <w:sz w:val="24"/>
          <w:szCs w:val="24"/>
        </w:rPr>
        <w:t xml:space="preserve"> </w:t>
      </w:r>
      <w:r>
        <w:rPr>
          <w:rFonts w:ascii="宋体" w:hAnsi="宋体" w:eastAsia="宋体" w:cs="宋体"/>
          <w:spacing w:val="-3"/>
          <w:sz w:val="24"/>
          <w:szCs w:val="24"/>
        </w:rPr>
        <w:t>15.4.4</w:t>
      </w:r>
      <w:r>
        <w:rPr>
          <w:rFonts w:ascii="宋体" w:hAnsi="宋体" w:eastAsia="宋体" w:cs="宋体"/>
          <w:spacing w:val="-49"/>
          <w:sz w:val="24"/>
          <w:szCs w:val="24"/>
        </w:rPr>
        <w:t xml:space="preserve"> </w:t>
      </w:r>
      <w:r>
        <w:rPr>
          <w:rFonts w:ascii="宋体" w:hAnsi="宋体" w:eastAsia="宋体" w:cs="宋体"/>
          <w:spacing w:val="-3"/>
          <w:sz w:val="24"/>
          <w:szCs w:val="24"/>
        </w:rPr>
        <w:t>款约定执行。</w:t>
      </w:r>
    </w:p>
    <w:p w14:paraId="0A1E6165">
      <w:pPr>
        <w:spacing w:before="2" w:line="359" w:lineRule="auto"/>
        <w:ind w:left="10" w:firstLine="496"/>
        <w:rPr>
          <w:rFonts w:ascii="宋体" w:hAnsi="宋体" w:eastAsia="宋体" w:cs="宋体"/>
          <w:sz w:val="24"/>
          <w:szCs w:val="24"/>
        </w:rPr>
      </w:pPr>
      <w:r>
        <w:rPr>
          <w:rFonts w:ascii="宋体" w:hAnsi="宋体" w:eastAsia="宋体" w:cs="宋体"/>
          <w:spacing w:val="-4"/>
          <w:sz w:val="24"/>
          <w:szCs w:val="24"/>
        </w:rPr>
        <w:t>16.5.2</w:t>
      </w:r>
      <w:r>
        <w:rPr>
          <w:rFonts w:ascii="宋体" w:hAnsi="宋体" w:eastAsia="宋体" w:cs="宋体"/>
          <w:spacing w:val="-39"/>
          <w:sz w:val="24"/>
          <w:szCs w:val="24"/>
        </w:rPr>
        <w:t xml:space="preserve"> </w:t>
      </w:r>
      <w:r>
        <w:rPr>
          <w:rFonts w:ascii="宋体" w:hAnsi="宋体" w:eastAsia="宋体" w:cs="宋体"/>
          <w:spacing w:val="-4"/>
          <w:sz w:val="24"/>
          <w:szCs w:val="24"/>
        </w:rPr>
        <w:t>施工图设计和合同清单工程数量出现“差、错、漏、碰”的，经勘误后，按</w:t>
      </w:r>
      <w:r>
        <w:rPr>
          <w:rFonts w:ascii="宋体" w:hAnsi="宋体" w:eastAsia="宋体" w:cs="宋体"/>
          <w:spacing w:val="-2"/>
          <w:sz w:val="24"/>
          <w:szCs w:val="24"/>
        </w:rPr>
        <w:t>合同条款及计量支付规则约定的计量原则，作变更处理。</w:t>
      </w:r>
    </w:p>
    <w:p w14:paraId="6517E7B5">
      <w:pPr>
        <w:spacing w:line="218" w:lineRule="auto"/>
        <w:ind w:left="507"/>
        <w:rPr>
          <w:rFonts w:ascii="宋体" w:hAnsi="宋体" w:eastAsia="宋体" w:cs="宋体"/>
          <w:sz w:val="24"/>
          <w:szCs w:val="24"/>
        </w:rPr>
      </w:pPr>
      <w:r>
        <w:rPr>
          <w:rFonts w:ascii="宋体" w:hAnsi="宋体" w:eastAsia="宋体" w:cs="宋体"/>
          <w:spacing w:val="-2"/>
          <w:sz w:val="24"/>
          <w:szCs w:val="24"/>
        </w:rPr>
        <w:t>16.5.3</w:t>
      </w:r>
      <w:r>
        <w:rPr>
          <w:rFonts w:ascii="宋体" w:hAnsi="宋体" w:eastAsia="宋体" w:cs="宋体"/>
          <w:spacing w:val="-2"/>
          <w:sz w:val="24"/>
          <w:szCs w:val="24"/>
          <w:u w:val="single" w:color="auto"/>
        </w:rPr>
        <w:t xml:space="preserve"> </w:t>
      </w:r>
      <w:r>
        <w:rPr>
          <w:rFonts w:hint="eastAsia" w:ascii="宋体" w:hAnsi="宋体" w:cs="宋体"/>
          <w:spacing w:val="-2"/>
          <w:sz w:val="24"/>
          <w:szCs w:val="24"/>
          <w:u w:val="single" w:color="auto"/>
          <w:lang w:val="en-US" w:eastAsia="zh-CN"/>
        </w:rPr>
        <w:t>/</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（其他可调整价格的情形）。</w:t>
      </w:r>
    </w:p>
    <w:p w14:paraId="60A29181">
      <w:pPr>
        <w:spacing w:before="183" w:line="220" w:lineRule="auto"/>
        <w:ind w:left="507"/>
        <w:rPr>
          <w:rFonts w:ascii="宋体" w:hAnsi="宋体" w:eastAsia="宋体" w:cs="宋体"/>
          <w:sz w:val="24"/>
          <w:szCs w:val="24"/>
        </w:rPr>
      </w:pPr>
      <w:r>
        <w:rPr>
          <w:rFonts w:ascii="宋体" w:hAnsi="宋体" w:eastAsia="宋体" w:cs="宋体"/>
          <w:b/>
          <w:bCs/>
          <w:spacing w:val="-5"/>
          <w:sz w:val="24"/>
          <w:szCs w:val="24"/>
        </w:rPr>
        <w:t>17.</w:t>
      </w:r>
      <w:r>
        <w:rPr>
          <w:rFonts w:ascii="宋体" w:hAnsi="宋体" w:eastAsia="宋体" w:cs="宋体"/>
          <w:spacing w:val="-5"/>
          <w:sz w:val="24"/>
          <w:szCs w:val="24"/>
        </w:rPr>
        <w:t xml:space="preserve"> </w:t>
      </w:r>
      <w:r>
        <w:rPr>
          <w:rFonts w:ascii="宋体" w:hAnsi="宋体" w:eastAsia="宋体" w:cs="宋体"/>
          <w:b/>
          <w:bCs/>
          <w:spacing w:val="-5"/>
          <w:sz w:val="24"/>
          <w:szCs w:val="24"/>
        </w:rPr>
        <w:t>计量与支付</w:t>
      </w:r>
    </w:p>
    <w:p w14:paraId="6C839282">
      <w:pPr>
        <w:spacing w:before="182" w:line="221" w:lineRule="auto"/>
        <w:ind w:left="507"/>
        <w:rPr>
          <w:rFonts w:ascii="宋体" w:hAnsi="宋体" w:eastAsia="宋体" w:cs="宋体"/>
          <w:sz w:val="24"/>
          <w:szCs w:val="24"/>
        </w:rPr>
      </w:pPr>
      <w:r>
        <w:rPr>
          <w:rFonts w:ascii="宋体" w:hAnsi="宋体" w:eastAsia="宋体" w:cs="宋体"/>
          <w:spacing w:val="-6"/>
          <w:sz w:val="24"/>
          <w:szCs w:val="24"/>
        </w:rPr>
        <w:t>17.1</w:t>
      </w:r>
      <w:r>
        <w:rPr>
          <w:rFonts w:ascii="宋体" w:hAnsi="宋体" w:eastAsia="宋体" w:cs="宋体"/>
          <w:spacing w:val="12"/>
          <w:sz w:val="24"/>
          <w:szCs w:val="24"/>
        </w:rPr>
        <w:t xml:space="preserve"> </w:t>
      </w:r>
      <w:r>
        <w:rPr>
          <w:rFonts w:ascii="宋体" w:hAnsi="宋体" w:eastAsia="宋体" w:cs="宋体"/>
          <w:spacing w:val="-6"/>
          <w:sz w:val="24"/>
          <w:szCs w:val="24"/>
        </w:rPr>
        <w:t>计量</w:t>
      </w:r>
    </w:p>
    <w:p w14:paraId="023F6763">
      <w:pPr>
        <w:spacing w:before="181" w:line="218" w:lineRule="auto"/>
        <w:ind w:left="507"/>
        <w:rPr>
          <w:rFonts w:ascii="宋体" w:hAnsi="宋体" w:eastAsia="宋体" w:cs="宋体"/>
          <w:sz w:val="24"/>
          <w:szCs w:val="24"/>
        </w:rPr>
      </w:pPr>
      <w:r>
        <w:rPr>
          <w:rFonts w:ascii="宋体" w:hAnsi="宋体" w:eastAsia="宋体" w:cs="宋体"/>
          <w:spacing w:val="-4"/>
          <w:sz w:val="24"/>
          <w:szCs w:val="24"/>
        </w:rPr>
        <w:t>17.1.5</w:t>
      </w:r>
      <w:r>
        <w:rPr>
          <w:rFonts w:ascii="宋体" w:hAnsi="宋体" w:eastAsia="宋体" w:cs="宋体"/>
          <w:spacing w:val="-34"/>
          <w:sz w:val="24"/>
          <w:szCs w:val="24"/>
        </w:rPr>
        <w:t xml:space="preserve"> </w:t>
      </w:r>
      <w:r>
        <w:rPr>
          <w:rFonts w:ascii="宋体" w:hAnsi="宋体" w:eastAsia="宋体" w:cs="宋体"/>
          <w:spacing w:val="-4"/>
          <w:sz w:val="24"/>
          <w:szCs w:val="24"/>
        </w:rPr>
        <w:t>总价子目的计量</w:t>
      </w:r>
    </w:p>
    <w:p w14:paraId="1894335B">
      <w:pPr>
        <w:spacing w:before="184" w:line="360" w:lineRule="auto"/>
        <w:ind w:left="10" w:right="1" w:firstLine="480"/>
        <w:rPr>
          <w:rFonts w:ascii="宋体" w:hAnsi="宋体" w:eastAsia="宋体" w:cs="宋体"/>
          <w:sz w:val="24"/>
          <w:szCs w:val="24"/>
        </w:rPr>
      </w:pPr>
      <w:r>
        <w:rPr>
          <w:rFonts w:ascii="宋体" w:hAnsi="宋体" w:eastAsia="宋体" w:cs="宋体"/>
          <w:spacing w:val="-2"/>
          <w:sz w:val="24"/>
          <w:szCs w:val="24"/>
        </w:rPr>
        <w:t>本项目工程量清单中要求承包人以“总额”方式报价的子目，各子目的支付原则和支付进度按本合同文件工程量清单计量规则中的规定执行。</w:t>
      </w:r>
    </w:p>
    <w:p w14:paraId="6D9F3D91">
      <w:pPr>
        <w:spacing w:before="1" w:line="218" w:lineRule="auto"/>
        <w:ind w:left="490"/>
        <w:rPr>
          <w:rFonts w:ascii="宋体" w:hAnsi="宋体" w:eastAsia="宋体" w:cs="宋体"/>
          <w:sz w:val="24"/>
          <w:szCs w:val="24"/>
        </w:rPr>
      </w:pPr>
      <w:r>
        <w:rPr>
          <w:rFonts w:ascii="宋体" w:hAnsi="宋体" w:eastAsia="宋体" w:cs="宋体"/>
          <w:spacing w:val="-4"/>
          <w:sz w:val="24"/>
          <w:szCs w:val="24"/>
        </w:rPr>
        <w:t>本款补充第</w:t>
      </w:r>
      <w:r>
        <w:rPr>
          <w:rFonts w:ascii="宋体" w:hAnsi="宋体" w:eastAsia="宋体" w:cs="宋体"/>
          <w:spacing w:val="-26"/>
          <w:sz w:val="24"/>
          <w:szCs w:val="24"/>
        </w:rPr>
        <w:t xml:space="preserve"> </w:t>
      </w:r>
      <w:r>
        <w:rPr>
          <w:rFonts w:ascii="宋体" w:hAnsi="宋体" w:eastAsia="宋体" w:cs="宋体"/>
          <w:spacing w:val="-4"/>
          <w:sz w:val="24"/>
          <w:szCs w:val="24"/>
        </w:rPr>
        <w:t>17.1.6-17.1.8</w:t>
      </w:r>
      <w:r>
        <w:rPr>
          <w:rFonts w:ascii="宋体" w:hAnsi="宋体" w:eastAsia="宋体" w:cs="宋体"/>
          <w:spacing w:val="-47"/>
          <w:sz w:val="24"/>
          <w:szCs w:val="24"/>
        </w:rPr>
        <w:t xml:space="preserve"> </w:t>
      </w:r>
      <w:r>
        <w:rPr>
          <w:rFonts w:ascii="宋体" w:hAnsi="宋体" w:eastAsia="宋体" w:cs="宋体"/>
          <w:spacing w:val="-4"/>
          <w:sz w:val="24"/>
          <w:szCs w:val="24"/>
        </w:rPr>
        <w:t>项：</w:t>
      </w:r>
    </w:p>
    <w:p w14:paraId="4DA1AAA2">
      <w:pPr>
        <w:spacing w:before="183" w:line="220" w:lineRule="auto"/>
        <w:ind w:left="507"/>
        <w:rPr>
          <w:rFonts w:ascii="宋体" w:hAnsi="宋体" w:eastAsia="宋体" w:cs="宋体"/>
          <w:sz w:val="24"/>
          <w:szCs w:val="24"/>
        </w:rPr>
      </w:pPr>
      <w:r>
        <w:rPr>
          <w:rFonts w:ascii="宋体" w:hAnsi="宋体" w:eastAsia="宋体" w:cs="宋体"/>
          <w:spacing w:val="-2"/>
          <w:sz w:val="24"/>
          <w:szCs w:val="24"/>
        </w:rPr>
        <w:t>17.1.6</w:t>
      </w:r>
      <w:r>
        <w:rPr>
          <w:rFonts w:ascii="宋体" w:hAnsi="宋体" w:eastAsia="宋体" w:cs="宋体"/>
          <w:spacing w:val="-51"/>
          <w:sz w:val="24"/>
          <w:szCs w:val="24"/>
        </w:rPr>
        <w:t xml:space="preserve"> </w:t>
      </w:r>
      <w:r>
        <w:rPr>
          <w:rFonts w:ascii="宋体" w:hAnsi="宋体" w:eastAsia="宋体" w:cs="宋体"/>
          <w:spacing w:val="-2"/>
          <w:sz w:val="24"/>
          <w:szCs w:val="24"/>
        </w:rPr>
        <w:t>变更工程的暂定计量和支付</w:t>
      </w:r>
    </w:p>
    <w:p w14:paraId="6607EC29">
      <w:pPr>
        <w:spacing w:before="183" w:line="361" w:lineRule="auto"/>
        <w:ind w:left="9" w:right="1" w:firstLine="486"/>
        <w:jc w:val="both"/>
        <w:rPr>
          <w:rFonts w:ascii="宋体" w:hAnsi="宋体" w:eastAsia="宋体" w:cs="宋体"/>
          <w:sz w:val="24"/>
          <w:szCs w:val="24"/>
        </w:rPr>
      </w:pPr>
      <w:r>
        <w:rPr>
          <w:rFonts w:ascii="宋体" w:hAnsi="宋体" w:eastAsia="宋体" w:cs="宋体"/>
          <w:spacing w:val="1"/>
          <w:sz w:val="24"/>
          <w:szCs w:val="24"/>
        </w:rPr>
        <w:t>（1）需报发包人上级主管部门审批的变更工程项目，在发包人审核完成而尚未获</w:t>
      </w:r>
      <w:r>
        <w:rPr>
          <w:rFonts w:ascii="宋体" w:hAnsi="宋体" w:eastAsia="宋体" w:cs="宋体"/>
          <w:spacing w:val="-2"/>
          <w:sz w:val="24"/>
          <w:szCs w:val="24"/>
        </w:rPr>
        <w:t>得上级主管部门审批时，可采用暂定计量，暂定计量金额不超过发包人审核后的合同变</w:t>
      </w:r>
      <w:r>
        <w:rPr>
          <w:rFonts w:ascii="宋体" w:hAnsi="宋体" w:eastAsia="宋体" w:cs="宋体"/>
          <w:sz w:val="24"/>
          <w:szCs w:val="24"/>
        </w:rPr>
        <w:t>更金额的</w:t>
      </w:r>
      <w:r>
        <w:rPr>
          <w:rFonts w:ascii="宋体" w:hAnsi="宋体" w:eastAsia="宋体" w:cs="宋体"/>
          <w:spacing w:val="-49"/>
          <w:sz w:val="24"/>
          <w:szCs w:val="24"/>
        </w:rPr>
        <w:t xml:space="preserve"> </w:t>
      </w:r>
      <w:r>
        <w:rPr>
          <w:rFonts w:ascii="宋体" w:hAnsi="宋体" w:eastAsia="宋体" w:cs="宋体"/>
          <w:sz w:val="24"/>
          <w:szCs w:val="24"/>
        </w:rPr>
        <w:t>85%。待上级主管部门审批后按审批结果进行实际</w:t>
      </w:r>
      <w:r>
        <w:rPr>
          <w:rFonts w:ascii="宋体" w:hAnsi="宋体" w:eastAsia="宋体" w:cs="宋体"/>
          <w:spacing w:val="-1"/>
          <w:sz w:val="24"/>
          <w:szCs w:val="24"/>
        </w:rPr>
        <w:t>计量，并扣回已暂计量的金</w:t>
      </w:r>
      <w:r>
        <w:rPr>
          <w:rFonts w:ascii="宋体" w:hAnsi="宋体" w:eastAsia="宋体" w:cs="宋体"/>
          <w:spacing w:val="-12"/>
          <w:sz w:val="24"/>
          <w:szCs w:val="24"/>
        </w:rPr>
        <w:t>额。</w:t>
      </w:r>
    </w:p>
    <w:p w14:paraId="642746BD">
      <w:pPr>
        <w:spacing w:before="75" w:line="364" w:lineRule="auto"/>
        <w:ind w:left="11" w:right="1" w:firstLine="484"/>
        <w:jc w:val="both"/>
        <w:rPr>
          <w:rFonts w:ascii="宋体" w:hAnsi="宋体" w:eastAsia="宋体" w:cs="宋体"/>
          <w:sz w:val="24"/>
          <w:szCs w:val="24"/>
        </w:rPr>
      </w:pPr>
      <w:r>
        <w:rPr>
          <w:rFonts w:ascii="宋体" w:hAnsi="宋体" w:eastAsia="宋体" w:cs="宋体"/>
          <w:spacing w:val="-3"/>
          <w:sz w:val="24"/>
          <w:szCs w:val="24"/>
        </w:rPr>
        <w:t>（2）第</w:t>
      </w:r>
      <w:r>
        <w:rPr>
          <w:rFonts w:ascii="宋体" w:hAnsi="宋体" w:eastAsia="宋体" w:cs="宋体"/>
          <w:spacing w:val="-47"/>
          <w:sz w:val="24"/>
          <w:szCs w:val="24"/>
        </w:rPr>
        <w:t xml:space="preserve"> </w:t>
      </w:r>
      <w:r>
        <w:rPr>
          <w:rFonts w:ascii="宋体" w:hAnsi="宋体" w:eastAsia="宋体" w:cs="宋体"/>
          <w:spacing w:val="-3"/>
          <w:sz w:val="24"/>
          <w:szCs w:val="24"/>
        </w:rPr>
        <w:t>20.1.3（1）目中变更工程，在承</w:t>
      </w:r>
      <w:r>
        <w:rPr>
          <w:rFonts w:ascii="宋体" w:hAnsi="宋体" w:eastAsia="宋体" w:cs="宋体"/>
          <w:spacing w:val="-4"/>
          <w:sz w:val="24"/>
          <w:szCs w:val="24"/>
        </w:rPr>
        <w:t>包人已根据合同规定向保险人报案但发包</w:t>
      </w:r>
      <w:r>
        <w:rPr>
          <w:rFonts w:ascii="宋体" w:hAnsi="宋体" w:eastAsia="宋体" w:cs="宋体"/>
          <w:spacing w:val="-2"/>
          <w:sz w:val="24"/>
          <w:szCs w:val="24"/>
        </w:rPr>
        <w:t>人尚未收到保险人支付的赔付金时，可采用暂定计量，暂定计量金额不超过发包人审核</w:t>
      </w:r>
      <w:r>
        <w:rPr>
          <w:rFonts w:ascii="宋体" w:hAnsi="宋体" w:eastAsia="宋体" w:cs="宋体"/>
          <w:spacing w:val="-1"/>
          <w:sz w:val="24"/>
          <w:szCs w:val="24"/>
        </w:rPr>
        <w:t>后变更金额的</w:t>
      </w:r>
      <w:r>
        <w:rPr>
          <w:rFonts w:ascii="宋体" w:hAnsi="宋体" w:eastAsia="宋体" w:cs="宋体"/>
          <w:spacing w:val="-50"/>
          <w:sz w:val="24"/>
          <w:szCs w:val="24"/>
        </w:rPr>
        <w:t xml:space="preserve"> </w:t>
      </w:r>
      <w:r>
        <w:rPr>
          <w:rFonts w:ascii="宋体" w:hAnsi="宋体" w:eastAsia="宋体" w:cs="宋体"/>
          <w:spacing w:val="-1"/>
          <w:sz w:val="24"/>
          <w:szCs w:val="24"/>
        </w:rPr>
        <w:t>80%。发包人收到赔付金后进</w:t>
      </w:r>
      <w:r>
        <w:rPr>
          <w:rFonts w:ascii="宋体" w:hAnsi="宋体" w:eastAsia="宋体" w:cs="宋体"/>
          <w:spacing w:val="-2"/>
          <w:sz w:val="24"/>
          <w:szCs w:val="24"/>
        </w:rPr>
        <w:t>行实际计量，并扣回已暂定计量的金额。</w:t>
      </w:r>
    </w:p>
    <w:p w14:paraId="366B7320">
      <w:pPr>
        <w:spacing w:before="1" w:line="219" w:lineRule="auto"/>
        <w:ind w:left="507"/>
        <w:rPr>
          <w:rFonts w:ascii="宋体" w:hAnsi="宋体" w:eastAsia="宋体" w:cs="宋体"/>
          <w:sz w:val="24"/>
          <w:szCs w:val="24"/>
        </w:rPr>
      </w:pPr>
      <w:r>
        <w:rPr>
          <w:rFonts w:ascii="宋体" w:hAnsi="宋体" w:eastAsia="宋体" w:cs="宋体"/>
          <w:spacing w:val="-3"/>
          <w:sz w:val="24"/>
          <w:szCs w:val="24"/>
        </w:rPr>
        <w:t>17.1.7</w:t>
      </w:r>
      <w:r>
        <w:rPr>
          <w:rFonts w:ascii="宋体" w:hAnsi="宋体" w:eastAsia="宋体" w:cs="宋体"/>
          <w:spacing w:val="-37"/>
          <w:sz w:val="24"/>
          <w:szCs w:val="24"/>
        </w:rPr>
        <w:t xml:space="preserve"> </w:t>
      </w:r>
      <w:r>
        <w:rPr>
          <w:rFonts w:ascii="宋体" w:hAnsi="宋体" w:eastAsia="宋体" w:cs="宋体"/>
          <w:spacing w:val="-3"/>
          <w:sz w:val="24"/>
          <w:szCs w:val="24"/>
        </w:rPr>
        <w:t>路面备料款的计量和支付</w:t>
      </w:r>
    </w:p>
    <w:p w14:paraId="6C7A97FB">
      <w:pPr>
        <w:spacing w:before="182" w:line="219" w:lineRule="auto"/>
        <w:ind w:right="6"/>
        <w:jc w:val="right"/>
        <w:rPr>
          <w:rFonts w:ascii="宋体" w:hAnsi="宋体" w:eastAsia="宋体" w:cs="宋体"/>
          <w:sz w:val="24"/>
          <w:szCs w:val="24"/>
        </w:rPr>
      </w:pPr>
      <w:r>
        <w:rPr>
          <w:rFonts w:ascii="宋体" w:hAnsi="宋体" w:eastAsia="宋体" w:cs="宋体"/>
          <w:spacing w:val="-2"/>
          <w:sz w:val="24"/>
          <w:szCs w:val="24"/>
        </w:rPr>
        <w:t>发包人将对承包人的路面碎石、机制砂备料款进行暂定计量，具体操作办法如下：</w:t>
      </w:r>
    </w:p>
    <w:p w14:paraId="7728A193">
      <w:pPr>
        <w:spacing w:before="184" w:line="360" w:lineRule="auto"/>
        <w:ind w:left="10" w:right="12" w:firstLine="485"/>
        <w:rPr>
          <w:rFonts w:ascii="宋体" w:hAnsi="宋体" w:eastAsia="宋体" w:cs="宋体"/>
          <w:sz w:val="24"/>
          <w:szCs w:val="24"/>
        </w:rPr>
      </w:pPr>
      <w:r>
        <w:rPr>
          <w:rFonts w:ascii="宋体" w:hAnsi="宋体" w:eastAsia="宋体" w:cs="宋体"/>
          <w:spacing w:val="1"/>
          <w:sz w:val="24"/>
          <w:szCs w:val="24"/>
        </w:rPr>
        <w:t>（1）计量数量：以承包人实际进场并经监理人和发包人代表验收确认数量的项目</w:t>
      </w:r>
      <w:r>
        <w:rPr>
          <w:rFonts w:ascii="宋体" w:hAnsi="宋体" w:eastAsia="宋体" w:cs="宋体"/>
          <w:spacing w:val="-4"/>
          <w:sz w:val="24"/>
          <w:szCs w:val="24"/>
        </w:rPr>
        <w:t>专用合同条款数据表约定的比例计；</w:t>
      </w:r>
    </w:p>
    <w:p w14:paraId="5905B621">
      <w:pPr>
        <w:spacing w:line="360" w:lineRule="auto"/>
        <w:ind w:left="15" w:right="12" w:firstLine="480"/>
        <w:rPr>
          <w:rFonts w:ascii="宋体" w:hAnsi="宋体" w:eastAsia="宋体" w:cs="宋体"/>
          <w:sz w:val="24"/>
          <w:szCs w:val="24"/>
        </w:rPr>
      </w:pPr>
      <w:r>
        <w:rPr>
          <w:rFonts w:ascii="宋体" w:hAnsi="宋体" w:eastAsia="宋体" w:cs="宋体"/>
          <w:spacing w:val="1"/>
          <w:sz w:val="24"/>
          <w:szCs w:val="24"/>
        </w:rPr>
        <w:t>（2）计量单价：本合同段招标最高投标限价清单预算采用的相应规格材料预算价</w:t>
      </w:r>
      <w:r>
        <w:rPr>
          <w:rFonts w:ascii="宋体" w:hAnsi="宋体" w:eastAsia="宋体" w:cs="宋体"/>
          <w:spacing w:val="-12"/>
          <w:sz w:val="24"/>
          <w:szCs w:val="24"/>
        </w:rPr>
        <w:t>（不含税</w:t>
      </w:r>
      <w:r>
        <w:rPr>
          <w:rFonts w:ascii="宋体" w:hAnsi="宋体" w:eastAsia="宋体" w:cs="宋体"/>
          <w:spacing w:val="-6"/>
          <w:sz w:val="24"/>
          <w:szCs w:val="24"/>
        </w:rPr>
        <w:t>）；</w:t>
      </w:r>
    </w:p>
    <w:p w14:paraId="12D9C6AF">
      <w:pPr>
        <w:spacing w:line="219" w:lineRule="auto"/>
        <w:ind w:left="495"/>
        <w:rPr>
          <w:rFonts w:ascii="宋体" w:hAnsi="宋体" w:eastAsia="宋体" w:cs="宋体"/>
          <w:sz w:val="24"/>
          <w:szCs w:val="24"/>
        </w:rPr>
      </w:pPr>
      <w:r>
        <w:rPr>
          <w:rFonts w:ascii="宋体" w:hAnsi="宋体" w:eastAsia="宋体" w:cs="宋体"/>
          <w:spacing w:val="-3"/>
          <w:sz w:val="24"/>
          <w:szCs w:val="24"/>
        </w:rPr>
        <w:t>（3）计量方式：每月计量一次；</w:t>
      </w:r>
    </w:p>
    <w:p w14:paraId="458BA29F">
      <w:pPr>
        <w:spacing w:before="183" w:line="362" w:lineRule="auto"/>
        <w:ind w:left="10" w:right="12" w:firstLine="485"/>
        <w:rPr>
          <w:rFonts w:ascii="宋体" w:hAnsi="宋体" w:eastAsia="宋体" w:cs="宋体"/>
          <w:sz w:val="24"/>
          <w:szCs w:val="24"/>
        </w:rPr>
      </w:pPr>
      <w:r>
        <w:rPr>
          <w:rFonts w:ascii="宋体" w:hAnsi="宋体" w:eastAsia="宋体" w:cs="宋体"/>
          <w:spacing w:val="1"/>
          <w:sz w:val="24"/>
          <w:szCs w:val="24"/>
        </w:rPr>
        <w:t>（4）暂定计量备料款的扣回：承包人所备的碎石、机制砂材料已用于路面施工并</w:t>
      </w:r>
      <w:r>
        <w:rPr>
          <w:rFonts w:ascii="宋体" w:hAnsi="宋体" w:eastAsia="宋体" w:cs="宋体"/>
          <w:spacing w:val="-2"/>
          <w:sz w:val="24"/>
          <w:szCs w:val="24"/>
        </w:rPr>
        <w:t>得到正常计量后，发包人将在计量当期扣回对应的暂定计量备料款。</w:t>
      </w:r>
    </w:p>
    <w:p w14:paraId="1D84EA7E">
      <w:pPr>
        <w:spacing w:line="362" w:lineRule="auto"/>
        <w:rPr>
          <w:rFonts w:ascii="宋体" w:hAnsi="宋体" w:eastAsia="宋体" w:cs="宋体"/>
          <w:sz w:val="24"/>
          <w:szCs w:val="24"/>
        </w:rPr>
        <w:sectPr>
          <w:headerReference r:id="rId108" w:type="default"/>
          <w:footerReference r:id="rId109" w:type="default"/>
          <w:pgSz w:w="11905" w:h="16840"/>
          <w:pgMar w:top="1182" w:right="1414" w:bottom="1171" w:left="1416" w:header="849" w:footer="937" w:gutter="0"/>
          <w:pgNumType w:fmt="decimal"/>
          <w:cols w:space="720" w:num="1"/>
        </w:sectPr>
      </w:pPr>
    </w:p>
    <w:p w14:paraId="1C808576">
      <w:pPr>
        <w:pStyle w:val="2"/>
        <w:spacing w:line="267" w:lineRule="auto"/>
      </w:pPr>
    </w:p>
    <w:p w14:paraId="26A82043">
      <w:pPr>
        <w:spacing w:before="78" w:line="220" w:lineRule="auto"/>
        <w:ind w:left="507"/>
        <w:rPr>
          <w:rFonts w:ascii="宋体" w:hAnsi="宋体" w:eastAsia="宋体" w:cs="宋体"/>
          <w:sz w:val="24"/>
          <w:szCs w:val="24"/>
        </w:rPr>
      </w:pPr>
      <w:r>
        <w:rPr>
          <w:rFonts w:ascii="宋体" w:hAnsi="宋体" w:eastAsia="宋体" w:cs="宋体"/>
          <w:spacing w:val="-3"/>
          <w:sz w:val="24"/>
          <w:szCs w:val="24"/>
        </w:rPr>
        <w:t>17.1.8</w:t>
      </w:r>
      <w:r>
        <w:rPr>
          <w:rFonts w:ascii="宋体" w:hAnsi="宋体" w:eastAsia="宋体" w:cs="宋体"/>
          <w:spacing w:val="-40"/>
          <w:sz w:val="24"/>
          <w:szCs w:val="24"/>
        </w:rPr>
        <w:t xml:space="preserve"> </w:t>
      </w:r>
      <w:r>
        <w:rPr>
          <w:rFonts w:ascii="宋体" w:hAnsi="宋体" w:eastAsia="宋体" w:cs="宋体"/>
          <w:spacing w:val="-3"/>
          <w:sz w:val="24"/>
          <w:szCs w:val="24"/>
        </w:rPr>
        <w:t>过程结算的计量和支付</w:t>
      </w:r>
    </w:p>
    <w:p w14:paraId="74DE6CE4">
      <w:pPr>
        <w:spacing w:before="182" w:line="360" w:lineRule="auto"/>
        <w:ind w:left="10" w:firstLine="482"/>
        <w:rPr>
          <w:rFonts w:ascii="宋体" w:hAnsi="宋体" w:eastAsia="宋体" w:cs="宋体"/>
          <w:sz w:val="24"/>
          <w:szCs w:val="24"/>
        </w:rPr>
      </w:pPr>
      <w:r>
        <w:rPr>
          <w:rFonts w:ascii="宋体" w:hAnsi="宋体" w:eastAsia="宋体" w:cs="宋体"/>
          <w:spacing w:val="-2"/>
          <w:sz w:val="24"/>
          <w:szCs w:val="24"/>
        </w:rPr>
        <w:t>发包人制定过程结算制度并明确有关过程结算的计量支付规则，未按要求完成过程</w:t>
      </w:r>
      <w:r>
        <w:rPr>
          <w:rFonts w:ascii="宋体" w:hAnsi="宋体" w:eastAsia="宋体" w:cs="宋体"/>
          <w:spacing w:val="-1"/>
          <w:sz w:val="24"/>
          <w:szCs w:val="24"/>
        </w:rPr>
        <w:t>结算的费用项，最高支付金额不宜超过建设单</w:t>
      </w:r>
      <w:r>
        <w:rPr>
          <w:rFonts w:ascii="宋体" w:hAnsi="宋体" w:eastAsia="宋体" w:cs="宋体"/>
          <w:spacing w:val="-2"/>
          <w:sz w:val="24"/>
          <w:szCs w:val="24"/>
        </w:rPr>
        <w:t>位审核确认的 97%，过程结算完成后方可</w:t>
      </w:r>
      <w:r>
        <w:rPr>
          <w:rFonts w:ascii="宋体" w:hAnsi="宋体" w:eastAsia="宋体" w:cs="宋体"/>
          <w:spacing w:val="-5"/>
          <w:sz w:val="24"/>
          <w:szCs w:val="24"/>
        </w:rPr>
        <w:t>支付余下金额。完工结算率低于</w:t>
      </w:r>
      <w:r>
        <w:rPr>
          <w:rFonts w:ascii="宋体" w:hAnsi="宋体" w:eastAsia="宋体" w:cs="宋体"/>
          <w:spacing w:val="-33"/>
          <w:sz w:val="24"/>
          <w:szCs w:val="24"/>
        </w:rPr>
        <w:t xml:space="preserve"> </w:t>
      </w:r>
      <w:r>
        <w:rPr>
          <w:rFonts w:ascii="宋体" w:hAnsi="宋体" w:eastAsia="宋体" w:cs="宋体"/>
          <w:spacing w:val="-5"/>
          <w:sz w:val="24"/>
          <w:szCs w:val="24"/>
        </w:rPr>
        <w:t>30%的，在后续计量支付中可暂扣工程进度款一定比例，</w:t>
      </w:r>
      <w:r>
        <w:rPr>
          <w:rFonts w:ascii="宋体" w:hAnsi="宋体" w:eastAsia="宋体" w:cs="宋体"/>
          <w:spacing w:val="-4"/>
          <w:sz w:val="24"/>
          <w:szCs w:val="24"/>
        </w:rPr>
        <w:t>具体在过程结算条款中明确。</w:t>
      </w:r>
    </w:p>
    <w:p w14:paraId="1787244E">
      <w:pPr>
        <w:spacing w:line="219" w:lineRule="auto"/>
        <w:ind w:left="507"/>
        <w:rPr>
          <w:rFonts w:ascii="宋体" w:hAnsi="宋体" w:eastAsia="宋体" w:cs="宋体"/>
          <w:sz w:val="24"/>
          <w:szCs w:val="24"/>
        </w:rPr>
      </w:pPr>
      <w:r>
        <w:rPr>
          <w:rFonts w:ascii="宋体" w:hAnsi="宋体" w:eastAsia="宋体" w:cs="宋体"/>
          <w:spacing w:val="-5"/>
          <w:sz w:val="24"/>
          <w:szCs w:val="24"/>
        </w:rPr>
        <w:t>17.2</w:t>
      </w:r>
      <w:r>
        <w:rPr>
          <w:rFonts w:ascii="宋体" w:hAnsi="宋体" w:eastAsia="宋体" w:cs="宋体"/>
          <w:spacing w:val="11"/>
          <w:sz w:val="24"/>
          <w:szCs w:val="24"/>
        </w:rPr>
        <w:t xml:space="preserve"> </w:t>
      </w:r>
      <w:r>
        <w:rPr>
          <w:rFonts w:ascii="宋体" w:hAnsi="宋体" w:eastAsia="宋体" w:cs="宋体"/>
          <w:spacing w:val="-5"/>
          <w:sz w:val="24"/>
          <w:szCs w:val="24"/>
        </w:rPr>
        <w:t>预付款</w:t>
      </w:r>
    </w:p>
    <w:p w14:paraId="5FDE1194">
      <w:pPr>
        <w:spacing w:before="182" w:line="220" w:lineRule="auto"/>
        <w:ind w:left="507"/>
        <w:rPr>
          <w:rFonts w:ascii="宋体" w:hAnsi="宋体" w:eastAsia="宋体" w:cs="宋体"/>
          <w:sz w:val="24"/>
          <w:szCs w:val="24"/>
        </w:rPr>
      </w:pPr>
      <w:r>
        <w:rPr>
          <w:rFonts w:ascii="宋体" w:hAnsi="宋体" w:eastAsia="宋体" w:cs="宋体"/>
          <w:spacing w:val="-2"/>
          <w:sz w:val="24"/>
          <w:szCs w:val="24"/>
        </w:rPr>
        <w:t>17.2.3 预付款的扣回与还清</w:t>
      </w:r>
    </w:p>
    <w:p w14:paraId="54422789">
      <w:pPr>
        <w:spacing w:before="182" w:line="219" w:lineRule="auto"/>
        <w:ind w:left="490"/>
        <w:rPr>
          <w:rFonts w:ascii="宋体" w:hAnsi="宋体" w:eastAsia="宋体" w:cs="宋体"/>
          <w:sz w:val="24"/>
          <w:szCs w:val="24"/>
        </w:rPr>
      </w:pPr>
      <w:r>
        <w:rPr>
          <w:rFonts w:ascii="宋体" w:hAnsi="宋体" w:eastAsia="宋体" w:cs="宋体"/>
          <w:spacing w:val="-5"/>
          <w:sz w:val="24"/>
          <w:szCs w:val="24"/>
        </w:rPr>
        <w:t>本款补充第</w:t>
      </w:r>
      <w:r>
        <w:rPr>
          <w:rFonts w:hint="eastAsia" w:ascii="宋体" w:hAnsi="宋体" w:cs="宋体"/>
          <w:spacing w:val="-5"/>
          <w:sz w:val="24"/>
          <w:szCs w:val="24"/>
          <w:lang w:eastAsia="zh-CN"/>
        </w:rPr>
        <w:t>（</w:t>
      </w:r>
      <w:r>
        <w:rPr>
          <w:rFonts w:ascii="宋体" w:hAnsi="宋体" w:eastAsia="宋体" w:cs="宋体"/>
          <w:spacing w:val="-5"/>
          <w:sz w:val="24"/>
          <w:szCs w:val="24"/>
        </w:rPr>
        <w:t>3</w:t>
      </w:r>
      <w:r>
        <w:rPr>
          <w:rFonts w:hint="eastAsia" w:ascii="宋体" w:hAnsi="宋体" w:cs="宋体"/>
          <w:spacing w:val="-5"/>
          <w:sz w:val="24"/>
          <w:szCs w:val="24"/>
          <w:lang w:eastAsia="zh-CN"/>
        </w:rPr>
        <w:t>）</w:t>
      </w:r>
      <w:r>
        <w:rPr>
          <w:rFonts w:ascii="宋体" w:hAnsi="宋体" w:eastAsia="宋体" w:cs="宋体"/>
          <w:spacing w:val="-5"/>
          <w:sz w:val="24"/>
          <w:szCs w:val="24"/>
        </w:rPr>
        <w:t>目如下：</w:t>
      </w:r>
    </w:p>
    <w:p w14:paraId="1C17E4E4">
      <w:pPr>
        <w:spacing w:before="183" w:line="220" w:lineRule="auto"/>
        <w:ind w:left="531"/>
        <w:rPr>
          <w:rFonts w:ascii="宋体" w:hAnsi="宋体" w:eastAsia="宋体" w:cs="宋体"/>
          <w:sz w:val="24"/>
          <w:szCs w:val="24"/>
        </w:rPr>
      </w:pPr>
      <w:r>
        <w:rPr>
          <w:rFonts w:ascii="宋体" w:hAnsi="宋体" w:eastAsia="宋体" w:cs="宋体"/>
          <w:spacing w:val="-2"/>
          <w:sz w:val="24"/>
          <w:szCs w:val="24"/>
        </w:rPr>
        <w:t>(3) 如有需要，发包人可根据实际情况制定更符合工程需要</w:t>
      </w:r>
      <w:r>
        <w:rPr>
          <w:rFonts w:ascii="宋体" w:hAnsi="宋体" w:eastAsia="宋体" w:cs="宋体"/>
          <w:spacing w:val="-3"/>
          <w:sz w:val="24"/>
          <w:szCs w:val="24"/>
        </w:rPr>
        <w:t>的预付款月扣款比例。</w:t>
      </w:r>
    </w:p>
    <w:p w14:paraId="037AD108">
      <w:pPr>
        <w:spacing w:before="182" w:line="220" w:lineRule="auto"/>
        <w:ind w:left="507"/>
        <w:rPr>
          <w:rFonts w:ascii="宋体" w:hAnsi="宋体" w:eastAsia="宋体" w:cs="宋体"/>
          <w:sz w:val="24"/>
          <w:szCs w:val="24"/>
        </w:rPr>
      </w:pPr>
      <w:r>
        <w:rPr>
          <w:rFonts w:ascii="宋体" w:hAnsi="宋体" w:eastAsia="宋体" w:cs="宋体"/>
          <w:spacing w:val="-3"/>
          <w:sz w:val="24"/>
          <w:szCs w:val="24"/>
        </w:rPr>
        <w:t>17.3 工程进度付款</w:t>
      </w:r>
    </w:p>
    <w:p w14:paraId="18A4CDE4">
      <w:pPr>
        <w:spacing w:before="165" w:line="233" w:lineRule="auto"/>
        <w:ind w:left="507"/>
        <w:rPr>
          <w:rFonts w:hint="eastAsia" w:ascii="宋体" w:hAnsi="宋体" w:eastAsia="宋体" w:cs="宋体"/>
          <w:sz w:val="12"/>
          <w:szCs w:val="12"/>
          <w:lang w:eastAsia="zh-CN"/>
        </w:rPr>
      </w:pPr>
      <w:r>
        <w:rPr>
          <w:rFonts w:ascii="宋体" w:hAnsi="宋体" w:eastAsia="宋体" w:cs="宋体"/>
          <w:spacing w:val="-4"/>
          <w:sz w:val="24"/>
          <w:szCs w:val="24"/>
        </w:rPr>
        <w:t>17.3.1</w:t>
      </w:r>
      <w:r>
        <w:rPr>
          <w:rFonts w:ascii="宋体" w:hAnsi="宋体" w:eastAsia="宋体" w:cs="宋体"/>
          <w:spacing w:val="-45"/>
          <w:sz w:val="24"/>
          <w:szCs w:val="24"/>
        </w:rPr>
        <w:t xml:space="preserve"> </w:t>
      </w:r>
      <w:r>
        <w:rPr>
          <w:rFonts w:ascii="宋体" w:hAnsi="宋体" w:eastAsia="宋体" w:cs="宋体"/>
          <w:spacing w:val="-4"/>
          <w:sz w:val="24"/>
          <w:szCs w:val="24"/>
        </w:rPr>
        <w:t>付款周期</w:t>
      </w:r>
    </w:p>
    <w:p w14:paraId="1CA9C161">
      <w:pPr>
        <w:spacing w:before="182" w:line="219" w:lineRule="auto"/>
        <w:ind w:left="490"/>
        <w:rPr>
          <w:rFonts w:ascii="宋体" w:hAnsi="宋体" w:eastAsia="宋体" w:cs="宋体"/>
          <w:sz w:val="24"/>
          <w:szCs w:val="24"/>
        </w:rPr>
      </w:pPr>
      <w:r>
        <w:rPr>
          <w:rFonts w:ascii="宋体" w:hAnsi="宋体" w:eastAsia="宋体" w:cs="宋体"/>
          <w:spacing w:val="-11"/>
          <w:sz w:val="24"/>
          <w:szCs w:val="24"/>
        </w:rPr>
        <w:t>本项补充：</w:t>
      </w:r>
    </w:p>
    <w:p w14:paraId="25C2AAA5">
      <w:pPr>
        <w:spacing w:before="184" w:line="360" w:lineRule="auto"/>
        <w:ind w:left="9" w:right="66" w:firstLine="483"/>
        <w:jc w:val="both"/>
        <w:rPr>
          <w:rFonts w:ascii="宋体" w:hAnsi="宋体" w:eastAsia="宋体" w:cs="宋体"/>
          <w:sz w:val="24"/>
          <w:szCs w:val="24"/>
        </w:rPr>
      </w:pPr>
      <w:r>
        <w:rPr>
          <w:rFonts w:ascii="宋体" w:hAnsi="宋体" w:eastAsia="宋体" w:cs="宋体"/>
          <w:spacing w:val="-2"/>
          <w:sz w:val="24"/>
          <w:szCs w:val="24"/>
        </w:rPr>
        <w:t>发包人根据工程进度需要，可在一个计量周期内实行“一次计量、两次支付”的方</w:t>
      </w:r>
      <w:r>
        <w:rPr>
          <w:rFonts w:ascii="宋体" w:hAnsi="宋体" w:eastAsia="宋体" w:cs="宋体"/>
          <w:sz w:val="24"/>
          <w:szCs w:val="24"/>
        </w:rPr>
        <w:t>式，即在承包人上报月计量报表经监理人审核后，发</w:t>
      </w:r>
      <w:r>
        <w:rPr>
          <w:rFonts w:ascii="宋体" w:hAnsi="宋体" w:eastAsia="宋体" w:cs="宋体"/>
          <w:spacing w:val="-1"/>
          <w:sz w:val="24"/>
          <w:szCs w:val="24"/>
        </w:rPr>
        <w:t>包人暂按当期计量金额的</w:t>
      </w:r>
      <w:r>
        <w:rPr>
          <w:rFonts w:ascii="宋体" w:hAnsi="宋体" w:eastAsia="宋体" w:cs="宋体"/>
          <w:spacing w:val="-44"/>
          <w:sz w:val="24"/>
          <w:szCs w:val="24"/>
        </w:rPr>
        <w:t xml:space="preserve"> </w:t>
      </w:r>
      <w:r>
        <w:rPr>
          <w:rFonts w:ascii="宋体" w:hAnsi="宋体" w:eastAsia="宋体" w:cs="宋体"/>
          <w:spacing w:val="-1"/>
          <w:sz w:val="24"/>
          <w:szCs w:val="24"/>
        </w:rPr>
        <w:t>50%进行</w:t>
      </w:r>
      <w:r>
        <w:rPr>
          <w:rFonts w:ascii="宋体" w:hAnsi="宋体" w:eastAsia="宋体" w:cs="宋体"/>
          <w:spacing w:val="-2"/>
          <w:sz w:val="24"/>
          <w:szCs w:val="24"/>
        </w:rPr>
        <w:t>第一次支付，待月计量报表审核流程结束后，发包人根据审批的付款证书进行第二次支</w:t>
      </w:r>
      <w:r>
        <w:rPr>
          <w:rFonts w:ascii="宋体" w:hAnsi="宋体" w:eastAsia="宋体" w:cs="宋体"/>
          <w:spacing w:val="6"/>
          <w:sz w:val="24"/>
          <w:szCs w:val="24"/>
        </w:rPr>
        <w:t>付，并扣回第一次的暂定支付金额。”</w:t>
      </w:r>
    </w:p>
    <w:p w14:paraId="3F306482">
      <w:pPr>
        <w:spacing w:before="1" w:line="218" w:lineRule="auto"/>
        <w:ind w:left="487"/>
        <w:rPr>
          <w:rFonts w:ascii="宋体" w:hAnsi="宋体" w:eastAsia="宋体" w:cs="宋体"/>
          <w:sz w:val="24"/>
          <w:szCs w:val="24"/>
        </w:rPr>
      </w:pPr>
      <w:r>
        <w:rPr>
          <w:rFonts w:ascii="宋体" w:hAnsi="宋体" w:eastAsia="宋体" w:cs="宋体"/>
          <w:spacing w:val="-3"/>
          <w:sz w:val="24"/>
          <w:szCs w:val="24"/>
        </w:rPr>
        <w:t>将本款第</w:t>
      </w:r>
      <w:r>
        <w:rPr>
          <w:rFonts w:ascii="宋体" w:hAnsi="宋体" w:eastAsia="宋体" w:cs="宋体"/>
          <w:spacing w:val="-33"/>
          <w:sz w:val="24"/>
          <w:szCs w:val="24"/>
        </w:rPr>
        <w:t xml:space="preserve"> </w:t>
      </w:r>
      <w:r>
        <w:rPr>
          <w:rFonts w:ascii="宋体" w:hAnsi="宋体" w:eastAsia="宋体" w:cs="宋体"/>
          <w:spacing w:val="-3"/>
          <w:sz w:val="24"/>
          <w:szCs w:val="24"/>
        </w:rPr>
        <w:t>17.3.5</w:t>
      </w:r>
      <w:r>
        <w:rPr>
          <w:rFonts w:ascii="宋体" w:hAnsi="宋体" w:eastAsia="宋体" w:cs="宋体"/>
          <w:spacing w:val="-47"/>
          <w:sz w:val="24"/>
          <w:szCs w:val="24"/>
        </w:rPr>
        <w:t xml:space="preserve"> </w:t>
      </w:r>
      <w:r>
        <w:rPr>
          <w:rFonts w:ascii="宋体" w:hAnsi="宋体" w:eastAsia="宋体" w:cs="宋体"/>
          <w:spacing w:val="-3"/>
          <w:sz w:val="24"/>
          <w:szCs w:val="24"/>
        </w:rPr>
        <w:t>项细化如下</w:t>
      </w:r>
      <w:r>
        <w:rPr>
          <w:rFonts w:hint="eastAsia" w:ascii="宋体" w:hAnsi="宋体" w:cs="宋体"/>
          <w:spacing w:val="-3"/>
          <w:sz w:val="24"/>
          <w:szCs w:val="24"/>
          <w:lang w:eastAsia="zh-CN"/>
        </w:rPr>
        <w:t>：</w:t>
      </w:r>
    </w:p>
    <w:p w14:paraId="68B4B49E">
      <w:pPr>
        <w:spacing w:before="184" w:line="220" w:lineRule="auto"/>
        <w:ind w:left="507"/>
        <w:rPr>
          <w:rFonts w:ascii="宋体" w:hAnsi="宋体" w:eastAsia="宋体" w:cs="宋体"/>
          <w:sz w:val="24"/>
          <w:szCs w:val="24"/>
        </w:rPr>
      </w:pPr>
      <w:r>
        <w:rPr>
          <w:rFonts w:ascii="宋体" w:hAnsi="宋体" w:eastAsia="宋体" w:cs="宋体"/>
          <w:spacing w:val="-3"/>
          <w:sz w:val="24"/>
          <w:szCs w:val="24"/>
        </w:rPr>
        <w:t>17.3.5</w:t>
      </w:r>
      <w:r>
        <w:rPr>
          <w:rFonts w:ascii="宋体" w:hAnsi="宋体" w:eastAsia="宋体" w:cs="宋体"/>
          <w:spacing w:val="-45"/>
          <w:sz w:val="24"/>
          <w:szCs w:val="24"/>
        </w:rPr>
        <w:t xml:space="preserve"> </w:t>
      </w:r>
      <w:r>
        <w:rPr>
          <w:rFonts w:ascii="宋体" w:hAnsi="宋体" w:eastAsia="宋体" w:cs="宋体"/>
          <w:spacing w:val="-3"/>
          <w:sz w:val="24"/>
          <w:szCs w:val="24"/>
        </w:rPr>
        <w:t>农民工工资保证金</w:t>
      </w:r>
    </w:p>
    <w:p w14:paraId="7C6A8320">
      <w:pPr>
        <w:spacing w:before="181" w:line="353" w:lineRule="auto"/>
        <w:ind w:left="9" w:right="74" w:firstLine="481"/>
        <w:rPr>
          <w:rFonts w:ascii="宋体" w:hAnsi="宋体" w:eastAsia="宋体" w:cs="宋体"/>
          <w:sz w:val="24"/>
          <w:szCs w:val="24"/>
        </w:rPr>
      </w:pPr>
      <w:r>
        <w:rPr>
          <w:rFonts w:ascii="宋体" w:hAnsi="宋体" w:eastAsia="宋体" w:cs="宋体"/>
          <w:spacing w:val="-2"/>
          <w:sz w:val="24"/>
          <w:szCs w:val="24"/>
        </w:rPr>
        <w:t>按广东省交通运输厅转发人力资源社会保障部等部门《工程建设领域农民工工资保</w:t>
      </w:r>
      <w:r>
        <w:rPr>
          <w:rFonts w:ascii="宋体" w:hAnsi="宋体" w:eastAsia="宋体" w:cs="宋体"/>
          <w:spacing w:val="-4"/>
          <w:sz w:val="24"/>
          <w:szCs w:val="24"/>
        </w:rPr>
        <w:t>证金规定》的通知执行。</w:t>
      </w:r>
    </w:p>
    <w:p w14:paraId="56B33E1B">
      <w:pPr>
        <w:spacing w:before="1" w:line="234" w:lineRule="auto"/>
        <w:ind w:left="507"/>
        <w:rPr>
          <w:rFonts w:hint="eastAsia" w:ascii="宋体" w:hAnsi="宋体" w:eastAsia="宋体" w:cs="宋体"/>
          <w:sz w:val="12"/>
          <w:szCs w:val="12"/>
          <w:lang w:eastAsia="zh-CN"/>
        </w:rPr>
      </w:pPr>
      <w:r>
        <w:rPr>
          <w:rFonts w:ascii="宋体" w:hAnsi="宋体" w:eastAsia="宋体" w:cs="宋体"/>
          <w:spacing w:val="-3"/>
          <w:sz w:val="24"/>
          <w:szCs w:val="24"/>
        </w:rPr>
        <w:t>17.4 质量保证金</w:t>
      </w:r>
    </w:p>
    <w:p w14:paraId="1534EACE">
      <w:pPr>
        <w:spacing w:before="181" w:line="220"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30"/>
          <w:sz w:val="24"/>
          <w:szCs w:val="24"/>
        </w:rPr>
        <w:t xml:space="preserve"> </w:t>
      </w:r>
      <w:r>
        <w:rPr>
          <w:rFonts w:ascii="宋体" w:hAnsi="宋体" w:eastAsia="宋体" w:cs="宋体"/>
          <w:spacing w:val="-8"/>
          <w:sz w:val="24"/>
          <w:szCs w:val="24"/>
        </w:rPr>
        <w:t>17.4.2</w:t>
      </w:r>
      <w:r>
        <w:rPr>
          <w:rFonts w:ascii="宋体" w:hAnsi="宋体" w:eastAsia="宋体" w:cs="宋体"/>
          <w:spacing w:val="-46"/>
          <w:sz w:val="24"/>
          <w:szCs w:val="24"/>
        </w:rPr>
        <w:t xml:space="preserve"> </w:t>
      </w:r>
      <w:r>
        <w:rPr>
          <w:rFonts w:ascii="宋体" w:hAnsi="宋体" w:eastAsia="宋体" w:cs="宋体"/>
          <w:spacing w:val="-8"/>
          <w:sz w:val="24"/>
          <w:szCs w:val="24"/>
        </w:rPr>
        <w:t>项细化为：</w:t>
      </w:r>
    </w:p>
    <w:p w14:paraId="18F39272">
      <w:pPr>
        <w:spacing w:before="182" w:line="360" w:lineRule="auto"/>
        <w:ind w:left="9" w:right="66" w:firstLine="483"/>
        <w:jc w:val="both"/>
        <w:rPr>
          <w:rFonts w:ascii="宋体" w:hAnsi="宋体" w:eastAsia="宋体" w:cs="宋体"/>
          <w:sz w:val="24"/>
          <w:szCs w:val="24"/>
        </w:rPr>
      </w:pPr>
      <w:r>
        <w:rPr>
          <w:rFonts w:ascii="宋体" w:hAnsi="宋体" w:eastAsia="宋体" w:cs="宋体"/>
          <w:spacing w:val="-2"/>
          <w:sz w:val="24"/>
          <w:szCs w:val="24"/>
        </w:rPr>
        <w:t>项目完成竣工决算审查备案和竣工决算审计，且发包人和承包人最终确定结算金额后</w:t>
      </w:r>
      <w:r>
        <w:rPr>
          <w:rFonts w:ascii="宋体" w:hAnsi="宋体" w:eastAsia="宋体" w:cs="宋体"/>
          <w:spacing w:val="-36"/>
          <w:sz w:val="24"/>
          <w:szCs w:val="24"/>
        </w:rPr>
        <w:t xml:space="preserve"> </w:t>
      </w:r>
      <w:r>
        <w:rPr>
          <w:rFonts w:ascii="宋体" w:hAnsi="宋体" w:eastAsia="宋体" w:cs="宋体"/>
          <w:spacing w:val="-2"/>
          <w:sz w:val="24"/>
          <w:szCs w:val="24"/>
        </w:rPr>
        <w:t>30</w:t>
      </w:r>
      <w:r>
        <w:rPr>
          <w:rFonts w:ascii="宋体" w:hAnsi="宋体" w:eastAsia="宋体" w:cs="宋体"/>
          <w:spacing w:val="-46"/>
          <w:sz w:val="24"/>
          <w:szCs w:val="24"/>
        </w:rPr>
        <w:t xml:space="preserve"> </w:t>
      </w:r>
      <w:r>
        <w:rPr>
          <w:rFonts w:ascii="宋体" w:hAnsi="宋体" w:eastAsia="宋体" w:cs="宋体"/>
          <w:spacing w:val="-2"/>
          <w:sz w:val="24"/>
          <w:szCs w:val="24"/>
        </w:rPr>
        <w:t>天内，发包人退还剩余质量保证金的</w:t>
      </w:r>
      <w:r>
        <w:rPr>
          <w:rFonts w:ascii="宋体" w:hAnsi="宋体" w:eastAsia="宋体" w:cs="宋体"/>
          <w:spacing w:val="-47"/>
          <w:sz w:val="24"/>
          <w:szCs w:val="24"/>
        </w:rPr>
        <w:t xml:space="preserve"> </w:t>
      </w:r>
      <w:r>
        <w:rPr>
          <w:rFonts w:ascii="宋体" w:hAnsi="宋体" w:eastAsia="宋体" w:cs="宋体"/>
          <w:spacing w:val="-2"/>
          <w:sz w:val="24"/>
          <w:szCs w:val="24"/>
        </w:rPr>
        <w:t>80%给承包人。通过竣工验收后</w:t>
      </w:r>
      <w:r>
        <w:rPr>
          <w:rFonts w:ascii="宋体" w:hAnsi="宋体" w:eastAsia="宋体" w:cs="宋体"/>
          <w:spacing w:val="-46"/>
          <w:sz w:val="24"/>
          <w:szCs w:val="24"/>
        </w:rPr>
        <w:t xml:space="preserve"> </w:t>
      </w:r>
      <w:r>
        <w:rPr>
          <w:rFonts w:ascii="宋体" w:hAnsi="宋体" w:eastAsia="宋体" w:cs="宋体"/>
          <w:spacing w:val="-2"/>
          <w:sz w:val="24"/>
          <w:szCs w:val="24"/>
        </w:rPr>
        <w:t>30</w:t>
      </w:r>
      <w:r>
        <w:rPr>
          <w:rFonts w:ascii="宋体" w:hAnsi="宋体" w:eastAsia="宋体" w:cs="宋体"/>
          <w:spacing w:val="-46"/>
          <w:sz w:val="24"/>
          <w:szCs w:val="24"/>
        </w:rPr>
        <w:t xml:space="preserve"> </w:t>
      </w:r>
      <w:r>
        <w:rPr>
          <w:rFonts w:ascii="宋体" w:hAnsi="宋体" w:eastAsia="宋体" w:cs="宋体"/>
          <w:spacing w:val="-2"/>
          <w:sz w:val="24"/>
          <w:szCs w:val="24"/>
        </w:rPr>
        <w:t>天内，发包人将质量保证金的余额一次性退还给承包人。若承包人在项目竣工验收时工程质量评</w:t>
      </w:r>
      <w:r>
        <w:rPr>
          <w:rFonts w:ascii="宋体" w:hAnsi="宋体" w:eastAsia="宋体" w:cs="宋体"/>
          <w:spacing w:val="-1"/>
          <w:sz w:val="24"/>
          <w:szCs w:val="24"/>
        </w:rPr>
        <w:t>分未达优良等级，发包人全额扣回承包人在施工过程中所获得的全部</w:t>
      </w:r>
      <w:r>
        <w:rPr>
          <w:rFonts w:ascii="宋体" w:hAnsi="宋体" w:eastAsia="宋体" w:cs="宋体"/>
          <w:spacing w:val="-2"/>
          <w:sz w:val="24"/>
          <w:szCs w:val="24"/>
        </w:rPr>
        <w:t>优质优价价款。</w:t>
      </w:r>
    </w:p>
    <w:p w14:paraId="2337EE06">
      <w:pPr>
        <w:spacing w:before="1" w:line="219" w:lineRule="auto"/>
        <w:ind w:left="507"/>
        <w:rPr>
          <w:rFonts w:ascii="宋体" w:hAnsi="宋体" w:eastAsia="宋体" w:cs="宋体"/>
          <w:sz w:val="24"/>
          <w:szCs w:val="24"/>
        </w:rPr>
      </w:pPr>
      <w:r>
        <w:rPr>
          <w:rFonts w:ascii="宋体" w:hAnsi="宋体" w:eastAsia="宋体" w:cs="宋体"/>
          <w:spacing w:val="-5"/>
          <w:sz w:val="24"/>
          <w:szCs w:val="24"/>
        </w:rPr>
        <w:t>17.6</w:t>
      </w:r>
      <w:r>
        <w:rPr>
          <w:rFonts w:ascii="宋体" w:hAnsi="宋体" w:eastAsia="宋体" w:cs="宋体"/>
          <w:spacing w:val="14"/>
          <w:sz w:val="24"/>
          <w:szCs w:val="24"/>
        </w:rPr>
        <w:t xml:space="preserve"> </w:t>
      </w:r>
      <w:r>
        <w:rPr>
          <w:rFonts w:ascii="宋体" w:hAnsi="宋体" w:eastAsia="宋体" w:cs="宋体"/>
          <w:spacing w:val="-5"/>
          <w:sz w:val="24"/>
          <w:szCs w:val="24"/>
        </w:rPr>
        <w:t>最终结清</w:t>
      </w:r>
    </w:p>
    <w:p w14:paraId="51539B3B">
      <w:pPr>
        <w:spacing w:before="182" w:line="220" w:lineRule="auto"/>
        <w:ind w:left="507"/>
        <w:rPr>
          <w:rFonts w:ascii="宋体" w:hAnsi="宋体" w:eastAsia="宋体" w:cs="宋体"/>
          <w:sz w:val="24"/>
          <w:szCs w:val="24"/>
        </w:rPr>
      </w:pPr>
      <w:r>
        <w:rPr>
          <w:rFonts w:ascii="宋体" w:hAnsi="宋体" w:eastAsia="宋体" w:cs="宋体"/>
          <w:spacing w:val="-2"/>
          <w:sz w:val="24"/>
          <w:szCs w:val="24"/>
        </w:rPr>
        <w:t>17.6.1 最终结清申请单</w:t>
      </w:r>
    </w:p>
    <w:p w14:paraId="74A2FB80">
      <w:pPr>
        <w:pStyle w:val="2"/>
        <w:spacing w:line="466" w:lineRule="auto"/>
      </w:pPr>
    </w:p>
    <w:p w14:paraId="4C6CA86B">
      <w:pPr>
        <w:spacing w:line="217" w:lineRule="auto"/>
        <w:rPr>
          <w:rFonts w:ascii="宋体" w:hAnsi="宋体" w:eastAsia="宋体" w:cs="宋体"/>
          <w:sz w:val="18"/>
          <w:szCs w:val="18"/>
        </w:rPr>
        <w:sectPr>
          <w:headerReference r:id="rId110" w:type="default"/>
          <w:footerReference r:id="rId111" w:type="default"/>
          <w:pgSz w:w="11905" w:h="16840"/>
          <w:pgMar w:top="1182" w:right="1349" w:bottom="1171" w:left="1416" w:header="849" w:footer="937" w:gutter="0"/>
          <w:pgNumType w:fmt="decimal"/>
          <w:cols w:space="720" w:num="1"/>
        </w:sectPr>
      </w:pPr>
    </w:p>
    <w:p w14:paraId="1649F830">
      <w:pPr>
        <w:pStyle w:val="2"/>
        <w:spacing w:line="267" w:lineRule="auto"/>
      </w:pPr>
    </w:p>
    <w:p w14:paraId="386C0661">
      <w:pPr>
        <w:spacing w:before="78" w:line="219" w:lineRule="auto"/>
        <w:ind w:left="490"/>
        <w:rPr>
          <w:rFonts w:ascii="宋体" w:hAnsi="宋体" w:eastAsia="宋体" w:cs="宋体"/>
          <w:sz w:val="24"/>
          <w:szCs w:val="24"/>
        </w:rPr>
      </w:pPr>
      <w:r>
        <w:rPr>
          <w:rFonts w:ascii="宋体" w:hAnsi="宋体" w:eastAsia="宋体" w:cs="宋体"/>
          <w:spacing w:val="-6"/>
          <w:sz w:val="24"/>
          <w:szCs w:val="24"/>
        </w:rPr>
        <w:t>本项</w:t>
      </w:r>
      <w:r>
        <w:rPr>
          <w:rFonts w:hint="eastAsia" w:ascii="宋体" w:hAnsi="宋体" w:cs="宋体"/>
          <w:spacing w:val="-6"/>
          <w:sz w:val="24"/>
          <w:szCs w:val="24"/>
          <w:lang w:eastAsia="zh-CN"/>
        </w:rPr>
        <w:t>（</w:t>
      </w:r>
      <w:r>
        <w:rPr>
          <w:rFonts w:ascii="宋体" w:hAnsi="宋体" w:eastAsia="宋体" w:cs="宋体"/>
          <w:spacing w:val="-6"/>
          <w:sz w:val="24"/>
          <w:szCs w:val="24"/>
        </w:rPr>
        <w:t>1</w:t>
      </w:r>
      <w:r>
        <w:rPr>
          <w:rFonts w:hint="eastAsia" w:ascii="宋体" w:hAnsi="宋体" w:cs="宋体"/>
          <w:spacing w:val="-6"/>
          <w:sz w:val="24"/>
          <w:szCs w:val="24"/>
          <w:lang w:eastAsia="zh-CN"/>
        </w:rPr>
        <w:t>）</w:t>
      </w:r>
      <w:r>
        <w:rPr>
          <w:rFonts w:ascii="宋体" w:hAnsi="宋体" w:eastAsia="宋体" w:cs="宋体"/>
          <w:spacing w:val="-6"/>
          <w:sz w:val="24"/>
          <w:szCs w:val="24"/>
        </w:rPr>
        <w:t>目约定为：</w:t>
      </w:r>
    </w:p>
    <w:p w14:paraId="2D65B182">
      <w:pPr>
        <w:spacing w:before="183" w:line="360" w:lineRule="auto"/>
        <w:ind w:left="9" w:right="63" w:firstLine="480"/>
        <w:jc w:val="both"/>
        <w:rPr>
          <w:rFonts w:ascii="宋体" w:hAnsi="宋体" w:eastAsia="宋体" w:cs="宋体"/>
          <w:sz w:val="24"/>
          <w:szCs w:val="24"/>
        </w:rPr>
      </w:pPr>
      <w:r>
        <w:rPr>
          <w:rFonts w:ascii="宋体" w:hAnsi="宋体" w:eastAsia="宋体" w:cs="宋体"/>
          <w:spacing w:val="5"/>
          <w:sz w:val="24"/>
          <w:szCs w:val="24"/>
        </w:rPr>
        <w:t>承包人应按交通运输部及广东省交通运输厅关于交通基本建设项目竣工决算编制</w:t>
      </w:r>
      <w:r>
        <w:rPr>
          <w:rFonts w:ascii="宋体" w:hAnsi="宋体" w:eastAsia="宋体" w:cs="宋体"/>
          <w:spacing w:val="-2"/>
          <w:sz w:val="24"/>
          <w:szCs w:val="24"/>
        </w:rPr>
        <w:t>和省级造价信息化平台的有关规定，及时编制相应的工程结算文件，报监理人审核，发</w:t>
      </w:r>
      <w:r>
        <w:rPr>
          <w:rFonts w:ascii="宋体" w:hAnsi="宋体" w:eastAsia="宋体" w:cs="宋体"/>
          <w:spacing w:val="-1"/>
          <w:sz w:val="24"/>
          <w:szCs w:val="24"/>
        </w:rPr>
        <w:t>包人确认。承包人向监理人提交最终结清申</w:t>
      </w:r>
      <w:r>
        <w:rPr>
          <w:rFonts w:ascii="宋体" w:hAnsi="宋体" w:eastAsia="宋体" w:cs="宋体"/>
          <w:spacing w:val="-2"/>
          <w:sz w:val="24"/>
          <w:szCs w:val="24"/>
        </w:rPr>
        <w:t>请单</w:t>
      </w:r>
      <w:r>
        <w:rPr>
          <w:rFonts w:hint="eastAsia" w:ascii="宋体" w:hAnsi="宋体" w:cs="宋体"/>
          <w:spacing w:val="-2"/>
          <w:sz w:val="24"/>
          <w:szCs w:val="24"/>
          <w:lang w:eastAsia="zh-CN"/>
        </w:rPr>
        <w:t>（</w:t>
      </w:r>
      <w:r>
        <w:rPr>
          <w:rFonts w:ascii="宋体" w:hAnsi="宋体" w:eastAsia="宋体" w:cs="宋体"/>
          <w:spacing w:val="-2"/>
          <w:sz w:val="24"/>
          <w:szCs w:val="24"/>
        </w:rPr>
        <w:t>包括相关证明材料</w:t>
      </w:r>
      <w:r>
        <w:rPr>
          <w:rFonts w:hint="eastAsia" w:ascii="宋体" w:hAnsi="宋体" w:cs="宋体"/>
          <w:spacing w:val="-2"/>
          <w:sz w:val="24"/>
          <w:szCs w:val="24"/>
          <w:lang w:eastAsia="zh-CN"/>
        </w:rPr>
        <w:t>）</w:t>
      </w:r>
      <w:r>
        <w:rPr>
          <w:rFonts w:ascii="宋体" w:hAnsi="宋体" w:eastAsia="宋体" w:cs="宋体"/>
          <w:spacing w:val="-2"/>
          <w:sz w:val="24"/>
          <w:szCs w:val="24"/>
        </w:rPr>
        <w:t>的份数在项目专用合同条款数据表中约定；期限：缺陷责任期终止证书签发后</w:t>
      </w:r>
      <w:r>
        <w:rPr>
          <w:rFonts w:ascii="宋体" w:hAnsi="宋体" w:eastAsia="宋体" w:cs="宋体"/>
          <w:spacing w:val="-42"/>
          <w:sz w:val="24"/>
          <w:szCs w:val="24"/>
        </w:rPr>
        <w:t xml:space="preserve"> </w:t>
      </w:r>
      <w:r>
        <w:rPr>
          <w:rFonts w:ascii="宋体" w:hAnsi="宋体" w:eastAsia="宋体" w:cs="宋体"/>
          <w:spacing w:val="-2"/>
          <w:sz w:val="24"/>
          <w:szCs w:val="24"/>
        </w:rPr>
        <w:t>28</w:t>
      </w:r>
      <w:r>
        <w:rPr>
          <w:rFonts w:ascii="宋体" w:hAnsi="宋体" w:eastAsia="宋体" w:cs="宋体"/>
          <w:spacing w:val="-45"/>
          <w:sz w:val="24"/>
          <w:szCs w:val="24"/>
        </w:rPr>
        <w:t xml:space="preserve"> </w:t>
      </w:r>
      <w:r>
        <w:rPr>
          <w:rFonts w:ascii="宋体" w:hAnsi="宋体" w:eastAsia="宋体" w:cs="宋体"/>
          <w:spacing w:val="-2"/>
          <w:sz w:val="24"/>
          <w:szCs w:val="24"/>
        </w:rPr>
        <w:t>天内。</w:t>
      </w:r>
    </w:p>
    <w:p w14:paraId="3B1D09D3">
      <w:pPr>
        <w:spacing w:before="2" w:line="359" w:lineRule="auto"/>
        <w:ind w:left="13" w:right="63" w:firstLine="479"/>
        <w:rPr>
          <w:rFonts w:ascii="宋体" w:hAnsi="宋体" w:eastAsia="宋体" w:cs="宋体"/>
          <w:sz w:val="24"/>
          <w:szCs w:val="24"/>
        </w:rPr>
      </w:pPr>
      <w:r>
        <w:rPr>
          <w:rFonts w:ascii="宋体" w:hAnsi="宋体" w:eastAsia="宋体" w:cs="宋体"/>
          <w:spacing w:val="5"/>
          <w:sz w:val="24"/>
          <w:szCs w:val="24"/>
        </w:rPr>
        <w:t>最终结清申请单中的总金额应认为是代表了根据合同规定应付给承包人的全部款</w:t>
      </w:r>
      <w:r>
        <w:rPr>
          <w:rFonts w:ascii="宋体" w:hAnsi="宋体" w:eastAsia="宋体" w:cs="宋体"/>
          <w:spacing w:val="-6"/>
          <w:sz w:val="24"/>
          <w:szCs w:val="24"/>
        </w:rPr>
        <w:t>项的最后结算。</w:t>
      </w:r>
    </w:p>
    <w:p w14:paraId="6B737338">
      <w:pPr>
        <w:spacing w:line="360" w:lineRule="auto"/>
        <w:ind w:left="12" w:right="66" w:firstLine="476"/>
        <w:jc w:val="both"/>
        <w:rPr>
          <w:rFonts w:ascii="宋体" w:hAnsi="宋体" w:eastAsia="宋体" w:cs="宋体"/>
          <w:sz w:val="24"/>
          <w:szCs w:val="24"/>
        </w:rPr>
      </w:pPr>
      <w:r>
        <w:rPr>
          <w:rFonts w:ascii="宋体" w:hAnsi="宋体" w:eastAsia="宋体" w:cs="宋体"/>
          <w:spacing w:val="-5"/>
          <w:sz w:val="24"/>
          <w:szCs w:val="24"/>
        </w:rPr>
        <w:t>在竣工决算报告经政府审计部门审计、交通行业主管部门审查后， 发包人将按以下</w:t>
      </w:r>
      <w:r>
        <w:rPr>
          <w:rFonts w:ascii="宋体" w:hAnsi="宋体" w:eastAsia="宋体" w:cs="宋体"/>
          <w:spacing w:val="-2"/>
          <w:sz w:val="24"/>
          <w:szCs w:val="24"/>
        </w:rPr>
        <w:t>原则作为调整承包人最终合同费用的依据，承包人需无条件接受：行业主管部门和审计</w:t>
      </w:r>
      <w:r>
        <w:rPr>
          <w:rFonts w:ascii="宋体" w:hAnsi="宋体" w:eastAsia="宋体" w:cs="宋体"/>
          <w:spacing w:val="-1"/>
          <w:sz w:val="24"/>
          <w:szCs w:val="24"/>
        </w:rPr>
        <w:t>部门对不同内容进行核减的，综合行业主管部门</w:t>
      </w:r>
      <w:r>
        <w:rPr>
          <w:rFonts w:ascii="宋体" w:hAnsi="宋体" w:eastAsia="宋体" w:cs="宋体"/>
          <w:spacing w:val="-2"/>
          <w:sz w:val="24"/>
          <w:szCs w:val="24"/>
        </w:rPr>
        <w:t>和审计部门的意见进行调整。</w:t>
      </w:r>
    </w:p>
    <w:p w14:paraId="3C91C57C">
      <w:pPr>
        <w:spacing w:line="219" w:lineRule="auto"/>
        <w:ind w:left="507"/>
        <w:rPr>
          <w:rFonts w:ascii="宋体" w:hAnsi="宋体" w:eastAsia="宋体" w:cs="宋体"/>
          <w:sz w:val="24"/>
          <w:szCs w:val="24"/>
        </w:rPr>
      </w:pPr>
      <w:r>
        <w:rPr>
          <w:rFonts w:ascii="宋体" w:hAnsi="宋体" w:eastAsia="宋体" w:cs="宋体"/>
          <w:b/>
          <w:bCs/>
          <w:spacing w:val="-8"/>
          <w:sz w:val="24"/>
          <w:szCs w:val="24"/>
        </w:rPr>
        <w:t>18.</w:t>
      </w:r>
      <w:r>
        <w:rPr>
          <w:rFonts w:ascii="宋体" w:hAnsi="宋体" w:eastAsia="宋体" w:cs="宋体"/>
          <w:spacing w:val="16"/>
          <w:sz w:val="24"/>
          <w:szCs w:val="24"/>
        </w:rPr>
        <w:t xml:space="preserve"> </w:t>
      </w:r>
      <w:r>
        <w:rPr>
          <w:rFonts w:ascii="宋体" w:hAnsi="宋体" w:eastAsia="宋体" w:cs="宋体"/>
          <w:b/>
          <w:bCs/>
          <w:spacing w:val="-8"/>
          <w:sz w:val="24"/>
          <w:szCs w:val="24"/>
        </w:rPr>
        <w:t>交工验收</w:t>
      </w:r>
    </w:p>
    <w:p w14:paraId="3224AD2D">
      <w:pPr>
        <w:spacing w:before="182" w:line="220" w:lineRule="auto"/>
        <w:ind w:left="507"/>
        <w:rPr>
          <w:rFonts w:ascii="宋体" w:hAnsi="宋体" w:eastAsia="宋体" w:cs="宋体"/>
          <w:sz w:val="24"/>
          <w:szCs w:val="24"/>
        </w:rPr>
      </w:pPr>
      <w:r>
        <w:rPr>
          <w:rFonts w:ascii="宋体" w:hAnsi="宋体" w:eastAsia="宋体" w:cs="宋体"/>
          <w:spacing w:val="-6"/>
          <w:sz w:val="24"/>
          <w:szCs w:val="24"/>
        </w:rPr>
        <w:t>18.3</w:t>
      </w:r>
      <w:r>
        <w:rPr>
          <w:rFonts w:ascii="宋体" w:hAnsi="宋体" w:eastAsia="宋体" w:cs="宋体"/>
          <w:spacing w:val="-48"/>
          <w:sz w:val="24"/>
          <w:szCs w:val="24"/>
        </w:rPr>
        <w:t xml:space="preserve"> </w:t>
      </w:r>
      <w:r>
        <w:rPr>
          <w:rFonts w:ascii="宋体" w:hAnsi="宋体" w:eastAsia="宋体" w:cs="宋体"/>
          <w:spacing w:val="-6"/>
          <w:sz w:val="24"/>
          <w:szCs w:val="24"/>
        </w:rPr>
        <w:t>验收</w:t>
      </w:r>
    </w:p>
    <w:p w14:paraId="437A8F27">
      <w:pPr>
        <w:spacing w:before="182" w:line="220"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33"/>
          <w:sz w:val="24"/>
          <w:szCs w:val="24"/>
        </w:rPr>
        <w:t xml:space="preserve"> </w:t>
      </w:r>
      <w:r>
        <w:rPr>
          <w:rFonts w:ascii="宋体" w:hAnsi="宋体" w:eastAsia="宋体" w:cs="宋体"/>
          <w:spacing w:val="-8"/>
          <w:sz w:val="24"/>
          <w:szCs w:val="24"/>
        </w:rPr>
        <w:t>18.3.2</w:t>
      </w:r>
      <w:r>
        <w:rPr>
          <w:rFonts w:ascii="宋体" w:hAnsi="宋体" w:eastAsia="宋体" w:cs="宋体"/>
          <w:spacing w:val="-47"/>
          <w:sz w:val="24"/>
          <w:szCs w:val="24"/>
        </w:rPr>
        <w:t xml:space="preserve"> </w:t>
      </w:r>
      <w:r>
        <w:rPr>
          <w:rFonts w:ascii="宋体" w:hAnsi="宋体" w:eastAsia="宋体" w:cs="宋体"/>
          <w:spacing w:val="-8"/>
          <w:sz w:val="24"/>
          <w:szCs w:val="24"/>
        </w:rPr>
        <w:t>项补充：</w:t>
      </w:r>
    </w:p>
    <w:p w14:paraId="134A84E3">
      <w:pPr>
        <w:spacing w:before="183" w:line="360" w:lineRule="auto"/>
        <w:ind w:left="9" w:right="66" w:firstLine="484"/>
        <w:jc w:val="both"/>
        <w:rPr>
          <w:rFonts w:ascii="宋体" w:hAnsi="宋体" w:eastAsia="宋体" w:cs="宋体"/>
          <w:sz w:val="24"/>
          <w:szCs w:val="24"/>
        </w:rPr>
      </w:pPr>
      <w:r>
        <w:rPr>
          <w:rFonts w:ascii="宋体" w:hAnsi="宋体" w:eastAsia="宋体" w:cs="宋体"/>
          <w:spacing w:val="-2"/>
          <w:sz w:val="24"/>
          <w:szCs w:val="24"/>
        </w:rPr>
        <w:t>交工验收由发包人主持，由发包人、监理人、质监、设计、施工、运营、管理养护等有关部门代表组成交工验收小组，对本项目的工程质量进行评定，并写出交工验收报</w:t>
      </w:r>
      <w:r>
        <w:rPr>
          <w:rFonts w:ascii="宋体" w:hAnsi="宋体" w:eastAsia="宋体" w:cs="宋体"/>
          <w:spacing w:val="-1"/>
          <w:sz w:val="24"/>
          <w:szCs w:val="24"/>
        </w:rPr>
        <w:t>告报交通主管部门备案。项目交工验收报告上报</w:t>
      </w:r>
      <w:r>
        <w:rPr>
          <w:rFonts w:ascii="宋体" w:hAnsi="宋体" w:eastAsia="宋体" w:cs="宋体"/>
          <w:spacing w:val="-2"/>
          <w:sz w:val="24"/>
          <w:szCs w:val="24"/>
        </w:rPr>
        <w:t>备案前 14 天，项目必须依法依规提供完整的专项验收工作报告，包括但不限于：涉航、防雷、消防、安全性评价、工程质量</w:t>
      </w:r>
      <w:r>
        <w:rPr>
          <w:rFonts w:ascii="宋体" w:hAnsi="宋体" w:eastAsia="宋体" w:cs="宋体"/>
          <w:spacing w:val="-1"/>
          <w:sz w:val="24"/>
          <w:szCs w:val="24"/>
        </w:rPr>
        <w:t>检测报告等。承包人应按发包人的要求提交竣工资料，完成</w:t>
      </w:r>
      <w:r>
        <w:rPr>
          <w:rFonts w:ascii="宋体" w:hAnsi="宋体" w:eastAsia="宋体" w:cs="宋体"/>
          <w:spacing w:val="-2"/>
          <w:sz w:val="24"/>
          <w:szCs w:val="24"/>
        </w:rPr>
        <w:t>交工验收准备工作。</w:t>
      </w:r>
    </w:p>
    <w:p w14:paraId="21A3774D">
      <w:pPr>
        <w:spacing w:line="360" w:lineRule="auto"/>
        <w:ind w:left="9" w:firstLine="484"/>
        <w:jc w:val="both"/>
        <w:rPr>
          <w:rFonts w:ascii="宋体" w:hAnsi="宋体" w:eastAsia="宋体" w:cs="宋体"/>
          <w:sz w:val="24"/>
          <w:szCs w:val="24"/>
        </w:rPr>
      </w:pPr>
      <w:r>
        <w:rPr>
          <w:rFonts w:ascii="宋体" w:hAnsi="宋体" w:eastAsia="宋体" w:cs="宋体"/>
          <w:spacing w:val="-5"/>
          <w:sz w:val="24"/>
          <w:szCs w:val="24"/>
        </w:rPr>
        <w:t>交工验收是建设项目投产使用前的重要的、关键的工作， 建设项目各参建单位要切</w:t>
      </w:r>
      <w:r>
        <w:rPr>
          <w:rFonts w:ascii="宋体" w:hAnsi="宋体" w:eastAsia="宋体" w:cs="宋体"/>
          <w:spacing w:val="-2"/>
          <w:sz w:val="24"/>
          <w:szCs w:val="24"/>
        </w:rPr>
        <w:t>实提高站位，压实主体责任，坚决扭转项目交工验收工作总结流于形式、质量差等突出问题，严格按照《广东省交通运输厅关于进一步加强公路建设项目交工验收工作管理的</w:t>
      </w:r>
      <w:r>
        <w:rPr>
          <w:rFonts w:ascii="宋体" w:hAnsi="宋体" w:eastAsia="宋体" w:cs="宋体"/>
          <w:spacing w:val="-6"/>
          <w:sz w:val="24"/>
          <w:szCs w:val="24"/>
        </w:rPr>
        <w:t>通知》的规定执行，要结合本项目实际认真扎实做好总结工作，总结材料力求简明扼要，</w:t>
      </w:r>
      <w:r>
        <w:rPr>
          <w:rFonts w:ascii="宋体" w:hAnsi="宋体" w:eastAsia="宋体" w:cs="宋体"/>
          <w:spacing w:val="-2"/>
          <w:sz w:val="24"/>
          <w:szCs w:val="24"/>
        </w:rPr>
        <w:t>文字精炼，重点突出，必要时辅以图表等辅助材料。</w:t>
      </w:r>
    </w:p>
    <w:p w14:paraId="52BF1D31">
      <w:pPr>
        <w:spacing w:before="1" w:line="219" w:lineRule="auto"/>
        <w:ind w:left="507"/>
        <w:rPr>
          <w:rFonts w:ascii="宋体" w:hAnsi="宋体" w:eastAsia="宋体" w:cs="宋体"/>
          <w:sz w:val="24"/>
          <w:szCs w:val="24"/>
        </w:rPr>
      </w:pPr>
      <w:r>
        <w:rPr>
          <w:rFonts w:ascii="宋体" w:hAnsi="宋体" w:eastAsia="宋体" w:cs="宋体"/>
          <w:spacing w:val="-3"/>
          <w:sz w:val="24"/>
          <w:szCs w:val="24"/>
        </w:rPr>
        <w:t>18.9 竣工文件</w:t>
      </w:r>
    </w:p>
    <w:p w14:paraId="713489AE">
      <w:pPr>
        <w:spacing w:before="182" w:line="219" w:lineRule="auto"/>
        <w:ind w:left="488"/>
        <w:rPr>
          <w:rFonts w:ascii="宋体" w:hAnsi="宋体" w:eastAsia="宋体" w:cs="宋体"/>
          <w:sz w:val="24"/>
          <w:szCs w:val="24"/>
        </w:rPr>
      </w:pPr>
      <w:r>
        <w:rPr>
          <w:rFonts w:ascii="宋体" w:hAnsi="宋体" w:eastAsia="宋体" w:cs="宋体"/>
          <w:spacing w:val="-6"/>
          <w:sz w:val="24"/>
          <w:szCs w:val="24"/>
        </w:rPr>
        <w:t>在本款后增加以下内容：</w:t>
      </w:r>
    </w:p>
    <w:p w14:paraId="51B62D8D">
      <w:pPr>
        <w:spacing w:before="182" w:line="361" w:lineRule="auto"/>
        <w:ind w:left="8" w:right="65" w:firstLine="480"/>
        <w:jc w:val="both"/>
        <w:rPr>
          <w:rFonts w:ascii="宋体" w:hAnsi="宋体" w:eastAsia="宋体" w:cs="宋体"/>
          <w:sz w:val="24"/>
          <w:szCs w:val="24"/>
        </w:rPr>
      </w:pPr>
      <w:r>
        <w:rPr>
          <w:rFonts w:ascii="宋体" w:hAnsi="宋体" w:eastAsia="宋体" w:cs="宋体"/>
          <w:spacing w:val="-2"/>
          <w:sz w:val="24"/>
          <w:szCs w:val="24"/>
        </w:rPr>
        <w:t>在工程实施过程中及在项目完工后，承包人应按照《广东省交通运输厅关于公路建设项目档案的管理办法》和发包人制定的竣工文件资料管理办法的规定开展竣工文件材</w:t>
      </w:r>
      <w:r>
        <w:rPr>
          <w:rFonts w:ascii="宋体" w:hAnsi="宋体" w:eastAsia="宋体" w:cs="宋体"/>
          <w:spacing w:val="-6"/>
          <w:sz w:val="24"/>
          <w:szCs w:val="24"/>
        </w:rPr>
        <w:t>料的编制、收集、整理、立卷、归档及信息化平台上传等工作，</w:t>
      </w:r>
      <w:r>
        <w:rPr>
          <w:rFonts w:ascii="宋体" w:hAnsi="宋体" w:eastAsia="宋体" w:cs="宋体"/>
          <w:spacing w:val="53"/>
          <w:sz w:val="24"/>
          <w:szCs w:val="24"/>
        </w:rPr>
        <w:t xml:space="preserve"> </w:t>
      </w:r>
      <w:r>
        <w:rPr>
          <w:rFonts w:ascii="宋体" w:hAnsi="宋体" w:eastAsia="宋体" w:cs="宋体"/>
          <w:spacing w:val="-6"/>
          <w:sz w:val="24"/>
          <w:szCs w:val="24"/>
        </w:rPr>
        <w:t>相应的竣工档案编</w:t>
      </w:r>
      <w:r>
        <w:rPr>
          <w:rFonts w:ascii="宋体" w:hAnsi="宋体" w:eastAsia="宋体" w:cs="宋体"/>
          <w:spacing w:val="-7"/>
          <w:sz w:val="24"/>
          <w:szCs w:val="24"/>
        </w:rPr>
        <w:t>制费</w:t>
      </w:r>
      <w:r>
        <w:rPr>
          <w:rFonts w:ascii="宋体" w:hAnsi="宋体" w:eastAsia="宋体" w:cs="宋体"/>
          <w:spacing w:val="-3"/>
          <w:sz w:val="24"/>
          <w:szCs w:val="24"/>
        </w:rPr>
        <w:t>按指定金额在工程量清单第</w:t>
      </w:r>
      <w:r>
        <w:rPr>
          <w:rFonts w:ascii="宋体" w:hAnsi="宋体" w:eastAsia="宋体" w:cs="宋体"/>
          <w:spacing w:val="-19"/>
          <w:sz w:val="24"/>
          <w:szCs w:val="24"/>
        </w:rPr>
        <w:t xml:space="preserve"> </w:t>
      </w:r>
      <w:r>
        <w:rPr>
          <w:rFonts w:ascii="宋体" w:hAnsi="宋体" w:eastAsia="宋体" w:cs="宋体"/>
          <w:spacing w:val="-3"/>
          <w:sz w:val="24"/>
          <w:szCs w:val="24"/>
        </w:rPr>
        <w:t>100</w:t>
      </w:r>
      <w:r>
        <w:rPr>
          <w:rFonts w:ascii="宋体" w:hAnsi="宋体" w:eastAsia="宋体" w:cs="宋体"/>
          <w:spacing w:val="-42"/>
          <w:sz w:val="24"/>
          <w:szCs w:val="24"/>
        </w:rPr>
        <w:t xml:space="preserve"> </w:t>
      </w:r>
      <w:r>
        <w:rPr>
          <w:rFonts w:ascii="宋体" w:hAnsi="宋体" w:eastAsia="宋体" w:cs="宋体"/>
          <w:spacing w:val="-3"/>
          <w:sz w:val="24"/>
          <w:szCs w:val="24"/>
        </w:rPr>
        <w:t>章中以总额报价。承包人向发包人提交的合格的竣工文</w:t>
      </w:r>
      <w:r>
        <w:rPr>
          <w:rFonts w:ascii="宋体" w:hAnsi="宋体" w:eastAsia="宋体" w:cs="宋体"/>
          <w:spacing w:val="-5"/>
          <w:sz w:val="24"/>
          <w:szCs w:val="24"/>
        </w:rPr>
        <w:t>件中必须包括有整套竣工图的电子档案。承包人在完成施工图表等竣工文件的同时， 还</w:t>
      </w:r>
    </w:p>
    <w:p w14:paraId="78731DFD">
      <w:pPr>
        <w:spacing w:line="361" w:lineRule="auto"/>
        <w:rPr>
          <w:rFonts w:ascii="宋体" w:hAnsi="宋体" w:eastAsia="宋体" w:cs="宋体"/>
          <w:sz w:val="24"/>
          <w:szCs w:val="24"/>
        </w:rPr>
        <w:sectPr>
          <w:footerReference r:id="rId112" w:type="default"/>
          <w:pgSz w:w="11905" w:h="16840"/>
          <w:pgMar w:top="1182" w:right="1349" w:bottom="1171" w:left="1416" w:header="849" w:footer="937" w:gutter="0"/>
          <w:pgNumType w:fmt="decimal"/>
          <w:cols w:space="720" w:num="1"/>
        </w:sectPr>
      </w:pPr>
    </w:p>
    <w:p w14:paraId="4E6E434F">
      <w:pPr>
        <w:pStyle w:val="2"/>
        <w:spacing w:line="268" w:lineRule="auto"/>
      </w:pPr>
    </w:p>
    <w:p w14:paraId="5FA4C762">
      <w:pPr>
        <w:spacing w:before="78" w:line="360" w:lineRule="auto"/>
        <w:ind w:left="9" w:right="117"/>
        <w:jc w:val="both"/>
        <w:rPr>
          <w:rFonts w:ascii="宋体" w:hAnsi="宋体" w:eastAsia="宋体" w:cs="宋体"/>
          <w:sz w:val="24"/>
          <w:szCs w:val="24"/>
        </w:rPr>
      </w:pPr>
      <w:r>
        <w:rPr>
          <w:rFonts w:ascii="宋体" w:hAnsi="宋体" w:eastAsia="宋体" w:cs="宋体"/>
          <w:spacing w:val="-2"/>
          <w:sz w:val="24"/>
          <w:szCs w:val="24"/>
        </w:rPr>
        <w:t>应按《交通运输部基本建设项目竣工财务决算编审规定》、广东省《公路工程造价管理</w:t>
      </w:r>
      <w:r>
        <w:rPr>
          <w:rFonts w:ascii="宋体" w:hAnsi="宋体" w:eastAsia="宋体" w:cs="宋体"/>
          <w:spacing w:val="-7"/>
          <w:sz w:val="24"/>
          <w:szCs w:val="24"/>
        </w:rPr>
        <w:t>指南》的规定，</w:t>
      </w:r>
      <w:r>
        <w:rPr>
          <w:rFonts w:ascii="宋体" w:hAnsi="宋体" w:eastAsia="宋体" w:cs="宋体"/>
          <w:spacing w:val="-46"/>
          <w:sz w:val="24"/>
          <w:szCs w:val="24"/>
        </w:rPr>
        <w:t xml:space="preserve"> </w:t>
      </w:r>
      <w:r>
        <w:rPr>
          <w:rFonts w:ascii="宋体" w:hAnsi="宋体" w:eastAsia="宋体" w:cs="宋体"/>
          <w:spacing w:val="-7"/>
          <w:sz w:val="24"/>
          <w:szCs w:val="24"/>
        </w:rPr>
        <w:t>编制由承包人实施的工程结算文件（含数据成果文件</w:t>
      </w:r>
      <w:r>
        <w:rPr>
          <w:rFonts w:ascii="宋体" w:hAnsi="宋体" w:eastAsia="宋体" w:cs="宋体"/>
          <w:spacing w:val="-23"/>
          <w:sz w:val="24"/>
          <w:szCs w:val="24"/>
        </w:rPr>
        <w:t>），</w:t>
      </w:r>
      <w:r>
        <w:rPr>
          <w:rFonts w:ascii="宋体" w:hAnsi="宋体" w:eastAsia="宋体" w:cs="宋体"/>
          <w:spacing w:val="-7"/>
          <w:sz w:val="24"/>
          <w:szCs w:val="24"/>
        </w:rPr>
        <w:t>报监理人审核，</w:t>
      </w:r>
      <w:r>
        <w:rPr>
          <w:rFonts w:ascii="宋体" w:hAnsi="宋体" w:eastAsia="宋体" w:cs="宋体"/>
          <w:spacing w:val="-1"/>
          <w:sz w:val="24"/>
          <w:szCs w:val="24"/>
        </w:rPr>
        <w:t>作为竣工文件的一部分。其中竣工图的工程数量和工程结算的工程数量应对应一致。</w:t>
      </w:r>
    </w:p>
    <w:p w14:paraId="43812482">
      <w:pPr>
        <w:spacing w:before="2" w:line="359" w:lineRule="auto"/>
        <w:ind w:left="8" w:right="183" w:firstLine="484"/>
        <w:rPr>
          <w:rFonts w:ascii="宋体" w:hAnsi="宋体" w:eastAsia="宋体" w:cs="宋体"/>
          <w:sz w:val="24"/>
          <w:szCs w:val="24"/>
        </w:rPr>
      </w:pPr>
      <w:r>
        <w:rPr>
          <w:rFonts w:ascii="宋体" w:hAnsi="宋体" w:eastAsia="宋体" w:cs="宋体"/>
          <w:spacing w:val="5"/>
          <w:sz w:val="24"/>
          <w:szCs w:val="24"/>
        </w:rPr>
        <w:t>如有需要发包人有权指定单位或相关部门进行整个项目的竣工资料统一编制和校</w:t>
      </w:r>
      <w:r>
        <w:rPr>
          <w:rFonts w:ascii="宋体" w:hAnsi="宋体" w:eastAsia="宋体" w:cs="宋体"/>
          <w:spacing w:val="-2"/>
          <w:sz w:val="24"/>
          <w:szCs w:val="24"/>
        </w:rPr>
        <w:t>验，承包人应予以积极配合，所发生费用由承包人承担。</w:t>
      </w:r>
    </w:p>
    <w:p w14:paraId="27E62D8B">
      <w:pPr>
        <w:spacing w:line="219" w:lineRule="auto"/>
        <w:ind w:left="507"/>
        <w:rPr>
          <w:rFonts w:ascii="宋体" w:hAnsi="宋体" w:eastAsia="宋体" w:cs="宋体"/>
          <w:sz w:val="24"/>
          <w:szCs w:val="24"/>
        </w:rPr>
      </w:pPr>
      <w:r>
        <w:rPr>
          <w:rFonts w:ascii="宋体" w:hAnsi="宋体" w:eastAsia="宋体" w:cs="宋体"/>
          <w:b/>
          <w:bCs/>
          <w:spacing w:val="-4"/>
          <w:sz w:val="24"/>
          <w:szCs w:val="24"/>
        </w:rPr>
        <w:t>19.</w:t>
      </w:r>
      <w:r>
        <w:rPr>
          <w:rFonts w:ascii="宋体" w:hAnsi="宋体" w:eastAsia="宋体" w:cs="宋体"/>
          <w:spacing w:val="-4"/>
          <w:sz w:val="24"/>
          <w:szCs w:val="24"/>
        </w:rPr>
        <w:t xml:space="preserve"> </w:t>
      </w:r>
      <w:r>
        <w:rPr>
          <w:rFonts w:ascii="宋体" w:hAnsi="宋体" w:eastAsia="宋体" w:cs="宋体"/>
          <w:b/>
          <w:bCs/>
          <w:spacing w:val="-4"/>
          <w:sz w:val="24"/>
          <w:szCs w:val="24"/>
        </w:rPr>
        <w:t>缺陷责任与保修责任</w:t>
      </w:r>
    </w:p>
    <w:p w14:paraId="3CDF6E14">
      <w:pPr>
        <w:spacing w:before="182" w:line="220" w:lineRule="auto"/>
        <w:ind w:left="507"/>
        <w:rPr>
          <w:rFonts w:ascii="宋体" w:hAnsi="宋体" w:eastAsia="宋体" w:cs="宋体"/>
          <w:sz w:val="24"/>
          <w:szCs w:val="24"/>
        </w:rPr>
      </w:pPr>
      <w:r>
        <w:rPr>
          <w:rFonts w:ascii="宋体" w:hAnsi="宋体" w:eastAsia="宋体" w:cs="宋体"/>
          <w:spacing w:val="-3"/>
          <w:sz w:val="24"/>
          <w:szCs w:val="24"/>
        </w:rPr>
        <w:t>19.2 缺陷责任</w:t>
      </w:r>
    </w:p>
    <w:p w14:paraId="13E419C8">
      <w:pPr>
        <w:spacing w:before="181" w:line="220" w:lineRule="auto"/>
        <w:ind w:left="488"/>
        <w:rPr>
          <w:rFonts w:ascii="宋体" w:hAnsi="宋体" w:eastAsia="宋体" w:cs="宋体"/>
          <w:sz w:val="24"/>
          <w:szCs w:val="24"/>
        </w:rPr>
      </w:pPr>
      <w:r>
        <w:rPr>
          <w:rFonts w:ascii="宋体" w:hAnsi="宋体" w:eastAsia="宋体" w:cs="宋体"/>
          <w:spacing w:val="-7"/>
          <w:sz w:val="24"/>
          <w:szCs w:val="24"/>
        </w:rPr>
        <w:t>在</w:t>
      </w:r>
      <w:r>
        <w:rPr>
          <w:rFonts w:ascii="宋体" w:hAnsi="宋体" w:eastAsia="宋体" w:cs="宋体"/>
          <w:spacing w:val="-19"/>
          <w:sz w:val="24"/>
          <w:szCs w:val="24"/>
        </w:rPr>
        <w:t xml:space="preserve"> </w:t>
      </w:r>
      <w:r>
        <w:rPr>
          <w:rFonts w:ascii="宋体" w:hAnsi="宋体" w:eastAsia="宋体" w:cs="宋体"/>
          <w:spacing w:val="-7"/>
          <w:sz w:val="24"/>
          <w:szCs w:val="24"/>
        </w:rPr>
        <w:t>19.2.2</w:t>
      </w:r>
      <w:r>
        <w:rPr>
          <w:rFonts w:ascii="宋体" w:hAnsi="宋体" w:eastAsia="宋体" w:cs="宋体"/>
          <w:spacing w:val="-46"/>
          <w:sz w:val="24"/>
          <w:szCs w:val="24"/>
        </w:rPr>
        <w:t xml:space="preserve"> </w:t>
      </w:r>
      <w:r>
        <w:rPr>
          <w:rFonts w:ascii="宋体" w:hAnsi="宋体" w:eastAsia="宋体" w:cs="宋体"/>
          <w:spacing w:val="-7"/>
          <w:sz w:val="24"/>
          <w:szCs w:val="24"/>
        </w:rPr>
        <w:t>项后增加以下内容：</w:t>
      </w:r>
    </w:p>
    <w:p w14:paraId="3D450B4E">
      <w:pPr>
        <w:spacing w:before="183" w:line="360" w:lineRule="auto"/>
        <w:ind w:left="8" w:right="186" w:firstLine="480"/>
        <w:jc w:val="both"/>
        <w:rPr>
          <w:rFonts w:ascii="宋体" w:hAnsi="宋体" w:eastAsia="宋体" w:cs="宋体"/>
          <w:sz w:val="24"/>
          <w:szCs w:val="24"/>
        </w:rPr>
      </w:pPr>
      <w:r>
        <w:rPr>
          <w:rFonts w:ascii="宋体" w:hAnsi="宋体" w:eastAsia="宋体" w:cs="宋体"/>
          <w:spacing w:val="-2"/>
          <w:sz w:val="24"/>
          <w:szCs w:val="24"/>
        </w:rPr>
        <w:t>承包人应在缺陷责任期内安排专人负责缺陷责任期的管理工作，并确保在接到发包</w:t>
      </w:r>
      <w:r>
        <w:rPr>
          <w:rFonts w:ascii="宋体" w:hAnsi="宋体" w:eastAsia="宋体" w:cs="宋体"/>
          <w:sz w:val="24"/>
          <w:szCs w:val="24"/>
        </w:rPr>
        <w:t>人要求处理有关缺陷事项的通知后</w:t>
      </w:r>
      <w:r>
        <w:rPr>
          <w:rFonts w:ascii="宋体" w:hAnsi="宋体" w:eastAsia="宋体" w:cs="宋体"/>
          <w:spacing w:val="-25"/>
          <w:sz w:val="24"/>
          <w:szCs w:val="24"/>
        </w:rPr>
        <w:t xml:space="preserve"> </w:t>
      </w:r>
      <w:r>
        <w:rPr>
          <w:rFonts w:ascii="宋体" w:hAnsi="宋体" w:eastAsia="宋体" w:cs="宋体"/>
          <w:sz w:val="24"/>
          <w:szCs w:val="24"/>
        </w:rPr>
        <w:t>24</w:t>
      </w:r>
      <w:r>
        <w:rPr>
          <w:rFonts w:ascii="宋体" w:hAnsi="宋体" w:eastAsia="宋体" w:cs="宋体"/>
          <w:spacing w:val="-42"/>
          <w:sz w:val="24"/>
          <w:szCs w:val="24"/>
        </w:rPr>
        <w:t xml:space="preserve"> </w:t>
      </w:r>
      <w:r>
        <w:rPr>
          <w:rFonts w:ascii="宋体" w:hAnsi="宋体" w:eastAsia="宋体" w:cs="宋体"/>
          <w:sz w:val="24"/>
          <w:szCs w:val="24"/>
        </w:rPr>
        <w:t>小时内到达现场，到达现场后随即采取有效措施</w:t>
      </w:r>
      <w:r>
        <w:rPr>
          <w:rFonts w:ascii="宋体" w:hAnsi="宋体" w:eastAsia="宋体" w:cs="宋体"/>
          <w:spacing w:val="-5"/>
          <w:sz w:val="24"/>
          <w:szCs w:val="24"/>
        </w:rPr>
        <w:t>解决工程遗留的缺陷或其他问题。承包人未履行本款规定的缺陷处治责任义务， 视为承</w:t>
      </w:r>
      <w:r>
        <w:rPr>
          <w:rFonts w:ascii="宋体" w:hAnsi="宋体" w:eastAsia="宋体" w:cs="宋体"/>
          <w:spacing w:val="-4"/>
          <w:sz w:val="24"/>
          <w:szCs w:val="24"/>
        </w:rPr>
        <w:t>包人违约并按</w:t>
      </w:r>
      <w:r>
        <w:rPr>
          <w:rFonts w:ascii="宋体" w:hAnsi="宋体" w:eastAsia="宋体" w:cs="宋体"/>
          <w:spacing w:val="-44"/>
          <w:sz w:val="24"/>
          <w:szCs w:val="24"/>
        </w:rPr>
        <w:t xml:space="preserve"> </w:t>
      </w:r>
      <w:r>
        <w:rPr>
          <w:rFonts w:ascii="宋体" w:hAnsi="宋体" w:eastAsia="宋体" w:cs="宋体"/>
          <w:spacing w:val="-4"/>
          <w:sz w:val="24"/>
          <w:szCs w:val="24"/>
        </w:rPr>
        <w:t>22.1</w:t>
      </w:r>
      <w:r>
        <w:rPr>
          <w:rFonts w:ascii="宋体" w:hAnsi="宋体" w:eastAsia="宋体" w:cs="宋体"/>
          <w:spacing w:val="-49"/>
          <w:sz w:val="24"/>
          <w:szCs w:val="24"/>
        </w:rPr>
        <w:t xml:space="preserve"> </w:t>
      </w:r>
      <w:r>
        <w:rPr>
          <w:rFonts w:ascii="宋体" w:hAnsi="宋体" w:eastAsia="宋体" w:cs="宋体"/>
          <w:spacing w:val="-4"/>
          <w:sz w:val="24"/>
          <w:szCs w:val="24"/>
        </w:rPr>
        <w:t>款约定处理。</w:t>
      </w:r>
    </w:p>
    <w:p w14:paraId="7085FE4A">
      <w:pPr>
        <w:spacing w:line="360" w:lineRule="auto"/>
        <w:ind w:left="9" w:right="185" w:firstLine="486"/>
        <w:rPr>
          <w:rFonts w:ascii="宋体" w:hAnsi="宋体" w:eastAsia="宋体" w:cs="宋体"/>
          <w:sz w:val="24"/>
          <w:szCs w:val="24"/>
        </w:rPr>
      </w:pPr>
      <w:r>
        <w:rPr>
          <w:rFonts w:ascii="宋体" w:hAnsi="宋体" w:eastAsia="宋体" w:cs="宋体"/>
          <w:spacing w:val="-7"/>
          <w:sz w:val="24"/>
          <w:szCs w:val="24"/>
        </w:rPr>
        <w:t>高速公路改扩建工程，采用分幅、分路段通车的，</w:t>
      </w:r>
      <w:r>
        <w:rPr>
          <w:rFonts w:ascii="宋体" w:hAnsi="宋体" w:eastAsia="宋体" w:cs="宋体"/>
          <w:spacing w:val="68"/>
          <w:sz w:val="24"/>
          <w:szCs w:val="24"/>
        </w:rPr>
        <w:t xml:space="preserve"> </w:t>
      </w:r>
      <w:r>
        <w:rPr>
          <w:rFonts w:ascii="宋体" w:hAnsi="宋体" w:eastAsia="宋体" w:cs="宋体"/>
          <w:spacing w:val="-7"/>
          <w:sz w:val="24"/>
          <w:szCs w:val="24"/>
        </w:rPr>
        <w:t>缺陷责任期以“分段通车”交工</w:t>
      </w:r>
      <w:r>
        <w:rPr>
          <w:rFonts w:ascii="宋体" w:hAnsi="宋体" w:eastAsia="宋体" w:cs="宋体"/>
          <w:spacing w:val="-4"/>
          <w:sz w:val="24"/>
          <w:szCs w:val="24"/>
        </w:rPr>
        <w:t>证书明确的时间进行计算。</w:t>
      </w:r>
    </w:p>
    <w:p w14:paraId="0D45D982">
      <w:pPr>
        <w:spacing w:line="219" w:lineRule="auto"/>
        <w:ind w:left="507"/>
        <w:rPr>
          <w:rFonts w:ascii="宋体" w:hAnsi="宋体" w:eastAsia="宋体" w:cs="宋体"/>
          <w:sz w:val="24"/>
          <w:szCs w:val="24"/>
        </w:rPr>
      </w:pPr>
      <w:r>
        <w:rPr>
          <w:rFonts w:ascii="宋体" w:hAnsi="宋体" w:eastAsia="宋体" w:cs="宋体"/>
          <w:spacing w:val="-3"/>
          <w:sz w:val="24"/>
          <w:szCs w:val="24"/>
        </w:rPr>
        <w:t>19.7 保修责任</w:t>
      </w:r>
    </w:p>
    <w:p w14:paraId="3D9AAB2D">
      <w:pPr>
        <w:spacing w:before="182" w:line="220" w:lineRule="auto"/>
        <w:ind w:left="507"/>
        <w:rPr>
          <w:rFonts w:ascii="宋体" w:hAnsi="宋体" w:eastAsia="宋体" w:cs="宋体"/>
          <w:sz w:val="24"/>
          <w:szCs w:val="24"/>
        </w:rPr>
      </w:pPr>
      <w:r>
        <w:rPr>
          <w:rFonts w:ascii="宋体" w:hAnsi="宋体" w:eastAsia="宋体" w:cs="宋体"/>
          <w:spacing w:val="-2"/>
          <w:sz w:val="24"/>
          <w:szCs w:val="24"/>
        </w:rPr>
        <w:t>19.7（1）目补充内容详见项目专用合同条款数据表中</w:t>
      </w:r>
      <w:r>
        <w:rPr>
          <w:rFonts w:ascii="宋体" w:hAnsi="宋体" w:eastAsia="宋体" w:cs="宋体"/>
          <w:spacing w:val="-3"/>
          <w:sz w:val="24"/>
          <w:szCs w:val="24"/>
        </w:rPr>
        <w:t>约定。</w:t>
      </w:r>
    </w:p>
    <w:p w14:paraId="3AFC9563">
      <w:pPr>
        <w:spacing w:before="183" w:line="220" w:lineRule="auto"/>
        <w:ind w:left="492"/>
        <w:rPr>
          <w:rFonts w:ascii="宋体" w:hAnsi="宋体" w:eastAsia="宋体" w:cs="宋体"/>
          <w:sz w:val="24"/>
          <w:szCs w:val="24"/>
        </w:rPr>
      </w:pPr>
      <w:r>
        <w:rPr>
          <w:rFonts w:ascii="宋体" w:hAnsi="宋体" w:eastAsia="宋体" w:cs="宋体"/>
          <w:b/>
          <w:bCs/>
          <w:spacing w:val="-6"/>
          <w:sz w:val="24"/>
          <w:szCs w:val="24"/>
        </w:rPr>
        <w:t>20.</w:t>
      </w:r>
      <w:r>
        <w:rPr>
          <w:rFonts w:ascii="宋体" w:hAnsi="宋体" w:eastAsia="宋体" w:cs="宋体"/>
          <w:spacing w:val="12"/>
          <w:sz w:val="24"/>
          <w:szCs w:val="24"/>
        </w:rPr>
        <w:t xml:space="preserve"> </w:t>
      </w:r>
      <w:r>
        <w:rPr>
          <w:rFonts w:ascii="宋体" w:hAnsi="宋体" w:eastAsia="宋体" w:cs="宋体"/>
          <w:b/>
          <w:bCs/>
          <w:spacing w:val="-6"/>
          <w:sz w:val="24"/>
          <w:szCs w:val="24"/>
        </w:rPr>
        <w:t>保险</w:t>
      </w:r>
    </w:p>
    <w:p w14:paraId="64283C5C">
      <w:pPr>
        <w:spacing w:before="182" w:line="220" w:lineRule="auto"/>
        <w:ind w:left="492"/>
        <w:rPr>
          <w:rFonts w:ascii="宋体" w:hAnsi="宋体" w:eastAsia="宋体" w:cs="宋体"/>
          <w:sz w:val="24"/>
          <w:szCs w:val="24"/>
        </w:rPr>
      </w:pPr>
      <w:r>
        <w:rPr>
          <w:rFonts w:ascii="宋体" w:hAnsi="宋体" w:eastAsia="宋体" w:cs="宋体"/>
          <w:spacing w:val="-3"/>
          <w:sz w:val="24"/>
          <w:szCs w:val="24"/>
        </w:rPr>
        <w:t>20.1</w:t>
      </w:r>
      <w:r>
        <w:rPr>
          <w:rFonts w:ascii="宋体" w:hAnsi="宋体" w:eastAsia="宋体" w:cs="宋体"/>
          <w:spacing w:val="-47"/>
          <w:sz w:val="24"/>
          <w:szCs w:val="24"/>
        </w:rPr>
        <w:t xml:space="preserve"> </w:t>
      </w:r>
      <w:r>
        <w:rPr>
          <w:rFonts w:ascii="宋体" w:hAnsi="宋体" w:eastAsia="宋体" w:cs="宋体"/>
          <w:spacing w:val="-3"/>
          <w:sz w:val="24"/>
          <w:szCs w:val="24"/>
        </w:rPr>
        <w:t>工程保险</w:t>
      </w:r>
    </w:p>
    <w:p w14:paraId="23934B36">
      <w:pPr>
        <w:spacing w:before="181" w:line="220" w:lineRule="auto"/>
        <w:ind w:left="489"/>
        <w:rPr>
          <w:rFonts w:ascii="宋体" w:hAnsi="宋体" w:eastAsia="宋体" w:cs="宋体"/>
          <w:sz w:val="24"/>
          <w:szCs w:val="24"/>
        </w:rPr>
      </w:pPr>
      <w:r>
        <w:rPr>
          <w:rFonts w:ascii="宋体" w:hAnsi="宋体" w:eastAsia="宋体" w:cs="宋体"/>
          <w:spacing w:val="-8"/>
          <w:sz w:val="24"/>
          <w:szCs w:val="24"/>
        </w:rPr>
        <w:t>第</w:t>
      </w:r>
      <w:r>
        <w:rPr>
          <w:rFonts w:ascii="宋体" w:hAnsi="宋体" w:eastAsia="宋体" w:cs="宋体"/>
          <w:spacing w:val="-43"/>
          <w:sz w:val="24"/>
          <w:szCs w:val="24"/>
        </w:rPr>
        <w:t xml:space="preserve"> </w:t>
      </w:r>
      <w:r>
        <w:rPr>
          <w:rFonts w:ascii="宋体" w:hAnsi="宋体" w:eastAsia="宋体" w:cs="宋体"/>
          <w:spacing w:val="-8"/>
          <w:sz w:val="24"/>
          <w:szCs w:val="24"/>
        </w:rPr>
        <w:t>20.1</w:t>
      </w:r>
      <w:r>
        <w:rPr>
          <w:rFonts w:ascii="宋体" w:hAnsi="宋体" w:eastAsia="宋体" w:cs="宋体"/>
          <w:spacing w:val="-50"/>
          <w:sz w:val="24"/>
          <w:szCs w:val="24"/>
        </w:rPr>
        <w:t xml:space="preserve"> </w:t>
      </w:r>
      <w:r>
        <w:rPr>
          <w:rFonts w:ascii="宋体" w:hAnsi="宋体" w:eastAsia="宋体" w:cs="宋体"/>
          <w:spacing w:val="-8"/>
          <w:sz w:val="24"/>
          <w:szCs w:val="24"/>
        </w:rPr>
        <w:t>款修改为：</w:t>
      </w:r>
    </w:p>
    <w:p w14:paraId="2AD61012">
      <w:pPr>
        <w:spacing w:before="182" w:line="220" w:lineRule="auto"/>
        <w:ind w:left="492"/>
        <w:rPr>
          <w:rFonts w:ascii="宋体" w:hAnsi="宋体" w:eastAsia="宋体" w:cs="宋体"/>
          <w:sz w:val="24"/>
          <w:szCs w:val="24"/>
        </w:rPr>
      </w:pPr>
      <w:r>
        <w:rPr>
          <w:rFonts w:ascii="宋体" w:hAnsi="宋体" w:eastAsia="宋体" w:cs="宋体"/>
          <w:spacing w:val="-2"/>
          <w:sz w:val="24"/>
          <w:szCs w:val="24"/>
        </w:rPr>
        <w:t>20.1</w:t>
      </w:r>
      <w:r>
        <w:rPr>
          <w:rFonts w:ascii="宋体" w:hAnsi="宋体" w:eastAsia="宋体" w:cs="宋体"/>
          <w:spacing w:val="-38"/>
          <w:sz w:val="24"/>
          <w:szCs w:val="24"/>
        </w:rPr>
        <w:t xml:space="preserve"> </w:t>
      </w:r>
      <w:r>
        <w:rPr>
          <w:rFonts w:ascii="宋体" w:hAnsi="宋体" w:eastAsia="宋体" w:cs="宋体"/>
          <w:spacing w:val="-2"/>
          <w:sz w:val="24"/>
          <w:szCs w:val="24"/>
        </w:rPr>
        <w:t>建筑工程一切险及第三者责任险</w:t>
      </w:r>
    </w:p>
    <w:p w14:paraId="1A397FD1">
      <w:pPr>
        <w:spacing w:before="183" w:line="360" w:lineRule="auto"/>
        <w:ind w:left="8" w:firstLine="483"/>
        <w:jc w:val="both"/>
        <w:rPr>
          <w:rFonts w:ascii="宋体" w:hAnsi="宋体" w:eastAsia="宋体" w:cs="宋体"/>
          <w:sz w:val="24"/>
          <w:szCs w:val="24"/>
        </w:rPr>
      </w:pPr>
      <w:r>
        <w:rPr>
          <w:rFonts w:ascii="宋体" w:hAnsi="宋体" w:eastAsia="宋体" w:cs="宋体"/>
          <w:spacing w:val="1"/>
          <w:sz w:val="24"/>
          <w:szCs w:val="24"/>
        </w:rPr>
        <w:t>20.1.1 建筑工程一切险的投保内容：为本合同工程的永久工程、临时工程和设备</w:t>
      </w:r>
      <w:r>
        <w:rPr>
          <w:rFonts w:ascii="宋体" w:hAnsi="宋体" w:eastAsia="宋体" w:cs="宋体"/>
          <w:spacing w:val="-3"/>
          <w:sz w:val="24"/>
          <w:szCs w:val="24"/>
        </w:rPr>
        <w:t>及已运至施工工地用于永久工程的材料和设备所投的保险。第三者责任系指在保险期内，</w:t>
      </w:r>
      <w:r>
        <w:rPr>
          <w:rFonts w:ascii="宋体" w:hAnsi="宋体" w:eastAsia="宋体" w:cs="宋体"/>
          <w:spacing w:val="-2"/>
          <w:sz w:val="24"/>
          <w:szCs w:val="24"/>
        </w:rPr>
        <w:t>对因工程意外事故造成的、依法应由被保险人负责的工地上及毗邻地区的第三者人身伤亡、疾病或财产损失（本工程除外</w:t>
      </w:r>
      <w:r>
        <w:rPr>
          <w:rFonts w:ascii="宋体" w:hAnsi="宋体" w:eastAsia="宋体" w:cs="宋体"/>
          <w:spacing w:val="7"/>
          <w:sz w:val="24"/>
          <w:szCs w:val="24"/>
        </w:rPr>
        <w:t>），</w:t>
      </w:r>
      <w:r>
        <w:rPr>
          <w:rFonts w:ascii="宋体" w:hAnsi="宋体" w:eastAsia="宋体" w:cs="宋体"/>
          <w:spacing w:val="-2"/>
          <w:sz w:val="24"/>
          <w:szCs w:val="24"/>
        </w:rPr>
        <w:t>以及被保险人因此而支付的诉讼费用和事先经保</w:t>
      </w:r>
      <w:r>
        <w:rPr>
          <w:rFonts w:ascii="宋体" w:hAnsi="宋体" w:eastAsia="宋体" w:cs="宋体"/>
          <w:spacing w:val="-3"/>
          <w:sz w:val="24"/>
          <w:szCs w:val="24"/>
        </w:rPr>
        <w:t>险人书面同意支付的其他费用等赔偿责任。</w:t>
      </w:r>
    </w:p>
    <w:p w14:paraId="3E4B2A73">
      <w:pPr>
        <w:spacing w:before="2" w:line="359" w:lineRule="auto"/>
        <w:ind w:left="29" w:right="186" w:firstLine="461"/>
        <w:rPr>
          <w:rFonts w:ascii="宋体" w:hAnsi="宋体" w:eastAsia="宋体" w:cs="宋体"/>
          <w:sz w:val="24"/>
          <w:szCs w:val="24"/>
        </w:rPr>
      </w:pPr>
      <w:r>
        <w:rPr>
          <w:rFonts w:ascii="宋体" w:hAnsi="宋体" w:eastAsia="宋体" w:cs="宋体"/>
          <w:spacing w:val="-2"/>
          <w:sz w:val="24"/>
          <w:szCs w:val="24"/>
        </w:rPr>
        <w:t>保险计算基数：</w:t>
      </w:r>
      <w:r>
        <w:rPr>
          <w:rFonts w:hint="eastAsia" w:ascii="宋体" w:hAnsi="宋体" w:eastAsia="宋体" w:cs="宋体"/>
          <w:spacing w:val="-2"/>
          <w:sz w:val="24"/>
          <w:szCs w:val="24"/>
          <w:u w:val="single" w:color="auto"/>
        </w:rPr>
        <w:t>工程量清单第 100 章至900 章费用之和</w:t>
      </w:r>
      <w:r>
        <w:rPr>
          <w:rFonts w:ascii="宋体" w:hAnsi="宋体" w:eastAsia="宋体" w:cs="宋体"/>
          <w:spacing w:val="-2"/>
          <w:sz w:val="24"/>
          <w:szCs w:val="24"/>
          <w:u w:val="single" w:color="auto"/>
        </w:rPr>
        <w:t>（扣除建筑工程一切险及第三者责任险</w:t>
      </w:r>
      <w:r>
        <w:rPr>
          <w:rFonts w:ascii="宋体" w:hAnsi="宋体" w:eastAsia="宋体" w:cs="宋体"/>
          <w:spacing w:val="-1"/>
          <w:sz w:val="24"/>
          <w:szCs w:val="24"/>
          <w:u w:val="single" w:color="auto"/>
        </w:rPr>
        <w:t>的保险费、安全生产费、机电工程设备购置费以及临时用地费）为基数。</w:t>
      </w:r>
    </w:p>
    <w:p w14:paraId="437F97A3">
      <w:pPr>
        <w:spacing w:before="1" w:line="219" w:lineRule="auto"/>
        <w:ind w:left="490"/>
        <w:rPr>
          <w:rFonts w:ascii="宋体" w:hAnsi="宋体" w:eastAsia="宋体" w:cs="宋体"/>
          <w:sz w:val="24"/>
          <w:szCs w:val="24"/>
        </w:rPr>
      </w:pPr>
      <w:r>
        <w:rPr>
          <w:rFonts w:ascii="宋体" w:hAnsi="宋体" w:eastAsia="宋体" w:cs="宋体"/>
          <w:spacing w:val="-2"/>
          <w:sz w:val="24"/>
          <w:szCs w:val="24"/>
        </w:rPr>
        <w:t>保险费率：在项目专用合同条款数据表中约</w:t>
      </w:r>
      <w:r>
        <w:rPr>
          <w:rFonts w:ascii="宋体" w:hAnsi="宋体" w:eastAsia="宋体" w:cs="宋体"/>
          <w:spacing w:val="-3"/>
          <w:sz w:val="24"/>
          <w:szCs w:val="24"/>
        </w:rPr>
        <w:t>定。</w:t>
      </w:r>
    </w:p>
    <w:p w14:paraId="1AA6D612">
      <w:pPr>
        <w:pStyle w:val="2"/>
        <w:spacing w:line="268" w:lineRule="auto"/>
      </w:pPr>
      <w:r>
        <w:rPr>
          <w:rFonts w:ascii="宋体" w:hAnsi="宋体" w:eastAsia="宋体" w:cs="宋体"/>
          <w:spacing w:val="-2"/>
          <w:sz w:val="24"/>
          <w:szCs w:val="24"/>
        </w:rPr>
        <w:t>保险期限：开工日起直至本合同工程签发缺陷责任期终止证书止（即合同工期＋缺</w:t>
      </w:r>
      <w:r>
        <w:rPr>
          <w:rFonts w:ascii="宋体" w:hAnsi="宋体" w:eastAsia="宋体" w:cs="宋体"/>
          <w:spacing w:val="-9"/>
          <w:sz w:val="24"/>
          <w:szCs w:val="24"/>
        </w:rPr>
        <w:t>陷责任期）。</w:t>
      </w:r>
    </w:p>
    <w:p w14:paraId="27C323BC">
      <w:pPr>
        <w:spacing w:before="78" w:line="360" w:lineRule="auto"/>
        <w:ind w:left="8" w:right="63" w:firstLine="484"/>
        <w:jc w:val="both"/>
        <w:rPr>
          <w:rFonts w:ascii="宋体" w:hAnsi="宋体" w:eastAsia="宋体" w:cs="宋体"/>
          <w:sz w:val="24"/>
          <w:szCs w:val="24"/>
        </w:rPr>
      </w:pPr>
      <w:r>
        <w:rPr>
          <w:rFonts w:ascii="宋体" w:hAnsi="宋体" w:eastAsia="宋体" w:cs="宋体"/>
          <w:spacing w:val="5"/>
          <w:sz w:val="24"/>
          <w:szCs w:val="24"/>
        </w:rPr>
        <w:t>发包人或承包人应以发包人和承包人的共同名义投保建筑工程一切险及第三者责</w:t>
      </w:r>
      <w:r>
        <w:rPr>
          <w:rFonts w:ascii="宋体" w:hAnsi="宋体" w:eastAsia="宋体" w:cs="宋体"/>
          <w:spacing w:val="-2"/>
          <w:sz w:val="24"/>
          <w:szCs w:val="24"/>
        </w:rPr>
        <w:t>任险。建筑工程一切险及第三者责任险的保险费由承包人报价时按项目专用合同条款数</w:t>
      </w:r>
      <w:r>
        <w:rPr>
          <w:rFonts w:ascii="宋体" w:hAnsi="宋体" w:eastAsia="宋体" w:cs="宋体"/>
          <w:spacing w:val="-3"/>
          <w:sz w:val="24"/>
          <w:szCs w:val="24"/>
        </w:rPr>
        <w:t>据表规定的费率计算并列入工程量清单</w:t>
      </w:r>
      <w:r>
        <w:rPr>
          <w:rFonts w:ascii="宋体" w:hAnsi="宋体" w:eastAsia="宋体" w:cs="宋体"/>
          <w:spacing w:val="-19"/>
          <w:sz w:val="24"/>
          <w:szCs w:val="24"/>
        </w:rPr>
        <w:t xml:space="preserve"> </w:t>
      </w:r>
      <w:r>
        <w:rPr>
          <w:rFonts w:ascii="宋体" w:hAnsi="宋体" w:eastAsia="宋体" w:cs="宋体"/>
          <w:spacing w:val="-3"/>
          <w:sz w:val="24"/>
          <w:szCs w:val="24"/>
        </w:rPr>
        <w:t>100</w:t>
      </w:r>
      <w:r>
        <w:rPr>
          <w:rFonts w:ascii="宋体" w:hAnsi="宋体" w:eastAsia="宋体" w:cs="宋体"/>
          <w:spacing w:val="-42"/>
          <w:sz w:val="24"/>
          <w:szCs w:val="24"/>
        </w:rPr>
        <w:t xml:space="preserve"> </w:t>
      </w:r>
      <w:r>
        <w:rPr>
          <w:rFonts w:ascii="宋体" w:hAnsi="宋体" w:eastAsia="宋体" w:cs="宋体"/>
          <w:spacing w:val="-3"/>
          <w:sz w:val="24"/>
          <w:szCs w:val="24"/>
        </w:rPr>
        <w:t>章内。不论实际投保费用是高于或低于按上</w:t>
      </w:r>
      <w:r>
        <w:rPr>
          <w:rFonts w:ascii="宋体" w:hAnsi="宋体" w:eastAsia="宋体" w:cs="宋体"/>
          <w:spacing w:val="-6"/>
          <w:sz w:val="24"/>
          <w:szCs w:val="24"/>
        </w:rPr>
        <w:t>述办法计算的保费，发包人都不作调整。上述保险费，</w:t>
      </w:r>
      <w:r>
        <w:rPr>
          <w:rFonts w:ascii="宋体" w:hAnsi="宋体" w:eastAsia="宋体" w:cs="宋体"/>
          <w:spacing w:val="50"/>
          <w:sz w:val="24"/>
          <w:szCs w:val="24"/>
        </w:rPr>
        <w:t xml:space="preserve"> </w:t>
      </w:r>
      <w:r>
        <w:rPr>
          <w:rFonts w:ascii="宋体" w:hAnsi="宋体" w:eastAsia="宋体" w:cs="宋体"/>
          <w:spacing w:val="-6"/>
          <w:sz w:val="24"/>
          <w:szCs w:val="24"/>
        </w:rPr>
        <w:t>将由发包人从承包人的应付款中</w:t>
      </w:r>
      <w:r>
        <w:rPr>
          <w:rFonts w:ascii="宋体" w:hAnsi="宋体" w:eastAsia="宋体" w:cs="宋体"/>
          <w:spacing w:val="-2"/>
          <w:sz w:val="24"/>
          <w:szCs w:val="24"/>
        </w:rPr>
        <w:t>代扣，统一向保险公司支付；或先由承包人支付，在接到保险公司的保险单并经监理人签证后，发包人将按照保险单的费用直接向承包人支付，但不得高于投标文件该项所报</w:t>
      </w:r>
      <w:r>
        <w:rPr>
          <w:rFonts w:ascii="宋体" w:hAnsi="宋体" w:eastAsia="宋体" w:cs="宋体"/>
          <w:spacing w:val="-9"/>
          <w:sz w:val="24"/>
          <w:szCs w:val="24"/>
        </w:rPr>
        <w:t>总额价。</w:t>
      </w:r>
    </w:p>
    <w:p w14:paraId="151C2EEE">
      <w:pPr>
        <w:spacing w:before="2" w:line="359" w:lineRule="auto"/>
        <w:ind w:left="15" w:firstLine="477"/>
        <w:rPr>
          <w:rFonts w:ascii="宋体" w:hAnsi="宋体" w:eastAsia="宋体" w:cs="宋体"/>
          <w:sz w:val="24"/>
          <w:szCs w:val="24"/>
        </w:rPr>
      </w:pPr>
      <w:r>
        <w:rPr>
          <w:rFonts w:ascii="宋体" w:hAnsi="宋体" w:eastAsia="宋体" w:cs="宋体"/>
          <w:spacing w:val="-3"/>
          <w:sz w:val="24"/>
          <w:szCs w:val="24"/>
        </w:rPr>
        <w:t>20.1.2 保险标的出险后，承包人应自行向保险人报案、登记、索赔并报告发包人，</w:t>
      </w:r>
      <w:r>
        <w:rPr>
          <w:rFonts w:ascii="宋体" w:hAnsi="宋体" w:eastAsia="宋体" w:cs="宋体"/>
          <w:spacing w:val="-2"/>
          <w:sz w:val="24"/>
          <w:szCs w:val="24"/>
        </w:rPr>
        <w:t>并做好资料整理、工程损失计算等。上述工作所产生的费用由承包人承担。</w:t>
      </w:r>
    </w:p>
    <w:p w14:paraId="066ECB63">
      <w:pPr>
        <w:spacing w:line="360" w:lineRule="auto"/>
        <w:ind w:left="28" w:right="78" w:firstLine="464"/>
        <w:rPr>
          <w:rFonts w:ascii="宋体" w:hAnsi="宋体" w:eastAsia="宋体" w:cs="宋体"/>
          <w:sz w:val="24"/>
          <w:szCs w:val="24"/>
        </w:rPr>
      </w:pPr>
      <w:r>
        <w:rPr>
          <w:rFonts w:ascii="宋体" w:hAnsi="宋体" w:eastAsia="宋体" w:cs="宋体"/>
          <w:spacing w:val="1"/>
          <w:sz w:val="24"/>
          <w:szCs w:val="24"/>
        </w:rPr>
        <w:t>20.1.3 因保险事故产生的修复、索赔等责任由承包人承担。若承包人放弃索赔或</w:t>
      </w:r>
      <w:r>
        <w:rPr>
          <w:rFonts w:ascii="宋体" w:hAnsi="宋体" w:eastAsia="宋体" w:cs="宋体"/>
          <w:spacing w:val="-2"/>
          <w:sz w:val="24"/>
          <w:szCs w:val="24"/>
        </w:rPr>
        <w:t>因自身原因延误索赔，发包人保留索赔的权利，保险索赔所得费用归发包人所有。</w:t>
      </w:r>
    </w:p>
    <w:p w14:paraId="68C5E8DA">
      <w:pPr>
        <w:spacing w:line="219" w:lineRule="auto"/>
        <w:ind w:left="492"/>
        <w:rPr>
          <w:rFonts w:ascii="宋体" w:hAnsi="宋体" w:eastAsia="宋体" w:cs="宋体"/>
          <w:sz w:val="24"/>
          <w:szCs w:val="24"/>
        </w:rPr>
      </w:pPr>
      <w:r>
        <w:rPr>
          <w:rFonts w:ascii="宋体" w:hAnsi="宋体" w:eastAsia="宋体" w:cs="宋体"/>
          <w:spacing w:val="-1"/>
          <w:sz w:val="24"/>
          <w:szCs w:val="24"/>
        </w:rPr>
        <w:t>20.2.1 承包人员工伤事故的保险</w:t>
      </w:r>
    </w:p>
    <w:p w14:paraId="76259C0F">
      <w:pPr>
        <w:spacing w:before="183" w:line="219" w:lineRule="auto"/>
        <w:ind w:left="490"/>
        <w:rPr>
          <w:rFonts w:ascii="宋体" w:hAnsi="宋体" w:eastAsia="宋体" w:cs="宋体"/>
          <w:sz w:val="24"/>
          <w:szCs w:val="24"/>
        </w:rPr>
      </w:pPr>
      <w:r>
        <w:rPr>
          <w:rFonts w:ascii="宋体" w:hAnsi="宋体" w:eastAsia="宋体" w:cs="宋体"/>
          <w:spacing w:val="-11"/>
          <w:sz w:val="24"/>
          <w:szCs w:val="24"/>
        </w:rPr>
        <w:t>本项补充：</w:t>
      </w:r>
    </w:p>
    <w:p w14:paraId="6F732508">
      <w:pPr>
        <w:spacing w:before="183" w:line="360" w:lineRule="auto"/>
        <w:ind w:left="10" w:right="62" w:firstLine="481"/>
        <w:jc w:val="both"/>
        <w:rPr>
          <w:rFonts w:ascii="宋体" w:hAnsi="宋体" w:eastAsia="宋体" w:cs="宋体"/>
          <w:sz w:val="24"/>
          <w:szCs w:val="24"/>
        </w:rPr>
      </w:pPr>
      <w:r>
        <w:rPr>
          <w:rFonts w:ascii="宋体" w:hAnsi="宋体" w:eastAsia="宋体" w:cs="宋体"/>
          <w:spacing w:val="-2"/>
          <w:sz w:val="24"/>
          <w:szCs w:val="24"/>
        </w:rPr>
        <w:t>为促进承包人加强安全生产，预防和减少工伤事故，承包人应按《广东省人力资源</w:t>
      </w:r>
      <w:r>
        <w:rPr>
          <w:rFonts w:ascii="宋体" w:hAnsi="宋体" w:eastAsia="宋体" w:cs="宋体"/>
          <w:spacing w:val="5"/>
          <w:sz w:val="24"/>
          <w:szCs w:val="24"/>
        </w:rPr>
        <w:t>和社会保障厅广东省财政厅国家税务总局广东省税务局关于印发广东省工伤保险基金</w:t>
      </w:r>
      <w:r>
        <w:rPr>
          <w:rFonts w:ascii="宋体" w:hAnsi="宋体" w:eastAsia="宋体" w:cs="宋体"/>
          <w:spacing w:val="-3"/>
          <w:sz w:val="24"/>
          <w:szCs w:val="24"/>
        </w:rPr>
        <w:t>省级统筹实施方案的通知》（粤人社规〔2019〕20</w:t>
      </w:r>
      <w:r>
        <w:rPr>
          <w:rFonts w:ascii="宋体" w:hAnsi="宋体" w:eastAsia="宋体" w:cs="宋体"/>
          <w:spacing w:val="-45"/>
          <w:sz w:val="24"/>
          <w:szCs w:val="24"/>
        </w:rPr>
        <w:t xml:space="preserve"> </w:t>
      </w:r>
      <w:r>
        <w:rPr>
          <w:rFonts w:ascii="宋体" w:hAnsi="宋体" w:eastAsia="宋体" w:cs="宋体"/>
          <w:spacing w:val="-3"/>
          <w:sz w:val="24"/>
          <w:szCs w:val="24"/>
        </w:rPr>
        <w:t>号）等相</w:t>
      </w:r>
      <w:r>
        <w:rPr>
          <w:rFonts w:ascii="宋体" w:hAnsi="宋体" w:eastAsia="宋体" w:cs="宋体"/>
          <w:spacing w:val="-4"/>
          <w:sz w:val="24"/>
          <w:szCs w:val="24"/>
        </w:rPr>
        <w:t>关规定参加工伤保险，为其</w:t>
      </w:r>
      <w:r>
        <w:rPr>
          <w:rFonts w:ascii="宋体" w:hAnsi="宋体" w:eastAsia="宋体" w:cs="宋体"/>
          <w:spacing w:val="-1"/>
          <w:sz w:val="24"/>
          <w:szCs w:val="24"/>
        </w:rPr>
        <w:t>履行合同所雇用的全部人员缴纳工伤保险费，并要求其分</w:t>
      </w:r>
      <w:r>
        <w:rPr>
          <w:rFonts w:ascii="宋体" w:hAnsi="宋体" w:eastAsia="宋体" w:cs="宋体"/>
          <w:spacing w:val="-2"/>
          <w:sz w:val="24"/>
          <w:szCs w:val="24"/>
        </w:rPr>
        <w:t>包人也进行此项保险。</w:t>
      </w:r>
    </w:p>
    <w:p w14:paraId="7E3819CB">
      <w:pPr>
        <w:spacing w:before="1" w:line="219" w:lineRule="auto"/>
        <w:ind w:left="492"/>
        <w:rPr>
          <w:rFonts w:ascii="宋体" w:hAnsi="宋体" w:eastAsia="宋体" w:cs="宋体"/>
          <w:sz w:val="24"/>
          <w:szCs w:val="24"/>
        </w:rPr>
      </w:pPr>
      <w:r>
        <w:rPr>
          <w:rFonts w:ascii="宋体" w:hAnsi="宋体" w:eastAsia="宋体" w:cs="宋体"/>
          <w:spacing w:val="-1"/>
          <w:sz w:val="24"/>
          <w:szCs w:val="24"/>
        </w:rPr>
        <w:t>20.4 第三者责任险</w:t>
      </w:r>
    </w:p>
    <w:p w14:paraId="0D9BDBC2">
      <w:pPr>
        <w:spacing w:before="182" w:line="220" w:lineRule="auto"/>
        <w:ind w:left="489"/>
        <w:rPr>
          <w:rFonts w:ascii="宋体" w:hAnsi="宋体" w:eastAsia="宋体" w:cs="宋体"/>
          <w:sz w:val="24"/>
          <w:szCs w:val="24"/>
        </w:rPr>
      </w:pPr>
      <w:r>
        <w:rPr>
          <w:rFonts w:ascii="宋体" w:hAnsi="宋体" w:eastAsia="宋体" w:cs="宋体"/>
          <w:spacing w:val="-7"/>
          <w:sz w:val="24"/>
          <w:szCs w:val="24"/>
        </w:rPr>
        <w:t>第</w:t>
      </w:r>
      <w:r>
        <w:rPr>
          <w:rFonts w:ascii="宋体" w:hAnsi="宋体" w:eastAsia="宋体" w:cs="宋体"/>
          <w:spacing w:val="-45"/>
          <w:sz w:val="24"/>
          <w:szCs w:val="24"/>
        </w:rPr>
        <w:t xml:space="preserve"> </w:t>
      </w:r>
      <w:r>
        <w:rPr>
          <w:rFonts w:ascii="宋体" w:hAnsi="宋体" w:eastAsia="宋体" w:cs="宋体"/>
          <w:spacing w:val="-7"/>
          <w:sz w:val="24"/>
          <w:szCs w:val="24"/>
        </w:rPr>
        <w:t>20.4.2</w:t>
      </w:r>
      <w:r>
        <w:rPr>
          <w:rFonts w:ascii="宋体" w:hAnsi="宋体" w:eastAsia="宋体" w:cs="宋体"/>
          <w:spacing w:val="-47"/>
          <w:sz w:val="24"/>
          <w:szCs w:val="24"/>
        </w:rPr>
        <w:t xml:space="preserve"> </w:t>
      </w:r>
      <w:r>
        <w:rPr>
          <w:rFonts w:ascii="宋体" w:hAnsi="宋体" w:eastAsia="宋体" w:cs="宋体"/>
          <w:spacing w:val="-7"/>
          <w:sz w:val="24"/>
          <w:szCs w:val="24"/>
        </w:rPr>
        <w:t>项补充：</w:t>
      </w:r>
    </w:p>
    <w:p w14:paraId="025F27B7">
      <w:pPr>
        <w:spacing w:before="182" w:line="220" w:lineRule="auto"/>
        <w:ind w:left="489"/>
        <w:rPr>
          <w:rFonts w:ascii="宋体" w:hAnsi="宋体" w:eastAsia="宋体" w:cs="宋体"/>
          <w:sz w:val="24"/>
          <w:szCs w:val="24"/>
        </w:rPr>
      </w:pPr>
      <w:r>
        <w:rPr>
          <w:rFonts w:ascii="宋体" w:hAnsi="宋体" w:eastAsia="宋体" w:cs="宋体"/>
          <w:spacing w:val="-2"/>
          <w:sz w:val="24"/>
          <w:szCs w:val="24"/>
        </w:rPr>
        <w:t>第三者责任险的购买、报险、索赔等，参照第</w:t>
      </w:r>
      <w:r>
        <w:rPr>
          <w:rFonts w:ascii="宋体" w:hAnsi="宋体" w:eastAsia="宋体" w:cs="宋体"/>
          <w:spacing w:val="-48"/>
          <w:sz w:val="24"/>
          <w:szCs w:val="24"/>
        </w:rPr>
        <w:t xml:space="preserve"> </w:t>
      </w:r>
      <w:r>
        <w:rPr>
          <w:rFonts w:ascii="宋体" w:hAnsi="宋体" w:eastAsia="宋体" w:cs="宋体"/>
          <w:spacing w:val="-2"/>
          <w:sz w:val="24"/>
          <w:szCs w:val="24"/>
        </w:rPr>
        <w:t>20.1</w:t>
      </w:r>
      <w:r>
        <w:rPr>
          <w:rFonts w:ascii="宋体" w:hAnsi="宋体" w:eastAsia="宋体" w:cs="宋体"/>
          <w:spacing w:val="-50"/>
          <w:sz w:val="24"/>
          <w:szCs w:val="24"/>
        </w:rPr>
        <w:t xml:space="preserve"> </w:t>
      </w:r>
      <w:r>
        <w:rPr>
          <w:rFonts w:ascii="宋体" w:hAnsi="宋体" w:eastAsia="宋体" w:cs="宋体"/>
          <w:spacing w:val="-2"/>
          <w:sz w:val="24"/>
          <w:szCs w:val="24"/>
        </w:rPr>
        <w:t>款约定执行。</w:t>
      </w:r>
    </w:p>
    <w:p w14:paraId="2E7768B8">
      <w:pPr>
        <w:spacing w:before="78" w:line="360" w:lineRule="auto"/>
        <w:ind w:left="10" w:right="114" w:firstLine="18"/>
        <w:rPr>
          <w:rFonts w:ascii="宋体" w:hAnsi="宋体" w:eastAsia="宋体" w:cs="宋体"/>
          <w:sz w:val="24"/>
          <w:szCs w:val="24"/>
        </w:rPr>
      </w:pPr>
      <w:r>
        <w:rPr>
          <w:rFonts w:ascii="宋体" w:hAnsi="宋体" w:eastAsia="宋体" w:cs="宋体"/>
          <w:spacing w:val="-6"/>
          <w:sz w:val="24"/>
          <w:szCs w:val="24"/>
        </w:rPr>
        <w:t>第三者责任险保险费，将由发包人从承包人的应付款中</w:t>
      </w:r>
      <w:r>
        <w:rPr>
          <w:rFonts w:ascii="宋体" w:hAnsi="宋体" w:eastAsia="宋体" w:cs="宋体"/>
          <w:spacing w:val="-7"/>
          <w:sz w:val="24"/>
          <w:szCs w:val="24"/>
        </w:rPr>
        <w:t>代扣，统一向保险公司支付；</w:t>
      </w:r>
      <w:r>
        <w:rPr>
          <w:rFonts w:ascii="宋体" w:hAnsi="宋体" w:eastAsia="宋体" w:cs="宋体"/>
          <w:spacing w:val="-2"/>
          <w:sz w:val="24"/>
          <w:szCs w:val="24"/>
        </w:rPr>
        <w:t>或先由承包人支付，在接到保险公司的保险单并经监理人签证后，发包人将按照保险单的费用直接向承包人支付，但不得高于对应的承包人投标报价。具体在项目专用</w:t>
      </w:r>
      <w:r>
        <w:rPr>
          <w:rFonts w:ascii="宋体" w:hAnsi="宋体" w:eastAsia="宋体" w:cs="宋体"/>
          <w:spacing w:val="-3"/>
          <w:sz w:val="24"/>
          <w:szCs w:val="24"/>
        </w:rPr>
        <w:t>合同条</w:t>
      </w:r>
      <w:r>
        <w:rPr>
          <w:rFonts w:ascii="宋体" w:hAnsi="宋体" w:eastAsia="宋体" w:cs="宋体"/>
          <w:spacing w:val="-5"/>
          <w:sz w:val="24"/>
          <w:szCs w:val="24"/>
        </w:rPr>
        <w:t>款数据表中约定。</w:t>
      </w:r>
    </w:p>
    <w:p w14:paraId="318816E7">
      <w:pPr>
        <w:spacing w:line="220" w:lineRule="auto"/>
        <w:ind w:left="492"/>
        <w:rPr>
          <w:rFonts w:ascii="宋体" w:hAnsi="宋体" w:eastAsia="宋体" w:cs="宋体"/>
          <w:sz w:val="24"/>
          <w:szCs w:val="24"/>
        </w:rPr>
      </w:pPr>
      <w:r>
        <w:rPr>
          <w:rFonts w:ascii="宋体" w:hAnsi="宋体" w:eastAsia="宋体" w:cs="宋体"/>
          <w:spacing w:val="-1"/>
          <w:sz w:val="24"/>
          <w:szCs w:val="24"/>
        </w:rPr>
        <w:t>20.6.4 保险金不足的补偿</w:t>
      </w:r>
    </w:p>
    <w:p w14:paraId="20E21B48">
      <w:pPr>
        <w:spacing w:before="181" w:line="220" w:lineRule="auto"/>
        <w:ind w:left="489"/>
        <w:rPr>
          <w:rFonts w:ascii="宋体" w:hAnsi="宋体" w:eastAsia="宋体" w:cs="宋体"/>
          <w:sz w:val="24"/>
          <w:szCs w:val="24"/>
        </w:rPr>
      </w:pPr>
      <w:r>
        <w:rPr>
          <w:rFonts w:ascii="宋体" w:hAnsi="宋体" w:eastAsia="宋体" w:cs="宋体"/>
          <w:spacing w:val="-5"/>
          <w:sz w:val="24"/>
          <w:szCs w:val="24"/>
        </w:rPr>
        <w:t>第 20.6.4</w:t>
      </w:r>
      <w:r>
        <w:rPr>
          <w:rFonts w:ascii="宋体" w:hAnsi="宋体" w:eastAsia="宋体" w:cs="宋体"/>
          <w:spacing w:val="13"/>
          <w:sz w:val="24"/>
          <w:szCs w:val="24"/>
        </w:rPr>
        <w:t xml:space="preserve"> </w:t>
      </w:r>
      <w:r>
        <w:rPr>
          <w:rFonts w:ascii="宋体" w:hAnsi="宋体" w:eastAsia="宋体" w:cs="宋体"/>
          <w:spacing w:val="-5"/>
          <w:sz w:val="24"/>
          <w:szCs w:val="24"/>
        </w:rPr>
        <w:t>项修改为：</w:t>
      </w:r>
    </w:p>
    <w:p w14:paraId="629FD087">
      <w:pPr>
        <w:spacing w:before="182" w:line="360" w:lineRule="auto"/>
        <w:ind w:left="10" w:firstLine="481"/>
        <w:rPr>
          <w:rFonts w:ascii="宋体" w:hAnsi="宋体" w:eastAsia="宋体" w:cs="宋体"/>
          <w:sz w:val="24"/>
          <w:szCs w:val="24"/>
        </w:rPr>
      </w:pPr>
      <w:r>
        <w:rPr>
          <w:rFonts w:ascii="宋体" w:hAnsi="宋体" w:eastAsia="宋体" w:cs="宋体"/>
          <w:spacing w:val="-3"/>
          <w:sz w:val="24"/>
          <w:szCs w:val="24"/>
        </w:rPr>
        <w:t>从保险人处获得的赔偿额不足以补偿损失的（包括免赔额和超过赔偿限额的部分</w:t>
      </w:r>
      <w:r>
        <w:rPr>
          <w:rFonts w:ascii="宋体" w:hAnsi="宋体" w:eastAsia="宋体" w:cs="宋体"/>
          <w:spacing w:val="-41"/>
          <w:sz w:val="24"/>
          <w:szCs w:val="24"/>
        </w:rPr>
        <w:t>），</w:t>
      </w:r>
      <w:r>
        <w:rPr>
          <w:rFonts w:ascii="宋体" w:hAnsi="宋体" w:eastAsia="宋体" w:cs="宋体"/>
          <w:spacing w:val="-4"/>
          <w:sz w:val="24"/>
          <w:szCs w:val="24"/>
        </w:rPr>
        <w:t>其差额由承包人自行承担。</w:t>
      </w:r>
    </w:p>
    <w:p w14:paraId="23C9E84F">
      <w:pPr>
        <w:spacing w:line="219" w:lineRule="auto"/>
        <w:ind w:left="492"/>
        <w:rPr>
          <w:rFonts w:ascii="宋体" w:hAnsi="宋体" w:eastAsia="宋体" w:cs="宋体"/>
          <w:sz w:val="24"/>
          <w:szCs w:val="24"/>
        </w:rPr>
      </w:pPr>
      <w:r>
        <w:rPr>
          <w:rFonts w:ascii="宋体" w:hAnsi="宋体" w:eastAsia="宋体" w:cs="宋体"/>
          <w:spacing w:val="-2"/>
          <w:sz w:val="24"/>
          <w:szCs w:val="24"/>
        </w:rPr>
        <w:t>21.不可抗力</w:t>
      </w:r>
    </w:p>
    <w:p w14:paraId="18F64500">
      <w:pPr>
        <w:spacing w:before="181" w:line="220" w:lineRule="auto"/>
        <w:ind w:left="492"/>
        <w:rPr>
          <w:rFonts w:ascii="宋体" w:hAnsi="宋体" w:eastAsia="宋体" w:cs="宋体"/>
          <w:sz w:val="24"/>
          <w:szCs w:val="24"/>
        </w:rPr>
      </w:pPr>
      <w:r>
        <w:rPr>
          <w:rFonts w:ascii="宋体" w:hAnsi="宋体" w:eastAsia="宋体" w:cs="宋体"/>
          <w:spacing w:val="-1"/>
          <w:sz w:val="24"/>
          <w:szCs w:val="24"/>
        </w:rPr>
        <w:t>21.1 不可抗力的确认</w:t>
      </w:r>
    </w:p>
    <w:p w14:paraId="30FDF044">
      <w:pPr>
        <w:spacing w:before="183" w:line="360" w:lineRule="auto"/>
        <w:ind w:left="492" w:right="1146"/>
        <w:rPr>
          <w:rFonts w:ascii="宋体" w:hAnsi="宋体" w:eastAsia="宋体" w:cs="宋体"/>
          <w:sz w:val="24"/>
          <w:szCs w:val="24"/>
        </w:rPr>
      </w:pPr>
      <w:r>
        <w:rPr>
          <w:rFonts w:ascii="宋体" w:hAnsi="宋体" w:eastAsia="宋体" w:cs="宋体"/>
          <w:spacing w:val="-2"/>
          <w:sz w:val="24"/>
          <w:szCs w:val="24"/>
        </w:rPr>
        <w:t>21.1.1</w:t>
      </w:r>
      <w:r>
        <w:rPr>
          <w:rFonts w:ascii="宋体" w:hAnsi="宋体" w:eastAsia="宋体" w:cs="宋体"/>
          <w:spacing w:val="64"/>
          <w:sz w:val="24"/>
          <w:szCs w:val="24"/>
        </w:rPr>
        <w:t xml:space="preserve"> </w:t>
      </w:r>
      <w:r>
        <w:rPr>
          <w:rFonts w:ascii="宋体" w:hAnsi="宋体" w:eastAsia="宋体" w:cs="宋体"/>
          <w:spacing w:val="-2"/>
          <w:sz w:val="24"/>
          <w:szCs w:val="24"/>
        </w:rPr>
        <w:t>(6</w:t>
      </w:r>
      <w:r>
        <w:rPr>
          <w:rFonts w:hint="eastAsia" w:ascii="宋体" w:hAnsi="宋体" w:cs="宋体"/>
          <w:spacing w:val="-2"/>
          <w:sz w:val="24"/>
          <w:szCs w:val="24"/>
          <w:lang w:eastAsia="zh-CN"/>
        </w:rPr>
        <w:t>）</w:t>
      </w:r>
      <w:r>
        <w:rPr>
          <w:rFonts w:ascii="宋体" w:hAnsi="宋体" w:eastAsia="宋体" w:cs="宋体"/>
          <w:spacing w:val="-2"/>
          <w:sz w:val="24"/>
          <w:szCs w:val="24"/>
        </w:rPr>
        <w:t>不可抗力的其他情形：</w:t>
      </w:r>
      <w:r>
        <w:rPr>
          <w:rFonts w:ascii="宋体" w:hAnsi="宋体" w:eastAsia="宋体" w:cs="宋体"/>
          <w:spacing w:val="-2"/>
          <w:sz w:val="24"/>
          <w:szCs w:val="24"/>
          <w:u w:val="single" w:color="auto"/>
        </w:rPr>
        <w:t xml:space="preserve">   详见项目专用合同条款数据表    </w:t>
      </w:r>
      <w:r>
        <w:rPr>
          <w:rFonts w:ascii="宋体" w:hAnsi="宋体" w:eastAsia="宋体" w:cs="宋体"/>
          <w:spacing w:val="-2"/>
          <w:sz w:val="24"/>
          <w:szCs w:val="24"/>
        </w:rPr>
        <w:t>21.3</w:t>
      </w:r>
      <w:r>
        <w:rPr>
          <w:rFonts w:ascii="宋体" w:hAnsi="宋体" w:eastAsia="宋体" w:cs="宋体"/>
          <w:spacing w:val="-44"/>
          <w:sz w:val="24"/>
          <w:szCs w:val="24"/>
        </w:rPr>
        <w:t xml:space="preserve"> </w:t>
      </w:r>
      <w:r>
        <w:rPr>
          <w:rFonts w:ascii="宋体" w:hAnsi="宋体" w:eastAsia="宋体" w:cs="宋体"/>
          <w:spacing w:val="-2"/>
          <w:sz w:val="24"/>
          <w:szCs w:val="24"/>
        </w:rPr>
        <w:t>不可抗力后果及其处理</w:t>
      </w:r>
    </w:p>
    <w:p w14:paraId="1024FE29">
      <w:pPr>
        <w:spacing w:before="1" w:line="219" w:lineRule="auto"/>
        <w:ind w:left="492"/>
        <w:rPr>
          <w:rFonts w:ascii="宋体" w:hAnsi="宋体" w:eastAsia="宋体" w:cs="宋体"/>
          <w:sz w:val="24"/>
          <w:szCs w:val="24"/>
        </w:rPr>
      </w:pPr>
      <w:r>
        <w:rPr>
          <w:rFonts w:ascii="宋体" w:hAnsi="宋体" w:eastAsia="宋体" w:cs="宋体"/>
          <w:spacing w:val="-1"/>
          <w:sz w:val="24"/>
          <w:szCs w:val="24"/>
        </w:rPr>
        <w:t>21.3.1 不可抗力造成损害的责任</w:t>
      </w:r>
    </w:p>
    <w:p w14:paraId="6A729177">
      <w:pPr>
        <w:spacing w:before="182" w:line="360" w:lineRule="auto"/>
        <w:ind w:left="9" w:right="114" w:firstLine="480"/>
        <w:rPr>
          <w:rFonts w:ascii="宋体" w:hAnsi="宋体" w:eastAsia="宋体" w:cs="宋体"/>
          <w:sz w:val="24"/>
          <w:szCs w:val="24"/>
        </w:rPr>
      </w:pPr>
      <w:r>
        <w:rPr>
          <w:rFonts w:ascii="宋体" w:hAnsi="宋体" w:eastAsia="宋体" w:cs="宋体"/>
          <w:spacing w:val="-4"/>
          <w:sz w:val="24"/>
          <w:szCs w:val="24"/>
        </w:rPr>
        <w:t>本款补充如下内容：本款中凡是约定由发包人承担损失和赔偿责任的，均按照第</w:t>
      </w:r>
      <w:r>
        <w:rPr>
          <w:rFonts w:ascii="宋体" w:hAnsi="宋体" w:eastAsia="宋体" w:cs="宋体"/>
          <w:spacing w:val="-32"/>
          <w:sz w:val="24"/>
          <w:szCs w:val="24"/>
        </w:rPr>
        <w:t xml:space="preserve"> </w:t>
      </w:r>
      <w:r>
        <w:rPr>
          <w:rFonts w:ascii="宋体" w:hAnsi="宋体" w:eastAsia="宋体" w:cs="宋体"/>
          <w:spacing w:val="-4"/>
          <w:sz w:val="24"/>
          <w:szCs w:val="24"/>
        </w:rPr>
        <w:t>20</w:t>
      </w:r>
      <w:r>
        <w:rPr>
          <w:rFonts w:ascii="宋体" w:hAnsi="宋体" w:eastAsia="宋体" w:cs="宋体"/>
          <w:spacing w:val="-2"/>
          <w:sz w:val="24"/>
          <w:szCs w:val="24"/>
        </w:rPr>
        <w:t>条的约定，属保险范围内的均由承保人承担。如保险金不足以补偿上述损失（包括免赔</w:t>
      </w:r>
      <w:r>
        <w:rPr>
          <w:rFonts w:ascii="宋体" w:hAnsi="宋体" w:eastAsia="宋体" w:cs="宋体"/>
          <w:sz w:val="24"/>
          <w:szCs w:val="24"/>
        </w:rPr>
        <w:t>额和超过赔偿限额的部分），则按照第</w:t>
      </w:r>
      <w:r>
        <w:rPr>
          <w:rFonts w:ascii="宋体" w:hAnsi="宋体" w:eastAsia="宋体" w:cs="宋体"/>
          <w:spacing w:val="-47"/>
          <w:sz w:val="24"/>
          <w:szCs w:val="24"/>
        </w:rPr>
        <w:t xml:space="preserve"> </w:t>
      </w:r>
      <w:r>
        <w:rPr>
          <w:rFonts w:ascii="宋体" w:hAnsi="宋体" w:eastAsia="宋体" w:cs="宋体"/>
          <w:sz w:val="24"/>
          <w:szCs w:val="24"/>
        </w:rPr>
        <w:t>21.3.1 不可抗力</w:t>
      </w:r>
      <w:r>
        <w:rPr>
          <w:rFonts w:ascii="宋体" w:hAnsi="宋体" w:eastAsia="宋体" w:cs="宋体"/>
          <w:spacing w:val="-1"/>
          <w:sz w:val="24"/>
          <w:szCs w:val="24"/>
        </w:rPr>
        <w:t>造成损害的责任的分摊原则执</w:t>
      </w:r>
      <w:r>
        <w:rPr>
          <w:rFonts w:ascii="宋体" w:hAnsi="宋体" w:eastAsia="宋体" w:cs="宋体"/>
          <w:spacing w:val="-12"/>
          <w:sz w:val="24"/>
          <w:szCs w:val="24"/>
        </w:rPr>
        <w:t>行。</w:t>
      </w:r>
    </w:p>
    <w:p w14:paraId="03AE0789">
      <w:pPr>
        <w:spacing w:before="1" w:line="224" w:lineRule="auto"/>
        <w:ind w:left="492"/>
        <w:rPr>
          <w:rFonts w:ascii="宋体" w:hAnsi="宋体" w:eastAsia="宋体" w:cs="宋体"/>
          <w:sz w:val="24"/>
          <w:szCs w:val="24"/>
        </w:rPr>
      </w:pPr>
      <w:r>
        <w:rPr>
          <w:rFonts w:ascii="宋体" w:hAnsi="宋体" w:eastAsia="宋体" w:cs="宋体"/>
          <w:b/>
          <w:bCs/>
          <w:spacing w:val="-6"/>
          <w:sz w:val="24"/>
          <w:szCs w:val="24"/>
        </w:rPr>
        <w:t>22.</w:t>
      </w:r>
      <w:r>
        <w:rPr>
          <w:rFonts w:ascii="宋体" w:hAnsi="宋体" w:eastAsia="宋体" w:cs="宋体"/>
          <w:spacing w:val="11"/>
          <w:sz w:val="24"/>
          <w:szCs w:val="24"/>
        </w:rPr>
        <w:t xml:space="preserve"> </w:t>
      </w:r>
      <w:r>
        <w:rPr>
          <w:rFonts w:ascii="宋体" w:hAnsi="宋体" w:eastAsia="宋体" w:cs="宋体"/>
          <w:b/>
          <w:bCs/>
          <w:spacing w:val="-6"/>
          <w:sz w:val="24"/>
          <w:szCs w:val="24"/>
        </w:rPr>
        <w:t>违约</w:t>
      </w:r>
    </w:p>
    <w:p w14:paraId="51318FAF">
      <w:pPr>
        <w:spacing w:before="175" w:line="220" w:lineRule="auto"/>
        <w:ind w:left="492"/>
        <w:rPr>
          <w:rFonts w:ascii="宋体" w:hAnsi="宋体" w:eastAsia="宋体" w:cs="宋体"/>
          <w:sz w:val="24"/>
          <w:szCs w:val="24"/>
        </w:rPr>
      </w:pPr>
      <w:r>
        <w:rPr>
          <w:rFonts w:ascii="宋体" w:hAnsi="宋体" w:eastAsia="宋体" w:cs="宋体"/>
          <w:spacing w:val="-2"/>
          <w:sz w:val="24"/>
          <w:szCs w:val="24"/>
        </w:rPr>
        <w:t>22.1 承包人违约</w:t>
      </w:r>
    </w:p>
    <w:p w14:paraId="2D425B69">
      <w:pPr>
        <w:spacing w:before="183" w:line="360" w:lineRule="auto"/>
        <w:ind w:left="13" w:right="50" w:firstLine="476"/>
        <w:rPr>
          <w:rFonts w:ascii="宋体" w:hAnsi="宋体" w:eastAsia="宋体" w:cs="宋体"/>
          <w:sz w:val="24"/>
          <w:szCs w:val="24"/>
        </w:rPr>
      </w:pPr>
      <w:r>
        <w:rPr>
          <w:rFonts w:ascii="宋体" w:hAnsi="宋体" w:eastAsia="宋体" w:cs="宋体"/>
          <w:sz w:val="24"/>
          <w:szCs w:val="24"/>
        </w:rPr>
        <w:t>第</w:t>
      </w:r>
      <w:r>
        <w:rPr>
          <w:rFonts w:ascii="宋体" w:hAnsi="宋体" w:eastAsia="宋体" w:cs="宋体"/>
          <w:spacing w:val="-47"/>
          <w:sz w:val="24"/>
          <w:szCs w:val="24"/>
        </w:rPr>
        <w:t xml:space="preserve"> </w:t>
      </w:r>
      <w:r>
        <w:rPr>
          <w:rFonts w:ascii="宋体" w:hAnsi="宋体" w:eastAsia="宋体" w:cs="宋体"/>
          <w:sz w:val="24"/>
          <w:szCs w:val="24"/>
        </w:rPr>
        <w:t>22.1.1(4</w:t>
      </w:r>
      <w:r>
        <w:rPr>
          <w:rFonts w:hint="eastAsia" w:ascii="宋体" w:hAnsi="宋体" w:cs="宋体"/>
          <w:sz w:val="24"/>
          <w:szCs w:val="24"/>
          <w:lang w:eastAsia="zh-CN"/>
        </w:rPr>
        <w:t>）</w:t>
      </w:r>
      <w:r>
        <w:rPr>
          <w:rFonts w:ascii="宋体" w:hAnsi="宋体" w:eastAsia="宋体" w:cs="宋体"/>
          <w:sz w:val="24"/>
          <w:szCs w:val="24"/>
        </w:rPr>
        <w:t>目补充为：承包人未能按合同进度计</w:t>
      </w:r>
      <w:r>
        <w:rPr>
          <w:rFonts w:ascii="宋体" w:hAnsi="宋体" w:eastAsia="宋体" w:cs="宋体"/>
          <w:spacing w:val="-1"/>
          <w:sz w:val="24"/>
          <w:szCs w:val="24"/>
        </w:rPr>
        <w:t>划及时完成合同约定的工作，或</w:t>
      </w:r>
      <w:r>
        <w:rPr>
          <w:rFonts w:ascii="宋体" w:hAnsi="宋体" w:eastAsia="宋体" w:cs="宋体"/>
          <w:spacing w:val="-8"/>
          <w:sz w:val="24"/>
          <w:szCs w:val="24"/>
        </w:rPr>
        <w:t>未切实履行第</w:t>
      </w:r>
      <w:r>
        <w:rPr>
          <w:rFonts w:ascii="宋体" w:hAnsi="宋体" w:eastAsia="宋体" w:cs="宋体"/>
          <w:spacing w:val="-52"/>
          <w:sz w:val="24"/>
          <w:szCs w:val="24"/>
        </w:rPr>
        <w:t xml:space="preserve"> </w:t>
      </w:r>
      <w:r>
        <w:rPr>
          <w:rFonts w:ascii="宋体" w:hAnsi="宋体" w:eastAsia="宋体" w:cs="宋体"/>
          <w:spacing w:val="-8"/>
          <w:sz w:val="24"/>
          <w:szCs w:val="24"/>
        </w:rPr>
        <w:t>4.1.7</w:t>
      </w:r>
      <w:r>
        <w:rPr>
          <w:rFonts w:ascii="宋体" w:hAnsi="宋体" w:eastAsia="宋体" w:cs="宋体"/>
          <w:spacing w:val="-50"/>
          <w:sz w:val="24"/>
          <w:szCs w:val="24"/>
        </w:rPr>
        <w:t xml:space="preserve"> </w:t>
      </w:r>
      <w:r>
        <w:rPr>
          <w:rFonts w:ascii="宋体" w:hAnsi="宋体" w:eastAsia="宋体" w:cs="宋体"/>
          <w:spacing w:val="-8"/>
          <w:sz w:val="24"/>
          <w:szCs w:val="24"/>
        </w:rPr>
        <w:t>款的约定，导致发生工程阻工、停工，</w:t>
      </w:r>
      <w:r>
        <w:rPr>
          <w:rFonts w:ascii="宋体" w:hAnsi="宋体" w:eastAsia="宋体" w:cs="宋体"/>
          <w:spacing w:val="-41"/>
          <w:sz w:val="24"/>
          <w:szCs w:val="24"/>
        </w:rPr>
        <w:t xml:space="preserve"> </w:t>
      </w:r>
      <w:r>
        <w:rPr>
          <w:rFonts w:ascii="宋体" w:hAnsi="宋体" w:eastAsia="宋体" w:cs="宋体"/>
          <w:spacing w:val="-8"/>
          <w:sz w:val="24"/>
          <w:szCs w:val="24"/>
        </w:rPr>
        <w:t>已造成或预</w:t>
      </w:r>
      <w:r>
        <w:rPr>
          <w:rFonts w:ascii="宋体" w:hAnsi="宋体" w:eastAsia="宋体" w:cs="宋体"/>
          <w:spacing w:val="-9"/>
          <w:sz w:val="24"/>
          <w:szCs w:val="24"/>
        </w:rPr>
        <w:t>期造成工期延误；</w:t>
      </w:r>
    </w:p>
    <w:p w14:paraId="469F563F">
      <w:pPr>
        <w:spacing w:before="1" w:line="219" w:lineRule="auto"/>
        <w:ind w:left="492"/>
        <w:rPr>
          <w:rFonts w:ascii="宋体" w:hAnsi="宋体" w:eastAsia="宋体" w:cs="宋体"/>
          <w:sz w:val="24"/>
          <w:szCs w:val="24"/>
        </w:rPr>
      </w:pPr>
      <w:r>
        <w:rPr>
          <w:rFonts w:ascii="宋体" w:hAnsi="宋体" w:eastAsia="宋体" w:cs="宋体"/>
          <w:spacing w:val="-1"/>
          <w:sz w:val="24"/>
          <w:szCs w:val="24"/>
        </w:rPr>
        <w:t>22.1.2 对承包人违约的处理</w:t>
      </w:r>
    </w:p>
    <w:p w14:paraId="01DEA0A1">
      <w:pPr>
        <w:spacing w:before="182" w:line="219" w:lineRule="auto"/>
        <w:ind w:left="487"/>
        <w:rPr>
          <w:rFonts w:ascii="宋体" w:hAnsi="宋体" w:eastAsia="宋体" w:cs="宋体"/>
          <w:sz w:val="24"/>
          <w:szCs w:val="24"/>
        </w:rPr>
      </w:pPr>
      <w:r>
        <w:rPr>
          <w:rFonts w:ascii="宋体" w:hAnsi="宋体" w:eastAsia="宋体" w:cs="宋体"/>
          <w:spacing w:val="-5"/>
          <w:sz w:val="24"/>
          <w:szCs w:val="24"/>
        </w:rPr>
        <w:t>将本款第</w:t>
      </w:r>
      <w:r>
        <w:rPr>
          <w:rFonts w:hint="eastAsia" w:ascii="宋体" w:hAnsi="宋体" w:cs="宋体"/>
          <w:spacing w:val="-5"/>
          <w:sz w:val="24"/>
          <w:szCs w:val="24"/>
          <w:lang w:eastAsia="zh-CN"/>
        </w:rPr>
        <w:t>（</w:t>
      </w:r>
      <w:r>
        <w:rPr>
          <w:rFonts w:ascii="宋体" w:hAnsi="宋体" w:eastAsia="宋体" w:cs="宋体"/>
          <w:spacing w:val="-5"/>
          <w:sz w:val="24"/>
          <w:szCs w:val="24"/>
        </w:rPr>
        <w:t>4</w:t>
      </w:r>
      <w:r>
        <w:rPr>
          <w:rFonts w:hint="eastAsia" w:ascii="宋体" w:hAnsi="宋体" w:cs="宋体"/>
          <w:spacing w:val="-5"/>
          <w:sz w:val="24"/>
          <w:szCs w:val="24"/>
          <w:lang w:eastAsia="zh-CN"/>
        </w:rPr>
        <w:t>）</w:t>
      </w:r>
      <w:r>
        <w:rPr>
          <w:rFonts w:ascii="宋体" w:hAnsi="宋体" w:eastAsia="宋体" w:cs="宋体"/>
          <w:spacing w:val="-5"/>
          <w:sz w:val="24"/>
          <w:szCs w:val="24"/>
        </w:rPr>
        <w:t>目修改如下：</w:t>
      </w:r>
    </w:p>
    <w:p w14:paraId="2543604E">
      <w:pPr>
        <w:spacing w:before="184" w:line="360" w:lineRule="auto"/>
        <w:ind w:left="9" w:right="114" w:firstLine="522"/>
        <w:jc w:val="both"/>
        <w:rPr>
          <w:rFonts w:ascii="宋体" w:hAnsi="宋体" w:eastAsia="宋体" w:cs="宋体"/>
          <w:sz w:val="24"/>
          <w:szCs w:val="24"/>
        </w:rPr>
      </w:pPr>
      <w:r>
        <w:rPr>
          <w:rFonts w:ascii="宋体" w:hAnsi="宋体" w:eastAsia="宋体" w:cs="宋体"/>
          <w:sz w:val="24"/>
          <w:szCs w:val="24"/>
        </w:rPr>
        <w:t>(4) 承包人发生第</w:t>
      </w:r>
      <w:r>
        <w:rPr>
          <w:rFonts w:ascii="宋体" w:hAnsi="宋体" w:eastAsia="宋体" w:cs="宋体"/>
          <w:spacing w:val="-45"/>
          <w:sz w:val="24"/>
          <w:szCs w:val="24"/>
        </w:rPr>
        <w:t xml:space="preserve"> </w:t>
      </w:r>
      <w:r>
        <w:rPr>
          <w:rFonts w:ascii="宋体" w:hAnsi="宋体" w:eastAsia="宋体" w:cs="宋体"/>
          <w:sz w:val="24"/>
          <w:szCs w:val="24"/>
        </w:rPr>
        <w:t>22.1.1</w:t>
      </w:r>
      <w:r>
        <w:rPr>
          <w:rFonts w:ascii="宋体" w:hAnsi="宋体" w:eastAsia="宋体" w:cs="宋体"/>
          <w:spacing w:val="-44"/>
          <w:sz w:val="24"/>
          <w:szCs w:val="24"/>
        </w:rPr>
        <w:t xml:space="preserve"> </w:t>
      </w:r>
      <w:r>
        <w:rPr>
          <w:rFonts w:ascii="宋体" w:hAnsi="宋体" w:eastAsia="宋体" w:cs="宋体"/>
          <w:sz w:val="24"/>
          <w:szCs w:val="24"/>
        </w:rPr>
        <w:t>项约定</w:t>
      </w:r>
      <w:r>
        <w:rPr>
          <w:rFonts w:ascii="宋体" w:hAnsi="宋体" w:eastAsia="宋体" w:cs="宋体"/>
          <w:spacing w:val="-1"/>
          <w:sz w:val="24"/>
          <w:szCs w:val="24"/>
        </w:rPr>
        <w:t>的违约情况时，无论发包人是否解除合同，发包</w:t>
      </w:r>
      <w:r>
        <w:rPr>
          <w:rFonts w:ascii="宋体" w:hAnsi="宋体" w:eastAsia="宋体" w:cs="宋体"/>
          <w:spacing w:val="-2"/>
          <w:sz w:val="24"/>
          <w:szCs w:val="24"/>
        </w:rPr>
        <w:t>人应按本合同附件的规定向承包人课以违约金，并由发包人将其违约行为上报上级交通运输主管部门，作为不良记录纳入公路建设市场监督管理系统。</w:t>
      </w:r>
    </w:p>
    <w:p w14:paraId="336C6598">
      <w:pPr>
        <w:spacing w:before="1" w:line="218" w:lineRule="auto"/>
        <w:ind w:left="488"/>
        <w:rPr>
          <w:rFonts w:ascii="宋体" w:hAnsi="宋体" w:eastAsia="宋体" w:cs="宋体"/>
          <w:sz w:val="24"/>
          <w:szCs w:val="24"/>
        </w:rPr>
      </w:pPr>
      <w:r>
        <w:rPr>
          <w:rFonts w:ascii="宋体" w:hAnsi="宋体" w:eastAsia="宋体" w:cs="宋体"/>
          <w:spacing w:val="-4"/>
          <w:sz w:val="24"/>
          <w:szCs w:val="24"/>
        </w:rPr>
        <w:t>在本款下增加第</w:t>
      </w:r>
      <w:r>
        <w:rPr>
          <w:rFonts w:hint="eastAsia" w:ascii="宋体" w:hAnsi="宋体" w:cs="宋体"/>
          <w:spacing w:val="-4"/>
          <w:sz w:val="24"/>
          <w:szCs w:val="24"/>
          <w:lang w:eastAsia="zh-CN"/>
        </w:rPr>
        <w:t>（</w:t>
      </w:r>
      <w:r>
        <w:rPr>
          <w:rFonts w:ascii="宋体" w:hAnsi="宋体" w:eastAsia="宋体" w:cs="宋体"/>
          <w:spacing w:val="-4"/>
          <w:sz w:val="24"/>
          <w:szCs w:val="24"/>
        </w:rPr>
        <w:t>5</w:t>
      </w:r>
      <w:r>
        <w:rPr>
          <w:rFonts w:hint="eastAsia" w:ascii="宋体" w:hAnsi="宋体" w:cs="宋体"/>
          <w:spacing w:val="-4"/>
          <w:sz w:val="24"/>
          <w:szCs w:val="24"/>
          <w:lang w:eastAsia="zh-CN"/>
        </w:rPr>
        <w:t>）</w:t>
      </w:r>
      <w:r>
        <w:rPr>
          <w:rFonts w:ascii="宋体" w:hAnsi="宋体" w:eastAsia="宋体" w:cs="宋体"/>
          <w:spacing w:val="-4"/>
          <w:sz w:val="24"/>
          <w:szCs w:val="24"/>
        </w:rPr>
        <w:t>～第</w:t>
      </w:r>
      <w:r>
        <w:rPr>
          <w:rFonts w:hint="eastAsia" w:ascii="宋体" w:hAnsi="宋体" w:cs="宋体"/>
          <w:spacing w:val="-4"/>
          <w:sz w:val="24"/>
          <w:szCs w:val="24"/>
          <w:lang w:eastAsia="zh-CN"/>
        </w:rPr>
        <w:t>（</w:t>
      </w:r>
      <w:r>
        <w:rPr>
          <w:rFonts w:ascii="宋体" w:hAnsi="宋体" w:eastAsia="宋体" w:cs="宋体"/>
          <w:spacing w:val="-4"/>
          <w:sz w:val="24"/>
          <w:szCs w:val="24"/>
        </w:rPr>
        <w:t>7</w:t>
      </w:r>
      <w:r>
        <w:rPr>
          <w:rFonts w:hint="eastAsia" w:ascii="宋体" w:hAnsi="宋体" w:cs="宋体"/>
          <w:spacing w:val="-4"/>
          <w:sz w:val="24"/>
          <w:szCs w:val="24"/>
          <w:lang w:eastAsia="zh-CN"/>
        </w:rPr>
        <w:t>）</w:t>
      </w:r>
      <w:r>
        <w:rPr>
          <w:rFonts w:ascii="宋体" w:hAnsi="宋体" w:eastAsia="宋体" w:cs="宋体"/>
          <w:spacing w:val="-4"/>
          <w:sz w:val="24"/>
          <w:szCs w:val="24"/>
        </w:rPr>
        <w:t>目如下：</w:t>
      </w:r>
    </w:p>
    <w:p w14:paraId="358B6BD4">
      <w:pPr>
        <w:spacing w:before="183" w:line="360" w:lineRule="auto"/>
        <w:ind w:left="8" w:right="114" w:firstLine="487"/>
        <w:rPr>
          <w:rFonts w:ascii="宋体" w:hAnsi="宋体" w:eastAsia="宋体" w:cs="宋体"/>
          <w:sz w:val="24"/>
          <w:szCs w:val="24"/>
        </w:rPr>
      </w:pPr>
      <w:r>
        <w:rPr>
          <w:rFonts w:ascii="宋体" w:hAnsi="宋体" w:eastAsia="宋体" w:cs="宋体"/>
          <w:spacing w:val="1"/>
          <w:sz w:val="24"/>
          <w:szCs w:val="24"/>
        </w:rPr>
        <w:t>（5）发包人按合同规定向承包人开出的任何违约金，除合同另有规定外，均从发</w:t>
      </w:r>
      <w:r>
        <w:rPr>
          <w:rFonts w:ascii="宋体" w:hAnsi="宋体" w:eastAsia="宋体" w:cs="宋体"/>
          <w:spacing w:val="-5"/>
          <w:sz w:val="24"/>
          <w:szCs w:val="24"/>
        </w:rPr>
        <w:t>包人应向承包人支付的工程款中直接扣除。除非合同另有规定， 发包人向承包人开出的</w:t>
      </w:r>
      <w:r>
        <w:rPr>
          <w:rFonts w:ascii="宋体" w:hAnsi="宋体" w:eastAsia="宋体" w:cs="宋体"/>
          <w:spacing w:val="-2"/>
          <w:sz w:val="24"/>
          <w:szCs w:val="24"/>
        </w:rPr>
        <w:t>任何违约金将导致承包人最终的应得结算价款相应地减少（除合同另有约定外）。承包</w:t>
      </w:r>
      <w:r>
        <w:rPr>
          <w:rFonts w:ascii="宋体" w:hAnsi="宋体" w:eastAsia="宋体" w:cs="宋体"/>
          <w:spacing w:val="-4"/>
          <w:sz w:val="24"/>
          <w:szCs w:val="24"/>
        </w:rPr>
        <w:t>人必须完全接受上述条款。</w:t>
      </w:r>
    </w:p>
    <w:p w14:paraId="0BA091F1">
      <w:pPr>
        <w:spacing w:before="78" w:line="360" w:lineRule="auto"/>
        <w:ind w:left="11" w:right="63"/>
        <w:rPr>
          <w:rFonts w:ascii="宋体" w:hAnsi="宋体" w:eastAsia="宋体" w:cs="宋体"/>
          <w:sz w:val="24"/>
          <w:szCs w:val="24"/>
        </w:rPr>
      </w:pPr>
      <w:r>
        <w:rPr>
          <w:rFonts w:ascii="宋体" w:hAnsi="宋体" w:eastAsia="宋体" w:cs="宋体"/>
          <w:spacing w:val="1"/>
          <w:sz w:val="24"/>
          <w:szCs w:val="24"/>
        </w:rPr>
        <w:t>（6）发包人按合同规定向承包人开出的任何违约处罚金的扣除时间，可以在发包</w:t>
      </w:r>
      <w:r>
        <w:rPr>
          <w:rFonts w:ascii="宋体" w:hAnsi="宋体" w:eastAsia="宋体" w:cs="宋体"/>
          <w:spacing w:val="-2"/>
          <w:sz w:val="24"/>
          <w:szCs w:val="24"/>
        </w:rPr>
        <w:t>人认为合适的任何一个期中支付月份中扣除。发包人扣除承包人违约金时间的延迟或滞后，并不代表处罚不再执行，也不代表对承包人行为的认可或默认。</w:t>
      </w:r>
    </w:p>
    <w:p w14:paraId="33336983">
      <w:pPr>
        <w:spacing w:before="2" w:line="359" w:lineRule="auto"/>
        <w:ind w:left="12" w:right="75" w:firstLine="483"/>
        <w:rPr>
          <w:rFonts w:ascii="宋体" w:hAnsi="宋体" w:eastAsia="宋体" w:cs="宋体"/>
          <w:sz w:val="24"/>
          <w:szCs w:val="24"/>
        </w:rPr>
      </w:pPr>
      <w:r>
        <w:rPr>
          <w:rFonts w:ascii="宋体" w:hAnsi="宋体" w:eastAsia="宋体" w:cs="宋体"/>
          <w:spacing w:val="1"/>
          <w:sz w:val="24"/>
          <w:szCs w:val="24"/>
        </w:rPr>
        <w:t>（7）本项目所有承包人的违约金均由业主掌握使用，可部分或全部用于本项目的</w:t>
      </w:r>
      <w:r>
        <w:rPr>
          <w:rFonts w:ascii="宋体" w:hAnsi="宋体" w:eastAsia="宋体" w:cs="宋体"/>
          <w:spacing w:val="-6"/>
          <w:sz w:val="24"/>
          <w:szCs w:val="24"/>
        </w:rPr>
        <w:t>各项评比和奖励。</w:t>
      </w:r>
    </w:p>
    <w:p w14:paraId="5E7A80CB">
      <w:pPr>
        <w:spacing w:line="220" w:lineRule="auto"/>
        <w:ind w:left="492"/>
        <w:rPr>
          <w:rFonts w:ascii="宋体" w:hAnsi="宋体" w:eastAsia="宋体" w:cs="宋体"/>
          <w:sz w:val="24"/>
          <w:szCs w:val="24"/>
        </w:rPr>
      </w:pPr>
      <w:r>
        <w:rPr>
          <w:rFonts w:ascii="宋体" w:hAnsi="宋体" w:eastAsia="宋体" w:cs="宋体"/>
          <w:spacing w:val="-3"/>
          <w:sz w:val="24"/>
          <w:szCs w:val="24"/>
        </w:rPr>
        <w:t>22.2</w:t>
      </w:r>
      <w:r>
        <w:rPr>
          <w:rFonts w:ascii="宋体" w:hAnsi="宋体" w:eastAsia="宋体" w:cs="宋体"/>
          <w:spacing w:val="-44"/>
          <w:sz w:val="24"/>
          <w:szCs w:val="24"/>
        </w:rPr>
        <w:t xml:space="preserve"> </w:t>
      </w:r>
      <w:r>
        <w:rPr>
          <w:rFonts w:ascii="宋体" w:hAnsi="宋体" w:eastAsia="宋体" w:cs="宋体"/>
          <w:spacing w:val="-3"/>
          <w:sz w:val="24"/>
          <w:szCs w:val="24"/>
        </w:rPr>
        <w:t>发包人违约</w:t>
      </w:r>
    </w:p>
    <w:p w14:paraId="1CC95D20">
      <w:pPr>
        <w:spacing w:before="181" w:line="219" w:lineRule="auto"/>
        <w:ind w:left="490"/>
        <w:rPr>
          <w:rFonts w:ascii="宋体" w:hAnsi="宋体" w:eastAsia="宋体" w:cs="宋体"/>
          <w:sz w:val="24"/>
          <w:szCs w:val="24"/>
        </w:rPr>
      </w:pPr>
      <w:r>
        <w:rPr>
          <w:rFonts w:ascii="宋体" w:hAnsi="宋体" w:eastAsia="宋体" w:cs="宋体"/>
          <w:spacing w:val="-10"/>
          <w:sz w:val="24"/>
          <w:szCs w:val="24"/>
        </w:rPr>
        <w:t>本款细化为：</w:t>
      </w:r>
    </w:p>
    <w:p w14:paraId="2E0D5D48">
      <w:pPr>
        <w:spacing w:before="183" w:line="360" w:lineRule="auto"/>
        <w:ind w:left="14" w:right="54" w:firstLine="478"/>
        <w:rPr>
          <w:rFonts w:ascii="宋体" w:hAnsi="宋体" w:eastAsia="宋体" w:cs="宋体"/>
          <w:sz w:val="24"/>
          <w:szCs w:val="24"/>
        </w:rPr>
      </w:pPr>
      <w:r>
        <w:rPr>
          <w:rFonts w:ascii="宋体" w:hAnsi="宋体" w:eastAsia="宋体" w:cs="宋体"/>
          <w:spacing w:val="3"/>
          <w:sz w:val="24"/>
          <w:szCs w:val="24"/>
        </w:rPr>
        <w:t>22.2.1</w:t>
      </w:r>
      <w:r>
        <w:rPr>
          <w:rFonts w:ascii="宋体" w:hAnsi="宋体" w:eastAsia="宋体" w:cs="宋体"/>
          <w:spacing w:val="-43"/>
          <w:sz w:val="24"/>
          <w:szCs w:val="24"/>
        </w:rPr>
        <w:t xml:space="preserve"> </w:t>
      </w:r>
      <w:r>
        <w:rPr>
          <w:rFonts w:ascii="宋体" w:hAnsi="宋体" w:eastAsia="宋体" w:cs="宋体"/>
          <w:spacing w:val="3"/>
          <w:sz w:val="24"/>
          <w:szCs w:val="24"/>
        </w:rPr>
        <w:t>如果发包人无合理的理由去阻挠或拒绝符合合同规定的付款证书颁</w:t>
      </w:r>
      <w:r>
        <w:rPr>
          <w:rFonts w:ascii="宋体" w:hAnsi="宋体" w:eastAsia="宋体" w:cs="宋体"/>
          <w:spacing w:val="2"/>
          <w:sz w:val="24"/>
          <w:szCs w:val="24"/>
        </w:rPr>
        <w:t>发所需</w:t>
      </w:r>
      <w:r>
        <w:rPr>
          <w:rFonts w:ascii="宋体" w:hAnsi="宋体" w:eastAsia="宋体" w:cs="宋体"/>
          <w:spacing w:val="-6"/>
          <w:sz w:val="24"/>
          <w:szCs w:val="24"/>
        </w:rPr>
        <w:t>的批准，则可视为发包人违约。承包人有权终止合同，</w:t>
      </w:r>
      <w:r>
        <w:rPr>
          <w:rFonts w:ascii="宋体" w:hAnsi="宋体" w:eastAsia="宋体" w:cs="宋体"/>
          <w:spacing w:val="53"/>
          <w:sz w:val="24"/>
          <w:szCs w:val="24"/>
        </w:rPr>
        <w:t xml:space="preserve"> </w:t>
      </w:r>
      <w:r>
        <w:rPr>
          <w:rFonts w:ascii="宋体" w:hAnsi="宋体" w:eastAsia="宋体" w:cs="宋体"/>
          <w:spacing w:val="-6"/>
          <w:sz w:val="24"/>
          <w:szCs w:val="24"/>
        </w:rPr>
        <w:t>并在通知发</w:t>
      </w:r>
      <w:r>
        <w:rPr>
          <w:rFonts w:ascii="宋体" w:hAnsi="宋体" w:eastAsia="宋体" w:cs="宋体"/>
          <w:spacing w:val="-7"/>
          <w:sz w:val="24"/>
          <w:szCs w:val="24"/>
        </w:rPr>
        <w:t>包人和将通知副本提</w:t>
      </w:r>
      <w:r>
        <w:rPr>
          <w:rFonts w:ascii="宋体" w:hAnsi="宋体" w:eastAsia="宋体" w:cs="宋体"/>
          <w:spacing w:val="-5"/>
          <w:sz w:val="24"/>
          <w:szCs w:val="24"/>
        </w:rPr>
        <w:t>交监理人的</w:t>
      </w:r>
      <w:r>
        <w:rPr>
          <w:rFonts w:ascii="宋体" w:hAnsi="宋体" w:eastAsia="宋体" w:cs="宋体"/>
          <w:spacing w:val="-35"/>
          <w:sz w:val="24"/>
          <w:szCs w:val="24"/>
        </w:rPr>
        <w:t xml:space="preserve"> </w:t>
      </w:r>
      <w:r>
        <w:rPr>
          <w:rFonts w:ascii="宋体" w:hAnsi="宋体" w:eastAsia="宋体" w:cs="宋体"/>
          <w:spacing w:val="-5"/>
          <w:sz w:val="24"/>
          <w:szCs w:val="24"/>
        </w:rPr>
        <w:t>28</w:t>
      </w:r>
      <w:r>
        <w:rPr>
          <w:rFonts w:ascii="宋体" w:hAnsi="宋体" w:eastAsia="宋体" w:cs="宋体"/>
          <w:spacing w:val="-46"/>
          <w:sz w:val="24"/>
          <w:szCs w:val="24"/>
        </w:rPr>
        <w:t xml:space="preserve"> </w:t>
      </w:r>
      <w:r>
        <w:rPr>
          <w:rFonts w:ascii="宋体" w:hAnsi="宋体" w:eastAsia="宋体" w:cs="宋体"/>
          <w:spacing w:val="-5"/>
          <w:sz w:val="24"/>
          <w:szCs w:val="24"/>
        </w:rPr>
        <w:t>天后，合同终止生效。</w:t>
      </w:r>
    </w:p>
    <w:p w14:paraId="06DB5B3C">
      <w:pPr>
        <w:spacing w:line="219" w:lineRule="auto"/>
        <w:ind w:left="492"/>
        <w:rPr>
          <w:rFonts w:ascii="宋体" w:hAnsi="宋体" w:eastAsia="宋体" w:cs="宋体"/>
          <w:sz w:val="24"/>
          <w:szCs w:val="24"/>
        </w:rPr>
      </w:pPr>
      <w:r>
        <w:rPr>
          <w:rFonts w:ascii="宋体" w:hAnsi="宋体" w:eastAsia="宋体" w:cs="宋体"/>
          <w:spacing w:val="-2"/>
          <w:sz w:val="24"/>
          <w:szCs w:val="24"/>
        </w:rPr>
        <w:t>22.2.2</w:t>
      </w:r>
      <w:r>
        <w:rPr>
          <w:rFonts w:ascii="宋体" w:hAnsi="宋体" w:eastAsia="宋体" w:cs="宋体"/>
          <w:spacing w:val="-47"/>
          <w:sz w:val="24"/>
          <w:szCs w:val="24"/>
        </w:rPr>
        <w:t xml:space="preserve"> </w:t>
      </w:r>
      <w:r>
        <w:rPr>
          <w:rFonts w:ascii="宋体" w:hAnsi="宋体" w:eastAsia="宋体" w:cs="宋体"/>
          <w:spacing w:val="-2"/>
          <w:sz w:val="24"/>
          <w:szCs w:val="24"/>
        </w:rPr>
        <w:t>如果合同因发包人违约而终止，承包人可要求发包</w:t>
      </w:r>
      <w:r>
        <w:rPr>
          <w:rFonts w:ascii="宋体" w:hAnsi="宋体" w:eastAsia="宋体" w:cs="宋体"/>
          <w:spacing w:val="-3"/>
          <w:sz w:val="24"/>
          <w:szCs w:val="24"/>
        </w:rPr>
        <w:t>人支付以下费用：</w:t>
      </w:r>
    </w:p>
    <w:p w14:paraId="66019D61">
      <w:pPr>
        <w:spacing w:before="182" w:line="220" w:lineRule="auto"/>
        <w:ind w:left="531"/>
        <w:rPr>
          <w:rFonts w:ascii="宋体" w:hAnsi="宋体" w:eastAsia="宋体" w:cs="宋体"/>
          <w:sz w:val="24"/>
          <w:szCs w:val="24"/>
        </w:rPr>
      </w:pPr>
      <w:r>
        <w:rPr>
          <w:rFonts w:ascii="宋体" w:hAnsi="宋体" w:eastAsia="宋体" w:cs="宋体"/>
          <w:spacing w:val="-3"/>
          <w:sz w:val="24"/>
          <w:szCs w:val="24"/>
        </w:rPr>
        <w:t>(a)发包人需向承包人支付合同终止之日前已完成的全部工程费用。</w:t>
      </w:r>
    </w:p>
    <w:p w14:paraId="01BEC2AC">
      <w:pPr>
        <w:spacing w:before="183" w:line="360" w:lineRule="auto"/>
        <w:ind w:left="8" w:right="63" w:firstLine="523"/>
        <w:rPr>
          <w:rFonts w:ascii="宋体" w:hAnsi="宋体" w:eastAsia="宋体" w:cs="宋体"/>
          <w:sz w:val="24"/>
          <w:szCs w:val="24"/>
        </w:rPr>
      </w:pPr>
      <w:r>
        <w:rPr>
          <w:rFonts w:ascii="宋体" w:hAnsi="宋体" w:eastAsia="宋体" w:cs="宋体"/>
          <w:sz w:val="24"/>
          <w:szCs w:val="24"/>
        </w:rPr>
        <w:t>(b)即将交付承包人的，或承包人依法有责任接收的为该工程合理订购</w:t>
      </w:r>
      <w:r>
        <w:rPr>
          <w:rFonts w:ascii="宋体" w:hAnsi="宋体" w:eastAsia="宋体" w:cs="宋体"/>
          <w:spacing w:val="-1"/>
          <w:sz w:val="24"/>
          <w:szCs w:val="24"/>
        </w:rPr>
        <w:t>的材料、工</w:t>
      </w:r>
      <w:r>
        <w:rPr>
          <w:rFonts w:ascii="宋体" w:hAnsi="宋体" w:eastAsia="宋体" w:cs="宋体"/>
          <w:spacing w:val="-2"/>
          <w:sz w:val="24"/>
          <w:szCs w:val="24"/>
        </w:rPr>
        <w:t>程设备或货物的费用，发包人一经支付此项费用，该材料、工程设备或货物即成为发包</w:t>
      </w:r>
      <w:r>
        <w:rPr>
          <w:rFonts w:ascii="宋体" w:hAnsi="宋体" w:eastAsia="宋体" w:cs="宋体"/>
          <w:spacing w:val="-7"/>
          <w:sz w:val="24"/>
          <w:szCs w:val="24"/>
        </w:rPr>
        <w:t>人的财产。</w:t>
      </w:r>
    </w:p>
    <w:p w14:paraId="7ED25CB9">
      <w:pPr>
        <w:spacing w:line="360" w:lineRule="auto"/>
        <w:ind w:left="11" w:right="74" w:firstLine="520"/>
        <w:rPr>
          <w:rFonts w:ascii="宋体" w:hAnsi="宋体" w:eastAsia="宋体" w:cs="宋体"/>
          <w:sz w:val="24"/>
          <w:szCs w:val="24"/>
        </w:rPr>
      </w:pPr>
      <w:r>
        <w:rPr>
          <w:rFonts w:ascii="宋体" w:hAnsi="宋体" w:eastAsia="宋体" w:cs="宋体"/>
          <w:sz w:val="24"/>
          <w:szCs w:val="24"/>
        </w:rPr>
        <w:t>(c)已合理开支的确定属于承包人为完成整个工程而合理发生的其他费用，而该费</w:t>
      </w:r>
      <w:r>
        <w:rPr>
          <w:rFonts w:ascii="宋体" w:hAnsi="宋体" w:eastAsia="宋体" w:cs="宋体"/>
          <w:spacing w:val="-3"/>
          <w:sz w:val="24"/>
          <w:szCs w:val="24"/>
        </w:rPr>
        <w:t>用未在本条款的其他各项下支付。</w:t>
      </w:r>
    </w:p>
    <w:p w14:paraId="03428CDA">
      <w:pPr>
        <w:spacing w:before="1" w:line="218" w:lineRule="auto"/>
        <w:ind w:left="531"/>
        <w:rPr>
          <w:rFonts w:ascii="宋体" w:hAnsi="宋体" w:eastAsia="宋体" w:cs="宋体"/>
          <w:sz w:val="24"/>
          <w:szCs w:val="24"/>
        </w:rPr>
      </w:pPr>
      <w:r>
        <w:rPr>
          <w:rFonts w:ascii="宋体" w:hAnsi="宋体" w:eastAsia="宋体" w:cs="宋体"/>
          <w:spacing w:val="-2"/>
          <w:sz w:val="24"/>
          <w:szCs w:val="24"/>
        </w:rPr>
        <w:t>(d)考虑已完工程的付款比例，给予适当人员、设备等的退场费</w:t>
      </w:r>
    </w:p>
    <w:p w14:paraId="01C38FE3">
      <w:pPr>
        <w:spacing w:before="183" w:line="360" w:lineRule="auto"/>
        <w:ind w:left="32" w:right="63" w:firstLine="459"/>
        <w:rPr>
          <w:rFonts w:ascii="宋体" w:hAnsi="宋体" w:eastAsia="宋体" w:cs="宋体"/>
          <w:sz w:val="24"/>
          <w:szCs w:val="24"/>
        </w:rPr>
      </w:pPr>
      <w:r>
        <w:rPr>
          <w:rFonts w:ascii="宋体" w:hAnsi="宋体" w:eastAsia="宋体" w:cs="宋体"/>
          <w:spacing w:val="-3"/>
          <w:sz w:val="24"/>
          <w:szCs w:val="24"/>
        </w:rPr>
        <w:t>22.2.3</w:t>
      </w:r>
      <w:r>
        <w:rPr>
          <w:rFonts w:ascii="宋体" w:hAnsi="宋体" w:eastAsia="宋体" w:cs="宋体"/>
          <w:spacing w:val="-47"/>
          <w:sz w:val="24"/>
          <w:szCs w:val="24"/>
        </w:rPr>
        <w:t xml:space="preserve"> </w:t>
      </w:r>
      <w:r>
        <w:rPr>
          <w:rFonts w:ascii="宋体" w:hAnsi="宋体" w:eastAsia="宋体" w:cs="宋体"/>
          <w:spacing w:val="-3"/>
          <w:sz w:val="24"/>
          <w:szCs w:val="24"/>
        </w:rPr>
        <w:t>发包人除按本款规定支付上述费用</w:t>
      </w:r>
      <w:r>
        <w:rPr>
          <w:rFonts w:ascii="宋体" w:hAnsi="宋体" w:eastAsia="宋体" w:cs="宋体"/>
          <w:spacing w:val="-4"/>
          <w:sz w:val="24"/>
          <w:szCs w:val="24"/>
        </w:rPr>
        <w:t>给承包人外，亦有权要求承包人偿还按合</w:t>
      </w:r>
      <w:r>
        <w:rPr>
          <w:rFonts w:ascii="宋体" w:hAnsi="宋体" w:eastAsia="宋体" w:cs="宋体"/>
          <w:spacing w:val="-3"/>
          <w:sz w:val="24"/>
          <w:szCs w:val="24"/>
        </w:rPr>
        <w:t>同条款规定的或未结清的承包人欠发包人的各种款项。</w:t>
      </w:r>
    </w:p>
    <w:p w14:paraId="0C569F4C">
      <w:pPr>
        <w:spacing w:before="3" w:line="359" w:lineRule="auto"/>
        <w:ind w:left="29" w:right="63" w:firstLine="463"/>
        <w:rPr>
          <w:rFonts w:ascii="宋体" w:hAnsi="宋体" w:eastAsia="宋体" w:cs="宋体"/>
          <w:sz w:val="24"/>
          <w:szCs w:val="24"/>
        </w:rPr>
      </w:pPr>
      <w:r>
        <w:rPr>
          <w:rFonts w:ascii="宋体" w:hAnsi="宋体" w:eastAsia="宋体" w:cs="宋体"/>
          <w:spacing w:val="-3"/>
          <w:sz w:val="24"/>
          <w:szCs w:val="24"/>
        </w:rPr>
        <w:t>22.2.4</w:t>
      </w:r>
      <w:r>
        <w:rPr>
          <w:rFonts w:ascii="宋体" w:hAnsi="宋体" w:eastAsia="宋体" w:cs="宋体"/>
          <w:spacing w:val="-51"/>
          <w:sz w:val="24"/>
          <w:szCs w:val="24"/>
        </w:rPr>
        <w:t xml:space="preserve"> </w:t>
      </w:r>
      <w:r>
        <w:rPr>
          <w:rFonts w:ascii="宋体" w:hAnsi="宋体" w:eastAsia="宋体" w:cs="宋体"/>
          <w:spacing w:val="-3"/>
          <w:sz w:val="24"/>
          <w:szCs w:val="24"/>
        </w:rPr>
        <w:t>承包人（包括其分包人）出于追索本合同条</w:t>
      </w:r>
      <w:r>
        <w:rPr>
          <w:rFonts w:ascii="宋体" w:hAnsi="宋体" w:eastAsia="宋体" w:cs="宋体"/>
          <w:spacing w:val="-4"/>
          <w:sz w:val="24"/>
          <w:szCs w:val="24"/>
        </w:rPr>
        <w:t>款以外的利益，以有违社会规范</w:t>
      </w:r>
      <w:r>
        <w:rPr>
          <w:rFonts w:ascii="宋体" w:hAnsi="宋体" w:eastAsia="宋体" w:cs="宋体"/>
          <w:spacing w:val="-3"/>
          <w:sz w:val="24"/>
          <w:szCs w:val="24"/>
        </w:rPr>
        <w:t>的行为构成对发包人骚扰的，承包人须承担法律和经济责任。</w:t>
      </w:r>
    </w:p>
    <w:p w14:paraId="36137AC9">
      <w:pPr>
        <w:spacing w:before="1" w:line="219" w:lineRule="auto"/>
        <w:ind w:left="490"/>
        <w:rPr>
          <w:rFonts w:ascii="宋体" w:hAnsi="宋体" w:eastAsia="宋体" w:cs="宋体"/>
          <w:sz w:val="24"/>
          <w:szCs w:val="24"/>
        </w:rPr>
      </w:pPr>
      <w:r>
        <w:rPr>
          <w:rFonts w:ascii="宋体" w:hAnsi="宋体" w:eastAsia="宋体" w:cs="宋体"/>
          <w:spacing w:val="-4"/>
          <w:sz w:val="24"/>
          <w:szCs w:val="24"/>
        </w:rPr>
        <w:t>增加第</w:t>
      </w:r>
      <w:r>
        <w:rPr>
          <w:rFonts w:ascii="宋体" w:hAnsi="宋体" w:eastAsia="宋体" w:cs="宋体"/>
          <w:spacing w:val="-48"/>
          <w:sz w:val="24"/>
          <w:szCs w:val="24"/>
        </w:rPr>
        <w:t xml:space="preserve"> </w:t>
      </w:r>
      <w:r>
        <w:rPr>
          <w:rFonts w:ascii="宋体" w:hAnsi="宋体" w:eastAsia="宋体" w:cs="宋体"/>
          <w:spacing w:val="-4"/>
          <w:sz w:val="24"/>
          <w:szCs w:val="24"/>
        </w:rPr>
        <w:t>25</w:t>
      </w:r>
      <w:r>
        <w:rPr>
          <w:rFonts w:ascii="宋体" w:hAnsi="宋体" w:eastAsia="宋体" w:cs="宋体"/>
          <w:spacing w:val="-49"/>
          <w:sz w:val="24"/>
          <w:szCs w:val="24"/>
        </w:rPr>
        <w:t xml:space="preserve"> </w:t>
      </w:r>
      <w:r>
        <w:rPr>
          <w:rFonts w:ascii="宋体" w:hAnsi="宋体" w:eastAsia="宋体" w:cs="宋体"/>
          <w:spacing w:val="-4"/>
          <w:sz w:val="24"/>
          <w:szCs w:val="24"/>
        </w:rPr>
        <w:t>条</w:t>
      </w:r>
    </w:p>
    <w:p w14:paraId="443C49E8">
      <w:pPr>
        <w:spacing w:before="164" w:line="233" w:lineRule="auto"/>
        <w:ind w:left="492"/>
        <w:rPr>
          <w:rFonts w:hint="eastAsia" w:ascii="宋体" w:hAnsi="宋体" w:eastAsia="宋体" w:cs="宋体"/>
          <w:sz w:val="12"/>
          <w:szCs w:val="12"/>
          <w:lang w:eastAsia="zh-CN"/>
        </w:rPr>
      </w:pPr>
      <w:r>
        <w:rPr>
          <w:rFonts w:ascii="宋体" w:hAnsi="宋体" w:eastAsia="宋体" w:cs="宋体"/>
          <w:spacing w:val="-1"/>
          <w:sz w:val="24"/>
          <w:szCs w:val="24"/>
        </w:rPr>
        <w:t>25 本项目需增加的专用合同条款</w:t>
      </w:r>
    </w:p>
    <w:p w14:paraId="3064CFA4">
      <w:pPr>
        <w:spacing w:before="183" w:line="219" w:lineRule="auto"/>
        <w:ind w:left="492"/>
        <w:rPr>
          <w:rFonts w:ascii="宋体" w:hAnsi="宋体" w:eastAsia="宋体" w:cs="宋体"/>
          <w:sz w:val="24"/>
          <w:szCs w:val="24"/>
        </w:rPr>
      </w:pPr>
      <w:r>
        <w:rPr>
          <w:rFonts w:ascii="宋体" w:hAnsi="宋体" w:eastAsia="宋体" w:cs="宋体"/>
          <w:spacing w:val="-2"/>
          <w:sz w:val="24"/>
          <w:szCs w:val="24"/>
        </w:rPr>
        <w:t>25.1</w:t>
      </w:r>
      <w:r>
        <w:rPr>
          <w:rFonts w:ascii="宋体" w:hAnsi="宋体" w:eastAsia="宋体" w:cs="宋体"/>
          <w:spacing w:val="-50"/>
          <w:sz w:val="24"/>
          <w:szCs w:val="24"/>
        </w:rPr>
        <w:t xml:space="preserve"> </w:t>
      </w:r>
      <w:r>
        <w:rPr>
          <w:rFonts w:ascii="宋体" w:hAnsi="宋体" w:eastAsia="宋体" w:cs="宋体"/>
          <w:spacing w:val="-2"/>
          <w:sz w:val="24"/>
          <w:szCs w:val="24"/>
        </w:rPr>
        <w:t>承包人退出机制</w:t>
      </w:r>
    </w:p>
    <w:p w14:paraId="6E924806">
      <w:pPr>
        <w:spacing w:before="183" w:line="219" w:lineRule="auto"/>
        <w:ind w:left="493"/>
        <w:rPr>
          <w:rFonts w:ascii="宋体" w:hAnsi="宋体" w:eastAsia="宋体" w:cs="宋体"/>
          <w:sz w:val="24"/>
          <w:szCs w:val="24"/>
        </w:rPr>
      </w:pPr>
      <w:r>
        <w:rPr>
          <w:rFonts w:ascii="宋体" w:hAnsi="宋体" w:eastAsia="宋体" w:cs="宋体"/>
          <w:spacing w:val="-1"/>
          <w:sz w:val="24"/>
          <w:szCs w:val="24"/>
        </w:rPr>
        <w:t>发包人对不能满足各阶段工作目标的承包人实</w:t>
      </w:r>
      <w:r>
        <w:rPr>
          <w:rFonts w:ascii="宋体" w:hAnsi="宋体" w:eastAsia="宋体" w:cs="宋体"/>
          <w:spacing w:val="-2"/>
          <w:sz w:val="24"/>
          <w:szCs w:val="24"/>
        </w:rPr>
        <w:t>行强制退出本项目建设的办法。</w:t>
      </w:r>
    </w:p>
    <w:p w14:paraId="21A0B03B">
      <w:pPr>
        <w:pStyle w:val="2"/>
        <w:spacing w:line="267" w:lineRule="auto"/>
      </w:pPr>
      <w:r>
        <w:rPr>
          <w:rFonts w:ascii="宋体" w:hAnsi="宋体" w:eastAsia="宋体" w:cs="宋体"/>
          <w:spacing w:val="1"/>
          <w:sz w:val="24"/>
          <w:szCs w:val="24"/>
        </w:rPr>
        <w:t>发包人将视承包人的实际施工能力情况，可按</w:t>
      </w:r>
      <w:r>
        <w:rPr>
          <w:rFonts w:ascii="宋体" w:hAnsi="宋体" w:eastAsia="宋体" w:cs="宋体"/>
          <w:spacing w:val="-43"/>
          <w:sz w:val="24"/>
          <w:szCs w:val="24"/>
        </w:rPr>
        <w:t xml:space="preserve"> </w:t>
      </w:r>
      <w:r>
        <w:rPr>
          <w:rFonts w:ascii="宋体" w:hAnsi="宋体" w:eastAsia="宋体" w:cs="宋体"/>
          <w:spacing w:val="1"/>
          <w:sz w:val="24"/>
          <w:szCs w:val="24"/>
        </w:rPr>
        <w:t>4.3.</w:t>
      </w:r>
      <w:r>
        <w:rPr>
          <w:rFonts w:ascii="宋体" w:hAnsi="宋体" w:eastAsia="宋体" w:cs="宋体"/>
          <w:sz w:val="24"/>
          <w:szCs w:val="24"/>
        </w:rPr>
        <w:t>15、4.3.16</w:t>
      </w:r>
      <w:r>
        <w:rPr>
          <w:rFonts w:ascii="宋体" w:hAnsi="宋体" w:eastAsia="宋体" w:cs="宋体"/>
          <w:spacing w:val="-46"/>
          <w:sz w:val="24"/>
          <w:szCs w:val="24"/>
        </w:rPr>
        <w:t xml:space="preserve"> </w:t>
      </w:r>
      <w:r>
        <w:rPr>
          <w:rFonts w:ascii="宋体" w:hAnsi="宋体" w:eastAsia="宋体" w:cs="宋体"/>
          <w:sz w:val="24"/>
          <w:szCs w:val="24"/>
        </w:rPr>
        <w:t>款将该标段内剩余</w:t>
      </w:r>
      <w:r>
        <w:rPr>
          <w:rFonts w:ascii="宋体" w:hAnsi="宋体" w:eastAsia="宋体" w:cs="宋体"/>
          <w:spacing w:val="-2"/>
          <w:sz w:val="24"/>
          <w:szCs w:val="24"/>
        </w:rPr>
        <w:t>工程的部分或全部进行特殊分包，强制部分或整体退出。由发包人在本项目选择履约情</w:t>
      </w:r>
      <w:r>
        <w:rPr>
          <w:rFonts w:ascii="宋体" w:hAnsi="宋体" w:eastAsia="宋体" w:cs="宋体"/>
          <w:spacing w:val="-5"/>
          <w:sz w:val="24"/>
          <w:szCs w:val="24"/>
        </w:rPr>
        <w:t>况好的承包人承接剩余工程或采用招标方式选择承包人。如承包人逾期不退场的， 发包</w:t>
      </w:r>
      <w:r>
        <w:rPr>
          <w:rFonts w:ascii="宋体" w:hAnsi="宋体" w:eastAsia="宋体" w:cs="宋体"/>
          <w:spacing w:val="-2"/>
          <w:sz w:val="24"/>
          <w:szCs w:val="24"/>
        </w:rPr>
        <w:t>人有权委托第三方清理，所需费用由承包人承担。</w:t>
      </w:r>
    </w:p>
    <w:p w14:paraId="5E0FF8B2">
      <w:pPr>
        <w:spacing w:before="78" w:line="220" w:lineRule="auto"/>
        <w:ind w:left="492"/>
        <w:rPr>
          <w:rFonts w:ascii="宋体" w:hAnsi="宋体" w:eastAsia="宋体" w:cs="宋体"/>
          <w:sz w:val="24"/>
          <w:szCs w:val="24"/>
        </w:rPr>
      </w:pPr>
      <w:r>
        <w:rPr>
          <w:rFonts w:ascii="宋体" w:hAnsi="宋体" w:eastAsia="宋体" w:cs="宋体"/>
          <w:spacing w:val="-3"/>
          <w:sz w:val="24"/>
          <w:szCs w:val="24"/>
        </w:rPr>
        <w:t>25.1.1</w:t>
      </w:r>
      <w:r>
        <w:rPr>
          <w:rFonts w:ascii="宋体" w:hAnsi="宋体" w:eastAsia="宋体" w:cs="宋体"/>
          <w:spacing w:val="-41"/>
          <w:sz w:val="24"/>
          <w:szCs w:val="24"/>
        </w:rPr>
        <w:t xml:space="preserve"> </w:t>
      </w:r>
      <w:r>
        <w:rPr>
          <w:rFonts w:ascii="宋体" w:hAnsi="宋体" w:eastAsia="宋体" w:cs="宋体"/>
          <w:spacing w:val="-3"/>
          <w:sz w:val="24"/>
          <w:szCs w:val="24"/>
        </w:rPr>
        <w:t>部分退出</w:t>
      </w:r>
    </w:p>
    <w:p w14:paraId="7D774A0D">
      <w:pPr>
        <w:spacing w:before="182" w:line="360" w:lineRule="auto"/>
        <w:ind w:left="29" w:right="34" w:firstLine="466"/>
        <w:rPr>
          <w:rFonts w:ascii="宋体" w:hAnsi="宋体" w:eastAsia="宋体" w:cs="宋体"/>
          <w:sz w:val="24"/>
          <w:szCs w:val="24"/>
        </w:rPr>
      </w:pPr>
      <w:r>
        <w:rPr>
          <w:rFonts w:ascii="宋体" w:hAnsi="宋体" w:eastAsia="宋体" w:cs="宋体"/>
          <w:sz w:val="24"/>
          <w:szCs w:val="24"/>
        </w:rPr>
        <w:t>（1）人员退出：承包人的主要管理人员和技术骨干如不满足要求的，按</w:t>
      </w:r>
      <w:r>
        <w:rPr>
          <w:rFonts w:ascii="宋体" w:hAnsi="宋体" w:eastAsia="宋体" w:cs="宋体"/>
          <w:spacing w:val="-23"/>
          <w:sz w:val="24"/>
          <w:szCs w:val="24"/>
        </w:rPr>
        <w:t xml:space="preserve"> </w:t>
      </w:r>
      <w:r>
        <w:rPr>
          <w:rFonts w:ascii="宋体" w:hAnsi="宋体" w:eastAsia="宋体" w:cs="宋体"/>
          <w:sz w:val="24"/>
          <w:szCs w:val="24"/>
        </w:rPr>
        <w:t>4.6.3</w:t>
      </w:r>
      <w:r>
        <w:rPr>
          <w:rFonts w:ascii="宋体" w:hAnsi="宋体" w:eastAsia="宋体" w:cs="宋体"/>
          <w:spacing w:val="-44"/>
          <w:sz w:val="24"/>
          <w:szCs w:val="24"/>
        </w:rPr>
        <w:t xml:space="preserve"> </w:t>
      </w:r>
      <w:r>
        <w:rPr>
          <w:rFonts w:ascii="宋体" w:hAnsi="宋体" w:eastAsia="宋体" w:cs="宋体"/>
          <w:sz w:val="24"/>
          <w:szCs w:val="24"/>
        </w:rPr>
        <w:t>项</w:t>
      </w:r>
      <w:r>
        <w:rPr>
          <w:rFonts w:ascii="宋体" w:hAnsi="宋体" w:eastAsia="宋体" w:cs="宋体"/>
          <w:spacing w:val="-6"/>
          <w:sz w:val="24"/>
          <w:szCs w:val="24"/>
        </w:rPr>
        <w:t>的规定进行违约处理。</w:t>
      </w:r>
    </w:p>
    <w:p w14:paraId="0B1EFE70">
      <w:pPr>
        <w:spacing w:before="2" w:line="359" w:lineRule="auto"/>
        <w:ind w:left="10" w:right="50" w:firstLine="485"/>
        <w:rPr>
          <w:rFonts w:ascii="宋体" w:hAnsi="宋体" w:eastAsia="宋体" w:cs="宋体"/>
          <w:sz w:val="24"/>
          <w:szCs w:val="24"/>
        </w:rPr>
      </w:pPr>
      <w:r>
        <w:rPr>
          <w:rFonts w:ascii="宋体" w:hAnsi="宋体" w:eastAsia="宋体" w:cs="宋体"/>
          <w:spacing w:val="-1"/>
          <w:sz w:val="24"/>
          <w:szCs w:val="24"/>
        </w:rPr>
        <w:t>（2）机械退出：机械设备达不到额定产能的 85</w:t>
      </w:r>
      <w:r>
        <w:rPr>
          <w:rFonts w:ascii="宋体" w:hAnsi="宋体" w:eastAsia="宋体" w:cs="宋体"/>
          <w:spacing w:val="-46"/>
          <w:sz w:val="24"/>
          <w:szCs w:val="24"/>
        </w:rPr>
        <w:t xml:space="preserve"> </w:t>
      </w:r>
      <w:r>
        <w:rPr>
          <w:rFonts w:ascii="宋体" w:hAnsi="宋体" w:eastAsia="宋体" w:cs="宋体"/>
          <w:spacing w:val="-1"/>
          <w:sz w:val="24"/>
          <w:szCs w:val="24"/>
        </w:rPr>
        <w:t>%者退出，并按监理人或发包人的</w:t>
      </w:r>
      <w:r>
        <w:rPr>
          <w:rFonts w:ascii="宋体" w:hAnsi="宋体" w:eastAsia="宋体" w:cs="宋体"/>
          <w:spacing w:val="-2"/>
          <w:sz w:val="24"/>
          <w:szCs w:val="24"/>
        </w:rPr>
        <w:t>要求及时组织性能良好的同类型的机械进驻施工现场。</w:t>
      </w:r>
    </w:p>
    <w:p w14:paraId="02058F89">
      <w:pPr>
        <w:spacing w:before="2" w:line="359" w:lineRule="auto"/>
        <w:ind w:left="9" w:right="43" w:firstLine="486"/>
        <w:rPr>
          <w:rFonts w:ascii="宋体" w:hAnsi="宋体" w:eastAsia="宋体" w:cs="宋体"/>
          <w:sz w:val="24"/>
          <w:szCs w:val="24"/>
        </w:rPr>
      </w:pPr>
      <w:r>
        <w:rPr>
          <w:rFonts w:ascii="宋体" w:hAnsi="宋体" w:eastAsia="宋体" w:cs="宋体"/>
          <w:spacing w:val="1"/>
          <w:sz w:val="24"/>
          <w:szCs w:val="24"/>
        </w:rPr>
        <w:t>（3）专业队伍退出：在施工过程中累计发生两次生产安全事故或两次较大质量问</w:t>
      </w:r>
      <w:r>
        <w:rPr>
          <w:rFonts w:ascii="宋体" w:hAnsi="宋体" w:eastAsia="宋体" w:cs="宋体"/>
          <w:spacing w:val="-6"/>
          <w:sz w:val="24"/>
          <w:szCs w:val="24"/>
        </w:rPr>
        <w:t>题者强制退出。</w:t>
      </w:r>
    </w:p>
    <w:p w14:paraId="340EE569">
      <w:pPr>
        <w:spacing w:before="2" w:line="359" w:lineRule="auto"/>
        <w:ind w:left="9" w:right="43" w:firstLine="486"/>
        <w:rPr>
          <w:rFonts w:ascii="宋体" w:hAnsi="宋体" w:eastAsia="宋体" w:cs="宋体"/>
          <w:sz w:val="24"/>
          <w:szCs w:val="24"/>
        </w:rPr>
      </w:pPr>
      <w:r>
        <w:rPr>
          <w:rFonts w:ascii="宋体" w:hAnsi="宋体" w:eastAsia="宋体" w:cs="宋体"/>
          <w:spacing w:val="1"/>
          <w:sz w:val="24"/>
          <w:szCs w:val="24"/>
        </w:rPr>
        <w:t>（4）工程进度达不到上述要求，承包人增加人员、设备仍达不到进度要求的，发</w:t>
      </w:r>
      <w:r>
        <w:rPr>
          <w:rFonts w:ascii="宋体" w:hAnsi="宋体" w:eastAsia="宋体" w:cs="宋体"/>
          <w:spacing w:val="-3"/>
          <w:sz w:val="24"/>
          <w:szCs w:val="24"/>
        </w:rPr>
        <w:t>包人有权对相应分项工程进行强制分割处理。</w:t>
      </w:r>
    </w:p>
    <w:p w14:paraId="7DD86B05">
      <w:pPr>
        <w:spacing w:before="2" w:line="220" w:lineRule="auto"/>
        <w:ind w:left="492"/>
        <w:rPr>
          <w:rFonts w:ascii="宋体" w:hAnsi="宋体" w:eastAsia="宋体" w:cs="宋体"/>
          <w:sz w:val="24"/>
          <w:szCs w:val="24"/>
        </w:rPr>
      </w:pPr>
      <w:r>
        <w:rPr>
          <w:rFonts w:ascii="宋体" w:hAnsi="宋体" w:eastAsia="宋体" w:cs="宋体"/>
          <w:spacing w:val="-2"/>
          <w:sz w:val="24"/>
          <w:szCs w:val="24"/>
        </w:rPr>
        <w:t>25.1.2</w:t>
      </w:r>
      <w:r>
        <w:rPr>
          <w:rFonts w:ascii="宋体" w:hAnsi="宋体" w:eastAsia="宋体" w:cs="宋体"/>
          <w:spacing w:val="-50"/>
          <w:sz w:val="24"/>
          <w:szCs w:val="24"/>
        </w:rPr>
        <w:t xml:space="preserve"> </w:t>
      </w:r>
      <w:r>
        <w:rPr>
          <w:rFonts w:ascii="宋体" w:hAnsi="宋体" w:eastAsia="宋体" w:cs="宋体"/>
          <w:spacing w:val="-2"/>
          <w:sz w:val="24"/>
          <w:szCs w:val="24"/>
        </w:rPr>
        <w:t>整体退出</w:t>
      </w:r>
    </w:p>
    <w:p w14:paraId="03F263CC">
      <w:pPr>
        <w:spacing w:before="181" w:line="220" w:lineRule="auto"/>
        <w:ind w:left="495"/>
        <w:rPr>
          <w:rFonts w:ascii="宋体" w:hAnsi="宋体" w:eastAsia="宋体" w:cs="宋体"/>
          <w:sz w:val="24"/>
          <w:szCs w:val="24"/>
        </w:rPr>
      </w:pPr>
      <w:r>
        <w:rPr>
          <w:rFonts w:ascii="宋体" w:hAnsi="宋体" w:eastAsia="宋体" w:cs="宋体"/>
          <w:spacing w:val="-6"/>
          <w:sz w:val="24"/>
          <w:szCs w:val="24"/>
        </w:rPr>
        <w:t>（1）出现转包、非法分包；</w:t>
      </w:r>
    </w:p>
    <w:p w14:paraId="6F6487A5">
      <w:pPr>
        <w:spacing w:before="181" w:line="219" w:lineRule="auto"/>
        <w:ind w:left="495"/>
        <w:rPr>
          <w:rFonts w:ascii="宋体" w:hAnsi="宋体" w:eastAsia="宋体" w:cs="宋体"/>
          <w:sz w:val="24"/>
          <w:szCs w:val="24"/>
        </w:rPr>
      </w:pPr>
      <w:r>
        <w:rPr>
          <w:rFonts w:ascii="宋体" w:hAnsi="宋体" w:eastAsia="宋体" w:cs="宋体"/>
          <w:spacing w:val="-4"/>
          <w:sz w:val="24"/>
          <w:szCs w:val="24"/>
        </w:rPr>
        <w:t>（2）出现重大安全责任，造成严重社会影响；</w:t>
      </w:r>
    </w:p>
    <w:p w14:paraId="4396C2DB">
      <w:pPr>
        <w:spacing w:before="183" w:line="219" w:lineRule="auto"/>
        <w:ind w:left="495"/>
        <w:rPr>
          <w:rFonts w:ascii="宋体" w:hAnsi="宋体" w:eastAsia="宋体" w:cs="宋体"/>
          <w:sz w:val="24"/>
          <w:szCs w:val="24"/>
        </w:rPr>
      </w:pPr>
      <w:r>
        <w:rPr>
          <w:rFonts w:ascii="宋体" w:hAnsi="宋体" w:eastAsia="宋体" w:cs="宋体"/>
          <w:spacing w:val="-2"/>
          <w:sz w:val="24"/>
          <w:szCs w:val="24"/>
        </w:rPr>
        <w:t>（3）出现重大质量事故，严重影响工程质量和进度，造成严重</w:t>
      </w:r>
      <w:r>
        <w:rPr>
          <w:rFonts w:ascii="宋体" w:hAnsi="宋体" w:eastAsia="宋体" w:cs="宋体"/>
          <w:spacing w:val="-3"/>
          <w:sz w:val="24"/>
          <w:szCs w:val="24"/>
        </w:rPr>
        <w:t>社会影响；</w:t>
      </w:r>
    </w:p>
    <w:p w14:paraId="107CC8D5">
      <w:pPr>
        <w:spacing w:before="183" w:line="220" w:lineRule="auto"/>
        <w:ind w:left="495"/>
        <w:rPr>
          <w:rFonts w:ascii="宋体" w:hAnsi="宋体" w:eastAsia="宋体" w:cs="宋体"/>
          <w:sz w:val="24"/>
          <w:szCs w:val="24"/>
        </w:rPr>
      </w:pPr>
      <w:r>
        <w:rPr>
          <w:rFonts w:ascii="宋体" w:hAnsi="宋体" w:eastAsia="宋体" w:cs="宋体"/>
          <w:spacing w:val="-3"/>
          <w:sz w:val="24"/>
          <w:szCs w:val="24"/>
        </w:rPr>
        <w:t>（4）由承包人自身原因导致使上述计划任务无法完成的；</w:t>
      </w:r>
    </w:p>
    <w:p w14:paraId="42ABADE0">
      <w:pPr>
        <w:spacing w:before="182" w:line="220" w:lineRule="auto"/>
        <w:ind w:left="490"/>
        <w:rPr>
          <w:rFonts w:ascii="宋体" w:hAnsi="宋体" w:eastAsia="宋体" w:cs="宋体"/>
          <w:sz w:val="24"/>
          <w:szCs w:val="24"/>
        </w:rPr>
      </w:pPr>
      <w:r>
        <w:rPr>
          <w:rFonts w:ascii="宋体" w:hAnsi="宋体" w:eastAsia="宋体" w:cs="宋体"/>
          <w:spacing w:val="-2"/>
          <w:sz w:val="24"/>
          <w:szCs w:val="24"/>
        </w:rPr>
        <w:t>整体退出的施工企业，发包人将建议交通主管部门降低其信用等级。</w:t>
      </w:r>
    </w:p>
    <w:p w14:paraId="62DC1D97">
      <w:pPr>
        <w:spacing w:before="182" w:line="220" w:lineRule="auto"/>
        <w:ind w:left="492"/>
        <w:rPr>
          <w:rFonts w:ascii="宋体" w:hAnsi="宋体" w:eastAsia="宋体" w:cs="宋体"/>
          <w:sz w:val="24"/>
          <w:szCs w:val="24"/>
        </w:rPr>
      </w:pPr>
      <w:r>
        <w:rPr>
          <w:rFonts w:ascii="宋体" w:hAnsi="宋体" w:eastAsia="宋体" w:cs="宋体"/>
          <w:spacing w:val="-2"/>
          <w:sz w:val="24"/>
          <w:szCs w:val="24"/>
        </w:rPr>
        <w:t>25.1.3</w:t>
      </w:r>
      <w:r>
        <w:rPr>
          <w:rFonts w:ascii="宋体" w:hAnsi="宋体" w:eastAsia="宋体" w:cs="宋体"/>
          <w:spacing w:val="-50"/>
          <w:sz w:val="24"/>
          <w:szCs w:val="24"/>
        </w:rPr>
        <w:t xml:space="preserve"> </w:t>
      </w:r>
      <w:r>
        <w:rPr>
          <w:rFonts w:ascii="宋体" w:hAnsi="宋体" w:eastAsia="宋体" w:cs="宋体"/>
          <w:spacing w:val="-2"/>
          <w:sz w:val="24"/>
          <w:szCs w:val="24"/>
        </w:rPr>
        <w:t>退出清算</w:t>
      </w:r>
    </w:p>
    <w:p w14:paraId="74B3492F">
      <w:pPr>
        <w:spacing w:before="183" w:line="360" w:lineRule="auto"/>
        <w:ind w:left="13" w:right="43" w:firstLine="482"/>
        <w:rPr>
          <w:rFonts w:ascii="宋体" w:hAnsi="宋体" w:eastAsia="宋体" w:cs="宋体"/>
          <w:sz w:val="24"/>
          <w:szCs w:val="24"/>
        </w:rPr>
      </w:pPr>
      <w:r>
        <w:rPr>
          <w:rFonts w:ascii="宋体" w:hAnsi="宋体" w:eastAsia="宋体" w:cs="宋体"/>
          <w:spacing w:val="1"/>
          <w:sz w:val="24"/>
          <w:szCs w:val="24"/>
        </w:rPr>
        <w:t>（1）发包人对承包人整体退出本项目工程建设进行公示，并要求承包人对拖欠款</w:t>
      </w:r>
      <w:r>
        <w:rPr>
          <w:rFonts w:ascii="宋体" w:hAnsi="宋体" w:eastAsia="宋体" w:cs="宋体"/>
          <w:spacing w:val="-4"/>
          <w:sz w:val="24"/>
          <w:szCs w:val="24"/>
        </w:rPr>
        <w:t>项的单位和个人及时清算。</w:t>
      </w:r>
    </w:p>
    <w:p w14:paraId="5CB7991D">
      <w:pPr>
        <w:spacing w:before="1" w:line="219" w:lineRule="auto"/>
        <w:ind w:left="495"/>
        <w:rPr>
          <w:rFonts w:ascii="宋体" w:hAnsi="宋体" w:eastAsia="宋体" w:cs="宋体"/>
          <w:sz w:val="24"/>
          <w:szCs w:val="24"/>
        </w:rPr>
      </w:pPr>
      <w:r>
        <w:rPr>
          <w:rFonts w:ascii="宋体" w:hAnsi="宋体" w:eastAsia="宋体" w:cs="宋体"/>
          <w:spacing w:val="-2"/>
          <w:sz w:val="24"/>
          <w:szCs w:val="24"/>
        </w:rPr>
        <w:t>（2）发包人扣押履约担保、质量保证金、停止计量支付。</w:t>
      </w:r>
    </w:p>
    <w:p w14:paraId="531817F7">
      <w:pPr>
        <w:spacing w:before="182" w:line="220" w:lineRule="auto"/>
        <w:ind w:left="495"/>
        <w:rPr>
          <w:rFonts w:ascii="宋体" w:hAnsi="宋体" w:eastAsia="宋体" w:cs="宋体"/>
          <w:sz w:val="24"/>
          <w:szCs w:val="24"/>
        </w:rPr>
      </w:pPr>
      <w:r>
        <w:rPr>
          <w:rFonts w:ascii="宋体" w:hAnsi="宋体" w:eastAsia="宋体" w:cs="宋体"/>
          <w:spacing w:val="-2"/>
          <w:sz w:val="24"/>
          <w:szCs w:val="24"/>
        </w:rPr>
        <w:t>（3）承包人必须向发包人提交已完成工程的齐全的施工资料。</w:t>
      </w:r>
    </w:p>
    <w:p w14:paraId="659A4C87">
      <w:pPr>
        <w:spacing w:before="182" w:line="220" w:lineRule="auto"/>
        <w:ind w:left="495"/>
        <w:rPr>
          <w:rFonts w:ascii="宋体" w:hAnsi="宋体" w:eastAsia="宋体" w:cs="宋体"/>
          <w:sz w:val="24"/>
          <w:szCs w:val="24"/>
        </w:rPr>
      </w:pPr>
      <w:r>
        <w:rPr>
          <w:rFonts w:ascii="宋体" w:hAnsi="宋体" w:eastAsia="宋体" w:cs="宋体"/>
          <w:spacing w:val="-4"/>
          <w:sz w:val="24"/>
          <w:szCs w:val="24"/>
        </w:rPr>
        <w:t>（4）清算后特殊分包单位的确定原则：</w:t>
      </w:r>
    </w:p>
    <w:p w14:paraId="5ADE22E5">
      <w:pPr>
        <w:spacing w:before="182" w:line="360" w:lineRule="auto"/>
        <w:ind w:left="10" w:right="32" w:firstLine="508"/>
        <w:rPr>
          <w:rFonts w:ascii="宋体" w:hAnsi="宋体" w:eastAsia="宋体" w:cs="宋体"/>
          <w:sz w:val="24"/>
          <w:szCs w:val="24"/>
        </w:rPr>
      </w:pPr>
      <w:r>
        <w:rPr>
          <w:rFonts w:ascii="宋体" w:hAnsi="宋体" w:eastAsia="宋体" w:cs="宋体"/>
          <w:spacing w:val="-2"/>
          <w:sz w:val="24"/>
          <w:szCs w:val="24"/>
        </w:rPr>
        <w:t>由发包人选择本项目实力较强、质量进度评比</w:t>
      </w:r>
      <w:r>
        <w:rPr>
          <w:rFonts w:ascii="宋体" w:hAnsi="宋体" w:eastAsia="宋体" w:cs="宋体"/>
          <w:spacing w:val="-3"/>
          <w:sz w:val="24"/>
          <w:szCs w:val="24"/>
        </w:rPr>
        <w:t>排名靠前的承包单位或由发包人通过</w:t>
      </w:r>
      <w:r>
        <w:rPr>
          <w:rFonts w:ascii="宋体" w:hAnsi="宋体" w:eastAsia="宋体" w:cs="宋体"/>
          <w:spacing w:val="-6"/>
          <w:sz w:val="24"/>
          <w:szCs w:val="24"/>
        </w:rPr>
        <w:t>合法方式选择分包单位；</w:t>
      </w:r>
    </w:p>
    <w:p w14:paraId="03456F97">
      <w:pPr>
        <w:spacing w:before="1" w:line="219" w:lineRule="auto"/>
        <w:ind w:left="492"/>
        <w:rPr>
          <w:rFonts w:ascii="宋体" w:hAnsi="宋体" w:eastAsia="宋体" w:cs="宋体"/>
          <w:sz w:val="24"/>
          <w:szCs w:val="24"/>
        </w:rPr>
      </w:pPr>
      <w:r>
        <w:rPr>
          <w:rFonts w:ascii="宋体" w:hAnsi="宋体" w:eastAsia="宋体" w:cs="宋体"/>
          <w:spacing w:val="-4"/>
          <w:sz w:val="24"/>
          <w:szCs w:val="24"/>
        </w:rPr>
        <w:t>分包单位选择情况上报上级行政主管部门；</w:t>
      </w:r>
    </w:p>
    <w:p w14:paraId="1D241A06">
      <w:pPr>
        <w:spacing w:before="182" w:line="220" w:lineRule="auto"/>
        <w:ind w:left="489"/>
        <w:rPr>
          <w:rFonts w:ascii="宋体" w:hAnsi="宋体" w:eastAsia="宋体" w:cs="宋体"/>
          <w:sz w:val="24"/>
          <w:szCs w:val="24"/>
        </w:rPr>
      </w:pPr>
      <w:r>
        <w:rPr>
          <w:rFonts w:ascii="宋体" w:hAnsi="宋体" w:eastAsia="宋体" w:cs="宋体"/>
          <w:spacing w:val="-2"/>
          <w:sz w:val="24"/>
          <w:szCs w:val="24"/>
        </w:rPr>
        <w:t>特殊分包单位应具备特殊分包工程相对应的资质要求。</w:t>
      </w:r>
    </w:p>
    <w:p w14:paraId="2DC55BEC">
      <w:pPr>
        <w:spacing w:before="183" w:line="360" w:lineRule="auto"/>
        <w:ind w:left="9" w:right="42" w:firstLine="486"/>
        <w:rPr>
          <w:rFonts w:ascii="宋体" w:hAnsi="宋体" w:eastAsia="宋体" w:cs="宋体"/>
          <w:sz w:val="24"/>
          <w:szCs w:val="24"/>
        </w:rPr>
      </w:pPr>
      <w:r>
        <w:rPr>
          <w:rFonts w:ascii="宋体" w:hAnsi="宋体" w:eastAsia="宋体" w:cs="宋体"/>
          <w:spacing w:val="-2"/>
          <w:sz w:val="24"/>
          <w:szCs w:val="24"/>
        </w:rPr>
        <w:t>（5）清算后费用承担：特殊分包范围内的项目，由于上述（4）确定的分包价与承</w:t>
      </w:r>
      <w:r>
        <w:rPr>
          <w:rFonts w:ascii="宋体" w:hAnsi="宋体" w:eastAsia="宋体" w:cs="宋体"/>
          <w:spacing w:val="-3"/>
          <w:sz w:val="24"/>
          <w:szCs w:val="24"/>
        </w:rPr>
        <w:t>包人合同价产生的价差由承包人承担。</w:t>
      </w:r>
    </w:p>
    <w:p w14:paraId="165C12AB">
      <w:pPr>
        <w:spacing w:line="219" w:lineRule="auto"/>
        <w:ind w:left="495"/>
        <w:rPr>
          <w:rFonts w:ascii="宋体" w:hAnsi="宋体" w:eastAsia="宋体" w:cs="宋体"/>
          <w:sz w:val="24"/>
          <w:szCs w:val="24"/>
        </w:rPr>
      </w:pPr>
      <w:r>
        <w:rPr>
          <w:rFonts w:ascii="宋体" w:hAnsi="宋体" w:eastAsia="宋体" w:cs="宋体"/>
          <w:spacing w:val="-2"/>
          <w:sz w:val="24"/>
          <w:szCs w:val="24"/>
        </w:rPr>
        <w:t>（6）承包人应无条件接受，指定特殊分包单位无须向承包人交纳管理费。</w:t>
      </w:r>
    </w:p>
    <w:p w14:paraId="6F9AF60D">
      <w:pPr>
        <w:pStyle w:val="2"/>
        <w:spacing w:line="267" w:lineRule="auto"/>
      </w:pPr>
      <w:r>
        <w:rPr>
          <w:rFonts w:ascii="宋体" w:hAnsi="宋体" w:eastAsia="宋体" w:cs="宋体"/>
          <w:spacing w:val="-1"/>
          <w:sz w:val="24"/>
          <w:szCs w:val="24"/>
        </w:rPr>
        <w:t>但无论如何，承包人应按发包人要求提供已有的临时设施（如便道、电力线路等）</w:t>
      </w:r>
      <w:r>
        <w:rPr>
          <w:rFonts w:ascii="宋体" w:hAnsi="宋体" w:eastAsia="宋体" w:cs="宋体"/>
          <w:spacing w:val="-2"/>
          <w:sz w:val="24"/>
          <w:szCs w:val="24"/>
        </w:rPr>
        <w:t>供特殊分包人使用，承包人不得为此要求增加任何费用。</w:t>
      </w:r>
    </w:p>
    <w:p w14:paraId="1B72DD78">
      <w:pPr>
        <w:spacing w:before="78" w:line="220" w:lineRule="auto"/>
        <w:ind w:left="492"/>
        <w:rPr>
          <w:rFonts w:ascii="宋体" w:hAnsi="宋体" w:eastAsia="宋体" w:cs="宋体"/>
          <w:sz w:val="24"/>
          <w:szCs w:val="24"/>
        </w:rPr>
      </w:pPr>
      <w:r>
        <w:rPr>
          <w:rFonts w:ascii="宋体" w:hAnsi="宋体" w:eastAsia="宋体" w:cs="宋体"/>
          <w:spacing w:val="-1"/>
          <w:sz w:val="24"/>
          <w:szCs w:val="24"/>
        </w:rPr>
        <w:t>25.2 工程管理要求</w:t>
      </w:r>
    </w:p>
    <w:p w14:paraId="40B276BA">
      <w:pPr>
        <w:spacing w:before="184" w:line="357" w:lineRule="auto"/>
        <w:ind w:left="8" w:firstLine="483"/>
        <w:rPr>
          <w:rFonts w:ascii="宋体" w:hAnsi="宋体" w:eastAsia="宋体" w:cs="宋体"/>
          <w:sz w:val="24"/>
          <w:szCs w:val="24"/>
        </w:rPr>
      </w:pPr>
      <w:r>
        <w:rPr>
          <w:rFonts w:ascii="宋体" w:hAnsi="宋体" w:eastAsia="宋体" w:cs="宋体"/>
          <w:spacing w:val="-2"/>
          <w:sz w:val="24"/>
          <w:szCs w:val="24"/>
        </w:rPr>
        <w:t>鉴于发包人在项目建设管理过程中将推行交通运输部、广东省关于绿色公路、品质</w:t>
      </w:r>
      <w:r>
        <w:rPr>
          <w:rFonts w:ascii="宋体" w:hAnsi="宋体" w:eastAsia="宋体" w:cs="宋体"/>
          <w:spacing w:val="-3"/>
          <w:sz w:val="24"/>
          <w:szCs w:val="24"/>
        </w:rPr>
        <w:t>工程等公路工程现代化管理和公路施工标准化管理，为确保对项目生产一线的有效管理，</w:t>
      </w:r>
      <w:r>
        <w:rPr>
          <w:rFonts w:ascii="宋体" w:hAnsi="宋体" w:eastAsia="宋体" w:cs="宋体"/>
          <w:spacing w:val="-2"/>
          <w:sz w:val="24"/>
          <w:szCs w:val="24"/>
        </w:rPr>
        <w:t>承包人在进场施工时应配备足够的车辆用于项目管理现场，直至本项目建成通车。承包人应针对上述管理要求制定相应的工作方案，相应的人员、车辆应报监理人及发包人审</w:t>
      </w:r>
      <w:r>
        <w:rPr>
          <w:rFonts w:ascii="宋体" w:hAnsi="宋体" w:eastAsia="宋体" w:cs="宋体"/>
          <w:spacing w:val="-11"/>
          <w:sz w:val="24"/>
          <w:szCs w:val="24"/>
        </w:rPr>
        <w:t>批。</w:t>
      </w:r>
    </w:p>
    <w:p w14:paraId="631A9C6A">
      <w:pPr>
        <w:spacing w:line="233" w:lineRule="auto"/>
        <w:ind w:left="492"/>
        <w:rPr>
          <w:rFonts w:hint="eastAsia" w:ascii="宋体" w:hAnsi="宋体" w:eastAsia="宋体" w:cs="宋体"/>
          <w:sz w:val="12"/>
          <w:szCs w:val="12"/>
          <w:lang w:eastAsia="zh-CN"/>
        </w:rPr>
      </w:pPr>
      <w:r>
        <w:rPr>
          <w:rFonts w:ascii="宋体" w:hAnsi="宋体" w:eastAsia="宋体" w:cs="宋体"/>
          <w:spacing w:val="-3"/>
          <w:sz w:val="24"/>
          <w:szCs w:val="24"/>
        </w:rPr>
        <w:t>25.3</w:t>
      </w:r>
      <w:r>
        <w:rPr>
          <w:rFonts w:ascii="宋体" w:hAnsi="宋体" w:eastAsia="宋体" w:cs="宋体"/>
          <w:spacing w:val="-20"/>
          <w:sz w:val="24"/>
          <w:szCs w:val="24"/>
        </w:rPr>
        <w:t xml:space="preserve"> </w:t>
      </w:r>
      <w:r>
        <w:rPr>
          <w:rFonts w:ascii="宋体" w:hAnsi="宋体" w:eastAsia="宋体" w:cs="宋体"/>
          <w:spacing w:val="-3"/>
          <w:sz w:val="24"/>
          <w:szCs w:val="24"/>
        </w:rPr>
        <w:t>电子文件归档和电子档案管理</w:t>
      </w:r>
    </w:p>
    <w:p w14:paraId="5C56366A">
      <w:pPr>
        <w:pStyle w:val="2"/>
        <w:spacing w:line="309" w:lineRule="auto"/>
      </w:pPr>
    </w:p>
    <w:p w14:paraId="44A700EB">
      <w:pPr>
        <w:tabs>
          <w:tab w:val="left" w:pos="8639"/>
        </w:tabs>
        <w:spacing w:before="26" w:line="173" w:lineRule="auto"/>
        <w:ind w:left="480"/>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7"/>
          <w:sz w:val="8"/>
          <w:szCs w:val="8"/>
        </w:rPr>
        <w:t xml:space="preserve"> </w:t>
      </w:r>
      <w:r>
        <w:rPr>
          <w:rFonts w:ascii="宋体" w:hAnsi="宋体" w:eastAsia="宋体" w:cs="宋体"/>
          <w:spacing w:val="12"/>
          <w:sz w:val="8"/>
          <w:szCs w:val="8"/>
        </w:rPr>
        <w:t>。</w:t>
      </w:r>
    </w:p>
    <w:p w14:paraId="66FEE186">
      <w:pPr>
        <w:spacing w:before="237" w:line="220" w:lineRule="auto"/>
        <w:ind w:left="492"/>
        <w:rPr>
          <w:rFonts w:ascii="宋体" w:hAnsi="宋体" w:eastAsia="宋体" w:cs="宋体"/>
          <w:sz w:val="24"/>
          <w:szCs w:val="24"/>
        </w:rPr>
      </w:pPr>
      <w:r>
        <w:rPr>
          <w:rFonts w:ascii="宋体" w:hAnsi="宋体" w:eastAsia="宋体" w:cs="宋体"/>
          <w:spacing w:val="-3"/>
          <w:sz w:val="24"/>
          <w:szCs w:val="24"/>
        </w:rPr>
        <w:t>25.4</w:t>
      </w:r>
      <w:r>
        <w:rPr>
          <w:rFonts w:ascii="宋体" w:hAnsi="宋体" w:eastAsia="宋体" w:cs="宋体"/>
          <w:spacing w:val="-47"/>
          <w:sz w:val="24"/>
          <w:szCs w:val="24"/>
        </w:rPr>
        <w:t xml:space="preserve"> </w:t>
      </w:r>
      <w:r>
        <w:rPr>
          <w:rFonts w:ascii="宋体" w:hAnsi="宋体" w:eastAsia="宋体" w:cs="宋体"/>
          <w:spacing w:val="-3"/>
          <w:sz w:val="24"/>
          <w:szCs w:val="24"/>
        </w:rPr>
        <w:t>过程结算</w:t>
      </w:r>
    </w:p>
    <w:p w14:paraId="5C04DFE9">
      <w:pPr>
        <w:spacing w:before="182" w:line="360" w:lineRule="auto"/>
        <w:ind w:left="10" w:right="186" w:firstLine="480"/>
        <w:rPr>
          <w:rFonts w:ascii="宋体" w:hAnsi="宋体" w:eastAsia="宋体" w:cs="宋体"/>
          <w:sz w:val="24"/>
          <w:szCs w:val="24"/>
        </w:rPr>
      </w:pPr>
      <w:r>
        <w:rPr>
          <w:rFonts w:ascii="宋体" w:hAnsi="宋体" w:eastAsia="宋体" w:cs="宋体"/>
          <w:spacing w:val="-2"/>
          <w:sz w:val="24"/>
          <w:szCs w:val="24"/>
        </w:rPr>
        <w:t>本合同工程执行过程中，建立过程结算制度，开展过程结算工作评价和考核，提高合同结算工作效率。具体执行《广东省交通运输厅关于印发广东省公路建设项目过程结</w:t>
      </w:r>
      <w:r>
        <w:rPr>
          <w:rFonts w:ascii="宋体" w:hAnsi="宋体" w:eastAsia="宋体" w:cs="宋体"/>
          <w:spacing w:val="-3"/>
          <w:sz w:val="24"/>
          <w:szCs w:val="24"/>
        </w:rPr>
        <w:t>算工作指导意见的通知》的规定</w:t>
      </w:r>
      <w:r>
        <w:rPr>
          <w:rFonts w:hint="eastAsia" w:ascii="宋体" w:hAnsi="宋体" w:cs="宋体"/>
          <w:spacing w:val="-3"/>
          <w:sz w:val="24"/>
          <w:szCs w:val="24"/>
          <w:lang w:eastAsia="zh-CN"/>
        </w:rPr>
        <w:t>，</w:t>
      </w:r>
      <w:r>
        <w:rPr>
          <w:rFonts w:ascii="宋体" w:hAnsi="宋体" w:eastAsia="宋体" w:cs="宋体"/>
          <w:spacing w:val="-3"/>
          <w:sz w:val="24"/>
          <w:szCs w:val="24"/>
        </w:rPr>
        <w:t xml:space="preserve"> 并符合以下规定：</w:t>
      </w:r>
    </w:p>
    <w:p w14:paraId="271C2543">
      <w:pPr>
        <w:spacing w:line="360" w:lineRule="auto"/>
        <w:ind w:left="8" w:right="186" w:firstLine="498"/>
        <w:rPr>
          <w:rFonts w:ascii="宋体" w:hAnsi="宋体" w:eastAsia="宋体" w:cs="宋体"/>
          <w:sz w:val="24"/>
          <w:szCs w:val="24"/>
        </w:rPr>
      </w:pPr>
      <w:r>
        <w:rPr>
          <w:rFonts w:ascii="宋体" w:hAnsi="宋体" w:eastAsia="宋体" w:cs="宋体"/>
          <w:spacing w:val="1"/>
          <w:sz w:val="24"/>
          <w:szCs w:val="24"/>
        </w:rPr>
        <w:t>1.项目开工前，发包人制订过程结算的目标和计划</w:t>
      </w:r>
      <w:r>
        <w:rPr>
          <w:rFonts w:hint="eastAsia" w:ascii="宋体" w:hAnsi="宋体" w:cs="宋体"/>
          <w:spacing w:val="1"/>
          <w:sz w:val="24"/>
          <w:szCs w:val="24"/>
          <w:lang w:eastAsia="zh-CN"/>
        </w:rPr>
        <w:t>，</w:t>
      </w:r>
      <w:r>
        <w:rPr>
          <w:rFonts w:ascii="宋体" w:hAnsi="宋体" w:eastAsia="宋体" w:cs="宋体"/>
          <w:spacing w:val="1"/>
          <w:sz w:val="24"/>
          <w:szCs w:val="24"/>
        </w:rPr>
        <w:t>按广东省《公路工程造价管理</w:t>
      </w:r>
      <w:r>
        <w:rPr>
          <w:rFonts w:ascii="宋体" w:hAnsi="宋体" w:eastAsia="宋体" w:cs="宋体"/>
          <w:spacing w:val="-2"/>
          <w:sz w:val="24"/>
          <w:szCs w:val="24"/>
        </w:rPr>
        <w:t>指南》规定及发包人要求建立标准费用项目、合同工程量清单、图纸工程量三者的对应</w:t>
      </w:r>
      <w:r>
        <w:rPr>
          <w:rFonts w:ascii="宋体" w:hAnsi="宋体" w:eastAsia="宋体" w:cs="宋体"/>
          <w:spacing w:val="1"/>
          <w:sz w:val="24"/>
          <w:szCs w:val="24"/>
        </w:rPr>
        <w:t>关系</w:t>
      </w:r>
      <w:r>
        <w:rPr>
          <w:rFonts w:hint="eastAsia" w:ascii="宋体" w:hAnsi="宋体" w:cs="宋体"/>
          <w:spacing w:val="1"/>
          <w:sz w:val="24"/>
          <w:szCs w:val="24"/>
          <w:lang w:eastAsia="zh-CN"/>
        </w:rPr>
        <w:t>，</w:t>
      </w:r>
      <w:r>
        <w:rPr>
          <w:rFonts w:ascii="宋体" w:hAnsi="宋体" w:eastAsia="宋体" w:cs="宋体"/>
          <w:spacing w:val="1"/>
          <w:sz w:val="24"/>
          <w:szCs w:val="24"/>
        </w:rPr>
        <w:t>明确过程结算的结算范围、单元划分、工作程序和考核标准等。承包人应配备专</w:t>
      </w:r>
      <w:r>
        <w:rPr>
          <w:rFonts w:ascii="宋体" w:hAnsi="宋体" w:eastAsia="宋体" w:cs="宋体"/>
          <w:spacing w:val="-6"/>
          <w:sz w:val="24"/>
          <w:szCs w:val="24"/>
        </w:rPr>
        <w:t>业人员、明确责任领导，</w:t>
      </w:r>
      <w:r>
        <w:rPr>
          <w:rFonts w:ascii="宋体" w:hAnsi="宋体" w:eastAsia="宋体" w:cs="宋体"/>
          <w:spacing w:val="50"/>
          <w:sz w:val="24"/>
          <w:szCs w:val="24"/>
        </w:rPr>
        <w:t xml:space="preserve"> </w:t>
      </w:r>
      <w:r>
        <w:rPr>
          <w:rFonts w:ascii="宋体" w:hAnsi="宋体" w:eastAsia="宋体" w:cs="宋体"/>
          <w:spacing w:val="-6"/>
          <w:sz w:val="24"/>
          <w:szCs w:val="24"/>
        </w:rPr>
        <w:t>按计划编制过程结算文件，将结算计划纳入总体施工组织设计</w:t>
      </w:r>
      <w:r>
        <w:rPr>
          <w:rFonts w:ascii="宋体" w:hAnsi="宋体" w:eastAsia="宋体" w:cs="宋体"/>
          <w:spacing w:val="-3"/>
          <w:sz w:val="24"/>
          <w:szCs w:val="24"/>
        </w:rPr>
        <w:t>内容</w:t>
      </w:r>
      <w:r>
        <w:rPr>
          <w:rFonts w:hint="eastAsia" w:ascii="宋体" w:hAnsi="宋体" w:cs="宋体"/>
          <w:spacing w:val="-3"/>
          <w:sz w:val="24"/>
          <w:szCs w:val="24"/>
          <w:lang w:eastAsia="zh-CN"/>
        </w:rPr>
        <w:t>，</w:t>
      </w:r>
      <w:r>
        <w:rPr>
          <w:rFonts w:ascii="宋体" w:hAnsi="宋体" w:eastAsia="宋体" w:cs="宋体"/>
          <w:spacing w:val="-3"/>
          <w:sz w:val="24"/>
          <w:szCs w:val="24"/>
        </w:rPr>
        <w:t xml:space="preserve"> 作为开工报告组成部分。</w:t>
      </w:r>
    </w:p>
    <w:p w14:paraId="6FA70458">
      <w:pPr>
        <w:spacing w:line="360" w:lineRule="auto"/>
        <w:ind w:left="12" w:right="186" w:firstLine="480"/>
        <w:rPr>
          <w:rFonts w:ascii="宋体" w:hAnsi="宋体" w:eastAsia="宋体" w:cs="宋体"/>
          <w:sz w:val="24"/>
          <w:szCs w:val="24"/>
        </w:rPr>
      </w:pPr>
      <w:r>
        <w:rPr>
          <w:rFonts w:ascii="宋体" w:hAnsi="宋体" w:eastAsia="宋体" w:cs="宋体"/>
          <w:spacing w:val="-2"/>
          <w:sz w:val="24"/>
          <w:szCs w:val="24"/>
        </w:rPr>
        <w:t>2.发包人、承包人均应保障承担过程结算工作人员的配置和稳定</w:t>
      </w:r>
      <w:r>
        <w:rPr>
          <w:rFonts w:hint="eastAsia" w:ascii="宋体" w:hAnsi="宋体" w:cs="宋体"/>
          <w:spacing w:val="-2"/>
          <w:sz w:val="24"/>
          <w:szCs w:val="24"/>
          <w:lang w:eastAsia="zh-CN"/>
        </w:rPr>
        <w:t>，</w:t>
      </w:r>
      <w:r>
        <w:rPr>
          <w:rFonts w:ascii="宋体" w:hAnsi="宋体" w:eastAsia="宋体" w:cs="宋体"/>
          <w:spacing w:val="-2"/>
          <w:sz w:val="24"/>
          <w:szCs w:val="24"/>
        </w:rPr>
        <w:t xml:space="preserve"> 做到过程结算和</w:t>
      </w:r>
      <w:r>
        <w:rPr>
          <w:rFonts w:ascii="宋体" w:hAnsi="宋体" w:eastAsia="宋体" w:cs="宋体"/>
          <w:spacing w:val="-4"/>
          <w:sz w:val="24"/>
          <w:szCs w:val="24"/>
        </w:rPr>
        <w:t>工程建设同步推进、应结尽结。</w:t>
      </w:r>
    </w:p>
    <w:p w14:paraId="41487280">
      <w:pPr>
        <w:spacing w:line="360" w:lineRule="auto"/>
        <w:ind w:left="8" w:right="186" w:firstLine="485"/>
        <w:rPr>
          <w:rFonts w:ascii="宋体" w:hAnsi="宋体" w:eastAsia="宋体" w:cs="宋体"/>
          <w:sz w:val="24"/>
          <w:szCs w:val="24"/>
        </w:rPr>
      </w:pPr>
      <w:r>
        <w:rPr>
          <w:rFonts w:ascii="宋体" w:hAnsi="宋体" w:eastAsia="宋体" w:cs="宋体"/>
          <w:spacing w:val="-2"/>
          <w:sz w:val="24"/>
          <w:szCs w:val="24"/>
        </w:rPr>
        <w:t>3.结算单元按合同约定完成并通过质量中间验收，原则上按项目专用合同条款数据表约定的时间完成过程结算文件的编制、审核、签认工作。</w:t>
      </w:r>
    </w:p>
    <w:p w14:paraId="7E7590E6">
      <w:pPr>
        <w:spacing w:line="360" w:lineRule="auto"/>
        <w:ind w:left="10" w:right="186" w:firstLine="478"/>
        <w:rPr>
          <w:rFonts w:ascii="宋体" w:hAnsi="宋体" w:eastAsia="宋体" w:cs="宋体"/>
          <w:sz w:val="24"/>
          <w:szCs w:val="24"/>
        </w:rPr>
      </w:pPr>
      <w:r>
        <w:rPr>
          <w:rFonts w:ascii="宋体" w:hAnsi="宋体" w:eastAsia="宋体" w:cs="宋体"/>
          <w:spacing w:val="-2"/>
          <w:sz w:val="24"/>
          <w:szCs w:val="24"/>
        </w:rPr>
        <w:t>4.承包人应按工程档案管理要求，对每一期过程结算文件及相关支撑资料同步进行</w:t>
      </w:r>
      <w:r>
        <w:rPr>
          <w:rFonts w:ascii="宋体" w:hAnsi="宋体" w:eastAsia="宋体" w:cs="宋体"/>
          <w:spacing w:val="-11"/>
          <w:sz w:val="24"/>
          <w:szCs w:val="24"/>
        </w:rPr>
        <w:t>收集、整理、排序、编目组卷，</w:t>
      </w:r>
      <w:r>
        <w:rPr>
          <w:rFonts w:ascii="宋体" w:hAnsi="宋体" w:eastAsia="宋体" w:cs="宋体"/>
          <w:spacing w:val="63"/>
          <w:sz w:val="24"/>
          <w:szCs w:val="24"/>
        </w:rPr>
        <w:t xml:space="preserve"> </w:t>
      </w:r>
      <w:r>
        <w:rPr>
          <w:rFonts w:ascii="宋体" w:hAnsi="宋体" w:eastAsia="宋体" w:cs="宋体"/>
          <w:spacing w:val="-11"/>
          <w:sz w:val="24"/>
          <w:szCs w:val="24"/>
        </w:rPr>
        <w:t>并同步编制竣工图，并报监理、建设单位确认，</w:t>
      </w:r>
      <w:r>
        <w:rPr>
          <w:rFonts w:ascii="宋体" w:hAnsi="宋体" w:eastAsia="宋体" w:cs="宋体"/>
          <w:spacing w:val="58"/>
          <w:sz w:val="24"/>
          <w:szCs w:val="24"/>
        </w:rPr>
        <w:t xml:space="preserve"> </w:t>
      </w:r>
      <w:r>
        <w:rPr>
          <w:rFonts w:ascii="宋体" w:hAnsi="宋体" w:eastAsia="宋体" w:cs="宋体"/>
          <w:spacing w:val="-12"/>
          <w:sz w:val="24"/>
          <w:szCs w:val="24"/>
        </w:rPr>
        <w:t>构成公</w:t>
      </w:r>
      <w:r>
        <w:rPr>
          <w:rFonts w:ascii="宋体" w:hAnsi="宋体" w:eastAsia="宋体" w:cs="宋体"/>
          <w:spacing w:val="-2"/>
          <w:sz w:val="24"/>
          <w:szCs w:val="24"/>
        </w:rPr>
        <w:t>路建设项目竣工档案资料的组成部分。归档资料应包括隐蔽工程的影像记录、测量记录</w:t>
      </w:r>
      <w:r>
        <w:rPr>
          <w:rFonts w:ascii="宋体" w:hAnsi="宋体" w:eastAsia="宋体" w:cs="宋体"/>
          <w:spacing w:val="-5"/>
          <w:sz w:val="24"/>
          <w:szCs w:val="24"/>
        </w:rPr>
        <w:t>和数量计算表等。</w:t>
      </w:r>
    </w:p>
    <w:p w14:paraId="0D3F6993">
      <w:pPr>
        <w:spacing w:before="1" w:line="216" w:lineRule="auto"/>
        <w:ind w:left="494"/>
        <w:rPr>
          <w:rFonts w:ascii="宋体" w:hAnsi="宋体" w:eastAsia="宋体" w:cs="宋体"/>
          <w:sz w:val="24"/>
          <w:szCs w:val="24"/>
        </w:rPr>
      </w:pPr>
      <w:r>
        <w:rPr>
          <w:rFonts w:ascii="宋体" w:hAnsi="宋体" w:eastAsia="宋体" w:cs="宋体"/>
          <w:spacing w:val="-1"/>
          <w:sz w:val="24"/>
          <w:szCs w:val="24"/>
        </w:rPr>
        <w:t>5.未按要求完成过程结算的费用项</w:t>
      </w:r>
      <w:r>
        <w:rPr>
          <w:rFonts w:hint="eastAsia" w:ascii="宋体" w:hAnsi="宋体" w:cs="宋体"/>
          <w:spacing w:val="-1"/>
          <w:sz w:val="24"/>
          <w:szCs w:val="24"/>
          <w:lang w:eastAsia="zh-CN"/>
        </w:rPr>
        <w:t>，</w:t>
      </w:r>
      <w:r>
        <w:rPr>
          <w:rFonts w:ascii="宋体" w:hAnsi="宋体" w:eastAsia="宋体" w:cs="宋体"/>
          <w:spacing w:val="-1"/>
          <w:sz w:val="24"/>
          <w:szCs w:val="24"/>
        </w:rPr>
        <w:t xml:space="preserve"> 按项目专用合同条</w:t>
      </w:r>
      <w:r>
        <w:rPr>
          <w:rFonts w:ascii="宋体" w:hAnsi="宋体" w:eastAsia="宋体" w:cs="宋体"/>
          <w:spacing w:val="-2"/>
          <w:sz w:val="24"/>
          <w:szCs w:val="24"/>
        </w:rPr>
        <w:t>款数据表约定内容执行。</w:t>
      </w:r>
    </w:p>
    <w:p w14:paraId="374F2FB9">
      <w:pPr>
        <w:spacing w:before="187" w:line="360" w:lineRule="auto"/>
        <w:ind w:left="11" w:right="186" w:firstLine="480"/>
        <w:rPr>
          <w:rFonts w:ascii="宋体" w:hAnsi="宋体" w:eastAsia="宋体" w:cs="宋体"/>
          <w:sz w:val="24"/>
          <w:szCs w:val="24"/>
        </w:rPr>
      </w:pPr>
      <w:r>
        <w:rPr>
          <w:rFonts w:ascii="宋体" w:hAnsi="宋体" w:eastAsia="宋体" w:cs="宋体"/>
          <w:spacing w:val="-2"/>
          <w:sz w:val="24"/>
          <w:szCs w:val="24"/>
        </w:rPr>
        <w:t>6.发包人、承包人签署认可的过程结算文件</w:t>
      </w:r>
      <w:r>
        <w:rPr>
          <w:rFonts w:hint="eastAsia" w:ascii="宋体" w:hAnsi="宋体" w:cs="宋体"/>
          <w:spacing w:val="-2"/>
          <w:sz w:val="24"/>
          <w:szCs w:val="24"/>
          <w:lang w:eastAsia="zh-CN"/>
        </w:rPr>
        <w:t>，</w:t>
      </w:r>
      <w:r>
        <w:rPr>
          <w:rFonts w:ascii="宋体" w:hAnsi="宋体" w:eastAsia="宋体" w:cs="宋体"/>
          <w:spacing w:val="-2"/>
          <w:sz w:val="24"/>
          <w:szCs w:val="24"/>
        </w:rPr>
        <w:t xml:space="preserve"> 是最终结算文件和竣工决算文件的组</w:t>
      </w:r>
      <w:r>
        <w:rPr>
          <w:rFonts w:ascii="宋体" w:hAnsi="宋体" w:eastAsia="宋体" w:cs="宋体"/>
          <w:spacing w:val="-1"/>
          <w:sz w:val="24"/>
          <w:szCs w:val="24"/>
        </w:rPr>
        <w:t>成部分</w:t>
      </w:r>
      <w:r>
        <w:rPr>
          <w:rFonts w:hint="eastAsia" w:ascii="宋体" w:hAnsi="宋体" w:cs="宋体"/>
          <w:spacing w:val="-1"/>
          <w:sz w:val="24"/>
          <w:szCs w:val="24"/>
          <w:lang w:eastAsia="zh-CN"/>
        </w:rPr>
        <w:t>，</w:t>
      </w:r>
      <w:r>
        <w:rPr>
          <w:rFonts w:ascii="宋体" w:hAnsi="宋体" w:eastAsia="宋体" w:cs="宋体"/>
          <w:spacing w:val="-1"/>
          <w:sz w:val="24"/>
          <w:szCs w:val="24"/>
        </w:rPr>
        <w:t>具有法律效力</w:t>
      </w:r>
      <w:r>
        <w:rPr>
          <w:rFonts w:hint="eastAsia" w:ascii="宋体" w:hAnsi="宋体" w:cs="宋体"/>
          <w:spacing w:val="-1"/>
          <w:sz w:val="24"/>
          <w:szCs w:val="24"/>
          <w:lang w:eastAsia="zh-CN"/>
        </w:rPr>
        <w:t>，</w:t>
      </w:r>
      <w:r>
        <w:rPr>
          <w:rFonts w:ascii="宋体" w:hAnsi="宋体" w:eastAsia="宋体" w:cs="宋体"/>
          <w:spacing w:val="-1"/>
          <w:sz w:val="24"/>
          <w:szCs w:val="24"/>
        </w:rPr>
        <w:t xml:space="preserve"> 最终结算时不需对已确认的</w:t>
      </w:r>
      <w:r>
        <w:rPr>
          <w:rFonts w:ascii="宋体" w:hAnsi="宋体" w:eastAsia="宋体" w:cs="宋体"/>
          <w:spacing w:val="-2"/>
          <w:sz w:val="24"/>
          <w:szCs w:val="24"/>
        </w:rPr>
        <w:t>过程结算重新办理确认。</w:t>
      </w:r>
    </w:p>
    <w:p w14:paraId="3E5F5181">
      <w:pPr>
        <w:pStyle w:val="2"/>
        <w:spacing w:line="268" w:lineRule="auto"/>
        <w:ind w:firstLine="468" w:firstLineChars="200"/>
      </w:pPr>
      <w:r>
        <w:rPr>
          <w:rFonts w:ascii="宋体" w:hAnsi="宋体" w:eastAsia="宋体" w:cs="宋体"/>
          <w:spacing w:val="-3"/>
          <w:sz w:val="24"/>
          <w:szCs w:val="24"/>
        </w:rPr>
        <w:t>25.5</w:t>
      </w:r>
      <w:r>
        <w:rPr>
          <w:rFonts w:ascii="宋体" w:hAnsi="宋体" w:eastAsia="宋体" w:cs="宋体"/>
          <w:spacing w:val="-47"/>
          <w:sz w:val="24"/>
          <w:szCs w:val="24"/>
        </w:rPr>
        <w:t xml:space="preserve"> </w:t>
      </w:r>
      <w:r>
        <w:rPr>
          <w:rFonts w:ascii="宋体" w:hAnsi="宋体" w:eastAsia="宋体" w:cs="宋体"/>
          <w:spacing w:val="-3"/>
          <w:sz w:val="24"/>
          <w:szCs w:val="24"/>
        </w:rPr>
        <w:t>合同结算</w:t>
      </w:r>
    </w:p>
    <w:p w14:paraId="2713BF67">
      <w:pPr>
        <w:spacing w:before="78" w:line="360" w:lineRule="auto"/>
        <w:ind w:left="9" w:right="85" w:firstLine="480"/>
        <w:jc w:val="both"/>
        <w:rPr>
          <w:rFonts w:ascii="宋体" w:hAnsi="宋体" w:eastAsia="宋体" w:cs="宋体"/>
          <w:sz w:val="24"/>
          <w:szCs w:val="24"/>
        </w:rPr>
      </w:pPr>
      <w:r>
        <w:rPr>
          <w:rFonts w:ascii="宋体" w:hAnsi="宋体" w:eastAsia="宋体" w:cs="宋体"/>
          <w:spacing w:val="-2"/>
          <w:sz w:val="24"/>
          <w:szCs w:val="24"/>
        </w:rPr>
        <w:t>本合同工程交工验收后，承包人应保障结算工作人员的配置和稳定，按《广东省交通运输厅关于印发广东省公路建设项目竣工决算实行备案制管理的通知》和广东省《公</w:t>
      </w:r>
      <w:r>
        <w:rPr>
          <w:rFonts w:ascii="宋体" w:hAnsi="宋体" w:eastAsia="宋体" w:cs="宋体"/>
          <w:spacing w:val="-4"/>
          <w:sz w:val="24"/>
          <w:szCs w:val="24"/>
        </w:rPr>
        <w:t>路工程造价管理指南》的具体要求完成结算工作，</w:t>
      </w:r>
      <w:r>
        <w:rPr>
          <w:rFonts w:ascii="宋体" w:hAnsi="宋体" w:eastAsia="宋体" w:cs="宋体"/>
          <w:spacing w:val="-26"/>
          <w:sz w:val="24"/>
          <w:szCs w:val="24"/>
        </w:rPr>
        <w:t xml:space="preserve"> </w:t>
      </w:r>
      <w:r>
        <w:rPr>
          <w:rFonts w:ascii="宋体" w:hAnsi="宋体" w:eastAsia="宋体" w:cs="宋体"/>
          <w:spacing w:val="-4"/>
          <w:sz w:val="24"/>
          <w:szCs w:val="24"/>
        </w:rPr>
        <w:t>发包人可根据项目实际情况制定相应</w:t>
      </w:r>
      <w:r>
        <w:rPr>
          <w:rFonts w:ascii="宋体" w:hAnsi="宋体" w:eastAsia="宋体" w:cs="宋体"/>
          <w:spacing w:val="-7"/>
          <w:sz w:val="24"/>
          <w:szCs w:val="24"/>
        </w:rPr>
        <w:t>的奖罚措施。</w:t>
      </w:r>
    </w:p>
    <w:p w14:paraId="0E091A84">
      <w:pPr>
        <w:spacing w:line="360" w:lineRule="auto"/>
        <w:ind w:left="11" w:right="85" w:firstLine="480"/>
        <w:jc w:val="both"/>
        <w:rPr>
          <w:rFonts w:ascii="宋体" w:hAnsi="宋体" w:eastAsia="宋体" w:cs="宋体"/>
          <w:sz w:val="24"/>
          <w:szCs w:val="24"/>
        </w:rPr>
      </w:pPr>
      <w:r>
        <w:rPr>
          <w:rFonts w:ascii="宋体" w:hAnsi="宋体" w:eastAsia="宋体" w:cs="宋体"/>
          <w:spacing w:val="-5"/>
          <w:sz w:val="24"/>
          <w:szCs w:val="24"/>
        </w:rPr>
        <w:t>为了按期完成工程竣工决算审查备案、审计及竣工验收工作， 如发包人和承包人对</w:t>
      </w:r>
      <w:r>
        <w:rPr>
          <w:rFonts w:ascii="宋体" w:hAnsi="宋体" w:eastAsia="宋体" w:cs="宋体"/>
          <w:spacing w:val="-2"/>
          <w:sz w:val="24"/>
          <w:szCs w:val="24"/>
        </w:rPr>
        <w:t>结算确实存在分歧，经双方协商未果情况下，发包人有权进行合同暂定结算，争议费用</w:t>
      </w:r>
      <w:r>
        <w:rPr>
          <w:rFonts w:ascii="宋体" w:hAnsi="宋体" w:eastAsia="宋体" w:cs="宋体"/>
          <w:spacing w:val="-3"/>
          <w:sz w:val="24"/>
          <w:szCs w:val="24"/>
        </w:rPr>
        <w:t>按合同条款第</w:t>
      </w:r>
      <w:r>
        <w:rPr>
          <w:rFonts w:ascii="宋体" w:hAnsi="宋体" w:eastAsia="宋体" w:cs="宋体"/>
          <w:spacing w:val="-47"/>
          <w:sz w:val="24"/>
          <w:szCs w:val="24"/>
        </w:rPr>
        <w:t xml:space="preserve"> </w:t>
      </w:r>
      <w:r>
        <w:rPr>
          <w:rFonts w:ascii="宋体" w:hAnsi="宋体" w:eastAsia="宋体" w:cs="宋体"/>
          <w:spacing w:val="-3"/>
          <w:sz w:val="24"/>
          <w:szCs w:val="24"/>
        </w:rPr>
        <w:t>24</w:t>
      </w:r>
      <w:r>
        <w:rPr>
          <w:rFonts w:ascii="宋体" w:hAnsi="宋体" w:eastAsia="宋体" w:cs="宋体"/>
          <w:spacing w:val="-49"/>
          <w:sz w:val="24"/>
          <w:szCs w:val="24"/>
        </w:rPr>
        <w:t xml:space="preserve"> </w:t>
      </w:r>
      <w:r>
        <w:rPr>
          <w:rFonts w:ascii="宋体" w:hAnsi="宋体" w:eastAsia="宋体" w:cs="宋体"/>
          <w:spacing w:val="-3"/>
          <w:sz w:val="24"/>
          <w:szCs w:val="24"/>
        </w:rPr>
        <w:t>条款执行，承包人须无条件接受。</w:t>
      </w:r>
    </w:p>
    <w:p w14:paraId="4581B740">
      <w:pPr>
        <w:spacing w:line="219" w:lineRule="auto"/>
        <w:ind w:left="492"/>
        <w:rPr>
          <w:rFonts w:ascii="宋体" w:hAnsi="宋体" w:eastAsia="宋体" w:cs="宋体"/>
          <w:sz w:val="24"/>
          <w:szCs w:val="24"/>
        </w:rPr>
      </w:pPr>
      <w:r>
        <w:rPr>
          <w:rFonts w:ascii="宋体" w:hAnsi="宋体" w:eastAsia="宋体" w:cs="宋体"/>
          <w:spacing w:val="-2"/>
          <w:sz w:val="24"/>
          <w:szCs w:val="24"/>
        </w:rPr>
        <w:t>25.6</w:t>
      </w:r>
      <w:r>
        <w:rPr>
          <w:rFonts w:ascii="宋体" w:hAnsi="宋体" w:eastAsia="宋体" w:cs="宋体"/>
          <w:spacing w:val="-47"/>
          <w:sz w:val="24"/>
          <w:szCs w:val="24"/>
        </w:rPr>
        <w:t xml:space="preserve"> </w:t>
      </w:r>
      <w:r>
        <w:rPr>
          <w:rFonts w:ascii="宋体" w:hAnsi="宋体" w:eastAsia="宋体" w:cs="宋体"/>
          <w:spacing w:val="-2"/>
          <w:sz w:val="24"/>
          <w:szCs w:val="24"/>
        </w:rPr>
        <w:t>保密要求和舆情管理</w:t>
      </w:r>
    </w:p>
    <w:p w14:paraId="4E52152D">
      <w:pPr>
        <w:spacing w:before="182" w:line="360" w:lineRule="auto"/>
        <w:ind w:left="8" w:right="85" w:firstLine="481"/>
        <w:rPr>
          <w:rFonts w:ascii="宋体" w:hAnsi="宋体" w:eastAsia="宋体" w:cs="宋体"/>
          <w:sz w:val="24"/>
          <w:szCs w:val="24"/>
        </w:rPr>
      </w:pPr>
      <w:r>
        <w:rPr>
          <w:rFonts w:ascii="宋体" w:hAnsi="宋体" w:eastAsia="宋体" w:cs="宋体"/>
          <w:spacing w:val="-2"/>
          <w:sz w:val="24"/>
          <w:szCs w:val="24"/>
        </w:rPr>
        <w:t>本项目对信息保密和舆情管理有严格要求。承包人需严格按照发包人的要求落实本项目的保密工作。承包人应做好或配合发包人或上级部门要求的关于本项目的舆情、舆论等管理、宣传及突发情况下舆情的应对处置工作。承包人相关要求或措施落实不到位或因承包人原因出现较为严重的负面舆情事故的，发包人除给予承包人违约金处罚外，还将视情况严重程度上报上级部门采取进一步处罚措施。</w:t>
      </w:r>
    </w:p>
    <w:p w14:paraId="7B4F25A0">
      <w:pPr>
        <w:spacing w:line="219" w:lineRule="auto"/>
        <w:ind w:left="492"/>
        <w:rPr>
          <w:rFonts w:ascii="宋体" w:hAnsi="宋体" w:eastAsia="宋体" w:cs="宋体"/>
          <w:sz w:val="24"/>
          <w:szCs w:val="24"/>
        </w:rPr>
      </w:pPr>
      <w:r>
        <w:rPr>
          <w:rFonts w:ascii="宋体" w:hAnsi="宋体" w:eastAsia="宋体" w:cs="宋体"/>
          <w:spacing w:val="-2"/>
          <w:sz w:val="24"/>
          <w:szCs w:val="24"/>
        </w:rPr>
        <w:t>25.7</w:t>
      </w:r>
      <w:r>
        <w:rPr>
          <w:rFonts w:ascii="宋体" w:hAnsi="宋体" w:eastAsia="宋体" w:cs="宋体"/>
          <w:spacing w:val="-48"/>
          <w:sz w:val="24"/>
          <w:szCs w:val="24"/>
        </w:rPr>
        <w:t xml:space="preserve"> </w:t>
      </w:r>
      <w:r>
        <w:rPr>
          <w:rFonts w:ascii="宋体" w:hAnsi="宋体" w:eastAsia="宋体" w:cs="宋体"/>
          <w:spacing w:val="-2"/>
          <w:sz w:val="24"/>
          <w:szCs w:val="24"/>
        </w:rPr>
        <w:t>用好信用管理抓手</w:t>
      </w:r>
    </w:p>
    <w:p w14:paraId="550519B5">
      <w:pPr>
        <w:spacing w:before="182" w:line="360" w:lineRule="auto"/>
        <w:ind w:left="8" w:right="83" w:firstLine="480"/>
        <w:rPr>
          <w:rFonts w:ascii="宋体" w:hAnsi="宋体" w:eastAsia="宋体" w:cs="宋体"/>
          <w:sz w:val="24"/>
          <w:szCs w:val="24"/>
        </w:rPr>
      </w:pPr>
      <w:r>
        <w:rPr>
          <w:rFonts w:ascii="宋体" w:hAnsi="宋体" w:eastAsia="宋体" w:cs="宋体"/>
          <w:spacing w:val="-2"/>
          <w:sz w:val="24"/>
          <w:szCs w:val="24"/>
        </w:rPr>
        <w:t>针对公路项目建设各层次单位与个人建立全过程、全覆盖的实名制数字化信用管理</w:t>
      </w:r>
      <w:r>
        <w:rPr>
          <w:rFonts w:ascii="宋体" w:hAnsi="宋体" w:eastAsia="宋体" w:cs="宋体"/>
          <w:spacing w:val="-6"/>
          <w:sz w:val="24"/>
          <w:szCs w:val="24"/>
        </w:rPr>
        <w:t>模式，做好从下而上、从人员到单位的穿透式、联动式信用评价管理工作，</w:t>
      </w:r>
      <w:r>
        <w:rPr>
          <w:rFonts w:ascii="宋体" w:hAnsi="宋体" w:eastAsia="宋体" w:cs="宋体"/>
          <w:spacing w:val="54"/>
          <w:sz w:val="24"/>
          <w:szCs w:val="24"/>
        </w:rPr>
        <w:t xml:space="preserve"> </w:t>
      </w:r>
      <w:r>
        <w:rPr>
          <w:rFonts w:ascii="宋体" w:hAnsi="宋体" w:eastAsia="宋体" w:cs="宋体"/>
          <w:spacing w:val="-6"/>
          <w:sz w:val="24"/>
          <w:szCs w:val="24"/>
        </w:rPr>
        <w:t>推行“</w:t>
      </w:r>
      <w:r>
        <w:rPr>
          <w:rFonts w:ascii="宋体" w:hAnsi="宋体" w:eastAsia="宋体" w:cs="宋体"/>
          <w:spacing w:val="-7"/>
          <w:sz w:val="24"/>
          <w:szCs w:val="24"/>
        </w:rPr>
        <w:t>红黑</w:t>
      </w:r>
      <w:r>
        <w:rPr>
          <w:rFonts w:ascii="宋体" w:hAnsi="宋体" w:eastAsia="宋体" w:cs="宋体"/>
          <w:spacing w:val="-6"/>
          <w:sz w:val="24"/>
          <w:szCs w:val="24"/>
        </w:rPr>
        <w:t>名单”管理。压实发包人履约信用管理的首要责任，</w:t>
      </w:r>
      <w:r>
        <w:rPr>
          <w:rFonts w:ascii="宋体" w:hAnsi="宋体" w:eastAsia="宋体" w:cs="宋体"/>
          <w:spacing w:val="50"/>
          <w:sz w:val="24"/>
          <w:szCs w:val="24"/>
        </w:rPr>
        <w:t xml:space="preserve"> </w:t>
      </w:r>
      <w:r>
        <w:rPr>
          <w:rFonts w:ascii="宋体" w:hAnsi="宋体" w:eastAsia="宋体" w:cs="宋体"/>
          <w:spacing w:val="-6"/>
          <w:sz w:val="24"/>
          <w:szCs w:val="24"/>
        </w:rPr>
        <w:t>加强承包人履约信用管理，开展施工的分包单位、劳务合作单位、施工班组的履约信用管理，</w:t>
      </w:r>
      <w:r>
        <w:rPr>
          <w:rFonts w:ascii="宋体" w:hAnsi="宋体" w:eastAsia="宋体" w:cs="宋体"/>
          <w:spacing w:val="50"/>
          <w:sz w:val="24"/>
          <w:szCs w:val="24"/>
        </w:rPr>
        <w:t xml:space="preserve"> </w:t>
      </w:r>
      <w:r>
        <w:rPr>
          <w:rFonts w:ascii="宋体" w:hAnsi="宋体" w:eastAsia="宋体" w:cs="宋体"/>
          <w:spacing w:val="-6"/>
          <w:sz w:val="24"/>
          <w:szCs w:val="24"/>
        </w:rPr>
        <w:t>推行全员实名制管理，为公</w:t>
      </w:r>
      <w:r>
        <w:rPr>
          <w:rFonts w:ascii="宋体" w:hAnsi="宋体" w:eastAsia="宋体" w:cs="宋体"/>
          <w:spacing w:val="-3"/>
          <w:sz w:val="24"/>
          <w:szCs w:val="24"/>
        </w:rPr>
        <w:t>路建设项目管理改革提供信用保障。</w:t>
      </w:r>
    </w:p>
    <w:p w14:paraId="68135656">
      <w:pPr>
        <w:spacing w:before="1" w:line="219" w:lineRule="auto"/>
        <w:ind w:left="492"/>
        <w:rPr>
          <w:rFonts w:ascii="宋体" w:hAnsi="宋体" w:eastAsia="宋体" w:cs="宋体"/>
          <w:sz w:val="24"/>
          <w:szCs w:val="24"/>
        </w:rPr>
      </w:pPr>
      <w:r>
        <w:rPr>
          <w:rFonts w:ascii="宋体" w:hAnsi="宋体" w:eastAsia="宋体" w:cs="宋体"/>
          <w:spacing w:val="-2"/>
          <w:sz w:val="24"/>
          <w:szCs w:val="24"/>
        </w:rPr>
        <w:t>25.8</w:t>
      </w:r>
      <w:r>
        <w:rPr>
          <w:rFonts w:ascii="宋体" w:hAnsi="宋体" w:eastAsia="宋体" w:cs="宋体"/>
          <w:spacing w:val="-48"/>
          <w:sz w:val="24"/>
          <w:szCs w:val="24"/>
        </w:rPr>
        <w:t xml:space="preserve"> </w:t>
      </w:r>
      <w:r>
        <w:rPr>
          <w:rFonts w:ascii="宋体" w:hAnsi="宋体" w:eastAsia="宋体" w:cs="宋体"/>
          <w:spacing w:val="-2"/>
          <w:sz w:val="24"/>
          <w:szCs w:val="24"/>
        </w:rPr>
        <w:t>数字技术赋能管理</w:t>
      </w:r>
    </w:p>
    <w:p w14:paraId="582FBB24">
      <w:pPr>
        <w:spacing w:before="183" w:line="360" w:lineRule="auto"/>
        <w:ind w:left="12" w:right="85" w:firstLine="480"/>
        <w:rPr>
          <w:rFonts w:ascii="宋体" w:hAnsi="宋体" w:eastAsia="宋体" w:cs="宋体"/>
          <w:sz w:val="24"/>
          <w:szCs w:val="24"/>
        </w:rPr>
      </w:pPr>
      <w:r>
        <w:rPr>
          <w:rFonts w:ascii="宋体" w:hAnsi="宋体" w:eastAsia="宋体" w:cs="宋体"/>
          <w:spacing w:val="-6"/>
          <w:sz w:val="24"/>
          <w:szCs w:val="24"/>
        </w:rPr>
        <w:t>建设各方应积极应用数字化、智慧化技术，</w:t>
      </w:r>
      <w:r>
        <w:rPr>
          <w:rFonts w:ascii="宋体" w:hAnsi="宋体" w:eastAsia="宋体" w:cs="宋体"/>
          <w:spacing w:val="46"/>
          <w:sz w:val="24"/>
          <w:szCs w:val="24"/>
        </w:rPr>
        <w:t xml:space="preserve"> </w:t>
      </w:r>
      <w:r>
        <w:rPr>
          <w:rFonts w:ascii="宋体" w:hAnsi="宋体" w:eastAsia="宋体" w:cs="宋体"/>
          <w:spacing w:val="-6"/>
          <w:sz w:val="24"/>
          <w:szCs w:val="24"/>
        </w:rPr>
        <w:t>推进数字化</w:t>
      </w:r>
      <w:r>
        <w:rPr>
          <w:rFonts w:ascii="宋体" w:hAnsi="宋体" w:eastAsia="宋体" w:cs="宋体"/>
          <w:spacing w:val="-7"/>
          <w:sz w:val="24"/>
          <w:szCs w:val="24"/>
        </w:rPr>
        <w:t>平台建设和数据共享，落实</w:t>
      </w:r>
      <w:r>
        <w:rPr>
          <w:rFonts w:ascii="宋体" w:hAnsi="宋体" w:eastAsia="宋体" w:cs="宋体"/>
          <w:spacing w:val="-2"/>
          <w:sz w:val="24"/>
          <w:szCs w:val="24"/>
        </w:rPr>
        <w:t>项目建设穿透式全过程数字化管理。贯彻落实“一套模型、一套数据”的智慧公路建设</w:t>
      </w:r>
      <w:r>
        <w:rPr>
          <w:rFonts w:ascii="宋体" w:hAnsi="宋体" w:eastAsia="宋体" w:cs="宋体"/>
          <w:spacing w:val="-6"/>
          <w:sz w:val="24"/>
          <w:szCs w:val="24"/>
        </w:rPr>
        <w:t>理念。以数据资源为关键要素，</w:t>
      </w:r>
      <w:r>
        <w:rPr>
          <w:rFonts w:ascii="宋体" w:hAnsi="宋体" w:eastAsia="宋体" w:cs="宋体"/>
          <w:spacing w:val="46"/>
          <w:sz w:val="24"/>
          <w:szCs w:val="24"/>
        </w:rPr>
        <w:t xml:space="preserve"> </w:t>
      </w:r>
      <w:r>
        <w:rPr>
          <w:rFonts w:ascii="宋体" w:hAnsi="宋体" w:eastAsia="宋体" w:cs="宋体"/>
          <w:spacing w:val="-6"/>
          <w:sz w:val="24"/>
          <w:szCs w:val="24"/>
        </w:rPr>
        <w:t>探索推动公路建设项目的数字化交付，推进全生命周期</w:t>
      </w:r>
      <w:r>
        <w:rPr>
          <w:rFonts w:ascii="宋体" w:hAnsi="宋体" w:eastAsia="宋体" w:cs="宋体"/>
          <w:spacing w:val="-2"/>
          <w:sz w:val="24"/>
          <w:szCs w:val="24"/>
        </w:rPr>
        <w:t>一体化数据共享，加快实现工程建设提质增效，提升安全韧性水平。</w:t>
      </w:r>
    </w:p>
    <w:p w14:paraId="562F3BFC">
      <w:pPr>
        <w:spacing w:before="1" w:line="218" w:lineRule="auto"/>
        <w:ind w:left="492"/>
        <w:rPr>
          <w:rFonts w:ascii="宋体" w:hAnsi="宋体" w:eastAsia="宋体" w:cs="宋体"/>
          <w:sz w:val="24"/>
          <w:szCs w:val="24"/>
        </w:rPr>
      </w:pPr>
      <w:r>
        <w:rPr>
          <w:rFonts w:ascii="宋体" w:hAnsi="宋体" w:eastAsia="宋体" w:cs="宋体"/>
          <w:spacing w:val="-2"/>
          <w:sz w:val="24"/>
          <w:szCs w:val="24"/>
        </w:rPr>
        <w:t>25.9</w:t>
      </w:r>
      <w:r>
        <w:rPr>
          <w:rFonts w:ascii="宋体" w:hAnsi="宋体" w:eastAsia="宋体" w:cs="宋体"/>
          <w:spacing w:val="-50"/>
          <w:sz w:val="24"/>
          <w:szCs w:val="24"/>
        </w:rPr>
        <w:t xml:space="preserve"> </w:t>
      </w:r>
      <w:r>
        <w:rPr>
          <w:rFonts w:ascii="宋体" w:hAnsi="宋体" w:eastAsia="宋体" w:cs="宋体"/>
          <w:spacing w:val="-2"/>
          <w:sz w:val="24"/>
          <w:szCs w:val="24"/>
        </w:rPr>
        <w:t>本合同未尽事宜</w:t>
      </w:r>
    </w:p>
    <w:p w14:paraId="04C68C48">
      <w:pPr>
        <w:spacing w:before="183" w:line="360" w:lineRule="auto"/>
        <w:ind w:left="14" w:right="84" w:firstLine="476"/>
        <w:rPr>
          <w:rFonts w:ascii="宋体" w:hAnsi="宋体" w:eastAsia="宋体" w:cs="宋体"/>
          <w:sz w:val="24"/>
          <w:szCs w:val="24"/>
        </w:rPr>
      </w:pPr>
      <w:r>
        <w:rPr>
          <w:rFonts w:ascii="宋体" w:hAnsi="宋体" w:eastAsia="宋体" w:cs="宋体"/>
          <w:spacing w:val="-2"/>
          <w:sz w:val="24"/>
          <w:szCs w:val="24"/>
        </w:rPr>
        <w:t>本合同未能明确的有关规定，如质量管理、计划管理、计量与支付管理、台帐管理</w:t>
      </w:r>
      <w:r>
        <w:rPr>
          <w:rFonts w:ascii="宋体" w:hAnsi="宋体" w:eastAsia="宋体" w:cs="宋体"/>
          <w:spacing w:val="-6"/>
          <w:sz w:val="24"/>
          <w:szCs w:val="24"/>
        </w:rPr>
        <w:t>办法、变更管理、材料管理、安全管理、有关评比方案以及奖惩</w:t>
      </w:r>
      <w:r>
        <w:rPr>
          <w:rFonts w:ascii="宋体" w:hAnsi="宋体" w:eastAsia="宋体" w:cs="宋体"/>
          <w:spacing w:val="-7"/>
          <w:sz w:val="24"/>
          <w:szCs w:val="24"/>
        </w:rPr>
        <w:t>办法等，</w:t>
      </w:r>
      <w:r>
        <w:rPr>
          <w:rFonts w:ascii="宋体" w:hAnsi="宋体" w:eastAsia="宋体" w:cs="宋体"/>
          <w:spacing w:val="55"/>
          <w:sz w:val="24"/>
          <w:szCs w:val="24"/>
        </w:rPr>
        <w:t xml:space="preserve"> </w:t>
      </w:r>
      <w:r>
        <w:rPr>
          <w:rFonts w:ascii="宋体" w:hAnsi="宋体" w:eastAsia="宋体" w:cs="宋体"/>
          <w:spacing w:val="-7"/>
          <w:sz w:val="24"/>
          <w:szCs w:val="24"/>
        </w:rPr>
        <w:t>按发包人在项</w:t>
      </w:r>
      <w:r>
        <w:rPr>
          <w:rFonts w:ascii="宋体" w:hAnsi="宋体" w:eastAsia="宋体" w:cs="宋体"/>
          <w:spacing w:val="-2"/>
          <w:sz w:val="24"/>
          <w:szCs w:val="24"/>
        </w:rPr>
        <w:t>目建设管理过程中颁发的项目管理手册或另行发布的相关管理办法执行。</w:t>
      </w:r>
    </w:p>
    <w:p w14:paraId="18F530D9">
      <w:pPr>
        <w:spacing w:before="78" w:line="361" w:lineRule="auto"/>
        <w:ind w:left="7" w:firstLine="481"/>
        <w:jc w:val="both"/>
        <w:rPr>
          <w:rFonts w:ascii="宋体" w:hAnsi="宋体" w:eastAsia="宋体" w:cs="宋体"/>
          <w:sz w:val="24"/>
          <w:szCs w:val="24"/>
        </w:rPr>
      </w:pPr>
      <w:r>
        <w:rPr>
          <w:rFonts w:ascii="宋体" w:hAnsi="宋体" w:eastAsia="宋体" w:cs="宋体"/>
          <w:spacing w:val="-2"/>
          <w:sz w:val="24"/>
          <w:szCs w:val="24"/>
        </w:rPr>
        <w:t>发包人对项目实施动态管理，根据工程进展情况及项目目标实现情况，通过修正专</w:t>
      </w:r>
      <w:r>
        <w:rPr>
          <w:rFonts w:ascii="宋体" w:hAnsi="宋体" w:eastAsia="宋体" w:cs="宋体"/>
          <w:spacing w:val="-6"/>
          <w:sz w:val="24"/>
          <w:szCs w:val="24"/>
        </w:rPr>
        <w:t>用项目管理制度，不断建设完善项目管理责任体系，承包人须积极配合并无条件的接受。</w:t>
      </w:r>
      <w:r>
        <w:rPr>
          <w:rFonts w:ascii="宋体" w:hAnsi="宋体" w:eastAsia="宋体" w:cs="宋体"/>
          <w:spacing w:val="-2"/>
          <w:sz w:val="24"/>
          <w:szCs w:val="24"/>
        </w:rPr>
        <w:t>承包人应根据政府相关规定、合同要求、项目特点、工程项目相关方数字化应用水</w:t>
      </w:r>
      <w:r>
        <w:rPr>
          <w:rFonts w:ascii="宋体" w:hAnsi="宋体" w:eastAsia="宋体" w:cs="宋体"/>
          <w:spacing w:val="-1"/>
          <w:sz w:val="24"/>
          <w:szCs w:val="24"/>
        </w:rPr>
        <w:t>平等综合确定数字化系统建设范围；数字化系统建设宜覆盖包括质量管理</w:t>
      </w:r>
      <w:r>
        <w:rPr>
          <w:rFonts w:ascii="宋体" w:hAnsi="宋体" w:eastAsia="宋体" w:cs="宋体"/>
          <w:spacing w:val="-2"/>
          <w:sz w:val="24"/>
          <w:szCs w:val="24"/>
        </w:rPr>
        <w:t>、安全管理、</w:t>
      </w:r>
      <w:r>
        <w:rPr>
          <w:rFonts w:ascii="宋体" w:hAnsi="宋体" w:eastAsia="宋体" w:cs="宋体"/>
          <w:spacing w:val="-1"/>
          <w:sz w:val="24"/>
          <w:szCs w:val="24"/>
        </w:rPr>
        <w:t>进度管理、分包管理、物资管理、设备管理、档案管理等项目</w:t>
      </w:r>
      <w:r>
        <w:rPr>
          <w:rFonts w:ascii="宋体" w:hAnsi="宋体" w:eastAsia="宋体" w:cs="宋体"/>
          <w:spacing w:val="-2"/>
          <w:sz w:val="24"/>
          <w:szCs w:val="24"/>
        </w:rPr>
        <w:t>生产管理全要素。</w:t>
      </w:r>
    </w:p>
    <w:p w14:paraId="1E521AF6">
      <w:pPr>
        <w:spacing w:line="361" w:lineRule="auto"/>
        <w:rPr>
          <w:rFonts w:ascii="宋体" w:hAnsi="宋体" w:eastAsia="宋体" w:cs="宋体"/>
          <w:sz w:val="24"/>
          <w:szCs w:val="24"/>
        </w:rPr>
        <w:sectPr>
          <w:headerReference r:id="rId113" w:type="default"/>
          <w:footerReference r:id="rId114" w:type="default"/>
          <w:pgSz w:w="11905" w:h="16840"/>
          <w:pgMar w:top="1182" w:right="1403" w:bottom="1171" w:left="1416" w:header="849" w:footer="937" w:gutter="0"/>
          <w:pgNumType w:fmt="decimal"/>
          <w:cols w:space="720" w:num="1"/>
        </w:sectPr>
      </w:pPr>
    </w:p>
    <w:p w14:paraId="02D1115C">
      <w:pPr>
        <w:pStyle w:val="2"/>
        <w:spacing w:line="284" w:lineRule="auto"/>
      </w:pPr>
    </w:p>
    <w:p w14:paraId="19BA430D">
      <w:pPr>
        <w:spacing w:before="100" w:line="225" w:lineRule="auto"/>
        <w:ind w:left="2942"/>
        <w:rPr>
          <w:rFonts w:ascii="宋体" w:hAnsi="宋体" w:eastAsia="宋体" w:cs="宋体"/>
          <w:sz w:val="31"/>
          <w:szCs w:val="31"/>
        </w:rPr>
      </w:pPr>
      <w:r>
        <w:rPr>
          <w:rFonts w:ascii="宋体" w:hAnsi="宋体" w:eastAsia="宋体" w:cs="宋体"/>
          <w:b/>
          <w:bCs/>
          <w:spacing w:val="6"/>
          <w:sz w:val="31"/>
          <w:szCs w:val="31"/>
        </w:rPr>
        <w:t>第三节</w:t>
      </w:r>
      <w:r>
        <w:rPr>
          <w:rFonts w:ascii="宋体" w:hAnsi="宋体" w:eastAsia="宋体" w:cs="宋体"/>
          <w:spacing w:val="6"/>
          <w:sz w:val="31"/>
          <w:szCs w:val="31"/>
        </w:rPr>
        <w:t xml:space="preserve">  </w:t>
      </w:r>
      <w:r>
        <w:rPr>
          <w:rFonts w:ascii="宋体" w:hAnsi="宋体" w:eastAsia="宋体" w:cs="宋体"/>
          <w:b/>
          <w:bCs/>
          <w:spacing w:val="6"/>
          <w:sz w:val="31"/>
          <w:szCs w:val="31"/>
        </w:rPr>
        <w:t>合同附件格式</w:t>
      </w:r>
    </w:p>
    <w:p w14:paraId="1125F25E">
      <w:pPr>
        <w:pStyle w:val="2"/>
        <w:spacing w:line="438" w:lineRule="auto"/>
      </w:pPr>
    </w:p>
    <w:p w14:paraId="7F02F27C">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附件一：合同协议书（格式）</w:t>
      </w:r>
    </w:p>
    <w:p w14:paraId="2A46C1FF">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附件二：廉政合同（格式）</w:t>
      </w:r>
    </w:p>
    <w:p w14:paraId="37E959A1">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附件三：安全生产合同（格式）</w:t>
      </w:r>
    </w:p>
    <w:p w14:paraId="21865E72">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附件四：其他管理人员和技术人员最低要求</w:t>
      </w:r>
    </w:p>
    <w:p w14:paraId="0F8F066F">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附件五：主要设备最低要求</w:t>
      </w:r>
    </w:p>
    <w:p w14:paraId="2F5A68FD">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附件六：项目经理委任书</w:t>
      </w:r>
    </w:p>
    <w:p w14:paraId="1CDD6661">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附件七：履约保证金格式</w:t>
      </w:r>
    </w:p>
    <w:p w14:paraId="0CE99BE6">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附件八：工程资金监管协议格式</w:t>
      </w:r>
    </w:p>
    <w:p w14:paraId="5AB26E36">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附件九：甲控乙购 I 类材料一览表</w:t>
      </w:r>
    </w:p>
    <w:p w14:paraId="17A3AC1C">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附件十：特殊材料设备供应一览表</w:t>
      </w:r>
    </w:p>
    <w:p w14:paraId="0A4D3835">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附件十一：统一采购供应材料一览表</w:t>
      </w:r>
    </w:p>
    <w:p w14:paraId="7275E89A">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附件十二：承包人违约金一览表</w:t>
      </w:r>
    </w:p>
    <w:p w14:paraId="2B1F9703">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附件十三：工程质量、安全及文明施工违约项目一览表</w:t>
      </w:r>
    </w:p>
    <w:p w14:paraId="68E37B3E">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附件十四：建设工程农民工工资支付保证书</w:t>
      </w:r>
    </w:p>
    <w:p w14:paraId="4D95244D">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附件十五：房屋建筑工程质量保修书（仅适用于附属区房建工程）</w:t>
      </w:r>
    </w:p>
    <w:p w14:paraId="1C5A7AE4">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附件十六：工程结算协议</w:t>
      </w:r>
    </w:p>
    <w:p w14:paraId="5B7A262A">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附件十七：分包合同（示范文本）</w:t>
      </w:r>
    </w:p>
    <w:p w14:paraId="3057550A">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附件十八：劳务合作协议（示范文本）</w:t>
      </w:r>
    </w:p>
    <w:p w14:paraId="50CB7C8C">
      <w:pPr>
        <w:spacing w:before="183" w:line="219" w:lineRule="auto"/>
        <w:ind w:left="28"/>
        <w:rPr>
          <w:rFonts w:ascii="宋体" w:hAnsi="宋体" w:eastAsia="宋体" w:cs="宋体"/>
          <w:spacing w:val="-4"/>
          <w:sz w:val="24"/>
          <w:szCs w:val="24"/>
        </w:rPr>
      </w:pPr>
      <w:r>
        <w:rPr>
          <w:rFonts w:ascii="宋体" w:hAnsi="宋体" w:eastAsia="宋体" w:cs="宋体"/>
          <w:spacing w:val="-4"/>
          <w:sz w:val="24"/>
          <w:szCs w:val="24"/>
        </w:rPr>
        <w:t>以上示范文本见厅《广东省公路工程施工分包管理实施细则》的附件。</w:t>
      </w:r>
    </w:p>
    <w:p w14:paraId="29417B6D">
      <w:pPr>
        <w:spacing w:line="219" w:lineRule="auto"/>
        <w:rPr>
          <w:rFonts w:ascii="宋体" w:hAnsi="宋体" w:eastAsia="宋体" w:cs="宋体"/>
          <w:sz w:val="24"/>
          <w:szCs w:val="24"/>
        </w:rPr>
        <w:sectPr>
          <w:footerReference r:id="rId115" w:type="default"/>
          <w:pgSz w:w="11905" w:h="16840"/>
          <w:pgMar w:top="1182" w:right="1416" w:bottom="1171" w:left="1416" w:header="849" w:footer="937" w:gutter="0"/>
          <w:pgNumType w:fmt="decimal"/>
          <w:cols w:space="720" w:num="1"/>
        </w:sectPr>
      </w:pPr>
    </w:p>
    <w:p w14:paraId="40598526">
      <w:pPr>
        <w:spacing w:before="91" w:line="219" w:lineRule="auto"/>
        <w:ind w:left="28"/>
        <w:rPr>
          <w:rFonts w:hint="default" w:ascii="宋体" w:hAnsi="宋体" w:eastAsia="宋体" w:cs="宋体"/>
          <w:sz w:val="28"/>
          <w:szCs w:val="28"/>
          <w:lang w:val="en-US" w:eastAsia="zh-CN"/>
        </w:rPr>
      </w:pPr>
      <w:r>
        <w:rPr>
          <w:rFonts w:ascii="宋体" w:hAnsi="宋体" w:eastAsia="宋体" w:cs="宋体"/>
          <w:b/>
          <w:bCs/>
          <w:spacing w:val="-6"/>
          <w:sz w:val="28"/>
          <w:szCs w:val="28"/>
        </w:rPr>
        <w:t>附件</w:t>
      </w:r>
      <w:r>
        <w:rPr>
          <w:rFonts w:hint="eastAsia" w:ascii="宋体" w:hAnsi="宋体" w:eastAsia="宋体" w:cs="宋体"/>
          <w:b/>
          <w:bCs/>
          <w:spacing w:val="-6"/>
          <w:sz w:val="28"/>
          <w:szCs w:val="28"/>
          <w:lang w:val="en-US" w:eastAsia="zh-CN"/>
        </w:rPr>
        <w:t>一</w:t>
      </w:r>
      <w:r>
        <w:rPr>
          <w:rFonts w:ascii="宋体" w:hAnsi="宋体" w:eastAsia="宋体" w:cs="宋体"/>
          <w:b/>
          <w:bCs/>
          <w:spacing w:val="-6"/>
          <w:sz w:val="28"/>
          <w:szCs w:val="28"/>
        </w:rPr>
        <w:t>：</w:t>
      </w:r>
      <w:r>
        <w:rPr>
          <w:rFonts w:hint="eastAsia" w:ascii="宋体" w:hAnsi="宋体" w:eastAsia="宋体" w:cs="宋体"/>
          <w:b/>
          <w:bCs/>
          <w:spacing w:val="-6"/>
          <w:sz w:val="28"/>
          <w:szCs w:val="28"/>
          <w:lang w:val="en-US" w:eastAsia="zh-CN"/>
        </w:rPr>
        <w:t>合同协议书</w:t>
      </w:r>
    </w:p>
    <w:p w14:paraId="78B749C6">
      <w:pPr>
        <w:spacing w:before="91" w:line="219" w:lineRule="auto"/>
        <w:ind w:left="28"/>
        <w:rPr>
          <w:rFonts w:ascii="宋体" w:hAnsi="宋体" w:eastAsia="宋体" w:cs="宋体"/>
          <w:b/>
          <w:bCs/>
          <w:spacing w:val="-6"/>
          <w:sz w:val="28"/>
          <w:szCs w:val="28"/>
        </w:rPr>
      </w:pPr>
    </w:p>
    <w:p w14:paraId="60511DBC">
      <w:pPr>
        <w:pStyle w:val="2"/>
        <w:rPr>
          <w:rFonts w:ascii="宋体" w:hAnsi="宋体" w:eastAsia="宋体" w:cs="宋体"/>
          <w:b/>
          <w:bCs/>
          <w:spacing w:val="-6"/>
          <w:sz w:val="28"/>
          <w:szCs w:val="28"/>
        </w:rPr>
      </w:pPr>
    </w:p>
    <w:p w14:paraId="27212881">
      <w:pPr>
        <w:spacing w:before="101" w:line="227" w:lineRule="auto"/>
        <w:ind w:left="4039"/>
        <w:rPr>
          <w:rFonts w:ascii="黑体" w:hAnsi="黑体" w:eastAsia="黑体" w:cs="黑体"/>
          <w:color w:val="auto"/>
          <w:sz w:val="31"/>
          <w:szCs w:val="31"/>
        </w:rPr>
      </w:pPr>
      <w:r>
        <w:rPr>
          <w:rFonts w:ascii="黑体" w:hAnsi="黑体" w:eastAsia="黑体" w:cs="黑体"/>
          <w:color w:val="auto"/>
          <w:spacing w:val="8"/>
          <w:sz w:val="31"/>
          <w:szCs w:val="31"/>
          <w14:textOutline w14:w="5793" w14:cap="sq" w14:cmpd="sng">
            <w14:solidFill>
              <w14:srgbClr w14:val="000000"/>
            </w14:solidFill>
            <w14:prstDash w14:val="solid"/>
            <w14:bevel/>
          </w14:textOutline>
        </w:rPr>
        <w:t>合同协议</w:t>
      </w:r>
      <w:r>
        <w:rPr>
          <w:rFonts w:ascii="黑体" w:hAnsi="黑体" w:eastAsia="黑体" w:cs="黑体"/>
          <w:color w:val="auto"/>
          <w:spacing w:val="7"/>
          <w:sz w:val="31"/>
          <w:szCs w:val="31"/>
          <w14:textOutline w14:w="5793" w14:cap="sq" w14:cmpd="sng">
            <w14:solidFill>
              <w14:srgbClr w14:val="000000"/>
            </w14:solidFill>
            <w14:prstDash w14:val="solid"/>
            <w14:bevel/>
          </w14:textOutline>
        </w:rPr>
        <w:t>书</w:t>
      </w:r>
    </w:p>
    <w:p w14:paraId="3444F1AB">
      <w:pPr>
        <w:spacing w:line="390" w:lineRule="auto"/>
        <w:rPr>
          <w:rFonts w:ascii="Arial"/>
          <w:color w:val="auto"/>
          <w:sz w:val="21"/>
        </w:rPr>
      </w:pPr>
    </w:p>
    <w:p w14:paraId="585F1E75">
      <w:pPr>
        <w:tabs>
          <w:tab w:val="left" w:pos="1225"/>
        </w:tabs>
        <w:spacing w:before="72" w:line="269" w:lineRule="auto"/>
        <w:ind w:left="7" w:right="103" w:firstLine="432"/>
        <w:rPr>
          <w:rFonts w:ascii="宋体" w:hAnsi="宋体" w:eastAsia="宋体" w:cs="宋体"/>
          <w:color w:val="auto"/>
          <w:sz w:val="20"/>
          <w:szCs w:val="20"/>
        </w:rPr>
      </w:pPr>
      <w:r>
        <w:rPr>
          <w:rFonts w:ascii="宋体" w:hAnsi="宋体" w:eastAsia="宋体" w:cs="宋体"/>
          <w:color w:val="auto"/>
          <w:sz w:val="20"/>
          <w:szCs w:val="20"/>
          <w:u w:val="single" w:color="auto"/>
        </w:rPr>
        <w:tab/>
      </w:r>
      <w:r>
        <w:rPr>
          <w:rFonts w:hint="eastAsia" w:ascii="宋体" w:hAnsi="宋体" w:cs="宋体"/>
          <w:color w:val="auto"/>
          <w:sz w:val="20"/>
          <w:szCs w:val="20"/>
          <w:u w:val="single" w:color="auto"/>
          <w:lang w:eastAsia="zh-CN"/>
        </w:rPr>
        <w:t>（</w:t>
      </w:r>
      <w:r>
        <w:rPr>
          <w:rFonts w:ascii="宋体" w:hAnsi="宋体" w:eastAsia="宋体" w:cs="宋体"/>
          <w:color w:val="auto"/>
          <w:spacing w:val="4"/>
          <w:sz w:val="20"/>
          <w:szCs w:val="20"/>
        </w:rPr>
        <w:t>发包人名称，以下简称“发包人”</w:t>
      </w:r>
      <w:r>
        <w:rPr>
          <w:rFonts w:hint="eastAsia" w:ascii="宋体" w:hAnsi="宋体" w:cs="宋体"/>
          <w:color w:val="auto"/>
          <w:spacing w:val="4"/>
          <w:sz w:val="20"/>
          <w:szCs w:val="20"/>
          <w:lang w:eastAsia="zh-CN"/>
        </w:rPr>
        <w:t>）</w:t>
      </w:r>
      <w:r>
        <w:rPr>
          <w:rFonts w:ascii="宋体" w:hAnsi="宋体" w:eastAsia="宋体" w:cs="宋体"/>
          <w:color w:val="auto"/>
          <w:spacing w:val="4"/>
          <w:sz w:val="20"/>
          <w:szCs w:val="20"/>
        </w:rPr>
        <w:t xml:space="preserve"> 为实施</w:t>
      </w:r>
      <w:r>
        <w:rPr>
          <w:rFonts w:ascii="宋体" w:hAnsi="宋体" w:eastAsia="宋体" w:cs="宋体"/>
          <w:color w:val="auto"/>
          <w:spacing w:val="4"/>
          <w:sz w:val="20"/>
          <w:szCs w:val="20"/>
          <w:u w:val="single" w:color="auto"/>
        </w:rPr>
        <w:t xml:space="preserve">     </w:t>
      </w:r>
      <w:r>
        <w:rPr>
          <w:rFonts w:ascii="宋体" w:hAnsi="宋体" w:eastAsia="宋体" w:cs="宋体"/>
          <w:color w:val="auto"/>
          <w:spacing w:val="4"/>
          <w:sz w:val="20"/>
          <w:szCs w:val="20"/>
        </w:rPr>
        <w:t xml:space="preserve">  </w:t>
      </w:r>
      <w:r>
        <w:rPr>
          <w:rFonts w:hint="eastAsia" w:ascii="宋体" w:hAnsi="宋体" w:cs="宋体"/>
          <w:color w:val="auto"/>
          <w:spacing w:val="4"/>
          <w:sz w:val="20"/>
          <w:szCs w:val="20"/>
          <w:lang w:eastAsia="zh-CN"/>
        </w:rPr>
        <w:t>（</w:t>
      </w:r>
      <w:r>
        <w:rPr>
          <w:rFonts w:ascii="宋体" w:hAnsi="宋体" w:eastAsia="宋体" w:cs="宋体"/>
          <w:color w:val="auto"/>
          <w:spacing w:val="4"/>
          <w:sz w:val="20"/>
          <w:szCs w:val="20"/>
        </w:rPr>
        <w:t>项目名称</w:t>
      </w:r>
      <w:r>
        <w:rPr>
          <w:rFonts w:hint="eastAsia" w:ascii="宋体" w:hAnsi="宋体" w:cs="宋体"/>
          <w:color w:val="auto"/>
          <w:spacing w:val="4"/>
          <w:sz w:val="20"/>
          <w:szCs w:val="20"/>
          <w:lang w:eastAsia="zh-CN"/>
        </w:rPr>
        <w:t>）</w:t>
      </w:r>
      <w:r>
        <w:rPr>
          <w:rFonts w:ascii="宋体" w:hAnsi="宋体" w:eastAsia="宋体" w:cs="宋体"/>
          <w:color w:val="auto"/>
          <w:spacing w:val="4"/>
          <w:sz w:val="20"/>
          <w:szCs w:val="20"/>
        </w:rPr>
        <w:t xml:space="preserve"> ，已接受</w:t>
      </w:r>
      <w:r>
        <w:rPr>
          <w:rFonts w:ascii="宋体" w:hAnsi="宋体" w:eastAsia="宋体" w:cs="宋体"/>
          <w:color w:val="auto"/>
          <w:spacing w:val="4"/>
          <w:sz w:val="20"/>
          <w:szCs w:val="20"/>
          <w:u w:val="single" w:color="auto"/>
        </w:rPr>
        <w:t xml:space="preserve">     </w:t>
      </w:r>
      <w:r>
        <w:rPr>
          <w:rFonts w:ascii="宋体" w:hAnsi="宋体" w:eastAsia="宋体" w:cs="宋体"/>
          <w:color w:val="auto"/>
          <w:spacing w:val="4"/>
          <w:sz w:val="20"/>
          <w:szCs w:val="20"/>
        </w:rPr>
        <w:t xml:space="preserve">  </w:t>
      </w:r>
      <w:r>
        <w:rPr>
          <w:rFonts w:hint="eastAsia" w:ascii="宋体" w:hAnsi="宋体" w:cs="宋体"/>
          <w:color w:val="auto"/>
          <w:spacing w:val="4"/>
          <w:sz w:val="20"/>
          <w:szCs w:val="20"/>
          <w:lang w:eastAsia="zh-CN"/>
        </w:rPr>
        <w:t>（</w:t>
      </w:r>
      <w:r>
        <w:rPr>
          <w:rFonts w:ascii="宋体" w:hAnsi="宋体" w:eastAsia="宋体" w:cs="宋体"/>
          <w:color w:val="auto"/>
          <w:sz w:val="20"/>
          <w:szCs w:val="20"/>
        </w:rPr>
        <w:t xml:space="preserve">承 </w:t>
      </w:r>
      <w:r>
        <w:rPr>
          <w:rFonts w:ascii="宋体" w:hAnsi="宋体" w:eastAsia="宋体" w:cs="宋体"/>
          <w:color w:val="auto"/>
          <w:spacing w:val="2"/>
          <w:sz w:val="20"/>
          <w:szCs w:val="20"/>
        </w:rPr>
        <w:t>包人名称，以下简称“承包人”</w:t>
      </w:r>
      <w:r>
        <w:rPr>
          <w:rFonts w:hint="eastAsia" w:ascii="宋体" w:hAnsi="宋体" w:cs="宋体"/>
          <w:color w:val="auto"/>
          <w:spacing w:val="2"/>
          <w:sz w:val="20"/>
          <w:szCs w:val="20"/>
          <w:lang w:eastAsia="zh-CN"/>
        </w:rPr>
        <w:t>）</w:t>
      </w:r>
      <w:r>
        <w:rPr>
          <w:rFonts w:ascii="宋体" w:hAnsi="宋体" w:eastAsia="宋体" w:cs="宋体"/>
          <w:color w:val="auto"/>
          <w:spacing w:val="2"/>
          <w:sz w:val="20"/>
          <w:szCs w:val="20"/>
        </w:rPr>
        <w:t xml:space="preserve"> 对该项目</w:t>
      </w:r>
      <w:r>
        <w:rPr>
          <w:rFonts w:ascii="宋体" w:hAnsi="宋体" w:eastAsia="宋体" w:cs="宋体"/>
          <w:color w:val="auto"/>
          <w:spacing w:val="2"/>
          <w:sz w:val="20"/>
          <w:szCs w:val="20"/>
          <w:u w:val="single" w:color="auto"/>
        </w:rPr>
        <w:t xml:space="preserve">       </w:t>
      </w:r>
      <w:r>
        <w:rPr>
          <w:rFonts w:ascii="宋体" w:hAnsi="宋体" w:eastAsia="宋体" w:cs="宋体"/>
          <w:color w:val="auto"/>
          <w:spacing w:val="2"/>
          <w:sz w:val="20"/>
          <w:szCs w:val="20"/>
        </w:rPr>
        <w:t>标段施工的投标。</w:t>
      </w:r>
      <w:r>
        <w:rPr>
          <w:rFonts w:ascii="宋体" w:hAnsi="宋体" w:eastAsia="宋体" w:cs="宋体"/>
          <w:color w:val="auto"/>
          <w:spacing w:val="1"/>
          <w:sz w:val="20"/>
          <w:szCs w:val="20"/>
        </w:rPr>
        <w:t>发包人和承包人共同达成如下</w:t>
      </w:r>
      <w:r>
        <w:rPr>
          <w:rFonts w:ascii="宋体" w:hAnsi="宋体" w:eastAsia="宋体" w:cs="宋体"/>
          <w:color w:val="auto"/>
          <w:sz w:val="20"/>
          <w:szCs w:val="20"/>
        </w:rPr>
        <w:t xml:space="preserve"> </w:t>
      </w:r>
      <w:r>
        <w:rPr>
          <w:rFonts w:ascii="宋体" w:hAnsi="宋体" w:eastAsia="宋体" w:cs="宋体"/>
          <w:color w:val="auto"/>
          <w:spacing w:val="-3"/>
          <w:sz w:val="20"/>
          <w:szCs w:val="20"/>
        </w:rPr>
        <w:t>协</w:t>
      </w:r>
      <w:r>
        <w:rPr>
          <w:rFonts w:ascii="宋体" w:hAnsi="宋体" w:eastAsia="宋体" w:cs="宋体"/>
          <w:color w:val="auto"/>
          <w:spacing w:val="-2"/>
          <w:sz w:val="20"/>
          <w:szCs w:val="20"/>
        </w:rPr>
        <w:t>议。</w:t>
      </w:r>
    </w:p>
    <w:p w14:paraId="1F5488A6">
      <w:pPr>
        <w:spacing w:before="1" w:line="268" w:lineRule="auto"/>
        <w:ind w:left="6" w:right="44" w:firstLine="458"/>
        <w:rPr>
          <w:rFonts w:ascii="宋体" w:hAnsi="宋体" w:eastAsia="宋体" w:cs="宋体"/>
          <w:color w:val="auto"/>
          <w:sz w:val="20"/>
          <w:szCs w:val="20"/>
        </w:rPr>
      </w:pPr>
      <w:r>
        <w:rPr>
          <w:rFonts w:ascii="宋体" w:hAnsi="宋体" w:eastAsia="宋体" w:cs="宋体"/>
          <w:color w:val="auto"/>
          <w:spacing w:val="-1"/>
          <w:sz w:val="20"/>
          <w:szCs w:val="20"/>
        </w:rPr>
        <w:t>1. 第</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标段由 </w:t>
      </w:r>
      <w:r>
        <w:rPr>
          <w:rFonts w:ascii="宋体" w:hAnsi="宋体" w:eastAsia="宋体" w:cs="宋体"/>
          <w:color w:val="auto"/>
          <w:sz w:val="20"/>
          <w:szCs w:val="20"/>
        </w:rPr>
        <w:t>K</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至 </w:t>
      </w:r>
      <w:r>
        <w:rPr>
          <w:rFonts w:ascii="宋体" w:hAnsi="宋体" w:eastAsia="宋体" w:cs="宋体"/>
          <w:color w:val="auto"/>
          <w:sz w:val="20"/>
          <w:szCs w:val="20"/>
        </w:rPr>
        <w:t>K</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，长约</w:t>
      </w:r>
      <w:r>
        <w:rPr>
          <w:rFonts w:ascii="宋体" w:hAnsi="宋体" w:eastAsia="宋体" w:cs="宋体"/>
          <w:color w:val="auto"/>
          <w:spacing w:val="-1"/>
          <w:sz w:val="20"/>
          <w:szCs w:val="20"/>
          <w:u w:val="single" w:color="auto"/>
        </w:rPr>
        <w:t xml:space="preserve">  </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km，公路等级为</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，设计 </w:t>
      </w:r>
      <w:r>
        <w:rPr>
          <w:rFonts w:ascii="宋体" w:hAnsi="宋体" w:eastAsia="宋体" w:cs="宋体"/>
          <w:color w:val="auto"/>
          <w:spacing w:val="1"/>
          <w:sz w:val="20"/>
          <w:szCs w:val="20"/>
        </w:rPr>
        <w:t>速度为</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路面，有</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立交</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处；特</w:t>
      </w:r>
      <w:r>
        <w:rPr>
          <w:rFonts w:ascii="宋体" w:hAnsi="宋体" w:eastAsia="宋体" w:cs="宋体"/>
          <w:color w:val="auto"/>
          <w:sz w:val="20"/>
          <w:szCs w:val="20"/>
        </w:rPr>
        <w:t>大桥</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座，计长</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m；大中桥 座，计长 m； </w:t>
      </w:r>
      <w:r>
        <w:rPr>
          <w:rFonts w:ascii="宋体" w:hAnsi="宋体" w:eastAsia="宋体" w:cs="宋体"/>
          <w:color w:val="auto"/>
          <w:spacing w:val="4"/>
          <w:sz w:val="20"/>
          <w:szCs w:val="20"/>
        </w:rPr>
        <w:t>隧道</w:t>
      </w:r>
      <w:r>
        <w:rPr>
          <w:rFonts w:ascii="宋体" w:hAnsi="宋体" w:eastAsia="宋体" w:cs="宋体"/>
          <w:color w:val="auto"/>
          <w:spacing w:val="4"/>
          <w:sz w:val="20"/>
          <w:szCs w:val="20"/>
          <w:u w:val="single" w:color="auto"/>
        </w:rPr>
        <w:t xml:space="preserve">     </w:t>
      </w:r>
      <w:r>
        <w:rPr>
          <w:rFonts w:ascii="宋体" w:hAnsi="宋体" w:eastAsia="宋体" w:cs="宋体"/>
          <w:color w:val="auto"/>
          <w:spacing w:val="4"/>
          <w:sz w:val="20"/>
          <w:szCs w:val="20"/>
        </w:rPr>
        <w:t>座，计长</w:t>
      </w:r>
      <w:r>
        <w:rPr>
          <w:rFonts w:ascii="宋体" w:hAnsi="宋体" w:eastAsia="宋体" w:cs="宋体"/>
          <w:color w:val="auto"/>
          <w:spacing w:val="4"/>
          <w:sz w:val="20"/>
          <w:szCs w:val="20"/>
          <w:u w:val="single" w:color="auto"/>
        </w:rPr>
        <w:t xml:space="preserve">   </w:t>
      </w:r>
      <w:r>
        <w:rPr>
          <w:rFonts w:ascii="宋体" w:hAnsi="宋体" w:eastAsia="宋体" w:cs="宋体"/>
          <w:color w:val="auto"/>
          <w:spacing w:val="4"/>
          <w:sz w:val="20"/>
          <w:szCs w:val="20"/>
        </w:rPr>
        <w:t xml:space="preserve"> </w:t>
      </w:r>
      <w:r>
        <w:rPr>
          <w:rFonts w:ascii="宋体" w:hAnsi="宋体" w:eastAsia="宋体" w:cs="宋体"/>
          <w:color w:val="auto"/>
          <w:sz w:val="20"/>
          <w:szCs w:val="20"/>
        </w:rPr>
        <w:t>m</w:t>
      </w:r>
      <w:r>
        <w:rPr>
          <w:rFonts w:ascii="宋体" w:hAnsi="宋体" w:eastAsia="宋体" w:cs="宋体"/>
          <w:color w:val="auto"/>
          <w:spacing w:val="4"/>
          <w:sz w:val="20"/>
          <w:szCs w:val="20"/>
        </w:rPr>
        <w:t xml:space="preserve"> 以及其他构造物工程</w:t>
      </w:r>
      <w:r>
        <w:rPr>
          <w:rFonts w:ascii="宋体" w:hAnsi="宋体" w:eastAsia="宋体" w:cs="宋体"/>
          <w:color w:val="auto"/>
          <w:spacing w:val="3"/>
          <w:sz w:val="20"/>
          <w:szCs w:val="20"/>
        </w:rPr>
        <w:t>等</w:t>
      </w:r>
      <w:r>
        <w:rPr>
          <w:rFonts w:ascii="宋体" w:hAnsi="宋体" w:eastAsia="宋体" w:cs="宋体"/>
          <w:color w:val="auto"/>
          <w:sz w:val="20"/>
          <w:szCs w:val="20"/>
        </w:rPr>
        <w:t>。</w:t>
      </w:r>
    </w:p>
    <w:p w14:paraId="683271D7">
      <w:pPr>
        <w:spacing w:before="1" w:line="220" w:lineRule="auto"/>
        <w:ind w:left="451"/>
        <w:rPr>
          <w:rFonts w:ascii="宋体" w:hAnsi="宋体" w:eastAsia="宋体" w:cs="宋体"/>
          <w:color w:val="auto"/>
          <w:sz w:val="20"/>
          <w:szCs w:val="20"/>
        </w:rPr>
      </w:pPr>
      <w:r>
        <w:rPr>
          <w:rFonts w:ascii="宋体" w:hAnsi="宋体" w:eastAsia="宋体" w:cs="宋体"/>
          <w:color w:val="auto"/>
          <w:spacing w:val="-1"/>
          <w:sz w:val="20"/>
          <w:szCs w:val="20"/>
        </w:rPr>
        <w:t>2. 下列文件应视为构成合</w:t>
      </w:r>
      <w:r>
        <w:rPr>
          <w:rFonts w:ascii="宋体" w:hAnsi="宋体" w:eastAsia="宋体" w:cs="宋体"/>
          <w:color w:val="auto"/>
          <w:sz w:val="20"/>
          <w:szCs w:val="20"/>
        </w:rPr>
        <w:t>同文件的组成部分：</w:t>
      </w:r>
    </w:p>
    <w:p w14:paraId="1C0870F9">
      <w:pPr>
        <w:spacing w:before="58" w:line="220" w:lineRule="auto"/>
        <w:ind w:left="455"/>
        <w:rPr>
          <w:rFonts w:ascii="宋体" w:hAnsi="宋体" w:eastAsia="宋体" w:cs="宋体"/>
          <w:color w:val="auto"/>
          <w:sz w:val="20"/>
          <w:szCs w:val="20"/>
        </w:rPr>
      </w:pPr>
      <w:r>
        <w:rPr>
          <w:rFonts w:ascii="宋体" w:hAnsi="宋体" w:eastAsia="宋体" w:cs="宋体"/>
          <w:color w:val="auto"/>
          <w:spacing w:val="4"/>
          <w:sz w:val="20"/>
          <w:szCs w:val="20"/>
        </w:rPr>
        <w:t xml:space="preserve">(1) </w:t>
      </w:r>
      <w:r>
        <w:rPr>
          <w:rFonts w:ascii="宋体" w:hAnsi="宋体" w:eastAsia="宋体" w:cs="宋体"/>
          <w:color w:val="auto"/>
          <w:spacing w:val="2"/>
          <w:sz w:val="20"/>
          <w:szCs w:val="20"/>
        </w:rPr>
        <w:t xml:space="preserve">本协议书及各种合同附件 </w:t>
      </w:r>
      <w:r>
        <w:rPr>
          <w:rFonts w:hint="eastAsia" w:ascii="宋体" w:hAnsi="宋体" w:cs="宋体"/>
          <w:color w:val="auto"/>
          <w:spacing w:val="2"/>
          <w:sz w:val="20"/>
          <w:szCs w:val="20"/>
          <w:lang w:eastAsia="zh-CN"/>
        </w:rPr>
        <w:t>（</w:t>
      </w:r>
      <w:r>
        <w:rPr>
          <w:rFonts w:ascii="宋体" w:hAnsi="宋体" w:eastAsia="宋体" w:cs="宋体"/>
          <w:color w:val="auto"/>
          <w:spacing w:val="2"/>
          <w:sz w:val="20"/>
          <w:szCs w:val="20"/>
        </w:rPr>
        <w:t>含评标期间和合同谈判过程中的澄清文件和补充资料</w:t>
      </w:r>
      <w:r>
        <w:rPr>
          <w:rFonts w:hint="eastAsia" w:ascii="宋体" w:hAnsi="宋体" w:cs="宋体"/>
          <w:color w:val="auto"/>
          <w:spacing w:val="2"/>
          <w:sz w:val="20"/>
          <w:szCs w:val="20"/>
          <w:lang w:eastAsia="zh-CN"/>
        </w:rPr>
        <w:t>）</w:t>
      </w:r>
      <w:r>
        <w:rPr>
          <w:rFonts w:ascii="宋体" w:hAnsi="宋体" w:eastAsia="宋体" w:cs="宋体"/>
          <w:color w:val="auto"/>
          <w:spacing w:val="2"/>
          <w:sz w:val="20"/>
          <w:szCs w:val="20"/>
        </w:rPr>
        <w:t xml:space="preserve"> ；</w:t>
      </w:r>
    </w:p>
    <w:p w14:paraId="7069FF3B">
      <w:pPr>
        <w:spacing w:before="57" w:line="220" w:lineRule="auto"/>
        <w:ind w:left="455"/>
        <w:rPr>
          <w:rFonts w:ascii="宋体" w:hAnsi="宋体" w:eastAsia="宋体" w:cs="宋体"/>
          <w:color w:val="auto"/>
          <w:sz w:val="20"/>
          <w:szCs w:val="20"/>
        </w:rPr>
      </w:pPr>
      <w:r>
        <w:rPr>
          <w:rFonts w:ascii="宋体" w:hAnsi="宋体" w:eastAsia="宋体" w:cs="宋体"/>
          <w:color w:val="auto"/>
          <w:spacing w:val="12"/>
          <w:sz w:val="20"/>
          <w:szCs w:val="20"/>
        </w:rPr>
        <w:t>(</w:t>
      </w:r>
      <w:r>
        <w:rPr>
          <w:rFonts w:ascii="宋体" w:hAnsi="宋体" w:eastAsia="宋体" w:cs="宋体"/>
          <w:color w:val="auto"/>
          <w:spacing w:val="9"/>
          <w:sz w:val="20"/>
          <w:szCs w:val="20"/>
        </w:rPr>
        <w:t>2) 中标通知书；</w:t>
      </w:r>
    </w:p>
    <w:p w14:paraId="275431C2">
      <w:pPr>
        <w:spacing w:before="57" w:line="220" w:lineRule="auto"/>
        <w:ind w:left="455"/>
        <w:rPr>
          <w:rFonts w:ascii="宋体" w:hAnsi="宋体" w:eastAsia="宋体" w:cs="宋体"/>
          <w:color w:val="auto"/>
          <w:sz w:val="20"/>
          <w:szCs w:val="20"/>
        </w:rPr>
      </w:pPr>
      <w:r>
        <w:rPr>
          <w:rFonts w:ascii="宋体" w:hAnsi="宋体" w:eastAsia="宋体" w:cs="宋体"/>
          <w:color w:val="auto"/>
          <w:spacing w:val="12"/>
          <w:sz w:val="20"/>
          <w:szCs w:val="20"/>
        </w:rPr>
        <w:t>(</w:t>
      </w:r>
      <w:r>
        <w:rPr>
          <w:rFonts w:ascii="宋体" w:hAnsi="宋体" w:eastAsia="宋体" w:cs="宋体"/>
          <w:color w:val="auto"/>
          <w:spacing w:val="10"/>
          <w:sz w:val="20"/>
          <w:szCs w:val="20"/>
        </w:rPr>
        <w:t>3</w:t>
      </w:r>
      <w:r>
        <w:rPr>
          <w:rFonts w:ascii="宋体" w:hAnsi="宋体" w:eastAsia="宋体" w:cs="宋体"/>
          <w:color w:val="auto"/>
          <w:spacing w:val="6"/>
          <w:sz w:val="20"/>
          <w:szCs w:val="20"/>
        </w:rPr>
        <w:t>) 投标函及投标函附录；</w:t>
      </w:r>
    </w:p>
    <w:p w14:paraId="334275E8">
      <w:pPr>
        <w:spacing w:before="59" w:line="221" w:lineRule="auto"/>
        <w:ind w:left="455"/>
        <w:rPr>
          <w:rFonts w:ascii="宋体" w:hAnsi="宋体" w:eastAsia="宋体" w:cs="宋体"/>
          <w:color w:val="auto"/>
          <w:sz w:val="20"/>
          <w:szCs w:val="20"/>
        </w:rPr>
      </w:pPr>
      <w:r>
        <w:rPr>
          <w:rFonts w:ascii="宋体" w:hAnsi="宋体" w:eastAsia="宋体" w:cs="宋体"/>
          <w:color w:val="auto"/>
          <w:spacing w:val="9"/>
          <w:sz w:val="20"/>
          <w:szCs w:val="20"/>
        </w:rPr>
        <w:t>(</w:t>
      </w:r>
      <w:r>
        <w:rPr>
          <w:rFonts w:ascii="宋体" w:hAnsi="宋体" w:eastAsia="宋体" w:cs="宋体"/>
          <w:color w:val="auto"/>
          <w:spacing w:val="7"/>
          <w:sz w:val="20"/>
          <w:szCs w:val="20"/>
        </w:rPr>
        <w:t>4) 项目专用合同条款；</w:t>
      </w:r>
    </w:p>
    <w:p w14:paraId="5FB3DA14">
      <w:pPr>
        <w:spacing w:before="56" w:line="221" w:lineRule="auto"/>
        <w:ind w:left="455"/>
        <w:rPr>
          <w:rFonts w:ascii="宋体" w:hAnsi="宋体" w:eastAsia="宋体" w:cs="宋体"/>
          <w:color w:val="auto"/>
          <w:sz w:val="20"/>
          <w:szCs w:val="20"/>
        </w:rPr>
      </w:pPr>
      <w:r>
        <w:rPr>
          <w:rFonts w:ascii="宋体" w:hAnsi="宋体" w:eastAsia="宋体" w:cs="宋体"/>
          <w:color w:val="auto"/>
          <w:spacing w:val="11"/>
          <w:sz w:val="20"/>
          <w:szCs w:val="20"/>
        </w:rPr>
        <w:t>(</w:t>
      </w:r>
      <w:r>
        <w:rPr>
          <w:rFonts w:ascii="宋体" w:hAnsi="宋体" w:eastAsia="宋体" w:cs="宋体"/>
          <w:color w:val="auto"/>
          <w:spacing w:val="6"/>
          <w:sz w:val="20"/>
          <w:szCs w:val="20"/>
        </w:rPr>
        <w:t>5) 公路工程专用合同条款；</w:t>
      </w:r>
    </w:p>
    <w:p w14:paraId="68EEF25A">
      <w:pPr>
        <w:spacing w:before="56" w:line="221" w:lineRule="auto"/>
        <w:ind w:left="455"/>
        <w:rPr>
          <w:rFonts w:ascii="宋体" w:hAnsi="宋体" w:eastAsia="宋体" w:cs="宋体"/>
          <w:color w:val="auto"/>
          <w:sz w:val="20"/>
          <w:szCs w:val="20"/>
        </w:rPr>
      </w:pPr>
      <w:r>
        <w:rPr>
          <w:rFonts w:ascii="宋体" w:hAnsi="宋体" w:eastAsia="宋体" w:cs="宋体"/>
          <w:color w:val="auto"/>
          <w:spacing w:val="14"/>
          <w:sz w:val="20"/>
          <w:szCs w:val="20"/>
        </w:rPr>
        <w:t>(</w:t>
      </w:r>
      <w:r>
        <w:rPr>
          <w:rFonts w:ascii="宋体" w:hAnsi="宋体" w:eastAsia="宋体" w:cs="宋体"/>
          <w:color w:val="auto"/>
          <w:spacing w:val="8"/>
          <w:sz w:val="20"/>
          <w:szCs w:val="20"/>
        </w:rPr>
        <w:t>6) 通用合同条款；</w:t>
      </w:r>
    </w:p>
    <w:p w14:paraId="450879F4">
      <w:pPr>
        <w:spacing w:before="58" w:line="222" w:lineRule="auto"/>
        <w:ind w:left="455"/>
        <w:rPr>
          <w:rFonts w:ascii="宋体" w:hAnsi="宋体" w:eastAsia="宋体" w:cs="宋体"/>
          <w:color w:val="auto"/>
          <w:sz w:val="20"/>
          <w:szCs w:val="20"/>
        </w:rPr>
      </w:pPr>
      <w:r>
        <w:rPr>
          <w:rFonts w:ascii="宋体" w:hAnsi="宋体" w:eastAsia="宋体" w:cs="宋体"/>
          <w:color w:val="auto"/>
          <w:spacing w:val="12"/>
          <w:sz w:val="20"/>
          <w:szCs w:val="20"/>
        </w:rPr>
        <w:t>(</w:t>
      </w:r>
      <w:r>
        <w:rPr>
          <w:rFonts w:ascii="宋体" w:hAnsi="宋体" w:eastAsia="宋体" w:cs="宋体"/>
          <w:color w:val="auto"/>
          <w:spacing w:val="10"/>
          <w:sz w:val="20"/>
          <w:szCs w:val="20"/>
        </w:rPr>
        <w:t>7</w:t>
      </w:r>
      <w:r>
        <w:rPr>
          <w:rFonts w:ascii="宋体" w:hAnsi="宋体" w:eastAsia="宋体" w:cs="宋体"/>
          <w:color w:val="auto"/>
          <w:spacing w:val="6"/>
          <w:sz w:val="20"/>
          <w:szCs w:val="20"/>
        </w:rPr>
        <w:t>) 工程量清单计量规则；</w:t>
      </w:r>
    </w:p>
    <w:p w14:paraId="6FE966F5">
      <w:pPr>
        <w:spacing w:before="55" w:line="221" w:lineRule="auto"/>
        <w:ind w:left="455"/>
        <w:rPr>
          <w:rFonts w:ascii="宋体" w:hAnsi="宋体" w:eastAsia="宋体" w:cs="宋体"/>
          <w:color w:val="auto"/>
          <w:sz w:val="20"/>
          <w:szCs w:val="20"/>
        </w:rPr>
      </w:pPr>
      <w:r>
        <w:rPr>
          <w:rFonts w:ascii="宋体" w:hAnsi="宋体" w:eastAsia="宋体" w:cs="宋体"/>
          <w:color w:val="auto"/>
          <w:spacing w:val="15"/>
          <w:sz w:val="20"/>
          <w:szCs w:val="20"/>
        </w:rPr>
        <w:t>(</w:t>
      </w:r>
      <w:r>
        <w:rPr>
          <w:rFonts w:ascii="宋体" w:hAnsi="宋体" w:eastAsia="宋体" w:cs="宋体"/>
          <w:color w:val="auto"/>
          <w:spacing w:val="10"/>
          <w:sz w:val="20"/>
          <w:szCs w:val="20"/>
        </w:rPr>
        <w:t>8) 技术规范；</w:t>
      </w:r>
    </w:p>
    <w:p w14:paraId="791AA964">
      <w:pPr>
        <w:spacing w:before="56" w:line="222" w:lineRule="auto"/>
        <w:ind w:left="455"/>
        <w:rPr>
          <w:rFonts w:ascii="宋体" w:hAnsi="宋体" w:eastAsia="宋体" w:cs="宋体"/>
          <w:color w:val="auto"/>
          <w:sz w:val="20"/>
          <w:szCs w:val="20"/>
        </w:rPr>
      </w:pPr>
      <w:r>
        <w:rPr>
          <w:rFonts w:ascii="宋体" w:hAnsi="宋体" w:eastAsia="宋体" w:cs="宋体"/>
          <w:color w:val="auto"/>
          <w:spacing w:val="15"/>
          <w:sz w:val="20"/>
          <w:szCs w:val="20"/>
        </w:rPr>
        <w:t>(</w:t>
      </w:r>
      <w:r>
        <w:rPr>
          <w:rFonts w:ascii="宋体" w:hAnsi="宋体" w:eastAsia="宋体" w:cs="宋体"/>
          <w:color w:val="auto"/>
          <w:spacing w:val="13"/>
          <w:sz w:val="20"/>
          <w:szCs w:val="20"/>
        </w:rPr>
        <w:t>9) 图纸；</w:t>
      </w:r>
    </w:p>
    <w:p w14:paraId="7BFF0D03">
      <w:pPr>
        <w:spacing w:before="57" w:line="219" w:lineRule="auto"/>
        <w:ind w:left="455"/>
        <w:rPr>
          <w:rFonts w:ascii="宋体" w:hAnsi="宋体" w:eastAsia="宋体" w:cs="宋体"/>
          <w:color w:val="auto"/>
          <w:sz w:val="20"/>
          <w:szCs w:val="20"/>
        </w:rPr>
      </w:pPr>
      <w:r>
        <w:rPr>
          <w:rFonts w:ascii="宋体" w:hAnsi="宋体" w:eastAsia="宋体" w:cs="宋体"/>
          <w:color w:val="auto"/>
          <w:spacing w:val="12"/>
          <w:sz w:val="20"/>
          <w:szCs w:val="20"/>
        </w:rPr>
        <w:t>(</w:t>
      </w:r>
      <w:r>
        <w:rPr>
          <w:rFonts w:ascii="宋体" w:hAnsi="宋体" w:eastAsia="宋体" w:cs="宋体"/>
          <w:color w:val="auto"/>
          <w:spacing w:val="10"/>
          <w:sz w:val="20"/>
          <w:szCs w:val="20"/>
        </w:rPr>
        <w:t>1</w:t>
      </w:r>
      <w:r>
        <w:rPr>
          <w:rFonts w:ascii="宋体" w:hAnsi="宋体" w:eastAsia="宋体" w:cs="宋体"/>
          <w:color w:val="auto"/>
          <w:spacing w:val="6"/>
          <w:sz w:val="20"/>
          <w:szCs w:val="20"/>
        </w:rPr>
        <w:t>0) 已标价工程量清单；</w:t>
      </w:r>
    </w:p>
    <w:p w14:paraId="32A06DA5">
      <w:pPr>
        <w:spacing w:before="58" w:line="221" w:lineRule="auto"/>
        <w:ind w:left="455"/>
        <w:rPr>
          <w:rFonts w:ascii="宋体" w:hAnsi="宋体" w:eastAsia="宋体" w:cs="宋体"/>
          <w:color w:val="auto"/>
          <w:sz w:val="20"/>
          <w:szCs w:val="20"/>
        </w:rPr>
      </w:pPr>
      <w:r>
        <w:rPr>
          <w:rFonts w:ascii="宋体" w:hAnsi="宋体" w:eastAsia="宋体" w:cs="宋体"/>
          <w:color w:val="auto"/>
          <w:spacing w:val="3"/>
          <w:sz w:val="20"/>
          <w:szCs w:val="20"/>
        </w:rPr>
        <w:t>(11) 承包人有关人员、设备投入的承诺及投标文件中的施工组织</w:t>
      </w:r>
      <w:r>
        <w:rPr>
          <w:rFonts w:ascii="宋体" w:hAnsi="宋体" w:eastAsia="宋体" w:cs="宋体"/>
          <w:color w:val="auto"/>
          <w:spacing w:val="2"/>
          <w:sz w:val="20"/>
          <w:szCs w:val="20"/>
        </w:rPr>
        <w:t>设</w:t>
      </w:r>
      <w:r>
        <w:rPr>
          <w:rFonts w:ascii="宋体" w:hAnsi="宋体" w:eastAsia="宋体" w:cs="宋体"/>
          <w:color w:val="auto"/>
          <w:sz w:val="20"/>
          <w:szCs w:val="20"/>
        </w:rPr>
        <w:t>计；</w:t>
      </w:r>
    </w:p>
    <w:p w14:paraId="470C2A51">
      <w:pPr>
        <w:spacing w:before="56" w:line="221" w:lineRule="auto"/>
        <w:ind w:left="455"/>
        <w:rPr>
          <w:rFonts w:ascii="宋体" w:hAnsi="宋体" w:eastAsia="宋体" w:cs="宋体"/>
          <w:color w:val="auto"/>
          <w:sz w:val="20"/>
          <w:szCs w:val="20"/>
        </w:rPr>
      </w:pPr>
      <w:r>
        <w:rPr>
          <w:rFonts w:ascii="宋体" w:hAnsi="宋体" w:eastAsia="宋体" w:cs="宋体"/>
          <w:color w:val="auto"/>
          <w:spacing w:val="8"/>
          <w:sz w:val="20"/>
          <w:szCs w:val="20"/>
        </w:rPr>
        <w:t>(12) 其他合同文件</w:t>
      </w:r>
      <w:r>
        <w:rPr>
          <w:rFonts w:ascii="宋体" w:hAnsi="宋体" w:eastAsia="宋体" w:cs="宋体"/>
          <w:color w:val="auto"/>
          <w:spacing w:val="7"/>
          <w:sz w:val="20"/>
          <w:szCs w:val="20"/>
        </w:rPr>
        <w:t>。</w:t>
      </w:r>
    </w:p>
    <w:p w14:paraId="66570E71">
      <w:pPr>
        <w:spacing w:before="58" w:line="268" w:lineRule="auto"/>
        <w:ind w:left="6" w:right="103" w:firstLine="444"/>
        <w:rPr>
          <w:rFonts w:ascii="宋体" w:hAnsi="宋体" w:eastAsia="宋体" w:cs="宋体"/>
          <w:color w:val="auto"/>
          <w:sz w:val="20"/>
          <w:szCs w:val="20"/>
        </w:rPr>
      </w:pPr>
      <w:r>
        <w:rPr>
          <w:rFonts w:ascii="宋体" w:hAnsi="宋体" w:eastAsia="宋体" w:cs="宋体"/>
          <w:color w:val="auto"/>
          <w:spacing w:val="-1"/>
          <w:sz w:val="20"/>
          <w:szCs w:val="20"/>
        </w:rPr>
        <w:t>上述合同文件互相补充和解释。如果合同文件之间存在矛盾或不一致</w:t>
      </w:r>
      <w:r>
        <w:rPr>
          <w:rFonts w:ascii="宋体" w:hAnsi="宋体" w:eastAsia="宋体" w:cs="宋体"/>
          <w:color w:val="auto"/>
          <w:sz w:val="20"/>
          <w:szCs w:val="20"/>
        </w:rPr>
        <w:t xml:space="preserve">之处，以上述文件的排列顺 </w:t>
      </w:r>
      <w:r>
        <w:rPr>
          <w:rFonts w:ascii="宋体" w:hAnsi="宋体" w:eastAsia="宋体" w:cs="宋体"/>
          <w:color w:val="auto"/>
          <w:spacing w:val="-2"/>
          <w:sz w:val="20"/>
          <w:szCs w:val="20"/>
        </w:rPr>
        <w:t>序</w:t>
      </w:r>
      <w:r>
        <w:rPr>
          <w:rFonts w:ascii="宋体" w:hAnsi="宋体" w:eastAsia="宋体" w:cs="宋体"/>
          <w:color w:val="auto"/>
          <w:spacing w:val="-1"/>
          <w:sz w:val="20"/>
          <w:szCs w:val="20"/>
        </w:rPr>
        <w:t>在先者为准。</w:t>
      </w:r>
    </w:p>
    <w:p w14:paraId="6A7C276C">
      <w:pPr>
        <w:spacing w:before="2" w:line="268" w:lineRule="auto"/>
        <w:ind w:left="9" w:right="103" w:firstLine="444"/>
        <w:rPr>
          <w:rFonts w:ascii="宋体" w:hAnsi="宋体" w:eastAsia="宋体" w:cs="宋体"/>
          <w:color w:val="auto"/>
          <w:sz w:val="20"/>
          <w:szCs w:val="20"/>
        </w:rPr>
      </w:pPr>
      <w:r>
        <w:rPr>
          <w:rFonts w:ascii="宋体" w:hAnsi="宋体" w:eastAsia="宋体" w:cs="宋体"/>
          <w:color w:val="auto"/>
          <w:spacing w:val="-3"/>
          <w:sz w:val="20"/>
          <w:szCs w:val="20"/>
        </w:rPr>
        <w:t xml:space="preserve">3. 根据工程量清单所列的预计数量和单价或总额价计算的签约合同价：人民币 </w:t>
      </w:r>
      <w:r>
        <w:rPr>
          <w:rFonts w:hint="eastAsia" w:ascii="宋体" w:hAnsi="宋体" w:cs="宋体"/>
          <w:color w:val="auto"/>
          <w:spacing w:val="-3"/>
          <w:sz w:val="20"/>
          <w:szCs w:val="20"/>
          <w:lang w:eastAsia="zh-CN"/>
        </w:rPr>
        <w:t>（</w:t>
      </w:r>
      <w:r>
        <w:rPr>
          <w:rFonts w:ascii="宋体" w:hAnsi="宋体" w:eastAsia="宋体" w:cs="宋体"/>
          <w:color w:val="auto"/>
          <w:spacing w:val="-3"/>
          <w:sz w:val="20"/>
          <w:szCs w:val="20"/>
        </w:rPr>
        <w:t>大写</w:t>
      </w:r>
      <w:r>
        <w:rPr>
          <w:rFonts w:hint="eastAsia" w:ascii="宋体" w:hAnsi="宋体" w:cs="宋体"/>
          <w:color w:val="auto"/>
          <w:spacing w:val="-3"/>
          <w:sz w:val="20"/>
          <w:szCs w:val="20"/>
          <w:lang w:eastAsia="zh-CN"/>
        </w:rPr>
        <w:t>）</w:t>
      </w:r>
      <w:r>
        <w:rPr>
          <w:rFonts w:ascii="宋体" w:hAnsi="宋体" w:eastAsia="宋体" w:cs="宋体"/>
          <w:color w:val="auto"/>
          <w:spacing w:val="-3"/>
          <w:sz w:val="20"/>
          <w:szCs w:val="20"/>
        </w:rPr>
        <w:t xml:space="preserve"> _____</w:t>
      </w:r>
      <w:r>
        <w:rPr>
          <w:rFonts w:ascii="宋体" w:hAnsi="宋体" w:eastAsia="宋体" w:cs="宋体"/>
          <w:color w:val="auto"/>
          <w:spacing w:val="-2"/>
          <w:sz w:val="20"/>
          <w:szCs w:val="20"/>
        </w:rPr>
        <w:t>_</w:t>
      </w:r>
      <w:r>
        <w:rPr>
          <w:rFonts w:ascii="宋体" w:hAnsi="宋体" w:eastAsia="宋体" w:cs="宋体"/>
          <w:color w:val="auto"/>
          <w:sz w:val="20"/>
          <w:szCs w:val="20"/>
        </w:rPr>
        <w:t xml:space="preserve">__ </w:t>
      </w:r>
      <w:r>
        <w:rPr>
          <w:rFonts w:ascii="宋体" w:hAnsi="宋体" w:eastAsia="宋体" w:cs="宋体"/>
          <w:color w:val="auto"/>
          <w:spacing w:val="-1"/>
          <w:sz w:val="20"/>
          <w:szCs w:val="20"/>
        </w:rPr>
        <w:t>元 (¥______</w:t>
      </w:r>
      <w:r>
        <w:rPr>
          <w:rFonts w:ascii="宋体" w:hAnsi="宋体" w:eastAsia="宋体" w:cs="宋体"/>
          <w:color w:val="auto"/>
          <w:sz w:val="20"/>
          <w:szCs w:val="20"/>
        </w:rPr>
        <w:t>__) 。</w:t>
      </w:r>
    </w:p>
    <w:p w14:paraId="55CD5F4D">
      <w:pPr>
        <w:spacing w:before="1" w:line="220" w:lineRule="auto"/>
        <w:ind w:left="448"/>
        <w:rPr>
          <w:rFonts w:ascii="宋体" w:hAnsi="宋体" w:eastAsia="宋体" w:cs="宋体"/>
          <w:color w:val="auto"/>
          <w:sz w:val="20"/>
          <w:szCs w:val="20"/>
        </w:rPr>
      </w:pPr>
      <w:r>
        <w:rPr>
          <w:rFonts w:ascii="宋体" w:hAnsi="宋体" w:eastAsia="宋体" w:cs="宋体"/>
          <w:color w:val="auto"/>
          <w:spacing w:val="-7"/>
          <w:sz w:val="20"/>
          <w:szCs w:val="20"/>
        </w:rPr>
        <w:t>4. 承包人项目经理：</w:t>
      </w:r>
      <w:r>
        <w:rPr>
          <w:rFonts w:ascii="宋体" w:hAnsi="宋体" w:eastAsia="宋体" w:cs="宋体"/>
          <w:color w:val="auto"/>
          <w:spacing w:val="-7"/>
          <w:sz w:val="20"/>
          <w:szCs w:val="20"/>
          <w:u w:val="single" w:color="auto"/>
        </w:rPr>
        <w:t xml:space="preserve">      </w:t>
      </w:r>
      <w:r>
        <w:rPr>
          <w:rFonts w:ascii="宋体" w:hAnsi="宋体" w:eastAsia="宋体" w:cs="宋体"/>
          <w:color w:val="auto"/>
          <w:spacing w:val="-7"/>
          <w:sz w:val="20"/>
          <w:szCs w:val="20"/>
        </w:rPr>
        <w:t xml:space="preserve">。承包人项目总工：      </w:t>
      </w:r>
      <w:r>
        <w:rPr>
          <w:rFonts w:ascii="宋体" w:hAnsi="宋体" w:eastAsia="宋体" w:cs="宋体"/>
          <w:color w:val="auto"/>
          <w:spacing w:val="-4"/>
          <w:sz w:val="20"/>
          <w:szCs w:val="20"/>
        </w:rPr>
        <w:t>。</w:t>
      </w:r>
    </w:p>
    <w:p w14:paraId="1A43C2D5">
      <w:pPr>
        <w:spacing w:before="56" w:line="221" w:lineRule="auto"/>
        <w:ind w:left="453"/>
        <w:rPr>
          <w:rFonts w:ascii="宋体" w:hAnsi="宋体" w:eastAsia="宋体" w:cs="宋体"/>
          <w:color w:val="auto"/>
          <w:sz w:val="20"/>
          <w:szCs w:val="20"/>
        </w:rPr>
      </w:pPr>
      <w:r>
        <w:rPr>
          <w:rFonts w:ascii="宋体" w:hAnsi="宋体" w:eastAsia="宋体" w:cs="宋体"/>
          <w:color w:val="auto"/>
          <w:spacing w:val="-5"/>
          <w:sz w:val="20"/>
          <w:szCs w:val="20"/>
        </w:rPr>
        <w:t>5</w:t>
      </w:r>
      <w:r>
        <w:rPr>
          <w:rFonts w:ascii="宋体" w:hAnsi="宋体" w:eastAsia="宋体" w:cs="宋体"/>
          <w:color w:val="auto"/>
          <w:spacing w:val="-4"/>
          <w:sz w:val="20"/>
          <w:szCs w:val="20"/>
        </w:rPr>
        <w:t>. 工程质量符合</w:t>
      </w:r>
      <w:r>
        <w:rPr>
          <w:rFonts w:ascii="宋体" w:hAnsi="宋体" w:eastAsia="宋体" w:cs="宋体"/>
          <w:color w:val="auto"/>
          <w:spacing w:val="-4"/>
          <w:sz w:val="20"/>
          <w:szCs w:val="20"/>
          <w:u w:val="single" w:color="auto"/>
        </w:rPr>
        <w:t xml:space="preserve">    </w:t>
      </w:r>
      <w:r>
        <w:rPr>
          <w:rFonts w:ascii="宋体" w:hAnsi="宋体" w:eastAsia="宋体" w:cs="宋体"/>
          <w:color w:val="auto"/>
          <w:spacing w:val="-4"/>
          <w:sz w:val="20"/>
          <w:szCs w:val="20"/>
        </w:rPr>
        <w:t xml:space="preserve"> 标准。工程安全目标：</w:t>
      </w:r>
      <w:r>
        <w:rPr>
          <w:rFonts w:ascii="宋体" w:hAnsi="宋体" w:eastAsia="宋体" w:cs="宋体"/>
          <w:color w:val="auto"/>
          <w:spacing w:val="-4"/>
          <w:sz w:val="20"/>
          <w:szCs w:val="20"/>
          <w:u w:val="single" w:color="auto"/>
        </w:rPr>
        <w:t xml:space="preserve">      </w:t>
      </w:r>
      <w:r>
        <w:rPr>
          <w:rFonts w:ascii="宋体" w:hAnsi="宋体" w:eastAsia="宋体" w:cs="宋体"/>
          <w:color w:val="auto"/>
          <w:spacing w:val="-4"/>
          <w:sz w:val="20"/>
          <w:szCs w:val="20"/>
        </w:rPr>
        <w:t>。</w:t>
      </w:r>
    </w:p>
    <w:p w14:paraId="577E100E">
      <w:pPr>
        <w:spacing w:before="58" w:line="221" w:lineRule="auto"/>
        <w:ind w:left="450"/>
        <w:rPr>
          <w:rFonts w:ascii="宋体" w:hAnsi="宋体" w:eastAsia="宋体" w:cs="宋体"/>
          <w:color w:val="auto"/>
          <w:sz w:val="20"/>
          <w:szCs w:val="20"/>
        </w:rPr>
      </w:pPr>
      <w:r>
        <w:rPr>
          <w:rFonts w:ascii="宋体" w:hAnsi="宋体" w:eastAsia="宋体" w:cs="宋体"/>
          <w:color w:val="auto"/>
          <w:spacing w:val="-1"/>
          <w:sz w:val="20"/>
          <w:szCs w:val="20"/>
        </w:rPr>
        <w:t>6. 承包人承诺按合同</w:t>
      </w:r>
      <w:r>
        <w:rPr>
          <w:rFonts w:ascii="宋体" w:hAnsi="宋体" w:eastAsia="宋体" w:cs="宋体"/>
          <w:color w:val="auto"/>
          <w:sz w:val="20"/>
          <w:szCs w:val="20"/>
        </w:rPr>
        <w:t>约定承担工程的实施、完成及缺陷修复。</w:t>
      </w:r>
    </w:p>
    <w:p w14:paraId="0B879EEB">
      <w:pPr>
        <w:spacing w:before="56" w:line="221" w:lineRule="auto"/>
        <w:ind w:left="454"/>
        <w:rPr>
          <w:rFonts w:ascii="宋体" w:hAnsi="宋体" w:eastAsia="宋体" w:cs="宋体"/>
          <w:color w:val="auto"/>
          <w:sz w:val="20"/>
          <w:szCs w:val="20"/>
        </w:rPr>
      </w:pPr>
      <w:r>
        <w:rPr>
          <w:rFonts w:ascii="宋体" w:hAnsi="宋体" w:eastAsia="宋体" w:cs="宋体"/>
          <w:color w:val="auto"/>
          <w:spacing w:val="-1"/>
          <w:sz w:val="20"/>
          <w:szCs w:val="20"/>
        </w:rPr>
        <w:t>7. 发包人承诺按合同约定的</w:t>
      </w:r>
      <w:r>
        <w:rPr>
          <w:rFonts w:ascii="宋体" w:hAnsi="宋体" w:eastAsia="宋体" w:cs="宋体"/>
          <w:color w:val="auto"/>
          <w:sz w:val="20"/>
          <w:szCs w:val="20"/>
        </w:rPr>
        <w:t>条件、时间和方式向承包人支付合同价款。</w:t>
      </w:r>
    </w:p>
    <w:p w14:paraId="231E09C6">
      <w:pPr>
        <w:spacing w:before="56" w:line="221" w:lineRule="auto"/>
        <w:ind w:left="449"/>
        <w:rPr>
          <w:rFonts w:ascii="宋体" w:hAnsi="宋体" w:eastAsia="宋体" w:cs="宋体"/>
          <w:color w:val="auto"/>
          <w:sz w:val="20"/>
          <w:szCs w:val="20"/>
        </w:rPr>
      </w:pPr>
      <w:r>
        <w:rPr>
          <w:rFonts w:ascii="宋体" w:hAnsi="宋体" w:eastAsia="宋体" w:cs="宋体"/>
          <w:color w:val="auto"/>
          <w:spacing w:val="-1"/>
          <w:sz w:val="20"/>
          <w:szCs w:val="20"/>
        </w:rPr>
        <w:t>8. 承包人应按照监</w:t>
      </w:r>
      <w:r>
        <w:rPr>
          <w:rFonts w:ascii="宋体" w:hAnsi="宋体" w:eastAsia="宋体" w:cs="宋体"/>
          <w:color w:val="auto"/>
          <w:sz w:val="20"/>
          <w:szCs w:val="20"/>
        </w:rPr>
        <w:t>理人指示开工，工期为</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日历天。</w:t>
      </w:r>
    </w:p>
    <w:p w14:paraId="6EF4FFE2">
      <w:pPr>
        <w:spacing w:before="58" w:line="268" w:lineRule="auto"/>
        <w:ind w:left="9" w:right="103" w:firstLine="440"/>
        <w:rPr>
          <w:rFonts w:ascii="宋体" w:hAnsi="宋体" w:eastAsia="宋体" w:cs="宋体"/>
          <w:color w:val="auto"/>
          <w:sz w:val="20"/>
          <w:szCs w:val="20"/>
        </w:rPr>
      </w:pPr>
      <w:r>
        <w:rPr>
          <w:rFonts w:ascii="宋体" w:hAnsi="宋体" w:eastAsia="宋体" w:cs="宋体"/>
          <w:color w:val="auto"/>
          <w:spacing w:val="2"/>
          <w:sz w:val="20"/>
          <w:szCs w:val="20"/>
        </w:rPr>
        <w:t>9. 本协议书在承包人提供履约保证金后，由双方法定代表人或其委托代理人签署并加盖</w:t>
      </w:r>
      <w:r>
        <w:rPr>
          <w:rFonts w:ascii="宋体" w:hAnsi="宋体" w:eastAsia="宋体" w:cs="宋体"/>
          <w:color w:val="auto"/>
          <w:spacing w:val="1"/>
          <w:sz w:val="20"/>
          <w:szCs w:val="20"/>
        </w:rPr>
        <w:t>单</w:t>
      </w:r>
      <w:r>
        <w:rPr>
          <w:rFonts w:ascii="宋体" w:hAnsi="宋体" w:eastAsia="宋体" w:cs="宋体"/>
          <w:color w:val="auto"/>
          <w:sz w:val="20"/>
          <w:szCs w:val="20"/>
        </w:rPr>
        <w:t xml:space="preserve">位章 </w:t>
      </w:r>
      <w:r>
        <w:rPr>
          <w:rFonts w:ascii="宋体" w:hAnsi="宋体" w:eastAsia="宋体" w:cs="宋体"/>
          <w:color w:val="auto"/>
          <w:spacing w:val="-1"/>
          <w:sz w:val="20"/>
          <w:szCs w:val="20"/>
        </w:rPr>
        <w:t>后生效。全部工程完</w:t>
      </w:r>
      <w:r>
        <w:rPr>
          <w:rFonts w:ascii="宋体" w:hAnsi="宋体" w:eastAsia="宋体" w:cs="宋体"/>
          <w:color w:val="auto"/>
          <w:sz w:val="20"/>
          <w:szCs w:val="20"/>
        </w:rPr>
        <w:t>工后经交工验收合格、缺陷责任期满签发缺陷责任终止证书后失效。</w:t>
      </w:r>
    </w:p>
    <w:p w14:paraId="75259F4B">
      <w:pPr>
        <w:spacing w:before="2" w:line="268" w:lineRule="auto"/>
        <w:ind w:left="10" w:right="101" w:firstLine="455"/>
        <w:rPr>
          <w:rFonts w:ascii="宋体" w:hAnsi="宋体" w:eastAsia="宋体" w:cs="宋体"/>
          <w:color w:val="auto"/>
          <w:sz w:val="20"/>
          <w:szCs w:val="20"/>
        </w:rPr>
      </w:pPr>
      <w:r>
        <w:rPr>
          <w:rFonts w:ascii="宋体" w:hAnsi="宋体" w:eastAsia="宋体" w:cs="宋体"/>
          <w:color w:val="auto"/>
          <w:spacing w:val="-1"/>
          <w:sz w:val="20"/>
          <w:szCs w:val="20"/>
        </w:rPr>
        <w:t>10. 本协议书正本二份、副本____份，合同双方各执正本一份，副本____份，当正</w:t>
      </w:r>
      <w:r>
        <w:rPr>
          <w:rFonts w:ascii="宋体" w:hAnsi="宋体" w:eastAsia="宋体" w:cs="宋体"/>
          <w:color w:val="auto"/>
          <w:sz w:val="20"/>
          <w:szCs w:val="20"/>
        </w:rPr>
        <w:t xml:space="preserve">本与副本的内 </w:t>
      </w:r>
      <w:r>
        <w:rPr>
          <w:rFonts w:ascii="宋体" w:hAnsi="宋体" w:eastAsia="宋体" w:cs="宋体"/>
          <w:color w:val="auto"/>
          <w:spacing w:val="-1"/>
          <w:sz w:val="20"/>
          <w:szCs w:val="20"/>
        </w:rPr>
        <w:t>容不一致时，以正本为</w:t>
      </w:r>
      <w:r>
        <w:rPr>
          <w:rFonts w:ascii="宋体" w:hAnsi="宋体" w:eastAsia="宋体" w:cs="宋体"/>
          <w:color w:val="auto"/>
          <w:sz w:val="20"/>
          <w:szCs w:val="20"/>
        </w:rPr>
        <w:t>准。</w:t>
      </w:r>
    </w:p>
    <w:p w14:paraId="25A5BB72">
      <w:pPr>
        <w:spacing w:before="1" w:line="221" w:lineRule="auto"/>
        <w:ind w:left="465"/>
        <w:rPr>
          <w:rFonts w:ascii="宋体" w:hAnsi="宋体" w:eastAsia="宋体" w:cs="宋体"/>
          <w:color w:val="auto"/>
          <w:sz w:val="20"/>
          <w:szCs w:val="20"/>
        </w:rPr>
      </w:pPr>
      <w:r>
        <w:rPr>
          <w:rFonts w:ascii="宋体" w:hAnsi="宋体" w:eastAsia="宋体" w:cs="宋体"/>
          <w:color w:val="auto"/>
          <w:spacing w:val="-1"/>
          <w:sz w:val="20"/>
          <w:szCs w:val="20"/>
        </w:rPr>
        <w:t>11. 合同未尽事宜，双方另行签订补充协议。补充协议</w:t>
      </w:r>
      <w:r>
        <w:rPr>
          <w:rFonts w:ascii="宋体" w:hAnsi="宋体" w:eastAsia="宋体" w:cs="宋体"/>
          <w:color w:val="auto"/>
          <w:sz w:val="20"/>
          <w:szCs w:val="20"/>
        </w:rPr>
        <w:t>是合同的组成部分。</w:t>
      </w:r>
    </w:p>
    <w:p w14:paraId="3373FF54">
      <w:pPr>
        <w:spacing w:line="303" w:lineRule="auto"/>
        <w:rPr>
          <w:rFonts w:ascii="Arial"/>
          <w:color w:val="auto"/>
          <w:sz w:val="20"/>
          <w:szCs w:val="20"/>
        </w:rPr>
      </w:pPr>
    </w:p>
    <w:p w14:paraId="7DFBB25E">
      <w:pPr>
        <w:spacing w:before="72" w:line="220" w:lineRule="auto"/>
        <w:ind w:left="10"/>
        <w:rPr>
          <w:rFonts w:ascii="宋体" w:hAnsi="宋体" w:eastAsia="宋体" w:cs="宋体"/>
          <w:color w:val="auto"/>
          <w:sz w:val="20"/>
          <w:szCs w:val="20"/>
        </w:rPr>
      </w:pPr>
      <w:r>
        <w:rPr>
          <w:rFonts w:ascii="宋体" w:hAnsi="宋体" w:eastAsia="宋体" w:cs="宋体"/>
          <w:color w:val="auto"/>
          <w:spacing w:val="-4"/>
          <w:sz w:val="20"/>
          <w:szCs w:val="20"/>
        </w:rPr>
        <w:t>发包人：</w:t>
      </w:r>
      <w:r>
        <w:rPr>
          <w:rFonts w:ascii="宋体" w:hAnsi="宋体" w:eastAsia="宋体" w:cs="宋体"/>
          <w:color w:val="auto"/>
          <w:spacing w:val="-4"/>
          <w:sz w:val="20"/>
          <w:szCs w:val="20"/>
          <w:u w:val="single" w:color="auto"/>
        </w:rPr>
        <w:t xml:space="preserve">                  </w:t>
      </w:r>
      <w:r>
        <w:rPr>
          <w:rFonts w:hint="eastAsia" w:ascii="宋体" w:hAnsi="宋体" w:cs="宋体"/>
          <w:color w:val="auto"/>
          <w:spacing w:val="-4"/>
          <w:sz w:val="20"/>
          <w:szCs w:val="20"/>
          <w:u w:val="single" w:color="auto"/>
          <w:lang w:eastAsia="zh-CN"/>
        </w:rPr>
        <w:t>（</w:t>
      </w:r>
      <w:r>
        <w:rPr>
          <w:rFonts w:ascii="宋体" w:hAnsi="宋体" w:eastAsia="宋体" w:cs="宋体"/>
          <w:color w:val="auto"/>
          <w:spacing w:val="-4"/>
          <w:sz w:val="20"/>
          <w:szCs w:val="20"/>
        </w:rPr>
        <w:t>盖单位章</w:t>
      </w:r>
      <w:r>
        <w:rPr>
          <w:rFonts w:hint="eastAsia" w:ascii="宋体" w:hAnsi="宋体" w:cs="宋体"/>
          <w:color w:val="auto"/>
          <w:spacing w:val="-4"/>
          <w:sz w:val="20"/>
          <w:szCs w:val="20"/>
          <w:lang w:eastAsia="zh-CN"/>
        </w:rPr>
        <w:t>）</w:t>
      </w:r>
      <w:r>
        <w:rPr>
          <w:rFonts w:ascii="宋体" w:hAnsi="宋体" w:eastAsia="宋体" w:cs="宋体"/>
          <w:color w:val="auto"/>
          <w:spacing w:val="-4"/>
          <w:sz w:val="20"/>
          <w:szCs w:val="20"/>
        </w:rPr>
        <w:t xml:space="preserve">   承包人：</w:t>
      </w:r>
      <w:r>
        <w:rPr>
          <w:rFonts w:ascii="宋体" w:hAnsi="宋体" w:eastAsia="宋体" w:cs="宋体"/>
          <w:color w:val="auto"/>
          <w:spacing w:val="-4"/>
          <w:sz w:val="20"/>
          <w:szCs w:val="20"/>
          <w:u w:val="single" w:color="auto"/>
        </w:rPr>
        <w:t xml:space="preserve">                  </w:t>
      </w:r>
      <w:r>
        <w:rPr>
          <w:rFonts w:hint="eastAsia" w:ascii="宋体" w:hAnsi="宋体" w:cs="宋体"/>
          <w:color w:val="auto"/>
          <w:spacing w:val="-4"/>
          <w:sz w:val="20"/>
          <w:szCs w:val="20"/>
          <w:u w:val="single" w:color="auto"/>
          <w:lang w:eastAsia="zh-CN"/>
        </w:rPr>
        <w:t>（</w:t>
      </w:r>
      <w:r>
        <w:rPr>
          <w:rFonts w:ascii="宋体" w:hAnsi="宋体" w:eastAsia="宋体" w:cs="宋体"/>
          <w:color w:val="auto"/>
          <w:spacing w:val="-4"/>
          <w:sz w:val="20"/>
          <w:szCs w:val="20"/>
        </w:rPr>
        <w:t>盖单位</w:t>
      </w:r>
      <w:r>
        <w:rPr>
          <w:rFonts w:ascii="宋体" w:hAnsi="宋体" w:eastAsia="宋体" w:cs="宋体"/>
          <w:color w:val="auto"/>
          <w:spacing w:val="-2"/>
          <w:sz w:val="20"/>
          <w:szCs w:val="20"/>
        </w:rPr>
        <w:t>章</w:t>
      </w:r>
      <w:r>
        <w:rPr>
          <w:rFonts w:hint="eastAsia" w:ascii="宋体" w:hAnsi="宋体" w:cs="宋体"/>
          <w:color w:val="auto"/>
          <w:spacing w:val="-2"/>
          <w:sz w:val="20"/>
          <w:szCs w:val="20"/>
          <w:lang w:eastAsia="zh-CN"/>
        </w:rPr>
        <w:t>）</w:t>
      </w:r>
    </w:p>
    <w:p w14:paraId="279DC4B8">
      <w:pPr>
        <w:spacing w:before="56" w:line="221" w:lineRule="auto"/>
        <w:ind w:left="8"/>
        <w:rPr>
          <w:rFonts w:ascii="宋体" w:hAnsi="宋体" w:eastAsia="宋体" w:cs="宋体"/>
          <w:color w:val="auto"/>
          <w:sz w:val="20"/>
          <w:szCs w:val="20"/>
        </w:rPr>
      </w:pPr>
      <w:r>
        <w:rPr>
          <w:rFonts w:ascii="宋体" w:hAnsi="宋体" w:eastAsia="宋体" w:cs="宋体"/>
          <w:color w:val="auto"/>
          <w:spacing w:val="-10"/>
          <w:sz w:val="20"/>
          <w:szCs w:val="20"/>
        </w:rPr>
        <w:t>法</w:t>
      </w:r>
      <w:r>
        <w:rPr>
          <w:rFonts w:ascii="宋体" w:hAnsi="宋体" w:eastAsia="宋体" w:cs="宋体"/>
          <w:color w:val="auto"/>
          <w:spacing w:val="-5"/>
          <w:sz w:val="20"/>
          <w:szCs w:val="20"/>
        </w:rPr>
        <w:t>定代表人或其委托代理人：</w:t>
      </w:r>
      <w:r>
        <w:rPr>
          <w:rFonts w:ascii="宋体" w:hAnsi="宋体" w:eastAsia="宋体" w:cs="宋体"/>
          <w:color w:val="auto"/>
          <w:spacing w:val="-5"/>
          <w:sz w:val="20"/>
          <w:szCs w:val="20"/>
          <w:u w:val="single" w:color="auto"/>
        </w:rPr>
        <w:t xml:space="preserve">    </w:t>
      </w:r>
      <w:r>
        <w:rPr>
          <w:rFonts w:hint="eastAsia" w:ascii="宋体" w:hAnsi="宋体" w:cs="宋体"/>
          <w:color w:val="auto"/>
          <w:spacing w:val="-5"/>
          <w:sz w:val="20"/>
          <w:szCs w:val="20"/>
          <w:u w:val="single" w:color="auto"/>
          <w:lang w:eastAsia="zh-CN"/>
        </w:rPr>
        <w:t>（</w:t>
      </w:r>
      <w:r>
        <w:rPr>
          <w:rFonts w:ascii="宋体" w:hAnsi="宋体" w:eastAsia="宋体" w:cs="宋体"/>
          <w:color w:val="auto"/>
          <w:spacing w:val="-5"/>
          <w:sz w:val="20"/>
          <w:szCs w:val="20"/>
        </w:rPr>
        <w:t>签字</w:t>
      </w:r>
      <w:r>
        <w:rPr>
          <w:rFonts w:hint="eastAsia" w:ascii="宋体" w:hAnsi="宋体" w:cs="宋体"/>
          <w:color w:val="auto"/>
          <w:spacing w:val="-5"/>
          <w:sz w:val="20"/>
          <w:szCs w:val="20"/>
          <w:lang w:eastAsia="zh-CN"/>
        </w:rPr>
        <w:t>）</w:t>
      </w:r>
      <w:r>
        <w:rPr>
          <w:rFonts w:ascii="宋体" w:hAnsi="宋体" w:eastAsia="宋体" w:cs="宋体"/>
          <w:color w:val="auto"/>
          <w:spacing w:val="-5"/>
          <w:sz w:val="20"/>
          <w:szCs w:val="20"/>
        </w:rPr>
        <w:t xml:space="preserve">   法定代表人或其委托代理人：</w:t>
      </w:r>
      <w:r>
        <w:rPr>
          <w:rFonts w:ascii="宋体" w:hAnsi="宋体" w:eastAsia="宋体" w:cs="宋体"/>
          <w:color w:val="auto"/>
          <w:spacing w:val="-5"/>
          <w:sz w:val="20"/>
          <w:szCs w:val="20"/>
          <w:u w:val="single" w:color="auto"/>
        </w:rPr>
        <w:t xml:space="preserve">    </w:t>
      </w:r>
      <w:r>
        <w:rPr>
          <w:rFonts w:hint="eastAsia" w:ascii="宋体" w:hAnsi="宋体" w:cs="宋体"/>
          <w:color w:val="auto"/>
          <w:spacing w:val="-5"/>
          <w:sz w:val="20"/>
          <w:szCs w:val="20"/>
          <w:u w:val="single" w:color="auto"/>
          <w:lang w:eastAsia="zh-CN"/>
        </w:rPr>
        <w:t>（</w:t>
      </w:r>
      <w:r>
        <w:rPr>
          <w:rFonts w:ascii="宋体" w:hAnsi="宋体" w:eastAsia="宋体" w:cs="宋体"/>
          <w:color w:val="auto"/>
          <w:spacing w:val="-5"/>
          <w:sz w:val="20"/>
          <w:szCs w:val="20"/>
        </w:rPr>
        <w:t>签字</w:t>
      </w:r>
      <w:r>
        <w:rPr>
          <w:rFonts w:hint="eastAsia" w:ascii="宋体" w:hAnsi="宋体" w:cs="宋体"/>
          <w:color w:val="auto"/>
          <w:spacing w:val="-5"/>
          <w:sz w:val="20"/>
          <w:szCs w:val="20"/>
          <w:lang w:eastAsia="zh-CN"/>
        </w:rPr>
        <w:t>）</w:t>
      </w:r>
    </w:p>
    <w:p w14:paraId="0A17F909">
      <w:pPr>
        <w:pStyle w:val="2"/>
        <w:rPr>
          <w:rFonts w:ascii="宋体" w:hAnsi="宋体" w:eastAsia="宋体" w:cs="宋体"/>
          <w:b/>
          <w:bCs/>
          <w:spacing w:val="-6"/>
          <w:sz w:val="20"/>
          <w:szCs w:val="20"/>
        </w:rPr>
      </w:pPr>
      <w:r>
        <w:rPr>
          <w:rFonts w:ascii="宋体" w:hAnsi="宋体" w:eastAsia="宋体" w:cs="宋体"/>
          <w:color w:val="auto"/>
          <w:sz w:val="20"/>
          <w:szCs w:val="20"/>
          <w:u w:val="single" w:color="auto"/>
        </w:rPr>
        <w:tab/>
      </w:r>
      <w:r>
        <w:rPr>
          <w:rFonts w:ascii="宋体" w:hAnsi="宋体" w:eastAsia="宋体" w:cs="宋体"/>
          <w:color w:val="auto"/>
          <w:spacing w:val="1"/>
          <w:sz w:val="20"/>
          <w:szCs w:val="20"/>
        </w:rPr>
        <w:t>年</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月</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日                           </w:t>
      </w:r>
      <w:r>
        <w:rPr>
          <w:rFonts w:ascii="宋体" w:hAnsi="宋体" w:eastAsia="宋体" w:cs="宋体"/>
          <w:color w:val="auto"/>
          <w:sz w:val="20"/>
          <w:szCs w:val="20"/>
        </w:rPr>
        <w:t xml:space="preserve">  年</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月</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日</w:t>
      </w:r>
    </w:p>
    <w:p w14:paraId="63C174EB">
      <w:pPr>
        <w:pStyle w:val="2"/>
        <w:rPr>
          <w:rFonts w:ascii="宋体" w:hAnsi="宋体" w:eastAsia="宋体" w:cs="宋体"/>
          <w:b/>
          <w:bCs/>
          <w:spacing w:val="-6"/>
          <w:sz w:val="28"/>
          <w:szCs w:val="28"/>
        </w:rPr>
      </w:pPr>
    </w:p>
    <w:p w14:paraId="5F0576B8">
      <w:pPr>
        <w:spacing w:before="183" w:line="219" w:lineRule="auto"/>
        <w:ind w:left="36"/>
        <w:rPr>
          <w:rFonts w:ascii="宋体" w:hAnsi="宋体" w:eastAsia="宋体" w:cs="宋体"/>
          <w:sz w:val="24"/>
          <w:szCs w:val="24"/>
        </w:rPr>
      </w:pPr>
    </w:p>
    <w:p w14:paraId="61DEAD79">
      <w:pPr>
        <w:spacing w:line="219" w:lineRule="auto"/>
        <w:rPr>
          <w:rFonts w:ascii="宋体" w:hAnsi="宋体" w:eastAsia="宋体" w:cs="宋体"/>
          <w:sz w:val="24"/>
          <w:szCs w:val="24"/>
        </w:rPr>
        <w:sectPr>
          <w:footerReference r:id="rId116" w:type="default"/>
          <w:pgSz w:w="11905" w:h="16840"/>
          <w:pgMar w:top="1182" w:right="1416" w:bottom="1171" w:left="1416" w:header="849" w:footer="937" w:gutter="0"/>
          <w:pgNumType w:fmt="decimal"/>
          <w:cols w:space="720" w:num="1"/>
        </w:sectPr>
      </w:pPr>
    </w:p>
    <w:p w14:paraId="060BB717">
      <w:pPr>
        <w:spacing w:before="91" w:line="219" w:lineRule="auto"/>
        <w:ind w:left="28"/>
        <w:rPr>
          <w:rFonts w:ascii="宋体" w:hAnsi="宋体" w:eastAsia="宋体" w:cs="宋体"/>
          <w:b/>
          <w:bCs/>
          <w:spacing w:val="-6"/>
          <w:sz w:val="28"/>
          <w:szCs w:val="28"/>
        </w:rPr>
      </w:pPr>
    </w:p>
    <w:p w14:paraId="0B2EA670">
      <w:pPr>
        <w:spacing w:before="91" w:line="219" w:lineRule="auto"/>
        <w:ind w:left="28"/>
        <w:rPr>
          <w:rFonts w:ascii="宋体" w:hAnsi="宋体" w:eastAsia="宋体" w:cs="宋体"/>
          <w:sz w:val="28"/>
          <w:szCs w:val="28"/>
        </w:rPr>
      </w:pPr>
      <w:r>
        <w:rPr>
          <w:rFonts w:ascii="宋体" w:hAnsi="宋体" w:eastAsia="宋体" w:cs="宋体"/>
          <w:b/>
          <w:bCs/>
          <w:spacing w:val="-6"/>
          <w:sz w:val="28"/>
          <w:szCs w:val="28"/>
        </w:rPr>
        <w:t>附件</w:t>
      </w:r>
      <w:r>
        <w:rPr>
          <w:rFonts w:hint="eastAsia" w:ascii="宋体" w:hAnsi="宋体" w:eastAsia="宋体" w:cs="宋体"/>
          <w:b/>
          <w:bCs/>
          <w:spacing w:val="-6"/>
          <w:sz w:val="28"/>
          <w:szCs w:val="28"/>
          <w:lang w:val="en-US" w:eastAsia="zh-CN"/>
        </w:rPr>
        <w:t>二</w:t>
      </w:r>
      <w:r>
        <w:rPr>
          <w:rFonts w:ascii="宋体" w:hAnsi="宋体" w:eastAsia="宋体" w:cs="宋体"/>
          <w:b/>
          <w:bCs/>
          <w:spacing w:val="-6"/>
          <w:sz w:val="28"/>
          <w:szCs w:val="28"/>
        </w:rPr>
        <w:t>：</w:t>
      </w:r>
      <w:r>
        <w:rPr>
          <w:rFonts w:hint="eastAsia" w:ascii="宋体" w:hAnsi="宋体" w:eastAsia="宋体" w:cs="宋体"/>
          <w:b/>
          <w:bCs/>
          <w:spacing w:val="-6"/>
          <w:sz w:val="28"/>
          <w:szCs w:val="28"/>
          <w:lang w:val="en-US" w:eastAsia="zh-CN"/>
        </w:rPr>
        <w:t>廉政</w:t>
      </w:r>
      <w:r>
        <w:rPr>
          <w:rFonts w:ascii="宋体" w:hAnsi="宋体" w:eastAsia="宋体" w:cs="宋体"/>
          <w:b/>
          <w:bCs/>
          <w:spacing w:val="-6"/>
          <w:sz w:val="28"/>
          <w:szCs w:val="28"/>
        </w:rPr>
        <w:t>合同</w:t>
      </w:r>
    </w:p>
    <w:p w14:paraId="052DDFDB">
      <w:pPr>
        <w:spacing w:before="271" w:line="228" w:lineRule="auto"/>
        <w:ind w:left="4197"/>
        <w:rPr>
          <w:rFonts w:ascii="黑体" w:hAnsi="黑体" w:eastAsia="黑体" w:cs="黑体"/>
          <w:color w:val="auto"/>
          <w:sz w:val="31"/>
          <w:szCs w:val="31"/>
        </w:rPr>
      </w:pPr>
      <w:r>
        <w:rPr>
          <w:rFonts w:ascii="黑体" w:hAnsi="黑体" w:eastAsia="黑体" w:cs="黑体"/>
          <w:color w:val="auto"/>
          <w:spacing w:val="8"/>
          <w:sz w:val="31"/>
          <w:szCs w:val="31"/>
          <w14:textOutline w14:w="5793" w14:cap="sq" w14:cmpd="sng">
            <w14:solidFill>
              <w14:srgbClr w14:val="000000"/>
            </w14:solidFill>
            <w14:prstDash w14:val="solid"/>
            <w14:bevel/>
          </w14:textOutline>
        </w:rPr>
        <w:t>廉政合同</w:t>
      </w:r>
    </w:p>
    <w:p w14:paraId="7401BD5F">
      <w:pPr>
        <w:spacing w:before="225" w:line="360" w:lineRule="auto"/>
        <w:ind w:left="449"/>
        <w:rPr>
          <w:rFonts w:ascii="宋体" w:hAnsi="宋体" w:eastAsia="宋体" w:cs="宋体"/>
          <w:color w:val="auto"/>
          <w:sz w:val="20"/>
          <w:szCs w:val="20"/>
        </w:rPr>
      </w:pPr>
      <w:r>
        <w:rPr>
          <w:rFonts w:ascii="宋体" w:hAnsi="宋体" w:eastAsia="宋体" w:cs="宋体"/>
          <w:color w:val="auto"/>
          <w:spacing w:val="-1"/>
          <w:sz w:val="20"/>
          <w:szCs w:val="20"/>
        </w:rPr>
        <w:t>根据《关于在交通基础设施建设中加强廉政建设的若干意见》</w:t>
      </w:r>
      <w:r>
        <w:rPr>
          <w:rFonts w:ascii="宋体" w:hAnsi="宋体" w:eastAsia="宋体" w:cs="宋体"/>
          <w:color w:val="auto"/>
          <w:sz w:val="20"/>
          <w:szCs w:val="20"/>
        </w:rPr>
        <w:t>以及有关工程建设、廉政建设的规</w:t>
      </w:r>
    </w:p>
    <w:p w14:paraId="7BE63688">
      <w:pPr>
        <w:spacing w:line="360" w:lineRule="auto"/>
        <w:ind w:left="6" w:right="103" w:firstLine="6"/>
        <w:rPr>
          <w:rFonts w:ascii="宋体" w:hAnsi="宋体" w:eastAsia="宋体" w:cs="宋体"/>
          <w:color w:val="auto"/>
          <w:sz w:val="20"/>
          <w:szCs w:val="20"/>
        </w:rPr>
      </w:pPr>
      <w:r>
        <w:rPr>
          <w:rFonts w:ascii="宋体" w:hAnsi="宋体" w:eastAsia="宋体" w:cs="宋体"/>
          <w:color w:val="auto"/>
          <w:spacing w:val="-1"/>
          <w:sz w:val="20"/>
          <w:szCs w:val="20"/>
        </w:rPr>
        <w:t>定，为做好工程建设中的党风廉政建设，保证工程建设高效优质，保证建设资</w:t>
      </w:r>
      <w:r>
        <w:rPr>
          <w:rFonts w:ascii="宋体" w:hAnsi="宋体" w:eastAsia="宋体" w:cs="宋体"/>
          <w:color w:val="auto"/>
          <w:sz w:val="20"/>
          <w:szCs w:val="20"/>
        </w:rPr>
        <w:t xml:space="preserve">金的安全和有效使用以 </w:t>
      </w:r>
      <w:r>
        <w:rPr>
          <w:rFonts w:ascii="宋体" w:hAnsi="宋体" w:eastAsia="宋体" w:cs="宋体"/>
          <w:color w:val="auto"/>
          <w:spacing w:val="-4"/>
          <w:sz w:val="20"/>
          <w:szCs w:val="20"/>
        </w:rPr>
        <w:t>及投资效益，</w:t>
      </w:r>
      <w:r>
        <w:rPr>
          <w:rFonts w:ascii="宋体" w:hAnsi="宋体" w:eastAsia="宋体" w:cs="宋体"/>
          <w:color w:val="auto"/>
          <w:spacing w:val="-4"/>
          <w:sz w:val="20"/>
          <w:szCs w:val="20"/>
          <w:u w:val="single" w:color="auto"/>
        </w:rPr>
        <w:t xml:space="preserve">       </w:t>
      </w:r>
      <w:r>
        <w:rPr>
          <w:rFonts w:hint="eastAsia" w:ascii="宋体" w:hAnsi="宋体" w:cs="宋体"/>
          <w:color w:val="auto"/>
          <w:spacing w:val="-4"/>
          <w:sz w:val="20"/>
          <w:szCs w:val="20"/>
          <w:u w:val="single" w:color="auto"/>
          <w:lang w:eastAsia="zh-CN"/>
        </w:rPr>
        <w:t>（</w:t>
      </w:r>
      <w:r>
        <w:rPr>
          <w:rFonts w:ascii="宋体" w:hAnsi="宋体" w:eastAsia="宋体" w:cs="宋体"/>
          <w:color w:val="auto"/>
          <w:spacing w:val="-2"/>
          <w:sz w:val="20"/>
          <w:szCs w:val="20"/>
        </w:rPr>
        <w:t>项目名称</w:t>
      </w:r>
      <w:r>
        <w:rPr>
          <w:rFonts w:hint="eastAsia" w:ascii="宋体" w:hAnsi="宋体" w:cs="宋体"/>
          <w:color w:val="auto"/>
          <w:spacing w:val="-2"/>
          <w:sz w:val="20"/>
          <w:szCs w:val="20"/>
          <w:lang w:eastAsia="zh-CN"/>
        </w:rPr>
        <w:t>）</w:t>
      </w:r>
      <w:r>
        <w:rPr>
          <w:rFonts w:ascii="宋体" w:hAnsi="宋体" w:eastAsia="宋体" w:cs="宋体"/>
          <w:color w:val="auto"/>
          <w:spacing w:val="-2"/>
          <w:sz w:val="20"/>
          <w:szCs w:val="20"/>
        </w:rPr>
        <w:t xml:space="preserve"> 的项目法人</w:t>
      </w:r>
      <w:r>
        <w:rPr>
          <w:rFonts w:ascii="宋体" w:hAnsi="宋体" w:eastAsia="宋体" w:cs="宋体"/>
          <w:color w:val="auto"/>
          <w:spacing w:val="-2"/>
          <w:sz w:val="20"/>
          <w:szCs w:val="20"/>
          <w:u w:val="single" w:color="auto"/>
        </w:rPr>
        <w:t xml:space="preserve">      </w:t>
      </w:r>
      <w:r>
        <w:rPr>
          <w:rFonts w:hint="eastAsia" w:ascii="宋体" w:hAnsi="宋体" w:cs="宋体"/>
          <w:color w:val="auto"/>
          <w:spacing w:val="-2"/>
          <w:sz w:val="20"/>
          <w:szCs w:val="20"/>
          <w:u w:val="single" w:color="auto"/>
          <w:lang w:eastAsia="zh-CN"/>
        </w:rPr>
        <w:t>（</w:t>
      </w:r>
      <w:r>
        <w:rPr>
          <w:rFonts w:ascii="宋体" w:hAnsi="宋体" w:eastAsia="宋体" w:cs="宋体"/>
          <w:color w:val="auto"/>
          <w:spacing w:val="-2"/>
          <w:sz w:val="20"/>
          <w:szCs w:val="20"/>
        </w:rPr>
        <w:t>项目法人名称，以下简称“发包人”</w:t>
      </w:r>
      <w:r>
        <w:rPr>
          <w:rFonts w:hint="eastAsia" w:ascii="宋体" w:hAnsi="宋体" w:cs="宋体"/>
          <w:color w:val="auto"/>
          <w:spacing w:val="-2"/>
          <w:sz w:val="20"/>
          <w:szCs w:val="20"/>
          <w:lang w:eastAsia="zh-CN"/>
        </w:rPr>
        <w:t>）</w:t>
      </w:r>
      <w:r>
        <w:rPr>
          <w:rFonts w:ascii="宋体" w:hAnsi="宋体" w:eastAsia="宋体" w:cs="宋体"/>
          <w:color w:val="auto"/>
          <w:spacing w:val="-2"/>
          <w:sz w:val="20"/>
          <w:szCs w:val="20"/>
        </w:rPr>
        <w:t xml:space="preserve"> 与该项目</w:t>
      </w:r>
      <w:r>
        <w:rPr>
          <w:rFonts w:ascii="宋体" w:hAnsi="宋体" w:eastAsia="宋体" w:cs="宋体"/>
          <w:color w:val="auto"/>
          <w:sz w:val="20"/>
          <w:szCs w:val="20"/>
        </w:rPr>
        <w:t xml:space="preserve"> </w:t>
      </w:r>
      <w:r>
        <w:rPr>
          <w:rFonts w:ascii="宋体" w:hAnsi="宋体" w:eastAsia="宋体" w:cs="宋体"/>
          <w:color w:val="auto"/>
          <w:spacing w:val="-1"/>
          <w:sz w:val="20"/>
          <w:szCs w:val="20"/>
        </w:rPr>
        <w:t>标段的施工单</w:t>
      </w:r>
      <w:r>
        <w:rPr>
          <w:rFonts w:ascii="宋体" w:hAnsi="宋体" w:eastAsia="宋体" w:cs="宋体"/>
          <w:color w:val="auto"/>
          <w:sz w:val="20"/>
          <w:szCs w:val="20"/>
        </w:rPr>
        <w:t>位</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施工单位名称，以下简称“承包人”</w:t>
      </w:r>
      <w:r>
        <w:rPr>
          <w:rFonts w:hint="eastAsia" w:ascii="宋体" w:hAnsi="宋体" w:cs="宋体"/>
          <w:color w:val="auto"/>
          <w:sz w:val="20"/>
          <w:szCs w:val="20"/>
          <w:lang w:eastAsia="zh-CN"/>
        </w:rPr>
        <w:t>）</w:t>
      </w:r>
      <w:r>
        <w:rPr>
          <w:rFonts w:ascii="宋体" w:hAnsi="宋体" w:eastAsia="宋体" w:cs="宋体"/>
          <w:color w:val="auto"/>
          <w:sz w:val="20"/>
          <w:szCs w:val="20"/>
        </w:rPr>
        <w:t xml:space="preserve"> ，特订立如下合同。</w:t>
      </w:r>
    </w:p>
    <w:p w14:paraId="2AAABAE5">
      <w:pPr>
        <w:spacing w:line="360" w:lineRule="auto"/>
        <w:ind w:left="23"/>
        <w:rPr>
          <w:rFonts w:ascii="宋体" w:hAnsi="宋体" w:eastAsia="宋体" w:cs="宋体"/>
          <w:color w:val="auto"/>
          <w:sz w:val="20"/>
          <w:szCs w:val="20"/>
        </w:rPr>
      </w:pPr>
      <w:r>
        <w:rPr>
          <w:rFonts w:ascii="宋体" w:hAnsi="宋体" w:eastAsia="宋体" w:cs="宋体"/>
          <w:color w:val="auto"/>
          <w:spacing w:val="-2"/>
          <w:sz w:val="20"/>
          <w:szCs w:val="20"/>
        </w:rPr>
        <w:t>1. 发包</w:t>
      </w:r>
      <w:r>
        <w:rPr>
          <w:rFonts w:ascii="宋体" w:hAnsi="宋体" w:eastAsia="宋体" w:cs="宋体"/>
          <w:color w:val="auto"/>
          <w:spacing w:val="-1"/>
          <w:sz w:val="20"/>
          <w:szCs w:val="20"/>
        </w:rPr>
        <w:t>人和承包人双方的权利和义务</w:t>
      </w:r>
    </w:p>
    <w:p w14:paraId="5C1A7596">
      <w:pPr>
        <w:spacing w:before="1" w:line="360" w:lineRule="auto"/>
        <w:ind w:left="13"/>
        <w:rPr>
          <w:rFonts w:ascii="宋体" w:hAnsi="宋体" w:eastAsia="宋体" w:cs="宋体"/>
          <w:color w:val="auto"/>
          <w:sz w:val="20"/>
          <w:szCs w:val="20"/>
        </w:rPr>
      </w:pPr>
      <w:r>
        <w:rPr>
          <w:rFonts w:ascii="宋体" w:hAnsi="宋体" w:eastAsia="宋体" w:cs="宋体"/>
          <w:color w:val="auto"/>
          <w:spacing w:val="4"/>
          <w:sz w:val="20"/>
          <w:szCs w:val="20"/>
        </w:rPr>
        <w:t>(1) 严格遵守党的政策规</w:t>
      </w:r>
      <w:r>
        <w:rPr>
          <w:rFonts w:ascii="宋体" w:hAnsi="宋体" w:eastAsia="宋体" w:cs="宋体"/>
          <w:color w:val="auto"/>
          <w:spacing w:val="2"/>
          <w:sz w:val="20"/>
          <w:szCs w:val="20"/>
        </w:rPr>
        <w:t>定和国家有关法律法规及交通运输部的有关规定。</w:t>
      </w:r>
    </w:p>
    <w:p w14:paraId="1CD4F5AC">
      <w:pPr>
        <w:spacing w:before="1" w:line="360" w:lineRule="auto"/>
        <w:ind w:left="13"/>
        <w:rPr>
          <w:rFonts w:ascii="宋体" w:hAnsi="宋体" w:eastAsia="宋体" w:cs="宋体"/>
          <w:color w:val="auto"/>
          <w:sz w:val="20"/>
          <w:szCs w:val="20"/>
        </w:rPr>
      </w:pPr>
      <w:r>
        <w:rPr>
          <w:rFonts w:ascii="宋体" w:hAnsi="宋体" w:eastAsia="宋体" w:cs="宋体"/>
          <w:color w:val="auto"/>
          <w:spacing w:val="7"/>
          <w:sz w:val="20"/>
          <w:szCs w:val="20"/>
        </w:rPr>
        <w:t>(</w:t>
      </w:r>
      <w:r>
        <w:rPr>
          <w:rFonts w:ascii="宋体" w:hAnsi="宋体" w:eastAsia="宋体" w:cs="宋体"/>
          <w:color w:val="auto"/>
          <w:spacing w:val="5"/>
          <w:sz w:val="20"/>
          <w:szCs w:val="20"/>
        </w:rPr>
        <w:t>2) 严格执行</w:t>
      </w:r>
      <w:r>
        <w:rPr>
          <w:rFonts w:ascii="宋体" w:hAnsi="宋体" w:eastAsia="宋体" w:cs="宋体"/>
          <w:color w:val="auto"/>
          <w:spacing w:val="5"/>
          <w:sz w:val="20"/>
          <w:szCs w:val="20"/>
          <w:u w:val="single" w:color="auto"/>
        </w:rPr>
        <w:t xml:space="preserve">   </w:t>
      </w:r>
      <w:r>
        <w:rPr>
          <w:rFonts w:ascii="宋体" w:hAnsi="宋体" w:eastAsia="宋体" w:cs="宋体"/>
          <w:color w:val="auto"/>
          <w:spacing w:val="5"/>
          <w:sz w:val="20"/>
          <w:szCs w:val="20"/>
        </w:rPr>
        <w:t xml:space="preserve"> </w:t>
      </w:r>
      <w:r>
        <w:rPr>
          <w:rFonts w:hint="eastAsia" w:ascii="宋体" w:hAnsi="宋体" w:cs="宋体"/>
          <w:color w:val="auto"/>
          <w:spacing w:val="5"/>
          <w:sz w:val="20"/>
          <w:szCs w:val="20"/>
          <w:lang w:eastAsia="zh-CN"/>
        </w:rPr>
        <w:t>（</w:t>
      </w:r>
      <w:r>
        <w:rPr>
          <w:rFonts w:ascii="宋体" w:hAnsi="宋体" w:eastAsia="宋体" w:cs="宋体"/>
          <w:color w:val="auto"/>
          <w:spacing w:val="5"/>
          <w:sz w:val="20"/>
          <w:szCs w:val="20"/>
        </w:rPr>
        <w:t>项目名称</w:t>
      </w:r>
      <w:r>
        <w:rPr>
          <w:rFonts w:hint="eastAsia" w:ascii="宋体" w:hAnsi="宋体" w:cs="宋体"/>
          <w:color w:val="auto"/>
          <w:spacing w:val="5"/>
          <w:sz w:val="20"/>
          <w:szCs w:val="20"/>
          <w:lang w:eastAsia="zh-CN"/>
        </w:rPr>
        <w:t>）</w:t>
      </w:r>
      <w:r>
        <w:rPr>
          <w:rFonts w:ascii="宋体" w:hAnsi="宋体" w:eastAsia="宋体" w:cs="宋体"/>
          <w:color w:val="auto"/>
          <w:spacing w:val="5"/>
          <w:sz w:val="20"/>
          <w:szCs w:val="20"/>
          <w:u w:val="single" w:color="auto"/>
        </w:rPr>
        <w:t xml:space="preserve">      </w:t>
      </w:r>
      <w:r>
        <w:rPr>
          <w:rFonts w:ascii="宋体" w:hAnsi="宋体" w:eastAsia="宋体" w:cs="宋体"/>
          <w:color w:val="auto"/>
          <w:spacing w:val="5"/>
          <w:sz w:val="20"/>
          <w:szCs w:val="20"/>
        </w:rPr>
        <w:t>标段施工合同文件，自觉按合同办事。</w:t>
      </w:r>
    </w:p>
    <w:p w14:paraId="5FA7C5A1">
      <w:pPr>
        <w:spacing w:before="1" w:line="360" w:lineRule="auto"/>
        <w:ind w:left="12" w:right="103" w:firstLine="1"/>
        <w:rPr>
          <w:rFonts w:ascii="宋体" w:hAnsi="宋体" w:eastAsia="宋体" w:cs="宋体"/>
          <w:color w:val="auto"/>
          <w:sz w:val="20"/>
          <w:szCs w:val="20"/>
        </w:rPr>
      </w:pPr>
      <w:r>
        <w:rPr>
          <w:rFonts w:ascii="宋体" w:hAnsi="宋体" w:eastAsia="宋体" w:cs="宋体"/>
          <w:color w:val="auto"/>
          <w:spacing w:val="7"/>
          <w:sz w:val="20"/>
          <w:szCs w:val="20"/>
        </w:rPr>
        <w:t>(</w:t>
      </w:r>
      <w:r>
        <w:rPr>
          <w:rFonts w:ascii="宋体" w:hAnsi="宋体" w:eastAsia="宋体" w:cs="宋体"/>
          <w:color w:val="auto"/>
          <w:spacing w:val="4"/>
          <w:sz w:val="20"/>
          <w:szCs w:val="20"/>
        </w:rPr>
        <w:t xml:space="preserve">3) 双方的业务活动坚持公开、公正、诚信、透明的原则 </w:t>
      </w:r>
      <w:r>
        <w:rPr>
          <w:rFonts w:hint="eastAsia" w:ascii="宋体" w:hAnsi="宋体" w:cs="宋体"/>
          <w:color w:val="auto"/>
          <w:spacing w:val="4"/>
          <w:sz w:val="20"/>
          <w:szCs w:val="20"/>
          <w:lang w:eastAsia="zh-CN"/>
        </w:rPr>
        <w:t>（</w:t>
      </w:r>
      <w:r>
        <w:rPr>
          <w:rFonts w:ascii="宋体" w:hAnsi="宋体" w:eastAsia="宋体" w:cs="宋体"/>
          <w:color w:val="auto"/>
          <w:spacing w:val="4"/>
          <w:sz w:val="20"/>
          <w:szCs w:val="20"/>
        </w:rPr>
        <w:t>法律认定的商业秘密和合同文件另有规</w:t>
      </w:r>
      <w:r>
        <w:rPr>
          <w:rFonts w:ascii="宋体" w:hAnsi="宋体" w:eastAsia="宋体" w:cs="宋体"/>
          <w:color w:val="auto"/>
          <w:sz w:val="20"/>
          <w:szCs w:val="20"/>
        </w:rPr>
        <w:t xml:space="preserve"> </w:t>
      </w:r>
      <w:r>
        <w:rPr>
          <w:rFonts w:ascii="宋体" w:hAnsi="宋体" w:eastAsia="宋体" w:cs="宋体"/>
          <w:color w:val="auto"/>
          <w:spacing w:val="-1"/>
          <w:sz w:val="20"/>
          <w:szCs w:val="20"/>
        </w:rPr>
        <w:t>定除外</w:t>
      </w:r>
      <w:r>
        <w:rPr>
          <w:rFonts w:hint="eastAsia" w:ascii="宋体" w:hAnsi="宋体" w:cs="宋体"/>
          <w:color w:val="auto"/>
          <w:spacing w:val="-1"/>
          <w:sz w:val="20"/>
          <w:szCs w:val="20"/>
          <w:lang w:eastAsia="zh-CN"/>
        </w:rPr>
        <w:t>）</w:t>
      </w:r>
      <w:r>
        <w:rPr>
          <w:rFonts w:ascii="宋体" w:hAnsi="宋体" w:eastAsia="宋体" w:cs="宋体"/>
          <w:color w:val="auto"/>
          <w:spacing w:val="-1"/>
          <w:sz w:val="20"/>
          <w:szCs w:val="20"/>
        </w:rPr>
        <w:t xml:space="preserve"> ，不得损害国家和集</w:t>
      </w:r>
      <w:r>
        <w:rPr>
          <w:rFonts w:ascii="宋体" w:hAnsi="宋体" w:eastAsia="宋体" w:cs="宋体"/>
          <w:color w:val="auto"/>
          <w:sz w:val="20"/>
          <w:szCs w:val="20"/>
        </w:rPr>
        <w:t>体利益，不得违反工程建设管理规章制度。</w:t>
      </w:r>
    </w:p>
    <w:p w14:paraId="654ED8C2">
      <w:pPr>
        <w:spacing w:before="1" w:line="360" w:lineRule="auto"/>
        <w:ind w:left="13" w:right="103"/>
        <w:rPr>
          <w:rFonts w:ascii="宋体" w:hAnsi="宋体" w:eastAsia="宋体" w:cs="宋体"/>
          <w:color w:val="auto"/>
          <w:sz w:val="20"/>
          <w:szCs w:val="20"/>
        </w:rPr>
      </w:pPr>
      <w:r>
        <w:rPr>
          <w:rFonts w:ascii="宋体" w:hAnsi="宋体" w:eastAsia="宋体" w:cs="宋体"/>
          <w:color w:val="auto"/>
          <w:spacing w:val="8"/>
          <w:sz w:val="20"/>
          <w:szCs w:val="20"/>
        </w:rPr>
        <w:t>(</w:t>
      </w:r>
      <w:r>
        <w:rPr>
          <w:rFonts w:ascii="宋体" w:hAnsi="宋体" w:eastAsia="宋体" w:cs="宋体"/>
          <w:color w:val="auto"/>
          <w:spacing w:val="7"/>
          <w:sz w:val="20"/>
          <w:szCs w:val="20"/>
        </w:rPr>
        <w:t>4</w:t>
      </w:r>
      <w:r>
        <w:rPr>
          <w:rFonts w:ascii="宋体" w:hAnsi="宋体" w:eastAsia="宋体" w:cs="宋体"/>
          <w:color w:val="auto"/>
          <w:spacing w:val="4"/>
          <w:sz w:val="20"/>
          <w:szCs w:val="20"/>
        </w:rPr>
        <w:t>) 建立健全廉政制度，开展廉政教育，设立廉政告示牌，公布举报电话，监督并认真查处违法违</w:t>
      </w:r>
      <w:r>
        <w:rPr>
          <w:rFonts w:ascii="宋体" w:hAnsi="宋体" w:eastAsia="宋体" w:cs="宋体"/>
          <w:color w:val="auto"/>
          <w:sz w:val="20"/>
          <w:szCs w:val="20"/>
        </w:rPr>
        <w:t xml:space="preserve"> </w:t>
      </w:r>
      <w:r>
        <w:rPr>
          <w:rFonts w:ascii="宋体" w:hAnsi="宋体" w:eastAsia="宋体" w:cs="宋体"/>
          <w:color w:val="auto"/>
          <w:spacing w:val="-6"/>
          <w:sz w:val="20"/>
          <w:szCs w:val="20"/>
        </w:rPr>
        <w:t>纪</w:t>
      </w:r>
      <w:r>
        <w:rPr>
          <w:rFonts w:ascii="宋体" w:hAnsi="宋体" w:eastAsia="宋体" w:cs="宋体"/>
          <w:color w:val="auto"/>
          <w:spacing w:val="-3"/>
          <w:sz w:val="20"/>
          <w:szCs w:val="20"/>
        </w:rPr>
        <w:t>行为。</w:t>
      </w:r>
    </w:p>
    <w:p w14:paraId="4846F12F">
      <w:pPr>
        <w:spacing w:before="1" w:line="360" w:lineRule="auto"/>
        <w:ind w:left="13"/>
        <w:rPr>
          <w:rFonts w:ascii="宋体" w:hAnsi="宋体" w:eastAsia="宋体" w:cs="宋体"/>
          <w:color w:val="auto"/>
          <w:sz w:val="20"/>
          <w:szCs w:val="20"/>
        </w:rPr>
      </w:pPr>
      <w:r>
        <w:rPr>
          <w:rFonts w:ascii="宋体" w:hAnsi="宋体" w:eastAsia="宋体" w:cs="宋体"/>
          <w:color w:val="auto"/>
          <w:spacing w:val="4"/>
          <w:sz w:val="20"/>
          <w:szCs w:val="20"/>
        </w:rPr>
        <w:t>(5) 发现对</w:t>
      </w:r>
      <w:r>
        <w:rPr>
          <w:rFonts w:ascii="宋体" w:hAnsi="宋体" w:eastAsia="宋体" w:cs="宋体"/>
          <w:color w:val="auto"/>
          <w:spacing w:val="2"/>
          <w:sz w:val="20"/>
          <w:szCs w:val="20"/>
        </w:rPr>
        <w:t>方在业务活动中有违反廉政规定的行为，有及时提醒对方纠正的权利和义务。</w:t>
      </w:r>
    </w:p>
    <w:p w14:paraId="51E7AA16">
      <w:pPr>
        <w:spacing w:before="1" w:line="360" w:lineRule="auto"/>
        <w:ind w:left="11" w:right="103" w:firstLine="2"/>
        <w:rPr>
          <w:rFonts w:ascii="宋体" w:hAnsi="宋体" w:eastAsia="宋体" w:cs="宋体"/>
          <w:color w:val="auto"/>
          <w:sz w:val="20"/>
          <w:szCs w:val="20"/>
        </w:rPr>
      </w:pPr>
      <w:r>
        <w:rPr>
          <w:rFonts w:ascii="宋体" w:hAnsi="宋体" w:eastAsia="宋体" w:cs="宋体"/>
          <w:color w:val="auto"/>
          <w:spacing w:val="8"/>
          <w:sz w:val="20"/>
          <w:szCs w:val="20"/>
        </w:rPr>
        <w:t>(</w:t>
      </w:r>
      <w:r>
        <w:rPr>
          <w:rFonts w:ascii="宋体" w:hAnsi="宋体" w:eastAsia="宋体" w:cs="宋体"/>
          <w:color w:val="auto"/>
          <w:spacing w:val="7"/>
          <w:sz w:val="20"/>
          <w:szCs w:val="20"/>
        </w:rPr>
        <w:t>6</w:t>
      </w:r>
      <w:r>
        <w:rPr>
          <w:rFonts w:ascii="宋体" w:hAnsi="宋体" w:eastAsia="宋体" w:cs="宋体"/>
          <w:color w:val="auto"/>
          <w:spacing w:val="4"/>
          <w:sz w:val="20"/>
          <w:szCs w:val="20"/>
        </w:rPr>
        <w:t>) 发现对方严重违反本合同义务条款的行为，有向其上级有关部门举报、建议给予处理并要求告</w:t>
      </w:r>
      <w:r>
        <w:rPr>
          <w:rFonts w:ascii="宋体" w:hAnsi="宋体" w:eastAsia="宋体" w:cs="宋体"/>
          <w:color w:val="auto"/>
          <w:sz w:val="20"/>
          <w:szCs w:val="20"/>
        </w:rPr>
        <w:t xml:space="preserve"> </w:t>
      </w:r>
      <w:r>
        <w:rPr>
          <w:rFonts w:ascii="宋体" w:hAnsi="宋体" w:eastAsia="宋体" w:cs="宋体"/>
          <w:color w:val="auto"/>
          <w:spacing w:val="-2"/>
          <w:sz w:val="20"/>
          <w:szCs w:val="20"/>
        </w:rPr>
        <w:t>知处理</w:t>
      </w:r>
      <w:r>
        <w:rPr>
          <w:rFonts w:ascii="宋体" w:hAnsi="宋体" w:eastAsia="宋体" w:cs="宋体"/>
          <w:color w:val="auto"/>
          <w:spacing w:val="-1"/>
          <w:sz w:val="20"/>
          <w:szCs w:val="20"/>
        </w:rPr>
        <w:t>结果的权利。</w:t>
      </w:r>
    </w:p>
    <w:p w14:paraId="50DF3770">
      <w:pPr>
        <w:spacing w:line="360" w:lineRule="auto"/>
        <w:ind w:left="10"/>
        <w:rPr>
          <w:rFonts w:ascii="宋体" w:hAnsi="宋体" w:eastAsia="宋体" w:cs="宋体"/>
          <w:color w:val="auto"/>
          <w:sz w:val="20"/>
          <w:szCs w:val="20"/>
        </w:rPr>
      </w:pPr>
      <w:r>
        <w:rPr>
          <w:rFonts w:ascii="宋体" w:hAnsi="宋体" w:eastAsia="宋体" w:cs="宋体"/>
          <w:color w:val="auto"/>
          <w:spacing w:val="-1"/>
          <w:sz w:val="20"/>
          <w:szCs w:val="20"/>
        </w:rPr>
        <w:t>2. 发包人的义务</w:t>
      </w:r>
    </w:p>
    <w:p w14:paraId="29F83538">
      <w:pPr>
        <w:spacing w:before="2" w:line="360" w:lineRule="auto"/>
        <w:ind w:left="6" w:right="103" w:firstLine="7"/>
        <w:rPr>
          <w:rFonts w:ascii="宋体" w:hAnsi="宋体" w:eastAsia="宋体" w:cs="宋体"/>
          <w:color w:val="auto"/>
          <w:sz w:val="20"/>
          <w:szCs w:val="20"/>
        </w:rPr>
      </w:pPr>
      <w:r>
        <w:rPr>
          <w:rFonts w:ascii="宋体" w:hAnsi="宋体" w:eastAsia="宋体" w:cs="宋体"/>
          <w:color w:val="auto"/>
          <w:spacing w:val="8"/>
          <w:sz w:val="20"/>
          <w:szCs w:val="20"/>
        </w:rPr>
        <w:t>(</w:t>
      </w:r>
      <w:r>
        <w:rPr>
          <w:rFonts w:ascii="宋体" w:hAnsi="宋体" w:eastAsia="宋体" w:cs="宋体"/>
          <w:color w:val="auto"/>
          <w:spacing w:val="7"/>
          <w:sz w:val="20"/>
          <w:szCs w:val="20"/>
        </w:rPr>
        <w:t>1</w:t>
      </w:r>
      <w:r>
        <w:rPr>
          <w:rFonts w:ascii="宋体" w:hAnsi="宋体" w:eastAsia="宋体" w:cs="宋体"/>
          <w:color w:val="auto"/>
          <w:spacing w:val="4"/>
          <w:sz w:val="20"/>
          <w:szCs w:val="20"/>
        </w:rPr>
        <w:t>) 发包人及其工作人员不得索要或接受承包人的礼金、有价证券和贵重物品，不得让承包人报销</w:t>
      </w:r>
      <w:r>
        <w:rPr>
          <w:rFonts w:ascii="宋体" w:hAnsi="宋体" w:eastAsia="宋体" w:cs="宋体"/>
          <w:color w:val="auto"/>
          <w:sz w:val="20"/>
          <w:szCs w:val="20"/>
        </w:rPr>
        <w:t xml:space="preserve"> </w:t>
      </w:r>
      <w:r>
        <w:rPr>
          <w:rFonts w:ascii="宋体" w:hAnsi="宋体" w:eastAsia="宋体" w:cs="宋体"/>
          <w:color w:val="auto"/>
          <w:spacing w:val="-1"/>
          <w:sz w:val="20"/>
          <w:szCs w:val="20"/>
        </w:rPr>
        <w:t>任何应由发包人</w:t>
      </w:r>
      <w:r>
        <w:rPr>
          <w:rFonts w:ascii="宋体" w:hAnsi="宋体" w:eastAsia="宋体" w:cs="宋体"/>
          <w:color w:val="auto"/>
          <w:sz w:val="20"/>
          <w:szCs w:val="20"/>
        </w:rPr>
        <w:t>或发包人工作人员个人支付的费用等。</w:t>
      </w:r>
    </w:p>
    <w:p w14:paraId="260A4B9A">
      <w:pPr>
        <w:spacing w:before="1" w:line="360" w:lineRule="auto"/>
        <w:ind w:left="11" w:right="103" w:firstLine="2"/>
        <w:rPr>
          <w:rFonts w:ascii="宋体" w:hAnsi="宋体" w:eastAsia="宋体" w:cs="宋体"/>
          <w:color w:val="auto"/>
          <w:sz w:val="20"/>
          <w:szCs w:val="20"/>
        </w:rPr>
      </w:pPr>
      <w:r>
        <w:rPr>
          <w:rFonts w:ascii="宋体" w:hAnsi="宋体" w:eastAsia="宋体" w:cs="宋体"/>
          <w:color w:val="auto"/>
          <w:spacing w:val="8"/>
          <w:sz w:val="20"/>
          <w:szCs w:val="20"/>
        </w:rPr>
        <w:t>(</w:t>
      </w:r>
      <w:r>
        <w:rPr>
          <w:rFonts w:ascii="宋体" w:hAnsi="宋体" w:eastAsia="宋体" w:cs="宋体"/>
          <w:color w:val="auto"/>
          <w:spacing w:val="7"/>
          <w:sz w:val="20"/>
          <w:szCs w:val="20"/>
        </w:rPr>
        <w:t>2</w:t>
      </w:r>
      <w:r>
        <w:rPr>
          <w:rFonts w:ascii="宋体" w:hAnsi="宋体" w:eastAsia="宋体" w:cs="宋体"/>
          <w:color w:val="auto"/>
          <w:spacing w:val="4"/>
          <w:sz w:val="20"/>
          <w:szCs w:val="20"/>
        </w:rPr>
        <w:t>) 发包人工作人员不得参加承包人安排的超标准宴请和娱乐活动；不得接受承包人提供的通信工</w:t>
      </w:r>
      <w:r>
        <w:rPr>
          <w:rFonts w:ascii="宋体" w:hAnsi="宋体" w:eastAsia="宋体" w:cs="宋体"/>
          <w:color w:val="auto"/>
          <w:sz w:val="20"/>
          <w:szCs w:val="20"/>
        </w:rPr>
        <w:t xml:space="preserve"> </w:t>
      </w:r>
      <w:r>
        <w:rPr>
          <w:rFonts w:ascii="宋体" w:hAnsi="宋体" w:eastAsia="宋体" w:cs="宋体"/>
          <w:color w:val="auto"/>
          <w:spacing w:val="-1"/>
          <w:sz w:val="20"/>
          <w:szCs w:val="20"/>
        </w:rPr>
        <w:t>具、交通工具和高档办公用</w:t>
      </w:r>
      <w:r>
        <w:rPr>
          <w:rFonts w:ascii="宋体" w:hAnsi="宋体" w:eastAsia="宋体" w:cs="宋体"/>
          <w:color w:val="auto"/>
          <w:sz w:val="20"/>
          <w:szCs w:val="20"/>
        </w:rPr>
        <w:t>品等。</w:t>
      </w:r>
    </w:p>
    <w:p w14:paraId="0AA011FE">
      <w:pPr>
        <w:spacing w:before="1" w:line="360" w:lineRule="auto"/>
        <w:ind w:left="11" w:right="103" w:firstLine="2"/>
        <w:rPr>
          <w:rFonts w:ascii="宋体" w:hAnsi="宋体" w:eastAsia="宋体" w:cs="宋体"/>
          <w:color w:val="auto"/>
          <w:sz w:val="20"/>
          <w:szCs w:val="20"/>
        </w:rPr>
      </w:pPr>
      <w:r>
        <w:rPr>
          <w:rFonts w:ascii="宋体" w:hAnsi="宋体" w:eastAsia="宋体" w:cs="宋体"/>
          <w:color w:val="auto"/>
          <w:spacing w:val="8"/>
          <w:sz w:val="20"/>
          <w:szCs w:val="20"/>
        </w:rPr>
        <w:t>(</w:t>
      </w:r>
      <w:r>
        <w:rPr>
          <w:rFonts w:ascii="宋体" w:hAnsi="宋体" w:eastAsia="宋体" w:cs="宋体"/>
          <w:color w:val="auto"/>
          <w:spacing w:val="7"/>
          <w:sz w:val="20"/>
          <w:szCs w:val="20"/>
        </w:rPr>
        <w:t>3</w:t>
      </w:r>
      <w:r>
        <w:rPr>
          <w:rFonts w:ascii="宋体" w:hAnsi="宋体" w:eastAsia="宋体" w:cs="宋体"/>
          <w:color w:val="auto"/>
          <w:spacing w:val="4"/>
          <w:sz w:val="20"/>
          <w:szCs w:val="20"/>
        </w:rPr>
        <w:t>) 发包人及其工作人员不得要求或者接受承包人为其住房装修、婚丧嫁娶活动、配偶子女的工作</w:t>
      </w:r>
      <w:r>
        <w:rPr>
          <w:rFonts w:ascii="宋体" w:hAnsi="宋体" w:eastAsia="宋体" w:cs="宋体"/>
          <w:color w:val="auto"/>
          <w:sz w:val="20"/>
          <w:szCs w:val="20"/>
        </w:rPr>
        <w:t xml:space="preserve"> </w:t>
      </w:r>
      <w:r>
        <w:rPr>
          <w:rFonts w:ascii="宋体" w:hAnsi="宋体" w:eastAsia="宋体" w:cs="宋体"/>
          <w:color w:val="auto"/>
          <w:spacing w:val="-1"/>
          <w:sz w:val="20"/>
          <w:szCs w:val="20"/>
        </w:rPr>
        <w:t>安排以及出国出境、旅游等</w:t>
      </w:r>
      <w:r>
        <w:rPr>
          <w:rFonts w:ascii="宋体" w:hAnsi="宋体" w:eastAsia="宋体" w:cs="宋体"/>
          <w:color w:val="auto"/>
          <w:sz w:val="20"/>
          <w:szCs w:val="20"/>
        </w:rPr>
        <w:t>提供方便等。</w:t>
      </w:r>
    </w:p>
    <w:p w14:paraId="7E9DE873">
      <w:pPr>
        <w:spacing w:before="1" w:line="360" w:lineRule="auto"/>
        <w:ind w:left="9" w:right="103" w:firstLine="4"/>
        <w:rPr>
          <w:rFonts w:ascii="宋体" w:hAnsi="宋体" w:eastAsia="宋体" w:cs="宋体"/>
          <w:color w:val="auto"/>
          <w:sz w:val="20"/>
          <w:szCs w:val="20"/>
        </w:rPr>
      </w:pPr>
      <w:r>
        <w:rPr>
          <w:rFonts w:ascii="宋体" w:hAnsi="宋体" w:eastAsia="宋体" w:cs="宋体"/>
          <w:color w:val="auto"/>
          <w:spacing w:val="8"/>
          <w:sz w:val="20"/>
          <w:szCs w:val="20"/>
        </w:rPr>
        <w:t>(</w:t>
      </w:r>
      <w:r>
        <w:rPr>
          <w:rFonts w:ascii="宋体" w:hAnsi="宋体" w:eastAsia="宋体" w:cs="宋体"/>
          <w:color w:val="auto"/>
          <w:spacing w:val="7"/>
          <w:sz w:val="20"/>
          <w:szCs w:val="20"/>
        </w:rPr>
        <w:t>4</w:t>
      </w:r>
      <w:r>
        <w:rPr>
          <w:rFonts w:ascii="宋体" w:hAnsi="宋体" w:eastAsia="宋体" w:cs="宋体"/>
          <w:color w:val="auto"/>
          <w:spacing w:val="4"/>
          <w:sz w:val="20"/>
          <w:szCs w:val="20"/>
        </w:rPr>
        <w:t>) 发包人工作人员及其配偶、子女不得从事与发包人工程有关的材料设备供应、工程分包、劳务</w:t>
      </w:r>
      <w:r>
        <w:rPr>
          <w:rFonts w:ascii="宋体" w:hAnsi="宋体" w:eastAsia="宋体" w:cs="宋体"/>
          <w:color w:val="auto"/>
          <w:sz w:val="20"/>
          <w:szCs w:val="20"/>
        </w:rPr>
        <w:t xml:space="preserve"> </w:t>
      </w:r>
      <w:r>
        <w:rPr>
          <w:rFonts w:ascii="宋体" w:hAnsi="宋体" w:eastAsia="宋体" w:cs="宋体"/>
          <w:color w:val="auto"/>
          <w:spacing w:val="-2"/>
          <w:sz w:val="20"/>
          <w:szCs w:val="20"/>
        </w:rPr>
        <w:t>等经济活</w:t>
      </w:r>
      <w:r>
        <w:rPr>
          <w:rFonts w:ascii="宋体" w:hAnsi="宋体" w:eastAsia="宋体" w:cs="宋体"/>
          <w:color w:val="auto"/>
          <w:spacing w:val="-1"/>
          <w:sz w:val="20"/>
          <w:szCs w:val="20"/>
        </w:rPr>
        <w:t>动等。</w:t>
      </w:r>
    </w:p>
    <w:p w14:paraId="5EA882DE">
      <w:pPr>
        <w:spacing w:before="2" w:line="360" w:lineRule="auto"/>
        <w:ind w:left="8" w:right="103" w:firstLine="5"/>
        <w:rPr>
          <w:rFonts w:ascii="宋体" w:hAnsi="宋体" w:eastAsia="宋体" w:cs="宋体"/>
          <w:color w:val="auto"/>
          <w:sz w:val="20"/>
          <w:szCs w:val="20"/>
        </w:rPr>
      </w:pPr>
      <w:r>
        <w:rPr>
          <w:rFonts w:ascii="宋体" w:hAnsi="宋体" w:eastAsia="宋体" w:cs="宋体"/>
          <w:color w:val="auto"/>
          <w:spacing w:val="8"/>
          <w:sz w:val="20"/>
          <w:szCs w:val="20"/>
        </w:rPr>
        <w:t>(</w:t>
      </w:r>
      <w:r>
        <w:rPr>
          <w:rFonts w:ascii="宋体" w:hAnsi="宋体" w:eastAsia="宋体" w:cs="宋体"/>
          <w:color w:val="auto"/>
          <w:spacing w:val="7"/>
          <w:sz w:val="20"/>
          <w:szCs w:val="20"/>
        </w:rPr>
        <w:t>5</w:t>
      </w:r>
      <w:r>
        <w:rPr>
          <w:rFonts w:ascii="宋体" w:hAnsi="宋体" w:eastAsia="宋体" w:cs="宋体"/>
          <w:color w:val="auto"/>
          <w:spacing w:val="4"/>
          <w:sz w:val="20"/>
          <w:szCs w:val="20"/>
        </w:rPr>
        <w:t>) 发包人及其工作人员不得以任何理由向承包人推荐分包单位或推销材料，不得要求承包人购买</w:t>
      </w:r>
      <w:r>
        <w:rPr>
          <w:rFonts w:ascii="宋体" w:hAnsi="宋体" w:eastAsia="宋体" w:cs="宋体"/>
          <w:color w:val="auto"/>
          <w:sz w:val="20"/>
          <w:szCs w:val="20"/>
        </w:rPr>
        <w:t xml:space="preserve"> </w:t>
      </w:r>
      <w:r>
        <w:rPr>
          <w:rFonts w:ascii="宋体" w:hAnsi="宋体" w:eastAsia="宋体" w:cs="宋体"/>
          <w:color w:val="auto"/>
          <w:spacing w:val="-1"/>
          <w:sz w:val="20"/>
          <w:szCs w:val="20"/>
        </w:rPr>
        <w:t>合同规定外的材料</w:t>
      </w:r>
      <w:r>
        <w:rPr>
          <w:rFonts w:ascii="宋体" w:hAnsi="宋体" w:eastAsia="宋体" w:cs="宋体"/>
          <w:color w:val="auto"/>
          <w:sz w:val="20"/>
          <w:szCs w:val="20"/>
        </w:rPr>
        <w:t>和设备。</w:t>
      </w:r>
    </w:p>
    <w:p w14:paraId="2F1C7F62">
      <w:pPr>
        <w:spacing w:before="1" w:line="360" w:lineRule="auto"/>
        <w:ind w:left="7" w:right="103" w:firstLine="6"/>
        <w:rPr>
          <w:rFonts w:ascii="宋体" w:hAnsi="宋体" w:eastAsia="宋体" w:cs="宋体"/>
          <w:color w:val="auto"/>
          <w:sz w:val="20"/>
          <w:szCs w:val="20"/>
        </w:rPr>
      </w:pPr>
      <w:r>
        <w:rPr>
          <w:rFonts w:ascii="宋体" w:hAnsi="宋体" w:eastAsia="宋体" w:cs="宋体"/>
          <w:color w:val="auto"/>
          <w:spacing w:val="8"/>
          <w:sz w:val="20"/>
          <w:szCs w:val="20"/>
        </w:rPr>
        <w:t>(</w:t>
      </w:r>
      <w:r>
        <w:rPr>
          <w:rFonts w:ascii="宋体" w:hAnsi="宋体" w:eastAsia="宋体" w:cs="宋体"/>
          <w:color w:val="auto"/>
          <w:spacing w:val="7"/>
          <w:sz w:val="20"/>
          <w:szCs w:val="20"/>
        </w:rPr>
        <w:t>6</w:t>
      </w:r>
      <w:r>
        <w:rPr>
          <w:rFonts w:ascii="宋体" w:hAnsi="宋体" w:eastAsia="宋体" w:cs="宋体"/>
          <w:color w:val="auto"/>
          <w:spacing w:val="4"/>
          <w:sz w:val="20"/>
          <w:szCs w:val="20"/>
        </w:rPr>
        <w:t>) 发包人工作人员要秉公办事，不准营私舞弊，不准利用职权从事各种个人有偿中介活动和安排</w:t>
      </w:r>
      <w:r>
        <w:rPr>
          <w:rFonts w:ascii="宋体" w:hAnsi="宋体" w:eastAsia="宋体" w:cs="宋体"/>
          <w:color w:val="auto"/>
          <w:sz w:val="20"/>
          <w:szCs w:val="20"/>
        </w:rPr>
        <w:t xml:space="preserve"> </w:t>
      </w:r>
      <w:r>
        <w:rPr>
          <w:rFonts w:ascii="宋体" w:hAnsi="宋体" w:eastAsia="宋体" w:cs="宋体"/>
          <w:color w:val="auto"/>
          <w:spacing w:val="-2"/>
          <w:sz w:val="20"/>
          <w:szCs w:val="20"/>
        </w:rPr>
        <w:t>个人</w:t>
      </w:r>
      <w:r>
        <w:rPr>
          <w:rFonts w:ascii="宋体" w:hAnsi="宋体" w:eastAsia="宋体" w:cs="宋体"/>
          <w:color w:val="auto"/>
          <w:spacing w:val="-1"/>
          <w:sz w:val="20"/>
          <w:szCs w:val="20"/>
        </w:rPr>
        <w:t>施工队伍。</w:t>
      </w:r>
    </w:p>
    <w:p w14:paraId="2B7EE247">
      <w:pPr>
        <w:spacing w:line="360" w:lineRule="auto"/>
        <w:ind w:left="11"/>
        <w:rPr>
          <w:rFonts w:ascii="宋体" w:hAnsi="宋体" w:eastAsia="宋体" w:cs="宋体"/>
          <w:color w:val="auto"/>
          <w:sz w:val="20"/>
          <w:szCs w:val="20"/>
        </w:rPr>
      </w:pPr>
      <w:r>
        <w:rPr>
          <w:rFonts w:ascii="宋体" w:hAnsi="宋体" w:eastAsia="宋体" w:cs="宋体"/>
          <w:color w:val="auto"/>
          <w:spacing w:val="-2"/>
          <w:sz w:val="20"/>
          <w:szCs w:val="20"/>
        </w:rPr>
        <w:t>3.</w:t>
      </w:r>
      <w:r>
        <w:rPr>
          <w:rFonts w:ascii="宋体" w:hAnsi="宋体" w:eastAsia="宋体" w:cs="宋体"/>
          <w:color w:val="auto"/>
          <w:spacing w:val="-1"/>
          <w:sz w:val="20"/>
          <w:szCs w:val="20"/>
        </w:rPr>
        <w:t xml:space="preserve"> 承包人的义务</w:t>
      </w:r>
    </w:p>
    <w:p w14:paraId="63EEA653">
      <w:pPr>
        <w:spacing w:before="1" w:line="360" w:lineRule="auto"/>
        <w:ind w:left="13"/>
        <w:rPr>
          <w:rFonts w:ascii="宋体" w:hAnsi="宋体" w:eastAsia="宋体" w:cs="宋体"/>
          <w:color w:val="auto"/>
          <w:sz w:val="20"/>
          <w:szCs w:val="20"/>
        </w:rPr>
      </w:pPr>
      <w:r>
        <w:rPr>
          <w:rFonts w:ascii="宋体" w:hAnsi="宋体" w:eastAsia="宋体" w:cs="宋体"/>
          <w:color w:val="auto"/>
          <w:spacing w:val="4"/>
          <w:sz w:val="20"/>
          <w:szCs w:val="20"/>
        </w:rPr>
        <w:t>(1) 承包</w:t>
      </w:r>
      <w:r>
        <w:rPr>
          <w:rFonts w:ascii="宋体" w:hAnsi="宋体" w:eastAsia="宋体" w:cs="宋体"/>
          <w:color w:val="auto"/>
          <w:spacing w:val="3"/>
          <w:sz w:val="20"/>
          <w:szCs w:val="20"/>
        </w:rPr>
        <w:t>人</w:t>
      </w:r>
      <w:r>
        <w:rPr>
          <w:rFonts w:ascii="宋体" w:hAnsi="宋体" w:eastAsia="宋体" w:cs="宋体"/>
          <w:color w:val="auto"/>
          <w:spacing w:val="2"/>
          <w:sz w:val="20"/>
          <w:szCs w:val="20"/>
        </w:rPr>
        <w:t>不得以任何理由向发包人及其工作人员行贿或馈赠礼金、有价证券、贵重礼品。</w:t>
      </w:r>
    </w:p>
    <w:p w14:paraId="2E33F3A2">
      <w:pPr>
        <w:spacing w:before="1" w:line="360" w:lineRule="auto"/>
        <w:ind w:left="13"/>
        <w:rPr>
          <w:rFonts w:ascii="宋体" w:hAnsi="宋体" w:eastAsia="宋体" w:cs="宋体"/>
          <w:color w:val="auto"/>
          <w:sz w:val="20"/>
          <w:szCs w:val="20"/>
        </w:rPr>
      </w:pPr>
      <w:r>
        <w:rPr>
          <w:rFonts w:ascii="宋体" w:hAnsi="宋体" w:eastAsia="宋体" w:cs="宋体"/>
          <w:color w:val="auto"/>
          <w:spacing w:val="4"/>
          <w:sz w:val="20"/>
          <w:szCs w:val="20"/>
        </w:rPr>
        <w:t xml:space="preserve">(2) </w:t>
      </w:r>
      <w:r>
        <w:rPr>
          <w:rFonts w:ascii="宋体" w:hAnsi="宋体" w:eastAsia="宋体" w:cs="宋体"/>
          <w:color w:val="auto"/>
          <w:spacing w:val="2"/>
          <w:sz w:val="20"/>
          <w:szCs w:val="20"/>
        </w:rPr>
        <w:t>承包人不得以任何名义为发包人及其工作人员报销应由发包人单位或个人支付的任何费用。</w:t>
      </w:r>
    </w:p>
    <w:p w14:paraId="383133D2">
      <w:pPr>
        <w:spacing w:line="360" w:lineRule="auto"/>
        <w:ind w:left="13"/>
        <w:rPr>
          <w:rFonts w:ascii="宋体" w:hAnsi="宋体" w:eastAsia="宋体" w:cs="宋体"/>
          <w:color w:val="auto"/>
          <w:sz w:val="20"/>
          <w:szCs w:val="20"/>
        </w:rPr>
      </w:pPr>
      <w:r>
        <w:rPr>
          <w:rFonts w:ascii="宋体" w:hAnsi="宋体" w:eastAsia="宋体" w:cs="宋体"/>
          <w:color w:val="auto"/>
          <w:spacing w:val="4"/>
          <w:sz w:val="20"/>
          <w:szCs w:val="20"/>
        </w:rPr>
        <w:t>(3) 承包人不得以任何</w:t>
      </w:r>
      <w:r>
        <w:rPr>
          <w:rFonts w:ascii="宋体" w:hAnsi="宋体" w:eastAsia="宋体" w:cs="宋体"/>
          <w:color w:val="auto"/>
          <w:spacing w:val="3"/>
          <w:sz w:val="20"/>
          <w:szCs w:val="20"/>
        </w:rPr>
        <w:t>理</w:t>
      </w:r>
      <w:r>
        <w:rPr>
          <w:rFonts w:ascii="宋体" w:hAnsi="宋体" w:eastAsia="宋体" w:cs="宋体"/>
          <w:color w:val="auto"/>
          <w:spacing w:val="2"/>
          <w:sz w:val="20"/>
          <w:szCs w:val="20"/>
        </w:rPr>
        <w:t>由安排发包人工作人员参加超标准宴请及娱乐活动。</w:t>
      </w:r>
    </w:p>
    <w:p w14:paraId="47C375CF">
      <w:pPr>
        <w:spacing w:before="1" w:line="360" w:lineRule="auto"/>
        <w:ind w:left="13"/>
        <w:rPr>
          <w:rFonts w:ascii="宋体" w:hAnsi="宋体" w:eastAsia="宋体" w:cs="宋体"/>
          <w:color w:val="auto"/>
          <w:sz w:val="20"/>
          <w:szCs w:val="20"/>
        </w:rPr>
      </w:pPr>
      <w:r>
        <w:rPr>
          <w:rFonts w:ascii="宋体" w:hAnsi="宋体" w:eastAsia="宋体" w:cs="宋体"/>
          <w:color w:val="auto"/>
          <w:spacing w:val="4"/>
          <w:sz w:val="20"/>
          <w:szCs w:val="20"/>
        </w:rPr>
        <w:t>(4) 承包人</w:t>
      </w:r>
      <w:r>
        <w:rPr>
          <w:rFonts w:ascii="宋体" w:hAnsi="宋体" w:eastAsia="宋体" w:cs="宋体"/>
          <w:color w:val="auto"/>
          <w:spacing w:val="2"/>
          <w:sz w:val="20"/>
          <w:szCs w:val="20"/>
        </w:rPr>
        <w:t>不得为发包人单位和个人购置或提供通信工具、交通工具和高档办公用品等。</w:t>
      </w:r>
    </w:p>
    <w:p w14:paraId="576A1B3B">
      <w:pPr>
        <w:spacing w:line="360" w:lineRule="auto"/>
        <w:ind w:left="6"/>
        <w:rPr>
          <w:rFonts w:ascii="宋体" w:hAnsi="宋体" w:eastAsia="宋体" w:cs="宋体"/>
          <w:color w:val="auto"/>
          <w:sz w:val="20"/>
          <w:szCs w:val="20"/>
        </w:rPr>
      </w:pPr>
      <w:r>
        <w:rPr>
          <w:rFonts w:ascii="宋体" w:hAnsi="宋体" w:eastAsia="宋体" w:cs="宋体"/>
          <w:color w:val="auto"/>
          <w:spacing w:val="-1"/>
          <w:sz w:val="20"/>
          <w:szCs w:val="20"/>
        </w:rPr>
        <w:t>4. 违约责</w:t>
      </w:r>
      <w:r>
        <w:rPr>
          <w:rFonts w:ascii="宋体" w:hAnsi="宋体" w:eastAsia="宋体" w:cs="宋体"/>
          <w:color w:val="auto"/>
          <w:sz w:val="20"/>
          <w:szCs w:val="20"/>
        </w:rPr>
        <w:t>任</w:t>
      </w:r>
    </w:p>
    <w:p w14:paraId="64CFD923">
      <w:pPr>
        <w:spacing w:before="2" w:line="360" w:lineRule="auto"/>
        <w:ind w:left="10" w:right="103" w:firstLine="2"/>
        <w:rPr>
          <w:rFonts w:ascii="宋体" w:hAnsi="宋体" w:eastAsia="宋体" w:cs="宋体"/>
          <w:color w:val="auto"/>
          <w:sz w:val="20"/>
          <w:szCs w:val="20"/>
        </w:rPr>
      </w:pPr>
      <w:r>
        <w:rPr>
          <w:rFonts w:ascii="宋体" w:hAnsi="宋体" w:eastAsia="宋体" w:cs="宋体"/>
          <w:color w:val="auto"/>
          <w:spacing w:val="4"/>
          <w:sz w:val="20"/>
          <w:szCs w:val="20"/>
        </w:rPr>
        <w:t>(1) 发包人及其工作人员违反本合同第 1、2 条，按管理权限，依据有关规定给予党纪、政纪或</w:t>
      </w:r>
      <w:r>
        <w:rPr>
          <w:rFonts w:ascii="宋体" w:hAnsi="宋体" w:eastAsia="宋体" w:cs="宋体"/>
          <w:color w:val="auto"/>
          <w:spacing w:val="3"/>
          <w:sz w:val="20"/>
          <w:szCs w:val="20"/>
        </w:rPr>
        <w:t>组</w:t>
      </w:r>
      <w:r>
        <w:rPr>
          <w:rFonts w:ascii="宋体" w:hAnsi="宋体" w:eastAsia="宋体" w:cs="宋体"/>
          <w:color w:val="auto"/>
          <w:sz w:val="20"/>
          <w:szCs w:val="20"/>
        </w:rPr>
        <w:t xml:space="preserve"> </w:t>
      </w:r>
      <w:r>
        <w:rPr>
          <w:rFonts w:ascii="宋体" w:hAnsi="宋体" w:eastAsia="宋体" w:cs="宋体"/>
          <w:color w:val="auto"/>
          <w:spacing w:val="-1"/>
          <w:sz w:val="20"/>
          <w:szCs w:val="20"/>
        </w:rPr>
        <w:t>织处理；涉嫌犯罪的，移交司</w:t>
      </w:r>
      <w:r>
        <w:rPr>
          <w:rFonts w:ascii="宋体" w:hAnsi="宋体" w:eastAsia="宋体" w:cs="宋体"/>
          <w:color w:val="auto"/>
          <w:sz w:val="20"/>
          <w:szCs w:val="20"/>
        </w:rPr>
        <w:t>法机关追究刑事责任；给承包人单位造成经济损失的，应予以赔偿。</w:t>
      </w:r>
    </w:p>
    <w:p w14:paraId="26433063">
      <w:pPr>
        <w:spacing w:line="360" w:lineRule="auto"/>
        <w:ind w:left="10" w:right="101" w:firstLine="2"/>
        <w:rPr>
          <w:rFonts w:ascii="宋体" w:hAnsi="宋体" w:eastAsia="宋体" w:cs="宋体"/>
          <w:color w:val="auto"/>
          <w:sz w:val="20"/>
          <w:szCs w:val="20"/>
        </w:rPr>
      </w:pPr>
      <w:r>
        <w:rPr>
          <w:rFonts w:ascii="宋体" w:hAnsi="宋体" w:eastAsia="宋体" w:cs="宋体"/>
          <w:color w:val="auto"/>
          <w:spacing w:val="4"/>
          <w:sz w:val="20"/>
          <w:szCs w:val="20"/>
        </w:rPr>
        <w:t>(2) 承包人及其工作人员违反本合同第 1、3 条，按管理权限，依据有关规定给予党纪、政纪或</w:t>
      </w:r>
      <w:r>
        <w:rPr>
          <w:rFonts w:ascii="宋体" w:hAnsi="宋体" w:eastAsia="宋体" w:cs="宋体"/>
          <w:color w:val="auto"/>
          <w:spacing w:val="3"/>
          <w:sz w:val="20"/>
          <w:szCs w:val="20"/>
        </w:rPr>
        <w:t>组</w:t>
      </w:r>
      <w:r>
        <w:rPr>
          <w:rFonts w:ascii="宋体" w:hAnsi="宋体" w:eastAsia="宋体" w:cs="宋体"/>
          <w:color w:val="auto"/>
          <w:sz w:val="20"/>
          <w:szCs w:val="20"/>
        </w:rPr>
        <w:t xml:space="preserve"> </w:t>
      </w:r>
      <w:r>
        <w:rPr>
          <w:rFonts w:ascii="宋体" w:hAnsi="宋体" w:eastAsia="宋体" w:cs="宋体"/>
          <w:color w:val="auto"/>
          <w:spacing w:val="-1"/>
          <w:sz w:val="20"/>
          <w:szCs w:val="20"/>
        </w:rPr>
        <w:t>织处理；给发包人单位造成经济损失的，应予以赔偿；情节严重</w:t>
      </w:r>
      <w:r>
        <w:rPr>
          <w:rFonts w:ascii="宋体" w:hAnsi="宋体" w:eastAsia="宋体" w:cs="宋体"/>
          <w:color w:val="auto"/>
          <w:sz w:val="20"/>
          <w:szCs w:val="20"/>
        </w:rPr>
        <w:t xml:space="preserve">的，发包人建议交通运输主管部门给 </w:t>
      </w:r>
      <w:r>
        <w:rPr>
          <w:rFonts w:ascii="宋体" w:hAnsi="宋体" w:eastAsia="宋体" w:cs="宋体"/>
          <w:color w:val="auto"/>
          <w:spacing w:val="-1"/>
          <w:sz w:val="20"/>
          <w:szCs w:val="20"/>
        </w:rPr>
        <w:t>予承包人一至三年内不得</w:t>
      </w:r>
      <w:r>
        <w:rPr>
          <w:rFonts w:ascii="宋体" w:hAnsi="宋体" w:eastAsia="宋体" w:cs="宋体"/>
          <w:color w:val="auto"/>
          <w:sz w:val="20"/>
          <w:szCs w:val="20"/>
        </w:rPr>
        <w:t>进入其主管的公路建设市场的处罚。</w:t>
      </w:r>
    </w:p>
    <w:p w14:paraId="05198B7A">
      <w:pPr>
        <w:spacing w:before="1" w:line="360" w:lineRule="auto"/>
        <w:ind w:left="8" w:right="103" w:firstLine="3"/>
        <w:rPr>
          <w:rFonts w:ascii="宋体" w:hAnsi="宋体" w:eastAsia="宋体" w:cs="宋体"/>
          <w:color w:val="auto"/>
          <w:sz w:val="20"/>
          <w:szCs w:val="20"/>
        </w:rPr>
      </w:pPr>
      <w:r>
        <w:rPr>
          <w:rFonts w:ascii="宋体" w:hAnsi="宋体" w:eastAsia="宋体" w:cs="宋体"/>
          <w:color w:val="auto"/>
          <w:spacing w:val="2"/>
          <w:sz w:val="20"/>
          <w:szCs w:val="20"/>
        </w:rPr>
        <w:t>5. 双方约定：本合同由双方或双方上级单位的纪检监察部门负责监督执行</w:t>
      </w:r>
      <w:r>
        <w:rPr>
          <w:rFonts w:ascii="宋体" w:hAnsi="宋体" w:eastAsia="宋体" w:cs="宋体"/>
          <w:color w:val="auto"/>
          <w:spacing w:val="1"/>
          <w:sz w:val="20"/>
          <w:szCs w:val="20"/>
        </w:rPr>
        <w:t>。由发包人或发包人上级</w:t>
      </w:r>
      <w:r>
        <w:rPr>
          <w:rFonts w:ascii="宋体" w:hAnsi="宋体" w:eastAsia="宋体" w:cs="宋体"/>
          <w:color w:val="auto"/>
          <w:sz w:val="20"/>
          <w:szCs w:val="20"/>
        </w:rPr>
        <w:t xml:space="preserve"> </w:t>
      </w:r>
      <w:r>
        <w:rPr>
          <w:rFonts w:ascii="宋体" w:hAnsi="宋体" w:eastAsia="宋体" w:cs="宋体"/>
          <w:color w:val="auto"/>
          <w:spacing w:val="-1"/>
          <w:sz w:val="20"/>
          <w:szCs w:val="20"/>
        </w:rPr>
        <w:t>单位的纪检监察部门约请承包人或承包人上级单位纪检监察部</w:t>
      </w:r>
      <w:r>
        <w:rPr>
          <w:rFonts w:ascii="宋体" w:hAnsi="宋体" w:eastAsia="宋体" w:cs="宋体"/>
          <w:color w:val="auto"/>
          <w:sz w:val="20"/>
          <w:szCs w:val="20"/>
        </w:rPr>
        <w:t xml:space="preserve">门对本合同执行情况进行检查，提出在 </w:t>
      </w:r>
      <w:r>
        <w:rPr>
          <w:rFonts w:ascii="宋体" w:hAnsi="宋体" w:eastAsia="宋体" w:cs="宋体"/>
          <w:color w:val="auto"/>
          <w:spacing w:val="-1"/>
          <w:sz w:val="20"/>
          <w:szCs w:val="20"/>
        </w:rPr>
        <w:t>本合同规定范围内的</w:t>
      </w:r>
      <w:r>
        <w:rPr>
          <w:rFonts w:ascii="宋体" w:hAnsi="宋体" w:eastAsia="宋体" w:cs="宋体"/>
          <w:color w:val="auto"/>
          <w:sz w:val="20"/>
          <w:szCs w:val="20"/>
        </w:rPr>
        <w:t>裁定意见。</w:t>
      </w:r>
    </w:p>
    <w:p w14:paraId="69938B38">
      <w:pPr>
        <w:spacing w:before="1" w:line="360" w:lineRule="auto"/>
        <w:ind w:left="9"/>
        <w:rPr>
          <w:rFonts w:ascii="宋体" w:hAnsi="宋体" w:eastAsia="宋体" w:cs="宋体"/>
          <w:color w:val="auto"/>
          <w:sz w:val="20"/>
          <w:szCs w:val="20"/>
        </w:rPr>
      </w:pPr>
      <w:r>
        <w:rPr>
          <w:rFonts w:ascii="宋体" w:hAnsi="宋体" w:eastAsia="宋体" w:cs="宋体"/>
          <w:color w:val="auto"/>
          <w:spacing w:val="-1"/>
          <w:sz w:val="20"/>
          <w:szCs w:val="20"/>
        </w:rPr>
        <w:t>6. 本合同有效期</w:t>
      </w:r>
      <w:r>
        <w:rPr>
          <w:rFonts w:ascii="宋体" w:hAnsi="宋体" w:eastAsia="宋体" w:cs="宋体"/>
          <w:color w:val="auto"/>
          <w:sz w:val="20"/>
          <w:szCs w:val="20"/>
        </w:rPr>
        <w:t>为发包人和承包人签署之日起至该工程项目竣工验收后止。</w:t>
      </w:r>
    </w:p>
    <w:p w14:paraId="6794FBB2">
      <w:pPr>
        <w:spacing w:before="1" w:line="360" w:lineRule="auto"/>
        <w:ind w:left="9" w:right="41" w:firstLine="3"/>
        <w:rPr>
          <w:rFonts w:ascii="宋体" w:hAnsi="宋体" w:eastAsia="宋体" w:cs="宋体"/>
          <w:color w:val="auto"/>
          <w:sz w:val="20"/>
          <w:szCs w:val="20"/>
        </w:rPr>
      </w:pPr>
      <w:r>
        <w:rPr>
          <w:rFonts w:ascii="宋体" w:hAnsi="宋体" w:eastAsia="宋体" w:cs="宋体"/>
          <w:color w:val="auto"/>
          <w:spacing w:val="-2"/>
          <w:sz w:val="20"/>
          <w:szCs w:val="20"/>
        </w:rPr>
        <w:t>7. 本合同作为</w:t>
      </w:r>
      <w:r>
        <w:rPr>
          <w:rFonts w:ascii="宋体" w:hAnsi="宋体" w:eastAsia="宋体" w:cs="宋体"/>
          <w:color w:val="auto"/>
          <w:spacing w:val="-2"/>
          <w:sz w:val="20"/>
          <w:szCs w:val="20"/>
          <w:u w:val="single" w:color="auto"/>
        </w:rPr>
        <w:t xml:space="preserve">      </w:t>
      </w:r>
      <w:r>
        <w:rPr>
          <w:rFonts w:hint="eastAsia" w:ascii="宋体" w:hAnsi="宋体" w:cs="宋体"/>
          <w:color w:val="auto"/>
          <w:spacing w:val="-2"/>
          <w:sz w:val="20"/>
          <w:szCs w:val="20"/>
          <w:u w:val="single" w:color="auto"/>
          <w:lang w:eastAsia="zh-CN"/>
        </w:rPr>
        <w:t>（</w:t>
      </w:r>
      <w:r>
        <w:rPr>
          <w:rFonts w:ascii="宋体" w:hAnsi="宋体" w:eastAsia="宋体" w:cs="宋体"/>
          <w:color w:val="auto"/>
          <w:spacing w:val="-2"/>
          <w:sz w:val="20"/>
          <w:szCs w:val="20"/>
        </w:rPr>
        <w:t>项目名称</w:t>
      </w:r>
      <w:r>
        <w:rPr>
          <w:rFonts w:hint="eastAsia" w:ascii="宋体" w:hAnsi="宋体" w:cs="宋体"/>
          <w:color w:val="auto"/>
          <w:spacing w:val="-2"/>
          <w:sz w:val="20"/>
          <w:szCs w:val="20"/>
          <w:lang w:eastAsia="zh-CN"/>
        </w:rPr>
        <w:t>）</w:t>
      </w:r>
      <w:r>
        <w:rPr>
          <w:rFonts w:ascii="宋体" w:hAnsi="宋体" w:eastAsia="宋体" w:cs="宋体"/>
          <w:color w:val="auto"/>
          <w:spacing w:val="-2"/>
          <w:sz w:val="20"/>
          <w:szCs w:val="20"/>
          <w:u w:val="single" w:color="auto"/>
        </w:rPr>
        <w:t xml:space="preserve">      </w:t>
      </w:r>
      <w:r>
        <w:rPr>
          <w:rFonts w:ascii="宋体" w:hAnsi="宋体" w:eastAsia="宋体" w:cs="宋体"/>
          <w:color w:val="auto"/>
          <w:spacing w:val="-1"/>
          <w:sz w:val="20"/>
          <w:szCs w:val="20"/>
        </w:rPr>
        <w:t>标段施工合同的附件，与工程施工合同具有同等的法律效力，</w:t>
      </w:r>
      <w:r>
        <w:rPr>
          <w:rFonts w:ascii="宋体" w:hAnsi="宋体" w:eastAsia="宋体" w:cs="宋体"/>
          <w:color w:val="auto"/>
          <w:sz w:val="20"/>
          <w:szCs w:val="20"/>
        </w:rPr>
        <w:t xml:space="preserve"> </w:t>
      </w:r>
      <w:r>
        <w:rPr>
          <w:rFonts w:ascii="宋体" w:hAnsi="宋体" w:eastAsia="宋体" w:cs="宋体"/>
          <w:color w:val="auto"/>
          <w:spacing w:val="-1"/>
          <w:sz w:val="20"/>
          <w:szCs w:val="20"/>
        </w:rPr>
        <w:t>经合同双方签署后立即生</w:t>
      </w:r>
      <w:r>
        <w:rPr>
          <w:rFonts w:ascii="宋体" w:hAnsi="宋体" w:eastAsia="宋体" w:cs="宋体"/>
          <w:color w:val="auto"/>
          <w:sz w:val="20"/>
          <w:szCs w:val="20"/>
        </w:rPr>
        <w:t>效。</w:t>
      </w:r>
    </w:p>
    <w:p w14:paraId="022373AF">
      <w:pPr>
        <w:spacing w:line="360" w:lineRule="auto"/>
        <w:ind w:left="8"/>
        <w:rPr>
          <w:rFonts w:ascii="宋体" w:hAnsi="宋体" w:eastAsia="宋体" w:cs="宋体"/>
          <w:color w:val="auto"/>
          <w:sz w:val="20"/>
          <w:szCs w:val="20"/>
        </w:rPr>
      </w:pPr>
      <w:r>
        <w:rPr>
          <w:rFonts w:ascii="宋体" w:hAnsi="宋体" w:eastAsia="宋体" w:cs="宋体"/>
          <w:color w:val="auto"/>
          <w:spacing w:val="-1"/>
          <w:sz w:val="20"/>
          <w:szCs w:val="20"/>
        </w:rPr>
        <w:t>8. 本合同一</w:t>
      </w:r>
      <w:r>
        <w:rPr>
          <w:rFonts w:ascii="宋体" w:hAnsi="宋体" w:eastAsia="宋体" w:cs="宋体"/>
          <w:color w:val="auto"/>
          <w:sz w:val="20"/>
          <w:szCs w:val="20"/>
        </w:rPr>
        <w:t>式四份，由发包人和承包人各执一份，送交发包人和承包人的监督单位各一份</w:t>
      </w:r>
    </w:p>
    <w:p w14:paraId="5D54AD0A">
      <w:pPr>
        <w:spacing w:before="256" w:line="360" w:lineRule="auto"/>
        <w:ind w:left="10"/>
        <w:rPr>
          <w:rFonts w:ascii="宋体" w:hAnsi="宋体" w:eastAsia="宋体" w:cs="宋体"/>
          <w:color w:val="auto"/>
          <w:sz w:val="20"/>
          <w:szCs w:val="20"/>
        </w:rPr>
      </w:pPr>
      <w:r>
        <w:rPr>
          <w:rFonts w:ascii="宋体" w:hAnsi="宋体" w:eastAsia="宋体" w:cs="宋体"/>
          <w:color w:val="auto"/>
          <w:spacing w:val="-4"/>
          <w:sz w:val="20"/>
          <w:szCs w:val="20"/>
        </w:rPr>
        <w:t>发包人：</w:t>
      </w:r>
      <w:r>
        <w:rPr>
          <w:rFonts w:ascii="宋体" w:hAnsi="宋体" w:eastAsia="宋体" w:cs="宋体"/>
          <w:color w:val="auto"/>
          <w:spacing w:val="-4"/>
          <w:sz w:val="20"/>
          <w:szCs w:val="20"/>
          <w:u w:val="single" w:color="auto"/>
        </w:rPr>
        <w:t xml:space="preserve">                  </w:t>
      </w:r>
      <w:r>
        <w:rPr>
          <w:rFonts w:hint="eastAsia" w:ascii="宋体" w:hAnsi="宋体" w:cs="宋体"/>
          <w:color w:val="auto"/>
          <w:spacing w:val="-4"/>
          <w:sz w:val="20"/>
          <w:szCs w:val="20"/>
          <w:u w:val="single" w:color="auto"/>
          <w:lang w:eastAsia="zh-CN"/>
        </w:rPr>
        <w:t>（</w:t>
      </w:r>
      <w:r>
        <w:rPr>
          <w:rFonts w:ascii="宋体" w:hAnsi="宋体" w:eastAsia="宋体" w:cs="宋体"/>
          <w:color w:val="auto"/>
          <w:spacing w:val="-4"/>
          <w:sz w:val="20"/>
          <w:szCs w:val="20"/>
        </w:rPr>
        <w:t>盖单位章</w:t>
      </w:r>
      <w:r>
        <w:rPr>
          <w:rFonts w:hint="eastAsia" w:ascii="宋体" w:hAnsi="宋体" w:cs="宋体"/>
          <w:color w:val="auto"/>
          <w:spacing w:val="-4"/>
          <w:sz w:val="20"/>
          <w:szCs w:val="20"/>
          <w:lang w:eastAsia="zh-CN"/>
        </w:rPr>
        <w:t>）</w:t>
      </w:r>
      <w:r>
        <w:rPr>
          <w:rFonts w:ascii="宋体" w:hAnsi="宋体" w:eastAsia="宋体" w:cs="宋体"/>
          <w:color w:val="auto"/>
          <w:spacing w:val="-4"/>
          <w:sz w:val="20"/>
          <w:szCs w:val="20"/>
        </w:rPr>
        <w:t xml:space="preserve">   承包人：</w:t>
      </w:r>
      <w:r>
        <w:rPr>
          <w:rFonts w:ascii="宋体" w:hAnsi="宋体" w:eastAsia="宋体" w:cs="宋体"/>
          <w:color w:val="auto"/>
          <w:spacing w:val="-4"/>
          <w:sz w:val="20"/>
          <w:szCs w:val="20"/>
          <w:u w:val="single" w:color="auto"/>
        </w:rPr>
        <w:t xml:space="preserve">                  </w:t>
      </w:r>
      <w:r>
        <w:rPr>
          <w:rFonts w:hint="eastAsia" w:ascii="宋体" w:hAnsi="宋体" w:cs="宋体"/>
          <w:color w:val="auto"/>
          <w:spacing w:val="-4"/>
          <w:sz w:val="20"/>
          <w:szCs w:val="20"/>
          <w:u w:val="single" w:color="auto"/>
          <w:lang w:eastAsia="zh-CN"/>
        </w:rPr>
        <w:t>（</w:t>
      </w:r>
      <w:r>
        <w:rPr>
          <w:rFonts w:ascii="宋体" w:hAnsi="宋体" w:eastAsia="宋体" w:cs="宋体"/>
          <w:color w:val="auto"/>
          <w:spacing w:val="-4"/>
          <w:sz w:val="20"/>
          <w:szCs w:val="20"/>
        </w:rPr>
        <w:t>盖单位</w:t>
      </w:r>
      <w:r>
        <w:rPr>
          <w:rFonts w:ascii="宋体" w:hAnsi="宋体" w:eastAsia="宋体" w:cs="宋体"/>
          <w:color w:val="auto"/>
          <w:spacing w:val="-2"/>
          <w:sz w:val="20"/>
          <w:szCs w:val="20"/>
        </w:rPr>
        <w:t>章</w:t>
      </w:r>
      <w:r>
        <w:rPr>
          <w:rFonts w:hint="eastAsia" w:ascii="宋体" w:hAnsi="宋体" w:cs="宋体"/>
          <w:color w:val="auto"/>
          <w:spacing w:val="-2"/>
          <w:sz w:val="20"/>
          <w:szCs w:val="20"/>
          <w:lang w:eastAsia="zh-CN"/>
        </w:rPr>
        <w:t>）</w:t>
      </w:r>
    </w:p>
    <w:p w14:paraId="1A82F262">
      <w:pPr>
        <w:spacing w:line="360" w:lineRule="auto"/>
        <w:ind w:left="8"/>
        <w:rPr>
          <w:rFonts w:ascii="宋体" w:hAnsi="宋体" w:eastAsia="宋体" w:cs="宋体"/>
          <w:color w:val="auto"/>
          <w:sz w:val="20"/>
          <w:szCs w:val="20"/>
        </w:rPr>
      </w:pPr>
      <w:r>
        <w:rPr>
          <w:rFonts w:ascii="宋体" w:hAnsi="宋体" w:eastAsia="宋体" w:cs="宋体"/>
          <w:color w:val="auto"/>
          <w:spacing w:val="-10"/>
          <w:sz w:val="20"/>
          <w:szCs w:val="20"/>
        </w:rPr>
        <w:t>法</w:t>
      </w:r>
      <w:r>
        <w:rPr>
          <w:rFonts w:ascii="宋体" w:hAnsi="宋体" w:eastAsia="宋体" w:cs="宋体"/>
          <w:color w:val="auto"/>
          <w:spacing w:val="-5"/>
          <w:sz w:val="20"/>
          <w:szCs w:val="20"/>
        </w:rPr>
        <w:t>定代表人或其委托代理人：</w:t>
      </w:r>
      <w:r>
        <w:rPr>
          <w:rFonts w:ascii="宋体" w:hAnsi="宋体" w:eastAsia="宋体" w:cs="宋体"/>
          <w:color w:val="auto"/>
          <w:spacing w:val="-5"/>
          <w:sz w:val="20"/>
          <w:szCs w:val="20"/>
          <w:u w:val="single" w:color="auto"/>
        </w:rPr>
        <w:t xml:space="preserve">    </w:t>
      </w:r>
      <w:r>
        <w:rPr>
          <w:rFonts w:hint="eastAsia" w:ascii="宋体" w:hAnsi="宋体" w:cs="宋体"/>
          <w:color w:val="auto"/>
          <w:spacing w:val="-5"/>
          <w:sz w:val="20"/>
          <w:szCs w:val="20"/>
          <w:u w:val="single" w:color="auto"/>
          <w:lang w:eastAsia="zh-CN"/>
        </w:rPr>
        <w:t>（</w:t>
      </w:r>
      <w:r>
        <w:rPr>
          <w:rFonts w:ascii="宋体" w:hAnsi="宋体" w:eastAsia="宋体" w:cs="宋体"/>
          <w:color w:val="auto"/>
          <w:spacing w:val="-5"/>
          <w:sz w:val="20"/>
          <w:szCs w:val="20"/>
        </w:rPr>
        <w:t>签字</w:t>
      </w:r>
      <w:r>
        <w:rPr>
          <w:rFonts w:hint="eastAsia" w:ascii="宋体" w:hAnsi="宋体" w:cs="宋体"/>
          <w:color w:val="auto"/>
          <w:spacing w:val="-5"/>
          <w:sz w:val="20"/>
          <w:szCs w:val="20"/>
          <w:lang w:eastAsia="zh-CN"/>
        </w:rPr>
        <w:t>）</w:t>
      </w:r>
      <w:r>
        <w:rPr>
          <w:rFonts w:ascii="宋体" w:hAnsi="宋体" w:eastAsia="宋体" w:cs="宋体"/>
          <w:color w:val="auto"/>
          <w:spacing w:val="-5"/>
          <w:sz w:val="20"/>
          <w:szCs w:val="20"/>
        </w:rPr>
        <w:t xml:space="preserve">   法定代表人或其委托代理人：</w:t>
      </w:r>
      <w:r>
        <w:rPr>
          <w:rFonts w:ascii="宋体" w:hAnsi="宋体" w:eastAsia="宋体" w:cs="宋体"/>
          <w:color w:val="auto"/>
          <w:spacing w:val="-5"/>
          <w:sz w:val="20"/>
          <w:szCs w:val="20"/>
          <w:u w:val="single" w:color="auto"/>
        </w:rPr>
        <w:t xml:space="preserve">    </w:t>
      </w:r>
      <w:r>
        <w:rPr>
          <w:rFonts w:hint="eastAsia" w:ascii="宋体" w:hAnsi="宋体" w:cs="宋体"/>
          <w:color w:val="auto"/>
          <w:spacing w:val="-5"/>
          <w:sz w:val="20"/>
          <w:szCs w:val="20"/>
          <w:u w:val="single" w:color="auto"/>
          <w:lang w:eastAsia="zh-CN"/>
        </w:rPr>
        <w:t>（</w:t>
      </w:r>
      <w:r>
        <w:rPr>
          <w:rFonts w:ascii="宋体" w:hAnsi="宋体" w:eastAsia="宋体" w:cs="宋体"/>
          <w:color w:val="auto"/>
          <w:spacing w:val="-5"/>
          <w:sz w:val="20"/>
          <w:szCs w:val="20"/>
        </w:rPr>
        <w:t>签字</w:t>
      </w:r>
      <w:r>
        <w:rPr>
          <w:rFonts w:hint="eastAsia" w:ascii="宋体" w:hAnsi="宋体" w:cs="宋体"/>
          <w:color w:val="auto"/>
          <w:spacing w:val="-5"/>
          <w:sz w:val="20"/>
          <w:szCs w:val="20"/>
          <w:lang w:eastAsia="zh-CN"/>
        </w:rPr>
        <w:t>）</w:t>
      </w:r>
    </w:p>
    <w:p w14:paraId="649F76BC">
      <w:pPr>
        <w:tabs>
          <w:tab w:val="left" w:pos="1838"/>
        </w:tabs>
        <w:spacing w:before="1" w:line="360" w:lineRule="auto"/>
        <w:ind w:left="1169"/>
        <w:rPr>
          <w:rFonts w:ascii="宋体" w:hAnsi="宋体" w:eastAsia="宋体" w:cs="宋体"/>
          <w:color w:val="auto"/>
          <w:sz w:val="20"/>
          <w:szCs w:val="20"/>
        </w:rPr>
      </w:pPr>
      <w:r>
        <w:rPr>
          <w:rFonts w:ascii="宋体" w:hAnsi="宋体" w:eastAsia="宋体" w:cs="宋体"/>
          <w:color w:val="auto"/>
          <w:sz w:val="20"/>
          <w:szCs w:val="20"/>
          <w:u w:val="single" w:color="auto"/>
        </w:rPr>
        <w:tab/>
      </w:r>
      <w:r>
        <w:rPr>
          <w:rFonts w:ascii="宋体" w:hAnsi="宋体" w:eastAsia="宋体" w:cs="宋体"/>
          <w:color w:val="auto"/>
          <w:spacing w:val="1"/>
          <w:sz w:val="20"/>
          <w:szCs w:val="20"/>
        </w:rPr>
        <w:t>年</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月</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日                           </w:t>
      </w:r>
      <w:r>
        <w:rPr>
          <w:rFonts w:ascii="宋体" w:hAnsi="宋体" w:eastAsia="宋体" w:cs="宋体"/>
          <w:color w:val="auto"/>
          <w:sz w:val="20"/>
          <w:szCs w:val="20"/>
        </w:rPr>
        <w:t xml:space="preserve">  年</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月</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日</w:t>
      </w:r>
    </w:p>
    <w:p w14:paraId="352F5909">
      <w:pPr>
        <w:spacing w:before="91" w:line="360" w:lineRule="auto"/>
        <w:ind w:left="28"/>
        <w:rPr>
          <w:rFonts w:ascii="宋体" w:hAnsi="宋体" w:eastAsia="宋体" w:cs="宋体"/>
          <w:b/>
          <w:bCs/>
          <w:spacing w:val="-6"/>
          <w:sz w:val="28"/>
          <w:szCs w:val="28"/>
        </w:rPr>
      </w:pPr>
      <w:r>
        <w:rPr>
          <w:rFonts w:ascii="宋体" w:hAnsi="宋体" w:eastAsia="宋体" w:cs="宋体"/>
          <w:color w:val="auto"/>
          <w:spacing w:val="-1"/>
          <w:sz w:val="20"/>
          <w:szCs w:val="20"/>
        </w:rPr>
        <w:t>发包人监督单位：</w:t>
      </w:r>
      <w:r>
        <w:rPr>
          <w:rFonts w:ascii="宋体" w:hAnsi="宋体" w:eastAsia="宋体" w:cs="宋体"/>
          <w:color w:val="auto"/>
          <w:spacing w:val="-1"/>
          <w:sz w:val="20"/>
          <w:szCs w:val="20"/>
          <w:u w:val="single" w:color="auto"/>
        </w:rPr>
        <w:t xml:space="preserve"> </w:t>
      </w:r>
      <w:r>
        <w:rPr>
          <w:rFonts w:hint="eastAsia" w:ascii="宋体" w:hAnsi="宋体" w:cs="宋体"/>
          <w:color w:val="auto"/>
          <w:spacing w:val="-1"/>
          <w:sz w:val="20"/>
          <w:szCs w:val="20"/>
          <w:u w:val="single" w:color="auto"/>
          <w:lang w:eastAsia="zh-CN"/>
        </w:rPr>
        <w:t>（</w:t>
      </w:r>
      <w:r>
        <w:rPr>
          <w:rFonts w:ascii="宋体" w:hAnsi="宋体" w:eastAsia="宋体" w:cs="宋体"/>
          <w:color w:val="auto"/>
          <w:spacing w:val="-1"/>
          <w:sz w:val="20"/>
          <w:szCs w:val="20"/>
          <w:u w:val="single" w:color="auto"/>
        </w:rPr>
        <w:t>全称</w:t>
      </w:r>
      <w:r>
        <w:rPr>
          <w:rFonts w:hint="eastAsia" w:ascii="宋体" w:hAnsi="宋体" w:cs="宋体"/>
          <w:color w:val="auto"/>
          <w:spacing w:val="-1"/>
          <w:sz w:val="20"/>
          <w:szCs w:val="20"/>
          <w:u w:val="single" w:color="auto"/>
          <w:lang w:eastAsia="zh-CN"/>
        </w:rPr>
        <w:t>）</w:t>
      </w:r>
      <w:r>
        <w:rPr>
          <w:rFonts w:ascii="宋体" w:hAnsi="宋体" w:eastAsia="宋体" w:cs="宋体"/>
          <w:color w:val="auto"/>
          <w:spacing w:val="-1"/>
          <w:sz w:val="20"/>
          <w:szCs w:val="20"/>
          <w:u w:val="single" w:color="auto"/>
        </w:rPr>
        <w:t xml:space="preserve">   </w:t>
      </w:r>
      <w:r>
        <w:rPr>
          <w:rFonts w:hint="eastAsia" w:ascii="宋体" w:hAnsi="宋体" w:cs="宋体"/>
          <w:color w:val="auto"/>
          <w:spacing w:val="-1"/>
          <w:sz w:val="20"/>
          <w:szCs w:val="20"/>
          <w:u w:val="single" w:color="auto"/>
          <w:lang w:eastAsia="zh-CN"/>
        </w:rPr>
        <w:t>（</w:t>
      </w:r>
      <w:r>
        <w:rPr>
          <w:rFonts w:ascii="宋体" w:hAnsi="宋体" w:eastAsia="宋体" w:cs="宋体"/>
          <w:color w:val="auto"/>
          <w:spacing w:val="-1"/>
          <w:sz w:val="20"/>
          <w:szCs w:val="20"/>
          <w:u w:val="single" w:color="auto"/>
        </w:rPr>
        <w:t>盖单位章</w:t>
      </w:r>
      <w:r>
        <w:rPr>
          <w:rFonts w:hint="eastAsia" w:ascii="宋体" w:hAnsi="宋体" w:cs="宋体"/>
          <w:color w:val="auto"/>
          <w:spacing w:val="-1"/>
          <w:sz w:val="20"/>
          <w:szCs w:val="20"/>
          <w:u w:val="single" w:color="auto"/>
          <w:lang w:eastAsia="zh-CN"/>
        </w:rPr>
        <w:t>）</w:t>
      </w:r>
      <w:r>
        <w:rPr>
          <w:rFonts w:ascii="宋体" w:hAnsi="宋体" w:eastAsia="宋体" w:cs="宋体"/>
          <w:color w:val="auto"/>
          <w:spacing w:val="-1"/>
          <w:sz w:val="20"/>
          <w:szCs w:val="20"/>
          <w:u w:val="single" w:color="auto"/>
        </w:rPr>
        <w:t xml:space="preserve"> </w:t>
      </w:r>
      <w:r>
        <w:rPr>
          <w:rFonts w:ascii="宋体" w:hAnsi="宋体" w:eastAsia="宋体" w:cs="宋体"/>
          <w:color w:val="auto"/>
          <w:spacing w:val="-1"/>
          <w:sz w:val="20"/>
          <w:szCs w:val="20"/>
        </w:rPr>
        <w:t xml:space="preserve">  承</w:t>
      </w:r>
      <w:r>
        <w:rPr>
          <w:rFonts w:ascii="宋体" w:hAnsi="宋体" w:eastAsia="宋体" w:cs="宋体"/>
          <w:color w:val="auto"/>
          <w:sz w:val="20"/>
          <w:szCs w:val="20"/>
        </w:rPr>
        <w:t>包人监督单位：</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u w:val="single" w:color="auto"/>
        </w:rPr>
        <w:t>全称</w:t>
      </w:r>
      <w:r>
        <w:rPr>
          <w:rFonts w:hint="eastAsia" w:ascii="宋体" w:hAnsi="宋体" w:cs="宋体"/>
          <w:color w:val="auto"/>
          <w:sz w:val="20"/>
          <w:szCs w:val="20"/>
          <w:u w:val="single" w:color="auto"/>
          <w:lang w:eastAsia="zh-CN"/>
        </w:rPr>
        <w:t>）</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u w:val="single" w:color="auto"/>
        </w:rPr>
        <w:t>盖单位章</w:t>
      </w:r>
      <w:r>
        <w:rPr>
          <w:rFonts w:hint="eastAsia" w:ascii="宋体" w:hAnsi="宋体" w:cs="宋体"/>
          <w:color w:val="auto"/>
          <w:sz w:val="20"/>
          <w:szCs w:val="20"/>
          <w:u w:val="single" w:color="auto"/>
          <w:lang w:eastAsia="zh-CN"/>
        </w:rPr>
        <w:t>）</w:t>
      </w:r>
      <w:r>
        <w:rPr>
          <w:rFonts w:ascii="宋体" w:hAnsi="宋体" w:eastAsia="宋体" w:cs="宋体"/>
          <w:color w:val="auto"/>
          <w:sz w:val="20"/>
          <w:szCs w:val="20"/>
          <w:u w:val="single" w:color="auto"/>
        </w:rPr>
        <w:t xml:space="preserve"> </w:t>
      </w:r>
    </w:p>
    <w:p w14:paraId="1A9F4372">
      <w:pPr>
        <w:spacing w:before="183" w:line="219" w:lineRule="auto"/>
        <w:ind w:left="36"/>
        <w:rPr>
          <w:rFonts w:ascii="宋体" w:hAnsi="宋体" w:eastAsia="宋体" w:cs="宋体"/>
          <w:sz w:val="24"/>
          <w:szCs w:val="24"/>
        </w:rPr>
      </w:pPr>
    </w:p>
    <w:p w14:paraId="21E2B8B5">
      <w:pPr>
        <w:spacing w:line="219" w:lineRule="auto"/>
        <w:rPr>
          <w:rFonts w:ascii="宋体" w:hAnsi="宋体" w:eastAsia="宋体" w:cs="宋体"/>
          <w:sz w:val="24"/>
          <w:szCs w:val="24"/>
        </w:rPr>
        <w:sectPr>
          <w:footerReference r:id="rId117" w:type="default"/>
          <w:pgSz w:w="11905" w:h="16840"/>
          <w:pgMar w:top="1182" w:right="1416" w:bottom="1171" w:left="1416" w:header="849" w:footer="937" w:gutter="0"/>
          <w:pgNumType w:fmt="decimal"/>
          <w:cols w:space="720" w:num="1"/>
        </w:sectPr>
      </w:pPr>
    </w:p>
    <w:p w14:paraId="6A91EA7C">
      <w:pPr>
        <w:pStyle w:val="2"/>
        <w:spacing w:line="267" w:lineRule="auto"/>
      </w:pPr>
    </w:p>
    <w:p w14:paraId="70E5B563">
      <w:pPr>
        <w:spacing w:before="78" w:line="219" w:lineRule="auto"/>
        <w:ind w:left="28"/>
        <w:rPr>
          <w:rFonts w:ascii="宋体" w:hAnsi="宋体" w:eastAsia="宋体" w:cs="宋体"/>
          <w:sz w:val="24"/>
          <w:szCs w:val="24"/>
        </w:rPr>
      </w:pPr>
      <w:r>
        <w:rPr>
          <w:rFonts w:ascii="宋体" w:hAnsi="宋体" w:eastAsia="宋体" w:cs="宋体"/>
          <w:b/>
          <w:bCs/>
          <w:spacing w:val="-5"/>
          <w:sz w:val="24"/>
          <w:szCs w:val="24"/>
        </w:rPr>
        <w:t>附件三：安全生产合同</w:t>
      </w:r>
    </w:p>
    <w:p w14:paraId="51DB4090">
      <w:pPr>
        <w:spacing w:before="223" w:line="225" w:lineRule="auto"/>
        <w:ind w:left="3591"/>
        <w:rPr>
          <w:rFonts w:ascii="宋体" w:hAnsi="宋体" w:eastAsia="宋体" w:cs="宋体"/>
          <w:sz w:val="31"/>
          <w:szCs w:val="31"/>
        </w:rPr>
      </w:pPr>
      <w:r>
        <w:rPr>
          <w:rFonts w:ascii="宋体" w:hAnsi="宋体" w:eastAsia="宋体" w:cs="宋体"/>
          <w:b/>
          <w:bCs/>
          <w:spacing w:val="4"/>
          <w:sz w:val="31"/>
          <w:szCs w:val="31"/>
        </w:rPr>
        <w:t>安全生产合同</w:t>
      </w:r>
    </w:p>
    <w:p w14:paraId="501A2329">
      <w:pPr>
        <w:spacing w:before="206" w:line="360" w:lineRule="auto"/>
        <w:ind w:left="9" w:right="18" w:firstLine="480"/>
        <w:jc w:val="both"/>
        <w:rPr>
          <w:rFonts w:ascii="宋体" w:hAnsi="宋体" w:eastAsia="宋体" w:cs="宋体"/>
          <w:sz w:val="24"/>
          <w:szCs w:val="24"/>
        </w:rPr>
      </w:pPr>
      <w:r>
        <w:rPr>
          <w:rFonts w:ascii="宋体" w:hAnsi="宋体" w:eastAsia="宋体" w:cs="宋体"/>
          <w:spacing w:val="-9"/>
          <w:sz w:val="24"/>
          <w:szCs w:val="24"/>
        </w:rPr>
        <w:t>根据《中华人民共和国安全生产法》，</w:t>
      </w:r>
      <w:r>
        <w:rPr>
          <w:rFonts w:ascii="宋体" w:hAnsi="宋体" w:eastAsia="宋体" w:cs="宋体"/>
          <w:spacing w:val="34"/>
          <w:sz w:val="24"/>
          <w:szCs w:val="24"/>
        </w:rPr>
        <w:t xml:space="preserve"> </w:t>
      </w:r>
      <w:r>
        <w:rPr>
          <w:rFonts w:ascii="宋体" w:hAnsi="宋体" w:eastAsia="宋体" w:cs="宋体"/>
          <w:spacing w:val="-9"/>
          <w:sz w:val="24"/>
          <w:szCs w:val="24"/>
        </w:rPr>
        <w:t>国务院《建设工程安全生产管理条例》， 交</w:t>
      </w:r>
      <w:r>
        <w:rPr>
          <w:rFonts w:ascii="宋体" w:hAnsi="宋体" w:eastAsia="宋体" w:cs="宋体"/>
          <w:spacing w:val="-5"/>
          <w:sz w:val="24"/>
          <w:szCs w:val="24"/>
        </w:rPr>
        <w:t>通运输部《公路水运工程安全生产监督管理办法》， 交通运输部《公路水运工程施工安</w:t>
      </w:r>
      <w:r>
        <w:rPr>
          <w:rFonts w:ascii="宋体" w:hAnsi="宋体" w:eastAsia="宋体" w:cs="宋体"/>
          <w:spacing w:val="-4"/>
          <w:sz w:val="24"/>
          <w:szCs w:val="24"/>
        </w:rPr>
        <w:t>全标准化指南》有关规定， 为切实做好</w:t>
      </w:r>
      <w:r>
        <w:rPr>
          <w:rFonts w:ascii="宋体" w:hAnsi="宋体" w:eastAsia="宋体" w:cs="宋体"/>
          <w:spacing w:val="-4"/>
          <w:sz w:val="24"/>
          <w:szCs w:val="24"/>
          <w:u w:val="single" w:color="auto"/>
        </w:rPr>
        <w:t xml:space="preserve">      </w:t>
      </w:r>
      <w:r>
        <w:rPr>
          <w:rFonts w:hint="eastAsia" w:ascii="宋体" w:hAnsi="宋体" w:cs="宋体"/>
          <w:spacing w:val="-4"/>
          <w:sz w:val="24"/>
          <w:szCs w:val="24"/>
          <w:u w:val="single" w:color="auto"/>
          <w:lang w:eastAsia="zh-CN"/>
        </w:rPr>
        <w:t>（</w:t>
      </w:r>
      <w:r>
        <w:rPr>
          <w:rFonts w:ascii="宋体" w:hAnsi="宋体" w:eastAsia="宋体" w:cs="宋体"/>
          <w:spacing w:val="-4"/>
          <w:sz w:val="24"/>
          <w:szCs w:val="24"/>
          <w:u w:val="single" w:color="auto"/>
        </w:rPr>
        <w:t>项目名称</w:t>
      </w:r>
      <w:r>
        <w:rPr>
          <w:rFonts w:hint="eastAsia" w:ascii="宋体" w:hAnsi="宋体" w:cs="宋体"/>
          <w:spacing w:val="-4"/>
          <w:sz w:val="24"/>
          <w:szCs w:val="24"/>
          <w:u w:val="single" w:color="auto"/>
          <w:lang w:eastAsia="zh-CN"/>
        </w:rPr>
        <w:t>）</w:t>
      </w:r>
      <w:r>
        <w:rPr>
          <w:rFonts w:ascii="宋体" w:hAnsi="宋体" w:eastAsia="宋体" w:cs="宋体"/>
          <w:spacing w:val="-4"/>
          <w:sz w:val="24"/>
          <w:szCs w:val="24"/>
          <w:u w:val="single" w:color="auto"/>
        </w:rPr>
        <w:t xml:space="preserve">      （标类或标段）</w:t>
      </w:r>
      <w:r>
        <w:rPr>
          <w:rFonts w:ascii="宋体" w:hAnsi="宋体" w:eastAsia="宋体" w:cs="宋体"/>
          <w:spacing w:val="-4"/>
          <w:sz w:val="24"/>
          <w:szCs w:val="24"/>
        </w:rPr>
        <w:t>工程安</w:t>
      </w:r>
      <w:r>
        <w:rPr>
          <w:rFonts w:ascii="宋体" w:hAnsi="宋体" w:eastAsia="宋体" w:cs="宋体"/>
          <w:spacing w:val="-6"/>
          <w:sz w:val="24"/>
          <w:szCs w:val="24"/>
        </w:rPr>
        <w:t>全生产管理工作，明确项目参建各方的安全生产责任，促进实现工程项目安全管理目标，</w:t>
      </w:r>
      <w:r>
        <w:rPr>
          <w:rFonts w:ascii="宋体" w:hAnsi="宋体" w:eastAsia="宋体" w:cs="宋体"/>
          <w:spacing w:val="-2"/>
          <w:sz w:val="24"/>
          <w:szCs w:val="24"/>
        </w:rPr>
        <w:t>建设单位全称（以下简称“发包人”）与施工单位全称（以下简称“承包人”）特此签</w:t>
      </w:r>
      <w:r>
        <w:rPr>
          <w:rFonts w:ascii="宋体" w:hAnsi="宋体" w:eastAsia="宋体" w:cs="宋体"/>
          <w:spacing w:val="-8"/>
          <w:sz w:val="24"/>
          <w:szCs w:val="24"/>
        </w:rPr>
        <w:t>订安全生产合同：</w:t>
      </w:r>
    </w:p>
    <w:p w14:paraId="4381A4FE">
      <w:pPr>
        <w:spacing w:line="220" w:lineRule="auto"/>
        <w:ind w:left="507"/>
        <w:rPr>
          <w:rFonts w:ascii="宋体" w:hAnsi="宋体" w:eastAsia="宋体" w:cs="宋体"/>
          <w:sz w:val="24"/>
          <w:szCs w:val="24"/>
        </w:rPr>
      </w:pPr>
      <w:r>
        <w:rPr>
          <w:rFonts w:ascii="宋体" w:hAnsi="宋体" w:eastAsia="宋体" w:cs="宋体"/>
          <w:spacing w:val="-4"/>
          <w:sz w:val="24"/>
          <w:szCs w:val="24"/>
        </w:rPr>
        <w:t>1.发包人职责</w:t>
      </w:r>
    </w:p>
    <w:p w14:paraId="097D446D">
      <w:pPr>
        <w:spacing w:before="181" w:line="360" w:lineRule="auto"/>
        <w:ind w:left="12" w:right="95" w:firstLine="519"/>
        <w:rPr>
          <w:rFonts w:ascii="宋体" w:hAnsi="宋体" w:eastAsia="宋体" w:cs="宋体"/>
          <w:sz w:val="24"/>
          <w:szCs w:val="24"/>
        </w:rPr>
      </w:pPr>
      <w:r>
        <w:rPr>
          <w:rFonts w:ascii="宋体" w:hAnsi="宋体" w:eastAsia="宋体" w:cs="宋体"/>
          <w:sz w:val="24"/>
          <w:szCs w:val="24"/>
        </w:rPr>
        <w:t>(1)编制工程招标文件及项目概算时，应确定保障建设工程安全作业环境及安全施</w:t>
      </w:r>
      <w:r>
        <w:rPr>
          <w:rFonts w:ascii="宋体" w:hAnsi="宋体" w:eastAsia="宋体" w:cs="宋体"/>
          <w:spacing w:val="-2"/>
          <w:sz w:val="24"/>
          <w:szCs w:val="24"/>
        </w:rPr>
        <w:t>工措施所需的安全生产费用，并不低于国家规定的标准。</w:t>
      </w:r>
    </w:p>
    <w:p w14:paraId="0BD744D6">
      <w:pPr>
        <w:spacing w:before="3" w:line="359" w:lineRule="auto"/>
        <w:ind w:left="14" w:right="95" w:firstLine="517"/>
        <w:rPr>
          <w:rFonts w:ascii="宋体" w:hAnsi="宋体" w:eastAsia="宋体" w:cs="宋体"/>
          <w:sz w:val="24"/>
          <w:szCs w:val="24"/>
        </w:rPr>
      </w:pPr>
      <w:r>
        <w:rPr>
          <w:rFonts w:ascii="宋体" w:hAnsi="宋体" w:eastAsia="宋体" w:cs="宋体"/>
          <w:sz w:val="24"/>
          <w:szCs w:val="24"/>
        </w:rPr>
        <w:t>(2)按照有关规定对承包人的安全生产条件、安全生产信用情况、安全生产管理体</w:t>
      </w:r>
      <w:r>
        <w:rPr>
          <w:rFonts w:ascii="宋体" w:hAnsi="宋体" w:eastAsia="宋体" w:cs="宋体"/>
          <w:spacing w:val="-3"/>
          <w:sz w:val="24"/>
          <w:szCs w:val="24"/>
        </w:rPr>
        <w:t>系及保障措施等提出明确要求并检查实施情况。</w:t>
      </w:r>
    </w:p>
    <w:p w14:paraId="52ECBF71">
      <w:pPr>
        <w:spacing w:line="360" w:lineRule="auto"/>
        <w:ind w:left="10" w:right="95" w:firstLine="521"/>
        <w:rPr>
          <w:rFonts w:ascii="宋体" w:hAnsi="宋体" w:eastAsia="宋体" w:cs="宋体"/>
          <w:sz w:val="24"/>
          <w:szCs w:val="24"/>
        </w:rPr>
      </w:pPr>
      <w:r>
        <w:rPr>
          <w:rFonts w:ascii="宋体" w:hAnsi="宋体" w:eastAsia="宋体" w:cs="宋体"/>
          <w:sz w:val="24"/>
          <w:szCs w:val="24"/>
        </w:rPr>
        <w:t>(3)开展工程项目安全生产条件核查，按规定组织风险评估。针对工程项目特点和</w:t>
      </w:r>
      <w:r>
        <w:rPr>
          <w:rFonts w:ascii="宋体" w:hAnsi="宋体" w:eastAsia="宋体" w:cs="宋体"/>
          <w:spacing w:val="-2"/>
          <w:sz w:val="24"/>
          <w:szCs w:val="24"/>
        </w:rPr>
        <w:t>风险评估情况制定项目生产安全事故综合应急预案，并定期组织演练。</w:t>
      </w:r>
    </w:p>
    <w:p w14:paraId="27BFCE01">
      <w:pPr>
        <w:spacing w:before="2" w:line="359" w:lineRule="auto"/>
        <w:ind w:left="11" w:right="71" w:firstLine="520"/>
        <w:rPr>
          <w:rFonts w:ascii="宋体" w:hAnsi="宋体" w:eastAsia="宋体" w:cs="宋体"/>
          <w:sz w:val="24"/>
          <w:szCs w:val="24"/>
        </w:rPr>
      </w:pPr>
      <w:r>
        <w:rPr>
          <w:rFonts w:ascii="宋体" w:hAnsi="宋体" w:eastAsia="宋体" w:cs="宋体"/>
          <w:sz w:val="24"/>
          <w:szCs w:val="24"/>
        </w:rPr>
        <w:t>(4)按照法律法规及合同文件约定督促承包人落实安全生产责任，对承包人的安全</w:t>
      </w:r>
      <w:r>
        <w:rPr>
          <w:rFonts w:ascii="宋体" w:hAnsi="宋体" w:eastAsia="宋体" w:cs="宋体"/>
          <w:spacing w:val="-1"/>
          <w:sz w:val="24"/>
          <w:szCs w:val="24"/>
        </w:rPr>
        <w:t>生产工作统一协调、管理，定期进行安全检查，发现安全问题的</w:t>
      </w:r>
      <w:r>
        <w:rPr>
          <w:rFonts w:ascii="宋体" w:hAnsi="宋体" w:eastAsia="宋体" w:cs="宋体"/>
          <w:spacing w:val="-2"/>
          <w:sz w:val="24"/>
          <w:szCs w:val="24"/>
        </w:rPr>
        <w:t>，应当及时督促整改。</w:t>
      </w:r>
    </w:p>
    <w:p w14:paraId="11BF336F">
      <w:pPr>
        <w:spacing w:before="1" w:line="219" w:lineRule="auto"/>
        <w:ind w:left="492"/>
        <w:rPr>
          <w:rFonts w:ascii="宋体" w:hAnsi="宋体" w:eastAsia="宋体" w:cs="宋体"/>
          <w:sz w:val="24"/>
          <w:szCs w:val="24"/>
        </w:rPr>
      </w:pPr>
      <w:r>
        <w:rPr>
          <w:rFonts w:ascii="宋体" w:hAnsi="宋体" w:eastAsia="宋体" w:cs="宋体"/>
          <w:spacing w:val="-2"/>
          <w:sz w:val="24"/>
          <w:szCs w:val="24"/>
        </w:rPr>
        <w:t>2.承包人职责</w:t>
      </w:r>
    </w:p>
    <w:p w14:paraId="428CD54C">
      <w:pPr>
        <w:spacing w:before="183" w:line="360" w:lineRule="auto"/>
        <w:ind w:left="14" w:right="85" w:firstLine="517"/>
        <w:rPr>
          <w:rFonts w:ascii="宋体" w:hAnsi="宋体" w:eastAsia="宋体" w:cs="宋体"/>
          <w:sz w:val="24"/>
          <w:szCs w:val="24"/>
        </w:rPr>
      </w:pPr>
      <w:r>
        <w:rPr>
          <w:rFonts w:ascii="宋体" w:hAnsi="宋体" w:eastAsia="宋体" w:cs="宋体"/>
          <w:sz w:val="24"/>
          <w:szCs w:val="24"/>
        </w:rPr>
        <w:t>(1)严格执行安全生产有关法律法规、规章及标准规范，落实合同、《广东省高速</w:t>
      </w:r>
      <w:r>
        <w:rPr>
          <w:rFonts w:ascii="宋体" w:hAnsi="宋体" w:eastAsia="宋体" w:cs="宋体"/>
          <w:spacing w:val="-2"/>
          <w:sz w:val="24"/>
          <w:szCs w:val="24"/>
        </w:rPr>
        <w:t>公路工程施工安全标准化指南》《公路工程施工安全防护设施技术指南》以及其他有关</w:t>
      </w:r>
      <w:r>
        <w:rPr>
          <w:rFonts w:ascii="宋体" w:hAnsi="宋体" w:eastAsia="宋体" w:cs="宋体"/>
          <w:spacing w:val="-4"/>
          <w:sz w:val="24"/>
          <w:szCs w:val="24"/>
        </w:rPr>
        <w:t>安全生产方面的规定和要求。</w:t>
      </w:r>
    </w:p>
    <w:p w14:paraId="0CE01267">
      <w:pPr>
        <w:spacing w:line="360" w:lineRule="auto"/>
        <w:ind w:left="8" w:right="95" w:firstLine="523"/>
        <w:rPr>
          <w:rFonts w:ascii="宋体" w:hAnsi="宋体" w:eastAsia="宋体" w:cs="宋体"/>
          <w:sz w:val="24"/>
          <w:szCs w:val="24"/>
        </w:rPr>
      </w:pPr>
      <w:r>
        <w:rPr>
          <w:rFonts w:ascii="宋体" w:hAnsi="宋体" w:eastAsia="宋体" w:cs="宋体"/>
          <w:sz w:val="24"/>
          <w:szCs w:val="24"/>
        </w:rPr>
        <w:t>(2)应具备相应的安全生产条件及安全生产资质，对施工现场的安全生产负主体责</w:t>
      </w:r>
      <w:r>
        <w:rPr>
          <w:rFonts w:ascii="宋体" w:hAnsi="宋体" w:eastAsia="宋体" w:cs="宋体"/>
          <w:spacing w:val="-2"/>
          <w:sz w:val="24"/>
          <w:szCs w:val="24"/>
        </w:rPr>
        <w:t>任，主要负责人依法对项目安全生产工作全面负责。</w:t>
      </w:r>
    </w:p>
    <w:p w14:paraId="1E2153FE">
      <w:pPr>
        <w:spacing w:line="360" w:lineRule="auto"/>
        <w:ind w:left="17" w:firstLine="513"/>
        <w:rPr>
          <w:rFonts w:ascii="宋体" w:hAnsi="宋体" w:eastAsia="宋体" w:cs="宋体"/>
          <w:sz w:val="24"/>
          <w:szCs w:val="24"/>
        </w:rPr>
      </w:pPr>
      <w:r>
        <w:rPr>
          <w:rFonts w:ascii="宋体" w:hAnsi="宋体" w:eastAsia="宋体" w:cs="宋体"/>
          <w:spacing w:val="-7"/>
          <w:sz w:val="24"/>
          <w:szCs w:val="24"/>
        </w:rPr>
        <w:t>(3)坚持国家安全生产方针、政策及原则， 建立健全并落实项目安全生产管理制度、</w:t>
      </w:r>
      <w:r>
        <w:rPr>
          <w:rFonts w:ascii="宋体" w:hAnsi="宋体" w:eastAsia="宋体" w:cs="宋体"/>
          <w:spacing w:val="-2"/>
          <w:sz w:val="24"/>
          <w:szCs w:val="24"/>
        </w:rPr>
        <w:t>责任、组织机构等管理体系，配足符合资质条件的专职安全生产管理人员。</w:t>
      </w:r>
    </w:p>
    <w:p w14:paraId="3D224AB1">
      <w:pPr>
        <w:spacing w:line="360" w:lineRule="auto"/>
        <w:ind w:left="14" w:right="95" w:firstLine="517"/>
        <w:rPr>
          <w:rFonts w:ascii="宋体" w:hAnsi="宋体" w:eastAsia="宋体" w:cs="宋体"/>
          <w:sz w:val="24"/>
          <w:szCs w:val="24"/>
        </w:rPr>
      </w:pPr>
      <w:r>
        <w:rPr>
          <w:rFonts w:ascii="宋体" w:hAnsi="宋体" w:eastAsia="宋体" w:cs="宋体"/>
          <w:sz w:val="24"/>
          <w:szCs w:val="24"/>
        </w:rPr>
        <w:t>(4)应保证本项目合同段所应具备的安全生产条件必需的资金投入，依法参加各类</w:t>
      </w:r>
      <w:r>
        <w:rPr>
          <w:rFonts w:ascii="宋体" w:hAnsi="宋体" w:eastAsia="宋体" w:cs="宋体"/>
          <w:spacing w:val="-3"/>
          <w:sz w:val="24"/>
          <w:szCs w:val="24"/>
        </w:rPr>
        <w:t>安全保险，保障从业人员安全生产方面的权利。</w:t>
      </w:r>
    </w:p>
    <w:p w14:paraId="2EC098EF">
      <w:pPr>
        <w:spacing w:before="1" w:line="361" w:lineRule="auto"/>
        <w:ind w:left="12" w:right="85" w:firstLine="519"/>
        <w:rPr>
          <w:rFonts w:ascii="宋体" w:hAnsi="宋体" w:eastAsia="宋体" w:cs="宋体"/>
          <w:sz w:val="24"/>
          <w:szCs w:val="24"/>
        </w:rPr>
      </w:pPr>
      <w:r>
        <w:rPr>
          <w:rFonts w:ascii="宋体" w:hAnsi="宋体" w:eastAsia="宋体" w:cs="宋体"/>
          <w:sz w:val="24"/>
          <w:szCs w:val="24"/>
        </w:rPr>
        <w:t>(5)应切实加强作业工人安全培训教育和安全技术交底。运用《公路施工安全视频</w:t>
      </w:r>
      <w:r>
        <w:rPr>
          <w:rFonts w:ascii="宋体" w:hAnsi="宋体" w:eastAsia="宋体" w:cs="宋体"/>
          <w:spacing w:val="-6"/>
          <w:sz w:val="24"/>
          <w:szCs w:val="24"/>
        </w:rPr>
        <w:t>教程》及配套口袋书、配套测试题集，</w:t>
      </w:r>
      <w:r>
        <w:rPr>
          <w:rFonts w:ascii="宋体" w:hAnsi="宋体" w:eastAsia="宋体" w:cs="宋体"/>
          <w:spacing w:val="53"/>
          <w:sz w:val="24"/>
          <w:szCs w:val="24"/>
        </w:rPr>
        <w:t xml:space="preserve"> </w:t>
      </w:r>
      <w:r>
        <w:rPr>
          <w:rFonts w:ascii="宋体" w:hAnsi="宋体" w:eastAsia="宋体" w:cs="宋体"/>
          <w:spacing w:val="-6"/>
          <w:sz w:val="24"/>
          <w:szCs w:val="24"/>
        </w:rPr>
        <w:t>建立工人学校或安全教育体验馆</w:t>
      </w:r>
      <w:r>
        <w:rPr>
          <w:rFonts w:ascii="宋体" w:hAnsi="宋体" w:eastAsia="宋体" w:cs="宋体"/>
          <w:spacing w:val="-7"/>
          <w:sz w:val="24"/>
          <w:szCs w:val="24"/>
        </w:rPr>
        <w:t>，开展岗前安全</w:t>
      </w:r>
    </w:p>
    <w:p w14:paraId="539B87D1">
      <w:pPr>
        <w:spacing w:line="361" w:lineRule="auto"/>
        <w:rPr>
          <w:rFonts w:ascii="宋体" w:hAnsi="宋体" w:eastAsia="宋体" w:cs="宋体"/>
          <w:sz w:val="24"/>
          <w:szCs w:val="24"/>
        </w:rPr>
        <w:sectPr>
          <w:footerReference r:id="rId118" w:type="default"/>
          <w:pgSz w:w="11905" w:h="16840"/>
          <w:pgMar w:top="1182" w:right="1331" w:bottom="1171" w:left="1416" w:header="849" w:footer="937" w:gutter="0"/>
          <w:pgNumType w:fmt="decimal"/>
          <w:cols w:space="720" w:num="1"/>
        </w:sectPr>
      </w:pPr>
    </w:p>
    <w:p w14:paraId="610709B6">
      <w:pPr>
        <w:pStyle w:val="2"/>
        <w:spacing w:line="268" w:lineRule="auto"/>
      </w:pPr>
    </w:p>
    <w:p w14:paraId="6EE8958D">
      <w:pPr>
        <w:spacing w:before="78" w:line="360" w:lineRule="auto"/>
        <w:ind w:left="12"/>
        <w:jc w:val="both"/>
        <w:rPr>
          <w:rFonts w:ascii="宋体" w:hAnsi="宋体" w:eastAsia="宋体" w:cs="宋体"/>
          <w:sz w:val="24"/>
          <w:szCs w:val="24"/>
        </w:rPr>
      </w:pPr>
      <w:r>
        <w:rPr>
          <w:rFonts w:ascii="宋体" w:hAnsi="宋体" w:eastAsia="宋体" w:cs="宋体"/>
          <w:spacing w:val="-2"/>
          <w:sz w:val="24"/>
          <w:szCs w:val="24"/>
        </w:rPr>
        <w:t>教育培训和经常性安全再教育，提高全员安全意识和安全技能。认真细致做好工人作业前安全技术交底，落实基层班组班前会制度，确保作业工人熟知作业的安全要求和班前</w:t>
      </w:r>
      <w:r>
        <w:rPr>
          <w:rFonts w:ascii="宋体" w:hAnsi="宋体" w:eastAsia="宋体" w:cs="宋体"/>
          <w:spacing w:val="-6"/>
          <w:sz w:val="24"/>
          <w:szCs w:val="24"/>
        </w:rPr>
        <w:t>危险预知内容。</w:t>
      </w:r>
    </w:p>
    <w:p w14:paraId="31782FD8">
      <w:pPr>
        <w:spacing w:before="2" w:line="359" w:lineRule="auto"/>
        <w:ind w:left="11" w:right="10" w:firstLine="520"/>
        <w:rPr>
          <w:rFonts w:ascii="宋体" w:hAnsi="宋体" w:eastAsia="宋体" w:cs="宋体"/>
          <w:sz w:val="24"/>
          <w:szCs w:val="24"/>
        </w:rPr>
      </w:pPr>
      <w:r>
        <w:rPr>
          <w:rFonts w:ascii="宋体" w:hAnsi="宋体" w:eastAsia="宋体" w:cs="宋体"/>
          <w:sz w:val="24"/>
          <w:szCs w:val="24"/>
        </w:rPr>
        <w:t>(6)按规定编制危险性较大工程专项施工方案，按程序逐级审批，必要时应组织专</w:t>
      </w:r>
      <w:r>
        <w:rPr>
          <w:rFonts w:ascii="宋体" w:hAnsi="宋体" w:eastAsia="宋体" w:cs="宋体"/>
          <w:spacing w:val="-9"/>
          <w:sz w:val="24"/>
          <w:szCs w:val="24"/>
        </w:rPr>
        <w:t>家论证。</w:t>
      </w:r>
    </w:p>
    <w:p w14:paraId="385A421D">
      <w:pPr>
        <w:spacing w:before="2" w:line="359" w:lineRule="auto"/>
        <w:ind w:left="15" w:right="10" w:firstLine="516"/>
        <w:rPr>
          <w:rFonts w:ascii="宋体" w:hAnsi="宋体" w:eastAsia="宋体" w:cs="宋体"/>
          <w:sz w:val="24"/>
          <w:szCs w:val="24"/>
        </w:rPr>
      </w:pPr>
      <w:r>
        <w:rPr>
          <w:rFonts w:ascii="宋体" w:hAnsi="宋体" w:eastAsia="宋体" w:cs="宋体"/>
          <w:sz w:val="24"/>
          <w:szCs w:val="24"/>
        </w:rPr>
        <w:t>(7)各类施工设备设施及用品、用具等应具备相关资质证书，定期检查维护，按规</w:t>
      </w:r>
      <w:r>
        <w:rPr>
          <w:rFonts w:ascii="宋体" w:hAnsi="宋体" w:eastAsia="宋体" w:cs="宋体"/>
          <w:spacing w:val="-2"/>
          <w:sz w:val="24"/>
          <w:szCs w:val="24"/>
        </w:rPr>
        <w:t>定及时报废；特种设备及支撑体系设施设备投入使用前应按规定组织验收。</w:t>
      </w:r>
    </w:p>
    <w:p w14:paraId="3DA09781">
      <w:pPr>
        <w:spacing w:line="219" w:lineRule="auto"/>
        <w:ind w:left="531"/>
        <w:rPr>
          <w:rFonts w:ascii="宋体" w:hAnsi="宋体" w:eastAsia="宋体" w:cs="宋体"/>
          <w:sz w:val="24"/>
          <w:szCs w:val="24"/>
        </w:rPr>
      </w:pPr>
      <w:r>
        <w:rPr>
          <w:rFonts w:ascii="宋体" w:hAnsi="宋体" w:eastAsia="宋体" w:cs="宋体"/>
          <w:spacing w:val="-3"/>
          <w:sz w:val="24"/>
          <w:szCs w:val="24"/>
        </w:rPr>
        <w:t>(8)两区三厂、临建设施等选址及相关防护设施的设置应符合安全要求。</w:t>
      </w:r>
    </w:p>
    <w:p w14:paraId="32E3E2C3">
      <w:pPr>
        <w:spacing w:before="182" w:line="360" w:lineRule="auto"/>
        <w:ind w:left="15" w:right="10" w:firstLine="516"/>
        <w:rPr>
          <w:rFonts w:ascii="宋体" w:hAnsi="宋体" w:eastAsia="宋体" w:cs="宋体"/>
          <w:sz w:val="24"/>
          <w:szCs w:val="24"/>
        </w:rPr>
      </w:pPr>
      <w:r>
        <w:rPr>
          <w:rFonts w:ascii="宋体" w:hAnsi="宋体" w:eastAsia="宋体" w:cs="宋体"/>
          <w:sz w:val="24"/>
          <w:szCs w:val="24"/>
        </w:rPr>
        <w:t>(9)建立施工现场及驻地消防安全责任制度，确定消防安全责任人，落实消防安全</w:t>
      </w:r>
      <w:r>
        <w:rPr>
          <w:rFonts w:ascii="宋体" w:hAnsi="宋体" w:eastAsia="宋体" w:cs="宋体"/>
          <w:spacing w:val="-3"/>
          <w:sz w:val="24"/>
          <w:szCs w:val="24"/>
        </w:rPr>
        <w:t>管理和消防安全检查，及时消除火灾事故隐患。</w:t>
      </w:r>
    </w:p>
    <w:p w14:paraId="43E98F15">
      <w:pPr>
        <w:spacing w:before="3" w:line="359" w:lineRule="auto"/>
        <w:ind w:left="15" w:right="5" w:firstLine="516"/>
        <w:rPr>
          <w:rFonts w:ascii="宋体" w:hAnsi="宋体" w:eastAsia="宋体" w:cs="宋体"/>
          <w:sz w:val="24"/>
          <w:szCs w:val="24"/>
        </w:rPr>
      </w:pPr>
      <w:r>
        <w:rPr>
          <w:rFonts w:ascii="宋体" w:hAnsi="宋体" w:eastAsia="宋体" w:cs="宋体"/>
          <w:spacing w:val="-3"/>
          <w:sz w:val="24"/>
          <w:szCs w:val="24"/>
        </w:rPr>
        <w:t>(10)按规定建立并落实安全风险分级管控及事故隐患排查治理双重预防工作机制，</w:t>
      </w:r>
      <w:r>
        <w:rPr>
          <w:rFonts w:ascii="宋体" w:hAnsi="宋体" w:eastAsia="宋体" w:cs="宋体"/>
          <w:spacing w:val="-2"/>
          <w:sz w:val="24"/>
          <w:szCs w:val="24"/>
        </w:rPr>
        <w:t>并按要求开展各类安全生产检查，重大事故隐患及时上报和专项治理。</w:t>
      </w:r>
    </w:p>
    <w:p w14:paraId="2D16A005">
      <w:pPr>
        <w:spacing w:before="1" w:line="218" w:lineRule="auto"/>
        <w:ind w:left="531"/>
        <w:rPr>
          <w:rFonts w:ascii="宋体" w:hAnsi="宋体" w:eastAsia="宋体" w:cs="宋体"/>
          <w:sz w:val="24"/>
          <w:szCs w:val="24"/>
        </w:rPr>
      </w:pPr>
      <w:r>
        <w:rPr>
          <w:rFonts w:ascii="宋体" w:hAnsi="宋体" w:eastAsia="宋体" w:cs="宋体"/>
          <w:spacing w:val="-2"/>
          <w:sz w:val="24"/>
          <w:szCs w:val="24"/>
        </w:rPr>
        <w:t>(11)建立健全本项目合同段生产安全事故</w:t>
      </w:r>
      <w:r>
        <w:rPr>
          <w:rFonts w:ascii="宋体" w:hAnsi="宋体" w:eastAsia="宋体" w:cs="宋体"/>
          <w:spacing w:val="-3"/>
          <w:sz w:val="24"/>
          <w:szCs w:val="24"/>
        </w:rPr>
        <w:t>应急预案体系，并定期组织演练。</w:t>
      </w:r>
    </w:p>
    <w:p w14:paraId="02646923">
      <w:pPr>
        <w:spacing w:before="183" w:line="360" w:lineRule="auto"/>
        <w:ind w:left="13" w:firstLine="518"/>
        <w:rPr>
          <w:rFonts w:ascii="宋体" w:hAnsi="宋体" w:eastAsia="宋体" w:cs="宋体"/>
          <w:sz w:val="24"/>
          <w:szCs w:val="24"/>
        </w:rPr>
      </w:pPr>
      <w:r>
        <w:rPr>
          <w:rFonts w:ascii="宋体" w:hAnsi="宋体" w:eastAsia="宋体" w:cs="宋体"/>
          <w:spacing w:val="-7"/>
          <w:sz w:val="24"/>
          <w:szCs w:val="24"/>
        </w:rPr>
        <w:t>(12)及时、如实报告生产安全事故。发生事故时，</w:t>
      </w:r>
      <w:r>
        <w:rPr>
          <w:rFonts w:ascii="宋体" w:hAnsi="宋体" w:eastAsia="宋体" w:cs="宋体"/>
          <w:spacing w:val="51"/>
          <w:sz w:val="24"/>
          <w:szCs w:val="24"/>
        </w:rPr>
        <w:t xml:space="preserve"> </w:t>
      </w:r>
      <w:r>
        <w:rPr>
          <w:rFonts w:ascii="宋体" w:hAnsi="宋体" w:eastAsia="宋体" w:cs="宋体"/>
          <w:spacing w:val="-7"/>
          <w:sz w:val="24"/>
          <w:szCs w:val="24"/>
        </w:rPr>
        <w:t>应立即组织抢救，</w:t>
      </w:r>
      <w:r>
        <w:rPr>
          <w:rFonts w:ascii="宋体" w:hAnsi="宋体" w:eastAsia="宋体" w:cs="宋体"/>
          <w:spacing w:val="-8"/>
          <w:sz w:val="24"/>
          <w:szCs w:val="24"/>
        </w:rPr>
        <w:t>并积极配合事</w:t>
      </w:r>
      <w:r>
        <w:rPr>
          <w:rFonts w:ascii="宋体" w:hAnsi="宋体" w:eastAsia="宋体" w:cs="宋体"/>
          <w:spacing w:val="-7"/>
          <w:sz w:val="24"/>
          <w:szCs w:val="24"/>
        </w:rPr>
        <w:t>故调查处理。</w:t>
      </w:r>
    </w:p>
    <w:p w14:paraId="556E2B70">
      <w:pPr>
        <w:spacing w:before="1" w:line="219" w:lineRule="auto"/>
        <w:ind w:left="531"/>
        <w:rPr>
          <w:rFonts w:ascii="宋体" w:hAnsi="宋体" w:eastAsia="宋体" w:cs="宋体"/>
          <w:sz w:val="24"/>
          <w:szCs w:val="24"/>
        </w:rPr>
      </w:pPr>
      <w:r>
        <w:rPr>
          <w:rFonts w:ascii="宋体" w:hAnsi="宋体" w:eastAsia="宋体" w:cs="宋体"/>
          <w:spacing w:val="-4"/>
          <w:sz w:val="24"/>
          <w:szCs w:val="24"/>
        </w:rPr>
        <w:t>(13)安全生产法律法规、政策等规定的其他职责。</w:t>
      </w:r>
    </w:p>
    <w:p w14:paraId="5C0F2C34">
      <w:pPr>
        <w:spacing w:before="182" w:line="220" w:lineRule="auto"/>
        <w:ind w:left="494"/>
        <w:rPr>
          <w:rFonts w:ascii="宋体" w:hAnsi="宋体" w:eastAsia="宋体" w:cs="宋体"/>
          <w:sz w:val="24"/>
          <w:szCs w:val="24"/>
        </w:rPr>
      </w:pPr>
      <w:r>
        <w:rPr>
          <w:rFonts w:ascii="宋体" w:hAnsi="宋体" w:eastAsia="宋体" w:cs="宋体"/>
          <w:spacing w:val="-3"/>
          <w:sz w:val="24"/>
          <w:szCs w:val="24"/>
        </w:rPr>
        <w:t>3.违约责任</w:t>
      </w:r>
    </w:p>
    <w:p w14:paraId="7B69956A">
      <w:pPr>
        <w:spacing w:before="182" w:line="219" w:lineRule="auto"/>
        <w:ind w:left="493"/>
        <w:rPr>
          <w:rFonts w:ascii="宋体" w:hAnsi="宋体" w:eastAsia="宋体" w:cs="宋体"/>
          <w:sz w:val="24"/>
          <w:szCs w:val="24"/>
        </w:rPr>
      </w:pPr>
      <w:r>
        <w:rPr>
          <w:rFonts w:ascii="宋体" w:hAnsi="宋体" w:eastAsia="宋体" w:cs="宋体"/>
          <w:spacing w:val="-2"/>
          <w:sz w:val="24"/>
          <w:szCs w:val="24"/>
        </w:rPr>
        <w:t>如因发包人或承包人违约造成安全事故，将依法追究责任。</w:t>
      </w:r>
    </w:p>
    <w:p w14:paraId="0A9293DF">
      <w:pPr>
        <w:spacing w:before="184" w:line="360" w:lineRule="auto"/>
        <w:ind w:left="10" w:firstLine="478"/>
        <w:rPr>
          <w:rFonts w:ascii="宋体" w:hAnsi="宋体" w:eastAsia="宋体" w:cs="宋体"/>
          <w:sz w:val="24"/>
          <w:szCs w:val="24"/>
        </w:rPr>
      </w:pPr>
      <w:r>
        <w:rPr>
          <w:rFonts w:ascii="宋体" w:hAnsi="宋体" w:eastAsia="宋体" w:cs="宋体"/>
          <w:spacing w:val="-2"/>
          <w:sz w:val="24"/>
          <w:szCs w:val="24"/>
        </w:rPr>
        <w:t>4.本合同由双方法定代表人或其授权的代理人签署并加盖单位章后生效，全部工程</w:t>
      </w:r>
      <w:r>
        <w:rPr>
          <w:rFonts w:ascii="宋体" w:hAnsi="宋体" w:eastAsia="宋体" w:cs="宋体"/>
          <w:spacing w:val="-5"/>
          <w:sz w:val="24"/>
          <w:szCs w:val="24"/>
        </w:rPr>
        <w:t>竣工验收后失效。</w:t>
      </w:r>
    </w:p>
    <w:p w14:paraId="7BCA5B8E">
      <w:pPr>
        <w:spacing w:before="2" w:line="361" w:lineRule="auto"/>
        <w:ind w:left="10" w:firstLine="483"/>
        <w:rPr>
          <w:rFonts w:ascii="宋体" w:hAnsi="宋体" w:eastAsia="宋体" w:cs="宋体"/>
          <w:sz w:val="24"/>
          <w:szCs w:val="24"/>
        </w:rPr>
      </w:pPr>
      <w:r>
        <w:rPr>
          <w:rFonts w:ascii="宋体" w:hAnsi="宋体" w:eastAsia="宋体" w:cs="宋体"/>
          <w:spacing w:val="-2"/>
          <w:sz w:val="24"/>
          <w:szCs w:val="24"/>
        </w:rPr>
        <w:t>5.本合同正本二份、副本</w:t>
      </w:r>
      <w:r>
        <w:rPr>
          <w:rFonts w:ascii="宋体" w:hAnsi="宋体" w:eastAsia="宋体" w:cs="宋体"/>
          <w:spacing w:val="-2"/>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份，合同双方各执正本一份，副本</w:t>
      </w:r>
      <w:r>
        <w:rPr>
          <w:rFonts w:ascii="宋体" w:hAnsi="宋体" w:eastAsia="宋体" w:cs="宋体"/>
          <w:spacing w:val="-2"/>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份，当正本</w:t>
      </w:r>
      <w:r>
        <w:rPr>
          <w:rFonts w:ascii="宋体" w:hAnsi="宋体" w:eastAsia="宋体" w:cs="宋体"/>
          <w:spacing w:val="-3"/>
          <w:sz w:val="24"/>
          <w:szCs w:val="24"/>
        </w:rPr>
        <w:t>与副本的内容不一致时，以正本为准。</w:t>
      </w:r>
    </w:p>
    <w:p w14:paraId="6C17A0FA">
      <w:pPr>
        <w:pStyle w:val="2"/>
        <w:spacing w:line="382" w:lineRule="auto"/>
      </w:pPr>
    </w:p>
    <w:p w14:paraId="11BDB3E9">
      <w:pPr>
        <w:spacing w:before="79" w:line="219" w:lineRule="auto"/>
        <w:ind w:left="13"/>
        <w:rPr>
          <w:rFonts w:ascii="宋体" w:hAnsi="宋体" w:eastAsia="宋体" w:cs="宋体"/>
          <w:sz w:val="24"/>
          <w:szCs w:val="24"/>
        </w:rPr>
      </w:pPr>
      <w:r>
        <w:rPr>
          <w:rFonts w:ascii="宋体" w:hAnsi="宋体" w:eastAsia="宋体" w:cs="宋体"/>
          <w:spacing w:val="-3"/>
          <w:sz w:val="24"/>
          <w:szCs w:val="24"/>
        </w:rPr>
        <w:t>发包人：</w:t>
      </w:r>
      <w:r>
        <w:rPr>
          <w:rFonts w:ascii="宋体" w:hAnsi="宋体" w:eastAsia="宋体" w:cs="宋体"/>
          <w:spacing w:val="-3"/>
          <w:sz w:val="24"/>
          <w:szCs w:val="24"/>
          <w:u w:val="single" w:color="auto"/>
        </w:rPr>
        <w:t xml:space="preserve">                 </w:t>
      </w:r>
      <w:r>
        <w:rPr>
          <w:rFonts w:ascii="宋体" w:hAnsi="宋体" w:eastAsia="宋体" w:cs="宋体"/>
          <w:spacing w:val="-69"/>
          <w:sz w:val="24"/>
          <w:szCs w:val="24"/>
        </w:rPr>
        <w:t xml:space="preserve"> </w:t>
      </w:r>
      <w:r>
        <w:rPr>
          <w:rFonts w:hint="eastAsia" w:ascii="宋体" w:hAnsi="宋体" w:cs="宋体"/>
          <w:spacing w:val="-69"/>
          <w:sz w:val="24"/>
          <w:szCs w:val="24"/>
          <w:lang w:eastAsia="zh-CN"/>
        </w:rPr>
        <w:t>（</w:t>
      </w:r>
      <w:r>
        <w:rPr>
          <w:rFonts w:ascii="宋体" w:hAnsi="宋体" w:eastAsia="宋体" w:cs="宋体"/>
          <w:spacing w:val="-3"/>
          <w:sz w:val="24"/>
          <w:szCs w:val="24"/>
        </w:rPr>
        <w:t>盖单位章</w:t>
      </w:r>
      <w:r>
        <w:rPr>
          <w:rFonts w:hint="eastAsia" w:ascii="宋体" w:hAnsi="宋体" w:cs="宋体"/>
          <w:spacing w:val="-3"/>
          <w:sz w:val="24"/>
          <w:szCs w:val="24"/>
          <w:lang w:eastAsia="zh-CN"/>
        </w:rPr>
        <w:t>）</w:t>
      </w:r>
      <w:r>
        <w:rPr>
          <w:rFonts w:ascii="宋体" w:hAnsi="宋体" w:eastAsia="宋体" w:cs="宋体"/>
          <w:spacing w:val="2"/>
          <w:sz w:val="24"/>
          <w:szCs w:val="24"/>
        </w:rPr>
        <w:t xml:space="preserve">     </w:t>
      </w:r>
      <w:r>
        <w:rPr>
          <w:rFonts w:ascii="宋体" w:hAnsi="宋体" w:eastAsia="宋体" w:cs="宋体"/>
          <w:spacing w:val="-4"/>
          <w:sz w:val="24"/>
          <w:szCs w:val="24"/>
        </w:rPr>
        <w:t>承包人：</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hint="eastAsia" w:ascii="宋体" w:hAnsi="宋体" w:cs="宋体"/>
          <w:spacing w:val="-69"/>
          <w:sz w:val="24"/>
          <w:szCs w:val="24"/>
          <w:lang w:eastAsia="zh-CN"/>
        </w:rPr>
        <w:t>（</w:t>
      </w:r>
      <w:r>
        <w:rPr>
          <w:rFonts w:ascii="宋体" w:hAnsi="宋体" w:eastAsia="宋体" w:cs="宋体"/>
          <w:spacing w:val="-4"/>
          <w:sz w:val="24"/>
          <w:szCs w:val="24"/>
        </w:rPr>
        <w:t>盖单位章</w:t>
      </w:r>
      <w:r>
        <w:rPr>
          <w:rFonts w:hint="eastAsia" w:ascii="宋体" w:hAnsi="宋体" w:cs="宋体"/>
          <w:spacing w:val="-4"/>
          <w:sz w:val="24"/>
          <w:szCs w:val="24"/>
          <w:lang w:eastAsia="zh-CN"/>
        </w:rPr>
        <w:t>）</w:t>
      </w:r>
    </w:p>
    <w:p w14:paraId="0C5EAF3C">
      <w:pPr>
        <w:spacing w:before="183" w:line="220" w:lineRule="auto"/>
        <w:jc w:val="right"/>
        <w:rPr>
          <w:rFonts w:ascii="宋体" w:hAnsi="宋体" w:eastAsia="宋体" w:cs="宋体"/>
          <w:sz w:val="24"/>
          <w:szCs w:val="24"/>
        </w:rPr>
      </w:pPr>
      <w:r>
        <w:rPr>
          <w:rFonts w:ascii="宋体" w:hAnsi="宋体" w:eastAsia="宋体" w:cs="宋体"/>
          <w:spacing w:val="-3"/>
          <w:sz w:val="24"/>
          <w:szCs w:val="24"/>
        </w:rPr>
        <w:t>法定代表人或其委托代理人：</w:t>
      </w:r>
      <w:r>
        <w:rPr>
          <w:rFonts w:ascii="宋体" w:hAnsi="宋体" w:eastAsia="宋体" w:cs="宋体"/>
          <w:spacing w:val="-3"/>
          <w:sz w:val="24"/>
          <w:szCs w:val="24"/>
          <w:u w:val="single" w:color="auto"/>
        </w:rPr>
        <w:t xml:space="preserve">     </w:t>
      </w:r>
      <w:r>
        <w:rPr>
          <w:rFonts w:ascii="宋体" w:hAnsi="宋体" w:eastAsia="宋体" w:cs="宋体"/>
          <w:spacing w:val="-68"/>
          <w:sz w:val="24"/>
          <w:szCs w:val="24"/>
        </w:rPr>
        <w:t xml:space="preserve"> </w:t>
      </w:r>
      <w:r>
        <w:rPr>
          <w:rFonts w:hint="eastAsia" w:ascii="宋体" w:hAnsi="宋体" w:cs="宋体"/>
          <w:spacing w:val="-68"/>
          <w:sz w:val="24"/>
          <w:szCs w:val="24"/>
          <w:lang w:eastAsia="zh-CN"/>
        </w:rPr>
        <w:t>（</w:t>
      </w:r>
      <w:r>
        <w:rPr>
          <w:rFonts w:ascii="宋体" w:hAnsi="宋体" w:eastAsia="宋体" w:cs="宋体"/>
          <w:spacing w:val="-3"/>
          <w:sz w:val="24"/>
          <w:szCs w:val="24"/>
        </w:rPr>
        <w:t>签字</w:t>
      </w:r>
      <w:r>
        <w:rPr>
          <w:rFonts w:hint="eastAsia" w:ascii="宋体" w:hAnsi="宋体" w:cs="宋体"/>
          <w:spacing w:val="-3"/>
          <w:sz w:val="24"/>
          <w:szCs w:val="24"/>
          <w:lang w:eastAsia="zh-CN"/>
        </w:rPr>
        <w:t>）</w:t>
      </w:r>
      <w:r>
        <w:rPr>
          <w:rFonts w:ascii="宋体" w:hAnsi="宋体" w:eastAsia="宋体" w:cs="宋体"/>
          <w:spacing w:val="-4"/>
          <w:sz w:val="24"/>
          <w:szCs w:val="24"/>
        </w:rPr>
        <w:t xml:space="preserve">  法定代表人或其委托代理人：</w:t>
      </w:r>
      <w:r>
        <w:rPr>
          <w:rFonts w:ascii="宋体" w:hAnsi="宋体" w:eastAsia="宋体" w:cs="宋体"/>
          <w:spacing w:val="-4"/>
          <w:sz w:val="24"/>
          <w:szCs w:val="24"/>
          <w:u w:val="single" w:color="auto"/>
        </w:rPr>
        <w:t xml:space="preserve">     </w:t>
      </w:r>
      <w:r>
        <w:rPr>
          <w:rFonts w:ascii="宋体" w:hAnsi="宋体" w:eastAsia="宋体" w:cs="宋体"/>
          <w:spacing w:val="-69"/>
          <w:sz w:val="24"/>
          <w:szCs w:val="24"/>
        </w:rPr>
        <w:t xml:space="preserve"> </w:t>
      </w:r>
      <w:r>
        <w:rPr>
          <w:rFonts w:hint="eastAsia" w:ascii="宋体" w:hAnsi="宋体" w:cs="宋体"/>
          <w:spacing w:val="-69"/>
          <w:sz w:val="24"/>
          <w:szCs w:val="24"/>
          <w:lang w:eastAsia="zh-CN"/>
        </w:rPr>
        <w:t>（</w:t>
      </w:r>
      <w:r>
        <w:rPr>
          <w:rFonts w:ascii="宋体" w:hAnsi="宋体" w:eastAsia="宋体" w:cs="宋体"/>
          <w:spacing w:val="-4"/>
          <w:sz w:val="24"/>
          <w:szCs w:val="24"/>
        </w:rPr>
        <w:t>签字</w:t>
      </w:r>
      <w:r>
        <w:rPr>
          <w:rFonts w:hint="eastAsia" w:ascii="宋体" w:hAnsi="宋体" w:cs="宋体"/>
          <w:spacing w:val="-4"/>
          <w:sz w:val="24"/>
          <w:szCs w:val="24"/>
          <w:lang w:eastAsia="zh-CN"/>
        </w:rPr>
        <w:t>）</w:t>
      </w:r>
    </w:p>
    <w:p w14:paraId="08274EF7">
      <w:pPr>
        <w:spacing w:line="219" w:lineRule="auto"/>
        <w:rPr>
          <w:rFonts w:ascii="宋体" w:hAnsi="宋体" w:eastAsia="宋体" w:cs="宋体"/>
          <w:sz w:val="24"/>
          <w:szCs w:val="24"/>
        </w:rPr>
        <w:sectPr>
          <w:footerReference r:id="rId119" w:type="default"/>
          <w:pgSz w:w="11905" w:h="16840"/>
          <w:pgMar w:top="1182" w:right="1416" w:bottom="1171" w:left="1416" w:header="849" w:footer="937" w:gutter="0"/>
          <w:pgNumType w:fmt="decimal"/>
          <w:cols w:space="720" w:num="1"/>
        </w:sectPr>
      </w:pPr>
      <w:r>
        <w:rPr>
          <w:rFonts w:ascii="宋体" w:hAnsi="宋体" w:eastAsia="宋体" w:cs="宋体"/>
          <w:sz w:val="24"/>
          <w:szCs w:val="24"/>
          <w:u w:val="single" w:color="auto"/>
        </w:rPr>
        <w:tab/>
      </w:r>
      <w:r>
        <w:rPr>
          <w:rFonts w:ascii="宋体" w:hAnsi="宋体" w:eastAsia="宋体" w:cs="宋体"/>
          <w:spacing w:val="-103"/>
          <w:sz w:val="24"/>
          <w:szCs w:val="24"/>
        </w:rPr>
        <w:t xml:space="preserve"> </w:t>
      </w:r>
      <w:r>
        <w:rPr>
          <w:rFonts w:ascii="宋体" w:hAnsi="宋体" w:eastAsia="宋体" w:cs="宋体"/>
          <w:spacing w:val="-10"/>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0"/>
          <w:sz w:val="24"/>
          <w:szCs w:val="24"/>
        </w:rPr>
        <w:t>月</w:t>
      </w:r>
      <w:r>
        <w:rPr>
          <w:rFonts w:ascii="宋体" w:hAnsi="宋体" w:eastAsia="宋体" w:cs="宋体"/>
          <w:spacing w:val="24"/>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0"/>
          <w:sz w:val="24"/>
          <w:szCs w:val="24"/>
        </w:rPr>
        <w:t xml:space="preserve">日                 </w:t>
      </w:r>
      <w:r>
        <w:rPr>
          <w:rFonts w:ascii="宋体" w:hAnsi="宋体" w:eastAsia="宋体" w:cs="宋体"/>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0"/>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0"/>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0"/>
          <w:sz w:val="24"/>
          <w:szCs w:val="24"/>
        </w:rPr>
        <w:t>日</w:t>
      </w:r>
    </w:p>
    <w:p w14:paraId="23E13F61">
      <w:pPr>
        <w:tabs>
          <w:tab w:val="left" w:pos="2040"/>
        </w:tabs>
        <w:spacing w:before="182" w:line="220" w:lineRule="auto"/>
        <w:ind w:left="1200"/>
        <w:rPr>
          <w:rFonts w:ascii="宋体" w:hAnsi="宋体" w:eastAsia="宋体" w:cs="宋体"/>
          <w:sz w:val="24"/>
          <w:szCs w:val="24"/>
        </w:rPr>
      </w:pPr>
    </w:p>
    <w:p w14:paraId="7FF24CBE">
      <w:pPr>
        <w:spacing w:before="91" w:line="219" w:lineRule="auto"/>
        <w:ind w:left="28"/>
        <w:rPr>
          <w:rFonts w:ascii="宋体" w:hAnsi="宋体" w:eastAsia="宋体" w:cs="宋体"/>
          <w:b/>
          <w:bCs/>
          <w:spacing w:val="-6"/>
          <w:sz w:val="28"/>
          <w:szCs w:val="28"/>
        </w:rPr>
      </w:pPr>
      <w:r>
        <w:rPr>
          <w:rFonts w:ascii="宋体" w:hAnsi="宋体" w:eastAsia="宋体" w:cs="宋体"/>
          <w:b/>
          <w:bCs/>
          <w:spacing w:val="-6"/>
          <w:sz w:val="28"/>
          <w:szCs w:val="28"/>
        </w:rPr>
        <w:t>附件</w:t>
      </w:r>
      <w:r>
        <w:rPr>
          <w:rFonts w:hint="eastAsia" w:ascii="宋体" w:hAnsi="宋体" w:eastAsia="宋体" w:cs="宋体"/>
          <w:b/>
          <w:bCs/>
          <w:spacing w:val="-6"/>
          <w:sz w:val="28"/>
          <w:szCs w:val="28"/>
          <w:lang w:val="en-US" w:eastAsia="zh-CN"/>
        </w:rPr>
        <w:t>四</w:t>
      </w:r>
      <w:r>
        <w:rPr>
          <w:rFonts w:ascii="宋体" w:hAnsi="宋体" w:eastAsia="宋体" w:cs="宋体"/>
          <w:b/>
          <w:bCs/>
          <w:spacing w:val="-6"/>
          <w:sz w:val="28"/>
          <w:szCs w:val="28"/>
        </w:rPr>
        <w:t xml:space="preserve">   </w:t>
      </w:r>
      <w:r>
        <w:rPr>
          <w:rFonts w:hint="eastAsia" w:ascii="宋体" w:hAnsi="宋体" w:eastAsia="宋体" w:cs="宋体"/>
          <w:b/>
          <w:bCs/>
          <w:spacing w:val="-6"/>
          <w:sz w:val="28"/>
          <w:szCs w:val="28"/>
        </w:rPr>
        <w:t>其他管理人员和技术人员最低要</w:t>
      </w:r>
      <w:r>
        <w:rPr>
          <w:rFonts w:ascii="宋体" w:hAnsi="宋体" w:eastAsia="宋体" w:cs="宋体"/>
          <w:b/>
          <w:bCs/>
          <w:spacing w:val="-6"/>
          <w:sz w:val="28"/>
          <w:szCs w:val="28"/>
        </w:rPr>
        <w:t>求</w:t>
      </w:r>
    </w:p>
    <w:tbl>
      <w:tblPr>
        <w:tblStyle w:val="8"/>
        <w:tblW w:w="8924"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99"/>
        <w:gridCol w:w="715"/>
        <w:gridCol w:w="5710"/>
      </w:tblGrid>
      <w:tr w14:paraId="2DC9B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2499" w:type="dxa"/>
            <w:tcBorders>
              <w:top w:val="single" w:color="000000" w:sz="10" w:space="0"/>
              <w:left w:val="single" w:color="000000" w:sz="10" w:space="0"/>
            </w:tcBorders>
            <w:vAlign w:val="top"/>
          </w:tcPr>
          <w:p w14:paraId="51A3AC3F">
            <w:pPr>
              <w:pStyle w:val="9"/>
              <w:spacing w:before="248" w:line="221" w:lineRule="auto"/>
              <w:ind w:left="887"/>
            </w:pPr>
            <w:r>
              <w:rPr>
                <w:spacing w:val="-6"/>
              </w:rPr>
              <w:t>人</w:t>
            </w:r>
            <w:r>
              <w:rPr>
                <w:spacing w:val="9"/>
              </w:rPr>
              <w:t xml:space="preserve">  </w:t>
            </w:r>
            <w:r>
              <w:rPr>
                <w:spacing w:val="-6"/>
              </w:rPr>
              <w:t>员</w:t>
            </w:r>
          </w:p>
        </w:tc>
        <w:tc>
          <w:tcPr>
            <w:tcW w:w="715" w:type="dxa"/>
            <w:tcBorders>
              <w:top w:val="single" w:color="000000" w:sz="10" w:space="0"/>
            </w:tcBorders>
            <w:vAlign w:val="top"/>
          </w:tcPr>
          <w:p w14:paraId="146027F4">
            <w:pPr>
              <w:pStyle w:val="9"/>
              <w:spacing w:before="249" w:line="219" w:lineRule="auto"/>
              <w:ind w:left="121"/>
            </w:pPr>
            <w:r>
              <w:rPr>
                <w:spacing w:val="-6"/>
              </w:rPr>
              <w:t>数量</w:t>
            </w:r>
          </w:p>
        </w:tc>
        <w:tc>
          <w:tcPr>
            <w:tcW w:w="5710" w:type="dxa"/>
            <w:tcBorders>
              <w:top w:val="single" w:color="000000" w:sz="10" w:space="0"/>
              <w:right w:val="single" w:color="000000" w:sz="10" w:space="0"/>
            </w:tcBorders>
            <w:vAlign w:val="top"/>
          </w:tcPr>
          <w:p w14:paraId="47B2B6BD">
            <w:pPr>
              <w:pStyle w:val="9"/>
              <w:spacing w:before="249" w:line="219" w:lineRule="auto"/>
              <w:ind w:left="2208"/>
            </w:pPr>
            <w:r>
              <w:rPr>
                <w:spacing w:val="-10"/>
              </w:rPr>
              <w:t>资</w:t>
            </w:r>
            <w:r>
              <w:rPr>
                <w:spacing w:val="9"/>
              </w:rPr>
              <w:t xml:space="preserve"> </w:t>
            </w:r>
            <w:r>
              <w:rPr>
                <w:spacing w:val="-10"/>
              </w:rPr>
              <w:t>格</w:t>
            </w:r>
            <w:r>
              <w:rPr>
                <w:spacing w:val="10"/>
              </w:rPr>
              <w:t xml:space="preserve"> </w:t>
            </w:r>
            <w:r>
              <w:rPr>
                <w:spacing w:val="-10"/>
              </w:rPr>
              <w:t>要</w:t>
            </w:r>
            <w:r>
              <w:rPr>
                <w:spacing w:val="11"/>
              </w:rPr>
              <w:t xml:space="preserve"> </w:t>
            </w:r>
            <w:r>
              <w:rPr>
                <w:spacing w:val="-10"/>
              </w:rPr>
              <w:t>求</w:t>
            </w:r>
          </w:p>
        </w:tc>
      </w:tr>
      <w:tr w14:paraId="61FD5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2499" w:type="dxa"/>
            <w:tcBorders>
              <w:left w:val="single" w:color="000000" w:sz="10" w:space="0"/>
            </w:tcBorders>
            <w:vAlign w:val="top"/>
          </w:tcPr>
          <w:p w14:paraId="6BCB29D5">
            <w:pPr>
              <w:pStyle w:val="9"/>
              <w:spacing w:before="203" w:line="219" w:lineRule="auto"/>
            </w:pPr>
            <w:r>
              <w:rPr>
                <w:rFonts w:hint="eastAsia"/>
                <w:lang w:val="en-US" w:eastAsia="zh-CN"/>
              </w:rPr>
              <w:t>专职安全生产管理人员</w:t>
            </w:r>
          </w:p>
        </w:tc>
        <w:tc>
          <w:tcPr>
            <w:tcW w:w="715" w:type="dxa"/>
            <w:vAlign w:val="top"/>
          </w:tcPr>
          <w:p w14:paraId="0ADA6DCB">
            <w:pPr>
              <w:pStyle w:val="9"/>
              <w:spacing w:before="192" w:line="219" w:lineRule="auto"/>
              <w:ind w:right="13"/>
              <w:jc w:val="center"/>
              <w:rPr>
                <w:rFonts w:hint="eastAsia"/>
                <w:spacing w:val="-1"/>
                <w:lang w:val="en-US" w:eastAsia="zh-CN"/>
              </w:rPr>
            </w:pPr>
            <w:r>
              <w:rPr>
                <w:rFonts w:hint="eastAsia"/>
                <w:spacing w:val="-1"/>
                <w:lang w:val="en-US" w:eastAsia="zh-CN"/>
              </w:rPr>
              <w:t>1</w:t>
            </w:r>
          </w:p>
        </w:tc>
        <w:tc>
          <w:tcPr>
            <w:tcW w:w="5710" w:type="dxa"/>
            <w:tcBorders>
              <w:right w:val="single" w:color="000000" w:sz="10" w:space="0"/>
            </w:tcBorders>
            <w:vAlign w:val="top"/>
          </w:tcPr>
          <w:p w14:paraId="65FF17E1">
            <w:pPr>
              <w:pStyle w:val="9"/>
              <w:spacing w:before="310" w:line="219" w:lineRule="auto"/>
              <w:ind w:left="113"/>
              <w:rPr>
                <w:spacing w:val="-1"/>
              </w:rPr>
            </w:pPr>
            <w:r>
              <w:rPr>
                <w:rFonts w:hint="eastAsia"/>
                <w:spacing w:val="-3"/>
                <w:lang w:val="en-US" w:eastAsia="zh-CN"/>
              </w:rPr>
              <w:t>具有交通主管部门颁发的有效安全生产“三类人员”C 类证书，累计 3 年从事类似工程经验。</w:t>
            </w:r>
          </w:p>
        </w:tc>
      </w:tr>
    </w:tbl>
    <w:p w14:paraId="6510C3D7">
      <w:pPr>
        <w:spacing w:before="304" w:line="360" w:lineRule="auto"/>
        <w:ind w:left="7"/>
        <w:rPr>
          <w:rFonts w:hint="eastAsia" w:ascii="宋体" w:hAnsi="宋体" w:eastAsia="宋体" w:cs="宋体"/>
          <w:spacing w:val="9"/>
          <w:sz w:val="21"/>
          <w:szCs w:val="21"/>
        </w:rPr>
      </w:pPr>
      <w:r>
        <w:rPr>
          <w:rFonts w:hint="eastAsia" w:ascii="宋体" w:hAnsi="宋体" w:eastAsia="宋体" w:cs="宋体"/>
          <w:spacing w:val="9"/>
          <w:sz w:val="21"/>
          <w:szCs w:val="21"/>
        </w:rPr>
        <w:t>注：</w:t>
      </w:r>
    </w:p>
    <w:p w14:paraId="3498C957">
      <w:pPr>
        <w:spacing w:before="304" w:line="360" w:lineRule="auto"/>
        <w:ind w:left="7" w:firstLine="456" w:firstLineChars="200"/>
        <w:rPr>
          <w:rFonts w:hint="eastAsia" w:ascii="宋体" w:hAnsi="宋体" w:eastAsia="宋体" w:cs="宋体"/>
          <w:spacing w:val="9"/>
          <w:sz w:val="21"/>
          <w:szCs w:val="21"/>
        </w:rPr>
      </w:pPr>
      <w:r>
        <w:rPr>
          <w:rFonts w:hint="eastAsia" w:ascii="宋体" w:hAnsi="宋体" w:eastAsia="宋体" w:cs="宋体"/>
          <w:spacing w:val="9"/>
          <w:sz w:val="21"/>
          <w:szCs w:val="21"/>
        </w:rPr>
        <w:t>1、 人员相关信息以“全国公路建设市场监督管理系统”为准；</w:t>
      </w:r>
    </w:p>
    <w:p w14:paraId="1E14317C">
      <w:pPr>
        <w:spacing w:before="304" w:line="360" w:lineRule="auto"/>
        <w:ind w:left="7" w:firstLine="456" w:firstLineChars="200"/>
        <w:rPr>
          <w:rFonts w:hint="eastAsia" w:ascii="宋体" w:hAnsi="宋体" w:eastAsia="宋体" w:cs="宋体"/>
          <w:spacing w:val="9"/>
          <w:sz w:val="21"/>
          <w:szCs w:val="21"/>
        </w:rPr>
      </w:pPr>
      <w:r>
        <w:rPr>
          <w:rFonts w:hint="eastAsia" w:ascii="宋体" w:hAnsi="宋体" w:eastAsia="宋体" w:cs="宋体"/>
          <w:spacing w:val="9"/>
          <w:sz w:val="21"/>
          <w:szCs w:val="21"/>
        </w:rPr>
        <w:t>2、资格要求的人员安全生产“三类人员”C类证书应在投标人所在单位，否则视为无效。</w:t>
      </w:r>
    </w:p>
    <w:p w14:paraId="75426FBE">
      <w:pPr>
        <w:spacing w:before="304" w:line="360" w:lineRule="auto"/>
        <w:ind w:left="7" w:firstLine="456" w:firstLineChars="200"/>
        <w:rPr>
          <w:rFonts w:hint="eastAsia" w:ascii="宋体" w:hAnsi="宋体" w:eastAsia="宋体" w:cs="宋体"/>
          <w:spacing w:val="9"/>
          <w:sz w:val="21"/>
          <w:szCs w:val="21"/>
        </w:rPr>
      </w:pPr>
      <w:r>
        <w:rPr>
          <w:rFonts w:hint="eastAsia" w:ascii="宋体" w:hAnsi="宋体" w:eastAsia="宋体" w:cs="宋体"/>
          <w:spacing w:val="9"/>
          <w:sz w:val="21"/>
          <w:szCs w:val="21"/>
        </w:rPr>
        <w:t>3、需提供相关证书复印件、投标人所属社保机构出具的社保缴费证明或其他能够证明参加社保的有效证明材料扫描件（社保时段为投标文件递交截止日前半年时间内连续不少于三个月）。</w:t>
      </w:r>
    </w:p>
    <w:p w14:paraId="5C4ECED8">
      <w:pPr>
        <w:spacing w:before="304" w:line="360" w:lineRule="auto"/>
        <w:ind w:left="7" w:firstLine="456" w:firstLineChars="200"/>
        <w:rPr>
          <w:rFonts w:hint="eastAsia" w:ascii="宋体" w:hAnsi="宋体" w:eastAsia="宋体" w:cs="宋体"/>
          <w:spacing w:val="9"/>
          <w:sz w:val="21"/>
          <w:szCs w:val="21"/>
        </w:rPr>
      </w:pPr>
      <w:r>
        <w:rPr>
          <w:rFonts w:hint="eastAsia" w:ascii="宋体" w:hAnsi="宋体" w:eastAsia="宋体" w:cs="宋体"/>
          <w:spacing w:val="9"/>
          <w:sz w:val="21"/>
          <w:szCs w:val="21"/>
        </w:rPr>
        <w:t>4、路桥相关专业职称包括路桥工程、公路工程、桥梁工程、道路与桥梁工程、交通土建、隧道（地下结构）工程、交通工程等专业职称。</w:t>
      </w:r>
    </w:p>
    <w:p w14:paraId="43CD77C6">
      <w:pPr>
        <w:spacing w:before="304" w:line="360" w:lineRule="auto"/>
        <w:ind w:left="7" w:firstLine="456" w:firstLineChars="200"/>
        <w:rPr>
          <w:rFonts w:ascii="宋体" w:hAnsi="宋体" w:eastAsia="宋体" w:cs="宋体"/>
          <w:spacing w:val="9"/>
          <w:sz w:val="21"/>
          <w:szCs w:val="21"/>
        </w:rPr>
      </w:pPr>
      <w:r>
        <w:rPr>
          <w:rFonts w:hint="eastAsia" w:ascii="宋体" w:hAnsi="宋体" w:eastAsia="宋体" w:cs="宋体"/>
          <w:spacing w:val="9"/>
          <w:sz w:val="21"/>
          <w:szCs w:val="21"/>
        </w:rPr>
        <w:t>5、附录6所要求人员须按资格审查资料表的要求附有效的证明材料，所有证明材料均须与身份证上的信息一致，否则视为无效证明材料</w:t>
      </w:r>
    </w:p>
    <w:p w14:paraId="261CD181">
      <w:pPr>
        <w:spacing w:line="220" w:lineRule="auto"/>
        <w:rPr>
          <w:rFonts w:ascii="宋体" w:hAnsi="宋体" w:eastAsia="宋体" w:cs="宋体"/>
          <w:sz w:val="24"/>
          <w:szCs w:val="24"/>
        </w:rPr>
        <w:sectPr>
          <w:footerReference r:id="rId120" w:type="default"/>
          <w:pgSz w:w="11905" w:h="16840"/>
          <w:pgMar w:top="1182" w:right="1416" w:bottom="1171" w:left="1416" w:header="849" w:footer="937" w:gutter="0"/>
          <w:pgNumType w:fmt="decimal"/>
          <w:cols w:space="720" w:num="1"/>
        </w:sectPr>
      </w:pPr>
    </w:p>
    <w:p w14:paraId="2C977E83">
      <w:pPr>
        <w:spacing w:before="91" w:line="219" w:lineRule="auto"/>
        <w:ind w:left="28"/>
        <w:rPr>
          <w:rFonts w:ascii="宋体" w:hAnsi="宋体" w:eastAsia="宋体" w:cs="宋体"/>
          <w:b/>
          <w:bCs/>
          <w:spacing w:val="-6"/>
          <w:sz w:val="28"/>
          <w:szCs w:val="28"/>
        </w:rPr>
      </w:pPr>
      <w:r>
        <w:rPr>
          <w:rFonts w:ascii="宋体" w:hAnsi="宋体" w:eastAsia="宋体" w:cs="宋体"/>
          <w:b/>
          <w:bCs/>
          <w:spacing w:val="-6"/>
          <w:sz w:val="28"/>
          <w:szCs w:val="28"/>
        </w:rPr>
        <w:t>附件五   主要设备最低要求</w:t>
      </w:r>
    </w:p>
    <w:p w14:paraId="032267E7">
      <w:pPr>
        <w:rPr>
          <w:color w:val="auto"/>
        </w:rPr>
      </w:pPr>
    </w:p>
    <w:p w14:paraId="39B749F5">
      <w:pPr>
        <w:spacing w:line="58" w:lineRule="exact"/>
        <w:rPr>
          <w:color w:val="auto"/>
        </w:rPr>
      </w:pPr>
    </w:p>
    <w:tbl>
      <w:tblPr>
        <w:tblStyle w:val="5"/>
        <w:tblW w:w="92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
        <w:gridCol w:w="3119"/>
        <w:gridCol w:w="2835"/>
        <w:gridCol w:w="988"/>
        <w:gridCol w:w="1500"/>
      </w:tblGrid>
      <w:tr w14:paraId="0A598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6AADE158">
            <w:pPr>
              <w:pStyle w:val="11"/>
              <w:spacing w:before="1"/>
              <w:ind w:left="179" w:right="173"/>
              <w:jc w:val="center"/>
              <w:rPr>
                <w:color w:val="auto"/>
                <w:sz w:val="21"/>
                <w:highlight w:val="none"/>
              </w:rPr>
            </w:pPr>
            <w:r>
              <w:rPr>
                <w:color w:val="auto"/>
                <w:sz w:val="21"/>
                <w:highlight w:val="none"/>
              </w:rPr>
              <w:t>序号</w:t>
            </w:r>
          </w:p>
        </w:tc>
        <w:tc>
          <w:tcPr>
            <w:tcW w:w="3119" w:type="dxa"/>
          </w:tcPr>
          <w:p w14:paraId="65062879">
            <w:pPr>
              <w:pStyle w:val="11"/>
              <w:spacing w:before="1"/>
              <w:ind w:left="276" w:right="272"/>
              <w:jc w:val="center"/>
              <w:rPr>
                <w:color w:val="auto"/>
                <w:sz w:val="21"/>
                <w:highlight w:val="none"/>
              </w:rPr>
            </w:pPr>
            <w:r>
              <w:rPr>
                <w:color w:val="auto"/>
                <w:sz w:val="21"/>
                <w:highlight w:val="none"/>
              </w:rPr>
              <w:t>设备名称</w:t>
            </w:r>
          </w:p>
        </w:tc>
        <w:tc>
          <w:tcPr>
            <w:tcW w:w="2835" w:type="dxa"/>
          </w:tcPr>
          <w:p w14:paraId="58F2E13E">
            <w:pPr>
              <w:pStyle w:val="11"/>
              <w:spacing w:before="1"/>
              <w:ind w:left="471"/>
              <w:rPr>
                <w:color w:val="auto"/>
                <w:sz w:val="21"/>
                <w:highlight w:val="none"/>
              </w:rPr>
            </w:pPr>
            <w:r>
              <w:rPr>
                <w:color w:val="auto"/>
                <w:sz w:val="21"/>
                <w:highlight w:val="none"/>
              </w:rPr>
              <w:t>规格、功率、及容量</w:t>
            </w:r>
          </w:p>
        </w:tc>
        <w:tc>
          <w:tcPr>
            <w:tcW w:w="988" w:type="dxa"/>
          </w:tcPr>
          <w:p w14:paraId="374BFD18">
            <w:pPr>
              <w:pStyle w:val="11"/>
              <w:spacing w:before="1"/>
              <w:ind w:left="262" w:right="255"/>
              <w:jc w:val="center"/>
              <w:rPr>
                <w:color w:val="auto"/>
                <w:sz w:val="21"/>
                <w:highlight w:val="none"/>
              </w:rPr>
            </w:pPr>
            <w:r>
              <w:rPr>
                <w:color w:val="auto"/>
                <w:sz w:val="21"/>
                <w:highlight w:val="none"/>
              </w:rPr>
              <w:t>单位</w:t>
            </w:r>
          </w:p>
        </w:tc>
        <w:tc>
          <w:tcPr>
            <w:tcW w:w="1500" w:type="dxa"/>
          </w:tcPr>
          <w:p w14:paraId="1EB252E0">
            <w:pPr>
              <w:pStyle w:val="11"/>
              <w:spacing w:before="1"/>
              <w:ind w:left="97" w:right="92"/>
              <w:jc w:val="center"/>
              <w:rPr>
                <w:color w:val="auto"/>
                <w:sz w:val="21"/>
                <w:highlight w:val="none"/>
              </w:rPr>
            </w:pPr>
            <w:r>
              <w:rPr>
                <w:color w:val="auto"/>
                <w:sz w:val="21"/>
                <w:highlight w:val="none"/>
              </w:rPr>
              <w:t>最低数量要求</w:t>
            </w:r>
          </w:p>
        </w:tc>
      </w:tr>
      <w:tr w14:paraId="585AE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5FD81981">
            <w:pPr>
              <w:pStyle w:val="11"/>
              <w:spacing w:before="7"/>
              <w:ind w:left="21"/>
              <w:jc w:val="center"/>
              <w:rPr>
                <w:rFonts w:ascii="Calibri"/>
                <w:color w:val="auto"/>
                <w:sz w:val="21"/>
                <w:highlight w:val="none"/>
              </w:rPr>
            </w:pPr>
            <w:r>
              <w:rPr>
                <w:rFonts w:ascii="Calibri"/>
                <w:color w:val="auto"/>
                <w:w w:val="99"/>
                <w:sz w:val="21"/>
                <w:highlight w:val="none"/>
              </w:rPr>
              <w:t>1</w:t>
            </w:r>
          </w:p>
        </w:tc>
        <w:tc>
          <w:tcPr>
            <w:tcW w:w="3119" w:type="dxa"/>
          </w:tcPr>
          <w:p w14:paraId="2A16A93C">
            <w:pPr>
              <w:pStyle w:val="11"/>
              <w:spacing w:before="9"/>
              <w:ind w:left="276" w:right="265"/>
              <w:jc w:val="center"/>
              <w:rPr>
                <w:color w:val="auto"/>
                <w:sz w:val="21"/>
                <w:highlight w:val="none"/>
              </w:rPr>
            </w:pPr>
          </w:p>
        </w:tc>
        <w:tc>
          <w:tcPr>
            <w:tcW w:w="2835" w:type="dxa"/>
          </w:tcPr>
          <w:p w14:paraId="1C9A0243">
            <w:pPr>
              <w:pStyle w:val="11"/>
              <w:spacing w:before="7"/>
              <w:ind w:left="740" w:right="728"/>
              <w:jc w:val="center"/>
              <w:rPr>
                <w:rFonts w:ascii="Calibri" w:hAnsi="Calibri"/>
                <w:color w:val="auto"/>
                <w:sz w:val="21"/>
                <w:highlight w:val="none"/>
              </w:rPr>
            </w:pPr>
          </w:p>
        </w:tc>
        <w:tc>
          <w:tcPr>
            <w:tcW w:w="988" w:type="dxa"/>
          </w:tcPr>
          <w:p w14:paraId="68B09EB2">
            <w:pPr>
              <w:pStyle w:val="11"/>
              <w:spacing w:before="9"/>
              <w:ind w:left="14"/>
              <w:jc w:val="center"/>
              <w:rPr>
                <w:color w:val="auto"/>
                <w:sz w:val="21"/>
                <w:highlight w:val="none"/>
              </w:rPr>
            </w:pPr>
          </w:p>
        </w:tc>
        <w:tc>
          <w:tcPr>
            <w:tcW w:w="1500" w:type="dxa"/>
          </w:tcPr>
          <w:p w14:paraId="257B5146">
            <w:pPr>
              <w:pStyle w:val="11"/>
              <w:spacing w:before="2"/>
              <w:ind w:left="9"/>
              <w:jc w:val="center"/>
              <w:rPr>
                <w:color w:val="auto"/>
                <w:sz w:val="21"/>
                <w:highlight w:val="none"/>
              </w:rPr>
            </w:pPr>
          </w:p>
        </w:tc>
      </w:tr>
      <w:tr w14:paraId="278B5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198DC145">
            <w:pPr>
              <w:pStyle w:val="11"/>
              <w:spacing w:before="8"/>
              <w:ind w:left="21"/>
              <w:jc w:val="center"/>
              <w:rPr>
                <w:rFonts w:ascii="Calibri"/>
                <w:color w:val="auto"/>
                <w:sz w:val="21"/>
                <w:highlight w:val="none"/>
              </w:rPr>
            </w:pPr>
            <w:r>
              <w:rPr>
                <w:rFonts w:ascii="Calibri"/>
                <w:color w:val="auto"/>
                <w:w w:val="99"/>
                <w:sz w:val="21"/>
                <w:highlight w:val="none"/>
              </w:rPr>
              <w:t>2</w:t>
            </w:r>
          </w:p>
        </w:tc>
        <w:tc>
          <w:tcPr>
            <w:tcW w:w="3119" w:type="dxa"/>
          </w:tcPr>
          <w:p w14:paraId="7D998D5E">
            <w:pPr>
              <w:pStyle w:val="11"/>
              <w:spacing w:before="10"/>
              <w:ind w:left="276" w:right="263"/>
              <w:jc w:val="center"/>
              <w:rPr>
                <w:color w:val="auto"/>
                <w:sz w:val="21"/>
                <w:highlight w:val="none"/>
              </w:rPr>
            </w:pPr>
          </w:p>
        </w:tc>
        <w:tc>
          <w:tcPr>
            <w:tcW w:w="2835" w:type="dxa"/>
          </w:tcPr>
          <w:p w14:paraId="1D5166EA">
            <w:pPr>
              <w:pStyle w:val="11"/>
              <w:spacing w:before="8"/>
              <w:ind w:left="740" w:right="728"/>
              <w:jc w:val="center"/>
              <w:rPr>
                <w:rFonts w:ascii="Calibri" w:hAnsi="Calibri"/>
                <w:color w:val="auto"/>
                <w:sz w:val="21"/>
                <w:highlight w:val="none"/>
              </w:rPr>
            </w:pPr>
          </w:p>
        </w:tc>
        <w:tc>
          <w:tcPr>
            <w:tcW w:w="988" w:type="dxa"/>
          </w:tcPr>
          <w:p w14:paraId="53217EE5">
            <w:pPr>
              <w:pStyle w:val="11"/>
              <w:spacing w:before="10"/>
              <w:ind w:left="14"/>
              <w:jc w:val="center"/>
              <w:rPr>
                <w:color w:val="auto"/>
                <w:sz w:val="21"/>
                <w:highlight w:val="none"/>
              </w:rPr>
            </w:pPr>
          </w:p>
        </w:tc>
        <w:tc>
          <w:tcPr>
            <w:tcW w:w="1500" w:type="dxa"/>
          </w:tcPr>
          <w:p w14:paraId="5E61DC9D">
            <w:pPr>
              <w:pStyle w:val="11"/>
              <w:ind w:left="9"/>
              <w:jc w:val="center"/>
              <w:rPr>
                <w:color w:val="auto"/>
                <w:sz w:val="21"/>
                <w:highlight w:val="none"/>
              </w:rPr>
            </w:pPr>
          </w:p>
        </w:tc>
      </w:tr>
      <w:tr w14:paraId="35296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02B837F2">
            <w:pPr>
              <w:pStyle w:val="11"/>
              <w:spacing w:before="5"/>
              <w:ind w:left="21"/>
              <w:jc w:val="center"/>
              <w:rPr>
                <w:rFonts w:ascii="Calibri"/>
                <w:color w:val="auto"/>
                <w:sz w:val="21"/>
                <w:highlight w:val="none"/>
              </w:rPr>
            </w:pPr>
            <w:r>
              <w:rPr>
                <w:rFonts w:ascii="Calibri"/>
                <w:color w:val="auto"/>
                <w:w w:val="99"/>
                <w:sz w:val="21"/>
                <w:highlight w:val="none"/>
              </w:rPr>
              <w:t>3</w:t>
            </w:r>
          </w:p>
        </w:tc>
        <w:tc>
          <w:tcPr>
            <w:tcW w:w="3119" w:type="dxa"/>
          </w:tcPr>
          <w:p w14:paraId="58112599">
            <w:pPr>
              <w:pStyle w:val="11"/>
              <w:spacing w:before="7"/>
              <w:ind w:left="276" w:right="265"/>
              <w:jc w:val="center"/>
              <w:rPr>
                <w:color w:val="auto"/>
                <w:sz w:val="21"/>
                <w:highlight w:val="none"/>
              </w:rPr>
            </w:pPr>
          </w:p>
        </w:tc>
        <w:tc>
          <w:tcPr>
            <w:tcW w:w="2835" w:type="dxa"/>
          </w:tcPr>
          <w:p w14:paraId="04D35BB5">
            <w:pPr>
              <w:pStyle w:val="11"/>
              <w:spacing w:before="8"/>
              <w:ind w:left="740" w:right="728"/>
              <w:jc w:val="center"/>
              <w:rPr>
                <w:rFonts w:ascii="Calibri" w:hAnsi="Calibri"/>
                <w:color w:val="auto"/>
                <w:sz w:val="21"/>
                <w:highlight w:val="none"/>
              </w:rPr>
            </w:pPr>
          </w:p>
        </w:tc>
        <w:tc>
          <w:tcPr>
            <w:tcW w:w="988" w:type="dxa"/>
          </w:tcPr>
          <w:p w14:paraId="1FA58761">
            <w:pPr>
              <w:pStyle w:val="11"/>
              <w:spacing w:before="7"/>
              <w:ind w:left="14"/>
              <w:jc w:val="center"/>
              <w:rPr>
                <w:color w:val="auto"/>
                <w:sz w:val="21"/>
                <w:highlight w:val="none"/>
              </w:rPr>
            </w:pPr>
          </w:p>
        </w:tc>
        <w:tc>
          <w:tcPr>
            <w:tcW w:w="1500" w:type="dxa"/>
          </w:tcPr>
          <w:p w14:paraId="31D37F0A">
            <w:pPr>
              <w:pStyle w:val="11"/>
              <w:ind w:left="9"/>
              <w:jc w:val="center"/>
              <w:rPr>
                <w:color w:val="auto"/>
                <w:sz w:val="21"/>
                <w:highlight w:val="none"/>
              </w:rPr>
            </w:pPr>
          </w:p>
        </w:tc>
      </w:tr>
      <w:tr w14:paraId="36CAB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46ABCEE0">
            <w:pPr>
              <w:pStyle w:val="11"/>
              <w:spacing w:before="6"/>
              <w:ind w:left="21"/>
              <w:jc w:val="center"/>
              <w:rPr>
                <w:rFonts w:ascii="Calibri"/>
                <w:color w:val="auto"/>
                <w:sz w:val="21"/>
                <w:highlight w:val="none"/>
              </w:rPr>
            </w:pPr>
            <w:r>
              <w:rPr>
                <w:rFonts w:ascii="Calibri"/>
                <w:color w:val="auto"/>
                <w:w w:val="99"/>
                <w:sz w:val="21"/>
                <w:highlight w:val="none"/>
              </w:rPr>
              <w:t>4</w:t>
            </w:r>
          </w:p>
        </w:tc>
        <w:tc>
          <w:tcPr>
            <w:tcW w:w="3119" w:type="dxa"/>
          </w:tcPr>
          <w:p w14:paraId="1740B41A">
            <w:pPr>
              <w:pStyle w:val="11"/>
              <w:spacing w:before="8"/>
              <w:ind w:left="276" w:right="263"/>
              <w:jc w:val="center"/>
              <w:rPr>
                <w:color w:val="auto"/>
                <w:sz w:val="21"/>
                <w:highlight w:val="none"/>
              </w:rPr>
            </w:pPr>
          </w:p>
        </w:tc>
        <w:tc>
          <w:tcPr>
            <w:tcW w:w="2835" w:type="dxa"/>
          </w:tcPr>
          <w:p w14:paraId="64115FD2">
            <w:pPr>
              <w:pStyle w:val="11"/>
              <w:spacing w:before="6"/>
              <w:ind w:left="740" w:right="728"/>
              <w:jc w:val="center"/>
              <w:rPr>
                <w:rFonts w:ascii="Calibri" w:hAnsi="Calibri"/>
                <w:color w:val="auto"/>
                <w:sz w:val="21"/>
                <w:highlight w:val="none"/>
              </w:rPr>
            </w:pPr>
          </w:p>
        </w:tc>
        <w:tc>
          <w:tcPr>
            <w:tcW w:w="988" w:type="dxa"/>
          </w:tcPr>
          <w:p w14:paraId="2990A0D9">
            <w:pPr>
              <w:pStyle w:val="11"/>
              <w:spacing w:before="8"/>
              <w:ind w:left="14"/>
              <w:jc w:val="center"/>
              <w:rPr>
                <w:color w:val="auto"/>
                <w:sz w:val="21"/>
                <w:highlight w:val="none"/>
              </w:rPr>
            </w:pPr>
          </w:p>
        </w:tc>
        <w:tc>
          <w:tcPr>
            <w:tcW w:w="1500" w:type="dxa"/>
          </w:tcPr>
          <w:p w14:paraId="2BB41633">
            <w:pPr>
              <w:pStyle w:val="11"/>
              <w:spacing w:line="268" w:lineRule="exact"/>
              <w:ind w:left="9"/>
              <w:jc w:val="center"/>
              <w:rPr>
                <w:color w:val="auto"/>
                <w:sz w:val="21"/>
                <w:highlight w:val="none"/>
              </w:rPr>
            </w:pPr>
          </w:p>
        </w:tc>
      </w:tr>
      <w:tr w14:paraId="2CE3B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14B83E3D">
            <w:pPr>
              <w:pStyle w:val="11"/>
              <w:spacing w:before="5"/>
              <w:ind w:left="21"/>
              <w:jc w:val="center"/>
              <w:rPr>
                <w:rFonts w:ascii="Calibri"/>
                <w:color w:val="auto"/>
                <w:sz w:val="21"/>
                <w:highlight w:val="none"/>
              </w:rPr>
            </w:pPr>
            <w:r>
              <w:rPr>
                <w:rFonts w:ascii="Calibri"/>
                <w:color w:val="auto"/>
                <w:w w:val="99"/>
                <w:sz w:val="21"/>
                <w:highlight w:val="none"/>
              </w:rPr>
              <w:t>5</w:t>
            </w:r>
          </w:p>
        </w:tc>
        <w:tc>
          <w:tcPr>
            <w:tcW w:w="3119" w:type="dxa"/>
          </w:tcPr>
          <w:p w14:paraId="1506D791">
            <w:pPr>
              <w:pStyle w:val="11"/>
              <w:spacing w:before="7"/>
              <w:ind w:left="276" w:right="265"/>
              <w:jc w:val="center"/>
              <w:rPr>
                <w:color w:val="auto"/>
                <w:sz w:val="21"/>
                <w:highlight w:val="none"/>
              </w:rPr>
            </w:pPr>
          </w:p>
        </w:tc>
        <w:tc>
          <w:tcPr>
            <w:tcW w:w="2835" w:type="dxa"/>
          </w:tcPr>
          <w:p w14:paraId="43584BFB">
            <w:pPr>
              <w:pStyle w:val="11"/>
              <w:spacing w:before="7"/>
              <w:ind w:left="741" w:right="727"/>
              <w:jc w:val="center"/>
              <w:rPr>
                <w:rFonts w:ascii="Calibri" w:hAnsi="Calibri"/>
                <w:color w:val="auto"/>
                <w:sz w:val="21"/>
                <w:highlight w:val="none"/>
              </w:rPr>
            </w:pPr>
          </w:p>
        </w:tc>
        <w:tc>
          <w:tcPr>
            <w:tcW w:w="988" w:type="dxa"/>
          </w:tcPr>
          <w:p w14:paraId="71C0785F">
            <w:pPr>
              <w:pStyle w:val="11"/>
              <w:spacing w:before="7"/>
              <w:ind w:left="14"/>
              <w:jc w:val="center"/>
              <w:rPr>
                <w:color w:val="auto"/>
                <w:sz w:val="21"/>
                <w:highlight w:val="none"/>
              </w:rPr>
            </w:pPr>
          </w:p>
        </w:tc>
        <w:tc>
          <w:tcPr>
            <w:tcW w:w="1500" w:type="dxa"/>
          </w:tcPr>
          <w:p w14:paraId="2FFF21DB">
            <w:pPr>
              <w:pStyle w:val="11"/>
              <w:ind w:left="9"/>
              <w:jc w:val="center"/>
              <w:rPr>
                <w:color w:val="auto"/>
                <w:sz w:val="21"/>
                <w:highlight w:val="none"/>
              </w:rPr>
            </w:pPr>
          </w:p>
        </w:tc>
      </w:tr>
      <w:tr w14:paraId="2FD04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1CAC9863">
            <w:pPr>
              <w:pStyle w:val="11"/>
              <w:spacing w:before="6"/>
              <w:ind w:left="21"/>
              <w:jc w:val="center"/>
              <w:rPr>
                <w:rFonts w:ascii="Calibri"/>
                <w:color w:val="auto"/>
                <w:sz w:val="21"/>
                <w:highlight w:val="none"/>
              </w:rPr>
            </w:pPr>
            <w:r>
              <w:rPr>
                <w:rFonts w:ascii="Calibri"/>
                <w:color w:val="auto"/>
                <w:w w:val="99"/>
                <w:sz w:val="21"/>
                <w:highlight w:val="none"/>
              </w:rPr>
              <w:t>6</w:t>
            </w:r>
          </w:p>
        </w:tc>
        <w:tc>
          <w:tcPr>
            <w:tcW w:w="3119" w:type="dxa"/>
          </w:tcPr>
          <w:p w14:paraId="33ABA5A7">
            <w:pPr>
              <w:pStyle w:val="11"/>
              <w:spacing w:before="8"/>
              <w:ind w:left="276" w:right="260"/>
              <w:jc w:val="center"/>
              <w:rPr>
                <w:color w:val="auto"/>
                <w:sz w:val="21"/>
                <w:highlight w:val="none"/>
              </w:rPr>
            </w:pPr>
          </w:p>
        </w:tc>
        <w:tc>
          <w:tcPr>
            <w:tcW w:w="2835" w:type="dxa"/>
          </w:tcPr>
          <w:p w14:paraId="5B78B311">
            <w:pPr>
              <w:pStyle w:val="11"/>
              <w:spacing w:before="8"/>
              <w:ind w:left="741" w:right="516"/>
              <w:jc w:val="center"/>
              <w:rPr>
                <w:rFonts w:ascii="Calibri"/>
                <w:color w:val="auto"/>
                <w:sz w:val="21"/>
                <w:highlight w:val="none"/>
              </w:rPr>
            </w:pPr>
          </w:p>
        </w:tc>
        <w:tc>
          <w:tcPr>
            <w:tcW w:w="988" w:type="dxa"/>
          </w:tcPr>
          <w:p w14:paraId="076D544D">
            <w:pPr>
              <w:pStyle w:val="11"/>
              <w:spacing w:before="8"/>
              <w:ind w:left="14"/>
              <w:jc w:val="center"/>
              <w:rPr>
                <w:color w:val="auto"/>
                <w:sz w:val="21"/>
                <w:highlight w:val="none"/>
              </w:rPr>
            </w:pPr>
          </w:p>
        </w:tc>
        <w:tc>
          <w:tcPr>
            <w:tcW w:w="1500" w:type="dxa"/>
          </w:tcPr>
          <w:p w14:paraId="0B443D2F">
            <w:pPr>
              <w:pStyle w:val="11"/>
              <w:spacing w:before="1"/>
              <w:ind w:left="9"/>
              <w:jc w:val="center"/>
              <w:rPr>
                <w:color w:val="auto"/>
                <w:sz w:val="21"/>
                <w:highlight w:val="none"/>
              </w:rPr>
            </w:pPr>
          </w:p>
        </w:tc>
      </w:tr>
      <w:tr w14:paraId="2629E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22" w:type="dxa"/>
          </w:tcPr>
          <w:p w14:paraId="57328E2F">
            <w:pPr>
              <w:pStyle w:val="11"/>
              <w:spacing w:before="7"/>
              <w:ind w:left="21"/>
              <w:jc w:val="center"/>
              <w:rPr>
                <w:rFonts w:ascii="Calibri"/>
                <w:color w:val="auto"/>
                <w:sz w:val="21"/>
                <w:highlight w:val="none"/>
              </w:rPr>
            </w:pPr>
            <w:r>
              <w:rPr>
                <w:rFonts w:ascii="Calibri"/>
                <w:color w:val="auto"/>
                <w:w w:val="99"/>
                <w:sz w:val="21"/>
                <w:highlight w:val="none"/>
              </w:rPr>
              <w:t>7</w:t>
            </w:r>
          </w:p>
        </w:tc>
        <w:tc>
          <w:tcPr>
            <w:tcW w:w="3119" w:type="dxa"/>
          </w:tcPr>
          <w:p w14:paraId="4C4299FE">
            <w:pPr>
              <w:pStyle w:val="11"/>
              <w:spacing w:before="9"/>
              <w:ind w:left="276" w:right="265"/>
              <w:jc w:val="center"/>
              <w:rPr>
                <w:color w:val="auto"/>
                <w:sz w:val="21"/>
                <w:highlight w:val="none"/>
              </w:rPr>
            </w:pPr>
          </w:p>
        </w:tc>
        <w:tc>
          <w:tcPr>
            <w:tcW w:w="2835" w:type="dxa"/>
          </w:tcPr>
          <w:p w14:paraId="2607E65A">
            <w:pPr>
              <w:pStyle w:val="11"/>
              <w:spacing w:before="7"/>
              <w:ind w:left="741" w:right="727"/>
              <w:jc w:val="center"/>
              <w:rPr>
                <w:rFonts w:ascii="Calibri" w:hAnsi="Calibri"/>
                <w:color w:val="auto"/>
                <w:sz w:val="21"/>
                <w:highlight w:val="none"/>
              </w:rPr>
            </w:pPr>
          </w:p>
        </w:tc>
        <w:tc>
          <w:tcPr>
            <w:tcW w:w="988" w:type="dxa"/>
          </w:tcPr>
          <w:p w14:paraId="417ABE96">
            <w:pPr>
              <w:pStyle w:val="11"/>
              <w:spacing w:before="9"/>
              <w:ind w:left="14"/>
              <w:jc w:val="center"/>
              <w:rPr>
                <w:color w:val="auto"/>
                <w:sz w:val="21"/>
                <w:highlight w:val="none"/>
              </w:rPr>
            </w:pPr>
          </w:p>
        </w:tc>
        <w:tc>
          <w:tcPr>
            <w:tcW w:w="1500" w:type="dxa"/>
          </w:tcPr>
          <w:p w14:paraId="70439A79">
            <w:pPr>
              <w:pStyle w:val="11"/>
              <w:spacing w:before="2"/>
              <w:ind w:left="9"/>
              <w:jc w:val="center"/>
              <w:rPr>
                <w:color w:val="auto"/>
                <w:sz w:val="21"/>
                <w:highlight w:val="none"/>
              </w:rPr>
            </w:pPr>
          </w:p>
        </w:tc>
      </w:tr>
      <w:tr w14:paraId="5E249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314DFAC0">
            <w:pPr>
              <w:pStyle w:val="11"/>
              <w:spacing w:before="7"/>
              <w:ind w:left="21"/>
              <w:jc w:val="center"/>
              <w:rPr>
                <w:rFonts w:ascii="Calibri"/>
                <w:color w:val="auto"/>
                <w:sz w:val="21"/>
                <w:highlight w:val="none"/>
              </w:rPr>
            </w:pPr>
            <w:r>
              <w:rPr>
                <w:rFonts w:ascii="Calibri"/>
                <w:color w:val="auto"/>
                <w:w w:val="99"/>
                <w:sz w:val="21"/>
                <w:highlight w:val="none"/>
              </w:rPr>
              <w:t>8</w:t>
            </w:r>
          </w:p>
        </w:tc>
        <w:tc>
          <w:tcPr>
            <w:tcW w:w="3119" w:type="dxa"/>
          </w:tcPr>
          <w:p w14:paraId="0CD52018">
            <w:pPr>
              <w:pStyle w:val="11"/>
              <w:spacing w:before="9"/>
              <w:ind w:left="276" w:right="263"/>
              <w:jc w:val="center"/>
              <w:rPr>
                <w:color w:val="auto"/>
                <w:sz w:val="21"/>
                <w:highlight w:val="none"/>
              </w:rPr>
            </w:pPr>
          </w:p>
        </w:tc>
        <w:tc>
          <w:tcPr>
            <w:tcW w:w="2835" w:type="dxa"/>
          </w:tcPr>
          <w:p w14:paraId="536BF980">
            <w:pPr>
              <w:pStyle w:val="11"/>
              <w:spacing w:before="9"/>
              <w:ind w:left="741" w:right="698"/>
              <w:jc w:val="center"/>
              <w:rPr>
                <w:color w:val="auto"/>
                <w:sz w:val="21"/>
                <w:highlight w:val="none"/>
              </w:rPr>
            </w:pPr>
          </w:p>
        </w:tc>
        <w:tc>
          <w:tcPr>
            <w:tcW w:w="988" w:type="dxa"/>
          </w:tcPr>
          <w:p w14:paraId="64A68833">
            <w:pPr>
              <w:pStyle w:val="11"/>
              <w:spacing w:before="9"/>
              <w:ind w:left="14"/>
              <w:jc w:val="center"/>
              <w:rPr>
                <w:color w:val="auto"/>
                <w:sz w:val="21"/>
                <w:highlight w:val="none"/>
              </w:rPr>
            </w:pPr>
          </w:p>
        </w:tc>
        <w:tc>
          <w:tcPr>
            <w:tcW w:w="1500" w:type="dxa"/>
          </w:tcPr>
          <w:p w14:paraId="1A2E7D4E">
            <w:pPr>
              <w:pStyle w:val="11"/>
              <w:spacing w:line="269" w:lineRule="exact"/>
              <w:ind w:left="9"/>
              <w:jc w:val="center"/>
              <w:rPr>
                <w:color w:val="auto"/>
                <w:sz w:val="21"/>
                <w:highlight w:val="none"/>
              </w:rPr>
            </w:pPr>
          </w:p>
        </w:tc>
      </w:tr>
      <w:tr w14:paraId="41834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52F73554">
            <w:pPr>
              <w:pStyle w:val="11"/>
              <w:spacing w:before="6"/>
              <w:ind w:left="21"/>
              <w:jc w:val="center"/>
              <w:rPr>
                <w:rFonts w:ascii="Calibri"/>
                <w:color w:val="auto"/>
                <w:sz w:val="21"/>
                <w:highlight w:val="none"/>
              </w:rPr>
            </w:pPr>
            <w:r>
              <w:rPr>
                <w:rFonts w:ascii="Calibri"/>
                <w:color w:val="auto"/>
                <w:w w:val="99"/>
                <w:sz w:val="21"/>
                <w:highlight w:val="none"/>
              </w:rPr>
              <w:t>9</w:t>
            </w:r>
          </w:p>
        </w:tc>
        <w:tc>
          <w:tcPr>
            <w:tcW w:w="3119" w:type="dxa"/>
          </w:tcPr>
          <w:p w14:paraId="24E59A3A">
            <w:pPr>
              <w:pStyle w:val="11"/>
              <w:spacing w:before="8"/>
              <w:ind w:left="276" w:right="263"/>
              <w:jc w:val="center"/>
              <w:rPr>
                <w:color w:val="auto"/>
                <w:sz w:val="21"/>
                <w:highlight w:val="none"/>
              </w:rPr>
            </w:pPr>
          </w:p>
        </w:tc>
        <w:tc>
          <w:tcPr>
            <w:tcW w:w="2835" w:type="dxa"/>
          </w:tcPr>
          <w:p w14:paraId="1251700A">
            <w:pPr>
              <w:pStyle w:val="11"/>
              <w:spacing w:before="8"/>
              <w:ind w:left="741" w:right="697"/>
              <w:jc w:val="center"/>
              <w:rPr>
                <w:rFonts w:ascii="Calibri" w:hAnsi="Calibri"/>
                <w:color w:val="auto"/>
                <w:sz w:val="21"/>
                <w:highlight w:val="none"/>
              </w:rPr>
            </w:pPr>
          </w:p>
        </w:tc>
        <w:tc>
          <w:tcPr>
            <w:tcW w:w="988" w:type="dxa"/>
          </w:tcPr>
          <w:p w14:paraId="7BE15467">
            <w:pPr>
              <w:pStyle w:val="11"/>
              <w:spacing w:before="8"/>
              <w:ind w:left="14"/>
              <w:jc w:val="center"/>
              <w:rPr>
                <w:color w:val="auto"/>
                <w:sz w:val="21"/>
                <w:highlight w:val="none"/>
              </w:rPr>
            </w:pPr>
          </w:p>
        </w:tc>
        <w:tc>
          <w:tcPr>
            <w:tcW w:w="1500" w:type="dxa"/>
          </w:tcPr>
          <w:p w14:paraId="48512B20">
            <w:pPr>
              <w:pStyle w:val="11"/>
              <w:ind w:left="9"/>
              <w:jc w:val="center"/>
              <w:rPr>
                <w:color w:val="auto"/>
                <w:sz w:val="21"/>
                <w:highlight w:val="none"/>
              </w:rPr>
            </w:pPr>
          </w:p>
        </w:tc>
      </w:tr>
      <w:tr w14:paraId="0CA64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822" w:type="dxa"/>
          </w:tcPr>
          <w:p w14:paraId="1AF41E48">
            <w:pPr>
              <w:pStyle w:val="11"/>
              <w:spacing w:before="7"/>
              <w:ind w:left="149" w:right="173"/>
              <w:jc w:val="center"/>
              <w:rPr>
                <w:rFonts w:ascii="Calibri"/>
                <w:color w:val="auto"/>
                <w:sz w:val="21"/>
                <w:highlight w:val="none"/>
              </w:rPr>
            </w:pPr>
            <w:r>
              <w:rPr>
                <w:rFonts w:ascii="Calibri"/>
                <w:color w:val="auto"/>
                <w:sz w:val="21"/>
                <w:highlight w:val="none"/>
              </w:rPr>
              <w:t>10</w:t>
            </w:r>
          </w:p>
        </w:tc>
        <w:tc>
          <w:tcPr>
            <w:tcW w:w="3119" w:type="dxa"/>
          </w:tcPr>
          <w:p w14:paraId="4D2B7AF6">
            <w:pPr>
              <w:pStyle w:val="11"/>
              <w:spacing w:before="100"/>
              <w:ind w:left="276" w:right="265"/>
              <w:jc w:val="center"/>
              <w:rPr>
                <w:color w:val="auto"/>
                <w:sz w:val="21"/>
                <w:highlight w:val="none"/>
              </w:rPr>
            </w:pPr>
          </w:p>
        </w:tc>
        <w:tc>
          <w:tcPr>
            <w:tcW w:w="2835" w:type="dxa"/>
          </w:tcPr>
          <w:p w14:paraId="69170D8B">
            <w:pPr>
              <w:pStyle w:val="11"/>
              <w:spacing w:line="244" w:lineRule="exact"/>
              <w:ind w:left="741" w:right="726"/>
              <w:jc w:val="center"/>
              <w:rPr>
                <w:rFonts w:ascii="Calibri" w:eastAsia="Calibri"/>
                <w:color w:val="auto"/>
                <w:sz w:val="21"/>
                <w:highlight w:val="none"/>
              </w:rPr>
            </w:pPr>
          </w:p>
        </w:tc>
        <w:tc>
          <w:tcPr>
            <w:tcW w:w="988" w:type="dxa"/>
          </w:tcPr>
          <w:p w14:paraId="3F6E9B7E">
            <w:pPr>
              <w:pStyle w:val="11"/>
              <w:spacing w:before="100"/>
              <w:ind w:left="14"/>
              <w:jc w:val="center"/>
              <w:rPr>
                <w:color w:val="auto"/>
                <w:sz w:val="21"/>
                <w:highlight w:val="none"/>
              </w:rPr>
            </w:pPr>
          </w:p>
        </w:tc>
        <w:tc>
          <w:tcPr>
            <w:tcW w:w="1500" w:type="dxa"/>
          </w:tcPr>
          <w:p w14:paraId="3CDEB24A">
            <w:pPr>
              <w:pStyle w:val="11"/>
              <w:spacing w:before="100"/>
              <w:ind w:left="9"/>
              <w:jc w:val="center"/>
              <w:rPr>
                <w:color w:val="auto"/>
                <w:sz w:val="21"/>
                <w:highlight w:val="none"/>
              </w:rPr>
            </w:pPr>
          </w:p>
        </w:tc>
      </w:tr>
      <w:tr w14:paraId="672DA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642BBA48">
            <w:pPr>
              <w:pStyle w:val="11"/>
              <w:spacing w:before="8"/>
              <w:ind w:left="179" w:right="158"/>
              <w:jc w:val="center"/>
              <w:rPr>
                <w:rFonts w:ascii="Calibri"/>
                <w:color w:val="auto"/>
                <w:sz w:val="21"/>
                <w:highlight w:val="none"/>
              </w:rPr>
            </w:pPr>
            <w:r>
              <w:rPr>
                <w:rFonts w:ascii="Calibri"/>
                <w:color w:val="auto"/>
                <w:sz w:val="21"/>
                <w:highlight w:val="none"/>
              </w:rPr>
              <w:t>11</w:t>
            </w:r>
          </w:p>
        </w:tc>
        <w:tc>
          <w:tcPr>
            <w:tcW w:w="3119" w:type="dxa"/>
          </w:tcPr>
          <w:p w14:paraId="516F4FF6">
            <w:pPr>
              <w:pStyle w:val="11"/>
              <w:spacing w:before="7"/>
              <w:ind w:left="276" w:right="265"/>
              <w:jc w:val="center"/>
              <w:rPr>
                <w:color w:val="auto"/>
                <w:sz w:val="21"/>
                <w:highlight w:val="none"/>
              </w:rPr>
            </w:pPr>
          </w:p>
        </w:tc>
        <w:tc>
          <w:tcPr>
            <w:tcW w:w="2835" w:type="dxa"/>
          </w:tcPr>
          <w:p w14:paraId="3C5A470F">
            <w:pPr>
              <w:pStyle w:val="11"/>
              <w:spacing w:before="10"/>
              <w:ind w:left="430"/>
              <w:rPr>
                <w:rFonts w:ascii="Calibri" w:hAnsi="Calibri" w:eastAsia="Calibri"/>
                <w:color w:val="auto"/>
                <w:sz w:val="21"/>
                <w:highlight w:val="none"/>
              </w:rPr>
            </w:pPr>
          </w:p>
        </w:tc>
        <w:tc>
          <w:tcPr>
            <w:tcW w:w="988" w:type="dxa"/>
          </w:tcPr>
          <w:p w14:paraId="49251B47">
            <w:pPr>
              <w:pStyle w:val="11"/>
              <w:spacing w:before="7"/>
              <w:ind w:left="14"/>
              <w:jc w:val="center"/>
              <w:rPr>
                <w:color w:val="auto"/>
                <w:sz w:val="21"/>
                <w:highlight w:val="none"/>
              </w:rPr>
            </w:pPr>
          </w:p>
        </w:tc>
        <w:tc>
          <w:tcPr>
            <w:tcW w:w="1500" w:type="dxa"/>
          </w:tcPr>
          <w:p w14:paraId="684A33EB">
            <w:pPr>
              <w:pStyle w:val="11"/>
              <w:ind w:left="9"/>
              <w:jc w:val="center"/>
              <w:rPr>
                <w:color w:val="auto"/>
                <w:sz w:val="21"/>
                <w:highlight w:val="none"/>
              </w:rPr>
            </w:pPr>
          </w:p>
        </w:tc>
      </w:tr>
      <w:tr w14:paraId="44F55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822" w:type="dxa"/>
          </w:tcPr>
          <w:p w14:paraId="2092D00A">
            <w:pPr>
              <w:pStyle w:val="11"/>
              <w:spacing w:before="9"/>
              <w:ind w:left="179" w:right="158"/>
              <w:jc w:val="center"/>
              <w:rPr>
                <w:rFonts w:ascii="Calibri"/>
                <w:color w:val="auto"/>
                <w:sz w:val="21"/>
                <w:highlight w:val="none"/>
              </w:rPr>
            </w:pPr>
            <w:r>
              <w:rPr>
                <w:rFonts w:ascii="Calibri"/>
                <w:color w:val="auto"/>
                <w:sz w:val="21"/>
                <w:highlight w:val="none"/>
              </w:rPr>
              <w:t>12</w:t>
            </w:r>
          </w:p>
        </w:tc>
        <w:tc>
          <w:tcPr>
            <w:tcW w:w="3119" w:type="dxa"/>
          </w:tcPr>
          <w:p w14:paraId="7D85609E">
            <w:pPr>
              <w:pStyle w:val="11"/>
              <w:spacing w:before="121" w:line="252" w:lineRule="exact"/>
              <w:ind w:left="276" w:right="263"/>
              <w:jc w:val="center"/>
              <w:rPr>
                <w:color w:val="auto"/>
                <w:sz w:val="21"/>
                <w:highlight w:val="none"/>
              </w:rPr>
            </w:pPr>
          </w:p>
        </w:tc>
        <w:tc>
          <w:tcPr>
            <w:tcW w:w="2835" w:type="dxa"/>
          </w:tcPr>
          <w:p w14:paraId="06491164">
            <w:pPr>
              <w:pStyle w:val="11"/>
              <w:spacing w:before="124" w:line="249" w:lineRule="exact"/>
              <w:ind w:left="430"/>
              <w:rPr>
                <w:rFonts w:ascii="Calibri" w:hAnsi="Calibri" w:eastAsia="Calibri"/>
                <w:color w:val="auto"/>
                <w:sz w:val="21"/>
                <w:highlight w:val="none"/>
              </w:rPr>
            </w:pPr>
          </w:p>
        </w:tc>
        <w:tc>
          <w:tcPr>
            <w:tcW w:w="988" w:type="dxa"/>
          </w:tcPr>
          <w:p w14:paraId="6606FDF3">
            <w:pPr>
              <w:pStyle w:val="11"/>
              <w:spacing w:before="121" w:line="252" w:lineRule="exact"/>
              <w:ind w:left="14"/>
              <w:jc w:val="center"/>
              <w:rPr>
                <w:color w:val="auto"/>
                <w:sz w:val="21"/>
                <w:highlight w:val="none"/>
              </w:rPr>
            </w:pPr>
          </w:p>
        </w:tc>
        <w:tc>
          <w:tcPr>
            <w:tcW w:w="1500" w:type="dxa"/>
          </w:tcPr>
          <w:p w14:paraId="5DBCCAF6">
            <w:pPr>
              <w:pStyle w:val="11"/>
              <w:spacing w:before="40"/>
              <w:ind w:left="9"/>
              <w:jc w:val="center"/>
              <w:rPr>
                <w:color w:val="auto"/>
                <w:sz w:val="21"/>
                <w:highlight w:val="none"/>
              </w:rPr>
            </w:pPr>
          </w:p>
        </w:tc>
      </w:tr>
      <w:tr w14:paraId="6B7BE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 w:type="dxa"/>
          </w:tcPr>
          <w:p w14:paraId="020EA379">
            <w:pPr>
              <w:pStyle w:val="11"/>
              <w:spacing w:before="122" w:line="236" w:lineRule="exact"/>
              <w:ind w:left="179" w:right="163"/>
              <w:jc w:val="center"/>
              <w:rPr>
                <w:rFonts w:ascii="Calibri"/>
                <w:color w:val="auto"/>
                <w:sz w:val="21"/>
                <w:highlight w:val="none"/>
              </w:rPr>
            </w:pPr>
            <w:r>
              <w:rPr>
                <w:rFonts w:ascii="Calibri"/>
                <w:color w:val="auto"/>
                <w:sz w:val="21"/>
                <w:highlight w:val="none"/>
              </w:rPr>
              <w:t>13</w:t>
            </w:r>
          </w:p>
        </w:tc>
        <w:tc>
          <w:tcPr>
            <w:tcW w:w="3119" w:type="dxa"/>
          </w:tcPr>
          <w:p w14:paraId="34E5DDBE">
            <w:pPr>
              <w:pStyle w:val="11"/>
              <w:spacing w:before="42"/>
              <w:ind w:left="276" w:right="258"/>
              <w:jc w:val="center"/>
              <w:rPr>
                <w:color w:val="auto"/>
                <w:sz w:val="21"/>
                <w:highlight w:val="none"/>
              </w:rPr>
            </w:pPr>
          </w:p>
        </w:tc>
        <w:tc>
          <w:tcPr>
            <w:tcW w:w="2835" w:type="dxa"/>
          </w:tcPr>
          <w:p w14:paraId="400D6918">
            <w:pPr>
              <w:pStyle w:val="11"/>
              <w:spacing w:before="40"/>
              <w:ind w:left="741" w:right="719"/>
              <w:jc w:val="center"/>
              <w:rPr>
                <w:rFonts w:ascii="Calibri"/>
                <w:color w:val="auto"/>
                <w:sz w:val="21"/>
                <w:highlight w:val="none"/>
              </w:rPr>
            </w:pPr>
          </w:p>
        </w:tc>
        <w:tc>
          <w:tcPr>
            <w:tcW w:w="988" w:type="dxa"/>
          </w:tcPr>
          <w:p w14:paraId="28A5DE3D">
            <w:pPr>
              <w:pStyle w:val="11"/>
              <w:spacing w:before="42"/>
              <w:ind w:left="24"/>
              <w:jc w:val="center"/>
              <w:rPr>
                <w:color w:val="auto"/>
                <w:sz w:val="21"/>
                <w:highlight w:val="none"/>
              </w:rPr>
            </w:pPr>
          </w:p>
        </w:tc>
        <w:tc>
          <w:tcPr>
            <w:tcW w:w="1500" w:type="dxa"/>
          </w:tcPr>
          <w:p w14:paraId="29566C07">
            <w:pPr>
              <w:pStyle w:val="11"/>
              <w:spacing w:before="40"/>
              <w:ind w:left="25"/>
              <w:jc w:val="center"/>
              <w:rPr>
                <w:rFonts w:ascii="Calibri"/>
                <w:color w:val="auto"/>
                <w:sz w:val="21"/>
                <w:highlight w:val="none"/>
              </w:rPr>
            </w:pPr>
          </w:p>
        </w:tc>
      </w:tr>
      <w:tr w14:paraId="2BC01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4720F0D9">
            <w:pPr>
              <w:pStyle w:val="11"/>
              <w:spacing w:before="7"/>
              <w:ind w:left="179" w:right="158"/>
              <w:jc w:val="center"/>
              <w:rPr>
                <w:rFonts w:ascii="Calibri"/>
                <w:color w:val="auto"/>
                <w:sz w:val="21"/>
                <w:highlight w:val="none"/>
              </w:rPr>
            </w:pPr>
            <w:r>
              <w:rPr>
                <w:rFonts w:ascii="Calibri"/>
                <w:color w:val="auto"/>
                <w:sz w:val="21"/>
                <w:highlight w:val="none"/>
              </w:rPr>
              <w:t>14</w:t>
            </w:r>
          </w:p>
        </w:tc>
        <w:tc>
          <w:tcPr>
            <w:tcW w:w="3119" w:type="dxa"/>
          </w:tcPr>
          <w:p w14:paraId="7184F13E">
            <w:pPr>
              <w:pStyle w:val="11"/>
              <w:ind w:left="276" w:right="270"/>
              <w:jc w:val="center"/>
              <w:rPr>
                <w:color w:val="auto"/>
                <w:sz w:val="21"/>
                <w:highlight w:val="none"/>
              </w:rPr>
            </w:pPr>
          </w:p>
        </w:tc>
        <w:tc>
          <w:tcPr>
            <w:tcW w:w="2835" w:type="dxa"/>
          </w:tcPr>
          <w:p w14:paraId="24758614">
            <w:pPr>
              <w:pStyle w:val="11"/>
              <w:ind w:left="939"/>
              <w:rPr>
                <w:color w:val="auto"/>
                <w:sz w:val="21"/>
                <w:highlight w:val="none"/>
              </w:rPr>
            </w:pPr>
          </w:p>
        </w:tc>
        <w:tc>
          <w:tcPr>
            <w:tcW w:w="988" w:type="dxa"/>
          </w:tcPr>
          <w:p w14:paraId="21A87E56">
            <w:pPr>
              <w:pStyle w:val="11"/>
              <w:spacing w:before="19"/>
              <w:ind w:left="9"/>
              <w:jc w:val="center"/>
              <w:rPr>
                <w:color w:val="auto"/>
                <w:sz w:val="21"/>
                <w:highlight w:val="none"/>
              </w:rPr>
            </w:pPr>
          </w:p>
        </w:tc>
        <w:tc>
          <w:tcPr>
            <w:tcW w:w="1500" w:type="dxa"/>
          </w:tcPr>
          <w:p w14:paraId="72210411">
            <w:pPr>
              <w:pStyle w:val="11"/>
              <w:ind w:left="9"/>
              <w:jc w:val="center"/>
              <w:rPr>
                <w:color w:val="auto"/>
                <w:sz w:val="21"/>
                <w:highlight w:val="none"/>
              </w:rPr>
            </w:pPr>
          </w:p>
        </w:tc>
      </w:tr>
      <w:tr w14:paraId="55892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662BFAAA">
            <w:pPr>
              <w:pStyle w:val="11"/>
              <w:spacing w:before="8"/>
              <w:ind w:left="179" w:right="158"/>
              <w:jc w:val="center"/>
              <w:rPr>
                <w:rFonts w:ascii="Calibri"/>
                <w:color w:val="auto"/>
                <w:sz w:val="21"/>
                <w:highlight w:val="none"/>
              </w:rPr>
            </w:pPr>
            <w:r>
              <w:rPr>
                <w:rFonts w:ascii="Calibri"/>
                <w:color w:val="auto"/>
                <w:sz w:val="21"/>
                <w:highlight w:val="none"/>
              </w:rPr>
              <w:t>15</w:t>
            </w:r>
          </w:p>
        </w:tc>
        <w:tc>
          <w:tcPr>
            <w:tcW w:w="3119" w:type="dxa"/>
          </w:tcPr>
          <w:p w14:paraId="232B6EBA">
            <w:pPr>
              <w:pStyle w:val="11"/>
              <w:spacing w:before="1"/>
              <w:ind w:left="276" w:right="270"/>
              <w:jc w:val="center"/>
              <w:rPr>
                <w:color w:val="auto"/>
                <w:sz w:val="21"/>
                <w:highlight w:val="none"/>
              </w:rPr>
            </w:pPr>
          </w:p>
        </w:tc>
        <w:tc>
          <w:tcPr>
            <w:tcW w:w="2835" w:type="dxa"/>
          </w:tcPr>
          <w:p w14:paraId="21647836">
            <w:pPr>
              <w:pStyle w:val="11"/>
              <w:rPr>
                <w:rFonts w:ascii="Times New Roman"/>
                <w:color w:val="auto"/>
                <w:sz w:val="20"/>
                <w:highlight w:val="none"/>
              </w:rPr>
            </w:pPr>
          </w:p>
        </w:tc>
        <w:tc>
          <w:tcPr>
            <w:tcW w:w="988" w:type="dxa"/>
          </w:tcPr>
          <w:p w14:paraId="06C62C75">
            <w:pPr>
              <w:pStyle w:val="11"/>
              <w:spacing w:before="1"/>
              <w:ind w:left="9"/>
              <w:jc w:val="center"/>
              <w:rPr>
                <w:color w:val="auto"/>
                <w:sz w:val="21"/>
                <w:highlight w:val="none"/>
              </w:rPr>
            </w:pPr>
          </w:p>
        </w:tc>
        <w:tc>
          <w:tcPr>
            <w:tcW w:w="1500" w:type="dxa"/>
          </w:tcPr>
          <w:p w14:paraId="6BE3D1E8">
            <w:pPr>
              <w:pStyle w:val="11"/>
              <w:spacing w:before="1"/>
              <w:ind w:left="9"/>
              <w:jc w:val="center"/>
              <w:rPr>
                <w:color w:val="auto"/>
                <w:sz w:val="21"/>
                <w:highlight w:val="none"/>
              </w:rPr>
            </w:pPr>
          </w:p>
        </w:tc>
      </w:tr>
      <w:tr w14:paraId="65F49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13BB1BB7">
            <w:pPr>
              <w:pStyle w:val="11"/>
              <w:spacing w:before="7"/>
              <w:ind w:left="179" w:right="158"/>
              <w:jc w:val="center"/>
              <w:rPr>
                <w:rFonts w:ascii="Calibri"/>
                <w:color w:val="auto"/>
                <w:sz w:val="21"/>
                <w:highlight w:val="none"/>
              </w:rPr>
            </w:pPr>
            <w:r>
              <w:rPr>
                <w:rFonts w:ascii="Calibri"/>
                <w:color w:val="auto"/>
                <w:sz w:val="21"/>
                <w:highlight w:val="none"/>
              </w:rPr>
              <w:t>16</w:t>
            </w:r>
          </w:p>
        </w:tc>
        <w:tc>
          <w:tcPr>
            <w:tcW w:w="3119" w:type="dxa"/>
          </w:tcPr>
          <w:p w14:paraId="45B124A3">
            <w:pPr>
              <w:pStyle w:val="11"/>
              <w:spacing w:before="2"/>
              <w:ind w:left="276" w:right="270"/>
              <w:jc w:val="center"/>
              <w:rPr>
                <w:color w:val="auto"/>
                <w:sz w:val="21"/>
                <w:highlight w:val="none"/>
              </w:rPr>
            </w:pPr>
          </w:p>
        </w:tc>
        <w:tc>
          <w:tcPr>
            <w:tcW w:w="2835" w:type="dxa"/>
          </w:tcPr>
          <w:p w14:paraId="2553B7B0">
            <w:pPr>
              <w:pStyle w:val="11"/>
              <w:rPr>
                <w:rFonts w:ascii="Times New Roman"/>
                <w:color w:val="auto"/>
                <w:sz w:val="20"/>
                <w:highlight w:val="none"/>
              </w:rPr>
            </w:pPr>
          </w:p>
        </w:tc>
        <w:tc>
          <w:tcPr>
            <w:tcW w:w="988" w:type="dxa"/>
          </w:tcPr>
          <w:p w14:paraId="4729BE85">
            <w:pPr>
              <w:pStyle w:val="11"/>
              <w:spacing w:before="2"/>
              <w:ind w:left="9"/>
              <w:jc w:val="center"/>
              <w:rPr>
                <w:color w:val="auto"/>
                <w:sz w:val="21"/>
                <w:highlight w:val="none"/>
              </w:rPr>
            </w:pPr>
          </w:p>
        </w:tc>
        <w:tc>
          <w:tcPr>
            <w:tcW w:w="1500" w:type="dxa"/>
          </w:tcPr>
          <w:p w14:paraId="7742FF5D">
            <w:pPr>
              <w:pStyle w:val="11"/>
              <w:spacing w:before="2"/>
              <w:ind w:left="9"/>
              <w:jc w:val="center"/>
              <w:rPr>
                <w:color w:val="auto"/>
                <w:sz w:val="21"/>
                <w:highlight w:val="none"/>
              </w:rPr>
            </w:pPr>
          </w:p>
        </w:tc>
      </w:tr>
      <w:tr w14:paraId="3C583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5649E072">
            <w:pPr>
              <w:pStyle w:val="11"/>
              <w:spacing w:before="8"/>
              <w:ind w:left="179" w:right="158"/>
              <w:jc w:val="center"/>
              <w:rPr>
                <w:rFonts w:ascii="Calibri"/>
                <w:color w:val="auto"/>
                <w:sz w:val="21"/>
                <w:highlight w:val="none"/>
              </w:rPr>
            </w:pPr>
            <w:r>
              <w:rPr>
                <w:rFonts w:ascii="Calibri"/>
                <w:color w:val="auto"/>
                <w:sz w:val="21"/>
                <w:highlight w:val="none"/>
              </w:rPr>
              <w:t>17</w:t>
            </w:r>
          </w:p>
        </w:tc>
        <w:tc>
          <w:tcPr>
            <w:tcW w:w="3119" w:type="dxa"/>
          </w:tcPr>
          <w:p w14:paraId="59E03924">
            <w:pPr>
              <w:pStyle w:val="11"/>
              <w:ind w:left="276" w:right="270"/>
              <w:jc w:val="center"/>
              <w:rPr>
                <w:color w:val="auto"/>
                <w:sz w:val="21"/>
                <w:highlight w:val="none"/>
              </w:rPr>
            </w:pPr>
          </w:p>
        </w:tc>
        <w:tc>
          <w:tcPr>
            <w:tcW w:w="2835" w:type="dxa"/>
          </w:tcPr>
          <w:p w14:paraId="45B18CFB">
            <w:pPr>
              <w:pStyle w:val="11"/>
              <w:ind w:left="738" w:right="728"/>
              <w:jc w:val="center"/>
              <w:rPr>
                <w:color w:val="auto"/>
                <w:sz w:val="21"/>
                <w:highlight w:val="none"/>
              </w:rPr>
            </w:pPr>
          </w:p>
        </w:tc>
        <w:tc>
          <w:tcPr>
            <w:tcW w:w="988" w:type="dxa"/>
          </w:tcPr>
          <w:p w14:paraId="17C2B87E">
            <w:pPr>
              <w:pStyle w:val="11"/>
              <w:spacing w:before="22"/>
              <w:ind w:left="9"/>
              <w:jc w:val="center"/>
              <w:rPr>
                <w:color w:val="auto"/>
                <w:sz w:val="21"/>
                <w:highlight w:val="none"/>
              </w:rPr>
            </w:pPr>
          </w:p>
        </w:tc>
        <w:tc>
          <w:tcPr>
            <w:tcW w:w="1500" w:type="dxa"/>
          </w:tcPr>
          <w:p w14:paraId="3BDB83C5">
            <w:pPr>
              <w:pStyle w:val="11"/>
              <w:ind w:left="9"/>
              <w:jc w:val="center"/>
              <w:rPr>
                <w:color w:val="auto"/>
                <w:sz w:val="21"/>
                <w:highlight w:val="none"/>
              </w:rPr>
            </w:pPr>
          </w:p>
        </w:tc>
      </w:tr>
      <w:tr w14:paraId="51CF2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3F94CE1C">
            <w:pPr>
              <w:pStyle w:val="11"/>
              <w:ind w:left="179" w:right="169"/>
              <w:jc w:val="center"/>
              <w:rPr>
                <w:color w:val="auto"/>
                <w:sz w:val="21"/>
                <w:highlight w:val="none"/>
              </w:rPr>
            </w:pPr>
            <w:r>
              <w:rPr>
                <w:color w:val="auto"/>
                <w:sz w:val="21"/>
                <w:highlight w:val="none"/>
              </w:rPr>
              <w:t>18</w:t>
            </w:r>
          </w:p>
        </w:tc>
        <w:tc>
          <w:tcPr>
            <w:tcW w:w="3119" w:type="dxa"/>
          </w:tcPr>
          <w:p w14:paraId="1772695A">
            <w:pPr>
              <w:pStyle w:val="11"/>
              <w:ind w:left="276" w:right="270"/>
              <w:jc w:val="center"/>
              <w:rPr>
                <w:color w:val="auto"/>
                <w:sz w:val="21"/>
                <w:highlight w:val="none"/>
              </w:rPr>
            </w:pPr>
          </w:p>
        </w:tc>
        <w:tc>
          <w:tcPr>
            <w:tcW w:w="2835" w:type="dxa"/>
          </w:tcPr>
          <w:p w14:paraId="2279D9E6">
            <w:pPr>
              <w:pStyle w:val="11"/>
              <w:rPr>
                <w:rFonts w:ascii="Times New Roman"/>
                <w:color w:val="auto"/>
                <w:sz w:val="20"/>
                <w:highlight w:val="none"/>
              </w:rPr>
            </w:pPr>
          </w:p>
        </w:tc>
        <w:tc>
          <w:tcPr>
            <w:tcW w:w="988" w:type="dxa"/>
          </w:tcPr>
          <w:p w14:paraId="4DE9F9F7">
            <w:pPr>
              <w:pStyle w:val="11"/>
              <w:spacing w:before="19"/>
              <w:ind w:left="9"/>
              <w:jc w:val="center"/>
              <w:rPr>
                <w:color w:val="auto"/>
                <w:sz w:val="21"/>
                <w:highlight w:val="none"/>
              </w:rPr>
            </w:pPr>
          </w:p>
        </w:tc>
        <w:tc>
          <w:tcPr>
            <w:tcW w:w="1500" w:type="dxa"/>
          </w:tcPr>
          <w:p w14:paraId="1BF07672">
            <w:pPr>
              <w:pStyle w:val="11"/>
              <w:ind w:left="9"/>
              <w:jc w:val="center"/>
              <w:rPr>
                <w:color w:val="auto"/>
                <w:sz w:val="21"/>
                <w:highlight w:val="none"/>
              </w:rPr>
            </w:pPr>
          </w:p>
        </w:tc>
      </w:tr>
      <w:tr w14:paraId="19D8E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5E41FDC7">
            <w:pPr>
              <w:pStyle w:val="11"/>
              <w:spacing w:line="268" w:lineRule="exact"/>
              <w:ind w:left="179" w:right="169"/>
              <w:jc w:val="center"/>
              <w:rPr>
                <w:color w:val="auto"/>
                <w:sz w:val="21"/>
                <w:highlight w:val="none"/>
              </w:rPr>
            </w:pPr>
            <w:r>
              <w:rPr>
                <w:color w:val="auto"/>
                <w:sz w:val="21"/>
                <w:highlight w:val="none"/>
              </w:rPr>
              <w:t>19</w:t>
            </w:r>
          </w:p>
        </w:tc>
        <w:tc>
          <w:tcPr>
            <w:tcW w:w="3119" w:type="dxa"/>
          </w:tcPr>
          <w:p w14:paraId="46921EEC">
            <w:pPr>
              <w:pStyle w:val="11"/>
              <w:spacing w:line="268" w:lineRule="exact"/>
              <w:ind w:left="276" w:right="267"/>
              <w:jc w:val="center"/>
              <w:rPr>
                <w:color w:val="auto"/>
                <w:sz w:val="21"/>
                <w:highlight w:val="none"/>
              </w:rPr>
            </w:pPr>
          </w:p>
        </w:tc>
        <w:tc>
          <w:tcPr>
            <w:tcW w:w="2835" w:type="dxa"/>
          </w:tcPr>
          <w:p w14:paraId="332F8A73">
            <w:pPr>
              <w:pStyle w:val="11"/>
              <w:spacing w:before="15"/>
              <w:ind w:left="736" w:right="728"/>
              <w:jc w:val="center"/>
              <w:rPr>
                <w:rFonts w:ascii="Times New Roman" w:hAnsi="Times New Roman"/>
                <w:color w:val="auto"/>
                <w:sz w:val="21"/>
                <w:highlight w:val="none"/>
              </w:rPr>
            </w:pPr>
          </w:p>
        </w:tc>
        <w:tc>
          <w:tcPr>
            <w:tcW w:w="988" w:type="dxa"/>
          </w:tcPr>
          <w:p w14:paraId="3B0840EF">
            <w:pPr>
              <w:pStyle w:val="11"/>
              <w:spacing w:before="20"/>
              <w:ind w:left="9"/>
              <w:jc w:val="center"/>
              <w:rPr>
                <w:color w:val="auto"/>
                <w:sz w:val="21"/>
                <w:highlight w:val="none"/>
              </w:rPr>
            </w:pPr>
          </w:p>
        </w:tc>
        <w:tc>
          <w:tcPr>
            <w:tcW w:w="1500" w:type="dxa"/>
          </w:tcPr>
          <w:p w14:paraId="7DF543B0">
            <w:pPr>
              <w:pStyle w:val="11"/>
              <w:spacing w:line="268" w:lineRule="exact"/>
              <w:ind w:left="9"/>
              <w:jc w:val="center"/>
              <w:rPr>
                <w:color w:val="auto"/>
                <w:sz w:val="21"/>
                <w:highlight w:val="none"/>
              </w:rPr>
            </w:pPr>
          </w:p>
        </w:tc>
      </w:tr>
      <w:tr w14:paraId="4E584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380AE519">
            <w:pPr>
              <w:pStyle w:val="11"/>
              <w:ind w:left="179" w:right="169"/>
              <w:jc w:val="center"/>
              <w:rPr>
                <w:color w:val="auto"/>
                <w:sz w:val="21"/>
                <w:highlight w:val="none"/>
              </w:rPr>
            </w:pPr>
            <w:r>
              <w:rPr>
                <w:color w:val="auto"/>
                <w:sz w:val="21"/>
                <w:highlight w:val="none"/>
              </w:rPr>
              <w:t>20</w:t>
            </w:r>
          </w:p>
        </w:tc>
        <w:tc>
          <w:tcPr>
            <w:tcW w:w="3119" w:type="dxa"/>
          </w:tcPr>
          <w:p w14:paraId="21F092EC">
            <w:pPr>
              <w:pStyle w:val="11"/>
              <w:ind w:left="276" w:right="272"/>
              <w:jc w:val="center"/>
              <w:rPr>
                <w:color w:val="auto"/>
                <w:sz w:val="21"/>
                <w:highlight w:val="none"/>
              </w:rPr>
            </w:pPr>
          </w:p>
        </w:tc>
        <w:tc>
          <w:tcPr>
            <w:tcW w:w="2835" w:type="dxa"/>
          </w:tcPr>
          <w:p w14:paraId="2872E28D">
            <w:pPr>
              <w:pStyle w:val="11"/>
              <w:spacing w:before="16"/>
              <w:ind w:left="736" w:right="728"/>
              <w:jc w:val="center"/>
              <w:rPr>
                <w:rFonts w:ascii="Times New Roman" w:hAnsi="Times New Roman"/>
                <w:color w:val="auto"/>
                <w:sz w:val="21"/>
                <w:highlight w:val="none"/>
              </w:rPr>
            </w:pPr>
          </w:p>
        </w:tc>
        <w:tc>
          <w:tcPr>
            <w:tcW w:w="988" w:type="dxa"/>
          </w:tcPr>
          <w:p w14:paraId="1AD83F6B">
            <w:pPr>
              <w:pStyle w:val="11"/>
              <w:spacing w:before="22"/>
              <w:ind w:left="9"/>
              <w:jc w:val="center"/>
              <w:rPr>
                <w:color w:val="auto"/>
                <w:sz w:val="21"/>
                <w:highlight w:val="none"/>
              </w:rPr>
            </w:pPr>
          </w:p>
        </w:tc>
        <w:tc>
          <w:tcPr>
            <w:tcW w:w="1500" w:type="dxa"/>
          </w:tcPr>
          <w:p w14:paraId="350C9289">
            <w:pPr>
              <w:pStyle w:val="11"/>
              <w:ind w:left="9"/>
              <w:jc w:val="center"/>
              <w:rPr>
                <w:color w:val="auto"/>
                <w:sz w:val="21"/>
                <w:highlight w:val="none"/>
              </w:rPr>
            </w:pPr>
          </w:p>
        </w:tc>
      </w:tr>
      <w:tr w14:paraId="389D3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19EDE2EF">
            <w:pPr>
              <w:pStyle w:val="11"/>
              <w:spacing w:before="1"/>
              <w:ind w:left="179" w:right="169"/>
              <w:jc w:val="center"/>
              <w:rPr>
                <w:color w:val="auto"/>
                <w:sz w:val="21"/>
                <w:highlight w:val="none"/>
              </w:rPr>
            </w:pPr>
            <w:r>
              <w:rPr>
                <w:color w:val="auto"/>
                <w:sz w:val="21"/>
                <w:highlight w:val="none"/>
              </w:rPr>
              <w:t>21</w:t>
            </w:r>
          </w:p>
        </w:tc>
        <w:tc>
          <w:tcPr>
            <w:tcW w:w="3119" w:type="dxa"/>
          </w:tcPr>
          <w:p w14:paraId="7100AF75">
            <w:pPr>
              <w:pStyle w:val="11"/>
              <w:spacing w:before="1"/>
              <w:ind w:left="276" w:right="270"/>
              <w:jc w:val="center"/>
              <w:rPr>
                <w:color w:val="auto"/>
                <w:sz w:val="21"/>
                <w:highlight w:val="none"/>
              </w:rPr>
            </w:pPr>
          </w:p>
        </w:tc>
        <w:tc>
          <w:tcPr>
            <w:tcW w:w="2835" w:type="dxa"/>
          </w:tcPr>
          <w:p w14:paraId="38A0D898">
            <w:pPr>
              <w:pStyle w:val="11"/>
              <w:spacing w:before="1"/>
              <w:ind w:left="725"/>
              <w:rPr>
                <w:rFonts w:ascii="Times New Roman" w:hAnsi="Times New Roman" w:eastAsia="Times New Roman"/>
                <w:color w:val="auto"/>
                <w:sz w:val="21"/>
                <w:highlight w:val="none"/>
              </w:rPr>
            </w:pPr>
          </w:p>
        </w:tc>
        <w:tc>
          <w:tcPr>
            <w:tcW w:w="988" w:type="dxa"/>
          </w:tcPr>
          <w:p w14:paraId="7671C43D">
            <w:pPr>
              <w:pStyle w:val="11"/>
              <w:spacing w:before="20"/>
              <w:ind w:left="9"/>
              <w:jc w:val="center"/>
              <w:rPr>
                <w:color w:val="auto"/>
                <w:sz w:val="21"/>
                <w:highlight w:val="none"/>
              </w:rPr>
            </w:pPr>
          </w:p>
        </w:tc>
        <w:tc>
          <w:tcPr>
            <w:tcW w:w="1500" w:type="dxa"/>
          </w:tcPr>
          <w:p w14:paraId="79BD9007">
            <w:pPr>
              <w:pStyle w:val="11"/>
              <w:spacing w:before="1"/>
              <w:ind w:left="9"/>
              <w:jc w:val="center"/>
              <w:rPr>
                <w:color w:val="auto"/>
                <w:sz w:val="21"/>
                <w:highlight w:val="none"/>
              </w:rPr>
            </w:pPr>
          </w:p>
        </w:tc>
      </w:tr>
      <w:tr w14:paraId="5932E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22" w:type="dxa"/>
          </w:tcPr>
          <w:p w14:paraId="061240CF">
            <w:pPr>
              <w:pStyle w:val="11"/>
              <w:spacing w:before="2"/>
              <w:ind w:left="179" w:right="169"/>
              <w:jc w:val="center"/>
              <w:rPr>
                <w:color w:val="auto"/>
                <w:sz w:val="21"/>
                <w:highlight w:val="none"/>
              </w:rPr>
            </w:pPr>
            <w:r>
              <w:rPr>
                <w:color w:val="auto"/>
                <w:sz w:val="21"/>
                <w:highlight w:val="none"/>
              </w:rPr>
              <w:t>22</w:t>
            </w:r>
          </w:p>
        </w:tc>
        <w:tc>
          <w:tcPr>
            <w:tcW w:w="3119" w:type="dxa"/>
          </w:tcPr>
          <w:p w14:paraId="3FCEAC56">
            <w:pPr>
              <w:pStyle w:val="11"/>
              <w:spacing w:before="2"/>
              <w:ind w:left="276" w:right="270"/>
              <w:jc w:val="center"/>
              <w:rPr>
                <w:color w:val="auto"/>
                <w:sz w:val="21"/>
                <w:highlight w:val="none"/>
              </w:rPr>
            </w:pPr>
          </w:p>
        </w:tc>
        <w:tc>
          <w:tcPr>
            <w:tcW w:w="2835" w:type="dxa"/>
          </w:tcPr>
          <w:p w14:paraId="55283F1D">
            <w:pPr>
              <w:pStyle w:val="11"/>
              <w:spacing w:before="2"/>
              <w:ind w:left="738" w:right="728"/>
              <w:jc w:val="center"/>
              <w:rPr>
                <w:color w:val="auto"/>
                <w:sz w:val="21"/>
                <w:highlight w:val="none"/>
              </w:rPr>
            </w:pPr>
          </w:p>
        </w:tc>
        <w:tc>
          <w:tcPr>
            <w:tcW w:w="988" w:type="dxa"/>
          </w:tcPr>
          <w:p w14:paraId="79096BDE">
            <w:pPr>
              <w:pStyle w:val="11"/>
              <w:spacing w:before="21"/>
              <w:ind w:left="9"/>
              <w:jc w:val="center"/>
              <w:rPr>
                <w:color w:val="auto"/>
                <w:sz w:val="21"/>
                <w:highlight w:val="none"/>
              </w:rPr>
            </w:pPr>
          </w:p>
        </w:tc>
        <w:tc>
          <w:tcPr>
            <w:tcW w:w="1500" w:type="dxa"/>
          </w:tcPr>
          <w:p w14:paraId="28181D27">
            <w:pPr>
              <w:pStyle w:val="11"/>
              <w:spacing w:before="2"/>
              <w:ind w:left="9"/>
              <w:jc w:val="center"/>
              <w:rPr>
                <w:color w:val="auto"/>
                <w:sz w:val="21"/>
                <w:highlight w:val="none"/>
              </w:rPr>
            </w:pPr>
          </w:p>
        </w:tc>
      </w:tr>
      <w:tr w14:paraId="5A317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27CC9005">
            <w:pPr>
              <w:pStyle w:val="11"/>
              <w:ind w:left="179" w:right="169"/>
              <w:jc w:val="center"/>
              <w:rPr>
                <w:color w:val="auto"/>
                <w:sz w:val="21"/>
                <w:highlight w:val="none"/>
              </w:rPr>
            </w:pPr>
            <w:r>
              <w:rPr>
                <w:color w:val="auto"/>
                <w:sz w:val="21"/>
                <w:highlight w:val="none"/>
              </w:rPr>
              <w:t>23</w:t>
            </w:r>
          </w:p>
        </w:tc>
        <w:tc>
          <w:tcPr>
            <w:tcW w:w="3119" w:type="dxa"/>
          </w:tcPr>
          <w:p w14:paraId="02335F12">
            <w:pPr>
              <w:pStyle w:val="11"/>
              <w:ind w:left="276" w:right="267"/>
              <w:jc w:val="center"/>
              <w:rPr>
                <w:color w:val="auto"/>
                <w:sz w:val="21"/>
                <w:highlight w:val="none"/>
              </w:rPr>
            </w:pPr>
          </w:p>
        </w:tc>
        <w:tc>
          <w:tcPr>
            <w:tcW w:w="2835" w:type="dxa"/>
          </w:tcPr>
          <w:p w14:paraId="49B1417E">
            <w:pPr>
              <w:pStyle w:val="11"/>
              <w:ind w:left="737" w:right="728"/>
              <w:jc w:val="center"/>
              <w:rPr>
                <w:color w:val="auto"/>
                <w:sz w:val="10"/>
                <w:highlight w:val="none"/>
              </w:rPr>
            </w:pPr>
          </w:p>
        </w:tc>
        <w:tc>
          <w:tcPr>
            <w:tcW w:w="988" w:type="dxa"/>
          </w:tcPr>
          <w:p w14:paraId="608D83FB">
            <w:pPr>
              <w:pStyle w:val="11"/>
              <w:spacing w:before="19"/>
              <w:ind w:left="9"/>
              <w:jc w:val="center"/>
              <w:rPr>
                <w:color w:val="auto"/>
                <w:sz w:val="21"/>
                <w:highlight w:val="none"/>
              </w:rPr>
            </w:pPr>
          </w:p>
        </w:tc>
        <w:tc>
          <w:tcPr>
            <w:tcW w:w="1500" w:type="dxa"/>
          </w:tcPr>
          <w:p w14:paraId="1C21CCB8">
            <w:pPr>
              <w:pStyle w:val="11"/>
              <w:ind w:left="9"/>
              <w:jc w:val="center"/>
              <w:rPr>
                <w:color w:val="auto"/>
                <w:sz w:val="21"/>
                <w:highlight w:val="none"/>
              </w:rPr>
            </w:pPr>
          </w:p>
        </w:tc>
      </w:tr>
      <w:tr w14:paraId="7ACC0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822" w:type="dxa"/>
          </w:tcPr>
          <w:p w14:paraId="38799839">
            <w:pPr>
              <w:pStyle w:val="11"/>
              <w:ind w:left="179" w:right="169"/>
              <w:jc w:val="center"/>
              <w:rPr>
                <w:color w:val="auto"/>
                <w:sz w:val="21"/>
                <w:highlight w:val="none"/>
              </w:rPr>
            </w:pPr>
            <w:r>
              <w:rPr>
                <w:color w:val="auto"/>
                <w:sz w:val="21"/>
                <w:highlight w:val="none"/>
              </w:rPr>
              <w:t>24</w:t>
            </w:r>
          </w:p>
        </w:tc>
        <w:tc>
          <w:tcPr>
            <w:tcW w:w="3119" w:type="dxa"/>
          </w:tcPr>
          <w:p w14:paraId="31BAB04B">
            <w:pPr>
              <w:pStyle w:val="11"/>
              <w:ind w:left="276" w:right="270"/>
              <w:jc w:val="center"/>
              <w:rPr>
                <w:color w:val="auto"/>
                <w:sz w:val="21"/>
                <w:highlight w:val="none"/>
              </w:rPr>
            </w:pPr>
          </w:p>
        </w:tc>
        <w:tc>
          <w:tcPr>
            <w:tcW w:w="2835" w:type="dxa"/>
          </w:tcPr>
          <w:p w14:paraId="62F5557F">
            <w:pPr>
              <w:pStyle w:val="11"/>
              <w:ind w:left="736" w:right="728"/>
              <w:jc w:val="center"/>
              <w:rPr>
                <w:color w:val="auto"/>
                <w:sz w:val="21"/>
                <w:highlight w:val="none"/>
              </w:rPr>
            </w:pPr>
          </w:p>
        </w:tc>
        <w:tc>
          <w:tcPr>
            <w:tcW w:w="988" w:type="dxa"/>
          </w:tcPr>
          <w:p w14:paraId="39541AAD">
            <w:pPr>
              <w:pStyle w:val="11"/>
              <w:spacing w:before="20"/>
              <w:ind w:left="9"/>
              <w:jc w:val="center"/>
              <w:rPr>
                <w:color w:val="auto"/>
                <w:sz w:val="21"/>
                <w:highlight w:val="none"/>
              </w:rPr>
            </w:pPr>
          </w:p>
        </w:tc>
        <w:tc>
          <w:tcPr>
            <w:tcW w:w="1500" w:type="dxa"/>
          </w:tcPr>
          <w:p w14:paraId="6BA5F97C">
            <w:pPr>
              <w:pStyle w:val="11"/>
              <w:ind w:left="9"/>
              <w:jc w:val="center"/>
              <w:rPr>
                <w:color w:val="auto"/>
                <w:sz w:val="21"/>
                <w:highlight w:val="none"/>
              </w:rPr>
            </w:pPr>
          </w:p>
        </w:tc>
      </w:tr>
      <w:tr w14:paraId="6D84C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43014900">
            <w:pPr>
              <w:pStyle w:val="11"/>
              <w:spacing w:line="268" w:lineRule="exact"/>
              <w:ind w:left="179" w:right="169"/>
              <w:jc w:val="center"/>
              <w:rPr>
                <w:color w:val="auto"/>
                <w:sz w:val="21"/>
                <w:highlight w:val="none"/>
              </w:rPr>
            </w:pPr>
            <w:r>
              <w:rPr>
                <w:color w:val="auto"/>
                <w:sz w:val="21"/>
                <w:highlight w:val="none"/>
              </w:rPr>
              <w:t>25</w:t>
            </w:r>
          </w:p>
        </w:tc>
        <w:tc>
          <w:tcPr>
            <w:tcW w:w="3119" w:type="dxa"/>
          </w:tcPr>
          <w:p w14:paraId="488026CC">
            <w:pPr>
              <w:pStyle w:val="11"/>
              <w:spacing w:line="268" w:lineRule="exact"/>
              <w:ind w:left="276" w:right="270"/>
              <w:jc w:val="center"/>
              <w:rPr>
                <w:color w:val="auto"/>
                <w:sz w:val="21"/>
                <w:highlight w:val="none"/>
              </w:rPr>
            </w:pPr>
          </w:p>
        </w:tc>
        <w:tc>
          <w:tcPr>
            <w:tcW w:w="2835" w:type="dxa"/>
          </w:tcPr>
          <w:p w14:paraId="534A8D0C">
            <w:pPr>
              <w:pStyle w:val="11"/>
              <w:spacing w:line="268" w:lineRule="exact"/>
              <w:ind w:left="736" w:right="728"/>
              <w:jc w:val="center"/>
              <w:rPr>
                <w:color w:val="auto"/>
                <w:sz w:val="21"/>
                <w:highlight w:val="none"/>
              </w:rPr>
            </w:pPr>
          </w:p>
        </w:tc>
        <w:tc>
          <w:tcPr>
            <w:tcW w:w="988" w:type="dxa"/>
          </w:tcPr>
          <w:p w14:paraId="59841F8C">
            <w:pPr>
              <w:pStyle w:val="11"/>
              <w:spacing w:before="21"/>
              <w:ind w:left="9"/>
              <w:jc w:val="center"/>
              <w:rPr>
                <w:color w:val="auto"/>
                <w:sz w:val="21"/>
                <w:highlight w:val="none"/>
              </w:rPr>
            </w:pPr>
          </w:p>
        </w:tc>
        <w:tc>
          <w:tcPr>
            <w:tcW w:w="1500" w:type="dxa"/>
          </w:tcPr>
          <w:p w14:paraId="33B83D86">
            <w:pPr>
              <w:pStyle w:val="11"/>
              <w:spacing w:line="268" w:lineRule="exact"/>
              <w:ind w:left="9"/>
              <w:jc w:val="center"/>
              <w:rPr>
                <w:color w:val="auto"/>
                <w:sz w:val="21"/>
                <w:highlight w:val="none"/>
              </w:rPr>
            </w:pPr>
          </w:p>
        </w:tc>
      </w:tr>
      <w:tr w14:paraId="1A864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687AD290">
            <w:pPr>
              <w:pStyle w:val="11"/>
              <w:ind w:left="179" w:right="169"/>
              <w:jc w:val="center"/>
              <w:rPr>
                <w:color w:val="auto"/>
                <w:sz w:val="21"/>
                <w:highlight w:val="none"/>
              </w:rPr>
            </w:pPr>
            <w:r>
              <w:rPr>
                <w:color w:val="auto"/>
                <w:sz w:val="21"/>
                <w:highlight w:val="none"/>
              </w:rPr>
              <w:t>26</w:t>
            </w:r>
          </w:p>
        </w:tc>
        <w:tc>
          <w:tcPr>
            <w:tcW w:w="3119" w:type="dxa"/>
          </w:tcPr>
          <w:p w14:paraId="4F271260">
            <w:pPr>
              <w:pStyle w:val="11"/>
              <w:ind w:left="276" w:right="270"/>
              <w:jc w:val="center"/>
              <w:rPr>
                <w:color w:val="auto"/>
                <w:sz w:val="21"/>
                <w:highlight w:val="none"/>
              </w:rPr>
            </w:pPr>
          </w:p>
        </w:tc>
        <w:tc>
          <w:tcPr>
            <w:tcW w:w="2835" w:type="dxa"/>
          </w:tcPr>
          <w:p w14:paraId="22B1B51C">
            <w:pPr>
              <w:pStyle w:val="11"/>
              <w:ind w:left="736" w:right="728"/>
              <w:jc w:val="center"/>
              <w:rPr>
                <w:color w:val="auto"/>
                <w:sz w:val="21"/>
                <w:highlight w:val="none"/>
              </w:rPr>
            </w:pPr>
          </w:p>
        </w:tc>
        <w:tc>
          <w:tcPr>
            <w:tcW w:w="988" w:type="dxa"/>
          </w:tcPr>
          <w:p w14:paraId="3596AAA7">
            <w:pPr>
              <w:pStyle w:val="11"/>
              <w:spacing w:before="22"/>
              <w:ind w:left="9"/>
              <w:jc w:val="center"/>
              <w:rPr>
                <w:color w:val="auto"/>
                <w:sz w:val="21"/>
                <w:highlight w:val="none"/>
              </w:rPr>
            </w:pPr>
          </w:p>
        </w:tc>
        <w:tc>
          <w:tcPr>
            <w:tcW w:w="1500" w:type="dxa"/>
          </w:tcPr>
          <w:p w14:paraId="69FD62A0">
            <w:pPr>
              <w:pStyle w:val="11"/>
              <w:ind w:left="9"/>
              <w:jc w:val="center"/>
              <w:rPr>
                <w:color w:val="auto"/>
                <w:sz w:val="21"/>
                <w:highlight w:val="none"/>
              </w:rPr>
            </w:pPr>
          </w:p>
        </w:tc>
      </w:tr>
      <w:tr w14:paraId="0E9DB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22" w:type="dxa"/>
          </w:tcPr>
          <w:p w14:paraId="3C6C7213">
            <w:pPr>
              <w:pStyle w:val="11"/>
              <w:spacing w:before="1"/>
              <w:ind w:left="179" w:right="169"/>
              <w:jc w:val="center"/>
              <w:rPr>
                <w:color w:val="auto"/>
                <w:sz w:val="21"/>
                <w:highlight w:val="none"/>
              </w:rPr>
            </w:pPr>
            <w:r>
              <w:rPr>
                <w:color w:val="auto"/>
                <w:sz w:val="21"/>
                <w:highlight w:val="none"/>
              </w:rPr>
              <w:t>27</w:t>
            </w:r>
          </w:p>
        </w:tc>
        <w:tc>
          <w:tcPr>
            <w:tcW w:w="3119" w:type="dxa"/>
          </w:tcPr>
          <w:p w14:paraId="2789F3A3">
            <w:pPr>
              <w:pStyle w:val="11"/>
              <w:spacing w:before="1"/>
              <w:ind w:left="276" w:right="272"/>
              <w:jc w:val="center"/>
              <w:rPr>
                <w:color w:val="auto"/>
                <w:sz w:val="21"/>
                <w:highlight w:val="none"/>
              </w:rPr>
            </w:pPr>
          </w:p>
        </w:tc>
        <w:tc>
          <w:tcPr>
            <w:tcW w:w="2835" w:type="dxa"/>
          </w:tcPr>
          <w:p w14:paraId="1F4E8AE5">
            <w:pPr>
              <w:pStyle w:val="11"/>
              <w:spacing w:before="1"/>
              <w:ind w:left="891"/>
              <w:rPr>
                <w:color w:val="auto"/>
                <w:sz w:val="21"/>
                <w:highlight w:val="none"/>
              </w:rPr>
            </w:pPr>
          </w:p>
        </w:tc>
        <w:tc>
          <w:tcPr>
            <w:tcW w:w="988" w:type="dxa"/>
          </w:tcPr>
          <w:p w14:paraId="41E6E928">
            <w:pPr>
              <w:pStyle w:val="11"/>
              <w:spacing w:before="20"/>
              <w:ind w:left="9"/>
              <w:jc w:val="center"/>
              <w:rPr>
                <w:color w:val="auto"/>
                <w:sz w:val="21"/>
                <w:highlight w:val="none"/>
              </w:rPr>
            </w:pPr>
          </w:p>
        </w:tc>
        <w:tc>
          <w:tcPr>
            <w:tcW w:w="1500" w:type="dxa"/>
          </w:tcPr>
          <w:p w14:paraId="670194F6">
            <w:pPr>
              <w:pStyle w:val="11"/>
              <w:spacing w:before="1"/>
              <w:ind w:left="9"/>
              <w:jc w:val="center"/>
              <w:rPr>
                <w:color w:val="auto"/>
                <w:sz w:val="21"/>
                <w:highlight w:val="none"/>
              </w:rPr>
            </w:pPr>
          </w:p>
        </w:tc>
      </w:tr>
      <w:tr w14:paraId="6974C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668C1308">
            <w:pPr>
              <w:pStyle w:val="11"/>
              <w:spacing w:line="268" w:lineRule="exact"/>
              <w:ind w:left="179" w:right="169"/>
              <w:jc w:val="center"/>
              <w:rPr>
                <w:color w:val="auto"/>
                <w:sz w:val="21"/>
                <w:highlight w:val="none"/>
              </w:rPr>
            </w:pPr>
            <w:r>
              <w:rPr>
                <w:color w:val="auto"/>
                <w:sz w:val="21"/>
                <w:highlight w:val="none"/>
              </w:rPr>
              <w:t>28</w:t>
            </w:r>
          </w:p>
        </w:tc>
        <w:tc>
          <w:tcPr>
            <w:tcW w:w="3119" w:type="dxa"/>
          </w:tcPr>
          <w:p w14:paraId="2C6E10A8">
            <w:pPr>
              <w:pStyle w:val="11"/>
              <w:spacing w:line="268" w:lineRule="exact"/>
              <w:ind w:left="276" w:right="272"/>
              <w:jc w:val="center"/>
              <w:rPr>
                <w:color w:val="auto"/>
                <w:sz w:val="21"/>
                <w:highlight w:val="none"/>
              </w:rPr>
            </w:pPr>
          </w:p>
        </w:tc>
        <w:tc>
          <w:tcPr>
            <w:tcW w:w="2835" w:type="dxa"/>
          </w:tcPr>
          <w:p w14:paraId="43952B26">
            <w:pPr>
              <w:pStyle w:val="11"/>
              <w:spacing w:line="268" w:lineRule="exact"/>
              <w:ind w:left="917"/>
              <w:rPr>
                <w:color w:val="auto"/>
                <w:sz w:val="21"/>
                <w:highlight w:val="none"/>
              </w:rPr>
            </w:pPr>
          </w:p>
        </w:tc>
        <w:tc>
          <w:tcPr>
            <w:tcW w:w="988" w:type="dxa"/>
          </w:tcPr>
          <w:p w14:paraId="2382AAA6">
            <w:pPr>
              <w:pStyle w:val="11"/>
              <w:spacing w:before="20"/>
              <w:ind w:left="9"/>
              <w:jc w:val="center"/>
              <w:rPr>
                <w:color w:val="auto"/>
                <w:sz w:val="21"/>
                <w:highlight w:val="none"/>
              </w:rPr>
            </w:pPr>
          </w:p>
        </w:tc>
        <w:tc>
          <w:tcPr>
            <w:tcW w:w="1500" w:type="dxa"/>
          </w:tcPr>
          <w:p w14:paraId="16C46A72">
            <w:pPr>
              <w:pStyle w:val="11"/>
              <w:spacing w:line="268" w:lineRule="exact"/>
              <w:ind w:left="9"/>
              <w:jc w:val="center"/>
              <w:rPr>
                <w:color w:val="auto"/>
                <w:sz w:val="21"/>
                <w:highlight w:val="none"/>
              </w:rPr>
            </w:pPr>
          </w:p>
        </w:tc>
      </w:tr>
      <w:tr w14:paraId="1B07E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0465E34E">
            <w:pPr>
              <w:pStyle w:val="11"/>
              <w:ind w:left="179" w:right="169"/>
              <w:jc w:val="center"/>
              <w:rPr>
                <w:color w:val="auto"/>
                <w:sz w:val="21"/>
                <w:highlight w:val="none"/>
              </w:rPr>
            </w:pPr>
            <w:r>
              <w:rPr>
                <w:color w:val="auto"/>
                <w:sz w:val="21"/>
                <w:highlight w:val="none"/>
              </w:rPr>
              <w:t>29</w:t>
            </w:r>
          </w:p>
        </w:tc>
        <w:tc>
          <w:tcPr>
            <w:tcW w:w="3119" w:type="dxa"/>
          </w:tcPr>
          <w:p w14:paraId="2D7BB24D">
            <w:pPr>
              <w:pStyle w:val="11"/>
              <w:ind w:left="276" w:right="270"/>
              <w:jc w:val="center"/>
              <w:rPr>
                <w:color w:val="auto"/>
                <w:sz w:val="21"/>
                <w:highlight w:val="none"/>
              </w:rPr>
            </w:pPr>
          </w:p>
        </w:tc>
        <w:tc>
          <w:tcPr>
            <w:tcW w:w="2835" w:type="dxa"/>
          </w:tcPr>
          <w:p w14:paraId="22DDC1CA">
            <w:pPr>
              <w:pStyle w:val="11"/>
              <w:rPr>
                <w:rFonts w:ascii="Times New Roman"/>
                <w:color w:val="auto"/>
                <w:sz w:val="20"/>
                <w:highlight w:val="none"/>
              </w:rPr>
            </w:pPr>
          </w:p>
        </w:tc>
        <w:tc>
          <w:tcPr>
            <w:tcW w:w="988" w:type="dxa"/>
          </w:tcPr>
          <w:p w14:paraId="340AE2FD">
            <w:pPr>
              <w:pStyle w:val="11"/>
              <w:spacing w:before="19"/>
              <w:ind w:left="9"/>
              <w:jc w:val="center"/>
              <w:rPr>
                <w:color w:val="auto"/>
                <w:sz w:val="21"/>
                <w:highlight w:val="none"/>
              </w:rPr>
            </w:pPr>
          </w:p>
        </w:tc>
        <w:tc>
          <w:tcPr>
            <w:tcW w:w="1500" w:type="dxa"/>
          </w:tcPr>
          <w:p w14:paraId="5E68AE70">
            <w:pPr>
              <w:pStyle w:val="11"/>
              <w:ind w:left="9"/>
              <w:jc w:val="center"/>
              <w:rPr>
                <w:color w:val="auto"/>
                <w:sz w:val="21"/>
                <w:highlight w:val="none"/>
              </w:rPr>
            </w:pPr>
          </w:p>
        </w:tc>
      </w:tr>
      <w:tr w14:paraId="671FF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2" w:type="dxa"/>
          </w:tcPr>
          <w:p w14:paraId="2B1A9F81">
            <w:pPr>
              <w:pStyle w:val="11"/>
              <w:spacing w:before="1"/>
              <w:ind w:left="179" w:right="169"/>
              <w:jc w:val="center"/>
              <w:rPr>
                <w:color w:val="auto"/>
                <w:sz w:val="21"/>
                <w:highlight w:val="none"/>
              </w:rPr>
            </w:pPr>
            <w:r>
              <w:rPr>
                <w:color w:val="auto"/>
                <w:sz w:val="21"/>
                <w:highlight w:val="none"/>
              </w:rPr>
              <w:t>30</w:t>
            </w:r>
          </w:p>
        </w:tc>
        <w:tc>
          <w:tcPr>
            <w:tcW w:w="3119" w:type="dxa"/>
          </w:tcPr>
          <w:p w14:paraId="31B3272D">
            <w:pPr>
              <w:pStyle w:val="11"/>
              <w:spacing w:before="1"/>
              <w:ind w:left="276" w:right="270"/>
              <w:jc w:val="center"/>
              <w:rPr>
                <w:color w:val="auto"/>
                <w:sz w:val="21"/>
                <w:highlight w:val="none"/>
              </w:rPr>
            </w:pPr>
          </w:p>
        </w:tc>
        <w:tc>
          <w:tcPr>
            <w:tcW w:w="2835" w:type="dxa"/>
          </w:tcPr>
          <w:p w14:paraId="39E034FE">
            <w:pPr>
              <w:pStyle w:val="11"/>
              <w:rPr>
                <w:rFonts w:ascii="Times New Roman"/>
                <w:color w:val="auto"/>
                <w:sz w:val="20"/>
                <w:highlight w:val="none"/>
              </w:rPr>
            </w:pPr>
          </w:p>
        </w:tc>
        <w:tc>
          <w:tcPr>
            <w:tcW w:w="988" w:type="dxa"/>
          </w:tcPr>
          <w:p w14:paraId="40B21451">
            <w:pPr>
              <w:pStyle w:val="11"/>
              <w:spacing w:before="20"/>
              <w:ind w:left="9"/>
              <w:jc w:val="center"/>
              <w:rPr>
                <w:color w:val="auto"/>
                <w:sz w:val="21"/>
                <w:highlight w:val="none"/>
              </w:rPr>
            </w:pPr>
          </w:p>
        </w:tc>
        <w:tc>
          <w:tcPr>
            <w:tcW w:w="1500" w:type="dxa"/>
          </w:tcPr>
          <w:p w14:paraId="571B09EB">
            <w:pPr>
              <w:pStyle w:val="11"/>
              <w:spacing w:before="1"/>
              <w:ind w:left="9"/>
              <w:jc w:val="center"/>
              <w:rPr>
                <w:color w:val="auto"/>
                <w:sz w:val="21"/>
                <w:highlight w:val="none"/>
              </w:rPr>
            </w:pPr>
          </w:p>
        </w:tc>
      </w:tr>
    </w:tbl>
    <w:p w14:paraId="095EEF1C">
      <w:pPr>
        <w:spacing w:line="258" w:lineRule="auto"/>
        <w:rPr>
          <w:rFonts w:ascii="Arial"/>
          <w:color w:val="auto"/>
          <w:sz w:val="21"/>
        </w:rPr>
      </w:pPr>
    </w:p>
    <w:p w14:paraId="612F6479">
      <w:pPr>
        <w:spacing w:line="259" w:lineRule="auto"/>
        <w:rPr>
          <w:rFonts w:ascii="Arial"/>
          <w:color w:val="auto"/>
          <w:sz w:val="21"/>
        </w:rPr>
      </w:pPr>
    </w:p>
    <w:p w14:paraId="7CC99ADC">
      <w:pPr>
        <w:spacing w:before="72" w:line="393" w:lineRule="auto"/>
        <w:ind w:left="8" w:right="103" w:hanging="1"/>
        <w:rPr>
          <w:rFonts w:ascii="宋体" w:hAnsi="宋体" w:eastAsia="宋体" w:cs="宋体"/>
          <w:color w:val="auto"/>
          <w:sz w:val="22"/>
          <w:szCs w:val="22"/>
        </w:rPr>
      </w:pPr>
      <w:r>
        <w:rPr>
          <w:rFonts w:ascii="宋体" w:hAnsi="宋体" w:eastAsia="宋体" w:cs="宋体"/>
          <w:color w:val="auto"/>
          <w:spacing w:val="2"/>
          <w:sz w:val="22"/>
          <w:szCs w:val="22"/>
          <w14:textOutline w14:w="4013" w14:cap="sq" w14:cmpd="sng">
            <w14:solidFill>
              <w14:srgbClr w14:val="000000"/>
            </w14:solidFill>
            <w14:prstDash w14:val="solid"/>
            <w14:bevel/>
          </w14:textOutline>
        </w:rPr>
        <w:t>注：1、招标人将在合同谈判阶段要求中标人按照本表的最低要求填报为本标段配备的主要设</w:t>
      </w:r>
      <w:r>
        <w:rPr>
          <w:rFonts w:ascii="宋体" w:hAnsi="宋体" w:eastAsia="宋体" w:cs="宋体"/>
          <w:color w:val="auto"/>
          <w:spacing w:val="1"/>
          <w:sz w:val="22"/>
          <w:szCs w:val="22"/>
          <w14:textOutline w14:w="4013" w14:cap="sq" w14:cmpd="sng">
            <w14:solidFill>
              <w14:srgbClr w14:val="000000"/>
            </w14:solidFill>
            <w14:prstDash w14:val="solid"/>
            <w14:bevel/>
          </w14:textOutline>
        </w:rPr>
        <w:t>备</w:t>
      </w:r>
      <w:r>
        <w:rPr>
          <w:rFonts w:ascii="宋体" w:hAnsi="宋体" w:eastAsia="宋体" w:cs="宋体"/>
          <w:color w:val="auto"/>
          <w:sz w:val="22"/>
          <w:szCs w:val="22"/>
          <w14:textOutline w14:w="4013" w14:cap="sq" w14:cmpd="sng">
            <w14:solidFill>
              <w14:srgbClr w14:val="000000"/>
            </w14:solidFill>
            <w14:prstDash w14:val="solid"/>
            <w14:bevel/>
          </w14:textOutline>
        </w:rPr>
        <w:t>，在</w:t>
      </w:r>
      <w:r>
        <w:rPr>
          <w:rFonts w:ascii="宋体" w:hAnsi="宋体" w:eastAsia="宋体" w:cs="宋体"/>
          <w:color w:val="auto"/>
          <w:sz w:val="22"/>
          <w:szCs w:val="22"/>
        </w:rPr>
        <w:t xml:space="preserve"> </w:t>
      </w:r>
      <w:r>
        <w:rPr>
          <w:rFonts w:ascii="宋体" w:hAnsi="宋体" w:eastAsia="宋体" w:cs="宋体"/>
          <w:color w:val="auto"/>
          <w:spacing w:val="-1"/>
          <w:sz w:val="22"/>
          <w:szCs w:val="22"/>
          <w14:textOutline w14:w="4013" w14:cap="sq" w14:cmpd="sng">
            <w14:solidFill>
              <w14:srgbClr w14:val="000000"/>
            </w14:solidFill>
            <w14:prstDash w14:val="solid"/>
            <w14:bevel/>
          </w14:textOutline>
        </w:rPr>
        <w:t>经招标人审批后作为投入本标段的主要设备且不允许更换。如招标人拟</w:t>
      </w:r>
      <w:r>
        <w:rPr>
          <w:rFonts w:ascii="宋体" w:hAnsi="宋体" w:eastAsia="宋体" w:cs="宋体"/>
          <w:color w:val="auto"/>
          <w:sz w:val="22"/>
          <w:szCs w:val="22"/>
          <w14:textOutline w14:w="4013" w14:cap="sq" w14:cmpd="sng">
            <w14:solidFill>
              <w14:srgbClr w14:val="000000"/>
            </w14:solidFill>
            <w14:prstDash w14:val="solid"/>
            <w14:bevel/>
          </w14:textOutline>
        </w:rPr>
        <w:t>提供的设备数量和规格指标等</w:t>
      </w:r>
      <w:r>
        <w:rPr>
          <w:rFonts w:ascii="宋体" w:hAnsi="宋体" w:eastAsia="宋体" w:cs="宋体"/>
          <w:color w:val="auto"/>
          <w:sz w:val="22"/>
          <w:szCs w:val="22"/>
        </w:rPr>
        <w:t xml:space="preserve"> </w:t>
      </w:r>
      <w:r>
        <w:rPr>
          <w:rFonts w:ascii="宋体" w:hAnsi="宋体" w:eastAsia="宋体" w:cs="宋体"/>
          <w:color w:val="auto"/>
          <w:spacing w:val="1"/>
          <w:sz w:val="22"/>
          <w:szCs w:val="22"/>
          <w14:textOutline w14:w="4013" w14:cap="sq" w14:cmpd="sng">
            <w14:solidFill>
              <w14:srgbClr w14:val="000000"/>
            </w14:solidFill>
            <w14:prstDash w14:val="solid"/>
            <w14:bevel/>
          </w14:textOutline>
        </w:rPr>
        <w:t>不满足本</w:t>
      </w:r>
      <w:r>
        <w:rPr>
          <w:rFonts w:ascii="宋体" w:hAnsi="宋体" w:eastAsia="宋体" w:cs="宋体"/>
          <w:color w:val="auto"/>
          <w:sz w:val="22"/>
          <w:szCs w:val="22"/>
          <w14:textOutline w14:w="4013" w14:cap="sq" w14:cmpd="sng">
            <w14:solidFill>
              <w14:srgbClr w14:val="000000"/>
            </w14:solidFill>
            <w14:prstDash w14:val="solid"/>
            <w14:bevel/>
          </w14:textOutline>
        </w:rPr>
        <w:t>表要求，招标人取消其中标资格。</w:t>
      </w:r>
    </w:p>
    <w:p w14:paraId="42A92280">
      <w:pPr>
        <w:spacing w:line="220" w:lineRule="auto"/>
        <w:rPr>
          <w:rFonts w:ascii="宋体" w:hAnsi="宋体" w:eastAsia="宋体" w:cs="宋体"/>
          <w:sz w:val="24"/>
          <w:szCs w:val="24"/>
        </w:rPr>
        <w:sectPr>
          <w:footerReference r:id="rId121" w:type="default"/>
          <w:pgSz w:w="11905" w:h="16840"/>
          <w:pgMar w:top="1182" w:right="1416" w:bottom="1171" w:left="1416" w:header="849" w:footer="937" w:gutter="0"/>
          <w:pgNumType w:fmt="decimal"/>
          <w:cols w:space="720" w:num="1"/>
        </w:sectPr>
      </w:pPr>
      <w:r>
        <w:rPr>
          <w:rFonts w:ascii="宋体" w:hAnsi="宋体" w:eastAsia="宋体" w:cs="宋体"/>
          <w:color w:val="auto"/>
          <w:spacing w:val="2"/>
          <w:sz w:val="22"/>
          <w:szCs w:val="22"/>
          <w14:textOutline w14:w="4013" w14:cap="sq" w14:cmpd="sng">
            <w14:solidFill>
              <w14:srgbClr w14:val="000000"/>
            </w14:solidFill>
            <w14:prstDash w14:val="solid"/>
            <w14:bevel/>
          </w14:textOutline>
        </w:rPr>
        <w:t>2、招标人有权根据标段的工程特点、工程量及工程进度情况要求增加相应的施工设备</w:t>
      </w:r>
      <w:r>
        <w:rPr>
          <w:rFonts w:ascii="宋体" w:hAnsi="宋体" w:eastAsia="宋体" w:cs="宋体"/>
          <w:color w:val="auto"/>
          <w:spacing w:val="1"/>
          <w:sz w:val="22"/>
          <w:szCs w:val="22"/>
          <w14:textOutline w14:w="4013" w14:cap="sq" w14:cmpd="sng">
            <w14:solidFill>
              <w14:srgbClr w14:val="000000"/>
            </w14:solidFill>
            <w14:prstDash w14:val="solid"/>
            <w14:bevel/>
          </w14:textOutline>
        </w:rPr>
        <w:t>，</w:t>
      </w:r>
      <w:r>
        <w:rPr>
          <w:rFonts w:ascii="宋体" w:hAnsi="宋体" w:eastAsia="宋体" w:cs="宋体"/>
          <w:color w:val="auto"/>
          <w:sz w:val="22"/>
          <w:szCs w:val="22"/>
          <w14:textOutline w14:w="4013" w14:cap="sq" w14:cmpd="sng">
            <w14:solidFill>
              <w14:srgbClr w14:val="000000"/>
            </w14:solidFill>
            <w14:prstDash w14:val="solid"/>
            <w14:bevel/>
          </w14:textOutline>
        </w:rPr>
        <w:t>由此不</w:t>
      </w:r>
      <w:r>
        <w:rPr>
          <w:rFonts w:ascii="宋体" w:hAnsi="宋体" w:eastAsia="宋体" w:cs="宋体"/>
          <w:color w:val="auto"/>
          <w:spacing w:val="-1"/>
          <w:sz w:val="22"/>
          <w:szCs w:val="22"/>
          <w14:textOutline w14:w="4013" w14:cap="sq" w14:cmpd="sng">
            <w14:solidFill>
              <w14:srgbClr w14:val="000000"/>
            </w14:solidFill>
            <w14:prstDash w14:val="solid"/>
            <w14:bevel/>
          </w14:textOutline>
        </w:rPr>
        <w:t>存在索</w:t>
      </w:r>
      <w:r>
        <w:rPr>
          <w:rFonts w:ascii="宋体" w:hAnsi="宋体" w:eastAsia="宋体" w:cs="宋体"/>
          <w:color w:val="auto"/>
          <w:sz w:val="22"/>
          <w:szCs w:val="22"/>
          <w14:textOutline w14:w="4013" w14:cap="sq" w14:cmpd="sng">
            <w14:solidFill>
              <w14:srgbClr w14:val="000000"/>
            </w14:solidFill>
            <w14:prstDash w14:val="solid"/>
            <w14:bevel/>
          </w14:textOutline>
        </w:rPr>
        <w:t>赔问题。</w:t>
      </w:r>
    </w:p>
    <w:p w14:paraId="32BD1BD9">
      <w:pPr>
        <w:spacing w:before="91" w:line="219" w:lineRule="auto"/>
        <w:ind w:left="28"/>
        <w:rPr>
          <w:rFonts w:ascii="宋体" w:hAnsi="宋体" w:eastAsia="宋体" w:cs="宋体"/>
          <w:b/>
          <w:bCs/>
          <w:spacing w:val="-6"/>
          <w:sz w:val="28"/>
          <w:szCs w:val="28"/>
        </w:rPr>
      </w:pPr>
      <w:r>
        <w:rPr>
          <w:rFonts w:ascii="宋体" w:hAnsi="宋体" w:eastAsia="宋体" w:cs="宋体"/>
          <w:b/>
          <w:bCs/>
          <w:spacing w:val="-6"/>
          <w:sz w:val="28"/>
          <w:szCs w:val="28"/>
        </w:rPr>
        <w:t>附件六   项目经理委托书</w:t>
      </w:r>
    </w:p>
    <w:p w14:paraId="44608D35">
      <w:pPr>
        <w:spacing w:line="295" w:lineRule="auto"/>
        <w:rPr>
          <w:rFonts w:ascii="Arial"/>
          <w:color w:val="auto"/>
          <w:sz w:val="21"/>
        </w:rPr>
      </w:pPr>
    </w:p>
    <w:p w14:paraId="0C86242D">
      <w:pPr>
        <w:spacing w:line="295" w:lineRule="auto"/>
        <w:rPr>
          <w:rFonts w:ascii="Arial"/>
          <w:color w:val="auto"/>
          <w:sz w:val="21"/>
        </w:rPr>
      </w:pPr>
    </w:p>
    <w:p w14:paraId="6F647FBF">
      <w:pPr>
        <w:tabs>
          <w:tab w:val="left" w:pos="4135"/>
        </w:tabs>
        <w:spacing w:before="75" w:line="322" w:lineRule="auto"/>
        <w:ind w:left="3990"/>
        <w:rPr>
          <w:rFonts w:ascii="黑体" w:hAnsi="黑体" w:eastAsia="黑体" w:cs="黑体"/>
          <w:color w:val="auto"/>
          <w:sz w:val="23"/>
          <w:szCs w:val="23"/>
        </w:rPr>
      </w:pPr>
      <w:r>
        <w:rPr>
          <w:rFonts w:ascii="黑体" w:hAnsi="黑体" w:eastAsia="黑体" w:cs="黑体"/>
          <w:color w:val="auto"/>
          <w:sz w:val="23"/>
          <w:szCs w:val="23"/>
          <w:u w:val="single" w:color="auto"/>
        </w:rPr>
        <w:tab/>
      </w:r>
      <w:r>
        <w:rPr>
          <w:rFonts w:hint="eastAsia" w:ascii="黑体" w:hAnsi="黑体" w:eastAsia="黑体" w:cs="黑体"/>
          <w:color w:val="auto"/>
          <w:sz w:val="23"/>
          <w:szCs w:val="23"/>
          <w:u w:val="single" w:color="auto"/>
          <w:lang w:eastAsia="zh-CN"/>
        </w:rPr>
        <w:t>（</w:t>
      </w:r>
      <w:r>
        <w:rPr>
          <w:rFonts w:ascii="黑体" w:hAnsi="黑体" w:eastAsia="黑体" w:cs="黑体"/>
          <w:color w:val="auto"/>
          <w:spacing w:val="2"/>
          <w:sz w:val="23"/>
          <w:szCs w:val="23"/>
          <w:u w:val="single" w:color="auto"/>
        </w:rPr>
        <w:t>承包</w:t>
      </w:r>
      <w:r>
        <w:rPr>
          <w:rFonts w:ascii="黑体" w:hAnsi="黑体" w:eastAsia="黑体" w:cs="黑体"/>
          <w:color w:val="auto"/>
          <w:spacing w:val="1"/>
          <w:sz w:val="23"/>
          <w:szCs w:val="23"/>
          <w:u w:val="single" w:color="auto"/>
        </w:rPr>
        <w:t>人全称</w:t>
      </w:r>
      <w:r>
        <w:rPr>
          <w:rFonts w:hint="eastAsia" w:ascii="黑体" w:hAnsi="黑体" w:eastAsia="黑体" w:cs="黑体"/>
          <w:color w:val="auto"/>
          <w:spacing w:val="1"/>
          <w:sz w:val="23"/>
          <w:szCs w:val="23"/>
          <w:u w:val="single" w:color="auto"/>
          <w:lang w:eastAsia="zh-CN"/>
        </w:rPr>
        <w:t>）</w:t>
      </w:r>
      <w:r>
        <w:rPr>
          <w:rFonts w:ascii="黑体" w:hAnsi="黑体" w:eastAsia="黑体" w:cs="黑体"/>
          <w:color w:val="auto"/>
          <w:sz w:val="23"/>
          <w:szCs w:val="23"/>
          <w:u w:val="single" w:color="auto"/>
        </w:rPr>
        <w:t xml:space="preserve"> </w:t>
      </w:r>
    </w:p>
    <w:p w14:paraId="32180389">
      <w:pPr>
        <w:tabs>
          <w:tab w:val="left" w:pos="3175"/>
        </w:tabs>
        <w:spacing w:line="229" w:lineRule="auto"/>
        <w:ind w:left="3030"/>
        <w:rPr>
          <w:rFonts w:ascii="黑体" w:hAnsi="黑体" w:eastAsia="黑体" w:cs="黑体"/>
          <w:color w:val="auto"/>
          <w:sz w:val="23"/>
          <w:szCs w:val="23"/>
        </w:rPr>
      </w:pPr>
      <w:r>
        <w:rPr>
          <w:rFonts w:ascii="黑体" w:hAnsi="黑体" w:eastAsia="黑体" w:cs="黑体"/>
          <w:color w:val="auto"/>
          <w:sz w:val="23"/>
          <w:szCs w:val="23"/>
          <w:u w:val="single" w:color="auto"/>
        </w:rPr>
        <w:tab/>
      </w:r>
      <w:r>
        <w:rPr>
          <w:rFonts w:hint="eastAsia" w:ascii="黑体" w:hAnsi="黑体" w:eastAsia="黑体" w:cs="黑体"/>
          <w:color w:val="auto"/>
          <w:sz w:val="23"/>
          <w:szCs w:val="23"/>
          <w:u w:val="single" w:color="auto"/>
          <w:lang w:eastAsia="zh-CN"/>
        </w:rPr>
        <w:t>（</w:t>
      </w:r>
      <w:r>
        <w:rPr>
          <w:rFonts w:ascii="黑体" w:hAnsi="黑体" w:eastAsia="黑体" w:cs="黑体"/>
          <w:color w:val="auto"/>
          <w:spacing w:val="7"/>
          <w:sz w:val="23"/>
          <w:szCs w:val="23"/>
          <w:u w:val="single" w:color="auto"/>
        </w:rPr>
        <w:t>合同工程名称</w:t>
      </w:r>
      <w:r>
        <w:rPr>
          <w:rFonts w:hint="eastAsia" w:ascii="黑体" w:hAnsi="黑体" w:eastAsia="黑体" w:cs="黑体"/>
          <w:color w:val="auto"/>
          <w:spacing w:val="7"/>
          <w:sz w:val="23"/>
          <w:szCs w:val="23"/>
          <w:u w:val="single" w:color="auto"/>
          <w:lang w:eastAsia="zh-CN"/>
        </w:rPr>
        <w:t>）</w:t>
      </w:r>
      <w:r>
        <w:rPr>
          <w:rFonts w:ascii="黑体" w:hAnsi="黑体" w:eastAsia="黑体" w:cs="黑体"/>
          <w:color w:val="auto"/>
          <w:spacing w:val="7"/>
          <w:sz w:val="23"/>
          <w:szCs w:val="23"/>
          <w:u w:val="single" w:color="auto"/>
        </w:rPr>
        <w:t xml:space="preserve"> 项目经理委任书</w:t>
      </w:r>
    </w:p>
    <w:p w14:paraId="5792BB49">
      <w:pPr>
        <w:spacing w:line="435" w:lineRule="auto"/>
        <w:rPr>
          <w:rFonts w:ascii="Arial"/>
          <w:color w:val="auto"/>
          <w:sz w:val="21"/>
        </w:rPr>
      </w:pPr>
    </w:p>
    <w:p w14:paraId="5121091F">
      <w:pPr>
        <w:spacing w:before="75" w:line="229" w:lineRule="auto"/>
        <w:ind w:left="8"/>
        <w:rPr>
          <w:rFonts w:ascii="宋体" w:hAnsi="宋体" w:eastAsia="宋体" w:cs="宋体"/>
          <w:color w:val="auto"/>
          <w:sz w:val="23"/>
          <w:szCs w:val="23"/>
        </w:rPr>
      </w:pPr>
      <w:r>
        <w:rPr>
          <w:rFonts w:ascii="宋体" w:hAnsi="宋体" w:eastAsia="宋体" w:cs="宋体"/>
          <w:color w:val="auto"/>
          <w:spacing w:val="7"/>
          <w:sz w:val="23"/>
          <w:szCs w:val="23"/>
        </w:rPr>
        <w:t>致：</w:t>
      </w:r>
      <w:r>
        <w:rPr>
          <w:rFonts w:ascii="宋体" w:hAnsi="宋体" w:eastAsia="宋体" w:cs="宋体"/>
          <w:color w:val="auto"/>
          <w:spacing w:val="7"/>
          <w:sz w:val="23"/>
          <w:szCs w:val="23"/>
          <w:u w:val="single" w:color="auto"/>
        </w:rPr>
        <w:t xml:space="preserve"> </w:t>
      </w:r>
      <w:r>
        <w:rPr>
          <w:rFonts w:hint="eastAsia" w:ascii="宋体" w:hAnsi="宋体" w:cs="宋体"/>
          <w:color w:val="auto"/>
          <w:spacing w:val="7"/>
          <w:sz w:val="23"/>
          <w:szCs w:val="23"/>
          <w:u w:val="single" w:color="auto"/>
          <w:lang w:eastAsia="zh-CN"/>
        </w:rPr>
        <w:t>（</w:t>
      </w:r>
      <w:r>
        <w:rPr>
          <w:rFonts w:ascii="宋体" w:hAnsi="宋体" w:eastAsia="宋体" w:cs="宋体"/>
          <w:color w:val="auto"/>
          <w:spacing w:val="7"/>
          <w:sz w:val="23"/>
          <w:szCs w:val="23"/>
          <w:u w:val="single" w:color="auto"/>
        </w:rPr>
        <w:t>发包人全称</w:t>
      </w:r>
      <w:r>
        <w:rPr>
          <w:rFonts w:hint="eastAsia" w:ascii="宋体" w:hAnsi="宋体" w:cs="宋体"/>
          <w:color w:val="auto"/>
          <w:spacing w:val="7"/>
          <w:sz w:val="23"/>
          <w:szCs w:val="23"/>
          <w:u w:val="single" w:color="auto"/>
          <w:lang w:eastAsia="zh-CN"/>
        </w:rPr>
        <w:t>）</w:t>
      </w:r>
    </w:p>
    <w:p w14:paraId="6A3C98C4">
      <w:pPr>
        <w:tabs>
          <w:tab w:val="left" w:pos="614"/>
        </w:tabs>
        <w:spacing w:before="115" w:line="328" w:lineRule="auto"/>
        <w:ind w:left="13" w:right="103" w:firstLine="464"/>
        <w:rPr>
          <w:rFonts w:ascii="宋体" w:hAnsi="宋体" w:eastAsia="宋体" w:cs="宋体"/>
          <w:color w:val="auto"/>
          <w:sz w:val="23"/>
          <w:szCs w:val="23"/>
        </w:rPr>
      </w:pPr>
      <w:r>
        <w:rPr>
          <w:rFonts w:ascii="宋体" w:hAnsi="宋体" w:eastAsia="宋体" w:cs="宋体"/>
          <w:color w:val="auto"/>
          <w:sz w:val="23"/>
          <w:szCs w:val="23"/>
          <w:u w:val="single" w:color="auto"/>
        </w:rPr>
        <w:tab/>
      </w:r>
      <w:r>
        <w:rPr>
          <w:rFonts w:hint="eastAsia" w:ascii="宋体" w:hAnsi="宋体" w:cs="宋体"/>
          <w:color w:val="auto"/>
          <w:sz w:val="23"/>
          <w:szCs w:val="23"/>
          <w:u w:val="single" w:color="auto"/>
          <w:lang w:eastAsia="zh-CN"/>
        </w:rPr>
        <w:t>（</w:t>
      </w:r>
      <w:r>
        <w:rPr>
          <w:rFonts w:ascii="宋体" w:hAnsi="宋体" w:eastAsia="宋体" w:cs="宋体"/>
          <w:color w:val="auto"/>
          <w:spacing w:val="12"/>
          <w:sz w:val="23"/>
          <w:szCs w:val="23"/>
          <w:u w:val="single" w:color="auto"/>
        </w:rPr>
        <w:t>承包人</w:t>
      </w:r>
      <w:r>
        <w:rPr>
          <w:rFonts w:ascii="宋体" w:hAnsi="宋体" w:eastAsia="宋体" w:cs="宋体"/>
          <w:color w:val="auto"/>
          <w:spacing w:val="7"/>
          <w:sz w:val="23"/>
          <w:szCs w:val="23"/>
          <w:u w:val="single" w:color="auto"/>
        </w:rPr>
        <w:t>全</w:t>
      </w:r>
      <w:r>
        <w:rPr>
          <w:rFonts w:ascii="宋体" w:hAnsi="宋体" w:eastAsia="宋体" w:cs="宋体"/>
          <w:color w:val="auto"/>
          <w:spacing w:val="6"/>
          <w:sz w:val="23"/>
          <w:szCs w:val="23"/>
          <w:u w:val="single" w:color="auto"/>
        </w:rPr>
        <w:t>称</w:t>
      </w:r>
      <w:r>
        <w:rPr>
          <w:rFonts w:hint="eastAsia" w:ascii="宋体" w:hAnsi="宋体" w:cs="宋体"/>
          <w:color w:val="auto"/>
          <w:spacing w:val="6"/>
          <w:sz w:val="23"/>
          <w:szCs w:val="23"/>
          <w:u w:val="single" w:color="auto"/>
          <w:lang w:eastAsia="zh-CN"/>
        </w:rPr>
        <w:t>）</w:t>
      </w:r>
      <w:r>
        <w:rPr>
          <w:rFonts w:ascii="宋体" w:hAnsi="宋体" w:eastAsia="宋体" w:cs="宋体"/>
          <w:color w:val="auto"/>
          <w:spacing w:val="6"/>
          <w:sz w:val="23"/>
          <w:szCs w:val="23"/>
          <w:u w:val="single" w:color="auto"/>
        </w:rPr>
        <w:t xml:space="preserve"> </w:t>
      </w:r>
      <w:r>
        <w:rPr>
          <w:rFonts w:ascii="宋体" w:hAnsi="宋体" w:eastAsia="宋体" w:cs="宋体"/>
          <w:color w:val="auto"/>
          <w:spacing w:val="6"/>
          <w:sz w:val="23"/>
          <w:szCs w:val="23"/>
        </w:rPr>
        <w:t xml:space="preserve"> 法定代表人</w:t>
      </w:r>
      <w:r>
        <w:rPr>
          <w:rFonts w:ascii="宋体" w:hAnsi="宋体" w:eastAsia="宋体" w:cs="宋体"/>
          <w:color w:val="auto"/>
          <w:spacing w:val="6"/>
          <w:sz w:val="23"/>
          <w:szCs w:val="23"/>
          <w:u w:val="single" w:color="auto"/>
        </w:rPr>
        <w:t xml:space="preserve">  </w:t>
      </w:r>
      <w:r>
        <w:rPr>
          <w:rFonts w:hint="eastAsia" w:ascii="宋体" w:hAnsi="宋体" w:cs="宋体"/>
          <w:color w:val="auto"/>
          <w:spacing w:val="6"/>
          <w:sz w:val="23"/>
          <w:szCs w:val="23"/>
          <w:u w:val="single" w:color="auto"/>
          <w:lang w:eastAsia="zh-CN"/>
        </w:rPr>
        <w:t>（</w:t>
      </w:r>
      <w:r>
        <w:rPr>
          <w:rFonts w:ascii="宋体" w:hAnsi="宋体" w:eastAsia="宋体" w:cs="宋体"/>
          <w:color w:val="auto"/>
          <w:spacing w:val="6"/>
          <w:sz w:val="23"/>
          <w:szCs w:val="23"/>
          <w:u w:val="single" w:color="auto"/>
        </w:rPr>
        <w:t>职务、姓名</w:t>
      </w:r>
      <w:r>
        <w:rPr>
          <w:rFonts w:hint="eastAsia" w:ascii="宋体" w:hAnsi="宋体" w:cs="宋体"/>
          <w:color w:val="auto"/>
          <w:spacing w:val="6"/>
          <w:sz w:val="23"/>
          <w:szCs w:val="23"/>
          <w:u w:val="single" w:color="auto"/>
          <w:lang w:eastAsia="zh-CN"/>
        </w:rPr>
        <w:t>）</w:t>
      </w:r>
      <w:r>
        <w:rPr>
          <w:rFonts w:ascii="宋体" w:hAnsi="宋体" w:eastAsia="宋体" w:cs="宋体"/>
          <w:color w:val="auto"/>
          <w:spacing w:val="6"/>
          <w:sz w:val="23"/>
          <w:szCs w:val="23"/>
          <w:u w:val="single" w:color="auto"/>
        </w:rPr>
        <w:t xml:space="preserve"> </w:t>
      </w:r>
      <w:r>
        <w:rPr>
          <w:rFonts w:ascii="宋体" w:hAnsi="宋体" w:eastAsia="宋体" w:cs="宋体"/>
          <w:color w:val="auto"/>
          <w:spacing w:val="6"/>
          <w:sz w:val="23"/>
          <w:szCs w:val="23"/>
        </w:rPr>
        <w:t xml:space="preserve"> 代表本单位委任 </w:t>
      </w:r>
      <w:r>
        <w:rPr>
          <w:rFonts w:ascii="宋体" w:hAnsi="宋体" w:eastAsia="宋体" w:cs="宋体"/>
          <w:color w:val="auto"/>
          <w:spacing w:val="6"/>
          <w:sz w:val="23"/>
          <w:szCs w:val="23"/>
          <w:u w:val="single" w:color="auto"/>
        </w:rPr>
        <w:t xml:space="preserve"> </w:t>
      </w:r>
      <w:r>
        <w:rPr>
          <w:rFonts w:hint="eastAsia" w:ascii="宋体" w:hAnsi="宋体" w:cs="宋体"/>
          <w:color w:val="auto"/>
          <w:spacing w:val="6"/>
          <w:sz w:val="23"/>
          <w:szCs w:val="23"/>
          <w:u w:val="single" w:color="auto"/>
          <w:lang w:eastAsia="zh-CN"/>
        </w:rPr>
        <w:t>（</w:t>
      </w:r>
      <w:r>
        <w:rPr>
          <w:rFonts w:ascii="宋体" w:hAnsi="宋体" w:eastAsia="宋体" w:cs="宋体"/>
          <w:color w:val="auto"/>
          <w:spacing w:val="6"/>
          <w:sz w:val="23"/>
          <w:szCs w:val="23"/>
          <w:u w:val="single" w:color="auto"/>
        </w:rPr>
        <w:t>职务、姓名</w:t>
      </w:r>
      <w:r>
        <w:rPr>
          <w:rFonts w:hint="eastAsia" w:ascii="宋体" w:hAnsi="宋体" w:cs="宋体"/>
          <w:color w:val="auto"/>
          <w:spacing w:val="6"/>
          <w:sz w:val="23"/>
          <w:szCs w:val="23"/>
          <w:u w:val="single" w:color="auto"/>
          <w:lang w:eastAsia="zh-CN"/>
        </w:rPr>
        <w:t>）</w:t>
      </w:r>
      <w:r>
        <w:rPr>
          <w:rFonts w:ascii="宋体" w:hAnsi="宋体" w:eastAsia="宋体" w:cs="宋体"/>
          <w:color w:val="auto"/>
          <w:spacing w:val="6"/>
          <w:sz w:val="23"/>
          <w:szCs w:val="23"/>
          <w:u w:val="single" w:color="auto"/>
        </w:rPr>
        <w:t xml:space="preserve"> </w:t>
      </w:r>
      <w:r>
        <w:rPr>
          <w:rFonts w:ascii="宋体" w:hAnsi="宋体" w:eastAsia="宋体" w:cs="宋体"/>
          <w:color w:val="auto"/>
          <w:spacing w:val="6"/>
          <w:sz w:val="23"/>
          <w:szCs w:val="23"/>
        </w:rPr>
        <w:t xml:space="preserve"> 为</w:t>
      </w:r>
      <w:r>
        <w:rPr>
          <w:rFonts w:ascii="宋体" w:hAnsi="宋体" w:eastAsia="宋体" w:cs="宋体"/>
          <w:color w:val="auto"/>
          <w:spacing w:val="6"/>
          <w:sz w:val="23"/>
          <w:szCs w:val="23"/>
          <w:u w:val="single" w:color="auto"/>
        </w:rPr>
        <w:t xml:space="preserve"> </w:t>
      </w:r>
      <w:r>
        <w:rPr>
          <w:rFonts w:hint="eastAsia" w:ascii="宋体" w:hAnsi="宋体" w:cs="宋体"/>
          <w:color w:val="auto"/>
          <w:spacing w:val="6"/>
          <w:sz w:val="23"/>
          <w:szCs w:val="23"/>
          <w:u w:val="single" w:color="auto"/>
          <w:lang w:eastAsia="zh-CN"/>
        </w:rPr>
        <w:t>（</w:t>
      </w:r>
      <w:r>
        <w:rPr>
          <w:rFonts w:ascii="宋体" w:hAnsi="宋体" w:eastAsia="宋体" w:cs="宋体"/>
          <w:color w:val="auto"/>
          <w:spacing w:val="6"/>
          <w:sz w:val="23"/>
          <w:szCs w:val="23"/>
          <w:u w:val="single" w:color="auto"/>
        </w:rPr>
        <w:t>合</w:t>
      </w:r>
      <w:r>
        <w:rPr>
          <w:rFonts w:ascii="宋体" w:hAnsi="宋体" w:eastAsia="宋体" w:cs="宋体"/>
          <w:color w:val="auto"/>
          <w:sz w:val="23"/>
          <w:szCs w:val="23"/>
        </w:rPr>
        <w:t xml:space="preserve"> </w:t>
      </w:r>
      <w:r>
        <w:rPr>
          <w:rFonts w:ascii="宋体" w:hAnsi="宋体" w:eastAsia="宋体" w:cs="宋体"/>
          <w:color w:val="auto"/>
          <w:spacing w:val="11"/>
          <w:sz w:val="23"/>
          <w:szCs w:val="23"/>
          <w:u w:val="single" w:color="auto"/>
        </w:rPr>
        <w:t>同工程名称</w:t>
      </w:r>
      <w:r>
        <w:rPr>
          <w:rFonts w:hint="eastAsia" w:ascii="宋体" w:hAnsi="宋体" w:cs="宋体"/>
          <w:color w:val="auto"/>
          <w:spacing w:val="11"/>
          <w:sz w:val="23"/>
          <w:szCs w:val="23"/>
          <w:u w:val="single" w:color="auto"/>
          <w:lang w:eastAsia="zh-CN"/>
        </w:rPr>
        <w:t>）</w:t>
      </w:r>
      <w:r>
        <w:rPr>
          <w:rFonts w:ascii="宋体" w:hAnsi="宋体" w:eastAsia="宋体" w:cs="宋体"/>
          <w:color w:val="auto"/>
          <w:spacing w:val="11"/>
          <w:sz w:val="23"/>
          <w:szCs w:val="23"/>
          <w:u w:val="single" w:color="auto"/>
        </w:rPr>
        <w:t xml:space="preserve"> </w:t>
      </w:r>
      <w:r>
        <w:rPr>
          <w:rFonts w:ascii="宋体" w:hAnsi="宋体" w:eastAsia="宋体" w:cs="宋体"/>
          <w:color w:val="auto"/>
          <w:spacing w:val="11"/>
          <w:sz w:val="23"/>
          <w:szCs w:val="23"/>
        </w:rPr>
        <w:t>的项目经理。凡本合同执行中的有关技术、工程进度、现场管理、质量检验</w:t>
      </w:r>
      <w:r>
        <w:rPr>
          <w:rFonts w:ascii="宋体" w:hAnsi="宋体" w:eastAsia="宋体" w:cs="宋体"/>
          <w:color w:val="auto"/>
          <w:spacing w:val="7"/>
          <w:sz w:val="23"/>
          <w:szCs w:val="23"/>
        </w:rPr>
        <w:t>、</w:t>
      </w:r>
      <w:r>
        <w:rPr>
          <w:rFonts w:ascii="宋体" w:hAnsi="宋体" w:eastAsia="宋体" w:cs="宋体"/>
          <w:color w:val="auto"/>
          <w:sz w:val="23"/>
          <w:szCs w:val="23"/>
        </w:rPr>
        <w:t xml:space="preserve"> </w:t>
      </w:r>
      <w:r>
        <w:rPr>
          <w:rFonts w:ascii="宋体" w:hAnsi="宋体" w:eastAsia="宋体" w:cs="宋体"/>
          <w:color w:val="auto"/>
          <w:spacing w:val="8"/>
          <w:sz w:val="23"/>
          <w:szCs w:val="23"/>
        </w:rPr>
        <w:t>结</w:t>
      </w:r>
      <w:r>
        <w:rPr>
          <w:rFonts w:ascii="宋体" w:hAnsi="宋体" w:eastAsia="宋体" w:cs="宋体"/>
          <w:color w:val="auto"/>
          <w:spacing w:val="5"/>
          <w:sz w:val="23"/>
          <w:szCs w:val="23"/>
        </w:rPr>
        <w:t>算</w:t>
      </w:r>
      <w:r>
        <w:rPr>
          <w:rFonts w:ascii="宋体" w:hAnsi="宋体" w:eastAsia="宋体" w:cs="宋体"/>
          <w:color w:val="auto"/>
          <w:spacing w:val="4"/>
          <w:sz w:val="23"/>
          <w:szCs w:val="23"/>
        </w:rPr>
        <w:t>与支付等方面工作，由</w:t>
      </w:r>
      <w:r>
        <w:rPr>
          <w:rFonts w:ascii="宋体" w:hAnsi="宋体" w:eastAsia="宋体" w:cs="宋体"/>
          <w:color w:val="auto"/>
          <w:spacing w:val="4"/>
          <w:sz w:val="23"/>
          <w:szCs w:val="23"/>
          <w:u w:val="single" w:color="auto"/>
        </w:rPr>
        <w:t xml:space="preserve">  </w:t>
      </w:r>
      <w:r>
        <w:rPr>
          <w:rFonts w:hint="eastAsia" w:ascii="宋体" w:hAnsi="宋体" w:cs="宋体"/>
          <w:color w:val="auto"/>
          <w:spacing w:val="4"/>
          <w:sz w:val="23"/>
          <w:szCs w:val="23"/>
          <w:u w:val="single" w:color="auto"/>
          <w:lang w:eastAsia="zh-CN"/>
        </w:rPr>
        <w:t>（</w:t>
      </w:r>
      <w:r>
        <w:rPr>
          <w:rFonts w:ascii="宋体" w:hAnsi="宋体" w:eastAsia="宋体" w:cs="宋体"/>
          <w:color w:val="auto"/>
          <w:spacing w:val="4"/>
          <w:sz w:val="23"/>
          <w:szCs w:val="23"/>
          <w:u w:val="single" w:color="auto"/>
        </w:rPr>
        <w:t>姓名</w:t>
      </w:r>
      <w:r>
        <w:rPr>
          <w:rFonts w:hint="eastAsia" w:ascii="宋体" w:hAnsi="宋体" w:cs="宋体"/>
          <w:color w:val="auto"/>
          <w:spacing w:val="4"/>
          <w:sz w:val="23"/>
          <w:szCs w:val="23"/>
          <w:u w:val="single" w:color="auto"/>
          <w:lang w:eastAsia="zh-CN"/>
        </w:rPr>
        <w:t>）</w:t>
      </w:r>
      <w:r>
        <w:rPr>
          <w:rFonts w:ascii="宋体" w:hAnsi="宋体" w:eastAsia="宋体" w:cs="宋体"/>
          <w:color w:val="auto"/>
          <w:spacing w:val="4"/>
          <w:sz w:val="23"/>
          <w:szCs w:val="23"/>
          <w:u w:val="single" w:color="auto"/>
        </w:rPr>
        <w:t xml:space="preserve">  </w:t>
      </w:r>
      <w:r>
        <w:rPr>
          <w:rFonts w:ascii="宋体" w:hAnsi="宋体" w:eastAsia="宋体" w:cs="宋体"/>
          <w:color w:val="auto"/>
          <w:spacing w:val="4"/>
          <w:sz w:val="23"/>
          <w:szCs w:val="23"/>
        </w:rPr>
        <w:t xml:space="preserve"> 代表本单位全面负责。</w:t>
      </w:r>
    </w:p>
    <w:p w14:paraId="0FA43E1E">
      <w:pPr>
        <w:spacing w:line="273" w:lineRule="auto"/>
        <w:rPr>
          <w:rFonts w:ascii="Arial"/>
          <w:color w:val="auto"/>
          <w:sz w:val="21"/>
        </w:rPr>
      </w:pPr>
    </w:p>
    <w:p w14:paraId="41B306AE">
      <w:pPr>
        <w:spacing w:line="273" w:lineRule="auto"/>
        <w:rPr>
          <w:rFonts w:ascii="Arial"/>
          <w:color w:val="auto"/>
          <w:sz w:val="21"/>
        </w:rPr>
      </w:pPr>
    </w:p>
    <w:p w14:paraId="4109A704">
      <w:pPr>
        <w:spacing w:line="274" w:lineRule="auto"/>
        <w:rPr>
          <w:rFonts w:ascii="Arial"/>
          <w:color w:val="auto"/>
          <w:sz w:val="21"/>
        </w:rPr>
      </w:pPr>
    </w:p>
    <w:p w14:paraId="67773E8B">
      <w:pPr>
        <w:spacing w:line="274" w:lineRule="auto"/>
        <w:rPr>
          <w:rFonts w:ascii="Arial"/>
          <w:color w:val="auto"/>
          <w:sz w:val="21"/>
        </w:rPr>
      </w:pPr>
    </w:p>
    <w:p w14:paraId="737DD36D">
      <w:pPr>
        <w:spacing w:before="74" w:line="254" w:lineRule="auto"/>
        <w:ind w:left="6910" w:right="124" w:hanging="1080"/>
        <w:rPr>
          <w:rFonts w:ascii="宋体" w:hAnsi="宋体" w:eastAsia="宋体" w:cs="宋体"/>
          <w:color w:val="auto"/>
          <w:sz w:val="23"/>
          <w:szCs w:val="23"/>
        </w:rPr>
      </w:pPr>
      <w:r>
        <w:rPr>
          <w:rFonts w:ascii="宋体" w:hAnsi="宋体" w:eastAsia="宋体" w:cs="宋体"/>
          <w:color w:val="auto"/>
          <w:spacing w:val="-5"/>
          <w:sz w:val="23"/>
          <w:szCs w:val="23"/>
        </w:rPr>
        <w:t>承</w:t>
      </w:r>
      <w:r>
        <w:rPr>
          <w:rFonts w:ascii="宋体" w:hAnsi="宋体" w:eastAsia="宋体" w:cs="宋体"/>
          <w:color w:val="auto"/>
          <w:spacing w:val="-4"/>
          <w:sz w:val="23"/>
          <w:szCs w:val="23"/>
        </w:rPr>
        <w:t>包人：</w:t>
      </w:r>
      <w:r>
        <w:rPr>
          <w:rFonts w:ascii="宋体" w:hAnsi="宋体" w:eastAsia="宋体" w:cs="宋体"/>
          <w:color w:val="auto"/>
          <w:spacing w:val="-4"/>
          <w:sz w:val="23"/>
          <w:szCs w:val="23"/>
          <w:u w:val="single" w:color="auto"/>
        </w:rPr>
        <w:t xml:space="preserve">               </w:t>
      </w:r>
      <w:r>
        <w:rPr>
          <w:rFonts w:hint="eastAsia" w:ascii="宋体" w:hAnsi="宋体" w:cs="宋体"/>
          <w:color w:val="auto"/>
          <w:spacing w:val="-4"/>
          <w:sz w:val="23"/>
          <w:szCs w:val="23"/>
          <w:u w:val="single" w:color="auto"/>
          <w:lang w:eastAsia="zh-CN"/>
        </w:rPr>
        <w:t>（</w:t>
      </w:r>
      <w:r>
        <w:rPr>
          <w:rFonts w:ascii="宋体" w:hAnsi="宋体" w:eastAsia="宋体" w:cs="宋体"/>
          <w:color w:val="auto"/>
          <w:spacing w:val="-4"/>
          <w:sz w:val="23"/>
          <w:szCs w:val="23"/>
        </w:rPr>
        <w:t>盖单位章</w:t>
      </w:r>
      <w:r>
        <w:rPr>
          <w:rFonts w:hint="eastAsia" w:ascii="宋体" w:hAnsi="宋体" w:cs="宋体"/>
          <w:color w:val="auto"/>
          <w:spacing w:val="-4"/>
          <w:sz w:val="23"/>
          <w:szCs w:val="23"/>
          <w:lang w:eastAsia="zh-CN"/>
        </w:rPr>
        <w:t>）</w:t>
      </w:r>
      <w:r>
        <w:rPr>
          <w:rFonts w:ascii="宋体" w:hAnsi="宋体" w:eastAsia="宋体" w:cs="宋体"/>
          <w:color w:val="auto"/>
          <w:sz w:val="23"/>
          <w:szCs w:val="23"/>
        </w:rPr>
        <w:t xml:space="preserve"> </w:t>
      </w:r>
      <w:r>
        <w:rPr>
          <w:rFonts w:ascii="宋体" w:hAnsi="宋体" w:eastAsia="宋体" w:cs="宋体"/>
          <w:color w:val="auto"/>
          <w:spacing w:val="-2"/>
          <w:sz w:val="23"/>
          <w:szCs w:val="23"/>
        </w:rPr>
        <w:t xml:space="preserve">法定代表人：    </w:t>
      </w:r>
      <w:r>
        <w:rPr>
          <w:rFonts w:hint="eastAsia" w:ascii="宋体" w:hAnsi="宋体" w:cs="宋体"/>
          <w:color w:val="auto"/>
          <w:spacing w:val="-2"/>
          <w:sz w:val="23"/>
          <w:szCs w:val="23"/>
          <w:lang w:eastAsia="zh-CN"/>
        </w:rPr>
        <w:t>（</w:t>
      </w:r>
      <w:r>
        <w:rPr>
          <w:rFonts w:ascii="宋体" w:hAnsi="宋体" w:eastAsia="宋体" w:cs="宋体"/>
          <w:color w:val="auto"/>
          <w:spacing w:val="-2"/>
          <w:sz w:val="23"/>
          <w:szCs w:val="23"/>
        </w:rPr>
        <w:t>职务</w:t>
      </w:r>
      <w:r>
        <w:rPr>
          <w:rFonts w:hint="eastAsia" w:ascii="宋体" w:hAnsi="宋体" w:cs="宋体"/>
          <w:color w:val="auto"/>
          <w:spacing w:val="-2"/>
          <w:sz w:val="23"/>
          <w:szCs w:val="23"/>
          <w:lang w:eastAsia="zh-CN"/>
        </w:rPr>
        <w:t>）</w:t>
      </w:r>
    </w:p>
    <w:tbl>
      <w:tblPr>
        <w:tblStyle w:val="8"/>
        <w:tblW w:w="1320" w:type="dxa"/>
        <w:tblInd w:w="834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320"/>
      </w:tblGrid>
      <w:tr w14:paraId="64BF0637">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95" w:hRule="atLeast"/>
        </w:trPr>
        <w:tc>
          <w:tcPr>
            <w:tcW w:w="1320" w:type="dxa"/>
            <w:tcBorders>
              <w:top w:val="single" w:color="000000" w:sz="2" w:space="0"/>
              <w:bottom w:val="single" w:color="000000" w:sz="2" w:space="0"/>
            </w:tcBorders>
            <w:vAlign w:val="top"/>
          </w:tcPr>
          <w:p w14:paraId="67BE7845">
            <w:pPr>
              <w:spacing w:before="160" w:line="188" w:lineRule="auto"/>
              <w:ind w:left="261"/>
              <w:rPr>
                <w:rFonts w:ascii="宋体" w:hAnsi="宋体" w:eastAsia="宋体" w:cs="宋体"/>
                <w:color w:val="auto"/>
                <w:sz w:val="23"/>
                <w:szCs w:val="23"/>
              </w:rPr>
            </w:pPr>
            <w:r>
              <w:rPr>
                <w:rFonts w:hint="eastAsia" w:ascii="宋体" w:hAnsi="宋体" w:cs="宋体"/>
                <w:color w:val="auto"/>
                <w:spacing w:val="31"/>
                <w:sz w:val="23"/>
                <w:szCs w:val="23"/>
                <w:lang w:eastAsia="zh-CN"/>
              </w:rPr>
              <w:t>（</w:t>
            </w:r>
            <w:r>
              <w:rPr>
                <w:rFonts w:ascii="宋体" w:hAnsi="宋体" w:eastAsia="宋体" w:cs="宋体"/>
                <w:color w:val="auto"/>
                <w:spacing w:val="31"/>
                <w:sz w:val="23"/>
                <w:szCs w:val="23"/>
              </w:rPr>
              <w:t>姓名</w:t>
            </w:r>
            <w:r>
              <w:rPr>
                <w:rFonts w:hint="eastAsia" w:ascii="宋体" w:hAnsi="宋体" w:cs="宋体"/>
                <w:color w:val="auto"/>
                <w:spacing w:val="31"/>
                <w:sz w:val="23"/>
                <w:szCs w:val="23"/>
                <w:lang w:eastAsia="zh-CN"/>
              </w:rPr>
              <w:t>）</w:t>
            </w:r>
          </w:p>
        </w:tc>
      </w:tr>
      <w:tr w14:paraId="38EADE13">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98" w:hRule="atLeast"/>
        </w:trPr>
        <w:tc>
          <w:tcPr>
            <w:tcW w:w="1320" w:type="dxa"/>
            <w:tcBorders>
              <w:top w:val="single" w:color="000000" w:sz="2" w:space="0"/>
              <w:bottom w:val="single" w:color="000000" w:sz="2" w:space="0"/>
            </w:tcBorders>
            <w:vAlign w:val="top"/>
          </w:tcPr>
          <w:p w14:paraId="02A3CC37">
            <w:pPr>
              <w:spacing w:before="161" w:line="190" w:lineRule="auto"/>
              <w:ind w:left="261"/>
              <w:rPr>
                <w:rFonts w:ascii="宋体" w:hAnsi="宋体" w:eastAsia="宋体" w:cs="宋体"/>
                <w:color w:val="auto"/>
                <w:sz w:val="23"/>
                <w:szCs w:val="23"/>
              </w:rPr>
            </w:pPr>
            <w:r>
              <w:rPr>
                <w:rFonts w:hint="eastAsia" w:ascii="宋体" w:hAnsi="宋体" w:cs="宋体"/>
                <w:color w:val="auto"/>
                <w:spacing w:val="31"/>
                <w:sz w:val="23"/>
                <w:szCs w:val="23"/>
                <w:lang w:eastAsia="zh-CN"/>
              </w:rPr>
              <w:t>（</w:t>
            </w:r>
            <w:r>
              <w:rPr>
                <w:rFonts w:ascii="宋体" w:hAnsi="宋体" w:eastAsia="宋体" w:cs="宋体"/>
                <w:color w:val="auto"/>
                <w:spacing w:val="31"/>
                <w:sz w:val="23"/>
                <w:szCs w:val="23"/>
              </w:rPr>
              <w:t>签字</w:t>
            </w:r>
            <w:r>
              <w:rPr>
                <w:rFonts w:hint="eastAsia" w:ascii="宋体" w:hAnsi="宋体" w:cs="宋体"/>
                <w:color w:val="auto"/>
                <w:spacing w:val="31"/>
                <w:sz w:val="23"/>
                <w:szCs w:val="23"/>
                <w:lang w:eastAsia="zh-CN"/>
              </w:rPr>
              <w:t>）</w:t>
            </w:r>
          </w:p>
        </w:tc>
      </w:tr>
    </w:tbl>
    <w:p w14:paraId="5656E648">
      <w:pPr>
        <w:spacing w:before="2" w:line="399" w:lineRule="auto"/>
        <w:ind w:left="6" w:right="106" w:firstLine="445"/>
        <w:rPr>
          <w:rFonts w:ascii="宋体" w:hAnsi="宋体" w:eastAsia="宋体" w:cs="宋体"/>
          <w:color w:val="auto"/>
          <w:sz w:val="22"/>
          <w:szCs w:val="22"/>
        </w:rPr>
      </w:pPr>
    </w:p>
    <w:p w14:paraId="29935A41">
      <w:pPr>
        <w:tabs>
          <w:tab w:val="left" w:pos="7750"/>
        </w:tabs>
        <w:spacing w:before="75" w:line="228" w:lineRule="auto"/>
        <w:ind w:left="7140"/>
        <w:rPr>
          <w:rFonts w:ascii="Arial"/>
          <w:color w:val="auto"/>
          <w:sz w:val="21"/>
        </w:rPr>
      </w:pPr>
      <w:r>
        <w:rPr>
          <w:rFonts w:ascii="宋体" w:hAnsi="宋体" w:eastAsia="宋体" w:cs="宋体"/>
          <w:color w:val="auto"/>
          <w:sz w:val="23"/>
          <w:szCs w:val="23"/>
          <w:u w:val="single" w:color="auto"/>
        </w:rPr>
        <w:tab/>
      </w:r>
      <w:r>
        <w:rPr>
          <w:rFonts w:ascii="宋体" w:hAnsi="宋体" w:eastAsia="宋体" w:cs="宋体"/>
          <w:color w:val="auto"/>
          <w:spacing w:val="-1"/>
          <w:sz w:val="23"/>
          <w:szCs w:val="23"/>
        </w:rPr>
        <w:t>年</w:t>
      </w:r>
      <w:r>
        <w:rPr>
          <w:rFonts w:ascii="宋体" w:hAnsi="宋体" w:eastAsia="宋体" w:cs="宋体"/>
          <w:color w:val="auto"/>
          <w:spacing w:val="-1"/>
          <w:sz w:val="23"/>
          <w:szCs w:val="23"/>
          <w:u w:val="single" w:color="auto"/>
        </w:rPr>
        <w:t xml:space="preserve">    </w:t>
      </w:r>
      <w:r>
        <w:rPr>
          <w:rFonts w:ascii="宋体" w:hAnsi="宋体" w:eastAsia="宋体" w:cs="宋体"/>
          <w:color w:val="auto"/>
          <w:sz w:val="23"/>
          <w:szCs w:val="23"/>
        </w:rPr>
        <w:t xml:space="preserve"> 月</w:t>
      </w:r>
      <w:r>
        <w:rPr>
          <w:rFonts w:ascii="宋体" w:hAnsi="宋体" w:eastAsia="宋体" w:cs="宋体"/>
          <w:color w:val="auto"/>
          <w:sz w:val="23"/>
          <w:szCs w:val="23"/>
          <w:u w:val="single" w:color="auto"/>
        </w:rPr>
        <w:t xml:space="preserve">   </w:t>
      </w:r>
      <w:r>
        <w:rPr>
          <w:rFonts w:ascii="宋体" w:hAnsi="宋体" w:eastAsia="宋体" w:cs="宋体"/>
          <w:color w:val="auto"/>
          <w:sz w:val="23"/>
          <w:szCs w:val="23"/>
        </w:rPr>
        <w:t>日</w:t>
      </w:r>
    </w:p>
    <w:p w14:paraId="5FA28502">
      <w:pPr>
        <w:spacing w:before="75" w:line="230" w:lineRule="auto"/>
        <w:ind w:left="9"/>
        <w:rPr>
          <w:rFonts w:ascii="宋体" w:hAnsi="宋体" w:eastAsia="宋体" w:cs="宋体"/>
          <w:color w:val="auto"/>
          <w:sz w:val="23"/>
          <w:szCs w:val="23"/>
        </w:rPr>
      </w:pPr>
      <w:r>
        <w:rPr>
          <w:rFonts w:ascii="宋体" w:hAnsi="宋体" w:eastAsia="宋体" w:cs="宋体"/>
          <w:color w:val="auto"/>
          <w:spacing w:val="8"/>
          <w:sz w:val="23"/>
          <w:szCs w:val="23"/>
        </w:rPr>
        <w:t>抄</w:t>
      </w:r>
      <w:r>
        <w:rPr>
          <w:rFonts w:ascii="宋体" w:hAnsi="宋体" w:eastAsia="宋体" w:cs="宋体"/>
          <w:color w:val="auto"/>
          <w:spacing w:val="5"/>
          <w:sz w:val="23"/>
          <w:szCs w:val="23"/>
        </w:rPr>
        <w:t>送：</w:t>
      </w:r>
      <w:r>
        <w:rPr>
          <w:rFonts w:ascii="宋体" w:hAnsi="宋体" w:eastAsia="宋体" w:cs="宋体"/>
          <w:color w:val="auto"/>
          <w:spacing w:val="5"/>
          <w:sz w:val="23"/>
          <w:szCs w:val="23"/>
          <w:u w:val="single" w:color="auto"/>
        </w:rPr>
        <w:t xml:space="preserve">   </w:t>
      </w:r>
      <w:r>
        <w:rPr>
          <w:rFonts w:hint="eastAsia" w:ascii="宋体" w:hAnsi="宋体" w:cs="宋体"/>
          <w:color w:val="auto"/>
          <w:spacing w:val="5"/>
          <w:sz w:val="23"/>
          <w:szCs w:val="23"/>
          <w:u w:val="single" w:color="auto"/>
          <w:lang w:eastAsia="zh-CN"/>
        </w:rPr>
        <w:t>（</w:t>
      </w:r>
      <w:r>
        <w:rPr>
          <w:rFonts w:ascii="宋体" w:hAnsi="宋体" w:eastAsia="宋体" w:cs="宋体"/>
          <w:color w:val="auto"/>
          <w:spacing w:val="5"/>
          <w:sz w:val="23"/>
          <w:szCs w:val="23"/>
          <w:u w:val="single" w:color="auto"/>
        </w:rPr>
        <w:t>监理人</w:t>
      </w:r>
      <w:r>
        <w:rPr>
          <w:rFonts w:hint="eastAsia" w:ascii="宋体" w:hAnsi="宋体" w:cs="宋体"/>
          <w:color w:val="auto"/>
          <w:spacing w:val="5"/>
          <w:sz w:val="23"/>
          <w:szCs w:val="23"/>
          <w:u w:val="single" w:color="auto"/>
          <w:lang w:eastAsia="zh-CN"/>
        </w:rPr>
        <w:t>）</w:t>
      </w:r>
      <w:r>
        <w:rPr>
          <w:rFonts w:ascii="宋体" w:hAnsi="宋体" w:eastAsia="宋体" w:cs="宋体"/>
          <w:color w:val="auto"/>
          <w:sz w:val="23"/>
          <w:szCs w:val="23"/>
          <w:u w:val="single" w:color="auto"/>
        </w:rPr>
        <w:t xml:space="preserve"> </w:t>
      </w:r>
    </w:p>
    <w:p w14:paraId="238E8373">
      <w:pPr>
        <w:spacing w:line="220" w:lineRule="auto"/>
        <w:rPr>
          <w:rFonts w:ascii="宋体" w:hAnsi="宋体" w:eastAsia="宋体" w:cs="宋体"/>
          <w:sz w:val="24"/>
          <w:szCs w:val="24"/>
        </w:rPr>
      </w:pPr>
    </w:p>
    <w:p w14:paraId="4F1FB06A">
      <w:pPr>
        <w:spacing w:line="220" w:lineRule="auto"/>
        <w:rPr>
          <w:rFonts w:ascii="宋体" w:hAnsi="宋体" w:eastAsia="宋体" w:cs="宋体"/>
          <w:sz w:val="24"/>
          <w:szCs w:val="24"/>
        </w:rPr>
        <w:sectPr>
          <w:footerReference r:id="rId122" w:type="default"/>
          <w:pgSz w:w="11905" w:h="16840"/>
          <w:pgMar w:top="1182" w:right="1416" w:bottom="1171" w:left="1416" w:header="849" w:footer="937" w:gutter="0"/>
          <w:pgNumType w:fmt="decimal"/>
          <w:cols w:space="720" w:num="1"/>
        </w:sectPr>
      </w:pPr>
    </w:p>
    <w:p w14:paraId="6AFF5FB7">
      <w:pPr>
        <w:spacing w:before="91" w:line="219" w:lineRule="auto"/>
        <w:ind w:left="28"/>
        <w:rPr>
          <w:rFonts w:ascii="宋体" w:hAnsi="宋体" w:eastAsia="宋体" w:cs="宋体"/>
          <w:b/>
          <w:bCs/>
          <w:spacing w:val="-6"/>
          <w:sz w:val="28"/>
          <w:szCs w:val="28"/>
        </w:rPr>
      </w:pPr>
      <w:r>
        <w:rPr>
          <w:rFonts w:ascii="宋体" w:hAnsi="宋体" w:eastAsia="宋体" w:cs="宋体"/>
          <w:b/>
          <w:bCs/>
          <w:spacing w:val="-6"/>
          <w:sz w:val="28"/>
          <w:szCs w:val="28"/>
        </w:rPr>
        <w:t>附件七   履约保证金格式</w:t>
      </w:r>
    </w:p>
    <w:p w14:paraId="63FC097F">
      <w:pPr>
        <w:spacing w:before="326" w:line="222" w:lineRule="auto"/>
        <w:ind w:left="4142"/>
        <w:rPr>
          <w:rFonts w:ascii="黑体" w:hAnsi="黑体" w:eastAsia="黑体" w:cs="黑体"/>
          <w:color w:val="auto"/>
          <w:sz w:val="28"/>
          <w:szCs w:val="28"/>
        </w:rPr>
      </w:pPr>
      <w:r>
        <w:rPr>
          <w:rFonts w:ascii="黑体" w:hAnsi="黑体" w:eastAsia="黑体" w:cs="黑体"/>
          <w:color w:val="auto"/>
          <w:spacing w:val="-2"/>
          <w:sz w:val="28"/>
          <w:szCs w:val="28"/>
          <w14:textOutline w14:w="5103" w14:cap="sq" w14:cmpd="sng">
            <w14:solidFill>
              <w14:srgbClr w14:val="000000"/>
            </w14:solidFill>
            <w14:prstDash w14:val="solid"/>
            <w14:bevel/>
          </w14:textOutline>
        </w:rPr>
        <w:t>履</w:t>
      </w:r>
      <w:r>
        <w:rPr>
          <w:rFonts w:ascii="黑体" w:hAnsi="黑体" w:eastAsia="黑体" w:cs="黑体"/>
          <w:color w:val="auto"/>
          <w:spacing w:val="-1"/>
          <w:sz w:val="28"/>
          <w:szCs w:val="28"/>
          <w14:textOutline w14:w="5103" w14:cap="sq" w14:cmpd="sng">
            <w14:solidFill>
              <w14:srgbClr w14:val="000000"/>
            </w14:solidFill>
            <w14:prstDash w14:val="solid"/>
            <w14:bevel/>
          </w14:textOutline>
        </w:rPr>
        <w:t>约保证金</w:t>
      </w:r>
    </w:p>
    <w:p w14:paraId="41434125">
      <w:pPr>
        <w:tabs>
          <w:tab w:val="left" w:pos="1580"/>
        </w:tabs>
        <w:spacing w:before="151" w:line="229" w:lineRule="auto"/>
        <w:ind w:left="3"/>
        <w:rPr>
          <w:rFonts w:ascii="宋体" w:hAnsi="宋体" w:eastAsia="宋体" w:cs="宋体"/>
          <w:color w:val="auto"/>
          <w:sz w:val="23"/>
          <w:szCs w:val="23"/>
        </w:rPr>
      </w:pPr>
      <w:r>
        <w:rPr>
          <w:rFonts w:ascii="宋体" w:hAnsi="宋体" w:eastAsia="宋体" w:cs="宋体"/>
          <w:color w:val="auto"/>
          <w:sz w:val="23"/>
          <w:szCs w:val="23"/>
          <w:u w:val="single" w:color="auto"/>
        </w:rPr>
        <w:tab/>
      </w:r>
      <w:r>
        <w:rPr>
          <w:rFonts w:hint="eastAsia" w:ascii="宋体" w:hAnsi="宋体" w:cs="宋体"/>
          <w:color w:val="auto"/>
          <w:sz w:val="23"/>
          <w:szCs w:val="23"/>
          <w:u w:val="single" w:color="auto"/>
          <w:lang w:eastAsia="zh-CN"/>
        </w:rPr>
        <w:t>（</w:t>
      </w:r>
      <w:r>
        <w:rPr>
          <w:rFonts w:ascii="宋体" w:hAnsi="宋体" w:eastAsia="宋体" w:cs="宋体"/>
          <w:color w:val="auto"/>
          <w:spacing w:val="5"/>
          <w:sz w:val="23"/>
          <w:szCs w:val="23"/>
        </w:rPr>
        <w:t>发包人名称</w:t>
      </w:r>
      <w:r>
        <w:rPr>
          <w:rFonts w:hint="eastAsia" w:ascii="宋体" w:hAnsi="宋体" w:cs="宋体"/>
          <w:color w:val="auto"/>
          <w:spacing w:val="5"/>
          <w:sz w:val="23"/>
          <w:szCs w:val="23"/>
          <w:lang w:eastAsia="zh-CN"/>
        </w:rPr>
        <w:t>）</w:t>
      </w:r>
      <w:r>
        <w:rPr>
          <w:rFonts w:ascii="宋体" w:hAnsi="宋体" w:eastAsia="宋体" w:cs="宋体"/>
          <w:color w:val="auto"/>
          <w:spacing w:val="5"/>
          <w:sz w:val="23"/>
          <w:szCs w:val="23"/>
        </w:rPr>
        <w:t xml:space="preserve"> ：</w:t>
      </w:r>
    </w:p>
    <w:p w14:paraId="7B330FE7">
      <w:pPr>
        <w:spacing w:line="339" w:lineRule="auto"/>
        <w:rPr>
          <w:rFonts w:ascii="Arial"/>
          <w:color w:val="auto"/>
          <w:sz w:val="21"/>
        </w:rPr>
      </w:pPr>
    </w:p>
    <w:p w14:paraId="1F9F476A">
      <w:pPr>
        <w:spacing w:before="74" w:line="321" w:lineRule="auto"/>
        <w:ind w:right="85" w:firstLine="496"/>
        <w:rPr>
          <w:rFonts w:ascii="宋体" w:hAnsi="宋体" w:eastAsia="宋体" w:cs="宋体"/>
          <w:color w:val="auto"/>
          <w:sz w:val="23"/>
          <w:szCs w:val="23"/>
        </w:rPr>
      </w:pPr>
      <w:r>
        <w:rPr>
          <w:rFonts w:ascii="宋体" w:hAnsi="宋体" w:eastAsia="宋体" w:cs="宋体"/>
          <w:color w:val="auto"/>
          <w:spacing w:val="16"/>
          <w:sz w:val="23"/>
          <w:szCs w:val="23"/>
        </w:rPr>
        <w:t>鉴</w:t>
      </w:r>
      <w:r>
        <w:rPr>
          <w:rFonts w:ascii="宋体" w:hAnsi="宋体" w:eastAsia="宋体" w:cs="宋体"/>
          <w:color w:val="auto"/>
          <w:spacing w:val="9"/>
          <w:sz w:val="23"/>
          <w:szCs w:val="23"/>
        </w:rPr>
        <w:t>于</w:t>
      </w:r>
      <w:r>
        <w:rPr>
          <w:rFonts w:ascii="宋体" w:hAnsi="宋体" w:eastAsia="宋体" w:cs="宋体"/>
          <w:color w:val="auto"/>
          <w:spacing w:val="9"/>
          <w:sz w:val="23"/>
          <w:szCs w:val="23"/>
          <w:u w:val="single" w:color="auto"/>
        </w:rPr>
        <w:t xml:space="preserve">       </w:t>
      </w:r>
      <w:r>
        <w:rPr>
          <w:rFonts w:hint="eastAsia" w:ascii="宋体" w:hAnsi="宋体" w:cs="宋体"/>
          <w:color w:val="auto"/>
          <w:spacing w:val="9"/>
          <w:sz w:val="23"/>
          <w:szCs w:val="23"/>
          <w:u w:val="single" w:color="auto"/>
          <w:lang w:eastAsia="zh-CN"/>
        </w:rPr>
        <w:t>（</w:t>
      </w:r>
      <w:r>
        <w:rPr>
          <w:rFonts w:ascii="宋体" w:hAnsi="宋体" w:eastAsia="宋体" w:cs="宋体"/>
          <w:color w:val="auto"/>
          <w:spacing w:val="9"/>
          <w:sz w:val="23"/>
          <w:szCs w:val="23"/>
        </w:rPr>
        <w:t>发包人名称，以下简称“发包人”</w:t>
      </w:r>
      <w:r>
        <w:rPr>
          <w:rFonts w:hint="eastAsia" w:ascii="宋体" w:hAnsi="宋体" w:cs="宋体"/>
          <w:color w:val="auto"/>
          <w:spacing w:val="9"/>
          <w:sz w:val="23"/>
          <w:szCs w:val="23"/>
          <w:lang w:eastAsia="zh-CN"/>
        </w:rPr>
        <w:t>）</w:t>
      </w:r>
      <w:r>
        <w:rPr>
          <w:rFonts w:ascii="宋体" w:hAnsi="宋体" w:eastAsia="宋体" w:cs="宋体"/>
          <w:color w:val="auto"/>
          <w:spacing w:val="9"/>
          <w:sz w:val="23"/>
          <w:szCs w:val="23"/>
        </w:rPr>
        <w:t xml:space="preserve"> 接受</w:t>
      </w:r>
      <w:r>
        <w:rPr>
          <w:rFonts w:ascii="宋体" w:hAnsi="宋体" w:eastAsia="宋体" w:cs="宋体"/>
          <w:color w:val="auto"/>
          <w:spacing w:val="9"/>
          <w:sz w:val="23"/>
          <w:szCs w:val="23"/>
          <w:u w:val="single" w:color="auto"/>
        </w:rPr>
        <w:t xml:space="preserve">     </w:t>
      </w:r>
      <w:r>
        <w:rPr>
          <w:rFonts w:ascii="宋体" w:hAnsi="宋体" w:eastAsia="宋体" w:cs="宋体"/>
          <w:color w:val="auto"/>
          <w:spacing w:val="9"/>
          <w:sz w:val="23"/>
          <w:szCs w:val="23"/>
        </w:rPr>
        <w:t xml:space="preserve">  </w:t>
      </w:r>
      <w:r>
        <w:rPr>
          <w:rFonts w:hint="eastAsia" w:ascii="宋体" w:hAnsi="宋体" w:cs="宋体"/>
          <w:color w:val="auto"/>
          <w:spacing w:val="9"/>
          <w:sz w:val="23"/>
          <w:szCs w:val="23"/>
          <w:lang w:eastAsia="zh-CN"/>
        </w:rPr>
        <w:t>（</w:t>
      </w:r>
      <w:r>
        <w:rPr>
          <w:rFonts w:ascii="宋体" w:hAnsi="宋体" w:eastAsia="宋体" w:cs="宋体"/>
          <w:color w:val="auto"/>
          <w:spacing w:val="9"/>
          <w:sz w:val="23"/>
          <w:szCs w:val="23"/>
        </w:rPr>
        <w:t>承包人名称，以下简称</w:t>
      </w:r>
      <w:r>
        <w:rPr>
          <w:rFonts w:ascii="宋体" w:hAnsi="宋体" w:eastAsia="宋体" w:cs="宋体"/>
          <w:color w:val="auto"/>
          <w:sz w:val="23"/>
          <w:szCs w:val="23"/>
        </w:rPr>
        <w:t xml:space="preserve"> </w:t>
      </w:r>
      <w:r>
        <w:rPr>
          <w:rFonts w:ascii="宋体" w:hAnsi="宋体" w:eastAsia="宋体" w:cs="宋体"/>
          <w:color w:val="auto"/>
          <w:spacing w:val="8"/>
          <w:sz w:val="23"/>
          <w:szCs w:val="23"/>
        </w:rPr>
        <w:t>“承包人</w:t>
      </w:r>
      <w:r>
        <w:rPr>
          <w:rFonts w:ascii="宋体" w:hAnsi="宋体" w:eastAsia="宋体" w:cs="宋体"/>
          <w:color w:val="auto"/>
          <w:spacing w:val="7"/>
          <w:sz w:val="23"/>
          <w:szCs w:val="23"/>
        </w:rPr>
        <w:t>”</w:t>
      </w:r>
      <w:r>
        <w:rPr>
          <w:rFonts w:hint="eastAsia" w:ascii="宋体" w:hAnsi="宋体" w:cs="宋体"/>
          <w:color w:val="auto"/>
          <w:spacing w:val="7"/>
          <w:sz w:val="23"/>
          <w:szCs w:val="23"/>
          <w:lang w:eastAsia="zh-CN"/>
        </w:rPr>
        <w:t>）</w:t>
      </w:r>
      <w:r>
        <w:rPr>
          <w:rFonts w:ascii="宋体" w:hAnsi="宋体" w:eastAsia="宋体" w:cs="宋体"/>
          <w:color w:val="auto"/>
          <w:spacing w:val="4"/>
          <w:sz w:val="23"/>
          <w:szCs w:val="23"/>
        </w:rPr>
        <w:t xml:space="preserve"> 于</w:t>
      </w:r>
      <w:r>
        <w:rPr>
          <w:rFonts w:ascii="宋体" w:hAnsi="宋体" w:eastAsia="宋体" w:cs="宋体"/>
          <w:color w:val="auto"/>
          <w:spacing w:val="4"/>
          <w:sz w:val="23"/>
          <w:szCs w:val="23"/>
          <w:u w:val="single" w:color="auto"/>
        </w:rPr>
        <w:t xml:space="preserve">     </w:t>
      </w:r>
      <w:r>
        <w:rPr>
          <w:rFonts w:ascii="宋体" w:hAnsi="宋体" w:eastAsia="宋体" w:cs="宋体"/>
          <w:color w:val="auto"/>
          <w:spacing w:val="4"/>
          <w:sz w:val="23"/>
          <w:szCs w:val="23"/>
        </w:rPr>
        <w:t xml:space="preserve"> 年</w:t>
      </w:r>
      <w:r>
        <w:rPr>
          <w:rFonts w:ascii="宋体" w:hAnsi="宋体" w:eastAsia="宋体" w:cs="宋体"/>
          <w:color w:val="auto"/>
          <w:spacing w:val="4"/>
          <w:sz w:val="23"/>
          <w:szCs w:val="23"/>
          <w:u w:val="single" w:color="auto"/>
        </w:rPr>
        <w:t xml:space="preserve">     </w:t>
      </w:r>
      <w:r>
        <w:rPr>
          <w:rFonts w:ascii="宋体" w:hAnsi="宋体" w:eastAsia="宋体" w:cs="宋体"/>
          <w:color w:val="auto"/>
          <w:spacing w:val="4"/>
          <w:sz w:val="23"/>
          <w:szCs w:val="23"/>
        </w:rPr>
        <w:t xml:space="preserve"> 月</w:t>
      </w:r>
      <w:r>
        <w:rPr>
          <w:rFonts w:ascii="宋体" w:hAnsi="宋体" w:eastAsia="宋体" w:cs="宋体"/>
          <w:color w:val="auto"/>
          <w:spacing w:val="4"/>
          <w:sz w:val="23"/>
          <w:szCs w:val="23"/>
          <w:u w:val="single" w:color="auto"/>
        </w:rPr>
        <w:t xml:space="preserve">     </w:t>
      </w:r>
      <w:r>
        <w:rPr>
          <w:rFonts w:ascii="宋体" w:hAnsi="宋体" w:eastAsia="宋体" w:cs="宋体"/>
          <w:color w:val="auto"/>
          <w:spacing w:val="4"/>
          <w:sz w:val="23"/>
          <w:szCs w:val="23"/>
        </w:rPr>
        <w:t xml:space="preserve"> 日参加</w:t>
      </w:r>
      <w:r>
        <w:rPr>
          <w:rFonts w:ascii="宋体" w:hAnsi="宋体" w:eastAsia="宋体" w:cs="宋体"/>
          <w:color w:val="auto"/>
          <w:spacing w:val="4"/>
          <w:sz w:val="23"/>
          <w:szCs w:val="23"/>
          <w:u w:val="single" w:color="auto"/>
        </w:rPr>
        <w:t xml:space="preserve">       </w:t>
      </w:r>
      <w:r>
        <w:rPr>
          <w:rFonts w:hint="eastAsia" w:ascii="宋体" w:hAnsi="宋体" w:cs="宋体"/>
          <w:color w:val="auto"/>
          <w:spacing w:val="4"/>
          <w:sz w:val="23"/>
          <w:szCs w:val="23"/>
          <w:u w:val="single" w:color="auto"/>
          <w:lang w:eastAsia="zh-CN"/>
        </w:rPr>
        <w:t>（</w:t>
      </w:r>
      <w:r>
        <w:rPr>
          <w:rFonts w:ascii="宋体" w:hAnsi="宋体" w:eastAsia="宋体" w:cs="宋体"/>
          <w:color w:val="auto"/>
          <w:spacing w:val="4"/>
          <w:sz w:val="23"/>
          <w:szCs w:val="23"/>
        </w:rPr>
        <w:t>项目名称</w:t>
      </w:r>
      <w:r>
        <w:rPr>
          <w:rFonts w:hint="eastAsia" w:ascii="宋体" w:hAnsi="宋体" w:cs="宋体"/>
          <w:color w:val="auto"/>
          <w:spacing w:val="4"/>
          <w:sz w:val="23"/>
          <w:szCs w:val="23"/>
          <w:lang w:eastAsia="zh-CN"/>
        </w:rPr>
        <w:t>）</w:t>
      </w:r>
      <w:r>
        <w:rPr>
          <w:rFonts w:ascii="宋体" w:hAnsi="宋体" w:eastAsia="宋体" w:cs="宋体"/>
          <w:color w:val="auto"/>
          <w:spacing w:val="4"/>
          <w:sz w:val="23"/>
          <w:szCs w:val="23"/>
          <w:u w:val="single" w:color="auto"/>
        </w:rPr>
        <w:t xml:space="preserve">       </w:t>
      </w:r>
      <w:r>
        <w:rPr>
          <w:rFonts w:ascii="宋体" w:hAnsi="宋体" w:eastAsia="宋体" w:cs="宋体"/>
          <w:color w:val="auto"/>
          <w:spacing w:val="4"/>
          <w:sz w:val="23"/>
          <w:szCs w:val="23"/>
        </w:rPr>
        <w:t>标段施工的投标。</w:t>
      </w:r>
      <w:r>
        <w:rPr>
          <w:rFonts w:ascii="宋体" w:hAnsi="宋体" w:eastAsia="宋体" w:cs="宋体"/>
          <w:color w:val="auto"/>
          <w:sz w:val="23"/>
          <w:szCs w:val="23"/>
        </w:rPr>
        <w:t xml:space="preserve"> </w:t>
      </w:r>
      <w:r>
        <w:rPr>
          <w:rFonts w:ascii="宋体" w:hAnsi="宋体" w:eastAsia="宋体" w:cs="宋体"/>
          <w:color w:val="auto"/>
          <w:spacing w:val="10"/>
          <w:sz w:val="23"/>
          <w:szCs w:val="23"/>
        </w:rPr>
        <w:t>我方愿意无条件地、不可撤销地就承包人履行与你方订立的合同，向你方提供担保</w:t>
      </w:r>
      <w:r>
        <w:rPr>
          <w:rFonts w:ascii="宋体" w:hAnsi="宋体" w:eastAsia="宋体" w:cs="宋体"/>
          <w:color w:val="auto"/>
          <w:spacing w:val="4"/>
          <w:sz w:val="23"/>
          <w:szCs w:val="23"/>
        </w:rPr>
        <w:t>。</w:t>
      </w:r>
    </w:p>
    <w:p w14:paraId="21AFEED3">
      <w:pPr>
        <w:spacing w:before="1" w:line="227" w:lineRule="auto"/>
        <w:ind w:left="511"/>
        <w:rPr>
          <w:rFonts w:ascii="宋体" w:hAnsi="宋体" w:eastAsia="宋体" w:cs="宋体"/>
          <w:color w:val="auto"/>
          <w:sz w:val="23"/>
          <w:szCs w:val="23"/>
        </w:rPr>
      </w:pPr>
      <w:r>
        <w:rPr>
          <w:rFonts w:ascii="宋体" w:hAnsi="宋体" w:eastAsia="宋体" w:cs="宋体"/>
          <w:color w:val="auto"/>
          <w:spacing w:val="10"/>
          <w:sz w:val="23"/>
          <w:szCs w:val="23"/>
        </w:rPr>
        <w:t xml:space="preserve">1. </w:t>
      </w:r>
      <w:r>
        <w:rPr>
          <w:rFonts w:ascii="宋体" w:hAnsi="宋体" w:eastAsia="宋体" w:cs="宋体"/>
          <w:color w:val="auto"/>
          <w:spacing w:val="9"/>
          <w:sz w:val="23"/>
          <w:szCs w:val="23"/>
        </w:rPr>
        <w:t>担</w:t>
      </w:r>
      <w:r>
        <w:rPr>
          <w:rFonts w:ascii="宋体" w:hAnsi="宋体" w:eastAsia="宋体" w:cs="宋体"/>
          <w:color w:val="auto"/>
          <w:spacing w:val="5"/>
          <w:sz w:val="23"/>
          <w:szCs w:val="23"/>
        </w:rPr>
        <w:t xml:space="preserve">保金额人民币 </w:t>
      </w:r>
      <w:r>
        <w:rPr>
          <w:rFonts w:hint="eastAsia" w:ascii="宋体" w:hAnsi="宋体" w:cs="宋体"/>
          <w:color w:val="auto"/>
          <w:spacing w:val="5"/>
          <w:sz w:val="23"/>
          <w:szCs w:val="23"/>
          <w:lang w:eastAsia="zh-CN"/>
        </w:rPr>
        <w:t>（</w:t>
      </w:r>
      <w:r>
        <w:rPr>
          <w:rFonts w:ascii="宋体" w:hAnsi="宋体" w:eastAsia="宋体" w:cs="宋体"/>
          <w:color w:val="auto"/>
          <w:spacing w:val="5"/>
          <w:sz w:val="23"/>
          <w:szCs w:val="23"/>
        </w:rPr>
        <w:t>大写</w:t>
      </w:r>
      <w:r>
        <w:rPr>
          <w:rFonts w:hint="eastAsia" w:ascii="宋体" w:hAnsi="宋体" w:cs="宋体"/>
          <w:color w:val="auto"/>
          <w:spacing w:val="5"/>
          <w:sz w:val="23"/>
          <w:szCs w:val="23"/>
          <w:lang w:eastAsia="zh-CN"/>
        </w:rPr>
        <w:t>）</w:t>
      </w:r>
      <w:r>
        <w:rPr>
          <w:rFonts w:ascii="宋体" w:hAnsi="宋体" w:eastAsia="宋体" w:cs="宋体"/>
          <w:color w:val="auto"/>
          <w:spacing w:val="5"/>
          <w:sz w:val="23"/>
          <w:szCs w:val="23"/>
          <w:u w:val="single" w:color="auto"/>
        </w:rPr>
        <w:t xml:space="preserve">       </w:t>
      </w:r>
      <w:r>
        <w:rPr>
          <w:rFonts w:ascii="宋体" w:hAnsi="宋体" w:eastAsia="宋体" w:cs="宋体"/>
          <w:color w:val="auto"/>
          <w:spacing w:val="5"/>
          <w:sz w:val="23"/>
          <w:szCs w:val="23"/>
        </w:rPr>
        <w:t>元 (¥</w:t>
      </w:r>
      <w:r>
        <w:rPr>
          <w:rFonts w:ascii="宋体" w:hAnsi="宋体" w:eastAsia="宋体" w:cs="宋体"/>
          <w:color w:val="auto"/>
          <w:spacing w:val="5"/>
          <w:sz w:val="23"/>
          <w:szCs w:val="23"/>
          <w:u w:val="single" w:color="auto"/>
        </w:rPr>
        <w:t xml:space="preserve">      </w:t>
      </w:r>
      <w:r>
        <w:rPr>
          <w:rFonts w:ascii="宋体" w:hAnsi="宋体" w:eastAsia="宋体" w:cs="宋体"/>
          <w:color w:val="auto"/>
          <w:spacing w:val="5"/>
          <w:sz w:val="23"/>
          <w:szCs w:val="23"/>
        </w:rPr>
        <w:t>) 。</w:t>
      </w:r>
    </w:p>
    <w:p w14:paraId="59C140AB">
      <w:pPr>
        <w:spacing w:before="117" w:line="321" w:lineRule="auto"/>
        <w:ind w:left="13" w:right="103" w:firstLine="482"/>
        <w:rPr>
          <w:rFonts w:ascii="宋体" w:hAnsi="宋体" w:eastAsia="宋体" w:cs="宋体"/>
          <w:color w:val="auto"/>
          <w:sz w:val="23"/>
          <w:szCs w:val="23"/>
        </w:rPr>
      </w:pPr>
      <w:r>
        <w:rPr>
          <w:rFonts w:ascii="宋体" w:hAnsi="宋体" w:eastAsia="宋体" w:cs="宋体"/>
          <w:color w:val="auto"/>
          <w:spacing w:val="14"/>
          <w:sz w:val="23"/>
          <w:szCs w:val="23"/>
        </w:rPr>
        <w:t>2. 担保有效期自发包人与承包人签订的合同生效之日起至发包人签发交工验收证书</w:t>
      </w:r>
      <w:r>
        <w:rPr>
          <w:rFonts w:ascii="宋体" w:hAnsi="宋体" w:eastAsia="宋体" w:cs="宋体"/>
          <w:color w:val="auto"/>
          <w:spacing w:val="13"/>
          <w:sz w:val="23"/>
          <w:szCs w:val="23"/>
        </w:rPr>
        <w:t>且</w:t>
      </w:r>
      <w:r>
        <w:rPr>
          <w:rFonts w:ascii="宋体" w:hAnsi="宋体" w:eastAsia="宋体" w:cs="宋体"/>
          <w:color w:val="auto"/>
          <w:sz w:val="23"/>
          <w:szCs w:val="23"/>
        </w:rPr>
        <w:t xml:space="preserve"> </w:t>
      </w:r>
      <w:r>
        <w:rPr>
          <w:rFonts w:ascii="宋体" w:hAnsi="宋体" w:eastAsia="宋体" w:cs="宋体"/>
          <w:color w:val="auto"/>
          <w:spacing w:val="9"/>
          <w:sz w:val="23"/>
          <w:szCs w:val="23"/>
        </w:rPr>
        <w:t>承包人按照合同约定缴纳质量保证金之日止。</w:t>
      </w:r>
    </w:p>
    <w:p w14:paraId="107882F4">
      <w:pPr>
        <w:spacing w:line="321" w:lineRule="auto"/>
        <w:ind w:left="13" w:right="103" w:firstLine="484"/>
        <w:rPr>
          <w:rFonts w:ascii="宋体" w:hAnsi="宋体" w:eastAsia="宋体" w:cs="宋体"/>
          <w:color w:val="auto"/>
          <w:sz w:val="23"/>
          <w:szCs w:val="23"/>
        </w:rPr>
      </w:pPr>
      <w:r>
        <w:rPr>
          <w:rFonts w:ascii="宋体" w:hAnsi="宋体" w:eastAsia="宋体" w:cs="宋体"/>
          <w:color w:val="auto"/>
          <w:spacing w:val="8"/>
          <w:sz w:val="23"/>
          <w:szCs w:val="23"/>
        </w:rPr>
        <w:t>3. 在本担保有效期内，因承包人违反合同约定的义务给你方造成经济损失时，我方在</w:t>
      </w:r>
      <w:r>
        <w:rPr>
          <w:rFonts w:ascii="宋体" w:hAnsi="宋体" w:eastAsia="宋体" w:cs="宋体"/>
          <w:color w:val="auto"/>
          <w:spacing w:val="1"/>
          <w:sz w:val="23"/>
          <w:szCs w:val="23"/>
        </w:rPr>
        <w:t>收</w:t>
      </w:r>
      <w:r>
        <w:rPr>
          <w:rFonts w:ascii="宋体" w:hAnsi="宋体" w:eastAsia="宋体" w:cs="宋体"/>
          <w:color w:val="auto"/>
          <w:sz w:val="23"/>
          <w:szCs w:val="23"/>
        </w:rPr>
        <w:t xml:space="preserve"> </w:t>
      </w:r>
      <w:r>
        <w:rPr>
          <w:rFonts w:ascii="宋体" w:hAnsi="宋体" w:eastAsia="宋体" w:cs="宋体"/>
          <w:color w:val="auto"/>
          <w:spacing w:val="10"/>
          <w:sz w:val="23"/>
          <w:szCs w:val="23"/>
        </w:rPr>
        <w:t>到</w:t>
      </w:r>
      <w:r>
        <w:rPr>
          <w:rFonts w:ascii="宋体" w:hAnsi="宋体" w:eastAsia="宋体" w:cs="宋体"/>
          <w:color w:val="auto"/>
          <w:spacing w:val="8"/>
          <w:sz w:val="23"/>
          <w:szCs w:val="23"/>
        </w:rPr>
        <w:t>你方以书面形式提出的在担保金额内的赔偿要求后，在 7 日内无条件支付，无须你方出具</w:t>
      </w:r>
      <w:r>
        <w:rPr>
          <w:rFonts w:ascii="宋体" w:hAnsi="宋体" w:eastAsia="宋体" w:cs="宋体"/>
          <w:color w:val="auto"/>
          <w:sz w:val="23"/>
          <w:szCs w:val="23"/>
        </w:rPr>
        <w:t xml:space="preserve"> </w:t>
      </w:r>
      <w:r>
        <w:rPr>
          <w:rFonts w:ascii="宋体" w:hAnsi="宋体" w:eastAsia="宋体" w:cs="宋体"/>
          <w:color w:val="auto"/>
          <w:spacing w:val="11"/>
          <w:sz w:val="23"/>
          <w:szCs w:val="23"/>
        </w:rPr>
        <w:t>证</w:t>
      </w:r>
      <w:r>
        <w:rPr>
          <w:rFonts w:ascii="宋体" w:hAnsi="宋体" w:eastAsia="宋体" w:cs="宋体"/>
          <w:color w:val="auto"/>
          <w:spacing w:val="7"/>
          <w:sz w:val="23"/>
          <w:szCs w:val="23"/>
        </w:rPr>
        <w:t>明或陈述理由。</w:t>
      </w:r>
    </w:p>
    <w:p w14:paraId="2AEC7BCF">
      <w:pPr>
        <w:spacing w:before="1" w:line="332" w:lineRule="auto"/>
        <w:ind w:left="494" w:right="822" w:hanging="2"/>
        <w:rPr>
          <w:rFonts w:ascii="宋体" w:hAnsi="宋体" w:eastAsia="宋体" w:cs="宋体"/>
          <w:color w:val="auto"/>
          <w:sz w:val="23"/>
          <w:szCs w:val="23"/>
        </w:rPr>
      </w:pPr>
      <w:r>
        <w:rPr>
          <w:rFonts w:ascii="宋体" w:hAnsi="宋体" w:eastAsia="宋体" w:cs="宋体"/>
          <w:color w:val="auto"/>
          <w:spacing w:val="14"/>
          <w:sz w:val="23"/>
          <w:szCs w:val="23"/>
        </w:rPr>
        <w:t>4.</w:t>
      </w:r>
      <w:r>
        <w:rPr>
          <w:rFonts w:ascii="宋体" w:hAnsi="宋体" w:eastAsia="宋体" w:cs="宋体"/>
          <w:color w:val="auto"/>
          <w:spacing w:val="10"/>
          <w:sz w:val="23"/>
          <w:szCs w:val="23"/>
        </w:rPr>
        <w:t xml:space="preserve"> </w:t>
      </w:r>
      <w:r>
        <w:rPr>
          <w:rFonts w:ascii="宋体" w:hAnsi="宋体" w:eastAsia="宋体" w:cs="宋体"/>
          <w:color w:val="auto"/>
          <w:spacing w:val="7"/>
          <w:sz w:val="23"/>
          <w:szCs w:val="23"/>
        </w:rPr>
        <w:t>发包人和承包人按合同条款第 15 条变更合同时，无论我方是否收到该变更，</w:t>
      </w:r>
      <w:r>
        <w:rPr>
          <w:rFonts w:ascii="宋体" w:hAnsi="宋体" w:eastAsia="宋体" w:cs="宋体"/>
          <w:color w:val="auto"/>
          <w:sz w:val="23"/>
          <w:szCs w:val="23"/>
        </w:rPr>
        <w:t xml:space="preserve"> </w:t>
      </w:r>
      <w:r>
        <w:rPr>
          <w:rFonts w:ascii="宋体" w:hAnsi="宋体" w:eastAsia="宋体" w:cs="宋体"/>
          <w:color w:val="auto"/>
          <w:spacing w:val="16"/>
          <w:sz w:val="23"/>
          <w:szCs w:val="23"/>
        </w:rPr>
        <w:t>我</w:t>
      </w:r>
      <w:r>
        <w:rPr>
          <w:rFonts w:ascii="宋体" w:hAnsi="宋体" w:eastAsia="宋体" w:cs="宋体"/>
          <w:color w:val="auto"/>
          <w:spacing w:val="8"/>
          <w:sz w:val="23"/>
          <w:szCs w:val="23"/>
        </w:rPr>
        <w:t>方承担本担保规定的义务不变。</w:t>
      </w:r>
    </w:p>
    <w:p w14:paraId="7718602B">
      <w:pPr>
        <w:spacing w:line="293" w:lineRule="auto"/>
        <w:rPr>
          <w:rFonts w:ascii="Arial"/>
          <w:color w:val="auto"/>
          <w:sz w:val="21"/>
        </w:rPr>
      </w:pPr>
    </w:p>
    <w:p w14:paraId="53431534">
      <w:pPr>
        <w:spacing w:line="293" w:lineRule="auto"/>
        <w:rPr>
          <w:rFonts w:ascii="Arial"/>
          <w:color w:val="auto"/>
          <w:sz w:val="21"/>
        </w:rPr>
      </w:pPr>
    </w:p>
    <w:p w14:paraId="4F0318D2">
      <w:pPr>
        <w:spacing w:line="293" w:lineRule="auto"/>
        <w:rPr>
          <w:rFonts w:ascii="Arial"/>
          <w:color w:val="auto"/>
          <w:sz w:val="21"/>
        </w:rPr>
      </w:pPr>
    </w:p>
    <w:p w14:paraId="40143DA3">
      <w:pPr>
        <w:spacing w:line="294" w:lineRule="auto"/>
        <w:rPr>
          <w:rFonts w:ascii="Arial"/>
          <w:color w:val="auto"/>
          <w:sz w:val="21"/>
        </w:rPr>
      </w:pPr>
    </w:p>
    <w:p w14:paraId="0D2D660D">
      <w:pPr>
        <w:spacing w:before="75" w:line="356" w:lineRule="auto"/>
        <w:ind w:left="3971" w:right="787" w:firstLine="2"/>
        <w:rPr>
          <w:rFonts w:ascii="宋体" w:hAnsi="宋体" w:eastAsia="宋体" w:cs="宋体"/>
          <w:color w:val="auto"/>
          <w:sz w:val="23"/>
          <w:szCs w:val="23"/>
        </w:rPr>
      </w:pPr>
      <w:r>
        <w:rPr>
          <w:rFonts w:ascii="宋体" w:hAnsi="宋体" w:eastAsia="宋体" w:cs="宋体"/>
          <w:color w:val="auto"/>
          <w:spacing w:val="-2"/>
          <w:sz w:val="23"/>
          <w:szCs w:val="23"/>
        </w:rPr>
        <w:t>担保人名称：</w:t>
      </w:r>
      <w:r>
        <w:rPr>
          <w:rFonts w:ascii="宋体" w:hAnsi="宋体" w:eastAsia="宋体" w:cs="宋体"/>
          <w:color w:val="auto"/>
          <w:spacing w:val="-2"/>
          <w:sz w:val="23"/>
          <w:szCs w:val="23"/>
          <w:u w:val="single" w:color="auto"/>
        </w:rPr>
        <w:t xml:space="preserve">             </w:t>
      </w:r>
      <w:r>
        <w:rPr>
          <w:rFonts w:ascii="宋体" w:hAnsi="宋体" w:eastAsia="宋体" w:cs="宋体"/>
          <w:color w:val="auto"/>
          <w:spacing w:val="-1"/>
          <w:sz w:val="23"/>
          <w:szCs w:val="23"/>
          <w:u w:val="single" w:color="auto"/>
        </w:rPr>
        <w:t xml:space="preserve">        </w:t>
      </w:r>
      <w:r>
        <w:rPr>
          <w:rFonts w:hint="eastAsia" w:ascii="宋体" w:hAnsi="宋体" w:cs="宋体"/>
          <w:color w:val="auto"/>
          <w:spacing w:val="-1"/>
          <w:sz w:val="23"/>
          <w:szCs w:val="23"/>
          <w:u w:val="single" w:color="auto"/>
          <w:lang w:eastAsia="zh-CN"/>
        </w:rPr>
        <w:t>（</w:t>
      </w:r>
      <w:r>
        <w:rPr>
          <w:rFonts w:ascii="宋体" w:hAnsi="宋体" w:eastAsia="宋体" w:cs="宋体"/>
          <w:color w:val="auto"/>
          <w:spacing w:val="-1"/>
          <w:sz w:val="23"/>
          <w:szCs w:val="23"/>
        </w:rPr>
        <w:t>盖单位章</w:t>
      </w:r>
      <w:r>
        <w:rPr>
          <w:rFonts w:hint="eastAsia" w:ascii="宋体" w:hAnsi="宋体" w:cs="宋体"/>
          <w:color w:val="auto"/>
          <w:spacing w:val="-1"/>
          <w:sz w:val="23"/>
          <w:szCs w:val="23"/>
          <w:lang w:eastAsia="zh-CN"/>
        </w:rPr>
        <w:t>）</w:t>
      </w:r>
      <w:r>
        <w:rPr>
          <w:rFonts w:ascii="宋体" w:hAnsi="宋体" w:eastAsia="宋体" w:cs="宋体"/>
          <w:color w:val="auto"/>
          <w:sz w:val="23"/>
          <w:szCs w:val="23"/>
        </w:rPr>
        <w:t xml:space="preserve"> </w:t>
      </w:r>
      <w:r>
        <w:rPr>
          <w:rFonts w:ascii="宋体" w:hAnsi="宋体" w:eastAsia="宋体" w:cs="宋体"/>
          <w:color w:val="auto"/>
          <w:spacing w:val="4"/>
          <w:sz w:val="23"/>
          <w:szCs w:val="23"/>
        </w:rPr>
        <w:t>法定代</w:t>
      </w:r>
      <w:r>
        <w:rPr>
          <w:rFonts w:ascii="宋体" w:hAnsi="宋体" w:eastAsia="宋体" w:cs="宋体"/>
          <w:color w:val="auto"/>
          <w:spacing w:val="2"/>
          <w:sz w:val="23"/>
          <w:szCs w:val="23"/>
        </w:rPr>
        <w:t>表人或其委托代理人：</w:t>
      </w:r>
      <w:r>
        <w:rPr>
          <w:rFonts w:ascii="宋体" w:hAnsi="宋体" w:eastAsia="宋体" w:cs="宋体"/>
          <w:color w:val="auto"/>
          <w:spacing w:val="2"/>
          <w:sz w:val="23"/>
          <w:szCs w:val="23"/>
          <w:u w:val="single" w:color="auto"/>
        </w:rPr>
        <w:t xml:space="preserve">        </w:t>
      </w:r>
      <w:r>
        <w:rPr>
          <w:rFonts w:hint="eastAsia" w:ascii="宋体" w:hAnsi="宋体" w:cs="宋体"/>
          <w:color w:val="auto"/>
          <w:spacing w:val="2"/>
          <w:sz w:val="23"/>
          <w:szCs w:val="23"/>
          <w:u w:val="single" w:color="auto"/>
          <w:lang w:eastAsia="zh-CN"/>
        </w:rPr>
        <w:t>（</w:t>
      </w:r>
      <w:r>
        <w:rPr>
          <w:rFonts w:ascii="宋体" w:hAnsi="宋体" w:eastAsia="宋体" w:cs="宋体"/>
          <w:color w:val="auto"/>
          <w:spacing w:val="2"/>
          <w:sz w:val="23"/>
          <w:szCs w:val="23"/>
        </w:rPr>
        <w:t>签字</w:t>
      </w:r>
      <w:r>
        <w:rPr>
          <w:rFonts w:hint="eastAsia" w:ascii="宋体" w:hAnsi="宋体" w:cs="宋体"/>
          <w:color w:val="auto"/>
          <w:spacing w:val="2"/>
          <w:sz w:val="23"/>
          <w:szCs w:val="23"/>
          <w:lang w:eastAsia="zh-CN"/>
        </w:rPr>
        <w:t>）</w:t>
      </w:r>
      <w:r>
        <w:rPr>
          <w:rFonts w:ascii="宋体" w:hAnsi="宋体" w:eastAsia="宋体" w:cs="宋体"/>
          <w:color w:val="auto"/>
          <w:sz w:val="23"/>
          <w:szCs w:val="23"/>
        </w:rPr>
        <w:t xml:space="preserve">   </w:t>
      </w:r>
      <w:r>
        <w:rPr>
          <w:rFonts w:ascii="宋体" w:hAnsi="宋体" w:eastAsia="宋体" w:cs="宋体"/>
          <w:color w:val="auto"/>
          <w:spacing w:val="-4"/>
          <w:sz w:val="23"/>
          <w:szCs w:val="23"/>
        </w:rPr>
        <w:t>地    址 ：</w:t>
      </w:r>
      <w:r>
        <w:rPr>
          <w:rFonts w:ascii="宋体" w:hAnsi="宋体" w:eastAsia="宋体" w:cs="宋体"/>
          <w:color w:val="auto"/>
          <w:spacing w:val="-4"/>
          <w:sz w:val="23"/>
          <w:szCs w:val="23"/>
          <w:u w:val="single" w:color="auto"/>
        </w:rPr>
        <w:t xml:space="preserve">                              </w:t>
      </w:r>
      <w:r>
        <w:rPr>
          <w:rFonts w:ascii="宋体" w:hAnsi="宋体" w:eastAsia="宋体" w:cs="宋体"/>
          <w:color w:val="auto"/>
          <w:spacing w:val="-2"/>
          <w:sz w:val="23"/>
          <w:szCs w:val="23"/>
          <w:u w:val="single" w:color="auto"/>
        </w:rPr>
        <w:t xml:space="preserve"> </w:t>
      </w:r>
      <w:r>
        <w:rPr>
          <w:rFonts w:ascii="宋体" w:hAnsi="宋体" w:eastAsia="宋体" w:cs="宋体"/>
          <w:color w:val="auto"/>
          <w:sz w:val="23"/>
          <w:szCs w:val="23"/>
          <w:u w:val="single" w:color="auto"/>
        </w:rPr>
        <w:t xml:space="preserve"> </w:t>
      </w:r>
      <w:r>
        <w:rPr>
          <w:rFonts w:ascii="宋体" w:hAnsi="宋体" w:eastAsia="宋体" w:cs="宋体"/>
          <w:color w:val="auto"/>
          <w:sz w:val="23"/>
          <w:szCs w:val="23"/>
        </w:rPr>
        <w:t xml:space="preserve">  </w:t>
      </w:r>
      <w:r>
        <w:rPr>
          <w:rFonts w:ascii="宋体" w:hAnsi="宋体" w:eastAsia="宋体" w:cs="宋体"/>
          <w:color w:val="auto"/>
          <w:spacing w:val="-2"/>
          <w:sz w:val="23"/>
          <w:szCs w:val="23"/>
        </w:rPr>
        <w:t>邮政</w:t>
      </w:r>
      <w:r>
        <w:rPr>
          <w:rFonts w:ascii="宋体" w:hAnsi="宋体" w:eastAsia="宋体" w:cs="宋体"/>
          <w:color w:val="auto"/>
          <w:spacing w:val="-1"/>
          <w:sz w:val="23"/>
          <w:szCs w:val="23"/>
        </w:rPr>
        <w:t>编码：</w:t>
      </w:r>
      <w:r>
        <w:rPr>
          <w:rFonts w:ascii="宋体" w:hAnsi="宋体" w:eastAsia="宋体" w:cs="宋体"/>
          <w:color w:val="auto"/>
          <w:spacing w:val="-1"/>
          <w:sz w:val="23"/>
          <w:szCs w:val="23"/>
          <w:u w:val="single" w:color="auto"/>
        </w:rPr>
        <w:t xml:space="preserve">                                </w:t>
      </w:r>
      <w:r>
        <w:rPr>
          <w:rFonts w:ascii="宋体" w:hAnsi="宋体" w:eastAsia="宋体" w:cs="宋体"/>
          <w:color w:val="auto"/>
          <w:sz w:val="23"/>
          <w:szCs w:val="23"/>
        </w:rPr>
        <w:t xml:space="preserve">  </w:t>
      </w:r>
      <w:r>
        <w:rPr>
          <w:rFonts w:ascii="宋体" w:hAnsi="宋体" w:eastAsia="宋体" w:cs="宋体"/>
          <w:color w:val="auto"/>
          <w:spacing w:val="-4"/>
          <w:sz w:val="23"/>
          <w:szCs w:val="23"/>
        </w:rPr>
        <w:t>电    话 ：</w:t>
      </w:r>
      <w:r>
        <w:rPr>
          <w:rFonts w:ascii="宋体" w:hAnsi="宋体" w:eastAsia="宋体" w:cs="宋体"/>
          <w:color w:val="auto"/>
          <w:spacing w:val="-4"/>
          <w:sz w:val="23"/>
          <w:szCs w:val="23"/>
          <w:u w:val="single" w:color="auto"/>
        </w:rPr>
        <w:t xml:space="preserve">                              </w:t>
      </w:r>
      <w:r>
        <w:rPr>
          <w:rFonts w:ascii="宋体" w:hAnsi="宋体" w:eastAsia="宋体" w:cs="宋体"/>
          <w:color w:val="auto"/>
          <w:spacing w:val="-2"/>
          <w:sz w:val="23"/>
          <w:szCs w:val="23"/>
          <w:u w:val="single" w:color="auto"/>
        </w:rPr>
        <w:t xml:space="preserve"> </w:t>
      </w:r>
      <w:r>
        <w:rPr>
          <w:rFonts w:ascii="宋体" w:hAnsi="宋体" w:eastAsia="宋体" w:cs="宋体"/>
          <w:color w:val="auto"/>
          <w:sz w:val="23"/>
          <w:szCs w:val="23"/>
          <w:u w:val="single" w:color="auto"/>
        </w:rPr>
        <w:t xml:space="preserve"> </w:t>
      </w:r>
      <w:r>
        <w:rPr>
          <w:rFonts w:ascii="宋体" w:hAnsi="宋体" w:eastAsia="宋体" w:cs="宋体"/>
          <w:color w:val="auto"/>
          <w:sz w:val="23"/>
          <w:szCs w:val="23"/>
        </w:rPr>
        <w:t xml:space="preserve">  </w:t>
      </w:r>
      <w:r>
        <w:rPr>
          <w:rFonts w:ascii="宋体" w:hAnsi="宋体" w:eastAsia="宋体" w:cs="宋体"/>
          <w:color w:val="auto"/>
          <w:spacing w:val="-10"/>
          <w:sz w:val="23"/>
          <w:szCs w:val="23"/>
        </w:rPr>
        <w:t>传    真 ：</w:t>
      </w:r>
      <w:r>
        <w:rPr>
          <w:rFonts w:ascii="宋体" w:hAnsi="宋体" w:eastAsia="宋体" w:cs="宋体"/>
          <w:color w:val="auto"/>
          <w:sz w:val="23"/>
          <w:szCs w:val="23"/>
          <w:u w:val="single" w:color="auto"/>
        </w:rPr>
        <w:t xml:space="preserve">                                </w:t>
      </w:r>
    </w:p>
    <w:p w14:paraId="4AF5670D">
      <w:pPr>
        <w:spacing w:line="412" w:lineRule="auto"/>
        <w:rPr>
          <w:rFonts w:ascii="Arial"/>
          <w:color w:val="auto"/>
          <w:sz w:val="21"/>
        </w:rPr>
      </w:pPr>
    </w:p>
    <w:p w14:paraId="64555935">
      <w:pPr>
        <w:spacing w:before="98" w:line="219" w:lineRule="auto"/>
        <w:ind w:left="167"/>
        <w:jc w:val="right"/>
        <w:rPr>
          <w:rFonts w:ascii="宋体" w:hAnsi="宋体" w:eastAsia="宋体" w:cs="宋体"/>
          <w:color w:val="auto"/>
          <w:spacing w:val="-9"/>
          <w:sz w:val="23"/>
          <w:szCs w:val="23"/>
        </w:rPr>
      </w:pPr>
      <w:r>
        <w:rPr>
          <w:rFonts w:ascii="宋体" w:hAnsi="宋体" w:eastAsia="宋体" w:cs="宋体"/>
          <w:color w:val="auto"/>
          <w:sz w:val="23"/>
          <w:szCs w:val="23"/>
          <w:u w:val="single" w:color="auto"/>
        </w:rPr>
        <w:tab/>
      </w:r>
      <w:r>
        <w:rPr>
          <w:rFonts w:ascii="宋体" w:hAnsi="宋体" w:eastAsia="宋体" w:cs="宋体"/>
          <w:color w:val="auto"/>
          <w:spacing w:val="-10"/>
          <w:sz w:val="23"/>
          <w:szCs w:val="23"/>
        </w:rPr>
        <w:t>年</w:t>
      </w:r>
      <w:r>
        <w:rPr>
          <w:rFonts w:ascii="宋体" w:hAnsi="宋体" w:eastAsia="宋体" w:cs="宋体"/>
          <w:color w:val="auto"/>
          <w:spacing w:val="-10"/>
          <w:sz w:val="23"/>
          <w:szCs w:val="23"/>
          <w:u w:val="single" w:color="auto"/>
        </w:rPr>
        <w:t xml:space="preserve">    </w:t>
      </w:r>
      <w:r>
        <w:rPr>
          <w:rFonts w:ascii="宋体" w:hAnsi="宋体" w:eastAsia="宋体" w:cs="宋体"/>
          <w:color w:val="auto"/>
          <w:spacing w:val="-10"/>
          <w:sz w:val="23"/>
          <w:szCs w:val="23"/>
        </w:rPr>
        <w:t xml:space="preserve"> 月</w:t>
      </w:r>
      <w:r>
        <w:rPr>
          <w:rFonts w:ascii="宋体" w:hAnsi="宋体" w:eastAsia="宋体" w:cs="宋体"/>
          <w:color w:val="auto"/>
          <w:spacing w:val="-10"/>
          <w:sz w:val="23"/>
          <w:szCs w:val="23"/>
          <w:u w:val="single" w:color="auto"/>
        </w:rPr>
        <w:t xml:space="preserve">    </w:t>
      </w:r>
      <w:r>
        <w:rPr>
          <w:rFonts w:ascii="宋体" w:hAnsi="宋体" w:eastAsia="宋体" w:cs="宋体"/>
          <w:color w:val="auto"/>
          <w:spacing w:val="-10"/>
          <w:sz w:val="23"/>
          <w:szCs w:val="23"/>
        </w:rPr>
        <w:t xml:space="preserve"> </w:t>
      </w:r>
      <w:r>
        <w:rPr>
          <w:rFonts w:ascii="宋体" w:hAnsi="宋体" w:eastAsia="宋体" w:cs="宋体"/>
          <w:color w:val="auto"/>
          <w:spacing w:val="-9"/>
          <w:sz w:val="23"/>
          <w:szCs w:val="23"/>
        </w:rPr>
        <w:t>日</w:t>
      </w:r>
    </w:p>
    <w:p w14:paraId="35CD440F">
      <w:pPr>
        <w:spacing w:before="75" w:line="230" w:lineRule="auto"/>
        <w:ind w:left="9"/>
        <w:rPr>
          <w:rFonts w:ascii="宋体" w:hAnsi="宋体" w:eastAsia="宋体" w:cs="宋体"/>
          <w:color w:val="auto"/>
          <w:sz w:val="23"/>
          <w:szCs w:val="23"/>
        </w:rPr>
      </w:pPr>
    </w:p>
    <w:p w14:paraId="21442E8E">
      <w:pPr>
        <w:spacing w:line="220" w:lineRule="auto"/>
        <w:rPr>
          <w:rFonts w:ascii="宋体" w:hAnsi="宋体" w:eastAsia="宋体" w:cs="宋体"/>
          <w:sz w:val="24"/>
          <w:szCs w:val="24"/>
        </w:rPr>
      </w:pPr>
    </w:p>
    <w:p w14:paraId="42FDF7EA">
      <w:pPr>
        <w:spacing w:line="220" w:lineRule="auto"/>
        <w:rPr>
          <w:rFonts w:ascii="宋体" w:hAnsi="宋体" w:eastAsia="宋体" w:cs="宋体"/>
          <w:sz w:val="24"/>
          <w:szCs w:val="24"/>
        </w:rPr>
        <w:sectPr>
          <w:footerReference r:id="rId123" w:type="default"/>
          <w:pgSz w:w="11905" w:h="16840"/>
          <w:pgMar w:top="1182" w:right="1416" w:bottom="1171" w:left="1416" w:header="849" w:footer="937" w:gutter="0"/>
          <w:pgNumType w:fmt="decimal"/>
          <w:cols w:space="720" w:num="1"/>
        </w:sectPr>
      </w:pPr>
    </w:p>
    <w:p w14:paraId="2FFA7F79">
      <w:pPr>
        <w:spacing w:before="91" w:line="219" w:lineRule="auto"/>
        <w:ind w:left="28"/>
        <w:rPr>
          <w:rFonts w:ascii="宋体" w:hAnsi="宋体" w:eastAsia="宋体" w:cs="宋体"/>
          <w:b/>
          <w:bCs/>
          <w:spacing w:val="-6"/>
          <w:sz w:val="28"/>
          <w:szCs w:val="28"/>
        </w:rPr>
      </w:pPr>
      <w:r>
        <w:rPr>
          <w:rFonts w:ascii="宋体" w:hAnsi="宋体" w:eastAsia="宋体" w:cs="宋体"/>
          <w:b/>
          <w:bCs/>
          <w:spacing w:val="-6"/>
          <w:sz w:val="28"/>
          <w:szCs w:val="28"/>
        </w:rPr>
        <w:t>附件八   工程资金监管协议格式</w:t>
      </w:r>
    </w:p>
    <w:p w14:paraId="052F6FCC">
      <w:pPr>
        <w:spacing w:before="43" w:line="300" w:lineRule="auto"/>
        <w:ind w:left="8" w:right="106" w:firstLine="428"/>
        <w:rPr>
          <w:rFonts w:ascii="宋体" w:hAnsi="宋体" w:eastAsia="宋体" w:cs="宋体"/>
          <w:color w:val="auto"/>
          <w:sz w:val="20"/>
          <w:szCs w:val="20"/>
        </w:rPr>
      </w:pPr>
      <w:r>
        <w:rPr>
          <w:rFonts w:hint="eastAsia" w:ascii="宋体" w:hAnsi="宋体" w:cs="宋体"/>
          <w:color w:val="auto"/>
          <w:spacing w:val="12"/>
          <w:sz w:val="20"/>
          <w:szCs w:val="20"/>
          <w:lang w:eastAsia="zh-CN"/>
        </w:rPr>
        <w:t>（</w:t>
      </w:r>
      <w:r>
        <w:rPr>
          <w:rFonts w:ascii="宋体" w:hAnsi="宋体" w:eastAsia="宋体" w:cs="宋体"/>
          <w:color w:val="auto"/>
          <w:spacing w:val="12"/>
          <w:sz w:val="20"/>
          <w:szCs w:val="20"/>
        </w:rPr>
        <w:t>发包人与承包人签订合同协议书时应与发包人指定的银行签署工程资金监管协议，工程资金监管</w:t>
      </w:r>
      <w:r>
        <w:rPr>
          <w:rFonts w:ascii="宋体" w:hAnsi="宋体" w:eastAsia="宋体" w:cs="宋体"/>
          <w:color w:val="auto"/>
          <w:spacing w:val="5"/>
          <w:sz w:val="20"/>
          <w:szCs w:val="20"/>
        </w:rPr>
        <w:t>协</w:t>
      </w:r>
      <w:r>
        <w:rPr>
          <w:rFonts w:ascii="宋体" w:hAnsi="宋体" w:eastAsia="宋体" w:cs="宋体"/>
          <w:color w:val="auto"/>
          <w:sz w:val="20"/>
          <w:szCs w:val="20"/>
        </w:rPr>
        <w:t xml:space="preserve"> </w:t>
      </w:r>
      <w:r>
        <w:rPr>
          <w:rFonts w:ascii="宋体" w:hAnsi="宋体" w:eastAsia="宋体" w:cs="宋体"/>
          <w:color w:val="auto"/>
          <w:spacing w:val="13"/>
          <w:sz w:val="20"/>
          <w:szCs w:val="20"/>
        </w:rPr>
        <w:t>议</w:t>
      </w:r>
      <w:r>
        <w:rPr>
          <w:rFonts w:ascii="宋体" w:hAnsi="宋体" w:eastAsia="宋体" w:cs="宋体"/>
          <w:color w:val="auto"/>
          <w:spacing w:val="9"/>
          <w:sz w:val="20"/>
          <w:szCs w:val="20"/>
        </w:rPr>
        <w:t>内容在保证本项目资金有效监管的前提下由三方共同商定</w:t>
      </w:r>
      <w:r>
        <w:rPr>
          <w:rFonts w:hint="eastAsia" w:ascii="宋体" w:hAnsi="宋体" w:cs="宋体"/>
          <w:color w:val="auto"/>
          <w:spacing w:val="9"/>
          <w:sz w:val="20"/>
          <w:szCs w:val="20"/>
          <w:lang w:eastAsia="zh-CN"/>
        </w:rPr>
        <w:t>）</w:t>
      </w:r>
    </w:p>
    <w:p w14:paraId="7C180629">
      <w:pPr>
        <w:spacing w:before="91" w:line="222" w:lineRule="auto"/>
        <w:ind w:left="3718"/>
        <w:rPr>
          <w:rFonts w:ascii="黑体" w:hAnsi="黑体" w:eastAsia="黑体" w:cs="黑体"/>
          <w:color w:val="auto"/>
          <w:sz w:val="28"/>
          <w:szCs w:val="28"/>
        </w:rPr>
      </w:pPr>
      <w:r>
        <w:rPr>
          <w:rFonts w:ascii="黑体" w:hAnsi="黑体" w:eastAsia="黑体" w:cs="黑体"/>
          <w:color w:val="auto"/>
          <w:spacing w:val="-1"/>
          <w:sz w:val="28"/>
          <w:szCs w:val="28"/>
          <w14:textOutline w14:w="5103" w14:cap="sq" w14:cmpd="sng">
            <w14:solidFill>
              <w14:srgbClr w14:val="000000"/>
            </w14:solidFill>
            <w14:prstDash w14:val="solid"/>
            <w14:bevel/>
          </w14:textOutline>
        </w:rPr>
        <w:t>工程资金</w:t>
      </w:r>
      <w:r>
        <w:rPr>
          <w:rFonts w:ascii="黑体" w:hAnsi="黑体" w:eastAsia="黑体" w:cs="黑体"/>
          <w:color w:val="auto"/>
          <w:sz w:val="28"/>
          <w:szCs w:val="28"/>
          <w14:textOutline w14:w="5103" w14:cap="sq" w14:cmpd="sng">
            <w14:solidFill>
              <w14:srgbClr w14:val="000000"/>
            </w14:solidFill>
            <w14:prstDash w14:val="solid"/>
            <w14:bevel/>
          </w14:textOutline>
        </w:rPr>
        <w:t>监管协议</w:t>
      </w:r>
    </w:p>
    <w:p w14:paraId="2180237E">
      <w:pPr>
        <w:spacing w:before="127" w:line="222" w:lineRule="auto"/>
        <w:ind w:left="430"/>
        <w:rPr>
          <w:rFonts w:ascii="宋体" w:hAnsi="宋体" w:eastAsia="宋体" w:cs="宋体"/>
          <w:color w:val="auto"/>
          <w:sz w:val="20"/>
          <w:szCs w:val="20"/>
        </w:rPr>
      </w:pPr>
      <w:r>
        <w:rPr>
          <w:rFonts w:ascii="宋体" w:hAnsi="宋体" w:eastAsia="宋体" w:cs="宋体"/>
          <w:color w:val="auto"/>
          <w:spacing w:val="-1"/>
          <w:sz w:val="20"/>
          <w:szCs w:val="20"/>
        </w:rPr>
        <w:t>发 包</w:t>
      </w:r>
      <w:r>
        <w:rPr>
          <w:rFonts w:ascii="宋体" w:hAnsi="宋体" w:eastAsia="宋体" w:cs="宋体"/>
          <w:color w:val="auto"/>
          <w:sz w:val="20"/>
          <w:szCs w:val="20"/>
        </w:rPr>
        <w:t xml:space="preserve"> 人：</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以下简称“甲方”</w:t>
      </w:r>
      <w:r>
        <w:rPr>
          <w:rFonts w:hint="eastAsia" w:ascii="宋体" w:hAnsi="宋体" w:cs="宋体"/>
          <w:color w:val="auto"/>
          <w:sz w:val="20"/>
          <w:szCs w:val="20"/>
          <w:lang w:eastAsia="zh-CN"/>
        </w:rPr>
        <w:t>）</w:t>
      </w:r>
    </w:p>
    <w:p w14:paraId="73C147E9">
      <w:pPr>
        <w:spacing w:line="221" w:lineRule="auto"/>
        <w:ind w:left="426"/>
        <w:rPr>
          <w:rFonts w:ascii="宋体" w:hAnsi="宋体" w:eastAsia="宋体" w:cs="宋体"/>
          <w:color w:val="auto"/>
          <w:sz w:val="20"/>
          <w:szCs w:val="20"/>
        </w:rPr>
      </w:pPr>
      <w:r>
        <w:rPr>
          <w:rFonts w:ascii="宋体" w:hAnsi="宋体" w:eastAsia="宋体" w:cs="宋体"/>
          <w:color w:val="auto"/>
          <w:sz w:val="20"/>
          <w:szCs w:val="20"/>
        </w:rPr>
        <w:t>承 包 人：</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以下简称“乙方”</w:t>
      </w:r>
      <w:r>
        <w:rPr>
          <w:rFonts w:hint="eastAsia" w:ascii="宋体" w:hAnsi="宋体" w:cs="宋体"/>
          <w:color w:val="auto"/>
          <w:sz w:val="20"/>
          <w:szCs w:val="20"/>
          <w:lang w:eastAsia="zh-CN"/>
        </w:rPr>
        <w:t>）</w:t>
      </w:r>
    </w:p>
    <w:p w14:paraId="471BBD75">
      <w:pPr>
        <w:spacing w:before="1" w:line="221" w:lineRule="auto"/>
        <w:ind w:left="428"/>
        <w:rPr>
          <w:rFonts w:ascii="宋体" w:hAnsi="宋体" w:eastAsia="宋体" w:cs="宋体"/>
          <w:color w:val="auto"/>
          <w:sz w:val="20"/>
          <w:szCs w:val="20"/>
        </w:rPr>
      </w:pPr>
      <w:r>
        <w:rPr>
          <w:rFonts w:ascii="宋体" w:hAnsi="宋体" w:eastAsia="宋体" w:cs="宋体"/>
          <w:color w:val="auto"/>
          <w:spacing w:val="-1"/>
          <w:sz w:val="20"/>
          <w:szCs w:val="20"/>
        </w:rPr>
        <w:t>经</w:t>
      </w:r>
      <w:r>
        <w:rPr>
          <w:rFonts w:ascii="宋体" w:hAnsi="宋体" w:eastAsia="宋体" w:cs="宋体"/>
          <w:color w:val="auto"/>
          <w:sz w:val="20"/>
          <w:szCs w:val="20"/>
        </w:rPr>
        <w:t>办银行：</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以下简称“丙方”</w:t>
      </w:r>
      <w:r>
        <w:rPr>
          <w:rFonts w:hint="eastAsia" w:ascii="宋体" w:hAnsi="宋体" w:cs="宋体"/>
          <w:color w:val="auto"/>
          <w:sz w:val="20"/>
          <w:szCs w:val="20"/>
          <w:lang w:eastAsia="zh-CN"/>
        </w:rPr>
        <w:t>）</w:t>
      </w:r>
    </w:p>
    <w:p w14:paraId="60E1BF00">
      <w:pPr>
        <w:spacing w:before="1" w:line="221" w:lineRule="auto"/>
        <w:ind w:left="6" w:right="106" w:firstLine="423"/>
        <w:rPr>
          <w:rFonts w:ascii="宋体" w:hAnsi="宋体" w:eastAsia="宋体" w:cs="宋体"/>
          <w:color w:val="auto"/>
          <w:sz w:val="20"/>
          <w:szCs w:val="20"/>
        </w:rPr>
      </w:pPr>
      <w:r>
        <w:rPr>
          <w:rFonts w:ascii="宋体" w:hAnsi="宋体" w:eastAsia="宋体" w:cs="宋体"/>
          <w:color w:val="auto"/>
          <w:spacing w:val="16"/>
          <w:sz w:val="20"/>
          <w:szCs w:val="20"/>
        </w:rPr>
        <w:t>为了促进</w:t>
      </w:r>
      <w:r>
        <w:rPr>
          <w:rFonts w:ascii="宋体" w:hAnsi="宋体" w:eastAsia="宋体" w:cs="宋体"/>
          <w:color w:val="auto"/>
          <w:spacing w:val="13"/>
          <w:sz w:val="20"/>
          <w:szCs w:val="20"/>
          <w:u w:val="single" w:color="auto"/>
        </w:rPr>
        <w:t xml:space="preserve"> </w:t>
      </w:r>
      <w:r>
        <w:rPr>
          <w:rFonts w:ascii="宋体" w:hAnsi="宋体" w:eastAsia="宋体" w:cs="宋体"/>
          <w:color w:val="auto"/>
          <w:spacing w:val="8"/>
          <w:sz w:val="20"/>
          <w:szCs w:val="20"/>
          <w:u w:val="single" w:color="auto"/>
        </w:rPr>
        <w:t xml:space="preserve">      </w:t>
      </w:r>
      <w:r>
        <w:rPr>
          <w:rFonts w:hint="eastAsia" w:ascii="宋体" w:hAnsi="宋体" w:cs="宋体"/>
          <w:color w:val="auto"/>
          <w:spacing w:val="8"/>
          <w:sz w:val="20"/>
          <w:szCs w:val="20"/>
          <w:u w:val="single" w:color="auto"/>
          <w:lang w:eastAsia="zh-CN"/>
        </w:rPr>
        <w:t>（</w:t>
      </w:r>
      <w:r>
        <w:rPr>
          <w:rFonts w:ascii="宋体" w:hAnsi="宋体" w:eastAsia="宋体" w:cs="宋体"/>
          <w:color w:val="auto"/>
          <w:spacing w:val="8"/>
          <w:sz w:val="20"/>
          <w:szCs w:val="20"/>
        </w:rPr>
        <w:t>项目名称</w:t>
      </w:r>
      <w:r>
        <w:rPr>
          <w:rFonts w:hint="eastAsia" w:ascii="宋体" w:hAnsi="宋体" w:cs="宋体"/>
          <w:color w:val="auto"/>
          <w:spacing w:val="8"/>
          <w:sz w:val="20"/>
          <w:szCs w:val="20"/>
          <w:lang w:eastAsia="zh-CN"/>
        </w:rPr>
        <w:t>）</w:t>
      </w:r>
      <w:r>
        <w:rPr>
          <w:rFonts w:ascii="宋体" w:hAnsi="宋体" w:eastAsia="宋体" w:cs="宋体"/>
          <w:color w:val="auto"/>
          <w:spacing w:val="8"/>
          <w:sz w:val="20"/>
          <w:szCs w:val="20"/>
        </w:rPr>
        <w:t xml:space="preserve"> 的顺利实施，管好用好建设资金，确保工程资金专款专用，同时为承包</w:t>
      </w:r>
      <w:r>
        <w:rPr>
          <w:rFonts w:ascii="宋体" w:hAnsi="宋体" w:eastAsia="宋体" w:cs="宋体"/>
          <w:color w:val="auto"/>
          <w:sz w:val="20"/>
          <w:szCs w:val="20"/>
        </w:rPr>
        <w:t xml:space="preserve"> </w:t>
      </w:r>
      <w:r>
        <w:rPr>
          <w:rFonts w:ascii="宋体" w:hAnsi="宋体" w:eastAsia="宋体" w:cs="宋体"/>
          <w:color w:val="auto"/>
          <w:spacing w:val="9"/>
          <w:sz w:val="20"/>
          <w:szCs w:val="20"/>
        </w:rPr>
        <w:t>人提供便捷有效的银行业务服务，根据</w:t>
      </w:r>
      <w:r>
        <w:rPr>
          <w:rFonts w:ascii="宋体" w:hAnsi="宋体" w:eastAsia="宋体" w:cs="宋体"/>
          <w:color w:val="auto"/>
          <w:spacing w:val="9"/>
          <w:sz w:val="20"/>
          <w:szCs w:val="20"/>
          <w:u w:val="single" w:color="auto"/>
        </w:rPr>
        <w:t xml:space="preserve">       </w:t>
      </w:r>
      <w:r>
        <w:rPr>
          <w:rFonts w:hint="eastAsia" w:ascii="宋体" w:hAnsi="宋体" w:cs="宋体"/>
          <w:color w:val="auto"/>
          <w:spacing w:val="9"/>
          <w:sz w:val="20"/>
          <w:szCs w:val="20"/>
          <w:u w:val="single" w:color="auto"/>
          <w:lang w:eastAsia="zh-CN"/>
        </w:rPr>
        <w:t>（</w:t>
      </w:r>
      <w:r>
        <w:rPr>
          <w:rFonts w:ascii="宋体" w:hAnsi="宋体" w:eastAsia="宋体" w:cs="宋体"/>
          <w:color w:val="auto"/>
          <w:spacing w:val="9"/>
          <w:sz w:val="20"/>
          <w:szCs w:val="20"/>
        </w:rPr>
        <w:t>项目名称</w:t>
      </w:r>
      <w:r>
        <w:rPr>
          <w:rFonts w:hint="eastAsia" w:ascii="宋体" w:hAnsi="宋体" w:cs="宋体"/>
          <w:color w:val="auto"/>
          <w:spacing w:val="9"/>
          <w:sz w:val="20"/>
          <w:szCs w:val="20"/>
          <w:lang w:eastAsia="zh-CN"/>
        </w:rPr>
        <w:t>）</w:t>
      </w:r>
      <w:r>
        <w:rPr>
          <w:rFonts w:ascii="宋体" w:hAnsi="宋体" w:eastAsia="宋体" w:cs="宋体"/>
          <w:color w:val="auto"/>
          <w:spacing w:val="9"/>
          <w:sz w:val="20"/>
          <w:szCs w:val="20"/>
        </w:rPr>
        <w:t xml:space="preserve"> 合同条款有关规定，经甲、乙、丙三方协商</w:t>
      </w:r>
      <w:r>
        <w:rPr>
          <w:rFonts w:ascii="宋体" w:hAnsi="宋体" w:eastAsia="宋体" w:cs="宋体"/>
          <w:color w:val="auto"/>
          <w:spacing w:val="2"/>
          <w:sz w:val="20"/>
          <w:szCs w:val="20"/>
        </w:rPr>
        <w:t>，</w:t>
      </w:r>
      <w:r>
        <w:rPr>
          <w:rFonts w:ascii="宋体" w:hAnsi="宋体" w:eastAsia="宋体" w:cs="宋体"/>
          <w:color w:val="auto"/>
          <w:sz w:val="20"/>
          <w:szCs w:val="20"/>
        </w:rPr>
        <w:t xml:space="preserve"> </w:t>
      </w:r>
      <w:r>
        <w:rPr>
          <w:rFonts w:ascii="宋体" w:hAnsi="宋体" w:eastAsia="宋体" w:cs="宋体"/>
          <w:color w:val="auto"/>
          <w:spacing w:val="8"/>
          <w:sz w:val="20"/>
          <w:szCs w:val="20"/>
        </w:rPr>
        <w:t>达</w:t>
      </w:r>
      <w:r>
        <w:rPr>
          <w:rFonts w:ascii="宋体" w:hAnsi="宋体" w:eastAsia="宋体" w:cs="宋体"/>
          <w:color w:val="auto"/>
          <w:spacing w:val="7"/>
          <w:sz w:val="20"/>
          <w:szCs w:val="20"/>
        </w:rPr>
        <w:t>成协议如下：</w:t>
      </w:r>
    </w:p>
    <w:p w14:paraId="16D11E83">
      <w:pPr>
        <w:spacing w:before="1" w:line="221" w:lineRule="auto"/>
        <w:ind w:left="22"/>
        <w:rPr>
          <w:rFonts w:ascii="宋体" w:hAnsi="宋体" w:eastAsia="宋体" w:cs="宋体"/>
          <w:color w:val="auto"/>
          <w:sz w:val="20"/>
          <w:szCs w:val="20"/>
        </w:rPr>
      </w:pPr>
      <w:r>
        <w:rPr>
          <w:rFonts w:ascii="宋体" w:hAnsi="宋体" w:eastAsia="宋体" w:cs="宋体"/>
          <w:color w:val="auto"/>
          <w:spacing w:val="8"/>
          <w:sz w:val="20"/>
          <w:szCs w:val="20"/>
        </w:rPr>
        <w:t>1</w:t>
      </w:r>
      <w:r>
        <w:rPr>
          <w:rFonts w:ascii="宋体" w:hAnsi="宋体" w:eastAsia="宋体" w:cs="宋体"/>
          <w:color w:val="auto"/>
          <w:spacing w:val="6"/>
          <w:sz w:val="20"/>
          <w:szCs w:val="20"/>
        </w:rPr>
        <w:t>. 资金管理的内容</w:t>
      </w:r>
    </w:p>
    <w:p w14:paraId="60C44BB0">
      <w:pPr>
        <w:spacing w:before="1" w:line="221" w:lineRule="auto"/>
        <w:ind w:left="17"/>
        <w:rPr>
          <w:rFonts w:ascii="宋体" w:hAnsi="宋体" w:eastAsia="宋体" w:cs="宋体"/>
          <w:color w:val="auto"/>
          <w:sz w:val="20"/>
          <w:szCs w:val="20"/>
        </w:rPr>
      </w:pPr>
      <w:r>
        <w:rPr>
          <w:rFonts w:ascii="宋体" w:hAnsi="宋体" w:eastAsia="宋体" w:cs="宋体"/>
          <w:color w:val="auto"/>
          <w:spacing w:val="14"/>
          <w:sz w:val="20"/>
          <w:szCs w:val="20"/>
        </w:rPr>
        <w:t>(</w:t>
      </w:r>
      <w:r>
        <w:rPr>
          <w:rFonts w:ascii="宋体" w:hAnsi="宋体" w:eastAsia="宋体" w:cs="宋体"/>
          <w:color w:val="auto"/>
          <w:spacing w:val="10"/>
          <w:sz w:val="20"/>
          <w:szCs w:val="20"/>
        </w:rPr>
        <w:t>1) 乙方为完成</w:t>
      </w:r>
      <w:r>
        <w:rPr>
          <w:rFonts w:ascii="宋体" w:hAnsi="宋体" w:eastAsia="宋体" w:cs="宋体"/>
          <w:color w:val="auto"/>
          <w:spacing w:val="10"/>
          <w:sz w:val="20"/>
          <w:szCs w:val="20"/>
          <w:u w:val="single" w:color="auto"/>
        </w:rPr>
        <w:t xml:space="preserve">       </w:t>
      </w:r>
      <w:r>
        <w:rPr>
          <w:rFonts w:hint="eastAsia" w:ascii="宋体" w:hAnsi="宋体" w:cs="宋体"/>
          <w:color w:val="auto"/>
          <w:spacing w:val="10"/>
          <w:sz w:val="20"/>
          <w:szCs w:val="20"/>
          <w:u w:val="single" w:color="auto"/>
          <w:lang w:eastAsia="zh-CN"/>
        </w:rPr>
        <w:t>（</w:t>
      </w:r>
      <w:r>
        <w:rPr>
          <w:rFonts w:ascii="宋体" w:hAnsi="宋体" w:eastAsia="宋体" w:cs="宋体"/>
          <w:color w:val="auto"/>
          <w:spacing w:val="10"/>
          <w:sz w:val="20"/>
          <w:szCs w:val="20"/>
        </w:rPr>
        <w:t>项目名称</w:t>
      </w:r>
      <w:r>
        <w:rPr>
          <w:rFonts w:hint="eastAsia" w:ascii="宋体" w:hAnsi="宋体" w:cs="宋体"/>
          <w:color w:val="auto"/>
          <w:spacing w:val="10"/>
          <w:sz w:val="20"/>
          <w:szCs w:val="20"/>
          <w:lang w:eastAsia="zh-CN"/>
        </w:rPr>
        <w:t>）</w:t>
      </w:r>
      <w:r>
        <w:rPr>
          <w:rFonts w:ascii="宋体" w:hAnsi="宋体" w:eastAsia="宋体" w:cs="宋体"/>
          <w:color w:val="auto"/>
          <w:spacing w:val="10"/>
          <w:sz w:val="20"/>
          <w:szCs w:val="20"/>
        </w:rPr>
        <w:t xml:space="preserve"> 工程成立的项目经理部在丙方开设基本结算户；</w:t>
      </w:r>
    </w:p>
    <w:p w14:paraId="66DA7CBB">
      <w:pPr>
        <w:spacing w:line="221" w:lineRule="auto"/>
        <w:ind w:left="17"/>
        <w:rPr>
          <w:rFonts w:ascii="宋体" w:hAnsi="宋体" w:eastAsia="宋体" w:cs="宋体"/>
          <w:color w:val="auto"/>
          <w:sz w:val="20"/>
          <w:szCs w:val="20"/>
        </w:rPr>
      </w:pPr>
      <w:r>
        <w:rPr>
          <w:rFonts w:ascii="宋体" w:hAnsi="宋体" w:eastAsia="宋体" w:cs="宋体"/>
          <w:color w:val="auto"/>
          <w:spacing w:val="12"/>
          <w:sz w:val="20"/>
          <w:szCs w:val="20"/>
        </w:rPr>
        <w:t>(2) 甲方应按合同规定将工程款汇入乙方在丙方开设的账户</w:t>
      </w:r>
      <w:r>
        <w:rPr>
          <w:rFonts w:ascii="宋体" w:hAnsi="宋体" w:eastAsia="宋体" w:cs="宋体"/>
          <w:color w:val="auto"/>
          <w:spacing w:val="11"/>
          <w:sz w:val="20"/>
          <w:szCs w:val="20"/>
        </w:rPr>
        <w:t>；</w:t>
      </w:r>
    </w:p>
    <w:p w14:paraId="2F23C7C5">
      <w:pPr>
        <w:spacing w:before="1" w:line="221" w:lineRule="auto"/>
        <w:ind w:left="17"/>
        <w:rPr>
          <w:rFonts w:ascii="宋体" w:hAnsi="宋体" w:eastAsia="宋体" w:cs="宋体"/>
          <w:color w:val="auto"/>
          <w:sz w:val="20"/>
          <w:szCs w:val="20"/>
        </w:rPr>
      </w:pPr>
      <w:r>
        <w:rPr>
          <w:rFonts w:ascii="宋体" w:hAnsi="宋体" w:eastAsia="宋体" w:cs="宋体"/>
          <w:color w:val="auto"/>
          <w:spacing w:val="19"/>
          <w:sz w:val="20"/>
          <w:szCs w:val="20"/>
        </w:rPr>
        <w:t>(</w:t>
      </w:r>
      <w:r>
        <w:rPr>
          <w:rFonts w:ascii="宋体" w:hAnsi="宋体" w:eastAsia="宋体" w:cs="宋体"/>
          <w:color w:val="auto"/>
          <w:spacing w:val="10"/>
          <w:sz w:val="20"/>
          <w:szCs w:val="20"/>
        </w:rPr>
        <w:t>3) 乙方应将流动资金及甲方所拨付资金专项用于</w:t>
      </w:r>
      <w:r>
        <w:rPr>
          <w:rFonts w:ascii="宋体" w:hAnsi="宋体" w:eastAsia="宋体" w:cs="宋体"/>
          <w:color w:val="auto"/>
          <w:spacing w:val="10"/>
          <w:sz w:val="20"/>
          <w:szCs w:val="20"/>
          <w:u w:val="single" w:color="auto"/>
        </w:rPr>
        <w:t xml:space="preserve">       </w:t>
      </w:r>
      <w:r>
        <w:rPr>
          <w:rFonts w:hint="eastAsia" w:ascii="宋体" w:hAnsi="宋体" w:cs="宋体"/>
          <w:color w:val="auto"/>
          <w:spacing w:val="10"/>
          <w:sz w:val="20"/>
          <w:szCs w:val="20"/>
          <w:u w:val="single" w:color="auto"/>
          <w:lang w:eastAsia="zh-CN"/>
        </w:rPr>
        <w:t>（</w:t>
      </w:r>
      <w:r>
        <w:rPr>
          <w:rFonts w:ascii="宋体" w:hAnsi="宋体" w:eastAsia="宋体" w:cs="宋体"/>
          <w:color w:val="auto"/>
          <w:spacing w:val="10"/>
          <w:sz w:val="20"/>
          <w:szCs w:val="20"/>
        </w:rPr>
        <w:t>项目名称</w:t>
      </w:r>
      <w:r>
        <w:rPr>
          <w:rFonts w:hint="eastAsia" w:ascii="宋体" w:hAnsi="宋体" w:cs="宋体"/>
          <w:color w:val="auto"/>
          <w:spacing w:val="10"/>
          <w:sz w:val="20"/>
          <w:szCs w:val="20"/>
          <w:lang w:eastAsia="zh-CN"/>
        </w:rPr>
        <w:t>）</w:t>
      </w:r>
      <w:r>
        <w:rPr>
          <w:rFonts w:ascii="宋体" w:hAnsi="宋体" w:eastAsia="宋体" w:cs="宋体"/>
          <w:color w:val="auto"/>
          <w:spacing w:val="10"/>
          <w:sz w:val="20"/>
          <w:szCs w:val="20"/>
        </w:rPr>
        <w:t xml:space="preserve"> ；</w:t>
      </w:r>
    </w:p>
    <w:p w14:paraId="120FFC1E">
      <w:pPr>
        <w:spacing w:before="1" w:line="221" w:lineRule="auto"/>
        <w:ind w:left="8" w:right="106" w:firstLine="8"/>
        <w:rPr>
          <w:rFonts w:ascii="宋体" w:hAnsi="宋体" w:eastAsia="宋体" w:cs="宋体"/>
          <w:color w:val="auto"/>
          <w:sz w:val="20"/>
          <w:szCs w:val="20"/>
        </w:rPr>
      </w:pPr>
      <w:r>
        <w:rPr>
          <w:rFonts w:ascii="宋体" w:hAnsi="宋体" w:eastAsia="宋体" w:cs="宋体"/>
          <w:color w:val="auto"/>
          <w:spacing w:val="18"/>
          <w:sz w:val="20"/>
          <w:szCs w:val="20"/>
        </w:rPr>
        <w:t>(</w:t>
      </w:r>
      <w:r>
        <w:rPr>
          <w:rFonts w:ascii="宋体" w:hAnsi="宋体" w:eastAsia="宋体" w:cs="宋体"/>
          <w:color w:val="auto"/>
          <w:spacing w:val="9"/>
          <w:sz w:val="20"/>
          <w:szCs w:val="20"/>
        </w:rPr>
        <w:t>4) 丙方应为乙方提供便捷有效的银行业务服务，并接受甲方委托对乙方在丙方开设的基本结算户资金使</w:t>
      </w:r>
      <w:r>
        <w:rPr>
          <w:rFonts w:ascii="宋体" w:hAnsi="宋体" w:eastAsia="宋体" w:cs="宋体"/>
          <w:color w:val="auto"/>
          <w:sz w:val="20"/>
          <w:szCs w:val="20"/>
        </w:rPr>
        <w:t xml:space="preserve"> </w:t>
      </w:r>
      <w:r>
        <w:rPr>
          <w:rFonts w:ascii="宋体" w:hAnsi="宋体" w:eastAsia="宋体" w:cs="宋体"/>
          <w:color w:val="auto"/>
          <w:spacing w:val="10"/>
          <w:sz w:val="20"/>
          <w:szCs w:val="20"/>
        </w:rPr>
        <w:t>用</w:t>
      </w:r>
      <w:r>
        <w:rPr>
          <w:rFonts w:ascii="宋体" w:hAnsi="宋体" w:eastAsia="宋体" w:cs="宋体"/>
          <w:color w:val="auto"/>
          <w:spacing w:val="7"/>
          <w:sz w:val="20"/>
          <w:szCs w:val="20"/>
        </w:rPr>
        <w:t>情况进行监督。</w:t>
      </w:r>
    </w:p>
    <w:p w14:paraId="1CCA7C66">
      <w:pPr>
        <w:spacing w:before="1" w:line="221" w:lineRule="auto"/>
        <w:ind w:left="9"/>
        <w:rPr>
          <w:rFonts w:ascii="宋体" w:hAnsi="宋体" w:eastAsia="宋体" w:cs="宋体"/>
          <w:color w:val="auto"/>
          <w:sz w:val="20"/>
          <w:szCs w:val="20"/>
        </w:rPr>
      </w:pPr>
      <w:r>
        <w:rPr>
          <w:rFonts w:ascii="宋体" w:hAnsi="宋体" w:eastAsia="宋体" w:cs="宋体"/>
          <w:color w:val="auto"/>
          <w:spacing w:val="7"/>
          <w:sz w:val="20"/>
          <w:szCs w:val="20"/>
        </w:rPr>
        <w:t>2. 甲方的权</w:t>
      </w:r>
      <w:r>
        <w:rPr>
          <w:rFonts w:ascii="宋体" w:hAnsi="宋体" w:eastAsia="宋体" w:cs="宋体"/>
          <w:color w:val="auto"/>
          <w:spacing w:val="6"/>
          <w:sz w:val="20"/>
          <w:szCs w:val="20"/>
        </w:rPr>
        <w:t>责</w:t>
      </w:r>
    </w:p>
    <w:p w14:paraId="683E39D2">
      <w:pPr>
        <w:spacing w:line="221" w:lineRule="auto"/>
        <w:ind w:left="17"/>
        <w:rPr>
          <w:rFonts w:ascii="宋体" w:hAnsi="宋体" w:eastAsia="宋体" w:cs="宋体"/>
          <w:color w:val="auto"/>
          <w:sz w:val="20"/>
          <w:szCs w:val="20"/>
        </w:rPr>
      </w:pPr>
      <w:r>
        <w:rPr>
          <w:rFonts w:ascii="宋体" w:hAnsi="宋体" w:eastAsia="宋体" w:cs="宋体"/>
          <w:color w:val="auto"/>
          <w:spacing w:val="17"/>
          <w:sz w:val="20"/>
          <w:szCs w:val="20"/>
        </w:rPr>
        <w:t>(</w:t>
      </w:r>
      <w:r>
        <w:rPr>
          <w:rFonts w:ascii="宋体" w:hAnsi="宋体" w:eastAsia="宋体" w:cs="宋体"/>
          <w:color w:val="auto"/>
          <w:spacing w:val="10"/>
          <w:sz w:val="20"/>
          <w:szCs w:val="20"/>
        </w:rPr>
        <w:t>1) 按照</w:t>
      </w:r>
      <w:r>
        <w:rPr>
          <w:rFonts w:ascii="宋体" w:hAnsi="宋体" w:eastAsia="宋体" w:cs="宋体"/>
          <w:color w:val="auto"/>
          <w:spacing w:val="10"/>
          <w:sz w:val="20"/>
          <w:szCs w:val="20"/>
          <w:u w:val="single" w:color="auto"/>
        </w:rPr>
        <w:t xml:space="preserve">       </w:t>
      </w:r>
      <w:r>
        <w:rPr>
          <w:rFonts w:hint="eastAsia" w:ascii="宋体" w:hAnsi="宋体" w:cs="宋体"/>
          <w:color w:val="auto"/>
          <w:spacing w:val="10"/>
          <w:sz w:val="20"/>
          <w:szCs w:val="20"/>
          <w:u w:val="single" w:color="auto"/>
          <w:lang w:eastAsia="zh-CN"/>
        </w:rPr>
        <w:t>（</w:t>
      </w:r>
      <w:r>
        <w:rPr>
          <w:rFonts w:ascii="宋体" w:hAnsi="宋体" w:eastAsia="宋体" w:cs="宋体"/>
          <w:color w:val="auto"/>
          <w:spacing w:val="10"/>
          <w:sz w:val="20"/>
          <w:szCs w:val="20"/>
        </w:rPr>
        <w:t>项目名称</w:t>
      </w:r>
      <w:r>
        <w:rPr>
          <w:rFonts w:hint="eastAsia" w:ascii="宋体" w:hAnsi="宋体" w:cs="宋体"/>
          <w:color w:val="auto"/>
          <w:spacing w:val="10"/>
          <w:sz w:val="20"/>
          <w:szCs w:val="20"/>
          <w:lang w:eastAsia="zh-CN"/>
        </w:rPr>
        <w:t>）</w:t>
      </w:r>
      <w:r>
        <w:rPr>
          <w:rFonts w:ascii="宋体" w:hAnsi="宋体" w:eastAsia="宋体" w:cs="宋体"/>
          <w:color w:val="auto"/>
          <w:spacing w:val="10"/>
          <w:sz w:val="20"/>
          <w:szCs w:val="20"/>
        </w:rPr>
        <w:t xml:space="preserve"> 合同有关条款规定的时间和方式，向乙方支付工程款；</w:t>
      </w:r>
    </w:p>
    <w:p w14:paraId="44E5F6FD">
      <w:pPr>
        <w:spacing w:before="1" w:line="221" w:lineRule="auto"/>
        <w:ind w:left="17"/>
        <w:rPr>
          <w:rFonts w:ascii="宋体" w:hAnsi="宋体" w:eastAsia="宋体" w:cs="宋体"/>
          <w:color w:val="auto"/>
          <w:sz w:val="20"/>
          <w:szCs w:val="20"/>
        </w:rPr>
      </w:pPr>
      <w:r>
        <w:rPr>
          <w:rFonts w:ascii="宋体" w:hAnsi="宋体" w:eastAsia="宋体" w:cs="宋体"/>
          <w:color w:val="auto"/>
          <w:spacing w:val="22"/>
          <w:sz w:val="20"/>
          <w:szCs w:val="20"/>
        </w:rPr>
        <w:t>(</w:t>
      </w:r>
      <w:r>
        <w:rPr>
          <w:rFonts w:ascii="宋体" w:hAnsi="宋体" w:eastAsia="宋体" w:cs="宋体"/>
          <w:color w:val="auto"/>
          <w:spacing w:val="14"/>
          <w:sz w:val="20"/>
          <w:szCs w:val="20"/>
        </w:rPr>
        <w:t>2</w:t>
      </w:r>
      <w:r>
        <w:rPr>
          <w:rFonts w:ascii="宋体" w:hAnsi="宋体" w:eastAsia="宋体" w:cs="宋体"/>
          <w:color w:val="auto"/>
          <w:spacing w:val="11"/>
          <w:sz w:val="20"/>
          <w:szCs w:val="20"/>
        </w:rPr>
        <w:t>) 在发现乙方将本项目资金挪用、转移时，甲方有权中止工程支付，直至乙方改正为止；</w:t>
      </w:r>
    </w:p>
    <w:p w14:paraId="48AE3444">
      <w:pPr>
        <w:spacing w:line="221" w:lineRule="auto"/>
        <w:ind w:left="17"/>
        <w:rPr>
          <w:rFonts w:ascii="宋体" w:hAnsi="宋体" w:eastAsia="宋体" w:cs="宋体"/>
          <w:color w:val="auto"/>
          <w:sz w:val="20"/>
          <w:szCs w:val="20"/>
        </w:rPr>
      </w:pPr>
      <w:r>
        <w:rPr>
          <w:rFonts w:ascii="宋体" w:hAnsi="宋体" w:eastAsia="宋体" w:cs="宋体"/>
          <w:color w:val="auto"/>
          <w:spacing w:val="9"/>
          <w:sz w:val="20"/>
          <w:szCs w:val="20"/>
        </w:rPr>
        <w:t>(3) 不定期审查丙方对乙方的资金使用监督情况，如丙方不能履行其责任， 甲方有权随时终止本协议</w:t>
      </w:r>
      <w:r>
        <w:rPr>
          <w:rFonts w:ascii="宋体" w:hAnsi="宋体" w:eastAsia="宋体" w:cs="宋体"/>
          <w:color w:val="auto"/>
          <w:spacing w:val="4"/>
          <w:sz w:val="20"/>
          <w:szCs w:val="20"/>
        </w:rPr>
        <w:t>；</w:t>
      </w:r>
    </w:p>
    <w:p w14:paraId="666FAAFB">
      <w:pPr>
        <w:spacing w:before="1" w:line="221" w:lineRule="auto"/>
        <w:ind w:left="17"/>
        <w:rPr>
          <w:rFonts w:ascii="宋体" w:hAnsi="宋体" w:eastAsia="宋体" w:cs="宋体"/>
          <w:color w:val="auto"/>
          <w:sz w:val="20"/>
          <w:szCs w:val="20"/>
        </w:rPr>
      </w:pPr>
      <w:r>
        <w:rPr>
          <w:rFonts w:ascii="宋体" w:hAnsi="宋体" w:eastAsia="宋体" w:cs="宋体"/>
          <w:color w:val="auto"/>
          <w:spacing w:val="15"/>
          <w:sz w:val="20"/>
          <w:szCs w:val="20"/>
        </w:rPr>
        <w:t>(</w:t>
      </w:r>
      <w:r>
        <w:rPr>
          <w:rFonts w:ascii="宋体" w:hAnsi="宋体" w:eastAsia="宋体" w:cs="宋体"/>
          <w:color w:val="auto"/>
          <w:spacing w:val="12"/>
          <w:sz w:val="20"/>
          <w:szCs w:val="20"/>
        </w:rPr>
        <w:t>4) 在乙、丙双方发生争议时，甲方应负责协调、解决。</w:t>
      </w:r>
    </w:p>
    <w:p w14:paraId="21DDEE05">
      <w:pPr>
        <w:spacing w:line="221" w:lineRule="auto"/>
        <w:ind w:left="11"/>
        <w:rPr>
          <w:rFonts w:ascii="宋体" w:hAnsi="宋体" w:eastAsia="宋体" w:cs="宋体"/>
          <w:color w:val="auto"/>
          <w:sz w:val="20"/>
          <w:szCs w:val="20"/>
        </w:rPr>
      </w:pPr>
      <w:r>
        <w:rPr>
          <w:rFonts w:ascii="宋体" w:hAnsi="宋体" w:eastAsia="宋体" w:cs="宋体"/>
          <w:color w:val="auto"/>
          <w:spacing w:val="11"/>
          <w:sz w:val="20"/>
          <w:szCs w:val="20"/>
        </w:rPr>
        <w:t>3</w:t>
      </w:r>
      <w:r>
        <w:rPr>
          <w:rFonts w:ascii="宋体" w:hAnsi="宋体" w:eastAsia="宋体" w:cs="宋体"/>
          <w:color w:val="auto"/>
          <w:spacing w:val="6"/>
          <w:sz w:val="20"/>
          <w:szCs w:val="20"/>
        </w:rPr>
        <w:t>. 乙方的权责</w:t>
      </w:r>
    </w:p>
    <w:p w14:paraId="27BA2A50">
      <w:pPr>
        <w:spacing w:before="1" w:line="221" w:lineRule="auto"/>
        <w:ind w:left="17"/>
        <w:rPr>
          <w:rFonts w:ascii="宋体" w:hAnsi="宋体" w:eastAsia="宋体" w:cs="宋体"/>
          <w:color w:val="auto"/>
          <w:sz w:val="20"/>
          <w:szCs w:val="20"/>
        </w:rPr>
      </w:pPr>
      <w:r>
        <w:rPr>
          <w:rFonts w:ascii="宋体" w:hAnsi="宋体" w:eastAsia="宋体" w:cs="宋体"/>
          <w:color w:val="auto"/>
          <w:spacing w:val="12"/>
          <w:sz w:val="20"/>
          <w:szCs w:val="20"/>
        </w:rPr>
        <w:t>(1) 项目经理部成立以后，乙方应尽快在丙方开设基本结算户</w:t>
      </w:r>
      <w:r>
        <w:rPr>
          <w:rFonts w:ascii="宋体" w:hAnsi="宋体" w:eastAsia="宋体" w:cs="宋体"/>
          <w:color w:val="auto"/>
          <w:spacing w:val="8"/>
          <w:sz w:val="20"/>
          <w:szCs w:val="20"/>
        </w:rPr>
        <w:t>；</w:t>
      </w:r>
    </w:p>
    <w:p w14:paraId="6991951B">
      <w:pPr>
        <w:spacing w:before="1" w:line="221" w:lineRule="auto"/>
        <w:ind w:left="8" w:right="106" w:firstLine="8"/>
        <w:rPr>
          <w:rFonts w:ascii="宋体" w:hAnsi="宋体" w:eastAsia="宋体" w:cs="宋体"/>
          <w:color w:val="auto"/>
          <w:sz w:val="20"/>
          <w:szCs w:val="20"/>
        </w:rPr>
      </w:pPr>
      <w:r>
        <w:rPr>
          <w:rFonts w:ascii="宋体" w:hAnsi="宋体" w:eastAsia="宋体" w:cs="宋体"/>
          <w:color w:val="auto"/>
          <w:spacing w:val="18"/>
          <w:sz w:val="20"/>
          <w:szCs w:val="20"/>
        </w:rPr>
        <w:t>(</w:t>
      </w:r>
      <w:r>
        <w:rPr>
          <w:rFonts w:ascii="宋体" w:hAnsi="宋体" w:eastAsia="宋体" w:cs="宋体"/>
          <w:color w:val="auto"/>
          <w:spacing w:val="9"/>
          <w:sz w:val="20"/>
          <w:szCs w:val="20"/>
        </w:rPr>
        <w:t>2) 确保本项目资金专款专用，不发生挪用、转移资金的现象；保证不通过权益转让、抵押、担保承担债</w:t>
      </w:r>
      <w:r>
        <w:rPr>
          <w:rFonts w:ascii="宋体" w:hAnsi="宋体" w:eastAsia="宋体" w:cs="宋体"/>
          <w:color w:val="auto"/>
          <w:sz w:val="20"/>
          <w:szCs w:val="20"/>
        </w:rPr>
        <w:t xml:space="preserve"> </w:t>
      </w:r>
      <w:r>
        <w:rPr>
          <w:rFonts w:ascii="宋体" w:hAnsi="宋体" w:eastAsia="宋体" w:cs="宋体"/>
          <w:color w:val="auto"/>
          <w:spacing w:val="9"/>
          <w:sz w:val="20"/>
          <w:szCs w:val="20"/>
        </w:rPr>
        <w:t>务等任何其他方式使用基本结算户的资金</w:t>
      </w:r>
      <w:r>
        <w:rPr>
          <w:rFonts w:ascii="宋体" w:hAnsi="宋体" w:eastAsia="宋体" w:cs="宋体"/>
          <w:color w:val="auto"/>
          <w:spacing w:val="5"/>
          <w:sz w:val="20"/>
          <w:szCs w:val="20"/>
        </w:rPr>
        <w:t>；</w:t>
      </w:r>
    </w:p>
    <w:p w14:paraId="6CCDDFA3">
      <w:pPr>
        <w:spacing w:before="2" w:line="221" w:lineRule="auto"/>
        <w:ind w:left="8" w:right="105" w:firstLine="8"/>
        <w:rPr>
          <w:rFonts w:ascii="宋体" w:hAnsi="宋体" w:eastAsia="宋体" w:cs="宋体"/>
          <w:color w:val="auto"/>
          <w:sz w:val="20"/>
          <w:szCs w:val="20"/>
        </w:rPr>
      </w:pPr>
      <w:r>
        <w:rPr>
          <w:rFonts w:ascii="宋体" w:hAnsi="宋体" w:eastAsia="宋体" w:cs="宋体"/>
          <w:color w:val="auto"/>
          <w:spacing w:val="9"/>
          <w:sz w:val="20"/>
          <w:szCs w:val="20"/>
        </w:rPr>
        <w:t>(3) 办理材料、设备等采购业务金额在 万元以上的，应出示购货合同、协议和发票；在办理总额超过 万</w:t>
      </w:r>
      <w:r>
        <w:rPr>
          <w:rFonts w:ascii="宋体" w:hAnsi="宋体" w:eastAsia="宋体" w:cs="宋体"/>
          <w:color w:val="auto"/>
          <w:sz w:val="20"/>
          <w:szCs w:val="20"/>
        </w:rPr>
        <w:t xml:space="preserve"> </w:t>
      </w:r>
      <w:r>
        <w:rPr>
          <w:rFonts w:ascii="宋体" w:hAnsi="宋体" w:eastAsia="宋体" w:cs="宋体"/>
          <w:color w:val="auto"/>
          <w:spacing w:val="18"/>
          <w:sz w:val="20"/>
          <w:szCs w:val="20"/>
        </w:rPr>
        <w:t>元以上的</w:t>
      </w:r>
      <w:r>
        <w:rPr>
          <w:rFonts w:ascii="宋体" w:hAnsi="宋体" w:eastAsia="宋体" w:cs="宋体"/>
          <w:color w:val="auto"/>
          <w:spacing w:val="9"/>
          <w:sz w:val="20"/>
          <w:szCs w:val="20"/>
        </w:rPr>
        <w:t>采购业务时，应将合同、协议和发票复印件送丙方备案；购买应急材料、设备时可先办理支付手</w:t>
      </w:r>
      <w:r>
        <w:rPr>
          <w:rFonts w:ascii="宋体" w:hAnsi="宋体" w:eastAsia="宋体" w:cs="宋体"/>
          <w:color w:val="auto"/>
          <w:sz w:val="20"/>
          <w:szCs w:val="20"/>
        </w:rPr>
        <w:t xml:space="preserve"> </w:t>
      </w:r>
      <w:r>
        <w:rPr>
          <w:rFonts w:ascii="宋体" w:hAnsi="宋体" w:eastAsia="宋体" w:cs="宋体"/>
          <w:color w:val="auto"/>
          <w:spacing w:val="15"/>
          <w:sz w:val="20"/>
          <w:szCs w:val="20"/>
        </w:rPr>
        <w:t>续</w:t>
      </w:r>
      <w:r>
        <w:rPr>
          <w:rFonts w:ascii="宋体" w:hAnsi="宋体" w:eastAsia="宋体" w:cs="宋体"/>
          <w:color w:val="auto"/>
          <w:spacing w:val="8"/>
          <w:sz w:val="20"/>
          <w:szCs w:val="20"/>
        </w:rPr>
        <w:t>，但事后必须补备有关资料；</w:t>
      </w:r>
    </w:p>
    <w:p w14:paraId="67A2C4CF">
      <w:pPr>
        <w:spacing w:before="1" w:line="221" w:lineRule="auto"/>
        <w:ind w:left="17"/>
        <w:rPr>
          <w:rFonts w:ascii="宋体" w:hAnsi="宋体" w:eastAsia="宋体" w:cs="宋体"/>
          <w:color w:val="auto"/>
          <w:sz w:val="20"/>
          <w:szCs w:val="20"/>
        </w:rPr>
      </w:pPr>
      <w:r>
        <w:rPr>
          <w:rFonts w:ascii="宋体" w:hAnsi="宋体" w:eastAsia="宋体" w:cs="宋体"/>
          <w:color w:val="auto"/>
          <w:spacing w:val="9"/>
          <w:sz w:val="20"/>
          <w:szCs w:val="20"/>
        </w:rPr>
        <w:t>(4) 用银行转账支票办理支付款项时，必须将转账支票送交丙方， 由丙方负责办理支票转付手续</w:t>
      </w:r>
      <w:r>
        <w:rPr>
          <w:rFonts w:ascii="宋体" w:hAnsi="宋体" w:eastAsia="宋体" w:cs="宋体"/>
          <w:color w:val="auto"/>
          <w:spacing w:val="2"/>
          <w:sz w:val="20"/>
          <w:szCs w:val="20"/>
        </w:rPr>
        <w:t>；</w:t>
      </w:r>
    </w:p>
    <w:p w14:paraId="276C6E49">
      <w:pPr>
        <w:spacing w:line="221" w:lineRule="auto"/>
        <w:ind w:left="17"/>
        <w:rPr>
          <w:rFonts w:ascii="宋体" w:hAnsi="宋体" w:eastAsia="宋体" w:cs="宋体"/>
          <w:color w:val="auto"/>
          <w:sz w:val="20"/>
          <w:szCs w:val="20"/>
        </w:rPr>
      </w:pPr>
      <w:r>
        <w:rPr>
          <w:rFonts w:ascii="宋体" w:hAnsi="宋体" w:eastAsia="宋体" w:cs="宋体"/>
          <w:color w:val="auto"/>
          <w:spacing w:val="12"/>
          <w:sz w:val="20"/>
          <w:szCs w:val="20"/>
        </w:rPr>
        <w:t>(5) 向分包单位支付工程进度款时，应附甲方批准分包的文件</w:t>
      </w:r>
      <w:r>
        <w:rPr>
          <w:rFonts w:ascii="宋体" w:hAnsi="宋体" w:eastAsia="宋体" w:cs="宋体"/>
          <w:color w:val="auto"/>
          <w:spacing w:val="8"/>
          <w:sz w:val="20"/>
          <w:szCs w:val="20"/>
        </w:rPr>
        <w:t>；</w:t>
      </w:r>
    </w:p>
    <w:p w14:paraId="0C7A986B">
      <w:pPr>
        <w:spacing w:before="1" w:line="221" w:lineRule="auto"/>
        <w:ind w:left="7" w:right="106" w:firstLine="9"/>
        <w:rPr>
          <w:rFonts w:ascii="宋体" w:hAnsi="宋体" w:eastAsia="宋体" w:cs="宋体"/>
          <w:color w:val="auto"/>
          <w:sz w:val="20"/>
          <w:szCs w:val="20"/>
        </w:rPr>
      </w:pPr>
      <w:r>
        <w:rPr>
          <w:rFonts w:ascii="宋体" w:hAnsi="宋体" w:eastAsia="宋体" w:cs="宋体"/>
          <w:color w:val="auto"/>
          <w:spacing w:val="18"/>
          <w:sz w:val="20"/>
          <w:szCs w:val="20"/>
        </w:rPr>
        <w:t>(</w:t>
      </w:r>
      <w:r>
        <w:rPr>
          <w:rFonts w:ascii="宋体" w:hAnsi="宋体" w:eastAsia="宋体" w:cs="宋体"/>
          <w:color w:val="auto"/>
          <w:spacing w:val="9"/>
          <w:sz w:val="20"/>
          <w:szCs w:val="20"/>
        </w:rPr>
        <w:t>6) 向上级单位缴纳管理费、机械设备及周转材料租赁摊销费等款项时，应附上级单位出具的转账通知等</w:t>
      </w:r>
      <w:r>
        <w:rPr>
          <w:rFonts w:ascii="宋体" w:hAnsi="宋体" w:eastAsia="宋体" w:cs="宋体"/>
          <w:color w:val="auto"/>
          <w:sz w:val="20"/>
          <w:szCs w:val="20"/>
        </w:rPr>
        <w:t xml:space="preserve"> </w:t>
      </w:r>
      <w:r>
        <w:rPr>
          <w:rFonts w:ascii="宋体" w:hAnsi="宋体" w:eastAsia="宋体" w:cs="宋体"/>
          <w:color w:val="auto"/>
          <w:spacing w:val="16"/>
          <w:sz w:val="20"/>
          <w:szCs w:val="20"/>
        </w:rPr>
        <w:t>有</w:t>
      </w:r>
      <w:r>
        <w:rPr>
          <w:rFonts w:ascii="宋体" w:hAnsi="宋体" w:eastAsia="宋体" w:cs="宋体"/>
          <w:color w:val="auto"/>
          <w:spacing w:val="8"/>
          <w:sz w:val="20"/>
          <w:szCs w:val="20"/>
        </w:rPr>
        <w:t>关资料，以确保资金专款专用。</w:t>
      </w:r>
    </w:p>
    <w:p w14:paraId="6D35C6FE">
      <w:pPr>
        <w:spacing w:before="1" w:line="221" w:lineRule="auto"/>
        <w:ind w:left="6"/>
        <w:rPr>
          <w:rFonts w:ascii="宋体" w:hAnsi="宋体" w:eastAsia="宋体" w:cs="宋体"/>
          <w:color w:val="auto"/>
          <w:sz w:val="20"/>
          <w:szCs w:val="20"/>
        </w:rPr>
      </w:pPr>
      <w:r>
        <w:rPr>
          <w:rFonts w:ascii="宋体" w:hAnsi="宋体" w:eastAsia="宋体" w:cs="宋体"/>
          <w:color w:val="auto"/>
          <w:spacing w:val="9"/>
          <w:sz w:val="20"/>
          <w:szCs w:val="20"/>
        </w:rPr>
        <w:t>4</w:t>
      </w:r>
      <w:r>
        <w:rPr>
          <w:rFonts w:ascii="宋体" w:hAnsi="宋体" w:eastAsia="宋体" w:cs="宋体"/>
          <w:color w:val="auto"/>
          <w:spacing w:val="7"/>
          <w:sz w:val="20"/>
          <w:szCs w:val="20"/>
        </w:rPr>
        <w:t>. 丙方的权责</w:t>
      </w:r>
    </w:p>
    <w:p w14:paraId="425A2361">
      <w:pPr>
        <w:spacing w:line="221" w:lineRule="auto"/>
        <w:ind w:left="17"/>
        <w:rPr>
          <w:rFonts w:ascii="宋体" w:hAnsi="宋体" w:eastAsia="宋体" w:cs="宋体"/>
          <w:color w:val="auto"/>
          <w:sz w:val="20"/>
          <w:szCs w:val="20"/>
        </w:rPr>
      </w:pPr>
      <w:r>
        <w:rPr>
          <w:rFonts w:ascii="宋体" w:hAnsi="宋体" w:eastAsia="宋体" w:cs="宋体"/>
          <w:color w:val="auto"/>
          <w:spacing w:val="12"/>
          <w:sz w:val="20"/>
          <w:szCs w:val="20"/>
        </w:rPr>
        <w:t>(1</w:t>
      </w:r>
      <w:r>
        <w:rPr>
          <w:rFonts w:ascii="宋体" w:hAnsi="宋体" w:eastAsia="宋体" w:cs="宋体"/>
          <w:color w:val="auto"/>
          <w:spacing w:val="6"/>
          <w:sz w:val="20"/>
          <w:szCs w:val="20"/>
        </w:rPr>
        <w:t>) 成立</w:t>
      </w:r>
      <w:r>
        <w:rPr>
          <w:rFonts w:ascii="宋体" w:hAnsi="宋体" w:eastAsia="宋体" w:cs="宋体"/>
          <w:color w:val="auto"/>
          <w:spacing w:val="6"/>
          <w:sz w:val="20"/>
          <w:szCs w:val="20"/>
          <w:u w:val="single" w:color="auto"/>
        </w:rPr>
        <w:t xml:space="preserve">       </w:t>
      </w:r>
      <w:r>
        <w:rPr>
          <w:rFonts w:hint="eastAsia" w:ascii="宋体" w:hAnsi="宋体" w:cs="宋体"/>
          <w:color w:val="auto"/>
          <w:spacing w:val="6"/>
          <w:sz w:val="20"/>
          <w:szCs w:val="20"/>
          <w:u w:val="single" w:color="auto"/>
          <w:lang w:eastAsia="zh-CN"/>
        </w:rPr>
        <w:t>（</w:t>
      </w:r>
      <w:r>
        <w:rPr>
          <w:rFonts w:ascii="宋体" w:hAnsi="宋体" w:eastAsia="宋体" w:cs="宋体"/>
          <w:color w:val="auto"/>
          <w:spacing w:val="6"/>
          <w:sz w:val="20"/>
          <w:szCs w:val="20"/>
        </w:rPr>
        <w:t>项目名称</w:t>
      </w:r>
      <w:r>
        <w:rPr>
          <w:rFonts w:hint="eastAsia" w:ascii="宋体" w:hAnsi="宋体" w:cs="宋体"/>
          <w:color w:val="auto"/>
          <w:spacing w:val="6"/>
          <w:sz w:val="20"/>
          <w:szCs w:val="20"/>
          <w:lang w:eastAsia="zh-CN"/>
        </w:rPr>
        <w:t>）</w:t>
      </w:r>
      <w:r>
        <w:rPr>
          <w:rFonts w:ascii="宋体" w:hAnsi="宋体" w:eastAsia="宋体" w:cs="宋体"/>
          <w:color w:val="auto"/>
          <w:spacing w:val="6"/>
          <w:sz w:val="20"/>
          <w:szCs w:val="20"/>
        </w:rPr>
        <w:t xml:space="preserve"> 工程资金管理服务小组，明确业务流程，提高工作效率，杜绝“压票”现象；</w:t>
      </w:r>
    </w:p>
    <w:p w14:paraId="3519C1DD">
      <w:pPr>
        <w:spacing w:before="2" w:line="221" w:lineRule="auto"/>
        <w:ind w:left="10" w:right="106" w:firstLine="6"/>
        <w:rPr>
          <w:rFonts w:ascii="宋体" w:hAnsi="宋体" w:eastAsia="宋体" w:cs="宋体"/>
          <w:color w:val="auto"/>
          <w:sz w:val="20"/>
          <w:szCs w:val="20"/>
        </w:rPr>
      </w:pPr>
      <w:r>
        <w:rPr>
          <w:rFonts w:ascii="宋体" w:hAnsi="宋体" w:eastAsia="宋体" w:cs="宋体"/>
          <w:color w:val="auto"/>
          <w:spacing w:val="16"/>
          <w:sz w:val="20"/>
          <w:szCs w:val="20"/>
        </w:rPr>
        <w:t>(2</w:t>
      </w:r>
      <w:r>
        <w:rPr>
          <w:rFonts w:ascii="宋体" w:hAnsi="宋体" w:eastAsia="宋体" w:cs="宋体"/>
          <w:color w:val="auto"/>
          <w:spacing w:val="9"/>
          <w:sz w:val="20"/>
          <w:szCs w:val="20"/>
        </w:rPr>
        <w:t>)</w:t>
      </w:r>
      <w:r>
        <w:rPr>
          <w:rFonts w:ascii="宋体" w:hAnsi="宋体" w:eastAsia="宋体" w:cs="宋体"/>
          <w:color w:val="auto"/>
          <w:spacing w:val="8"/>
          <w:sz w:val="20"/>
          <w:szCs w:val="20"/>
        </w:rPr>
        <w:t xml:space="preserve"> 根据乙方提供的购货合同、协议和发票，检查其所购材料、设备是否用于</w:t>
      </w:r>
      <w:r>
        <w:rPr>
          <w:rFonts w:ascii="宋体" w:hAnsi="宋体" w:eastAsia="宋体" w:cs="宋体"/>
          <w:color w:val="auto"/>
          <w:spacing w:val="8"/>
          <w:sz w:val="20"/>
          <w:szCs w:val="20"/>
          <w:u w:val="single" w:color="auto"/>
        </w:rPr>
        <w:t xml:space="preserve">       </w:t>
      </w:r>
      <w:r>
        <w:rPr>
          <w:rFonts w:hint="eastAsia" w:ascii="宋体" w:hAnsi="宋体" w:cs="宋体"/>
          <w:color w:val="auto"/>
          <w:spacing w:val="8"/>
          <w:sz w:val="20"/>
          <w:szCs w:val="20"/>
          <w:u w:val="single" w:color="auto"/>
          <w:lang w:eastAsia="zh-CN"/>
        </w:rPr>
        <w:t>（</w:t>
      </w:r>
      <w:r>
        <w:rPr>
          <w:rFonts w:ascii="宋体" w:hAnsi="宋体" w:eastAsia="宋体" w:cs="宋体"/>
          <w:color w:val="auto"/>
          <w:spacing w:val="8"/>
          <w:sz w:val="20"/>
          <w:szCs w:val="20"/>
        </w:rPr>
        <w:t>项目名称</w:t>
      </w:r>
      <w:r>
        <w:rPr>
          <w:rFonts w:hint="eastAsia" w:ascii="宋体" w:hAnsi="宋体" w:cs="宋体"/>
          <w:color w:val="auto"/>
          <w:spacing w:val="8"/>
          <w:sz w:val="20"/>
          <w:szCs w:val="20"/>
          <w:lang w:eastAsia="zh-CN"/>
        </w:rPr>
        <w:t>）</w:t>
      </w:r>
      <w:r>
        <w:rPr>
          <w:rFonts w:ascii="宋体" w:hAnsi="宋体" w:eastAsia="宋体" w:cs="宋体"/>
          <w:color w:val="auto"/>
          <w:spacing w:val="8"/>
          <w:sz w:val="20"/>
          <w:szCs w:val="20"/>
        </w:rPr>
        <w:t xml:space="preserve"> 工程建</w:t>
      </w:r>
      <w:r>
        <w:rPr>
          <w:rFonts w:ascii="宋体" w:hAnsi="宋体" w:eastAsia="宋体" w:cs="宋体"/>
          <w:color w:val="auto"/>
          <w:sz w:val="20"/>
          <w:szCs w:val="20"/>
        </w:rPr>
        <w:t xml:space="preserve"> </w:t>
      </w:r>
      <w:r>
        <w:rPr>
          <w:rFonts w:ascii="宋体" w:hAnsi="宋体" w:eastAsia="宋体" w:cs="宋体"/>
          <w:color w:val="auto"/>
          <w:spacing w:val="14"/>
          <w:sz w:val="20"/>
          <w:szCs w:val="20"/>
        </w:rPr>
        <w:t>设</w:t>
      </w:r>
      <w:r>
        <w:rPr>
          <w:rFonts w:ascii="宋体" w:hAnsi="宋体" w:eastAsia="宋体" w:cs="宋体"/>
          <w:color w:val="auto"/>
          <w:spacing w:val="9"/>
          <w:sz w:val="20"/>
          <w:szCs w:val="20"/>
        </w:rPr>
        <w:t>，对本标段以外的购货款项，有权拒绝办理，并及时报告甲方；</w:t>
      </w:r>
    </w:p>
    <w:p w14:paraId="0A92D549">
      <w:pPr>
        <w:spacing w:before="1" w:line="221" w:lineRule="auto"/>
        <w:ind w:left="6" w:right="106" w:firstLine="10"/>
        <w:rPr>
          <w:rFonts w:ascii="宋体" w:hAnsi="宋体" w:eastAsia="宋体" w:cs="宋体"/>
          <w:color w:val="auto"/>
          <w:sz w:val="20"/>
          <w:szCs w:val="20"/>
        </w:rPr>
      </w:pPr>
      <w:r>
        <w:rPr>
          <w:rFonts w:ascii="宋体" w:hAnsi="宋体" w:eastAsia="宋体" w:cs="宋体"/>
          <w:color w:val="auto"/>
          <w:spacing w:val="18"/>
          <w:sz w:val="20"/>
          <w:szCs w:val="20"/>
        </w:rPr>
        <w:t>(</w:t>
      </w:r>
      <w:r>
        <w:rPr>
          <w:rFonts w:ascii="宋体" w:hAnsi="宋体" w:eastAsia="宋体" w:cs="宋体"/>
          <w:color w:val="auto"/>
          <w:spacing w:val="9"/>
          <w:sz w:val="20"/>
          <w:szCs w:val="20"/>
        </w:rPr>
        <w:t>3) 根据乙方与分包单位签订的合同及支付文件，检查其支付款项是否符合有关条件，向分包单位以外单</w:t>
      </w:r>
      <w:r>
        <w:rPr>
          <w:rFonts w:ascii="宋体" w:hAnsi="宋体" w:eastAsia="宋体" w:cs="宋体"/>
          <w:color w:val="auto"/>
          <w:sz w:val="20"/>
          <w:szCs w:val="20"/>
        </w:rPr>
        <w:t xml:space="preserve"> </w:t>
      </w:r>
      <w:r>
        <w:rPr>
          <w:rFonts w:ascii="宋体" w:hAnsi="宋体" w:eastAsia="宋体" w:cs="宋体"/>
          <w:color w:val="auto"/>
          <w:spacing w:val="9"/>
          <w:sz w:val="20"/>
          <w:szCs w:val="20"/>
        </w:rPr>
        <w:t>位的支付有权拒绝办理，并及时报告甲方</w:t>
      </w:r>
      <w:r>
        <w:rPr>
          <w:rFonts w:ascii="宋体" w:hAnsi="宋体" w:eastAsia="宋体" w:cs="宋体"/>
          <w:color w:val="auto"/>
          <w:spacing w:val="7"/>
          <w:sz w:val="20"/>
          <w:szCs w:val="20"/>
        </w:rPr>
        <w:t>；</w:t>
      </w:r>
    </w:p>
    <w:p w14:paraId="0A987A3B">
      <w:pPr>
        <w:spacing w:before="1" w:line="221" w:lineRule="auto"/>
        <w:ind w:left="8" w:right="106" w:firstLine="8"/>
        <w:rPr>
          <w:rFonts w:ascii="宋体" w:hAnsi="宋体" w:eastAsia="宋体" w:cs="宋体"/>
          <w:color w:val="auto"/>
          <w:sz w:val="20"/>
          <w:szCs w:val="20"/>
        </w:rPr>
      </w:pPr>
      <w:r>
        <w:rPr>
          <w:rFonts w:ascii="宋体" w:hAnsi="宋体" w:eastAsia="宋体" w:cs="宋体"/>
          <w:color w:val="auto"/>
          <w:spacing w:val="18"/>
          <w:sz w:val="20"/>
          <w:szCs w:val="20"/>
        </w:rPr>
        <w:t>(</w:t>
      </w:r>
      <w:r>
        <w:rPr>
          <w:rFonts w:ascii="宋体" w:hAnsi="宋体" w:eastAsia="宋体" w:cs="宋体"/>
          <w:color w:val="auto"/>
          <w:spacing w:val="9"/>
          <w:sz w:val="20"/>
          <w:szCs w:val="20"/>
        </w:rPr>
        <w:t>4) 根据乙方提供的上级单位出具的转账通知等有关资料，办理管理费、机械设备及周转材料租赁摊销费</w:t>
      </w:r>
      <w:r>
        <w:rPr>
          <w:rFonts w:ascii="宋体" w:hAnsi="宋体" w:eastAsia="宋体" w:cs="宋体"/>
          <w:color w:val="auto"/>
          <w:sz w:val="20"/>
          <w:szCs w:val="20"/>
        </w:rPr>
        <w:t xml:space="preserve"> </w:t>
      </w:r>
      <w:r>
        <w:rPr>
          <w:rFonts w:ascii="宋体" w:hAnsi="宋体" w:eastAsia="宋体" w:cs="宋体"/>
          <w:color w:val="auto"/>
          <w:spacing w:val="18"/>
          <w:sz w:val="20"/>
          <w:szCs w:val="20"/>
        </w:rPr>
        <w:t>等款</w:t>
      </w:r>
      <w:r>
        <w:rPr>
          <w:rFonts w:ascii="宋体" w:hAnsi="宋体" w:eastAsia="宋体" w:cs="宋体"/>
          <w:color w:val="auto"/>
          <w:spacing w:val="9"/>
          <w:sz w:val="20"/>
          <w:szCs w:val="20"/>
        </w:rPr>
        <w:t>项的支付；对超出转账通知等有关资料以外的支付，有权拒绝办理，并及时报告甲方；</w:t>
      </w:r>
    </w:p>
    <w:p w14:paraId="0A6A74E5">
      <w:pPr>
        <w:spacing w:before="1" w:line="221" w:lineRule="auto"/>
        <w:ind w:left="17"/>
        <w:rPr>
          <w:rFonts w:ascii="宋体" w:hAnsi="宋体" w:eastAsia="宋体" w:cs="宋体"/>
          <w:color w:val="auto"/>
          <w:sz w:val="20"/>
          <w:szCs w:val="20"/>
        </w:rPr>
      </w:pPr>
      <w:r>
        <w:rPr>
          <w:rFonts w:ascii="宋体" w:hAnsi="宋体" w:eastAsia="宋体" w:cs="宋体"/>
          <w:color w:val="auto"/>
          <w:spacing w:val="22"/>
          <w:sz w:val="20"/>
          <w:szCs w:val="20"/>
        </w:rPr>
        <w:t>(</w:t>
      </w:r>
      <w:r>
        <w:rPr>
          <w:rFonts w:ascii="宋体" w:hAnsi="宋体" w:eastAsia="宋体" w:cs="宋体"/>
          <w:color w:val="auto"/>
          <w:spacing w:val="12"/>
          <w:sz w:val="20"/>
          <w:szCs w:val="20"/>
        </w:rPr>
        <w:t>5</w:t>
      </w:r>
      <w:r>
        <w:rPr>
          <w:rFonts w:ascii="宋体" w:hAnsi="宋体" w:eastAsia="宋体" w:cs="宋体"/>
          <w:color w:val="auto"/>
          <w:spacing w:val="11"/>
          <w:sz w:val="20"/>
          <w:szCs w:val="20"/>
        </w:rPr>
        <w:t>) 定期将乙方前一个周期的支付情况，整理后书面报送甲方；乙方复印备案的材料一并送甲方。</w:t>
      </w:r>
    </w:p>
    <w:p w14:paraId="5B9AB0D0">
      <w:pPr>
        <w:spacing w:line="221" w:lineRule="auto"/>
        <w:ind w:left="11"/>
        <w:rPr>
          <w:rFonts w:ascii="宋体" w:hAnsi="宋体" w:eastAsia="宋体" w:cs="宋体"/>
          <w:color w:val="auto"/>
          <w:sz w:val="20"/>
          <w:szCs w:val="20"/>
        </w:rPr>
      </w:pPr>
      <w:r>
        <w:rPr>
          <w:rFonts w:ascii="宋体" w:hAnsi="宋体" w:eastAsia="宋体" w:cs="宋体"/>
          <w:color w:val="auto"/>
          <w:spacing w:val="18"/>
          <w:sz w:val="20"/>
          <w:szCs w:val="20"/>
        </w:rPr>
        <w:t>5</w:t>
      </w:r>
      <w:r>
        <w:rPr>
          <w:rFonts w:ascii="宋体" w:hAnsi="宋体" w:eastAsia="宋体" w:cs="宋体"/>
          <w:color w:val="auto"/>
          <w:spacing w:val="10"/>
          <w:sz w:val="20"/>
          <w:szCs w:val="20"/>
        </w:rPr>
        <w:t>.</w:t>
      </w:r>
      <w:r>
        <w:rPr>
          <w:rFonts w:ascii="宋体" w:hAnsi="宋体" w:eastAsia="宋体" w:cs="宋体"/>
          <w:color w:val="auto"/>
          <w:spacing w:val="9"/>
          <w:sz w:val="20"/>
          <w:szCs w:val="20"/>
        </w:rPr>
        <w:t xml:space="preserve"> 甲、乙、丙三方都应履行保密责任，不得将其他两方的业务情况透露给三方以外的其他单位或个人。</w:t>
      </w:r>
    </w:p>
    <w:p w14:paraId="4A65221E">
      <w:pPr>
        <w:spacing w:before="1" w:line="221" w:lineRule="auto"/>
        <w:ind w:left="8"/>
        <w:rPr>
          <w:rFonts w:ascii="宋体" w:hAnsi="宋体" w:eastAsia="宋体" w:cs="宋体"/>
          <w:color w:val="auto"/>
          <w:sz w:val="20"/>
          <w:szCs w:val="20"/>
        </w:rPr>
      </w:pPr>
      <w:r>
        <w:rPr>
          <w:rFonts w:ascii="宋体" w:hAnsi="宋体" w:eastAsia="宋体" w:cs="宋体"/>
          <w:color w:val="auto"/>
          <w:spacing w:val="4"/>
          <w:sz w:val="20"/>
          <w:szCs w:val="20"/>
        </w:rPr>
        <w:t>6. 本协议有效期自乙方在丙方开户起，至工程交工验收甲方向乙方颁发交工验收证书后结</w:t>
      </w:r>
      <w:r>
        <w:rPr>
          <w:rFonts w:ascii="宋体" w:hAnsi="宋体" w:eastAsia="宋体" w:cs="宋体"/>
          <w:color w:val="auto"/>
          <w:spacing w:val="3"/>
          <w:sz w:val="20"/>
          <w:szCs w:val="20"/>
        </w:rPr>
        <w:t>束</w:t>
      </w:r>
      <w:r>
        <w:rPr>
          <w:rFonts w:ascii="宋体" w:hAnsi="宋体" w:eastAsia="宋体" w:cs="宋体"/>
          <w:color w:val="auto"/>
          <w:sz w:val="20"/>
          <w:szCs w:val="20"/>
        </w:rPr>
        <w:t>。</w:t>
      </w:r>
    </w:p>
    <w:p w14:paraId="3B280A2E">
      <w:pPr>
        <w:spacing w:line="221" w:lineRule="auto"/>
        <w:ind w:left="11"/>
        <w:rPr>
          <w:rFonts w:ascii="宋体" w:hAnsi="宋体" w:eastAsia="宋体" w:cs="宋体"/>
          <w:color w:val="auto"/>
          <w:sz w:val="20"/>
          <w:szCs w:val="20"/>
        </w:rPr>
      </w:pPr>
      <w:r>
        <w:rPr>
          <w:rFonts w:ascii="宋体" w:hAnsi="宋体" w:eastAsia="宋体" w:cs="宋体"/>
          <w:color w:val="auto"/>
          <w:spacing w:val="5"/>
          <w:sz w:val="20"/>
          <w:szCs w:val="20"/>
        </w:rPr>
        <w:t>7</w:t>
      </w:r>
      <w:r>
        <w:rPr>
          <w:rFonts w:ascii="宋体" w:hAnsi="宋体" w:eastAsia="宋体" w:cs="宋体"/>
          <w:color w:val="auto"/>
          <w:spacing w:val="4"/>
          <w:sz w:val="20"/>
          <w:szCs w:val="20"/>
        </w:rPr>
        <w:t>. 本协议未尽事宜， 由甲方牵头，三方协商解决。</w:t>
      </w:r>
    </w:p>
    <w:p w14:paraId="505E2E16">
      <w:pPr>
        <w:spacing w:before="2" w:line="224" w:lineRule="auto"/>
        <w:ind w:left="29" w:right="49" w:hanging="22"/>
        <w:rPr>
          <w:rFonts w:ascii="宋体" w:hAnsi="宋体" w:eastAsia="宋体" w:cs="宋体"/>
          <w:color w:val="auto"/>
          <w:sz w:val="20"/>
          <w:szCs w:val="20"/>
        </w:rPr>
      </w:pPr>
      <w:r>
        <w:rPr>
          <w:rFonts w:ascii="宋体" w:hAnsi="宋体" w:eastAsia="宋体" w:cs="宋体"/>
          <w:color w:val="auto"/>
          <w:spacing w:val="6"/>
          <w:sz w:val="20"/>
          <w:szCs w:val="20"/>
        </w:rPr>
        <w:t>8. 本协议正本三份、副本</w:t>
      </w:r>
      <w:r>
        <w:rPr>
          <w:rFonts w:ascii="宋体" w:hAnsi="宋体" w:eastAsia="宋体" w:cs="宋体"/>
          <w:color w:val="auto"/>
          <w:spacing w:val="6"/>
          <w:sz w:val="20"/>
          <w:szCs w:val="20"/>
          <w:u w:val="single" w:color="auto"/>
        </w:rPr>
        <w:t xml:space="preserve"> </w:t>
      </w:r>
      <w:r>
        <w:rPr>
          <w:rFonts w:ascii="宋体" w:hAnsi="宋体" w:eastAsia="宋体" w:cs="宋体"/>
          <w:color w:val="auto"/>
          <w:spacing w:val="3"/>
          <w:sz w:val="20"/>
          <w:szCs w:val="20"/>
          <w:u w:val="single" w:color="auto"/>
        </w:rPr>
        <w:t xml:space="preserve">     </w:t>
      </w:r>
      <w:r>
        <w:rPr>
          <w:rFonts w:ascii="宋体" w:hAnsi="宋体" w:eastAsia="宋体" w:cs="宋体"/>
          <w:color w:val="auto"/>
          <w:spacing w:val="3"/>
          <w:sz w:val="20"/>
          <w:szCs w:val="20"/>
        </w:rPr>
        <w:t>份。合同三方各执正本一份、副本</w:t>
      </w:r>
      <w:r>
        <w:rPr>
          <w:rFonts w:ascii="宋体" w:hAnsi="宋体" w:eastAsia="宋体" w:cs="宋体"/>
          <w:color w:val="auto"/>
          <w:spacing w:val="3"/>
          <w:sz w:val="20"/>
          <w:szCs w:val="20"/>
          <w:u w:val="single" w:color="auto"/>
        </w:rPr>
        <w:t xml:space="preserve">      </w:t>
      </w:r>
      <w:r>
        <w:rPr>
          <w:rFonts w:ascii="宋体" w:hAnsi="宋体" w:eastAsia="宋体" w:cs="宋体"/>
          <w:color w:val="auto"/>
          <w:spacing w:val="3"/>
          <w:sz w:val="20"/>
          <w:szCs w:val="20"/>
        </w:rPr>
        <w:t>份，当正本与副本内容不一致时，</w:t>
      </w:r>
      <w:r>
        <w:rPr>
          <w:rFonts w:ascii="宋体" w:hAnsi="宋体" w:eastAsia="宋体" w:cs="宋体"/>
          <w:color w:val="auto"/>
          <w:sz w:val="20"/>
          <w:szCs w:val="20"/>
        </w:rPr>
        <w:t xml:space="preserve"> </w:t>
      </w:r>
      <w:r>
        <w:rPr>
          <w:rFonts w:ascii="宋体" w:hAnsi="宋体" w:eastAsia="宋体" w:cs="宋体"/>
          <w:color w:val="auto"/>
          <w:spacing w:val="3"/>
          <w:sz w:val="20"/>
          <w:szCs w:val="20"/>
        </w:rPr>
        <w:t>以正本为准</w:t>
      </w:r>
      <w:r>
        <w:rPr>
          <w:rFonts w:ascii="宋体" w:hAnsi="宋体" w:eastAsia="宋体" w:cs="宋体"/>
          <w:color w:val="auto"/>
          <w:spacing w:val="2"/>
          <w:sz w:val="20"/>
          <w:szCs w:val="20"/>
        </w:rPr>
        <w:t>。</w:t>
      </w:r>
    </w:p>
    <w:p w14:paraId="712C5FB5">
      <w:pPr>
        <w:spacing w:before="232" w:line="222" w:lineRule="auto"/>
        <w:ind w:left="475"/>
        <w:rPr>
          <w:rFonts w:ascii="宋体" w:hAnsi="宋体" w:eastAsia="宋体" w:cs="宋体"/>
          <w:color w:val="auto"/>
          <w:sz w:val="20"/>
          <w:szCs w:val="20"/>
        </w:rPr>
      </w:pPr>
      <w:r>
        <w:rPr>
          <w:rFonts w:ascii="宋体" w:hAnsi="宋体" w:eastAsia="宋体" w:cs="宋体"/>
          <w:color w:val="auto"/>
          <w:spacing w:val="-1"/>
          <w:sz w:val="20"/>
          <w:szCs w:val="20"/>
        </w:rPr>
        <w:t>发包人：</w:t>
      </w:r>
      <w:r>
        <w:rPr>
          <w:rFonts w:ascii="宋体" w:hAnsi="宋体" w:eastAsia="宋体" w:cs="宋体"/>
          <w:color w:val="auto"/>
          <w:spacing w:val="-1"/>
          <w:sz w:val="20"/>
          <w:szCs w:val="20"/>
          <w:u w:val="single" w:color="auto"/>
        </w:rPr>
        <w:t xml:space="preserve">        </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盖单位章</w:t>
      </w:r>
      <w:r>
        <w:rPr>
          <w:rFonts w:hint="eastAsia" w:ascii="宋体" w:hAnsi="宋体" w:cs="宋体"/>
          <w:color w:val="auto"/>
          <w:sz w:val="20"/>
          <w:szCs w:val="20"/>
          <w:lang w:eastAsia="zh-CN"/>
        </w:rPr>
        <w:t>）</w:t>
      </w:r>
    </w:p>
    <w:p w14:paraId="39BF6D81">
      <w:pPr>
        <w:spacing w:before="1" w:line="221" w:lineRule="auto"/>
        <w:ind w:left="473"/>
        <w:rPr>
          <w:rFonts w:ascii="宋体" w:hAnsi="宋体" w:eastAsia="宋体" w:cs="宋体"/>
          <w:color w:val="auto"/>
          <w:sz w:val="20"/>
          <w:szCs w:val="20"/>
        </w:rPr>
      </w:pPr>
      <w:r>
        <w:rPr>
          <w:rFonts w:ascii="宋体" w:hAnsi="宋体" w:eastAsia="宋体" w:cs="宋体"/>
          <w:color w:val="auto"/>
          <w:spacing w:val="-1"/>
          <w:sz w:val="20"/>
          <w:szCs w:val="20"/>
        </w:rPr>
        <w:t>法定人或代表其委托</w:t>
      </w:r>
      <w:r>
        <w:rPr>
          <w:rFonts w:ascii="宋体" w:hAnsi="宋体" w:eastAsia="宋体" w:cs="宋体"/>
          <w:color w:val="auto"/>
          <w:sz w:val="20"/>
          <w:szCs w:val="20"/>
        </w:rPr>
        <w:t>代理人：</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签字</w:t>
      </w:r>
      <w:r>
        <w:rPr>
          <w:rFonts w:hint="eastAsia" w:ascii="宋体" w:hAnsi="宋体" w:cs="宋体"/>
          <w:color w:val="auto"/>
          <w:sz w:val="20"/>
          <w:szCs w:val="20"/>
          <w:lang w:eastAsia="zh-CN"/>
        </w:rPr>
        <w:t>）</w:t>
      </w:r>
    </w:p>
    <w:p w14:paraId="202DBC59">
      <w:pPr>
        <w:tabs>
          <w:tab w:val="left" w:pos="3097"/>
        </w:tabs>
        <w:spacing w:line="228" w:lineRule="auto"/>
        <w:ind w:left="2250"/>
        <w:rPr>
          <w:rFonts w:ascii="宋体" w:hAnsi="宋体" w:eastAsia="宋体" w:cs="宋体"/>
          <w:color w:val="auto"/>
          <w:sz w:val="20"/>
          <w:szCs w:val="20"/>
        </w:rPr>
      </w:pPr>
      <w:r>
        <w:rPr>
          <w:rFonts w:ascii="宋体" w:hAnsi="宋体" w:eastAsia="宋体" w:cs="宋体"/>
          <w:color w:val="auto"/>
          <w:sz w:val="20"/>
          <w:szCs w:val="20"/>
          <w:u w:val="single" w:color="auto"/>
        </w:rPr>
        <w:tab/>
      </w:r>
      <w:r>
        <w:rPr>
          <w:rFonts w:ascii="宋体" w:hAnsi="宋体" w:eastAsia="宋体" w:cs="宋体"/>
          <w:color w:val="auto"/>
          <w:spacing w:val="1"/>
          <w:sz w:val="20"/>
          <w:szCs w:val="20"/>
        </w:rPr>
        <w:t>年</w:t>
      </w:r>
      <w:r>
        <w:rPr>
          <w:rFonts w:ascii="宋体" w:hAnsi="宋体" w:eastAsia="宋体" w:cs="宋体"/>
          <w:color w:val="auto"/>
          <w:spacing w:val="1"/>
          <w:sz w:val="20"/>
          <w:szCs w:val="20"/>
          <w:u w:val="single" w:color="auto"/>
        </w:rPr>
        <w:t xml:space="preserve">   </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月</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日</w:t>
      </w:r>
    </w:p>
    <w:p w14:paraId="7C3D7E42">
      <w:pPr>
        <w:spacing w:before="233" w:line="222" w:lineRule="auto"/>
        <w:ind w:left="472"/>
        <w:rPr>
          <w:rFonts w:ascii="宋体" w:hAnsi="宋体" w:eastAsia="宋体" w:cs="宋体"/>
          <w:color w:val="auto"/>
          <w:sz w:val="20"/>
          <w:szCs w:val="20"/>
        </w:rPr>
      </w:pPr>
      <w:r>
        <w:rPr>
          <w:rFonts w:ascii="宋体" w:hAnsi="宋体" w:eastAsia="宋体" w:cs="宋体"/>
          <w:color w:val="auto"/>
          <w:spacing w:val="-1"/>
          <w:sz w:val="20"/>
          <w:szCs w:val="20"/>
        </w:rPr>
        <w:t>承包人：</w:t>
      </w:r>
      <w:r>
        <w:rPr>
          <w:rFonts w:ascii="宋体" w:hAnsi="宋体" w:eastAsia="宋体" w:cs="宋体"/>
          <w:color w:val="auto"/>
          <w:spacing w:val="-1"/>
          <w:sz w:val="20"/>
          <w:szCs w:val="20"/>
          <w:u w:val="single" w:color="auto"/>
        </w:rPr>
        <w:t xml:space="preserve">    </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盖单位章</w:t>
      </w:r>
      <w:r>
        <w:rPr>
          <w:rFonts w:hint="eastAsia" w:ascii="宋体" w:hAnsi="宋体" w:cs="宋体"/>
          <w:color w:val="auto"/>
          <w:sz w:val="20"/>
          <w:szCs w:val="20"/>
          <w:lang w:eastAsia="zh-CN"/>
        </w:rPr>
        <w:t>）</w:t>
      </w:r>
    </w:p>
    <w:p w14:paraId="7CE8B6D0">
      <w:pPr>
        <w:spacing w:line="221" w:lineRule="auto"/>
        <w:ind w:left="473"/>
        <w:rPr>
          <w:rFonts w:ascii="宋体" w:hAnsi="宋体" w:eastAsia="宋体" w:cs="宋体"/>
          <w:color w:val="auto"/>
          <w:sz w:val="20"/>
          <w:szCs w:val="20"/>
        </w:rPr>
      </w:pPr>
      <w:r>
        <w:rPr>
          <w:rFonts w:ascii="宋体" w:hAnsi="宋体" w:eastAsia="宋体" w:cs="宋体"/>
          <w:color w:val="auto"/>
          <w:spacing w:val="-1"/>
          <w:sz w:val="20"/>
          <w:szCs w:val="20"/>
        </w:rPr>
        <w:t>法定人或代表其委托</w:t>
      </w:r>
      <w:r>
        <w:rPr>
          <w:rFonts w:ascii="宋体" w:hAnsi="宋体" w:eastAsia="宋体" w:cs="宋体"/>
          <w:color w:val="auto"/>
          <w:sz w:val="20"/>
          <w:szCs w:val="20"/>
        </w:rPr>
        <w:t>代理人：</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签字</w:t>
      </w:r>
      <w:r>
        <w:rPr>
          <w:rFonts w:hint="eastAsia" w:ascii="宋体" w:hAnsi="宋体" w:cs="宋体"/>
          <w:color w:val="auto"/>
          <w:sz w:val="20"/>
          <w:szCs w:val="20"/>
          <w:lang w:eastAsia="zh-CN"/>
        </w:rPr>
        <w:t>）</w:t>
      </w:r>
    </w:p>
    <w:p w14:paraId="142C435F">
      <w:pPr>
        <w:tabs>
          <w:tab w:val="left" w:pos="3097"/>
        </w:tabs>
        <w:spacing w:before="1" w:line="228" w:lineRule="auto"/>
        <w:ind w:left="2250"/>
        <w:rPr>
          <w:rFonts w:ascii="宋体" w:hAnsi="宋体" w:eastAsia="宋体" w:cs="宋体"/>
          <w:color w:val="auto"/>
          <w:sz w:val="20"/>
          <w:szCs w:val="20"/>
        </w:rPr>
      </w:pPr>
      <w:r>
        <w:rPr>
          <w:rFonts w:ascii="宋体" w:hAnsi="宋体" w:eastAsia="宋体" w:cs="宋体"/>
          <w:color w:val="auto"/>
          <w:sz w:val="20"/>
          <w:szCs w:val="20"/>
          <w:u w:val="single" w:color="auto"/>
        </w:rPr>
        <w:tab/>
      </w:r>
      <w:r>
        <w:rPr>
          <w:rFonts w:ascii="宋体" w:hAnsi="宋体" w:eastAsia="宋体" w:cs="宋体"/>
          <w:color w:val="auto"/>
          <w:spacing w:val="1"/>
          <w:sz w:val="20"/>
          <w:szCs w:val="20"/>
        </w:rPr>
        <w:t>年</w:t>
      </w:r>
      <w:r>
        <w:rPr>
          <w:rFonts w:ascii="宋体" w:hAnsi="宋体" w:eastAsia="宋体" w:cs="宋体"/>
          <w:color w:val="auto"/>
          <w:spacing w:val="1"/>
          <w:sz w:val="20"/>
          <w:szCs w:val="20"/>
          <w:u w:val="single" w:color="auto"/>
        </w:rPr>
        <w:t xml:space="preserve">   </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 xml:space="preserve"> 月</w:t>
      </w:r>
      <w:r>
        <w:rPr>
          <w:rFonts w:ascii="宋体" w:hAnsi="宋体" w:eastAsia="宋体" w:cs="宋体"/>
          <w:color w:val="auto"/>
          <w:sz w:val="20"/>
          <w:szCs w:val="20"/>
          <w:u w:val="single" w:color="auto"/>
        </w:rPr>
        <w:t xml:space="preserve">     </w:t>
      </w:r>
      <w:r>
        <w:rPr>
          <w:rFonts w:ascii="宋体" w:hAnsi="宋体" w:eastAsia="宋体" w:cs="宋体"/>
          <w:color w:val="auto"/>
          <w:sz w:val="20"/>
          <w:szCs w:val="20"/>
        </w:rPr>
        <w:t>日</w:t>
      </w:r>
    </w:p>
    <w:p w14:paraId="0743153C">
      <w:pPr>
        <w:spacing w:before="232" w:line="222" w:lineRule="auto"/>
        <w:ind w:left="474"/>
        <w:rPr>
          <w:rFonts w:ascii="宋体" w:hAnsi="宋体" w:eastAsia="宋体" w:cs="宋体"/>
          <w:color w:val="auto"/>
          <w:sz w:val="20"/>
          <w:szCs w:val="20"/>
        </w:rPr>
      </w:pPr>
      <w:r>
        <w:rPr>
          <w:rFonts w:ascii="宋体" w:hAnsi="宋体" w:eastAsia="宋体" w:cs="宋体"/>
          <w:color w:val="auto"/>
          <w:spacing w:val="-1"/>
          <w:sz w:val="20"/>
          <w:szCs w:val="20"/>
        </w:rPr>
        <w:t>经办银行：</w:t>
      </w:r>
      <w:r>
        <w:rPr>
          <w:rFonts w:ascii="宋体" w:hAnsi="宋体" w:eastAsia="宋体" w:cs="宋体"/>
          <w:color w:val="auto"/>
          <w:spacing w:val="-1"/>
          <w:sz w:val="20"/>
          <w:szCs w:val="20"/>
          <w:u w:val="single" w:color="auto"/>
        </w:rPr>
        <w:t xml:space="preserve">     </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盖单位章</w:t>
      </w:r>
      <w:r>
        <w:rPr>
          <w:rFonts w:hint="eastAsia" w:ascii="宋体" w:hAnsi="宋体" w:cs="宋体"/>
          <w:color w:val="auto"/>
          <w:sz w:val="20"/>
          <w:szCs w:val="20"/>
          <w:lang w:eastAsia="zh-CN"/>
        </w:rPr>
        <w:t>）</w:t>
      </w:r>
    </w:p>
    <w:p w14:paraId="1632C95B">
      <w:pPr>
        <w:spacing w:line="221" w:lineRule="auto"/>
        <w:ind w:left="473"/>
        <w:rPr>
          <w:rFonts w:ascii="宋体" w:hAnsi="宋体" w:eastAsia="宋体" w:cs="宋体"/>
          <w:color w:val="auto"/>
          <w:sz w:val="20"/>
          <w:szCs w:val="20"/>
        </w:rPr>
      </w:pPr>
      <w:r>
        <w:rPr>
          <w:rFonts w:ascii="宋体" w:hAnsi="宋体" w:eastAsia="宋体" w:cs="宋体"/>
          <w:color w:val="auto"/>
          <w:spacing w:val="-1"/>
          <w:sz w:val="20"/>
          <w:szCs w:val="20"/>
        </w:rPr>
        <w:t>法定人或代表其委托</w:t>
      </w:r>
      <w:r>
        <w:rPr>
          <w:rFonts w:ascii="宋体" w:hAnsi="宋体" w:eastAsia="宋体" w:cs="宋体"/>
          <w:color w:val="auto"/>
          <w:sz w:val="20"/>
          <w:szCs w:val="20"/>
        </w:rPr>
        <w:t>代理人：</w:t>
      </w:r>
      <w:r>
        <w:rPr>
          <w:rFonts w:ascii="宋体" w:hAnsi="宋体" w:eastAsia="宋体" w:cs="宋体"/>
          <w:color w:val="auto"/>
          <w:sz w:val="20"/>
          <w:szCs w:val="20"/>
          <w:u w:val="single" w:color="auto"/>
        </w:rPr>
        <w:t xml:space="preserve">           </w:t>
      </w:r>
      <w:r>
        <w:rPr>
          <w:rFonts w:hint="eastAsia" w:ascii="宋体" w:hAnsi="宋体" w:cs="宋体"/>
          <w:color w:val="auto"/>
          <w:sz w:val="20"/>
          <w:szCs w:val="20"/>
          <w:u w:val="single" w:color="auto"/>
          <w:lang w:eastAsia="zh-CN"/>
        </w:rPr>
        <w:t>（</w:t>
      </w:r>
      <w:r>
        <w:rPr>
          <w:rFonts w:ascii="宋体" w:hAnsi="宋体" w:eastAsia="宋体" w:cs="宋体"/>
          <w:color w:val="auto"/>
          <w:sz w:val="20"/>
          <w:szCs w:val="20"/>
        </w:rPr>
        <w:t>签字</w:t>
      </w:r>
      <w:r>
        <w:rPr>
          <w:rFonts w:hint="eastAsia" w:ascii="宋体" w:hAnsi="宋体" w:cs="宋体"/>
          <w:color w:val="auto"/>
          <w:sz w:val="20"/>
          <w:szCs w:val="20"/>
          <w:lang w:eastAsia="zh-CN"/>
        </w:rPr>
        <w:t>）</w:t>
      </w:r>
    </w:p>
    <w:p w14:paraId="49DD6D3F">
      <w:pPr>
        <w:tabs>
          <w:tab w:val="left" w:pos="3052"/>
        </w:tabs>
        <w:spacing w:before="1" w:line="203" w:lineRule="auto"/>
        <w:ind w:left="2203"/>
        <w:rPr>
          <w:rFonts w:ascii="宋体" w:hAnsi="宋体" w:eastAsia="宋体" w:cs="宋体"/>
          <w:color w:val="auto"/>
          <w:sz w:val="20"/>
          <w:szCs w:val="20"/>
        </w:rPr>
      </w:pPr>
      <w:r>
        <w:rPr>
          <w:rFonts w:ascii="宋体" w:hAnsi="宋体" w:eastAsia="宋体" w:cs="宋体"/>
          <w:color w:val="auto"/>
          <w:sz w:val="20"/>
          <w:szCs w:val="20"/>
          <w:u w:val="single" w:color="auto"/>
        </w:rPr>
        <w:tab/>
      </w:r>
      <w:r>
        <w:rPr>
          <w:rFonts w:ascii="宋体" w:hAnsi="宋体" w:eastAsia="宋体" w:cs="宋体"/>
          <w:color w:val="auto"/>
          <w:spacing w:val="10"/>
          <w:sz w:val="20"/>
          <w:szCs w:val="20"/>
        </w:rPr>
        <w:t>年</w:t>
      </w:r>
      <w:r>
        <w:rPr>
          <w:rFonts w:ascii="宋体" w:hAnsi="宋体" w:eastAsia="宋体" w:cs="宋体"/>
          <w:color w:val="auto"/>
          <w:spacing w:val="8"/>
          <w:sz w:val="20"/>
          <w:szCs w:val="20"/>
          <w:u w:val="single" w:color="auto"/>
        </w:rPr>
        <w:t xml:space="preserve">     </w:t>
      </w:r>
      <w:r>
        <w:rPr>
          <w:rFonts w:ascii="宋体" w:hAnsi="宋体" w:eastAsia="宋体" w:cs="宋体"/>
          <w:color w:val="auto"/>
          <w:spacing w:val="8"/>
          <w:sz w:val="20"/>
          <w:szCs w:val="20"/>
        </w:rPr>
        <w:t>月</w:t>
      </w:r>
      <w:r>
        <w:rPr>
          <w:rFonts w:ascii="宋体" w:hAnsi="宋体" w:eastAsia="宋体" w:cs="宋体"/>
          <w:color w:val="auto"/>
          <w:spacing w:val="8"/>
          <w:sz w:val="20"/>
          <w:szCs w:val="20"/>
          <w:u w:val="single" w:color="auto"/>
        </w:rPr>
        <w:t xml:space="preserve">     </w:t>
      </w:r>
      <w:r>
        <w:rPr>
          <w:rFonts w:ascii="宋体" w:hAnsi="宋体" w:eastAsia="宋体" w:cs="宋体"/>
          <w:color w:val="auto"/>
          <w:spacing w:val="8"/>
          <w:sz w:val="20"/>
          <w:szCs w:val="20"/>
        </w:rPr>
        <w:t>日</w:t>
      </w:r>
    </w:p>
    <w:p w14:paraId="62068B01">
      <w:pPr>
        <w:spacing w:before="75" w:line="230" w:lineRule="auto"/>
        <w:ind w:left="9"/>
        <w:rPr>
          <w:rFonts w:ascii="宋体" w:hAnsi="宋体" w:eastAsia="宋体" w:cs="宋体"/>
          <w:color w:val="auto"/>
          <w:sz w:val="23"/>
          <w:szCs w:val="23"/>
        </w:rPr>
      </w:pPr>
    </w:p>
    <w:p w14:paraId="03E5EF33">
      <w:pPr>
        <w:spacing w:line="220" w:lineRule="auto"/>
        <w:rPr>
          <w:rFonts w:ascii="宋体" w:hAnsi="宋体" w:eastAsia="宋体" w:cs="宋体"/>
          <w:sz w:val="24"/>
          <w:szCs w:val="24"/>
        </w:rPr>
      </w:pPr>
    </w:p>
    <w:p w14:paraId="241A4D67">
      <w:pPr>
        <w:spacing w:line="220" w:lineRule="auto"/>
        <w:rPr>
          <w:rFonts w:ascii="宋体" w:hAnsi="宋体" w:eastAsia="宋体" w:cs="宋体"/>
          <w:sz w:val="24"/>
          <w:szCs w:val="24"/>
        </w:rPr>
        <w:sectPr>
          <w:footerReference r:id="rId124" w:type="default"/>
          <w:pgSz w:w="11905" w:h="16840"/>
          <w:pgMar w:top="1182" w:right="1416" w:bottom="1171" w:left="1416" w:header="849" w:footer="937" w:gutter="0"/>
          <w:pgNumType w:fmt="decimal"/>
          <w:cols w:space="720" w:num="1"/>
        </w:sectPr>
      </w:pPr>
    </w:p>
    <w:p w14:paraId="7CA0CD50">
      <w:pPr>
        <w:spacing w:before="98" w:line="219" w:lineRule="auto"/>
        <w:ind w:left="167"/>
        <w:jc w:val="right"/>
        <w:rPr>
          <w:rFonts w:ascii="宋体" w:hAnsi="宋体" w:eastAsia="宋体" w:cs="宋体"/>
          <w:color w:val="auto"/>
          <w:spacing w:val="-9"/>
          <w:sz w:val="23"/>
          <w:szCs w:val="23"/>
        </w:rPr>
      </w:pPr>
    </w:p>
    <w:p w14:paraId="5B48AE21">
      <w:pPr>
        <w:pStyle w:val="2"/>
        <w:spacing w:line="267" w:lineRule="auto"/>
      </w:pPr>
    </w:p>
    <w:p w14:paraId="1595E227">
      <w:pPr>
        <w:spacing w:before="78" w:line="219" w:lineRule="auto"/>
        <w:ind w:left="28"/>
        <w:rPr>
          <w:rFonts w:ascii="宋体" w:hAnsi="宋体" w:eastAsia="宋体" w:cs="宋体"/>
          <w:sz w:val="24"/>
          <w:szCs w:val="24"/>
        </w:rPr>
      </w:pPr>
      <w:r>
        <w:rPr>
          <w:rFonts w:ascii="宋体" w:hAnsi="宋体" w:eastAsia="宋体" w:cs="宋体"/>
          <w:b/>
          <w:bCs/>
          <w:spacing w:val="-18"/>
          <w:sz w:val="24"/>
          <w:szCs w:val="24"/>
        </w:rPr>
        <w:t>附件九：</w:t>
      </w:r>
    </w:p>
    <w:p w14:paraId="68118538">
      <w:pPr>
        <w:pStyle w:val="2"/>
        <w:spacing w:line="247" w:lineRule="auto"/>
      </w:pPr>
    </w:p>
    <w:p w14:paraId="52DD9867">
      <w:pPr>
        <w:pStyle w:val="2"/>
        <w:spacing w:line="247" w:lineRule="auto"/>
      </w:pPr>
    </w:p>
    <w:p w14:paraId="17D83F17">
      <w:pPr>
        <w:pStyle w:val="2"/>
        <w:spacing w:line="247" w:lineRule="auto"/>
      </w:pPr>
    </w:p>
    <w:p w14:paraId="07735797">
      <w:pPr>
        <w:spacing w:before="101" w:line="227" w:lineRule="auto"/>
        <w:ind w:left="2813"/>
        <w:rPr>
          <w:rFonts w:ascii="黑体" w:hAnsi="黑体" w:eastAsia="黑体" w:cs="黑体"/>
          <w:sz w:val="31"/>
          <w:szCs w:val="31"/>
        </w:rPr>
      </w:pPr>
      <w:r>
        <w:rPr>
          <w:rFonts w:ascii="黑体" w:hAnsi="黑体" w:eastAsia="黑体" w:cs="黑体"/>
          <w:spacing w:val="-3"/>
          <w:sz w:val="31"/>
          <w:szCs w:val="31"/>
        </w:rPr>
        <w:t>甲控乙购 I</w:t>
      </w:r>
      <w:r>
        <w:rPr>
          <w:rFonts w:ascii="黑体" w:hAnsi="黑体" w:eastAsia="黑体" w:cs="黑体"/>
          <w:spacing w:val="-49"/>
          <w:sz w:val="31"/>
          <w:szCs w:val="31"/>
        </w:rPr>
        <w:t xml:space="preserve"> </w:t>
      </w:r>
      <w:r>
        <w:rPr>
          <w:rFonts w:ascii="黑体" w:hAnsi="黑体" w:eastAsia="黑体" w:cs="黑体"/>
          <w:spacing w:val="-3"/>
          <w:sz w:val="31"/>
          <w:szCs w:val="31"/>
        </w:rPr>
        <w:t>类材料一览表</w:t>
      </w:r>
    </w:p>
    <w:p w14:paraId="28192701">
      <w:pPr>
        <w:spacing w:before="5"/>
      </w:pPr>
    </w:p>
    <w:tbl>
      <w:tblPr>
        <w:tblStyle w:val="8"/>
        <w:tblW w:w="9008" w:type="dxa"/>
        <w:tblInd w:w="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926"/>
        <w:gridCol w:w="2249"/>
        <w:gridCol w:w="1031"/>
        <w:gridCol w:w="2718"/>
      </w:tblGrid>
      <w:tr w14:paraId="73DC5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1084" w:type="dxa"/>
            <w:vAlign w:val="top"/>
          </w:tcPr>
          <w:p w14:paraId="70F1A527">
            <w:pPr>
              <w:spacing w:line="251" w:lineRule="auto"/>
              <w:rPr>
                <w:rFonts w:ascii="Arial"/>
                <w:sz w:val="21"/>
              </w:rPr>
            </w:pPr>
          </w:p>
          <w:p w14:paraId="3A08E1F2">
            <w:pPr>
              <w:spacing w:line="252" w:lineRule="auto"/>
              <w:rPr>
                <w:rFonts w:ascii="Arial"/>
                <w:sz w:val="21"/>
              </w:rPr>
            </w:pPr>
          </w:p>
          <w:p w14:paraId="50D49717">
            <w:pPr>
              <w:pStyle w:val="9"/>
              <w:spacing w:before="78" w:line="221" w:lineRule="auto"/>
              <w:ind w:left="306"/>
              <w:rPr>
                <w:sz w:val="24"/>
                <w:szCs w:val="24"/>
              </w:rPr>
            </w:pPr>
            <w:r>
              <w:rPr>
                <w:b/>
                <w:bCs/>
                <w:spacing w:val="-5"/>
                <w:sz w:val="24"/>
                <w:szCs w:val="24"/>
              </w:rPr>
              <w:t>序号</w:t>
            </w:r>
          </w:p>
        </w:tc>
        <w:tc>
          <w:tcPr>
            <w:tcW w:w="1926" w:type="dxa"/>
            <w:vAlign w:val="top"/>
          </w:tcPr>
          <w:p w14:paraId="4F5E0AEA">
            <w:pPr>
              <w:spacing w:line="251" w:lineRule="auto"/>
              <w:rPr>
                <w:rFonts w:ascii="Arial"/>
                <w:sz w:val="21"/>
              </w:rPr>
            </w:pPr>
          </w:p>
          <w:p w14:paraId="4F7C040E">
            <w:pPr>
              <w:spacing w:line="252" w:lineRule="auto"/>
              <w:rPr>
                <w:rFonts w:ascii="Arial"/>
                <w:sz w:val="21"/>
              </w:rPr>
            </w:pPr>
          </w:p>
          <w:p w14:paraId="254A661E">
            <w:pPr>
              <w:pStyle w:val="9"/>
              <w:spacing w:before="78" w:line="219" w:lineRule="auto"/>
              <w:ind w:left="487"/>
              <w:rPr>
                <w:sz w:val="24"/>
                <w:szCs w:val="24"/>
              </w:rPr>
            </w:pPr>
            <w:r>
              <w:rPr>
                <w:b/>
                <w:bCs/>
                <w:spacing w:val="-4"/>
                <w:sz w:val="24"/>
                <w:szCs w:val="24"/>
              </w:rPr>
              <w:t>材料名称</w:t>
            </w:r>
          </w:p>
        </w:tc>
        <w:tc>
          <w:tcPr>
            <w:tcW w:w="2249" w:type="dxa"/>
            <w:vAlign w:val="top"/>
          </w:tcPr>
          <w:p w14:paraId="54E5B001">
            <w:pPr>
              <w:spacing w:line="251" w:lineRule="auto"/>
              <w:rPr>
                <w:rFonts w:ascii="Arial"/>
                <w:sz w:val="21"/>
              </w:rPr>
            </w:pPr>
          </w:p>
          <w:p w14:paraId="53361D77">
            <w:pPr>
              <w:spacing w:line="252" w:lineRule="auto"/>
              <w:rPr>
                <w:rFonts w:ascii="Arial"/>
                <w:sz w:val="21"/>
              </w:rPr>
            </w:pPr>
          </w:p>
          <w:p w14:paraId="392A517E">
            <w:pPr>
              <w:pStyle w:val="9"/>
              <w:spacing w:before="78" w:line="221" w:lineRule="auto"/>
              <w:ind w:left="898"/>
              <w:rPr>
                <w:sz w:val="24"/>
                <w:szCs w:val="24"/>
              </w:rPr>
            </w:pPr>
            <w:r>
              <w:rPr>
                <w:b/>
                <w:bCs/>
                <w:spacing w:val="-11"/>
                <w:sz w:val="24"/>
                <w:szCs w:val="24"/>
              </w:rPr>
              <w:t>型号</w:t>
            </w:r>
          </w:p>
        </w:tc>
        <w:tc>
          <w:tcPr>
            <w:tcW w:w="1031" w:type="dxa"/>
            <w:vAlign w:val="top"/>
          </w:tcPr>
          <w:p w14:paraId="2D031D3C">
            <w:pPr>
              <w:spacing w:line="251" w:lineRule="auto"/>
              <w:rPr>
                <w:rFonts w:ascii="Arial"/>
                <w:sz w:val="21"/>
              </w:rPr>
            </w:pPr>
          </w:p>
          <w:p w14:paraId="28E7E9B7">
            <w:pPr>
              <w:spacing w:line="252" w:lineRule="auto"/>
              <w:rPr>
                <w:rFonts w:ascii="Arial"/>
                <w:sz w:val="21"/>
              </w:rPr>
            </w:pPr>
          </w:p>
          <w:p w14:paraId="40A562AE">
            <w:pPr>
              <w:pStyle w:val="9"/>
              <w:spacing w:before="78" w:line="220" w:lineRule="auto"/>
              <w:ind w:left="284"/>
              <w:rPr>
                <w:sz w:val="24"/>
                <w:szCs w:val="24"/>
              </w:rPr>
            </w:pPr>
            <w:r>
              <w:rPr>
                <w:b/>
                <w:bCs/>
                <w:spacing w:val="-8"/>
                <w:sz w:val="24"/>
                <w:szCs w:val="24"/>
              </w:rPr>
              <w:t>单位</w:t>
            </w:r>
          </w:p>
        </w:tc>
        <w:tc>
          <w:tcPr>
            <w:tcW w:w="2718" w:type="dxa"/>
            <w:vAlign w:val="top"/>
          </w:tcPr>
          <w:p w14:paraId="37AA92D3">
            <w:pPr>
              <w:spacing w:line="295" w:lineRule="auto"/>
              <w:rPr>
                <w:rFonts w:ascii="Arial"/>
                <w:sz w:val="21"/>
              </w:rPr>
            </w:pPr>
          </w:p>
          <w:p w14:paraId="5A290EFF">
            <w:pPr>
              <w:pStyle w:val="9"/>
              <w:spacing w:before="78" w:line="324" w:lineRule="auto"/>
              <w:ind w:left="888" w:right="649" w:hanging="236"/>
              <w:rPr>
                <w:sz w:val="24"/>
                <w:szCs w:val="24"/>
              </w:rPr>
            </w:pPr>
            <w:r>
              <w:rPr>
                <w:b/>
                <w:bCs/>
                <w:spacing w:val="-8"/>
                <w:sz w:val="24"/>
                <w:szCs w:val="24"/>
              </w:rPr>
              <w:t>暂扣价（元）</w:t>
            </w:r>
            <w:r>
              <w:rPr>
                <w:b/>
                <w:bCs/>
                <w:spacing w:val="-5"/>
                <w:sz w:val="24"/>
                <w:szCs w:val="24"/>
              </w:rPr>
              <w:t>不含税价</w:t>
            </w:r>
          </w:p>
        </w:tc>
      </w:tr>
      <w:tr w14:paraId="2A4F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1462BB33">
            <w:pPr>
              <w:pStyle w:val="9"/>
              <w:spacing w:before="155" w:line="241" w:lineRule="auto"/>
              <w:ind w:left="505"/>
              <w:rPr>
                <w:sz w:val="24"/>
                <w:szCs w:val="24"/>
              </w:rPr>
            </w:pPr>
            <w:r>
              <w:rPr>
                <w:sz w:val="24"/>
                <w:szCs w:val="24"/>
              </w:rPr>
              <w:t>1</w:t>
            </w:r>
          </w:p>
        </w:tc>
        <w:tc>
          <w:tcPr>
            <w:tcW w:w="1926" w:type="dxa"/>
            <w:vAlign w:val="top"/>
          </w:tcPr>
          <w:p w14:paraId="3F3969E5">
            <w:pPr>
              <w:rPr>
                <w:rFonts w:ascii="Arial"/>
                <w:sz w:val="21"/>
              </w:rPr>
            </w:pPr>
          </w:p>
        </w:tc>
        <w:tc>
          <w:tcPr>
            <w:tcW w:w="2249" w:type="dxa"/>
            <w:vAlign w:val="top"/>
          </w:tcPr>
          <w:p w14:paraId="65C85313">
            <w:pPr>
              <w:rPr>
                <w:rFonts w:ascii="Arial"/>
                <w:sz w:val="21"/>
              </w:rPr>
            </w:pPr>
          </w:p>
        </w:tc>
        <w:tc>
          <w:tcPr>
            <w:tcW w:w="1031" w:type="dxa"/>
            <w:vAlign w:val="top"/>
          </w:tcPr>
          <w:p w14:paraId="77A1FE97">
            <w:pPr>
              <w:rPr>
                <w:rFonts w:ascii="Arial"/>
                <w:sz w:val="21"/>
              </w:rPr>
            </w:pPr>
          </w:p>
        </w:tc>
        <w:tc>
          <w:tcPr>
            <w:tcW w:w="2718" w:type="dxa"/>
            <w:vAlign w:val="top"/>
          </w:tcPr>
          <w:p w14:paraId="6281EC92">
            <w:pPr>
              <w:rPr>
                <w:rFonts w:ascii="Arial"/>
                <w:sz w:val="21"/>
              </w:rPr>
            </w:pPr>
          </w:p>
        </w:tc>
      </w:tr>
      <w:tr w14:paraId="18FAF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604E50DC">
            <w:pPr>
              <w:pStyle w:val="9"/>
              <w:spacing w:before="157" w:line="241" w:lineRule="auto"/>
              <w:ind w:left="490"/>
              <w:rPr>
                <w:sz w:val="24"/>
                <w:szCs w:val="24"/>
              </w:rPr>
            </w:pPr>
            <w:r>
              <w:rPr>
                <w:sz w:val="24"/>
                <w:szCs w:val="24"/>
              </w:rPr>
              <w:t>2</w:t>
            </w:r>
          </w:p>
        </w:tc>
        <w:tc>
          <w:tcPr>
            <w:tcW w:w="1926" w:type="dxa"/>
            <w:vAlign w:val="top"/>
          </w:tcPr>
          <w:p w14:paraId="08CFB56D">
            <w:pPr>
              <w:rPr>
                <w:rFonts w:ascii="Arial"/>
                <w:sz w:val="21"/>
              </w:rPr>
            </w:pPr>
          </w:p>
        </w:tc>
        <w:tc>
          <w:tcPr>
            <w:tcW w:w="2249" w:type="dxa"/>
            <w:vAlign w:val="top"/>
          </w:tcPr>
          <w:p w14:paraId="5365FCD4">
            <w:pPr>
              <w:rPr>
                <w:rFonts w:ascii="Arial"/>
                <w:sz w:val="21"/>
              </w:rPr>
            </w:pPr>
          </w:p>
        </w:tc>
        <w:tc>
          <w:tcPr>
            <w:tcW w:w="1031" w:type="dxa"/>
            <w:vAlign w:val="top"/>
          </w:tcPr>
          <w:p w14:paraId="4D07643C">
            <w:pPr>
              <w:rPr>
                <w:rFonts w:ascii="Arial"/>
                <w:sz w:val="21"/>
              </w:rPr>
            </w:pPr>
          </w:p>
        </w:tc>
        <w:tc>
          <w:tcPr>
            <w:tcW w:w="2718" w:type="dxa"/>
            <w:vAlign w:val="top"/>
          </w:tcPr>
          <w:p w14:paraId="5DCD3A0B">
            <w:pPr>
              <w:rPr>
                <w:rFonts w:ascii="Arial"/>
                <w:sz w:val="21"/>
              </w:rPr>
            </w:pPr>
          </w:p>
        </w:tc>
      </w:tr>
      <w:tr w14:paraId="6B9A2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095D6ABA">
            <w:pPr>
              <w:pStyle w:val="9"/>
              <w:spacing w:before="157"/>
              <w:ind w:left="492"/>
              <w:rPr>
                <w:sz w:val="24"/>
                <w:szCs w:val="24"/>
              </w:rPr>
            </w:pPr>
            <w:r>
              <w:rPr>
                <w:sz w:val="24"/>
                <w:szCs w:val="24"/>
              </w:rPr>
              <w:t>3</w:t>
            </w:r>
          </w:p>
        </w:tc>
        <w:tc>
          <w:tcPr>
            <w:tcW w:w="1926" w:type="dxa"/>
            <w:vAlign w:val="top"/>
          </w:tcPr>
          <w:p w14:paraId="265CABD3">
            <w:pPr>
              <w:rPr>
                <w:rFonts w:ascii="Arial"/>
                <w:sz w:val="21"/>
              </w:rPr>
            </w:pPr>
          </w:p>
        </w:tc>
        <w:tc>
          <w:tcPr>
            <w:tcW w:w="2249" w:type="dxa"/>
            <w:vAlign w:val="top"/>
          </w:tcPr>
          <w:p w14:paraId="1301725B">
            <w:pPr>
              <w:rPr>
                <w:rFonts w:ascii="Arial"/>
                <w:sz w:val="21"/>
              </w:rPr>
            </w:pPr>
          </w:p>
        </w:tc>
        <w:tc>
          <w:tcPr>
            <w:tcW w:w="1031" w:type="dxa"/>
            <w:vAlign w:val="top"/>
          </w:tcPr>
          <w:p w14:paraId="78FF9E5F">
            <w:pPr>
              <w:rPr>
                <w:rFonts w:ascii="Arial"/>
                <w:sz w:val="21"/>
              </w:rPr>
            </w:pPr>
          </w:p>
        </w:tc>
        <w:tc>
          <w:tcPr>
            <w:tcW w:w="2718" w:type="dxa"/>
            <w:vAlign w:val="top"/>
          </w:tcPr>
          <w:p w14:paraId="107E1F24">
            <w:pPr>
              <w:rPr>
                <w:rFonts w:ascii="Arial"/>
                <w:sz w:val="21"/>
              </w:rPr>
            </w:pPr>
          </w:p>
        </w:tc>
      </w:tr>
      <w:tr w14:paraId="1A8D2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1017C4A5">
            <w:pPr>
              <w:pStyle w:val="9"/>
              <w:spacing w:before="158" w:line="241" w:lineRule="auto"/>
              <w:ind w:left="487"/>
              <w:rPr>
                <w:sz w:val="24"/>
                <w:szCs w:val="24"/>
              </w:rPr>
            </w:pPr>
            <w:r>
              <w:rPr>
                <w:sz w:val="24"/>
                <w:szCs w:val="24"/>
              </w:rPr>
              <w:t>4</w:t>
            </w:r>
          </w:p>
        </w:tc>
        <w:tc>
          <w:tcPr>
            <w:tcW w:w="1926" w:type="dxa"/>
            <w:vAlign w:val="top"/>
          </w:tcPr>
          <w:p w14:paraId="18896E78">
            <w:pPr>
              <w:rPr>
                <w:rFonts w:ascii="Arial"/>
                <w:sz w:val="21"/>
              </w:rPr>
            </w:pPr>
          </w:p>
        </w:tc>
        <w:tc>
          <w:tcPr>
            <w:tcW w:w="2249" w:type="dxa"/>
            <w:vAlign w:val="top"/>
          </w:tcPr>
          <w:p w14:paraId="7C51D01A">
            <w:pPr>
              <w:rPr>
                <w:rFonts w:ascii="Arial"/>
                <w:sz w:val="21"/>
              </w:rPr>
            </w:pPr>
          </w:p>
        </w:tc>
        <w:tc>
          <w:tcPr>
            <w:tcW w:w="1031" w:type="dxa"/>
            <w:vAlign w:val="top"/>
          </w:tcPr>
          <w:p w14:paraId="53F82F06">
            <w:pPr>
              <w:rPr>
                <w:rFonts w:ascii="Arial"/>
                <w:sz w:val="21"/>
              </w:rPr>
            </w:pPr>
          </w:p>
        </w:tc>
        <w:tc>
          <w:tcPr>
            <w:tcW w:w="2718" w:type="dxa"/>
            <w:vAlign w:val="top"/>
          </w:tcPr>
          <w:p w14:paraId="64138102">
            <w:pPr>
              <w:rPr>
                <w:rFonts w:ascii="Arial"/>
                <w:sz w:val="21"/>
              </w:rPr>
            </w:pPr>
          </w:p>
        </w:tc>
      </w:tr>
      <w:tr w14:paraId="00FE1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084" w:type="dxa"/>
            <w:vAlign w:val="top"/>
          </w:tcPr>
          <w:p w14:paraId="5AC0D167">
            <w:pPr>
              <w:pStyle w:val="9"/>
              <w:spacing w:before="159"/>
              <w:ind w:left="492"/>
              <w:rPr>
                <w:sz w:val="24"/>
                <w:szCs w:val="24"/>
              </w:rPr>
            </w:pPr>
            <w:r>
              <w:rPr>
                <w:sz w:val="24"/>
                <w:szCs w:val="24"/>
              </w:rPr>
              <w:t>5</w:t>
            </w:r>
          </w:p>
        </w:tc>
        <w:tc>
          <w:tcPr>
            <w:tcW w:w="1926" w:type="dxa"/>
            <w:vAlign w:val="top"/>
          </w:tcPr>
          <w:p w14:paraId="29044F89">
            <w:pPr>
              <w:rPr>
                <w:rFonts w:ascii="Arial"/>
                <w:sz w:val="21"/>
              </w:rPr>
            </w:pPr>
          </w:p>
        </w:tc>
        <w:tc>
          <w:tcPr>
            <w:tcW w:w="2249" w:type="dxa"/>
            <w:vAlign w:val="top"/>
          </w:tcPr>
          <w:p w14:paraId="09D70F6E">
            <w:pPr>
              <w:rPr>
                <w:rFonts w:ascii="Arial"/>
                <w:sz w:val="21"/>
              </w:rPr>
            </w:pPr>
          </w:p>
        </w:tc>
        <w:tc>
          <w:tcPr>
            <w:tcW w:w="1031" w:type="dxa"/>
            <w:vAlign w:val="top"/>
          </w:tcPr>
          <w:p w14:paraId="56B6B791">
            <w:pPr>
              <w:rPr>
                <w:rFonts w:ascii="Arial"/>
                <w:sz w:val="21"/>
              </w:rPr>
            </w:pPr>
          </w:p>
        </w:tc>
        <w:tc>
          <w:tcPr>
            <w:tcW w:w="2718" w:type="dxa"/>
            <w:vAlign w:val="top"/>
          </w:tcPr>
          <w:p w14:paraId="54F49E19">
            <w:pPr>
              <w:rPr>
                <w:rFonts w:ascii="Arial"/>
                <w:sz w:val="21"/>
              </w:rPr>
            </w:pPr>
          </w:p>
        </w:tc>
      </w:tr>
      <w:tr w14:paraId="0E49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1084" w:type="dxa"/>
            <w:vAlign w:val="top"/>
          </w:tcPr>
          <w:p w14:paraId="7665A92F">
            <w:pPr>
              <w:pStyle w:val="9"/>
              <w:spacing w:before="157"/>
              <w:ind w:left="489"/>
              <w:rPr>
                <w:sz w:val="24"/>
                <w:szCs w:val="24"/>
              </w:rPr>
            </w:pPr>
            <w:r>
              <w:rPr>
                <w:sz w:val="24"/>
                <w:szCs w:val="24"/>
              </w:rPr>
              <w:t>6</w:t>
            </w:r>
          </w:p>
        </w:tc>
        <w:tc>
          <w:tcPr>
            <w:tcW w:w="1926" w:type="dxa"/>
            <w:vAlign w:val="top"/>
          </w:tcPr>
          <w:p w14:paraId="0C6B702F">
            <w:pPr>
              <w:rPr>
                <w:rFonts w:ascii="Arial"/>
                <w:sz w:val="21"/>
              </w:rPr>
            </w:pPr>
          </w:p>
        </w:tc>
        <w:tc>
          <w:tcPr>
            <w:tcW w:w="2249" w:type="dxa"/>
            <w:vAlign w:val="top"/>
          </w:tcPr>
          <w:p w14:paraId="243EF0A5">
            <w:pPr>
              <w:rPr>
                <w:rFonts w:ascii="Arial"/>
                <w:sz w:val="21"/>
              </w:rPr>
            </w:pPr>
          </w:p>
        </w:tc>
        <w:tc>
          <w:tcPr>
            <w:tcW w:w="1031" w:type="dxa"/>
            <w:vAlign w:val="top"/>
          </w:tcPr>
          <w:p w14:paraId="614F36FF">
            <w:pPr>
              <w:rPr>
                <w:rFonts w:ascii="Arial"/>
                <w:sz w:val="21"/>
              </w:rPr>
            </w:pPr>
          </w:p>
        </w:tc>
        <w:tc>
          <w:tcPr>
            <w:tcW w:w="2718" w:type="dxa"/>
            <w:vAlign w:val="top"/>
          </w:tcPr>
          <w:p w14:paraId="2E9AB2D9">
            <w:pPr>
              <w:rPr>
                <w:rFonts w:ascii="Arial"/>
                <w:sz w:val="21"/>
              </w:rPr>
            </w:pPr>
          </w:p>
        </w:tc>
      </w:tr>
      <w:tr w14:paraId="20F79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084" w:type="dxa"/>
            <w:vAlign w:val="top"/>
          </w:tcPr>
          <w:p w14:paraId="6B746071">
            <w:pPr>
              <w:pStyle w:val="9"/>
              <w:spacing w:before="158"/>
              <w:ind w:left="493"/>
              <w:rPr>
                <w:sz w:val="24"/>
                <w:szCs w:val="24"/>
              </w:rPr>
            </w:pPr>
            <w:r>
              <w:rPr>
                <w:sz w:val="24"/>
                <w:szCs w:val="24"/>
              </w:rPr>
              <w:t>7</w:t>
            </w:r>
          </w:p>
        </w:tc>
        <w:tc>
          <w:tcPr>
            <w:tcW w:w="1926" w:type="dxa"/>
            <w:vAlign w:val="top"/>
          </w:tcPr>
          <w:p w14:paraId="3C8F66BC">
            <w:pPr>
              <w:rPr>
                <w:rFonts w:ascii="Arial"/>
                <w:sz w:val="21"/>
              </w:rPr>
            </w:pPr>
          </w:p>
        </w:tc>
        <w:tc>
          <w:tcPr>
            <w:tcW w:w="2249" w:type="dxa"/>
            <w:vAlign w:val="top"/>
          </w:tcPr>
          <w:p w14:paraId="3F1D5D94">
            <w:pPr>
              <w:rPr>
                <w:rFonts w:ascii="Arial"/>
                <w:sz w:val="21"/>
              </w:rPr>
            </w:pPr>
          </w:p>
        </w:tc>
        <w:tc>
          <w:tcPr>
            <w:tcW w:w="1031" w:type="dxa"/>
            <w:vAlign w:val="top"/>
          </w:tcPr>
          <w:p w14:paraId="432229F9">
            <w:pPr>
              <w:rPr>
                <w:rFonts w:ascii="Arial"/>
                <w:sz w:val="21"/>
              </w:rPr>
            </w:pPr>
          </w:p>
        </w:tc>
        <w:tc>
          <w:tcPr>
            <w:tcW w:w="2718" w:type="dxa"/>
            <w:vAlign w:val="top"/>
          </w:tcPr>
          <w:p w14:paraId="2BF79F97">
            <w:pPr>
              <w:rPr>
                <w:rFonts w:ascii="Arial"/>
                <w:sz w:val="21"/>
              </w:rPr>
            </w:pPr>
          </w:p>
        </w:tc>
      </w:tr>
      <w:tr w14:paraId="103FF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084" w:type="dxa"/>
            <w:vAlign w:val="top"/>
          </w:tcPr>
          <w:p w14:paraId="6B1B2D1E">
            <w:pPr>
              <w:spacing w:line="257" w:lineRule="auto"/>
              <w:rPr>
                <w:rFonts w:ascii="Arial"/>
                <w:sz w:val="21"/>
              </w:rPr>
            </w:pPr>
          </w:p>
          <w:p w14:paraId="52153183">
            <w:pPr>
              <w:pStyle w:val="9"/>
              <w:spacing w:before="78" w:line="99" w:lineRule="exact"/>
              <w:ind w:left="314"/>
              <w:rPr>
                <w:sz w:val="24"/>
                <w:szCs w:val="24"/>
              </w:rPr>
            </w:pPr>
            <w:r>
              <w:rPr>
                <w:spacing w:val="-3"/>
                <w:position w:val="1"/>
                <w:sz w:val="24"/>
                <w:szCs w:val="24"/>
              </w:rPr>
              <w:t>....</w:t>
            </w:r>
          </w:p>
        </w:tc>
        <w:tc>
          <w:tcPr>
            <w:tcW w:w="1926" w:type="dxa"/>
            <w:vAlign w:val="top"/>
          </w:tcPr>
          <w:p w14:paraId="2CBBC4A9">
            <w:pPr>
              <w:rPr>
                <w:rFonts w:ascii="Arial"/>
                <w:sz w:val="21"/>
              </w:rPr>
            </w:pPr>
          </w:p>
        </w:tc>
        <w:tc>
          <w:tcPr>
            <w:tcW w:w="2249" w:type="dxa"/>
            <w:vAlign w:val="top"/>
          </w:tcPr>
          <w:p w14:paraId="599AC4C1">
            <w:pPr>
              <w:rPr>
                <w:rFonts w:ascii="Arial"/>
                <w:sz w:val="21"/>
              </w:rPr>
            </w:pPr>
          </w:p>
        </w:tc>
        <w:tc>
          <w:tcPr>
            <w:tcW w:w="1031" w:type="dxa"/>
            <w:vAlign w:val="top"/>
          </w:tcPr>
          <w:p w14:paraId="09FFA49E">
            <w:pPr>
              <w:rPr>
                <w:rFonts w:ascii="Arial"/>
                <w:sz w:val="21"/>
              </w:rPr>
            </w:pPr>
          </w:p>
        </w:tc>
        <w:tc>
          <w:tcPr>
            <w:tcW w:w="2718" w:type="dxa"/>
            <w:vAlign w:val="top"/>
          </w:tcPr>
          <w:p w14:paraId="222DB3D8">
            <w:pPr>
              <w:rPr>
                <w:rFonts w:ascii="Arial"/>
                <w:sz w:val="21"/>
              </w:rPr>
            </w:pPr>
          </w:p>
        </w:tc>
      </w:tr>
    </w:tbl>
    <w:p w14:paraId="31FEC4AA">
      <w:pPr>
        <w:spacing w:before="115" w:line="361" w:lineRule="auto"/>
        <w:ind w:left="432" w:hanging="3"/>
        <w:rPr>
          <w:rFonts w:ascii="宋体" w:hAnsi="宋体" w:eastAsia="宋体" w:cs="宋体"/>
          <w:sz w:val="24"/>
          <w:szCs w:val="24"/>
        </w:rPr>
      </w:pPr>
      <w:r>
        <w:rPr>
          <w:rFonts w:ascii="宋体" w:hAnsi="宋体" w:eastAsia="宋体" w:cs="宋体"/>
          <w:spacing w:val="-6"/>
          <w:sz w:val="24"/>
          <w:szCs w:val="24"/>
        </w:rPr>
        <w:t>注：发包人将按上述材料基准价和实际供应数量进行甲控乙购</w:t>
      </w:r>
      <w:r>
        <w:rPr>
          <w:rFonts w:ascii="宋体" w:hAnsi="宋体" w:eastAsia="宋体" w:cs="宋体"/>
          <w:spacing w:val="-20"/>
          <w:sz w:val="24"/>
          <w:szCs w:val="24"/>
        </w:rPr>
        <w:t xml:space="preserve"> </w:t>
      </w:r>
      <w:r>
        <w:rPr>
          <w:rFonts w:ascii="宋体" w:hAnsi="宋体" w:eastAsia="宋体" w:cs="宋体"/>
          <w:spacing w:val="-6"/>
          <w:sz w:val="24"/>
          <w:szCs w:val="24"/>
        </w:rPr>
        <w:t>I</w:t>
      </w:r>
      <w:r>
        <w:rPr>
          <w:rFonts w:ascii="宋体" w:hAnsi="宋体" w:eastAsia="宋体" w:cs="宋体"/>
          <w:spacing w:val="-50"/>
          <w:sz w:val="24"/>
          <w:szCs w:val="24"/>
        </w:rPr>
        <w:t xml:space="preserve"> </w:t>
      </w:r>
      <w:r>
        <w:rPr>
          <w:rFonts w:ascii="宋体" w:hAnsi="宋体" w:eastAsia="宋体" w:cs="宋体"/>
          <w:spacing w:val="-6"/>
          <w:sz w:val="24"/>
          <w:szCs w:val="24"/>
        </w:rPr>
        <w:t>类供应材料的扣款，</w:t>
      </w:r>
      <w:r>
        <w:rPr>
          <w:rFonts w:ascii="宋体" w:hAnsi="宋体" w:eastAsia="宋体" w:cs="宋体"/>
          <w:spacing w:val="-1"/>
          <w:sz w:val="24"/>
          <w:szCs w:val="24"/>
        </w:rPr>
        <w:t>如采购价与基准价有偏差，按调差条款进行调</w:t>
      </w:r>
      <w:r>
        <w:rPr>
          <w:rFonts w:ascii="宋体" w:hAnsi="宋体" w:eastAsia="宋体" w:cs="宋体"/>
          <w:spacing w:val="-2"/>
          <w:sz w:val="24"/>
          <w:szCs w:val="24"/>
        </w:rPr>
        <w:t>价。上述材料价格单位为：元。</w:t>
      </w:r>
    </w:p>
    <w:p w14:paraId="25FB669A">
      <w:pPr>
        <w:spacing w:line="361" w:lineRule="auto"/>
        <w:rPr>
          <w:rFonts w:ascii="宋体" w:hAnsi="宋体" w:eastAsia="宋体" w:cs="宋体"/>
          <w:sz w:val="24"/>
          <w:szCs w:val="24"/>
        </w:rPr>
        <w:sectPr>
          <w:headerReference r:id="rId125" w:type="default"/>
          <w:footerReference r:id="rId126" w:type="default"/>
          <w:pgSz w:w="11905" w:h="16840"/>
          <w:pgMar w:top="1182" w:right="1349" w:bottom="1171" w:left="1416" w:header="849" w:footer="937" w:gutter="0"/>
          <w:pgNumType w:fmt="decimal"/>
          <w:cols w:space="720" w:num="1"/>
        </w:sectPr>
      </w:pPr>
    </w:p>
    <w:p w14:paraId="3BB0A044">
      <w:pPr>
        <w:pStyle w:val="2"/>
        <w:spacing w:line="267" w:lineRule="auto"/>
      </w:pPr>
    </w:p>
    <w:p w14:paraId="3027C163">
      <w:pPr>
        <w:spacing w:before="78" w:line="219" w:lineRule="auto"/>
        <w:ind w:left="140"/>
        <w:rPr>
          <w:rFonts w:ascii="宋体" w:hAnsi="宋体" w:eastAsia="宋体" w:cs="宋体"/>
          <w:sz w:val="24"/>
          <w:szCs w:val="24"/>
        </w:rPr>
      </w:pPr>
      <w:r>
        <w:rPr>
          <w:rFonts w:ascii="宋体" w:hAnsi="宋体" w:eastAsia="宋体" w:cs="宋体"/>
          <w:b/>
          <w:bCs/>
          <w:spacing w:val="-18"/>
          <w:sz w:val="24"/>
          <w:szCs w:val="24"/>
        </w:rPr>
        <w:t>附件十：</w:t>
      </w:r>
    </w:p>
    <w:p w14:paraId="5A0AB5DE">
      <w:pPr>
        <w:spacing w:before="222" w:line="225" w:lineRule="auto"/>
        <w:ind w:left="2894"/>
        <w:rPr>
          <w:rFonts w:ascii="宋体" w:hAnsi="宋体" w:eastAsia="宋体" w:cs="宋体"/>
          <w:sz w:val="31"/>
          <w:szCs w:val="31"/>
        </w:rPr>
      </w:pPr>
      <w:r>
        <w:rPr>
          <w:rFonts w:ascii="宋体" w:hAnsi="宋体" w:eastAsia="宋体" w:cs="宋体"/>
          <w:b/>
          <w:bCs/>
          <w:spacing w:val="7"/>
          <w:sz w:val="31"/>
          <w:szCs w:val="31"/>
        </w:rPr>
        <w:t>特殊材料设备供应一览表</w:t>
      </w:r>
    </w:p>
    <w:p w14:paraId="68D3A08D">
      <w:pPr>
        <w:spacing w:line="9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355"/>
        <w:gridCol w:w="804"/>
        <w:gridCol w:w="734"/>
        <w:gridCol w:w="2444"/>
        <w:gridCol w:w="750"/>
        <w:gridCol w:w="704"/>
        <w:gridCol w:w="753"/>
        <w:gridCol w:w="1036"/>
      </w:tblGrid>
      <w:tr w14:paraId="600E5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12" w:type="dxa"/>
            <w:vAlign w:val="top"/>
          </w:tcPr>
          <w:p w14:paraId="0E99DA23">
            <w:pPr>
              <w:pStyle w:val="9"/>
              <w:spacing w:before="210" w:line="221" w:lineRule="auto"/>
              <w:ind w:left="149"/>
            </w:pPr>
            <w:r>
              <w:rPr>
                <w:spacing w:val="-2"/>
              </w:rPr>
              <w:t>序号</w:t>
            </w:r>
          </w:p>
        </w:tc>
        <w:tc>
          <w:tcPr>
            <w:tcW w:w="1355" w:type="dxa"/>
            <w:vAlign w:val="top"/>
          </w:tcPr>
          <w:p w14:paraId="3F366E99">
            <w:pPr>
              <w:pStyle w:val="9"/>
              <w:spacing w:before="55" w:line="250" w:lineRule="auto"/>
              <w:ind w:left="263" w:right="151" w:hanging="107"/>
            </w:pPr>
            <w:r>
              <w:rPr>
                <w:spacing w:val="-2"/>
              </w:rPr>
              <w:t>材料品种或</w:t>
            </w:r>
            <w:r>
              <w:rPr>
                <w:spacing w:val="-3"/>
              </w:rPr>
              <w:t>设备型号</w:t>
            </w:r>
          </w:p>
        </w:tc>
        <w:tc>
          <w:tcPr>
            <w:tcW w:w="804" w:type="dxa"/>
            <w:vAlign w:val="top"/>
          </w:tcPr>
          <w:p w14:paraId="4B6DF08F">
            <w:pPr>
              <w:pStyle w:val="9"/>
              <w:spacing w:before="210" w:line="220" w:lineRule="auto"/>
              <w:ind w:left="197"/>
            </w:pPr>
            <w:r>
              <w:rPr>
                <w:spacing w:val="-3"/>
              </w:rPr>
              <w:t>单位</w:t>
            </w:r>
          </w:p>
        </w:tc>
        <w:tc>
          <w:tcPr>
            <w:tcW w:w="734" w:type="dxa"/>
            <w:vAlign w:val="top"/>
          </w:tcPr>
          <w:p w14:paraId="1437B7E3">
            <w:pPr>
              <w:pStyle w:val="9"/>
              <w:spacing w:before="210" w:line="220" w:lineRule="auto"/>
              <w:ind w:left="162"/>
            </w:pPr>
            <w:r>
              <w:rPr>
                <w:spacing w:val="-3"/>
              </w:rPr>
              <w:t>数量</w:t>
            </w:r>
          </w:p>
        </w:tc>
        <w:tc>
          <w:tcPr>
            <w:tcW w:w="2444" w:type="dxa"/>
            <w:vAlign w:val="top"/>
          </w:tcPr>
          <w:p w14:paraId="4B90C845">
            <w:pPr>
              <w:pStyle w:val="9"/>
              <w:spacing w:before="194" w:line="232" w:lineRule="auto"/>
              <w:ind w:left="235"/>
              <w:rPr>
                <w:rFonts w:hint="eastAsia" w:eastAsia="宋体"/>
                <w:sz w:val="10"/>
                <w:szCs w:val="10"/>
                <w:lang w:eastAsia="zh-CN"/>
              </w:rPr>
            </w:pPr>
            <w:r>
              <w:rPr>
                <w:spacing w:val="-1"/>
              </w:rPr>
              <w:t>到达工地价格（元）</w:t>
            </w:r>
          </w:p>
        </w:tc>
        <w:tc>
          <w:tcPr>
            <w:tcW w:w="750" w:type="dxa"/>
            <w:vAlign w:val="top"/>
          </w:tcPr>
          <w:p w14:paraId="6C4F7E08">
            <w:pPr>
              <w:pStyle w:val="9"/>
              <w:spacing w:before="54" w:line="220" w:lineRule="auto"/>
              <w:ind w:left="172"/>
            </w:pPr>
            <w:r>
              <w:rPr>
                <w:spacing w:val="-3"/>
              </w:rPr>
              <w:t>质量</w:t>
            </w:r>
          </w:p>
          <w:p w14:paraId="213A408A">
            <w:pPr>
              <w:pStyle w:val="9"/>
              <w:spacing w:before="60" w:line="220" w:lineRule="auto"/>
              <w:ind w:left="173"/>
            </w:pPr>
            <w:r>
              <w:rPr>
                <w:spacing w:val="-3"/>
              </w:rPr>
              <w:t>等级</w:t>
            </w:r>
          </w:p>
        </w:tc>
        <w:tc>
          <w:tcPr>
            <w:tcW w:w="704" w:type="dxa"/>
            <w:vAlign w:val="top"/>
          </w:tcPr>
          <w:p w14:paraId="1DB8EE27">
            <w:pPr>
              <w:pStyle w:val="9"/>
              <w:spacing w:before="54" w:line="219" w:lineRule="auto"/>
              <w:ind w:left="147"/>
            </w:pPr>
            <w:r>
              <w:rPr>
                <w:spacing w:val="-3"/>
              </w:rPr>
              <w:t>供应</w:t>
            </w:r>
          </w:p>
          <w:p w14:paraId="6895604C">
            <w:pPr>
              <w:pStyle w:val="9"/>
              <w:spacing w:before="62" w:line="222" w:lineRule="auto"/>
              <w:ind w:left="157"/>
            </w:pPr>
            <w:r>
              <w:rPr>
                <w:spacing w:val="-5"/>
              </w:rPr>
              <w:t>时间</w:t>
            </w:r>
          </w:p>
        </w:tc>
        <w:tc>
          <w:tcPr>
            <w:tcW w:w="753" w:type="dxa"/>
            <w:vAlign w:val="top"/>
          </w:tcPr>
          <w:p w14:paraId="792DBC41">
            <w:pPr>
              <w:pStyle w:val="9"/>
              <w:spacing w:before="54" w:line="227" w:lineRule="auto"/>
              <w:ind w:left="172"/>
            </w:pPr>
            <w:r>
              <w:rPr>
                <w:spacing w:val="-2"/>
              </w:rPr>
              <w:t>送达</w:t>
            </w:r>
          </w:p>
          <w:p w14:paraId="250D5ED4">
            <w:pPr>
              <w:pStyle w:val="9"/>
              <w:spacing w:before="53" w:line="224" w:lineRule="auto"/>
              <w:ind w:left="174"/>
            </w:pPr>
            <w:r>
              <w:rPr>
                <w:spacing w:val="-3"/>
              </w:rPr>
              <w:t>地点</w:t>
            </w:r>
          </w:p>
        </w:tc>
        <w:tc>
          <w:tcPr>
            <w:tcW w:w="1036" w:type="dxa"/>
            <w:vAlign w:val="top"/>
          </w:tcPr>
          <w:p w14:paraId="28F510B0">
            <w:pPr>
              <w:pStyle w:val="9"/>
              <w:spacing w:before="210" w:line="221" w:lineRule="auto"/>
              <w:ind w:left="316"/>
            </w:pPr>
            <w:r>
              <w:rPr>
                <w:spacing w:val="-3"/>
              </w:rPr>
              <w:t>备注</w:t>
            </w:r>
          </w:p>
        </w:tc>
      </w:tr>
      <w:tr w14:paraId="35507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2" w:type="dxa"/>
            <w:vAlign w:val="top"/>
          </w:tcPr>
          <w:p w14:paraId="66A1AA75">
            <w:pPr>
              <w:rPr>
                <w:rFonts w:ascii="Arial"/>
                <w:sz w:val="21"/>
              </w:rPr>
            </w:pPr>
          </w:p>
        </w:tc>
        <w:tc>
          <w:tcPr>
            <w:tcW w:w="1355" w:type="dxa"/>
            <w:vAlign w:val="top"/>
          </w:tcPr>
          <w:p w14:paraId="44C317F6">
            <w:pPr>
              <w:rPr>
                <w:rFonts w:ascii="Arial"/>
                <w:sz w:val="21"/>
              </w:rPr>
            </w:pPr>
          </w:p>
        </w:tc>
        <w:tc>
          <w:tcPr>
            <w:tcW w:w="804" w:type="dxa"/>
            <w:vAlign w:val="top"/>
          </w:tcPr>
          <w:p w14:paraId="2AC52A27">
            <w:pPr>
              <w:rPr>
                <w:rFonts w:ascii="Arial"/>
                <w:sz w:val="21"/>
              </w:rPr>
            </w:pPr>
          </w:p>
        </w:tc>
        <w:tc>
          <w:tcPr>
            <w:tcW w:w="734" w:type="dxa"/>
            <w:vAlign w:val="top"/>
          </w:tcPr>
          <w:p w14:paraId="4844254A">
            <w:pPr>
              <w:rPr>
                <w:rFonts w:ascii="Arial"/>
                <w:sz w:val="21"/>
              </w:rPr>
            </w:pPr>
          </w:p>
        </w:tc>
        <w:tc>
          <w:tcPr>
            <w:tcW w:w="2444" w:type="dxa"/>
            <w:vAlign w:val="top"/>
          </w:tcPr>
          <w:p w14:paraId="61A8A4C5">
            <w:pPr>
              <w:rPr>
                <w:rFonts w:ascii="Arial"/>
                <w:sz w:val="21"/>
              </w:rPr>
            </w:pPr>
          </w:p>
        </w:tc>
        <w:tc>
          <w:tcPr>
            <w:tcW w:w="750" w:type="dxa"/>
            <w:vAlign w:val="top"/>
          </w:tcPr>
          <w:p w14:paraId="3B2F7CF8">
            <w:pPr>
              <w:rPr>
                <w:rFonts w:ascii="Arial"/>
                <w:sz w:val="21"/>
              </w:rPr>
            </w:pPr>
          </w:p>
        </w:tc>
        <w:tc>
          <w:tcPr>
            <w:tcW w:w="704" w:type="dxa"/>
            <w:vAlign w:val="top"/>
          </w:tcPr>
          <w:p w14:paraId="1C3B28F5">
            <w:pPr>
              <w:rPr>
                <w:rFonts w:ascii="Arial"/>
                <w:sz w:val="21"/>
              </w:rPr>
            </w:pPr>
          </w:p>
        </w:tc>
        <w:tc>
          <w:tcPr>
            <w:tcW w:w="753" w:type="dxa"/>
            <w:vAlign w:val="top"/>
          </w:tcPr>
          <w:p w14:paraId="76FD7874">
            <w:pPr>
              <w:rPr>
                <w:rFonts w:ascii="Arial"/>
                <w:sz w:val="21"/>
              </w:rPr>
            </w:pPr>
          </w:p>
        </w:tc>
        <w:tc>
          <w:tcPr>
            <w:tcW w:w="1036" w:type="dxa"/>
            <w:vAlign w:val="top"/>
          </w:tcPr>
          <w:p w14:paraId="46672A6E">
            <w:pPr>
              <w:rPr>
                <w:rFonts w:ascii="Arial"/>
                <w:sz w:val="21"/>
              </w:rPr>
            </w:pPr>
          </w:p>
        </w:tc>
      </w:tr>
      <w:tr w14:paraId="44276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65C86762">
            <w:pPr>
              <w:rPr>
                <w:rFonts w:ascii="Arial"/>
                <w:sz w:val="21"/>
              </w:rPr>
            </w:pPr>
          </w:p>
        </w:tc>
        <w:tc>
          <w:tcPr>
            <w:tcW w:w="1355" w:type="dxa"/>
            <w:vAlign w:val="top"/>
          </w:tcPr>
          <w:p w14:paraId="448EF7DF">
            <w:pPr>
              <w:rPr>
                <w:rFonts w:ascii="Arial"/>
                <w:sz w:val="21"/>
              </w:rPr>
            </w:pPr>
          </w:p>
        </w:tc>
        <w:tc>
          <w:tcPr>
            <w:tcW w:w="804" w:type="dxa"/>
            <w:vAlign w:val="top"/>
          </w:tcPr>
          <w:p w14:paraId="32B5FAD3">
            <w:pPr>
              <w:rPr>
                <w:rFonts w:ascii="Arial"/>
                <w:sz w:val="21"/>
              </w:rPr>
            </w:pPr>
          </w:p>
        </w:tc>
        <w:tc>
          <w:tcPr>
            <w:tcW w:w="734" w:type="dxa"/>
            <w:vAlign w:val="top"/>
          </w:tcPr>
          <w:p w14:paraId="3248D130">
            <w:pPr>
              <w:rPr>
                <w:rFonts w:ascii="Arial"/>
                <w:sz w:val="21"/>
              </w:rPr>
            </w:pPr>
          </w:p>
        </w:tc>
        <w:tc>
          <w:tcPr>
            <w:tcW w:w="2444" w:type="dxa"/>
            <w:vAlign w:val="top"/>
          </w:tcPr>
          <w:p w14:paraId="6D632F5F">
            <w:pPr>
              <w:rPr>
                <w:rFonts w:ascii="Arial"/>
                <w:sz w:val="21"/>
              </w:rPr>
            </w:pPr>
          </w:p>
        </w:tc>
        <w:tc>
          <w:tcPr>
            <w:tcW w:w="750" w:type="dxa"/>
            <w:vAlign w:val="top"/>
          </w:tcPr>
          <w:p w14:paraId="2E17E230">
            <w:pPr>
              <w:rPr>
                <w:rFonts w:ascii="Arial"/>
                <w:sz w:val="21"/>
              </w:rPr>
            </w:pPr>
          </w:p>
        </w:tc>
        <w:tc>
          <w:tcPr>
            <w:tcW w:w="704" w:type="dxa"/>
            <w:vAlign w:val="top"/>
          </w:tcPr>
          <w:p w14:paraId="58F12637">
            <w:pPr>
              <w:rPr>
                <w:rFonts w:ascii="Arial"/>
                <w:sz w:val="21"/>
              </w:rPr>
            </w:pPr>
          </w:p>
        </w:tc>
        <w:tc>
          <w:tcPr>
            <w:tcW w:w="753" w:type="dxa"/>
            <w:vAlign w:val="top"/>
          </w:tcPr>
          <w:p w14:paraId="5C43AADB">
            <w:pPr>
              <w:rPr>
                <w:rFonts w:ascii="Arial"/>
                <w:sz w:val="21"/>
              </w:rPr>
            </w:pPr>
          </w:p>
        </w:tc>
        <w:tc>
          <w:tcPr>
            <w:tcW w:w="1036" w:type="dxa"/>
            <w:vAlign w:val="top"/>
          </w:tcPr>
          <w:p w14:paraId="14753984">
            <w:pPr>
              <w:rPr>
                <w:rFonts w:ascii="Arial"/>
                <w:sz w:val="21"/>
              </w:rPr>
            </w:pPr>
          </w:p>
        </w:tc>
      </w:tr>
      <w:tr w14:paraId="1203E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2CBB514F">
            <w:pPr>
              <w:rPr>
                <w:rFonts w:ascii="Arial"/>
                <w:sz w:val="21"/>
              </w:rPr>
            </w:pPr>
          </w:p>
        </w:tc>
        <w:tc>
          <w:tcPr>
            <w:tcW w:w="1355" w:type="dxa"/>
            <w:vAlign w:val="top"/>
          </w:tcPr>
          <w:p w14:paraId="41941C8E">
            <w:pPr>
              <w:rPr>
                <w:rFonts w:ascii="Arial"/>
                <w:sz w:val="21"/>
              </w:rPr>
            </w:pPr>
          </w:p>
        </w:tc>
        <w:tc>
          <w:tcPr>
            <w:tcW w:w="804" w:type="dxa"/>
            <w:vAlign w:val="top"/>
          </w:tcPr>
          <w:p w14:paraId="4591E45A">
            <w:pPr>
              <w:rPr>
                <w:rFonts w:ascii="Arial"/>
                <w:sz w:val="21"/>
              </w:rPr>
            </w:pPr>
          </w:p>
        </w:tc>
        <w:tc>
          <w:tcPr>
            <w:tcW w:w="734" w:type="dxa"/>
            <w:vAlign w:val="top"/>
          </w:tcPr>
          <w:p w14:paraId="1B755C01">
            <w:pPr>
              <w:rPr>
                <w:rFonts w:ascii="Arial"/>
                <w:sz w:val="21"/>
              </w:rPr>
            </w:pPr>
          </w:p>
        </w:tc>
        <w:tc>
          <w:tcPr>
            <w:tcW w:w="2444" w:type="dxa"/>
            <w:vAlign w:val="top"/>
          </w:tcPr>
          <w:p w14:paraId="78FABA77">
            <w:pPr>
              <w:rPr>
                <w:rFonts w:ascii="Arial"/>
                <w:sz w:val="21"/>
              </w:rPr>
            </w:pPr>
          </w:p>
        </w:tc>
        <w:tc>
          <w:tcPr>
            <w:tcW w:w="750" w:type="dxa"/>
            <w:vAlign w:val="top"/>
          </w:tcPr>
          <w:p w14:paraId="62636825">
            <w:pPr>
              <w:rPr>
                <w:rFonts w:ascii="Arial"/>
                <w:sz w:val="21"/>
              </w:rPr>
            </w:pPr>
          </w:p>
        </w:tc>
        <w:tc>
          <w:tcPr>
            <w:tcW w:w="704" w:type="dxa"/>
            <w:vAlign w:val="top"/>
          </w:tcPr>
          <w:p w14:paraId="45E40C9D">
            <w:pPr>
              <w:rPr>
                <w:rFonts w:ascii="Arial"/>
                <w:sz w:val="21"/>
              </w:rPr>
            </w:pPr>
          </w:p>
        </w:tc>
        <w:tc>
          <w:tcPr>
            <w:tcW w:w="753" w:type="dxa"/>
            <w:vAlign w:val="top"/>
          </w:tcPr>
          <w:p w14:paraId="147E5D4F">
            <w:pPr>
              <w:rPr>
                <w:rFonts w:ascii="Arial"/>
                <w:sz w:val="21"/>
              </w:rPr>
            </w:pPr>
          </w:p>
        </w:tc>
        <w:tc>
          <w:tcPr>
            <w:tcW w:w="1036" w:type="dxa"/>
            <w:vAlign w:val="top"/>
          </w:tcPr>
          <w:p w14:paraId="34C70F9E">
            <w:pPr>
              <w:rPr>
                <w:rFonts w:ascii="Arial"/>
                <w:sz w:val="21"/>
              </w:rPr>
            </w:pPr>
          </w:p>
        </w:tc>
      </w:tr>
      <w:tr w14:paraId="3656D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2D508A7A">
            <w:pPr>
              <w:rPr>
                <w:rFonts w:ascii="Arial"/>
                <w:sz w:val="21"/>
              </w:rPr>
            </w:pPr>
          </w:p>
        </w:tc>
        <w:tc>
          <w:tcPr>
            <w:tcW w:w="1355" w:type="dxa"/>
            <w:vAlign w:val="top"/>
          </w:tcPr>
          <w:p w14:paraId="19C12CC0">
            <w:pPr>
              <w:rPr>
                <w:rFonts w:ascii="Arial"/>
                <w:sz w:val="21"/>
              </w:rPr>
            </w:pPr>
          </w:p>
        </w:tc>
        <w:tc>
          <w:tcPr>
            <w:tcW w:w="804" w:type="dxa"/>
            <w:vAlign w:val="top"/>
          </w:tcPr>
          <w:p w14:paraId="7B97644A">
            <w:pPr>
              <w:rPr>
                <w:rFonts w:ascii="Arial"/>
                <w:sz w:val="21"/>
              </w:rPr>
            </w:pPr>
          </w:p>
        </w:tc>
        <w:tc>
          <w:tcPr>
            <w:tcW w:w="734" w:type="dxa"/>
            <w:vAlign w:val="top"/>
          </w:tcPr>
          <w:p w14:paraId="10D8C113">
            <w:pPr>
              <w:rPr>
                <w:rFonts w:ascii="Arial"/>
                <w:sz w:val="21"/>
              </w:rPr>
            </w:pPr>
          </w:p>
        </w:tc>
        <w:tc>
          <w:tcPr>
            <w:tcW w:w="2444" w:type="dxa"/>
            <w:vAlign w:val="top"/>
          </w:tcPr>
          <w:p w14:paraId="4EA8CE74">
            <w:pPr>
              <w:rPr>
                <w:rFonts w:ascii="Arial"/>
                <w:sz w:val="21"/>
              </w:rPr>
            </w:pPr>
          </w:p>
        </w:tc>
        <w:tc>
          <w:tcPr>
            <w:tcW w:w="750" w:type="dxa"/>
            <w:vAlign w:val="top"/>
          </w:tcPr>
          <w:p w14:paraId="79137B29">
            <w:pPr>
              <w:rPr>
                <w:rFonts w:ascii="Arial"/>
                <w:sz w:val="21"/>
              </w:rPr>
            </w:pPr>
          </w:p>
        </w:tc>
        <w:tc>
          <w:tcPr>
            <w:tcW w:w="704" w:type="dxa"/>
            <w:vAlign w:val="top"/>
          </w:tcPr>
          <w:p w14:paraId="48B665A0">
            <w:pPr>
              <w:rPr>
                <w:rFonts w:ascii="Arial"/>
                <w:sz w:val="21"/>
              </w:rPr>
            </w:pPr>
          </w:p>
        </w:tc>
        <w:tc>
          <w:tcPr>
            <w:tcW w:w="753" w:type="dxa"/>
            <w:vAlign w:val="top"/>
          </w:tcPr>
          <w:p w14:paraId="47460D60">
            <w:pPr>
              <w:rPr>
                <w:rFonts w:ascii="Arial"/>
                <w:sz w:val="21"/>
              </w:rPr>
            </w:pPr>
          </w:p>
        </w:tc>
        <w:tc>
          <w:tcPr>
            <w:tcW w:w="1036" w:type="dxa"/>
            <w:vAlign w:val="top"/>
          </w:tcPr>
          <w:p w14:paraId="0E29C328">
            <w:pPr>
              <w:rPr>
                <w:rFonts w:ascii="Arial"/>
                <w:sz w:val="21"/>
              </w:rPr>
            </w:pPr>
          </w:p>
        </w:tc>
      </w:tr>
      <w:tr w14:paraId="12FA4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61A71724">
            <w:pPr>
              <w:rPr>
                <w:rFonts w:ascii="Arial"/>
                <w:sz w:val="21"/>
              </w:rPr>
            </w:pPr>
          </w:p>
        </w:tc>
        <w:tc>
          <w:tcPr>
            <w:tcW w:w="1355" w:type="dxa"/>
            <w:vAlign w:val="top"/>
          </w:tcPr>
          <w:p w14:paraId="041FBBFF">
            <w:pPr>
              <w:rPr>
                <w:rFonts w:ascii="Arial"/>
                <w:sz w:val="21"/>
              </w:rPr>
            </w:pPr>
          </w:p>
        </w:tc>
        <w:tc>
          <w:tcPr>
            <w:tcW w:w="804" w:type="dxa"/>
            <w:vAlign w:val="top"/>
          </w:tcPr>
          <w:p w14:paraId="099335F0">
            <w:pPr>
              <w:rPr>
                <w:rFonts w:ascii="Arial"/>
                <w:sz w:val="21"/>
              </w:rPr>
            </w:pPr>
          </w:p>
        </w:tc>
        <w:tc>
          <w:tcPr>
            <w:tcW w:w="734" w:type="dxa"/>
            <w:vAlign w:val="top"/>
          </w:tcPr>
          <w:p w14:paraId="417E5AA8">
            <w:pPr>
              <w:rPr>
                <w:rFonts w:ascii="Arial"/>
                <w:sz w:val="21"/>
              </w:rPr>
            </w:pPr>
          </w:p>
        </w:tc>
        <w:tc>
          <w:tcPr>
            <w:tcW w:w="2444" w:type="dxa"/>
            <w:vAlign w:val="top"/>
          </w:tcPr>
          <w:p w14:paraId="56BBD3EC">
            <w:pPr>
              <w:rPr>
                <w:rFonts w:ascii="Arial"/>
                <w:sz w:val="21"/>
              </w:rPr>
            </w:pPr>
          </w:p>
        </w:tc>
        <w:tc>
          <w:tcPr>
            <w:tcW w:w="750" w:type="dxa"/>
            <w:vAlign w:val="top"/>
          </w:tcPr>
          <w:p w14:paraId="71892C69">
            <w:pPr>
              <w:rPr>
                <w:rFonts w:ascii="Arial"/>
                <w:sz w:val="21"/>
              </w:rPr>
            </w:pPr>
          </w:p>
        </w:tc>
        <w:tc>
          <w:tcPr>
            <w:tcW w:w="704" w:type="dxa"/>
            <w:vAlign w:val="top"/>
          </w:tcPr>
          <w:p w14:paraId="51BCB3D9">
            <w:pPr>
              <w:rPr>
                <w:rFonts w:ascii="Arial"/>
                <w:sz w:val="21"/>
              </w:rPr>
            </w:pPr>
          </w:p>
        </w:tc>
        <w:tc>
          <w:tcPr>
            <w:tcW w:w="753" w:type="dxa"/>
            <w:vAlign w:val="top"/>
          </w:tcPr>
          <w:p w14:paraId="7627BA34">
            <w:pPr>
              <w:rPr>
                <w:rFonts w:ascii="Arial"/>
                <w:sz w:val="21"/>
              </w:rPr>
            </w:pPr>
          </w:p>
        </w:tc>
        <w:tc>
          <w:tcPr>
            <w:tcW w:w="1036" w:type="dxa"/>
            <w:vAlign w:val="top"/>
          </w:tcPr>
          <w:p w14:paraId="43472E78">
            <w:pPr>
              <w:rPr>
                <w:rFonts w:ascii="Arial"/>
                <w:sz w:val="21"/>
              </w:rPr>
            </w:pPr>
          </w:p>
        </w:tc>
      </w:tr>
      <w:tr w14:paraId="5D3FD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892CAD8">
            <w:pPr>
              <w:rPr>
                <w:rFonts w:ascii="Arial"/>
                <w:sz w:val="21"/>
              </w:rPr>
            </w:pPr>
          </w:p>
        </w:tc>
        <w:tc>
          <w:tcPr>
            <w:tcW w:w="1355" w:type="dxa"/>
            <w:vAlign w:val="top"/>
          </w:tcPr>
          <w:p w14:paraId="4FF2F051">
            <w:pPr>
              <w:rPr>
                <w:rFonts w:ascii="Arial"/>
                <w:sz w:val="21"/>
              </w:rPr>
            </w:pPr>
          </w:p>
        </w:tc>
        <w:tc>
          <w:tcPr>
            <w:tcW w:w="804" w:type="dxa"/>
            <w:vAlign w:val="top"/>
          </w:tcPr>
          <w:p w14:paraId="4242D64D">
            <w:pPr>
              <w:rPr>
                <w:rFonts w:ascii="Arial"/>
                <w:sz w:val="21"/>
              </w:rPr>
            </w:pPr>
          </w:p>
        </w:tc>
        <w:tc>
          <w:tcPr>
            <w:tcW w:w="734" w:type="dxa"/>
            <w:vAlign w:val="top"/>
          </w:tcPr>
          <w:p w14:paraId="4CFE49EF">
            <w:pPr>
              <w:rPr>
                <w:rFonts w:ascii="Arial"/>
                <w:sz w:val="21"/>
              </w:rPr>
            </w:pPr>
          </w:p>
        </w:tc>
        <w:tc>
          <w:tcPr>
            <w:tcW w:w="2444" w:type="dxa"/>
            <w:vAlign w:val="top"/>
          </w:tcPr>
          <w:p w14:paraId="43F0B7CC">
            <w:pPr>
              <w:rPr>
                <w:rFonts w:ascii="Arial"/>
                <w:sz w:val="21"/>
              </w:rPr>
            </w:pPr>
          </w:p>
        </w:tc>
        <w:tc>
          <w:tcPr>
            <w:tcW w:w="750" w:type="dxa"/>
            <w:vAlign w:val="top"/>
          </w:tcPr>
          <w:p w14:paraId="623E131F">
            <w:pPr>
              <w:rPr>
                <w:rFonts w:ascii="Arial"/>
                <w:sz w:val="21"/>
              </w:rPr>
            </w:pPr>
          </w:p>
        </w:tc>
        <w:tc>
          <w:tcPr>
            <w:tcW w:w="704" w:type="dxa"/>
            <w:vAlign w:val="top"/>
          </w:tcPr>
          <w:p w14:paraId="7551AE6C">
            <w:pPr>
              <w:rPr>
                <w:rFonts w:ascii="Arial"/>
                <w:sz w:val="21"/>
              </w:rPr>
            </w:pPr>
          </w:p>
        </w:tc>
        <w:tc>
          <w:tcPr>
            <w:tcW w:w="753" w:type="dxa"/>
            <w:vAlign w:val="top"/>
          </w:tcPr>
          <w:p w14:paraId="55AF695D">
            <w:pPr>
              <w:rPr>
                <w:rFonts w:ascii="Arial"/>
                <w:sz w:val="21"/>
              </w:rPr>
            </w:pPr>
          </w:p>
        </w:tc>
        <w:tc>
          <w:tcPr>
            <w:tcW w:w="1036" w:type="dxa"/>
            <w:vAlign w:val="top"/>
          </w:tcPr>
          <w:p w14:paraId="6CFF6320">
            <w:pPr>
              <w:rPr>
                <w:rFonts w:ascii="Arial"/>
                <w:sz w:val="21"/>
              </w:rPr>
            </w:pPr>
          </w:p>
        </w:tc>
      </w:tr>
      <w:tr w14:paraId="0BCCA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2" w:type="dxa"/>
            <w:vAlign w:val="top"/>
          </w:tcPr>
          <w:p w14:paraId="0C82B672">
            <w:pPr>
              <w:rPr>
                <w:rFonts w:ascii="Arial"/>
                <w:sz w:val="21"/>
              </w:rPr>
            </w:pPr>
          </w:p>
        </w:tc>
        <w:tc>
          <w:tcPr>
            <w:tcW w:w="1355" w:type="dxa"/>
            <w:vAlign w:val="top"/>
          </w:tcPr>
          <w:p w14:paraId="2A8FDFE3">
            <w:pPr>
              <w:rPr>
                <w:rFonts w:ascii="Arial"/>
                <w:sz w:val="21"/>
              </w:rPr>
            </w:pPr>
          </w:p>
        </w:tc>
        <w:tc>
          <w:tcPr>
            <w:tcW w:w="804" w:type="dxa"/>
            <w:vAlign w:val="top"/>
          </w:tcPr>
          <w:p w14:paraId="67DA4786">
            <w:pPr>
              <w:rPr>
                <w:rFonts w:ascii="Arial"/>
                <w:sz w:val="21"/>
              </w:rPr>
            </w:pPr>
          </w:p>
        </w:tc>
        <w:tc>
          <w:tcPr>
            <w:tcW w:w="734" w:type="dxa"/>
            <w:vAlign w:val="top"/>
          </w:tcPr>
          <w:p w14:paraId="420A7D0C">
            <w:pPr>
              <w:rPr>
                <w:rFonts w:ascii="Arial"/>
                <w:sz w:val="21"/>
              </w:rPr>
            </w:pPr>
          </w:p>
        </w:tc>
        <w:tc>
          <w:tcPr>
            <w:tcW w:w="2444" w:type="dxa"/>
            <w:vAlign w:val="top"/>
          </w:tcPr>
          <w:p w14:paraId="1E315A71">
            <w:pPr>
              <w:rPr>
                <w:rFonts w:ascii="Arial"/>
                <w:sz w:val="21"/>
              </w:rPr>
            </w:pPr>
          </w:p>
        </w:tc>
        <w:tc>
          <w:tcPr>
            <w:tcW w:w="750" w:type="dxa"/>
            <w:vAlign w:val="top"/>
          </w:tcPr>
          <w:p w14:paraId="0B62484E">
            <w:pPr>
              <w:rPr>
                <w:rFonts w:ascii="Arial"/>
                <w:sz w:val="21"/>
              </w:rPr>
            </w:pPr>
          </w:p>
        </w:tc>
        <w:tc>
          <w:tcPr>
            <w:tcW w:w="704" w:type="dxa"/>
            <w:vAlign w:val="top"/>
          </w:tcPr>
          <w:p w14:paraId="46BD7FEA">
            <w:pPr>
              <w:rPr>
                <w:rFonts w:ascii="Arial"/>
                <w:sz w:val="21"/>
              </w:rPr>
            </w:pPr>
          </w:p>
        </w:tc>
        <w:tc>
          <w:tcPr>
            <w:tcW w:w="753" w:type="dxa"/>
            <w:vAlign w:val="top"/>
          </w:tcPr>
          <w:p w14:paraId="61C59BC5">
            <w:pPr>
              <w:rPr>
                <w:rFonts w:ascii="Arial"/>
                <w:sz w:val="21"/>
              </w:rPr>
            </w:pPr>
          </w:p>
        </w:tc>
        <w:tc>
          <w:tcPr>
            <w:tcW w:w="1036" w:type="dxa"/>
            <w:vAlign w:val="top"/>
          </w:tcPr>
          <w:p w14:paraId="528F8C54">
            <w:pPr>
              <w:rPr>
                <w:rFonts w:ascii="Arial"/>
                <w:sz w:val="21"/>
              </w:rPr>
            </w:pPr>
          </w:p>
        </w:tc>
      </w:tr>
      <w:tr w14:paraId="3D4E0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221EA218">
            <w:pPr>
              <w:rPr>
                <w:rFonts w:ascii="Arial"/>
                <w:sz w:val="21"/>
              </w:rPr>
            </w:pPr>
          </w:p>
        </w:tc>
        <w:tc>
          <w:tcPr>
            <w:tcW w:w="1355" w:type="dxa"/>
            <w:vAlign w:val="top"/>
          </w:tcPr>
          <w:p w14:paraId="1F0E1F41">
            <w:pPr>
              <w:rPr>
                <w:rFonts w:ascii="Arial"/>
                <w:sz w:val="21"/>
              </w:rPr>
            </w:pPr>
          </w:p>
        </w:tc>
        <w:tc>
          <w:tcPr>
            <w:tcW w:w="804" w:type="dxa"/>
            <w:vAlign w:val="top"/>
          </w:tcPr>
          <w:p w14:paraId="2D695571">
            <w:pPr>
              <w:rPr>
                <w:rFonts w:ascii="Arial"/>
                <w:sz w:val="21"/>
              </w:rPr>
            </w:pPr>
          </w:p>
        </w:tc>
        <w:tc>
          <w:tcPr>
            <w:tcW w:w="734" w:type="dxa"/>
            <w:vAlign w:val="top"/>
          </w:tcPr>
          <w:p w14:paraId="36F46F07">
            <w:pPr>
              <w:rPr>
                <w:rFonts w:ascii="Arial"/>
                <w:sz w:val="21"/>
              </w:rPr>
            </w:pPr>
          </w:p>
        </w:tc>
        <w:tc>
          <w:tcPr>
            <w:tcW w:w="2444" w:type="dxa"/>
            <w:vAlign w:val="top"/>
          </w:tcPr>
          <w:p w14:paraId="59CA6421">
            <w:pPr>
              <w:rPr>
                <w:rFonts w:ascii="Arial"/>
                <w:sz w:val="21"/>
              </w:rPr>
            </w:pPr>
          </w:p>
        </w:tc>
        <w:tc>
          <w:tcPr>
            <w:tcW w:w="750" w:type="dxa"/>
            <w:vAlign w:val="top"/>
          </w:tcPr>
          <w:p w14:paraId="236F1391">
            <w:pPr>
              <w:rPr>
                <w:rFonts w:ascii="Arial"/>
                <w:sz w:val="21"/>
              </w:rPr>
            </w:pPr>
          </w:p>
        </w:tc>
        <w:tc>
          <w:tcPr>
            <w:tcW w:w="704" w:type="dxa"/>
            <w:vAlign w:val="top"/>
          </w:tcPr>
          <w:p w14:paraId="0C9F2A61">
            <w:pPr>
              <w:rPr>
                <w:rFonts w:ascii="Arial"/>
                <w:sz w:val="21"/>
              </w:rPr>
            </w:pPr>
          </w:p>
        </w:tc>
        <w:tc>
          <w:tcPr>
            <w:tcW w:w="753" w:type="dxa"/>
            <w:vAlign w:val="top"/>
          </w:tcPr>
          <w:p w14:paraId="1316360F">
            <w:pPr>
              <w:rPr>
                <w:rFonts w:ascii="Arial"/>
                <w:sz w:val="21"/>
              </w:rPr>
            </w:pPr>
          </w:p>
        </w:tc>
        <w:tc>
          <w:tcPr>
            <w:tcW w:w="1036" w:type="dxa"/>
            <w:vAlign w:val="top"/>
          </w:tcPr>
          <w:p w14:paraId="2C4ACF2C">
            <w:pPr>
              <w:rPr>
                <w:rFonts w:ascii="Arial"/>
                <w:sz w:val="21"/>
              </w:rPr>
            </w:pPr>
          </w:p>
        </w:tc>
      </w:tr>
      <w:tr w14:paraId="4520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68D3592">
            <w:pPr>
              <w:rPr>
                <w:rFonts w:ascii="Arial"/>
                <w:sz w:val="21"/>
              </w:rPr>
            </w:pPr>
          </w:p>
        </w:tc>
        <w:tc>
          <w:tcPr>
            <w:tcW w:w="1355" w:type="dxa"/>
            <w:vAlign w:val="top"/>
          </w:tcPr>
          <w:p w14:paraId="12E05C5B">
            <w:pPr>
              <w:rPr>
                <w:rFonts w:ascii="Arial"/>
                <w:sz w:val="21"/>
              </w:rPr>
            </w:pPr>
          </w:p>
        </w:tc>
        <w:tc>
          <w:tcPr>
            <w:tcW w:w="804" w:type="dxa"/>
            <w:vAlign w:val="top"/>
          </w:tcPr>
          <w:p w14:paraId="41A06C74">
            <w:pPr>
              <w:rPr>
                <w:rFonts w:ascii="Arial"/>
                <w:sz w:val="21"/>
              </w:rPr>
            </w:pPr>
          </w:p>
        </w:tc>
        <w:tc>
          <w:tcPr>
            <w:tcW w:w="734" w:type="dxa"/>
            <w:vAlign w:val="top"/>
          </w:tcPr>
          <w:p w14:paraId="06E5847F">
            <w:pPr>
              <w:rPr>
                <w:rFonts w:ascii="Arial"/>
                <w:sz w:val="21"/>
              </w:rPr>
            </w:pPr>
          </w:p>
        </w:tc>
        <w:tc>
          <w:tcPr>
            <w:tcW w:w="2444" w:type="dxa"/>
            <w:vAlign w:val="top"/>
          </w:tcPr>
          <w:p w14:paraId="5E4FD100">
            <w:pPr>
              <w:rPr>
                <w:rFonts w:ascii="Arial"/>
                <w:sz w:val="21"/>
              </w:rPr>
            </w:pPr>
          </w:p>
        </w:tc>
        <w:tc>
          <w:tcPr>
            <w:tcW w:w="750" w:type="dxa"/>
            <w:vAlign w:val="top"/>
          </w:tcPr>
          <w:p w14:paraId="0FA84972">
            <w:pPr>
              <w:rPr>
                <w:rFonts w:ascii="Arial"/>
                <w:sz w:val="21"/>
              </w:rPr>
            </w:pPr>
          </w:p>
        </w:tc>
        <w:tc>
          <w:tcPr>
            <w:tcW w:w="704" w:type="dxa"/>
            <w:vAlign w:val="top"/>
          </w:tcPr>
          <w:p w14:paraId="7E654CDA">
            <w:pPr>
              <w:rPr>
                <w:rFonts w:ascii="Arial"/>
                <w:sz w:val="21"/>
              </w:rPr>
            </w:pPr>
          </w:p>
        </w:tc>
        <w:tc>
          <w:tcPr>
            <w:tcW w:w="753" w:type="dxa"/>
            <w:vAlign w:val="top"/>
          </w:tcPr>
          <w:p w14:paraId="11499204">
            <w:pPr>
              <w:rPr>
                <w:rFonts w:ascii="Arial"/>
                <w:sz w:val="21"/>
              </w:rPr>
            </w:pPr>
          </w:p>
        </w:tc>
        <w:tc>
          <w:tcPr>
            <w:tcW w:w="1036" w:type="dxa"/>
            <w:vAlign w:val="top"/>
          </w:tcPr>
          <w:p w14:paraId="0E815B8A">
            <w:pPr>
              <w:rPr>
                <w:rFonts w:ascii="Arial"/>
                <w:sz w:val="21"/>
              </w:rPr>
            </w:pPr>
          </w:p>
        </w:tc>
      </w:tr>
      <w:tr w14:paraId="6E452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397947C4">
            <w:pPr>
              <w:rPr>
                <w:rFonts w:ascii="Arial"/>
                <w:sz w:val="21"/>
              </w:rPr>
            </w:pPr>
          </w:p>
        </w:tc>
        <w:tc>
          <w:tcPr>
            <w:tcW w:w="1355" w:type="dxa"/>
            <w:vAlign w:val="top"/>
          </w:tcPr>
          <w:p w14:paraId="5CF28940">
            <w:pPr>
              <w:rPr>
                <w:rFonts w:ascii="Arial"/>
                <w:sz w:val="21"/>
              </w:rPr>
            </w:pPr>
          </w:p>
        </w:tc>
        <w:tc>
          <w:tcPr>
            <w:tcW w:w="804" w:type="dxa"/>
            <w:vAlign w:val="top"/>
          </w:tcPr>
          <w:p w14:paraId="3875CF6F">
            <w:pPr>
              <w:rPr>
                <w:rFonts w:ascii="Arial"/>
                <w:sz w:val="21"/>
              </w:rPr>
            </w:pPr>
          </w:p>
        </w:tc>
        <w:tc>
          <w:tcPr>
            <w:tcW w:w="734" w:type="dxa"/>
            <w:vAlign w:val="top"/>
          </w:tcPr>
          <w:p w14:paraId="1DCA0A13">
            <w:pPr>
              <w:rPr>
                <w:rFonts w:ascii="Arial"/>
                <w:sz w:val="21"/>
              </w:rPr>
            </w:pPr>
          </w:p>
        </w:tc>
        <w:tc>
          <w:tcPr>
            <w:tcW w:w="2444" w:type="dxa"/>
            <w:vAlign w:val="top"/>
          </w:tcPr>
          <w:p w14:paraId="45CA8EF8">
            <w:pPr>
              <w:rPr>
                <w:rFonts w:ascii="Arial"/>
                <w:sz w:val="21"/>
              </w:rPr>
            </w:pPr>
          </w:p>
        </w:tc>
        <w:tc>
          <w:tcPr>
            <w:tcW w:w="750" w:type="dxa"/>
            <w:vAlign w:val="top"/>
          </w:tcPr>
          <w:p w14:paraId="2ED619AC">
            <w:pPr>
              <w:rPr>
                <w:rFonts w:ascii="Arial"/>
                <w:sz w:val="21"/>
              </w:rPr>
            </w:pPr>
          </w:p>
        </w:tc>
        <w:tc>
          <w:tcPr>
            <w:tcW w:w="704" w:type="dxa"/>
            <w:vAlign w:val="top"/>
          </w:tcPr>
          <w:p w14:paraId="64478BCB">
            <w:pPr>
              <w:rPr>
                <w:rFonts w:ascii="Arial"/>
                <w:sz w:val="21"/>
              </w:rPr>
            </w:pPr>
          </w:p>
        </w:tc>
        <w:tc>
          <w:tcPr>
            <w:tcW w:w="753" w:type="dxa"/>
            <w:vAlign w:val="top"/>
          </w:tcPr>
          <w:p w14:paraId="22132741">
            <w:pPr>
              <w:rPr>
                <w:rFonts w:ascii="Arial"/>
                <w:sz w:val="21"/>
              </w:rPr>
            </w:pPr>
          </w:p>
        </w:tc>
        <w:tc>
          <w:tcPr>
            <w:tcW w:w="1036" w:type="dxa"/>
            <w:vAlign w:val="top"/>
          </w:tcPr>
          <w:p w14:paraId="5B2F8C73">
            <w:pPr>
              <w:rPr>
                <w:rFonts w:ascii="Arial"/>
                <w:sz w:val="21"/>
              </w:rPr>
            </w:pPr>
          </w:p>
        </w:tc>
      </w:tr>
      <w:tr w14:paraId="41A0A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75300102">
            <w:pPr>
              <w:rPr>
                <w:rFonts w:ascii="Arial"/>
                <w:sz w:val="21"/>
              </w:rPr>
            </w:pPr>
          </w:p>
        </w:tc>
        <w:tc>
          <w:tcPr>
            <w:tcW w:w="1355" w:type="dxa"/>
            <w:vAlign w:val="top"/>
          </w:tcPr>
          <w:p w14:paraId="47EF6B5D">
            <w:pPr>
              <w:rPr>
                <w:rFonts w:ascii="Arial"/>
                <w:sz w:val="21"/>
              </w:rPr>
            </w:pPr>
          </w:p>
        </w:tc>
        <w:tc>
          <w:tcPr>
            <w:tcW w:w="804" w:type="dxa"/>
            <w:vAlign w:val="top"/>
          </w:tcPr>
          <w:p w14:paraId="3ADAAC30">
            <w:pPr>
              <w:rPr>
                <w:rFonts w:ascii="Arial"/>
                <w:sz w:val="21"/>
              </w:rPr>
            </w:pPr>
          </w:p>
        </w:tc>
        <w:tc>
          <w:tcPr>
            <w:tcW w:w="734" w:type="dxa"/>
            <w:vAlign w:val="top"/>
          </w:tcPr>
          <w:p w14:paraId="52AC7F64">
            <w:pPr>
              <w:rPr>
                <w:rFonts w:ascii="Arial"/>
                <w:sz w:val="21"/>
              </w:rPr>
            </w:pPr>
          </w:p>
        </w:tc>
        <w:tc>
          <w:tcPr>
            <w:tcW w:w="2444" w:type="dxa"/>
            <w:vAlign w:val="top"/>
          </w:tcPr>
          <w:p w14:paraId="4F9BF021">
            <w:pPr>
              <w:rPr>
                <w:rFonts w:ascii="Arial"/>
                <w:sz w:val="21"/>
              </w:rPr>
            </w:pPr>
          </w:p>
        </w:tc>
        <w:tc>
          <w:tcPr>
            <w:tcW w:w="750" w:type="dxa"/>
            <w:vAlign w:val="top"/>
          </w:tcPr>
          <w:p w14:paraId="3A2983E7">
            <w:pPr>
              <w:rPr>
                <w:rFonts w:ascii="Arial"/>
                <w:sz w:val="21"/>
              </w:rPr>
            </w:pPr>
          </w:p>
        </w:tc>
        <w:tc>
          <w:tcPr>
            <w:tcW w:w="704" w:type="dxa"/>
            <w:vAlign w:val="top"/>
          </w:tcPr>
          <w:p w14:paraId="2527954F">
            <w:pPr>
              <w:rPr>
                <w:rFonts w:ascii="Arial"/>
                <w:sz w:val="21"/>
              </w:rPr>
            </w:pPr>
          </w:p>
        </w:tc>
        <w:tc>
          <w:tcPr>
            <w:tcW w:w="753" w:type="dxa"/>
            <w:vAlign w:val="top"/>
          </w:tcPr>
          <w:p w14:paraId="6059E043">
            <w:pPr>
              <w:rPr>
                <w:rFonts w:ascii="Arial"/>
                <w:sz w:val="21"/>
              </w:rPr>
            </w:pPr>
          </w:p>
        </w:tc>
        <w:tc>
          <w:tcPr>
            <w:tcW w:w="1036" w:type="dxa"/>
            <w:vAlign w:val="top"/>
          </w:tcPr>
          <w:p w14:paraId="2F1428E1">
            <w:pPr>
              <w:rPr>
                <w:rFonts w:ascii="Arial"/>
                <w:sz w:val="21"/>
              </w:rPr>
            </w:pPr>
          </w:p>
        </w:tc>
      </w:tr>
      <w:tr w14:paraId="3984D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2" w:type="dxa"/>
            <w:vAlign w:val="top"/>
          </w:tcPr>
          <w:p w14:paraId="0A3A322D">
            <w:pPr>
              <w:rPr>
                <w:rFonts w:ascii="Arial"/>
                <w:sz w:val="21"/>
              </w:rPr>
            </w:pPr>
          </w:p>
        </w:tc>
        <w:tc>
          <w:tcPr>
            <w:tcW w:w="1355" w:type="dxa"/>
            <w:vAlign w:val="top"/>
          </w:tcPr>
          <w:p w14:paraId="2D957671">
            <w:pPr>
              <w:rPr>
                <w:rFonts w:ascii="Arial"/>
                <w:sz w:val="21"/>
              </w:rPr>
            </w:pPr>
          </w:p>
        </w:tc>
        <w:tc>
          <w:tcPr>
            <w:tcW w:w="804" w:type="dxa"/>
            <w:vAlign w:val="top"/>
          </w:tcPr>
          <w:p w14:paraId="101C117E">
            <w:pPr>
              <w:rPr>
                <w:rFonts w:ascii="Arial"/>
                <w:sz w:val="21"/>
              </w:rPr>
            </w:pPr>
          </w:p>
        </w:tc>
        <w:tc>
          <w:tcPr>
            <w:tcW w:w="734" w:type="dxa"/>
            <w:vAlign w:val="top"/>
          </w:tcPr>
          <w:p w14:paraId="5EC67907">
            <w:pPr>
              <w:rPr>
                <w:rFonts w:ascii="Arial"/>
                <w:sz w:val="21"/>
              </w:rPr>
            </w:pPr>
          </w:p>
        </w:tc>
        <w:tc>
          <w:tcPr>
            <w:tcW w:w="2444" w:type="dxa"/>
            <w:vAlign w:val="top"/>
          </w:tcPr>
          <w:p w14:paraId="1E4D562F">
            <w:pPr>
              <w:rPr>
                <w:rFonts w:ascii="Arial"/>
                <w:sz w:val="21"/>
              </w:rPr>
            </w:pPr>
          </w:p>
        </w:tc>
        <w:tc>
          <w:tcPr>
            <w:tcW w:w="750" w:type="dxa"/>
            <w:vAlign w:val="top"/>
          </w:tcPr>
          <w:p w14:paraId="3CAB6C5B">
            <w:pPr>
              <w:rPr>
                <w:rFonts w:ascii="Arial"/>
                <w:sz w:val="21"/>
              </w:rPr>
            </w:pPr>
          </w:p>
        </w:tc>
        <w:tc>
          <w:tcPr>
            <w:tcW w:w="704" w:type="dxa"/>
            <w:vAlign w:val="top"/>
          </w:tcPr>
          <w:p w14:paraId="28DF9263">
            <w:pPr>
              <w:rPr>
                <w:rFonts w:ascii="Arial"/>
                <w:sz w:val="21"/>
              </w:rPr>
            </w:pPr>
          </w:p>
        </w:tc>
        <w:tc>
          <w:tcPr>
            <w:tcW w:w="753" w:type="dxa"/>
            <w:vAlign w:val="top"/>
          </w:tcPr>
          <w:p w14:paraId="794D3DA2">
            <w:pPr>
              <w:rPr>
                <w:rFonts w:ascii="Arial"/>
                <w:sz w:val="21"/>
              </w:rPr>
            </w:pPr>
          </w:p>
        </w:tc>
        <w:tc>
          <w:tcPr>
            <w:tcW w:w="1036" w:type="dxa"/>
            <w:vAlign w:val="top"/>
          </w:tcPr>
          <w:p w14:paraId="13E3C7DB">
            <w:pPr>
              <w:rPr>
                <w:rFonts w:ascii="Arial"/>
                <w:sz w:val="21"/>
              </w:rPr>
            </w:pPr>
          </w:p>
        </w:tc>
      </w:tr>
    </w:tbl>
    <w:p w14:paraId="6017E5F3">
      <w:pPr>
        <w:pStyle w:val="2"/>
      </w:pPr>
    </w:p>
    <w:p w14:paraId="75BF50F3">
      <w:pPr>
        <w:pStyle w:val="2"/>
      </w:pPr>
    </w:p>
    <w:p w14:paraId="189C56E3">
      <w:pPr>
        <w:pStyle w:val="2"/>
      </w:pPr>
    </w:p>
    <w:p w14:paraId="413B26C2">
      <w:pPr>
        <w:pStyle w:val="2"/>
      </w:pPr>
    </w:p>
    <w:p w14:paraId="0DD682FE">
      <w:pPr>
        <w:pStyle w:val="2"/>
      </w:pPr>
    </w:p>
    <w:p w14:paraId="5A725FAF">
      <w:pPr>
        <w:pStyle w:val="2"/>
      </w:pPr>
    </w:p>
    <w:p w14:paraId="44CB0DDF">
      <w:pPr>
        <w:pStyle w:val="2"/>
      </w:pPr>
    </w:p>
    <w:p w14:paraId="66704342">
      <w:pPr>
        <w:pStyle w:val="2"/>
      </w:pPr>
    </w:p>
    <w:p w14:paraId="4A82BB38">
      <w:pPr>
        <w:pStyle w:val="2"/>
      </w:pPr>
    </w:p>
    <w:p w14:paraId="1C52C494">
      <w:pPr>
        <w:pStyle w:val="2"/>
      </w:pPr>
    </w:p>
    <w:p w14:paraId="289C2242">
      <w:pPr>
        <w:pStyle w:val="2"/>
      </w:pPr>
    </w:p>
    <w:p w14:paraId="72B1888E">
      <w:pPr>
        <w:pStyle w:val="2"/>
      </w:pPr>
    </w:p>
    <w:p w14:paraId="7F5FC44D">
      <w:pPr>
        <w:pStyle w:val="2"/>
      </w:pPr>
    </w:p>
    <w:p w14:paraId="35C8B9F0">
      <w:pPr>
        <w:pStyle w:val="2"/>
      </w:pPr>
    </w:p>
    <w:p w14:paraId="7EDED63E">
      <w:pPr>
        <w:pStyle w:val="2"/>
      </w:pPr>
    </w:p>
    <w:p w14:paraId="226AAAF0">
      <w:pPr>
        <w:pStyle w:val="2"/>
        <w:spacing w:line="241" w:lineRule="auto"/>
      </w:pPr>
    </w:p>
    <w:p w14:paraId="5E073552">
      <w:pPr>
        <w:pStyle w:val="2"/>
        <w:spacing w:line="241" w:lineRule="auto"/>
      </w:pPr>
    </w:p>
    <w:p w14:paraId="499F4B84">
      <w:pPr>
        <w:pStyle w:val="2"/>
        <w:spacing w:line="241" w:lineRule="auto"/>
      </w:pPr>
    </w:p>
    <w:p w14:paraId="2EE5C319">
      <w:pPr>
        <w:pStyle w:val="2"/>
        <w:spacing w:line="241" w:lineRule="auto"/>
      </w:pPr>
    </w:p>
    <w:p w14:paraId="795CA799">
      <w:pPr>
        <w:pStyle w:val="2"/>
        <w:spacing w:line="241" w:lineRule="auto"/>
      </w:pPr>
    </w:p>
    <w:p w14:paraId="6969EE2B">
      <w:pPr>
        <w:pStyle w:val="2"/>
        <w:spacing w:line="241" w:lineRule="auto"/>
      </w:pPr>
    </w:p>
    <w:p w14:paraId="74483917">
      <w:pPr>
        <w:spacing w:line="217" w:lineRule="auto"/>
        <w:rPr>
          <w:rFonts w:hint="eastAsia" w:ascii="宋体" w:hAnsi="宋体" w:eastAsia="宋体" w:cs="宋体"/>
          <w:sz w:val="18"/>
          <w:szCs w:val="18"/>
          <w:lang w:eastAsia="zh-CN"/>
        </w:rPr>
        <w:sectPr>
          <w:footerReference r:id="rId127" w:type="default"/>
          <w:pgSz w:w="11905" w:h="16840"/>
          <w:pgMar w:top="1182" w:right="1303" w:bottom="1171" w:left="1303" w:header="849" w:footer="936" w:gutter="0"/>
          <w:pgNumType w:fmt="decimal"/>
          <w:cols w:space="720" w:num="1"/>
        </w:sectPr>
      </w:pPr>
    </w:p>
    <w:p w14:paraId="47EE3DA9">
      <w:pPr>
        <w:pStyle w:val="2"/>
        <w:spacing w:line="267" w:lineRule="auto"/>
      </w:pPr>
    </w:p>
    <w:p w14:paraId="25DDF301">
      <w:pPr>
        <w:spacing w:before="78" w:line="219" w:lineRule="auto"/>
        <w:ind w:left="140"/>
        <w:rPr>
          <w:rFonts w:ascii="宋体" w:hAnsi="宋体" w:eastAsia="宋体" w:cs="宋体"/>
          <w:sz w:val="24"/>
          <w:szCs w:val="24"/>
        </w:rPr>
      </w:pPr>
      <w:r>
        <w:rPr>
          <w:rFonts w:ascii="宋体" w:hAnsi="宋体" w:eastAsia="宋体" w:cs="宋体"/>
          <w:b/>
          <w:bCs/>
          <w:spacing w:val="-8"/>
          <w:sz w:val="24"/>
          <w:szCs w:val="24"/>
        </w:rPr>
        <w:t>附件十一：</w:t>
      </w:r>
    </w:p>
    <w:p w14:paraId="6D01133D">
      <w:pPr>
        <w:spacing w:before="222" w:line="225" w:lineRule="auto"/>
        <w:ind w:left="2902"/>
        <w:rPr>
          <w:rFonts w:ascii="宋体" w:hAnsi="宋体" w:eastAsia="宋体" w:cs="宋体"/>
          <w:sz w:val="31"/>
          <w:szCs w:val="31"/>
        </w:rPr>
      </w:pPr>
      <w:r>
        <w:rPr>
          <w:rFonts w:ascii="宋体" w:hAnsi="宋体" w:eastAsia="宋体" w:cs="宋体"/>
          <w:b/>
          <w:bCs/>
          <w:spacing w:val="6"/>
          <w:sz w:val="31"/>
          <w:szCs w:val="31"/>
        </w:rPr>
        <w:t>统一采购供应材料一览表</w:t>
      </w:r>
    </w:p>
    <w:p w14:paraId="0CCD6BE8">
      <w:pPr>
        <w:spacing w:line="9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355"/>
        <w:gridCol w:w="804"/>
        <w:gridCol w:w="734"/>
        <w:gridCol w:w="2444"/>
        <w:gridCol w:w="750"/>
        <w:gridCol w:w="704"/>
        <w:gridCol w:w="753"/>
        <w:gridCol w:w="1036"/>
      </w:tblGrid>
      <w:tr w14:paraId="3712A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12" w:type="dxa"/>
            <w:vAlign w:val="top"/>
          </w:tcPr>
          <w:p w14:paraId="75ED9914">
            <w:pPr>
              <w:pStyle w:val="9"/>
              <w:spacing w:before="210" w:line="221" w:lineRule="auto"/>
              <w:ind w:left="149"/>
            </w:pPr>
            <w:r>
              <w:rPr>
                <w:spacing w:val="-2"/>
              </w:rPr>
              <w:t>序号</w:t>
            </w:r>
          </w:p>
        </w:tc>
        <w:tc>
          <w:tcPr>
            <w:tcW w:w="1355" w:type="dxa"/>
            <w:vAlign w:val="top"/>
          </w:tcPr>
          <w:p w14:paraId="0B88C99A">
            <w:pPr>
              <w:pStyle w:val="9"/>
              <w:spacing w:before="55" w:line="250" w:lineRule="auto"/>
              <w:ind w:left="263" w:right="151" w:hanging="107"/>
            </w:pPr>
            <w:r>
              <w:rPr>
                <w:spacing w:val="-2"/>
              </w:rPr>
              <w:t>材料品种或</w:t>
            </w:r>
            <w:r>
              <w:rPr>
                <w:spacing w:val="-3"/>
              </w:rPr>
              <w:t>设备型号</w:t>
            </w:r>
          </w:p>
        </w:tc>
        <w:tc>
          <w:tcPr>
            <w:tcW w:w="804" w:type="dxa"/>
            <w:vAlign w:val="top"/>
          </w:tcPr>
          <w:p w14:paraId="3EFF24DB">
            <w:pPr>
              <w:pStyle w:val="9"/>
              <w:spacing w:before="210" w:line="220" w:lineRule="auto"/>
              <w:ind w:left="197"/>
            </w:pPr>
            <w:r>
              <w:rPr>
                <w:spacing w:val="-3"/>
              </w:rPr>
              <w:t>单位</w:t>
            </w:r>
          </w:p>
        </w:tc>
        <w:tc>
          <w:tcPr>
            <w:tcW w:w="734" w:type="dxa"/>
            <w:vAlign w:val="top"/>
          </w:tcPr>
          <w:p w14:paraId="6A7EDD37">
            <w:pPr>
              <w:pStyle w:val="9"/>
              <w:spacing w:before="210" w:line="220" w:lineRule="auto"/>
              <w:ind w:left="162"/>
            </w:pPr>
            <w:r>
              <w:rPr>
                <w:spacing w:val="-3"/>
              </w:rPr>
              <w:t>数量</w:t>
            </w:r>
          </w:p>
        </w:tc>
        <w:tc>
          <w:tcPr>
            <w:tcW w:w="2444" w:type="dxa"/>
            <w:vAlign w:val="top"/>
          </w:tcPr>
          <w:p w14:paraId="123D68D8">
            <w:pPr>
              <w:pStyle w:val="9"/>
              <w:spacing w:before="194" w:line="232" w:lineRule="auto"/>
              <w:ind w:left="235"/>
              <w:rPr>
                <w:rFonts w:hint="eastAsia" w:eastAsia="宋体"/>
                <w:sz w:val="10"/>
                <w:szCs w:val="10"/>
                <w:lang w:eastAsia="zh-CN"/>
              </w:rPr>
            </w:pPr>
            <w:r>
              <w:rPr>
                <w:spacing w:val="-1"/>
              </w:rPr>
              <w:t>到达工地价格（元）</w:t>
            </w:r>
          </w:p>
        </w:tc>
        <w:tc>
          <w:tcPr>
            <w:tcW w:w="750" w:type="dxa"/>
            <w:vAlign w:val="top"/>
          </w:tcPr>
          <w:p w14:paraId="48AA2302">
            <w:pPr>
              <w:pStyle w:val="9"/>
              <w:spacing w:before="54" w:line="220" w:lineRule="auto"/>
              <w:ind w:left="172"/>
            </w:pPr>
            <w:r>
              <w:rPr>
                <w:spacing w:val="-3"/>
              </w:rPr>
              <w:t>质量</w:t>
            </w:r>
          </w:p>
          <w:p w14:paraId="12510D6B">
            <w:pPr>
              <w:pStyle w:val="9"/>
              <w:spacing w:before="60" w:line="220" w:lineRule="auto"/>
              <w:ind w:left="173"/>
            </w:pPr>
            <w:r>
              <w:rPr>
                <w:spacing w:val="-3"/>
              </w:rPr>
              <w:t>等级</w:t>
            </w:r>
          </w:p>
        </w:tc>
        <w:tc>
          <w:tcPr>
            <w:tcW w:w="704" w:type="dxa"/>
            <w:vAlign w:val="top"/>
          </w:tcPr>
          <w:p w14:paraId="27A1BC81">
            <w:pPr>
              <w:pStyle w:val="9"/>
              <w:spacing w:before="54" w:line="219" w:lineRule="auto"/>
              <w:ind w:left="147"/>
            </w:pPr>
            <w:r>
              <w:rPr>
                <w:spacing w:val="-3"/>
              </w:rPr>
              <w:t>供应</w:t>
            </w:r>
          </w:p>
          <w:p w14:paraId="70752DE8">
            <w:pPr>
              <w:pStyle w:val="9"/>
              <w:spacing w:before="62" w:line="222" w:lineRule="auto"/>
              <w:ind w:left="157"/>
            </w:pPr>
            <w:r>
              <w:rPr>
                <w:spacing w:val="-5"/>
              </w:rPr>
              <w:t>时间</w:t>
            </w:r>
          </w:p>
        </w:tc>
        <w:tc>
          <w:tcPr>
            <w:tcW w:w="753" w:type="dxa"/>
            <w:vAlign w:val="top"/>
          </w:tcPr>
          <w:p w14:paraId="6D87BA27">
            <w:pPr>
              <w:pStyle w:val="9"/>
              <w:spacing w:before="54" w:line="227" w:lineRule="auto"/>
              <w:ind w:left="172"/>
            </w:pPr>
            <w:r>
              <w:rPr>
                <w:spacing w:val="-2"/>
              </w:rPr>
              <w:t>送达</w:t>
            </w:r>
          </w:p>
          <w:p w14:paraId="2B4AA745">
            <w:pPr>
              <w:pStyle w:val="9"/>
              <w:spacing w:before="53" w:line="224" w:lineRule="auto"/>
              <w:ind w:left="174"/>
            </w:pPr>
            <w:r>
              <w:rPr>
                <w:spacing w:val="-3"/>
              </w:rPr>
              <w:t>地点</w:t>
            </w:r>
          </w:p>
        </w:tc>
        <w:tc>
          <w:tcPr>
            <w:tcW w:w="1036" w:type="dxa"/>
            <w:vAlign w:val="top"/>
          </w:tcPr>
          <w:p w14:paraId="44F2D474">
            <w:pPr>
              <w:pStyle w:val="9"/>
              <w:spacing w:before="210" w:line="221" w:lineRule="auto"/>
              <w:ind w:left="316"/>
            </w:pPr>
            <w:r>
              <w:rPr>
                <w:spacing w:val="-3"/>
              </w:rPr>
              <w:t>备注</w:t>
            </w:r>
          </w:p>
        </w:tc>
      </w:tr>
      <w:tr w14:paraId="4C28F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2" w:type="dxa"/>
            <w:vAlign w:val="top"/>
          </w:tcPr>
          <w:p w14:paraId="26318EE6">
            <w:pPr>
              <w:rPr>
                <w:rFonts w:ascii="Arial"/>
                <w:sz w:val="21"/>
              </w:rPr>
            </w:pPr>
          </w:p>
        </w:tc>
        <w:tc>
          <w:tcPr>
            <w:tcW w:w="1355" w:type="dxa"/>
            <w:vAlign w:val="top"/>
          </w:tcPr>
          <w:p w14:paraId="3642E239">
            <w:pPr>
              <w:rPr>
                <w:rFonts w:ascii="Arial"/>
                <w:sz w:val="21"/>
              </w:rPr>
            </w:pPr>
          </w:p>
        </w:tc>
        <w:tc>
          <w:tcPr>
            <w:tcW w:w="804" w:type="dxa"/>
            <w:vAlign w:val="top"/>
          </w:tcPr>
          <w:p w14:paraId="4DA5D5A7">
            <w:pPr>
              <w:rPr>
                <w:rFonts w:ascii="Arial"/>
                <w:sz w:val="21"/>
              </w:rPr>
            </w:pPr>
          </w:p>
        </w:tc>
        <w:tc>
          <w:tcPr>
            <w:tcW w:w="734" w:type="dxa"/>
            <w:vAlign w:val="top"/>
          </w:tcPr>
          <w:p w14:paraId="6BF56D65">
            <w:pPr>
              <w:rPr>
                <w:rFonts w:ascii="Arial"/>
                <w:sz w:val="21"/>
              </w:rPr>
            </w:pPr>
          </w:p>
        </w:tc>
        <w:tc>
          <w:tcPr>
            <w:tcW w:w="2444" w:type="dxa"/>
            <w:vAlign w:val="top"/>
          </w:tcPr>
          <w:p w14:paraId="6675AD7C">
            <w:pPr>
              <w:rPr>
                <w:rFonts w:ascii="Arial"/>
                <w:sz w:val="21"/>
              </w:rPr>
            </w:pPr>
          </w:p>
        </w:tc>
        <w:tc>
          <w:tcPr>
            <w:tcW w:w="750" w:type="dxa"/>
            <w:vAlign w:val="top"/>
          </w:tcPr>
          <w:p w14:paraId="664912A7">
            <w:pPr>
              <w:rPr>
                <w:rFonts w:ascii="Arial"/>
                <w:sz w:val="21"/>
              </w:rPr>
            </w:pPr>
          </w:p>
        </w:tc>
        <w:tc>
          <w:tcPr>
            <w:tcW w:w="704" w:type="dxa"/>
            <w:vAlign w:val="top"/>
          </w:tcPr>
          <w:p w14:paraId="5659DC7E">
            <w:pPr>
              <w:rPr>
                <w:rFonts w:ascii="Arial"/>
                <w:sz w:val="21"/>
              </w:rPr>
            </w:pPr>
          </w:p>
        </w:tc>
        <w:tc>
          <w:tcPr>
            <w:tcW w:w="753" w:type="dxa"/>
            <w:vAlign w:val="top"/>
          </w:tcPr>
          <w:p w14:paraId="27A8D4F0">
            <w:pPr>
              <w:rPr>
                <w:rFonts w:ascii="Arial"/>
                <w:sz w:val="21"/>
              </w:rPr>
            </w:pPr>
          </w:p>
        </w:tc>
        <w:tc>
          <w:tcPr>
            <w:tcW w:w="1036" w:type="dxa"/>
            <w:vAlign w:val="top"/>
          </w:tcPr>
          <w:p w14:paraId="2E4E76A7">
            <w:pPr>
              <w:rPr>
                <w:rFonts w:ascii="Arial"/>
                <w:sz w:val="21"/>
              </w:rPr>
            </w:pPr>
          </w:p>
        </w:tc>
      </w:tr>
      <w:tr w14:paraId="4534C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60CEE6C4">
            <w:pPr>
              <w:rPr>
                <w:rFonts w:ascii="Arial"/>
                <w:sz w:val="21"/>
              </w:rPr>
            </w:pPr>
          </w:p>
        </w:tc>
        <w:tc>
          <w:tcPr>
            <w:tcW w:w="1355" w:type="dxa"/>
            <w:vAlign w:val="top"/>
          </w:tcPr>
          <w:p w14:paraId="0B6AE23D">
            <w:pPr>
              <w:rPr>
                <w:rFonts w:ascii="Arial"/>
                <w:sz w:val="21"/>
              </w:rPr>
            </w:pPr>
          </w:p>
        </w:tc>
        <w:tc>
          <w:tcPr>
            <w:tcW w:w="804" w:type="dxa"/>
            <w:vAlign w:val="top"/>
          </w:tcPr>
          <w:p w14:paraId="78444715">
            <w:pPr>
              <w:rPr>
                <w:rFonts w:ascii="Arial"/>
                <w:sz w:val="21"/>
              </w:rPr>
            </w:pPr>
          </w:p>
        </w:tc>
        <w:tc>
          <w:tcPr>
            <w:tcW w:w="734" w:type="dxa"/>
            <w:vAlign w:val="top"/>
          </w:tcPr>
          <w:p w14:paraId="1280E026">
            <w:pPr>
              <w:rPr>
                <w:rFonts w:ascii="Arial"/>
                <w:sz w:val="21"/>
              </w:rPr>
            </w:pPr>
          </w:p>
        </w:tc>
        <w:tc>
          <w:tcPr>
            <w:tcW w:w="2444" w:type="dxa"/>
            <w:vAlign w:val="top"/>
          </w:tcPr>
          <w:p w14:paraId="45279EC2">
            <w:pPr>
              <w:rPr>
                <w:rFonts w:ascii="Arial"/>
                <w:sz w:val="21"/>
              </w:rPr>
            </w:pPr>
          </w:p>
        </w:tc>
        <w:tc>
          <w:tcPr>
            <w:tcW w:w="750" w:type="dxa"/>
            <w:vAlign w:val="top"/>
          </w:tcPr>
          <w:p w14:paraId="57595963">
            <w:pPr>
              <w:rPr>
                <w:rFonts w:ascii="Arial"/>
                <w:sz w:val="21"/>
              </w:rPr>
            </w:pPr>
          </w:p>
        </w:tc>
        <w:tc>
          <w:tcPr>
            <w:tcW w:w="704" w:type="dxa"/>
            <w:vAlign w:val="top"/>
          </w:tcPr>
          <w:p w14:paraId="26DDDD5C">
            <w:pPr>
              <w:rPr>
                <w:rFonts w:ascii="Arial"/>
                <w:sz w:val="21"/>
              </w:rPr>
            </w:pPr>
          </w:p>
        </w:tc>
        <w:tc>
          <w:tcPr>
            <w:tcW w:w="753" w:type="dxa"/>
            <w:vAlign w:val="top"/>
          </w:tcPr>
          <w:p w14:paraId="47D341A8">
            <w:pPr>
              <w:rPr>
                <w:rFonts w:ascii="Arial"/>
                <w:sz w:val="21"/>
              </w:rPr>
            </w:pPr>
          </w:p>
        </w:tc>
        <w:tc>
          <w:tcPr>
            <w:tcW w:w="1036" w:type="dxa"/>
            <w:vAlign w:val="top"/>
          </w:tcPr>
          <w:p w14:paraId="00569F6B">
            <w:pPr>
              <w:rPr>
                <w:rFonts w:ascii="Arial"/>
                <w:sz w:val="21"/>
              </w:rPr>
            </w:pPr>
          </w:p>
        </w:tc>
      </w:tr>
      <w:tr w14:paraId="7D1E4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7CF2DFD2">
            <w:pPr>
              <w:rPr>
                <w:rFonts w:ascii="Arial"/>
                <w:sz w:val="21"/>
              </w:rPr>
            </w:pPr>
          </w:p>
        </w:tc>
        <w:tc>
          <w:tcPr>
            <w:tcW w:w="1355" w:type="dxa"/>
            <w:vAlign w:val="top"/>
          </w:tcPr>
          <w:p w14:paraId="04E3C582">
            <w:pPr>
              <w:rPr>
                <w:rFonts w:ascii="Arial"/>
                <w:sz w:val="21"/>
              </w:rPr>
            </w:pPr>
          </w:p>
        </w:tc>
        <w:tc>
          <w:tcPr>
            <w:tcW w:w="804" w:type="dxa"/>
            <w:vAlign w:val="top"/>
          </w:tcPr>
          <w:p w14:paraId="0D51AA70">
            <w:pPr>
              <w:rPr>
                <w:rFonts w:ascii="Arial"/>
                <w:sz w:val="21"/>
              </w:rPr>
            </w:pPr>
          </w:p>
        </w:tc>
        <w:tc>
          <w:tcPr>
            <w:tcW w:w="734" w:type="dxa"/>
            <w:vAlign w:val="top"/>
          </w:tcPr>
          <w:p w14:paraId="49EA5449">
            <w:pPr>
              <w:rPr>
                <w:rFonts w:ascii="Arial"/>
                <w:sz w:val="21"/>
              </w:rPr>
            </w:pPr>
          </w:p>
        </w:tc>
        <w:tc>
          <w:tcPr>
            <w:tcW w:w="2444" w:type="dxa"/>
            <w:vAlign w:val="top"/>
          </w:tcPr>
          <w:p w14:paraId="3EB50DBA">
            <w:pPr>
              <w:rPr>
                <w:rFonts w:ascii="Arial"/>
                <w:sz w:val="21"/>
              </w:rPr>
            </w:pPr>
          </w:p>
        </w:tc>
        <w:tc>
          <w:tcPr>
            <w:tcW w:w="750" w:type="dxa"/>
            <w:vAlign w:val="top"/>
          </w:tcPr>
          <w:p w14:paraId="67CB8E4B">
            <w:pPr>
              <w:rPr>
                <w:rFonts w:ascii="Arial"/>
                <w:sz w:val="21"/>
              </w:rPr>
            </w:pPr>
          </w:p>
        </w:tc>
        <w:tc>
          <w:tcPr>
            <w:tcW w:w="704" w:type="dxa"/>
            <w:vAlign w:val="top"/>
          </w:tcPr>
          <w:p w14:paraId="22AA934B">
            <w:pPr>
              <w:rPr>
                <w:rFonts w:ascii="Arial"/>
                <w:sz w:val="21"/>
              </w:rPr>
            </w:pPr>
          </w:p>
        </w:tc>
        <w:tc>
          <w:tcPr>
            <w:tcW w:w="753" w:type="dxa"/>
            <w:vAlign w:val="top"/>
          </w:tcPr>
          <w:p w14:paraId="61D8BC85">
            <w:pPr>
              <w:rPr>
                <w:rFonts w:ascii="Arial"/>
                <w:sz w:val="21"/>
              </w:rPr>
            </w:pPr>
          </w:p>
        </w:tc>
        <w:tc>
          <w:tcPr>
            <w:tcW w:w="1036" w:type="dxa"/>
            <w:vAlign w:val="top"/>
          </w:tcPr>
          <w:p w14:paraId="51276415">
            <w:pPr>
              <w:rPr>
                <w:rFonts w:ascii="Arial"/>
                <w:sz w:val="21"/>
              </w:rPr>
            </w:pPr>
          </w:p>
        </w:tc>
      </w:tr>
      <w:tr w14:paraId="0C069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5B69097E">
            <w:pPr>
              <w:rPr>
                <w:rFonts w:ascii="Arial"/>
                <w:sz w:val="21"/>
              </w:rPr>
            </w:pPr>
          </w:p>
        </w:tc>
        <w:tc>
          <w:tcPr>
            <w:tcW w:w="1355" w:type="dxa"/>
            <w:vAlign w:val="top"/>
          </w:tcPr>
          <w:p w14:paraId="366B279C">
            <w:pPr>
              <w:rPr>
                <w:rFonts w:ascii="Arial"/>
                <w:sz w:val="21"/>
              </w:rPr>
            </w:pPr>
          </w:p>
        </w:tc>
        <w:tc>
          <w:tcPr>
            <w:tcW w:w="804" w:type="dxa"/>
            <w:vAlign w:val="top"/>
          </w:tcPr>
          <w:p w14:paraId="64922E86">
            <w:pPr>
              <w:rPr>
                <w:rFonts w:ascii="Arial"/>
                <w:sz w:val="21"/>
              </w:rPr>
            </w:pPr>
          </w:p>
        </w:tc>
        <w:tc>
          <w:tcPr>
            <w:tcW w:w="734" w:type="dxa"/>
            <w:vAlign w:val="top"/>
          </w:tcPr>
          <w:p w14:paraId="5AE18A2D">
            <w:pPr>
              <w:rPr>
                <w:rFonts w:ascii="Arial"/>
                <w:sz w:val="21"/>
              </w:rPr>
            </w:pPr>
          </w:p>
        </w:tc>
        <w:tc>
          <w:tcPr>
            <w:tcW w:w="2444" w:type="dxa"/>
            <w:vAlign w:val="top"/>
          </w:tcPr>
          <w:p w14:paraId="638EB9FB">
            <w:pPr>
              <w:rPr>
                <w:rFonts w:ascii="Arial"/>
                <w:sz w:val="21"/>
              </w:rPr>
            </w:pPr>
          </w:p>
        </w:tc>
        <w:tc>
          <w:tcPr>
            <w:tcW w:w="750" w:type="dxa"/>
            <w:vAlign w:val="top"/>
          </w:tcPr>
          <w:p w14:paraId="5A155A03">
            <w:pPr>
              <w:rPr>
                <w:rFonts w:ascii="Arial"/>
                <w:sz w:val="21"/>
              </w:rPr>
            </w:pPr>
          </w:p>
        </w:tc>
        <w:tc>
          <w:tcPr>
            <w:tcW w:w="704" w:type="dxa"/>
            <w:vAlign w:val="top"/>
          </w:tcPr>
          <w:p w14:paraId="123FD96A">
            <w:pPr>
              <w:rPr>
                <w:rFonts w:ascii="Arial"/>
                <w:sz w:val="21"/>
              </w:rPr>
            </w:pPr>
          </w:p>
        </w:tc>
        <w:tc>
          <w:tcPr>
            <w:tcW w:w="753" w:type="dxa"/>
            <w:vAlign w:val="top"/>
          </w:tcPr>
          <w:p w14:paraId="1689F7EA">
            <w:pPr>
              <w:rPr>
                <w:rFonts w:ascii="Arial"/>
                <w:sz w:val="21"/>
              </w:rPr>
            </w:pPr>
          </w:p>
        </w:tc>
        <w:tc>
          <w:tcPr>
            <w:tcW w:w="1036" w:type="dxa"/>
            <w:vAlign w:val="top"/>
          </w:tcPr>
          <w:p w14:paraId="7CF967EE">
            <w:pPr>
              <w:rPr>
                <w:rFonts w:ascii="Arial"/>
                <w:sz w:val="21"/>
              </w:rPr>
            </w:pPr>
          </w:p>
        </w:tc>
      </w:tr>
      <w:tr w14:paraId="302F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B8B4B5B">
            <w:pPr>
              <w:rPr>
                <w:rFonts w:ascii="Arial"/>
                <w:sz w:val="21"/>
              </w:rPr>
            </w:pPr>
          </w:p>
        </w:tc>
        <w:tc>
          <w:tcPr>
            <w:tcW w:w="1355" w:type="dxa"/>
            <w:vAlign w:val="top"/>
          </w:tcPr>
          <w:p w14:paraId="7F663E3B">
            <w:pPr>
              <w:rPr>
                <w:rFonts w:ascii="Arial"/>
                <w:sz w:val="21"/>
              </w:rPr>
            </w:pPr>
          </w:p>
        </w:tc>
        <w:tc>
          <w:tcPr>
            <w:tcW w:w="804" w:type="dxa"/>
            <w:vAlign w:val="top"/>
          </w:tcPr>
          <w:p w14:paraId="143A0327">
            <w:pPr>
              <w:rPr>
                <w:rFonts w:ascii="Arial"/>
                <w:sz w:val="21"/>
              </w:rPr>
            </w:pPr>
          </w:p>
        </w:tc>
        <w:tc>
          <w:tcPr>
            <w:tcW w:w="734" w:type="dxa"/>
            <w:vAlign w:val="top"/>
          </w:tcPr>
          <w:p w14:paraId="31FDE544">
            <w:pPr>
              <w:rPr>
                <w:rFonts w:ascii="Arial"/>
                <w:sz w:val="21"/>
              </w:rPr>
            </w:pPr>
          </w:p>
        </w:tc>
        <w:tc>
          <w:tcPr>
            <w:tcW w:w="2444" w:type="dxa"/>
            <w:vAlign w:val="top"/>
          </w:tcPr>
          <w:p w14:paraId="591E201C">
            <w:pPr>
              <w:rPr>
                <w:rFonts w:ascii="Arial"/>
                <w:sz w:val="21"/>
              </w:rPr>
            </w:pPr>
          </w:p>
        </w:tc>
        <w:tc>
          <w:tcPr>
            <w:tcW w:w="750" w:type="dxa"/>
            <w:vAlign w:val="top"/>
          </w:tcPr>
          <w:p w14:paraId="5679227B">
            <w:pPr>
              <w:rPr>
                <w:rFonts w:ascii="Arial"/>
                <w:sz w:val="21"/>
              </w:rPr>
            </w:pPr>
          </w:p>
        </w:tc>
        <w:tc>
          <w:tcPr>
            <w:tcW w:w="704" w:type="dxa"/>
            <w:vAlign w:val="top"/>
          </w:tcPr>
          <w:p w14:paraId="622F448B">
            <w:pPr>
              <w:rPr>
                <w:rFonts w:ascii="Arial"/>
                <w:sz w:val="21"/>
              </w:rPr>
            </w:pPr>
          </w:p>
        </w:tc>
        <w:tc>
          <w:tcPr>
            <w:tcW w:w="753" w:type="dxa"/>
            <w:vAlign w:val="top"/>
          </w:tcPr>
          <w:p w14:paraId="335405C6">
            <w:pPr>
              <w:rPr>
                <w:rFonts w:ascii="Arial"/>
                <w:sz w:val="21"/>
              </w:rPr>
            </w:pPr>
          </w:p>
        </w:tc>
        <w:tc>
          <w:tcPr>
            <w:tcW w:w="1036" w:type="dxa"/>
            <w:vAlign w:val="top"/>
          </w:tcPr>
          <w:p w14:paraId="5A818853">
            <w:pPr>
              <w:rPr>
                <w:rFonts w:ascii="Arial"/>
                <w:sz w:val="21"/>
              </w:rPr>
            </w:pPr>
          </w:p>
        </w:tc>
      </w:tr>
      <w:tr w14:paraId="4A09C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8642EF5">
            <w:pPr>
              <w:rPr>
                <w:rFonts w:ascii="Arial"/>
                <w:sz w:val="21"/>
              </w:rPr>
            </w:pPr>
          </w:p>
        </w:tc>
        <w:tc>
          <w:tcPr>
            <w:tcW w:w="1355" w:type="dxa"/>
            <w:vAlign w:val="top"/>
          </w:tcPr>
          <w:p w14:paraId="35E4118D">
            <w:pPr>
              <w:rPr>
                <w:rFonts w:ascii="Arial"/>
                <w:sz w:val="21"/>
              </w:rPr>
            </w:pPr>
          </w:p>
        </w:tc>
        <w:tc>
          <w:tcPr>
            <w:tcW w:w="804" w:type="dxa"/>
            <w:vAlign w:val="top"/>
          </w:tcPr>
          <w:p w14:paraId="758CA3E8">
            <w:pPr>
              <w:rPr>
                <w:rFonts w:ascii="Arial"/>
                <w:sz w:val="21"/>
              </w:rPr>
            </w:pPr>
          </w:p>
        </w:tc>
        <w:tc>
          <w:tcPr>
            <w:tcW w:w="734" w:type="dxa"/>
            <w:vAlign w:val="top"/>
          </w:tcPr>
          <w:p w14:paraId="194CB444">
            <w:pPr>
              <w:rPr>
                <w:rFonts w:ascii="Arial"/>
                <w:sz w:val="21"/>
              </w:rPr>
            </w:pPr>
          </w:p>
        </w:tc>
        <w:tc>
          <w:tcPr>
            <w:tcW w:w="2444" w:type="dxa"/>
            <w:vAlign w:val="top"/>
          </w:tcPr>
          <w:p w14:paraId="54C4B8AE">
            <w:pPr>
              <w:rPr>
                <w:rFonts w:ascii="Arial"/>
                <w:sz w:val="21"/>
              </w:rPr>
            </w:pPr>
          </w:p>
        </w:tc>
        <w:tc>
          <w:tcPr>
            <w:tcW w:w="750" w:type="dxa"/>
            <w:vAlign w:val="top"/>
          </w:tcPr>
          <w:p w14:paraId="41DAC59D">
            <w:pPr>
              <w:rPr>
                <w:rFonts w:ascii="Arial"/>
                <w:sz w:val="21"/>
              </w:rPr>
            </w:pPr>
          </w:p>
        </w:tc>
        <w:tc>
          <w:tcPr>
            <w:tcW w:w="704" w:type="dxa"/>
            <w:vAlign w:val="top"/>
          </w:tcPr>
          <w:p w14:paraId="1E81AF87">
            <w:pPr>
              <w:rPr>
                <w:rFonts w:ascii="Arial"/>
                <w:sz w:val="21"/>
              </w:rPr>
            </w:pPr>
          </w:p>
        </w:tc>
        <w:tc>
          <w:tcPr>
            <w:tcW w:w="753" w:type="dxa"/>
            <w:vAlign w:val="top"/>
          </w:tcPr>
          <w:p w14:paraId="446A42BF">
            <w:pPr>
              <w:rPr>
                <w:rFonts w:ascii="Arial"/>
                <w:sz w:val="21"/>
              </w:rPr>
            </w:pPr>
          </w:p>
        </w:tc>
        <w:tc>
          <w:tcPr>
            <w:tcW w:w="1036" w:type="dxa"/>
            <w:vAlign w:val="top"/>
          </w:tcPr>
          <w:p w14:paraId="16D2E8A4">
            <w:pPr>
              <w:rPr>
                <w:rFonts w:ascii="Arial"/>
                <w:sz w:val="21"/>
              </w:rPr>
            </w:pPr>
          </w:p>
        </w:tc>
      </w:tr>
      <w:tr w14:paraId="1C563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12" w:type="dxa"/>
            <w:vAlign w:val="top"/>
          </w:tcPr>
          <w:p w14:paraId="227CD34B">
            <w:pPr>
              <w:rPr>
                <w:rFonts w:ascii="Arial"/>
                <w:sz w:val="21"/>
              </w:rPr>
            </w:pPr>
          </w:p>
        </w:tc>
        <w:tc>
          <w:tcPr>
            <w:tcW w:w="1355" w:type="dxa"/>
            <w:vAlign w:val="top"/>
          </w:tcPr>
          <w:p w14:paraId="37A737A8">
            <w:pPr>
              <w:rPr>
                <w:rFonts w:ascii="Arial"/>
                <w:sz w:val="21"/>
              </w:rPr>
            </w:pPr>
          </w:p>
        </w:tc>
        <w:tc>
          <w:tcPr>
            <w:tcW w:w="804" w:type="dxa"/>
            <w:vAlign w:val="top"/>
          </w:tcPr>
          <w:p w14:paraId="75AC6C24">
            <w:pPr>
              <w:rPr>
                <w:rFonts w:ascii="Arial"/>
                <w:sz w:val="21"/>
              </w:rPr>
            </w:pPr>
          </w:p>
        </w:tc>
        <w:tc>
          <w:tcPr>
            <w:tcW w:w="734" w:type="dxa"/>
            <w:vAlign w:val="top"/>
          </w:tcPr>
          <w:p w14:paraId="58C1A154">
            <w:pPr>
              <w:rPr>
                <w:rFonts w:ascii="Arial"/>
                <w:sz w:val="21"/>
              </w:rPr>
            </w:pPr>
          </w:p>
        </w:tc>
        <w:tc>
          <w:tcPr>
            <w:tcW w:w="2444" w:type="dxa"/>
            <w:vAlign w:val="top"/>
          </w:tcPr>
          <w:p w14:paraId="1A181333">
            <w:pPr>
              <w:rPr>
                <w:rFonts w:ascii="Arial"/>
                <w:sz w:val="21"/>
              </w:rPr>
            </w:pPr>
          </w:p>
        </w:tc>
        <w:tc>
          <w:tcPr>
            <w:tcW w:w="750" w:type="dxa"/>
            <w:vAlign w:val="top"/>
          </w:tcPr>
          <w:p w14:paraId="77C4368F">
            <w:pPr>
              <w:rPr>
                <w:rFonts w:ascii="Arial"/>
                <w:sz w:val="21"/>
              </w:rPr>
            </w:pPr>
          </w:p>
        </w:tc>
        <w:tc>
          <w:tcPr>
            <w:tcW w:w="704" w:type="dxa"/>
            <w:vAlign w:val="top"/>
          </w:tcPr>
          <w:p w14:paraId="08EA90A1">
            <w:pPr>
              <w:rPr>
                <w:rFonts w:ascii="Arial"/>
                <w:sz w:val="21"/>
              </w:rPr>
            </w:pPr>
          </w:p>
        </w:tc>
        <w:tc>
          <w:tcPr>
            <w:tcW w:w="753" w:type="dxa"/>
            <w:vAlign w:val="top"/>
          </w:tcPr>
          <w:p w14:paraId="6D2B608E">
            <w:pPr>
              <w:rPr>
                <w:rFonts w:ascii="Arial"/>
                <w:sz w:val="21"/>
              </w:rPr>
            </w:pPr>
          </w:p>
        </w:tc>
        <w:tc>
          <w:tcPr>
            <w:tcW w:w="1036" w:type="dxa"/>
            <w:vAlign w:val="top"/>
          </w:tcPr>
          <w:p w14:paraId="75EF9503">
            <w:pPr>
              <w:rPr>
                <w:rFonts w:ascii="Arial"/>
                <w:sz w:val="21"/>
              </w:rPr>
            </w:pPr>
          </w:p>
        </w:tc>
      </w:tr>
      <w:tr w14:paraId="31BF0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77451EE">
            <w:pPr>
              <w:rPr>
                <w:rFonts w:ascii="Arial"/>
                <w:sz w:val="21"/>
              </w:rPr>
            </w:pPr>
          </w:p>
        </w:tc>
        <w:tc>
          <w:tcPr>
            <w:tcW w:w="1355" w:type="dxa"/>
            <w:vAlign w:val="top"/>
          </w:tcPr>
          <w:p w14:paraId="7FFD7884">
            <w:pPr>
              <w:rPr>
                <w:rFonts w:ascii="Arial"/>
                <w:sz w:val="21"/>
              </w:rPr>
            </w:pPr>
          </w:p>
        </w:tc>
        <w:tc>
          <w:tcPr>
            <w:tcW w:w="804" w:type="dxa"/>
            <w:vAlign w:val="top"/>
          </w:tcPr>
          <w:p w14:paraId="42E4AC04">
            <w:pPr>
              <w:rPr>
                <w:rFonts w:ascii="Arial"/>
                <w:sz w:val="21"/>
              </w:rPr>
            </w:pPr>
          </w:p>
        </w:tc>
        <w:tc>
          <w:tcPr>
            <w:tcW w:w="734" w:type="dxa"/>
            <w:vAlign w:val="top"/>
          </w:tcPr>
          <w:p w14:paraId="1D0954AD">
            <w:pPr>
              <w:rPr>
                <w:rFonts w:ascii="Arial"/>
                <w:sz w:val="21"/>
              </w:rPr>
            </w:pPr>
          </w:p>
        </w:tc>
        <w:tc>
          <w:tcPr>
            <w:tcW w:w="2444" w:type="dxa"/>
            <w:vAlign w:val="top"/>
          </w:tcPr>
          <w:p w14:paraId="17A4BEBE">
            <w:pPr>
              <w:rPr>
                <w:rFonts w:ascii="Arial"/>
                <w:sz w:val="21"/>
              </w:rPr>
            </w:pPr>
          </w:p>
        </w:tc>
        <w:tc>
          <w:tcPr>
            <w:tcW w:w="750" w:type="dxa"/>
            <w:vAlign w:val="top"/>
          </w:tcPr>
          <w:p w14:paraId="6A8176CD">
            <w:pPr>
              <w:rPr>
                <w:rFonts w:ascii="Arial"/>
                <w:sz w:val="21"/>
              </w:rPr>
            </w:pPr>
          </w:p>
        </w:tc>
        <w:tc>
          <w:tcPr>
            <w:tcW w:w="704" w:type="dxa"/>
            <w:vAlign w:val="top"/>
          </w:tcPr>
          <w:p w14:paraId="13BB2B36">
            <w:pPr>
              <w:rPr>
                <w:rFonts w:ascii="Arial"/>
                <w:sz w:val="21"/>
              </w:rPr>
            </w:pPr>
          </w:p>
        </w:tc>
        <w:tc>
          <w:tcPr>
            <w:tcW w:w="753" w:type="dxa"/>
            <w:vAlign w:val="top"/>
          </w:tcPr>
          <w:p w14:paraId="26EED5E4">
            <w:pPr>
              <w:rPr>
                <w:rFonts w:ascii="Arial"/>
                <w:sz w:val="21"/>
              </w:rPr>
            </w:pPr>
          </w:p>
        </w:tc>
        <w:tc>
          <w:tcPr>
            <w:tcW w:w="1036" w:type="dxa"/>
            <w:vAlign w:val="top"/>
          </w:tcPr>
          <w:p w14:paraId="4961CDD5">
            <w:pPr>
              <w:rPr>
                <w:rFonts w:ascii="Arial"/>
                <w:sz w:val="21"/>
              </w:rPr>
            </w:pPr>
          </w:p>
        </w:tc>
      </w:tr>
      <w:tr w14:paraId="723DE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55F75B73">
            <w:pPr>
              <w:rPr>
                <w:rFonts w:ascii="Arial"/>
                <w:sz w:val="21"/>
              </w:rPr>
            </w:pPr>
          </w:p>
        </w:tc>
        <w:tc>
          <w:tcPr>
            <w:tcW w:w="1355" w:type="dxa"/>
            <w:vAlign w:val="top"/>
          </w:tcPr>
          <w:p w14:paraId="65D2E539">
            <w:pPr>
              <w:rPr>
                <w:rFonts w:ascii="Arial"/>
                <w:sz w:val="21"/>
              </w:rPr>
            </w:pPr>
          </w:p>
        </w:tc>
        <w:tc>
          <w:tcPr>
            <w:tcW w:w="804" w:type="dxa"/>
            <w:vAlign w:val="top"/>
          </w:tcPr>
          <w:p w14:paraId="014CA6DA">
            <w:pPr>
              <w:rPr>
                <w:rFonts w:ascii="Arial"/>
                <w:sz w:val="21"/>
              </w:rPr>
            </w:pPr>
          </w:p>
        </w:tc>
        <w:tc>
          <w:tcPr>
            <w:tcW w:w="734" w:type="dxa"/>
            <w:vAlign w:val="top"/>
          </w:tcPr>
          <w:p w14:paraId="2DFA4392">
            <w:pPr>
              <w:rPr>
                <w:rFonts w:ascii="Arial"/>
                <w:sz w:val="21"/>
              </w:rPr>
            </w:pPr>
          </w:p>
        </w:tc>
        <w:tc>
          <w:tcPr>
            <w:tcW w:w="2444" w:type="dxa"/>
            <w:vAlign w:val="top"/>
          </w:tcPr>
          <w:p w14:paraId="79ABE568">
            <w:pPr>
              <w:rPr>
                <w:rFonts w:ascii="Arial"/>
                <w:sz w:val="21"/>
              </w:rPr>
            </w:pPr>
          </w:p>
        </w:tc>
        <w:tc>
          <w:tcPr>
            <w:tcW w:w="750" w:type="dxa"/>
            <w:vAlign w:val="top"/>
          </w:tcPr>
          <w:p w14:paraId="51B068B6">
            <w:pPr>
              <w:rPr>
                <w:rFonts w:ascii="Arial"/>
                <w:sz w:val="21"/>
              </w:rPr>
            </w:pPr>
          </w:p>
        </w:tc>
        <w:tc>
          <w:tcPr>
            <w:tcW w:w="704" w:type="dxa"/>
            <w:vAlign w:val="top"/>
          </w:tcPr>
          <w:p w14:paraId="174855D0">
            <w:pPr>
              <w:rPr>
                <w:rFonts w:ascii="Arial"/>
                <w:sz w:val="21"/>
              </w:rPr>
            </w:pPr>
          </w:p>
        </w:tc>
        <w:tc>
          <w:tcPr>
            <w:tcW w:w="753" w:type="dxa"/>
            <w:vAlign w:val="top"/>
          </w:tcPr>
          <w:p w14:paraId="08B028C8">
            <w:pPr>
              <w:rPr>
                <w:rFonts w:ascii="Arial"/>
                <w:sz w:val="21"/>
              </w:rPr>
            </w:pPr>
          </w:p>
        </w:tc>
        <w:tc>
          <w:tcPr>
            <w:tcW w:w="1036" w:type="dxa"/>
            <w:vAlign w:val="top"/>
          </w:tcPr>
          <w:p w14:paraId="6336E974">
            <w:pPr>
              <w:rPr>
                <w:rFonts w:ascii="Arial"/>
                <w:sz w:val="21"/>
              </w:rPr>
            </w:pPr>
          </w:p>
        </w:tc>
      </w:tr>
      <w:tr w14:paraId="31712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1512870">
            <w:pPr>
              <w:rPr>
                <w:rFonts w:ascii="Arial"/>
                <w:sz w:val="21"/>
              </w:rPr>
            </w:pPr>
          </w:p>
        </w:tc>
        <w:tc>
          <w:tcPr>
            <w:tcW w:w="1355" w:type="dxa"/>
            <w:vAlign w:val="top"/>
          </w:tcPr>
          <w:p w14:paraId="2A2A6DC0">
            <w:pPr>
              <w:rPr>
                <w:rFonts w:ascii="Arial"/>
                <w:sz w:val="21"/>
              </w:rPr>
            </w:pPr>
          </w:p>
        </w:tc>
        <w:tc>
          <w:tcPr>
            <w:tcW w:w="804" w:type="dxa"/>
            <w:vAlign w:val="top"/>
          </w:tcPr>
          <w:p w14:paraId="608297D9">
            <w:pPr>
              <w:rPr>
                <w:rFonts w:ascii="Arial"/>
                <w:sz w:val="21"/>
              </w:rPr>
            </w:pPr>
          </w:p>
        </w:tc>
        <w:tc>
          <w:tcPr>
            <w:tcW w:w="734" w:type="dxa"/>
            <w:vAlign w:val="top"/>
          </w:tcPr>
          <w:p w14:paraId="1DFBB0AF">
            <w:pPr>
              <w:rPr>
                <w:rFonts w:ascii="Arial"/>
                <w:sz w:val="21"/>
              </w:rPr>
            </w:pPr>
          </w:p>
        </w:tc>
        <w:tc>
          <w:tcPr>
            <w:tcW w:w="2444" w:type="dxa"/>
            <w:vAlign w:val="top"/>
          </w:tcPr>
          <w:p w14:paraId="028588AB">
            <w:pPr>
              <w:rPr>
                <w:rFonts w:ascii="Arial"/>
                <w:sz w:val="21"/>
              </w:rPr>
            </w:pPr>
          </w:p>
        </w:tc>
        <w:tc>
          <w:tcPr>
            <w:tcW w:w="750" w:type="dxa"/>
            <w:vAlign w:val="top"/>
          </w:tcPr>
          <w:p w14:paraId="2A26EB4B">
            <w:pPr>
              <w:rPr>
                <w:rFonts w:ascii="Arial"/>
                <w:sz w:val="21"/>
              </w:rPr>
            </w:pPr>
          </w:p>
        </w:tc>
        <w:tc>
          <w:tcPr>
            <w:tcW w:w="704" w:type="dxa"/>
            <w:vAlign w:val="top"/>
          </w:tcPr>
          <w:p w14:paraId="299831EA">
            <w:pPr>
              <w:rPr>
                <w:rFonts w:ascii="Arial"/>
                <w:sz w:val="21"/>
              </w:rPr>
            </w:pPr>
          </w:p>
        </w:tc>
        <w:tc>
          <w:tcPr>
            <w:tcW w:w="753" w:type="dxa"/>
            <w:vAlign w:val="top"/>
          </w:tcPr>
          <w:p w14:paraId="7D3A1788">
            <w:pPr>
              <w:rPr>
                <w:rFonts w:ascii="Arial"/>
                <w:sz w:val="21"/>
              </w:rPr>
            </w:pPr>
          </w:p>
        </w:tc>
        <w:tc>
          <w:tcPr>
            <w:tcW w:w="1036" w:type="dxa"/>
            <w:vAlign w:val="top"/>
          </w:tcPr>
          <w:p w14:paraId="0EA819D1">
            <w:pPr>
              <w:rPr>
                <w:rFonts w:ascii="Arial"/>
                <w:sz w:val="21"/>
              </w:rPr>
            </w:pPr>
          </w:p>
        </w:tc>
      </w:tr>
      <w:tr w14:paraId="15000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2" w:type="dxa"/>
            <w:vAlign w:val="top"/>
          </w:tcPr>
          <w:p w14:paraId="07B9D8B6">
            <w:pPr>
              <w:rPr>
                <w:rFonts w:ascii="Arial"/>
                <w:sz w:val="21"/>
              </w:rPr>
            </w:pPr>
          </w:p>
        </w:tc>
        <w:tc>
          <w:tcPr>
            <w:tcW w:w="1355" w:type="dxa"/>
            <w:vAlign w:val="top"/>
          </w:tcPr>
          <w:p w14:paraId="07AD9E51">
            <w:pPr>
              <w:rPr>
                <w:rFonts w:ascii="Arial"/>
                <w:sz w:val="21"/>
              </w:rPr>
            </w:pPr>
          </w:p>
        </w:tc>
        <w:tc>
          <w:tcPr>
            <w:tcW w:w="804" w:type="dxa"/>
            <w:vAlign w:val="top"/>
          </w:tcPr>
          <w:p w14:paraId="1C097647">
            <w:pPr>
              <w:rPr>
                <w:rFonts w:ascii="Arial"/>
                <w:sz w:val="21"/>
              </w:rPr>
            </w:pPr>
          </w:p>
        </w:tc>
        <w:tc>
          <w:tcPr>
            <w:tcW w:w="734" w:type="dxa"/>
            <w:vAlign w:val="top"/>
          </w:tcPr>
          <w:p w14:paraId="152397F4">
            <w:pPr>
              <w:rPr>
                <w:rFonts w:ascii="Arial"/>
                <w:sz w:val="21"/>
              </w:rPr>
            </w:pPr>
          </w:p>
        </w:tc>
        <w:tc>
          <w:tcPr>
            <w:tcW w:w="2444" w:type="dxa"/>
            <w:vAlign w:val="top"/>
          </w:tcPr>
          <w:p w14:paraId="08C74A59">
            <w:pPr>
              <w:rPr>
                <w:rFonts w:ascii="Arial"/>
                <w:sz w:val="21"/>
              </w:rPr>
            </w:pPr>
          </w:p>
        </w:tc>
        <w:tc>
          <w:tcPr>
            <w:tcW w:w="750" w:type="dxa"/>
            <w:vAlign w:val="top"/>
          </w:tcPr>
          <w:p w14:paraId="4AF53517">
            <w:pPr>
              <w:rPr>
                <w:rFonts w:ascii="Arial"/>
                <w:sz w:val="21"/>
              </w:rPr>
            </w:pPr>
          </w:p>
        </w:tc>
        <w:tc>
          <w:tcPr>
            <w:tcW w:w="704" w:type="dxa"/>
            <w:vAlign w:val="top"/>
          </w:tcPr>
          <w:p w14:paraId="547826CE">
            <w:pPr>
              <w:rPr>
                <w:rFonts w:ascii="Arial"/>
                <w:sz w:val="21"/>
              </w:rPr>
            </w:pPr>
          </w:p>
        </w:tc>
        <w:tc>
          <w:tcPr>
            <w:tcW w:w="753" w:type="dxa"/>
            <w:vAlign w:val="top"/>
          </w:tcPr>
          <w:p w14:paraId="6AF24E37">
            <w:pPr>
              <w:rPr>
                <w:rFonts w:ascii="Arial"/>
                <w:sz w:val="21"/>
              </w:rPr>
            </w:pPr>
          </w:p>
        </w:tc>
        <w:tc>
          <w:tcPr>
            <w:tcW w:w="1036" w:type="dxa"/>
            <w:vAlign w:val="top"/>
          </w:tcPr>
          <w:p w14:paraId="6EE28299">
            <w:pPr>
              <w:rPr>
                <w:rFonts w:ascii="Arial"/>
                <w:sz w:val="21"/>
              </w:rPr>
            </w:pPr>
          </w:p>
        </w:tc>
      </w:tr>
      <w:tr w14:paraId="59F9E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12" w:type="dxa"/>
            <w:vAlign w:val="top"/>
          </w:tcPr>
          <w:p w14:paraId="40E59601">
            <w:pPr>
              <w:rPr>
                <w:rFonts w:ascii="Arial"/>
                <w:sz w:val="21"/>
              </w:rPr>
            </w:pPr>
          </w:p>
        </w:tc>
        <w:tc>
          <w:tcPr>
            <w:tcW w:w="1355" w:type="dxa"/>
            <w:vAlign w:val="top"/>
          </w:tcPr>
          <w:p w14:paraId="13D787B4">
            <w:pPr>
              <w:rPr>
                <w:rFonts w:ascii="Arial"/>
                <w:sz w:val="21"/>
              </w:rPr>
            </w:pPr>
          </w:p>
        </w:tc>
        <w:tc>
          <w:tcPr>
            <w:tcW w:w="804" w:type="dxa"/>
            <w:vAlign w:val="top"/>
          </w:tcPr>
          <w:p w14:paraId="622E0968">
            <w:pPr>
              <w:rPr>
                <w:rFonts w:ascii="Arial"/>
                <w:sz w:val="21"/>
              </w:rPr>
            </w:pPr>
          </w:p>
        </w:tc>
        <w:tc>
          <w:tcPr>
            <w:tcW w:w="734" w:type="dxa"/>
            <w:vAlign w:val="top"/>
          </w:tcPr>
          <w:p w14:paraId="3A1E7D27">
            <w:pPr>
              <w:rPr>
                <w:rFonts w:ascii="Arial"/>
                <w:sz w:val="21"/>
              </w:rPr>
            </w:pPr>
          </w:p>
        </w:tc>
        <w:tc>
          <w:tcPr>
            <w:tcW w:w="2444" w:type="dxa"/>
            <w:vAlign w:val="top"/>
          </w:tcPr>
          <w:p w14:paraId="3F150E44">
            <w:pPr>
              <w:rPr>
                <w:rFonts w:ascii="Arial"/>
                <w:sz w:val="21"/>
              </w:rPr>
            </w:pPr>
          </w:p>
        </w:tc>
        <w:tc>
          <w:tcPr>
            <w:tcW w:w="750" w:type="dxa"/>
            <w:vAlign w:val="top"/>
          </w:tcPr>
          <w:p w14:paraId="7F8A2956">
            <w:pPr>
              <w:rPr>
                <w:rFonts w:ascii="Arial"/>
                <w:sz w:val="21"/>
              </w:rPr>
            </w:pPr>
          </w:p>
        </w:tc>
        <w:tc>
          <w:tcPr>
            <w:tcW w:w="704" w:type="dxa"/>
            <w:vAlign w:val="top"/>
          </w:tcPr>
          <w:p w14:paraId="1D1DAE4B">
            <w:pPr>
              <w:rPr>
                <w:rFonts w:ascii="Arial"/>
                <w:sz w:val="21"/>
              </w:rPr>
            </w:pPr>
          </w:p>
        </w:tc>
        <w:tc>
          <w:tcPr>
            <w:tcW w:w="753" w:type="dxa"/>
            <w:vAlign w:val="top"/>
          </w:tcPr>
          <w:p w14:paraId="7C2998DF">
            <w:pPr>
              <w:rPr>
                <w:rFonts w:ascii="Arial"/>
                <w:sz w:val="21"/>
              </w:rPr>
            </w:pPr>
          </w:p>
        </w:tc>
        <w:tc>
          <w:tcPr>
            <w:tcW w:w="1036" w:type="dxa"/>
            <w:vAlign w:val="top"/>
          </w:tcPr>
          <w:p w14:paraId="0DF80243">
            <w:pPr>
              <w:rPr>
                <w:rFonts w:ascii="Arial"/>
                <w:sz w:val="21"/>
              </w:rPr>
            </w:pPr>
          </w:p>
        </w:tc>
      </w:tr>
    </w:tbl>
    <w:p w14:paraId="4CADF6F6">
      <w:pPr>
        <w:pStyle w:val="2"/>
      </w:pPr>
    </w:p>
    <w:p w14:paraId="39CEACBE">
      <w:pPr>
        <w:pStyle w:val="2"/>
      </w:pPr>
    </w:p>
    <w:p w14:paraId="6AD3250C">
      <w:pPr>
        <w:pStyle w:val="2"/>
      </w:pPr>
    </w:p>
    <w:p w14:paraId="59C62A84">
      <w:pPr>
        <w:pStyle w:val="2"/>
      </w:pPr>
    </w:p>
    <w:p w14:paraId="6B14268F">
      <w:pPr>
        <w:pStyle w:val="2"/>
      </w:pPr>
    </w:p>
    <w:p w14:paraId="02D77DAC">
      <w:pPr>
        <w:pStyle w:val="2"/>
      </w:pPr>
    </w:p>
    <w:p w14:paraId="5E4FDD0C">
      <w:pPr>
        <w:pStyle w:val="2"/>
      </w:pPr>
    </w:p>
    <w:p w14:paraId="267682FF">
      <w:pPr>
        <w:pStyle w:val="2"/>
      </w:pPr>
    </w:p>
    <w:p w14:paraId="36200A6B">
      <w:pPr>
        <w:pStyle w:val="2"/>
      </w:pPr>
    </w:p>
    <w:p w14:paraId="2243B293">
      <w:pPr>
        <w:pStyle w:val="2"/>
      </w:pPr>
    </w:p>
    <w:p w14:paraId="262D84D4">
      <w:pPr>
        <w:pStyle w:val="2"/>
      </w:pPr>
    </w:p>
    <w:p w14:paraId="6804286F">
      <w:pPr>
        <w:pStyle w:val="2"/>
      </w:pPr>
    </w:p>
    <w:p w14:paraId="6925AB4F">
      <w:pPr>
        <w:pStyle w:val="2"/>
      </w:pPr>
    </w:p>
    <w:p w14:paraId="6F802B38">
      <w:pPr>
        <w:pStyle w:val="2"/>
      </w:pPr>
    </w:p>
    <w:p w14:paraId="3B30E151">
      <w:pPr>
        <w:pStyle w:val="2"/>
      </w:pPr>
    </w:p>
    <w:p w14:paraId="118F62BA">
      <w:pPr>
        <w:pStyle w:val="2"/>
        <w:spacing w:line="241" w:lineRule="auto"/>
      </w:pPr>
    </w:p>
    <w:p w14:paraId="7A07E049">
      <w:pPr>
        <w:pStyle w:val="2"/>
        <w:spacing w:line="241" w:lineRule="auto"/>
      </w:pPr>
    </w:p>
    <w:p w14:paraId="7343B841">
      <w:pPr>
        <w:pStyle w:val="2"/>
        <w:spacing w:line="241" w:lineRule="auto"/>
      </w:pPr>
    </w:p>
    <w:p w14:paraId="70EBF866">
      <w:pPr>
        <w:pStyle w:val="2"/>
        <w:spacing w:line="241" w:lineRule="auto"/>
      </w:pPr>
    </w:p>
    <w:p w14:paraId="4B604E09">
      <w:pPr>
        <w:pStyle w:val="2"/>
        <w:spacing w:line="241" w:lineRule="auto"/>
      </w:pPr>
    </w:p>
    <w:p w14:paraId="0F5F2250">
      <w:pPr>
        <w:pStyle w:val="2"/>
        <w:spacing w:line="241" w:lineRule="auto"/>
      </w:pPr>
    </w:p>
    <w:p w14:paraId="0449A0C6">
      <w:pPr>
        <w:spacing w:line="217" w:lineRule="auto"/>
        <w:rPr>
          <w:rFonts w:ascii="宋体" w:hAnsi="宋体" w:eastAsia="宋体" w:cs="宋体"/>
          <w:sz w:val="18"/>
          <w:szCs w:val="18"/>
        </w:rPr>
        <w:sectPr>
          <w:footerReference r:id="rId128" w:type="default"/>
          <w:pgSz w:w="11905" w:h="16840"/>
          <w:pgMar w:top="1182" w:right="1303" w:bottom="1171" w:left="1303" w:header="849" w:footer="936" w:gutter="0"/>
          <w:pgNumType w:fmt="decimal"/>
          <w:cols w:space="720" w:num="1"/>
        </w:sectPr>
      </w:pPr>
    </w:p>
    <w:p w14:paraId="7C5F6D5A">
      <w:pPr>
        <w:pStyle w:val="2"/>
        <w:spacing w:line="267" w:lineRule="auto"/>
      </w:pPr>
    </w:p>
    <w:p w14:paraId="5172C80A">
      <w:pPr>
        <w:spacing w:before="78" w:line="219" w:lineRule="auto"/>
        <w:ind w:left="140"/>
        <w:rPr>
          <w:rFonts w:ascii="宋体" w:hAnsi="宋体" w:eastAsia="宋体" w:cs="宋体"/>
          <w:sz w:val="24"/>
          <w:szCs w:val="24"/>
        </w:rPr>
      </w:pPr>
      <w:r>
        <w:rPr>
          <w:rFonts w:ascii="宋体" w:hAnsi="宋体" w:eastAsia="宋体" w:cs="宋体"/>
          <w:b/>
          <w:bCs/>
          <w:spacing w:val="-16"/>
          <w:sz w:val="24"/>
          <w:szCs w:val="24"/>
        </w:rPr>
        <w:t>附件十二：</w:t>
      </w:r>
    </w:p>
    <w:p w14:paraId="0D0858E3">
      <w:pPr>
        <w:spacing w:before="197"/>
        <w:ind w:left="2135"/>
        <w:rPr>
          <w:rFonts w:ascii="宋体" w:hAnsi="宋体" w:eastAsia="宋体" w:cs="宋体"/>
          <w:sz w:val="15"/>
          <w:szCs w:val="15"/>
        </w:rPr>
      </w:pPr>
      <w:r>
        <w:rPr>
          <w:rFonts w:ascii="宋体" w:hAnsi="宋体" w:eastAsia="宋体" w:cs="宋体"/>
          <w:b/>
          <w:bCs/>
          <w:spacing w:val="3"/>
          <w:sz w:val="31"/>
          <w:szCs w:val="31"/>
        </w:rPr>
        <w:t>22.1.2</w:t>
      </w:r>
      <w:r>
        <w:rPr>
          <w:rFonts w:ascii="宋体" w:hAnsi="宋体" w:eastAsia="宋体" w:cs="宋体"/>
          <w:spacing w:val="-26"/>
          <w:sz w:val="31"/>
          <w:szCs w:val="31"/>
        </w:rPr>
        <w:t xml:space="preserve"> </w:t>
      </w:r>
      <w:r>
        <w:rPr>
          <w:rFonts w:ascii="宋体" w:hAnsi="宋体" w:eastAsia="宋体" w:cs="宋体"/>
          <w:b/>
          <w:bCs/>
          <w:spacing w:val="3"/>
          <w:sz w:val="31"/>
          <w:szCs w:val="31"/>
        </w:rPr>
        <w:t>附表</w:t>
      </w:r>
      <w:r>
        <w:rPr>
          <w:rFonts w:ascii="宋体" w:hAnsi="宋体" w:eastAsia="宋体" w:cs="宋体"/>
          <w:spacing w:val="3"/>
          <w:sz w:val="31"/>
          <w:szCs w:val="31"/>
        </w:rPr>
        <w:t xml:space="preserve">  </w:t>
      </w:r>
      <w:r>
        <w:rPr>
          <w:rFonts w:ascii="宋体" w:hAnsi="宋体" w:eastAsia="宋体" w:cs="宋体"/>
          <w:b/>
          <w:bCs/>
          <w:spacing w:val="3"/>
          <w:sz w:val="31"/>
          <w:szCs w:val="31"/>
        </w:rPr>
        <w:t>承包人违约金一览表</w:t>
      </w:r>
    </w:p>
    <w:p w14:paraId="196D3132">
      <w:pPr>
        <w:spacing w:line="94" w:lineRule="exact"/>
      </w:pPr>
    </w:p>
    <w:tbl>
      <w:tblPr>
        <w:tblStyle w:val="8"/>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0E807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2053C096">
            <w:pPr>
              <w:pStyle w:val="9"/>
              <w:spacing w:before="214" w:line="221" w:lineRule="auto"/>
              <w:ind w:left="225"/>
            </w:pPr>
            <w:r>
              <w:rPr>
                <w:b/>
                <w:bCs/>
                <w:spacing w:val="-4"/>
              </w:rPr>
              <w:t>序号</w:t>
            </w:r>
          </w:p>
        </w:tc>
        <w:tc>
          <w:tcPr>
            <w:tcW w:w="1469" w:type="dxa"/>
            <w:vAlign w:val="top"/>
          </w:tcPr>
          <w:p w14:paraId="4244011B">
            <w:pPr>
              <w:pStyle w:val="9"/>
              <w:spacing w:before="213" w:line="219" w:lineRule="auto"/>
              <w:ind w:left="319"/>
            </w:pPr>
            <w:r>
              <w:rPr>
                <w:b/>
                <w:bCs/>
                <w:spacing w:val="-5"/>
              </w:rPr>
              <w:t>合同依据</w:t>
            </w:r>
          </w:p>
        </w:tc>
        <w:tc>
          <w:tcPr>
            <w:tcW w:w="3762" w:type="dxa"/>
            <w:vAlign w:val="top"/>
          </w:tcPr>
          <w:p w14:paraId="42079D79">
            <w:pPr>
              <w:pStyle w:val="9"/>
              <w:spacing w:before="213" w:line="220" w:lineRule="auto"/>
              <w:ind w:left="1465"/>
            </w:pPr>
            <w:r>
              <w:rPr>
                <w:b/>
                <w:bCs/>
                <w:spacing w:val="-4"/>
              </w:rPr>
              <w:t>违约内容</w:t>
            </w:r>
          </w:p>
        </w:tc>
        <w:tc>
          <w:tcPr>
            <w:tcW w:w="1799" w:type="dxa"/>
            <w:vAlign w:val="top"/>
          </w:tcPr>
          <w:p w14:paraId="09B4515B">
            <w:pPr>
              <w:pStyle w:val="9"/>
              <w:spacing w:before="214" w:line="220" w:lineRule="auto"/>
              <w:ind w:left="381"/>
            </w:pPr>
            <w:r>
              <w:rPr>
                <w:b/>
                <w:bCs/>
                <w:spacing w:val="-4"/>
              </w:rPr>
              <w:t>违约金标准</w:t>
            </w:r>
          </w:p>
        </w:tc>
        <w:tc>
          <w:tcPr>
            <w:tcW w:w="1580" w:type="dxa"/>
            <w:vAlign w:val="top"/>
          </w:tcPr>
          <w:p w14:paraId="525738E0">
            <w:pPr>
              <w:pStyle w:val="9"/>
              <w:spacing w:before="214" w:line="221" w:lineRule="auto"/>
              <w:ind w:left="586"/>
            </w:pPr>
            <w:r>
              <w:rPr>
                <w:b/>
                <w:bCs/>
                <w:spacing w:val="-5"/>
              </w:rPr>
              <w:t>备注</w:t>
            </w:r>
          </w:p>
        </w:tc>
      </w:tr>
      <w:tr w14:paraId="1C059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00955D9E">
            <w:pPr>
              <w:spacing w:line="395" w:lineRule="auto"/>
              <w:rPr>
                <w:rFonts w:ascii="Arial"/>
                <w:sz w:val="21"/>
              </w:rPr>
            </w:pPr>
          </w:p>
          <w:p w14:paraId="5BD2E13D">
            <w:pPr>
              <w:pStyle w:val="9"/>
              <w:spacing w:before="68" w:line="241" w:lineRule="auto"/>
              <w:ind w:left="399"/>
            </w:pPr>
            <w:r>
              <w:t>1</w:t>
            </w:r>
          </w:p>
        </w:tc>
        <w:tc>
          <w:tcPr>
            <w:tcW w:w="1469" w:type="dxa"/>
            <w:vAlign w:val="top"/>
          </w:tcPr>
          <w:p w14:paraId="6F2FFADF">
            <w:pPr>
              <w:spacing w:line="395" w:lineRule="auto"/>
              <w:rPr>
                <w:rFonts w:ascii="Arial"/>
                <w:sz w:val="21"/>
              </w:rPr>
            </w:pPr>
          </w:p>
          <w:p w14:paraId="1AA061DD">
            <w:pPr>
              <w:pStyle w:val="9"/>
              <w:spacing w:before="68" w:line="239" w:lineRule="auto"/>
              <w:ind w:left="489"/>
            </w:pPr>
            <w:r>
              <w:rPr>
                <w:spacing w:val="-5"/>
              </w:rPr>
              <w:t>1.6.1</w:t>
            </w:r>
          </w:p>
        </w:tc>
        <w:tc>
          <w:tcPr>
            <w:tcW w:w="3762" w:type="dxa"/>
            <w:vAlign w:val="top"/>
          </w:tcPr>
          <w:p w14:paraId="1291CE94">
            <w:pPr>
              <w:pStyle w:val="9"/>
              <w:spacing w:before="104" w:line="284" w:lineRule="auto"/>
              <w:ind w:left="112" w:right="106" w:firstLine="2"/>
              <w:jc w:val="both"/>
            </w:pPr>
            <w:r>
              <w:rPr>
                <w:spacing w:val="-3"/>
              </w:rPr>
              <w:t>未经发包人同意，承包人擅自将图纸、</w:t>
            </w:r>
            <w:r>
              <w:rPr>
                <w:spacing w:val="11"/>
              </w:rPr>
              <w:t>技术规范和其他技术资料提供给与本</w:t>
            </w:r>
            <w:r>
              <w:rPr>
                <w:spacing w:val="-1"/>
              </w:rPr>
              <w:t>工程施工无关的第三方</w:t>
            </w:r>
          </w:p>
        </w:tc>
        <w:tc>
          <w:tcPr>
            <w:tcW w:w="1799" w:type="dxa"/>
            <w:vAlign w:val="top"/>
          </w:tcPr>
          <w:p w14:paraId="253E91DE">
            <w:pPr>
              <w:spacing w:line="394" w:lineRule="auto"/>
              <w:rPr>
                <w:rFonts w:ascii="Arial"/>
                <w:sz w:val="21"/>
              </w:rPr>
            </w:pPr>
          </w:p>
          <w:p w14:paraId="013FF0E7">
            <w:pPr>
              <w:pStyle w:val="9"/>
              <w:spacing w:before="69" w:line="220" w:lineRule="auto"/>
              <w:ind w:left="463"/>
            </w:pPr>
            <w:r>
              <w:rPr>
                <w:spacing w:val="-5"/>
              </w:rPr>
              <w:t>2</w:t>
            </w:r>
            <w:r>
              <w:rPr>
                <w:spacing w:val="-37"/>
              </w:rPr>
              <w:t xml:space="preserve"> </w:t>
            </w:r>
            <w:r>
              <w:rPr>
                <w:spacing w:val="-5"/>
              </w:rPr>
              <w:t>万元/次</w:t>
            </w:r>
          </w:p>
        </w:tc>
        <w:tc>
          <w:tcPr>
            <w:tcW w:w="1580" w:type="dxa"/>
            <w:vAlign w:val="top"/>
          </w:tcPr>
          <w:p w14:paraId="750DD223">
            <w:pPr>
              <w:rPr>
                <w:rFonts w:ascii="Arial"/>
                <w:sz w:val="21"/>
              </w:rPr>
            </w:pPr>
          </w:p>
        </w:tc>
      </w:tr>
      <w:tr w14:paraId="2D07D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62" w:type="dxa"/>
            <w:vAlign w:val="top"/>
          </w:tcPr>
          <w:p w14:paraId="0209444D">
            <w:pPr>
              <w:pStyle w:val="9"/>
              <w:spacing w:before="286" w:line="241" w:lineRule="auto"/>
              <w:ind w:left="386"/>
            </w:pPr>
            <w:r>
              <w:t>2</w:t>
            </w:r>
          </w:p>
        </w:tc>
        <w:tc>
          <w:tcPr>
            <w:tcW w:w="1469" w:type="dxa"/>
            <w:vAlign w:val="top"/>
          </w:tcPr>
          <w:p w14:paraId="2A4A3838">
            <w:pPr>
              <w:pStyle w:val="9"/>
              <w:spacing w:before="286" w:line="239" w:lineRule="auto"/>
              <w:ind w:left="489"/>
            </w:pPr>
            <w:r>
              <w:rPr>
                <w:spacing w:val="-5"/>
              </w:rPr>
              <w:t>1.6.3</w:t>
            </w:r>
          </w:p>
        </w:tc>
        <w:tc>
          <w:tcPr>
            <w:tcW w:w="3762" w:type="dxa"/>
            <w:vAlign w:val="top"/>
          </w:tcPr>
          <w:p w14:paraId="43CDC60B">
            <w:pPr>
              <w:pStyle w:val="9"/>
              <w:spacing w:before="106" w:line="268" w:lineRule="auto"/>
              <w:ind w:left="132" w:right="103" w:hanging="17"/>
            </w:pPr>
            <w:r>
              <w:rPr>
                <w:spacing w:val="-2"/>
              </w:rPr>
              <w:t>未得到监理人批准，承包人擅自对施工</w:t>
            </w:r>
            <w:r>
              <w:rPr>
                <w:spacing w:val="-3"/>
              </w:rPr>
              <w:t>图的任何部分进行修改</w:t>
            </w:r>
          </w:p>
        </w:tc>
        <w:tc>
          <w:tcPr>
            <w:tcW w:w="1799" w:type="dxa"/>
            <w:vAlign w:val="top"/>
          </w:tcPr>
          <w:p w14:paraId="2FC71721">
            <w:pPr>
              <w:pStyle w:val="9"/>
              <w:spacing w:before="286" w:line="220" w:lineRule="auto"/>
              <w:ind w:left="463"/>
            </w:pPr>
            <w:r>
              <w:rPr>
                <w:spacing w:val="-5"/>
              </w:rPr>
              <w:t>2</w:t>
            </w:r>
            <w:r>
              <w:rPr>
                <w:spacing w:val="-37"/>
              </w:rPr>
              <w:t xml:space="preserve"> </w:t>
            </w:r>
            <w:r>
              <w:rPr>
                <w:spacing w:val="-5"/>
              </w:rPr>
              <w:t>万元/次</w:t>
            </w:r>
          </w:p>
        </w:tc>
        <w:tc>
          <w:tcPr>
            <w:tcW w:w="1580" w:type="dxa"/>
            <w:vAlign w:val="top"/>
          </w:tcPr>
          <w:p w14:paraId="5397663D">
            <w:pPr>
              <w:rPr>
                <w:rFonts w:ascii="Arial"/>
                <w:sz w:val="21"/>
              </w:rPr>
            </w:pPr>
          </w:p>
        </w:tc>
      </w:tr>
      <w:tr w14:paraId="0B29E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3BF462E7">
            <w:pPr>
              <w:pStyle w:val="9"/>
              <w:spacing w:before="286"/>
              <w:ind w:left="387"/>
            </w:pPr>
            <w:r>
              <w:t>3</w:t>
            </w:r>
          </w:p>
        </w:tc>
        <w:tc>
          <w:tcPr>
            <w:tcW w:w="1469" w:type="dxa"/>
            <w:vAlign w:val="top"/>
          </w:tcPr>
          <w:p w14:paraId="5266037C">
            <w:pPr>
              <w:pStyle w:val="9"/>
              <w:spacing w:before="286" w:line="239" w:lineRule="auto"/>
              <w:ind w:left="478"/>
            </w:pPr>
            <w:r>
              <w:rPr>
                <w:spacing w:val="-3"/>
              </w:rPr>
              <w:t>3.6.2</w:t>
            </w:r>
          </w:p>
        </w:tc>
        <w:tc>
          <w:tcPr>
            <w:tcW w:w="3762" w:type="dxa"/>
            <w:vAlign w:val="top"/>
          </w:tcPr>
          <w:p w14:paraId="65A0BD48">
            <w:pPr>
              <w:pStyle w:val="9"/>
              <w:spacing w:before="106" w:line="267" w:lineRule="auto"/>
              <w:ind w:left="114" w:right="106" w:firstLine="13"/>
            </w:pPr>
            <w:r>
              <w:rPr>
                <w:spacing w:val="10"/>
              </w:rPr>
              <w:t>因工程质量出现问题而降低质量标准</w:t>
            </w:r>
            <w:r>
              <w:rPr>
                <w:spacing w:val="-1"/>
              </w:rPr>
              <w:t>或返工而造成经济和工期损失的</w:t>
            </w:r>
          </w:p>
        </w:tc>
        <w:tc>
          <w:tcPr>
            <w:tcW w:w="1799" w:type="dxa"/>
            <w:vAlign w:val="top"/>
          </w:tcPr>
          <w:p w14:paraId="63CC8B62">
            <w:pPr>
              <w:pStyle w:val="9"/>
              <w:spacing w:before="286" w:line="220" w:lineRule="auto"/>
              <w:ind w:left="412"/>
            </w:pPr>
            <w:r>
              <w:rPr>
                <w:spacing w:val="-4"/>
              </w:rPr>
              <w:t>30</w:t>
            </w:r>
            <w:r>
              <w:rPr>
                <w:spacing w:val="-39"/>
              </w:rPr>
              <w:t xml:space="preserve"> </w:t>
            </w:r>
            <w:r>
              <w:rPr>
                <w:spacing w:val="-4"/>
              </w:rPr>
              <w:t>万元/次</w:t>
            </w:r>
          </w:p>
        </w:tc>
        <w:tc>
          <w:tcPr>
            <w:tcW w:w="1580" w:type="dxa"/>
            <w:vAlign w:val="top"/>
          </w:tcPr>
          <w:p w14:paraId="301465F4">
            <w:pPr>
              <w:rPr>
                <w:rFonts w:ascii="Arial"/>
                <w:sz w:val="21"/>
              </w:rPr>
            </w:pPr>
          </w:p>
        </w:tc>
      </w:tr>
      <w:tr w14:paraId="75A6B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62" w:type="dxa"/>
            <w:vAlign w:val="top"/>
          </w:tcPr>
          <w:p w14:paraId="68C437C3">
            <w:pPr>
              <w:spacing w:line="251" w:lineRule="auto"/>
              <w:rPr>
                <w:rFonts w:ascii="Arial"/>
                <w:sz w:val="21"/>
              </w:rPr>
            </w:pPr>
          </w:p>
          <w:p w14:paraId="06D5B911">
            <w:pPr>
              <w:spacing w:line="251" w:lineRule="auto"/>
              <w:rPr>
                <w:rFonts w:ascii="Arial"/>
                <w:sz w:val="21"/>
              </w:rPr>
            </w:pPr>
          </w:p>
          <w:p w14:paraId="18556344">
            <w:pPr>
              <w:spacing w:line="252" w:lineRule="auto"/>
              <w:rPr>
                <w:rFonts w:ascii="Arial"/>
                <w:sz w:val="21"/>
              </w:rPr>
            </w:pPr>
          </w:p>
          <w:p w14:paraId="47E91220">
            <w:pPr>
              <w:pStyle w:val="9"/>
              <w:spacing w:before="68" w:line="241" w:lineRule="auto"/>
              <w:ind w:left="382"/>
            </w:pPr>
            <w:r>
              <w:t>4</w:t>
            </w:r>
          </w:p>
        </w:tc>
        <w:tc>
          <w:tcPr>
            <w:tcW w:w="1469" w:type="dxa"/>
            <w:vAlign w:val="top"/>
          </w:tcPr>
          <w:p w14:paraId="4D3CD8ED">
            <w:pPr>
              <w:spacing w:line="251" w:lineRule="auto"/>
              <w:rPr>
                <w:rFonts w:ascii="Arial"/>
                <w:sz w:val="21"/>
              </w:rPr>
            </w:pPr>
          </w:p>
          <w:p w14:paraId="2BE7648D">
            <w:pPr>
              <w:spacing w:line="251" w:lineRule="auto"/>
              <w:rPr>
                <w:rFonts w:ascii="Arial"/>
                <w:sz w:val="21"/>
              </w:rPr>
            </w:pPr>
          </w:p>
          <w:p w14:paraId="505A4740">
            <w:pPr>
              <w:spacing w:line="252" w:lineRule="auto"/>
              <w:rPr>
                <w:rFonts w:ascii="Arial"/>
                <w:sz w:val="21"/>
              </w:rPr>
            </w:pPr>
          </w:p>
          <w:p w14:paraId="51E915DD">
            <w:pPr>
              <w:pStyle w:val="9"/>
              <w:spacing w:before="68" w:line="239" w:lineRule="auto"/>
              <w:ind w:left="473"/>
            </w:pPr>
            <w:r>
              <w:rPr>
                <w:spacing w:val="-2"/>
              </w:rPr>
              <w:t>4.1.4</w:t>
            </w:r>
          </w:p>
        </w:tc>
        <w:tc>
          <w:tcPr>
            <w:tcW w:w="3762" w:type="dxa"/>
            <w:vAlign w:val="top"/>
          </w:tcPr>
          <w:p w14:paraId="59A51DED">
            <w:pPr>
              <w:spacing w:line="251" w:lineRule="auto"/>
              <w:rPr>
                <w:rFonts w:ascii="Arial"/>
                <w:sz w:val="21"/>
              </w:rPr>
            </w:pPr>
          </w:p>
          <w:p w14:paraId="03D59FC6">
            <w:pPr>
              <w:spacing w:line="251" w:lineRule="auto"/>
              <w:rPr>
                <w:rFonts w:ascii="Arial"/>
                <w:sz w:val="21"/>
              </w:rPr>
            </w:pPr>
          </w:p>
          <w:p w14:paraId="20B76494">
            <w:pPr>
              <w:spacing w:line="252" w:lineRule="auto"/>
              <w:rPr>
                <w:rFonts w:ascii="Arial"/>
                <w:sz w:val="21"/>
              </w:rPr>
            </w:pPr>
          </w:p>
          <w:p w14:paraId="2E3E18C4">
            <w:pPr>
              <w:pStyle w:val="9"/>
              <w:spacing w:before="68" w:line="220" w:lineRule="auto"/>
              <w:ind w:left="111"/>
            </w:pPr>
            <w:r>
              <w:rPr>
                <w:spacing w:val="-3"/>
              </w:rPr>
              <w:t>施工组织设计未经审批即开始实施。</w:t>
            </w:r>
          </w:p>
        </w:tc>
        <w:tc>
          <w:tcPr>
            <w:tcW w:w="1799" w:type="dxa"/>
            <w:vAlign w:val="top"/>
          </w:tcPr>
          <w:p w14:paraId="7C7803D7">
            <w:pPr>
              <w:spacing w:line="251" w:lineRule="auto"/>
              <w:rPr>
                <w:rFonts w:ascii="Arial"/>
                <w:sz w:val="21"/>
              </w:rPr>
            </w:pPr>
          </w:p>
          <w:p w14:paraId="7CCB12C1">
            <w:pPr>
              <w:spacing w:line="251" w:lineRule="auto"/>
              <w:rPr>
                <w:rFonts w:ascii="Arial"/>
                <w:sz w:val="21"/>
              </w:rPr>
            </w:pPr>
          </w:p>
          <w:p w14:paraId="4C99C453">
            <w:pPr>
              <w:spacing w:line="251" w:lineRule="auto"/>
              <w:rPr>
                <w:rFonts w:ascii="Arial"/>
                <w:sz w:val="21"/>
              </w:rPr>
            </w:pPr>
          </w:p>
          <w:p w14:paraId="4975AA91">
            <w:pPr>
              <w:pStyle w:val="9"/>
              <w:spacing w:before="69" w:line="220" w:lineRule="auto"/>
              <w:ind w:left="413"/>
            </w:pPr>
            <w:r>
              <w:rPr>
                <w:spacing w:val="-4"/>
              </w:rPr>
              <w:t>50</w:t>
            </w:r>
            <w:r>
              <w:rPr>
                <w:spacing w:val="-40"/>
              </w:rPr>
              <w:t xml:space="preserve"> </w:t>
            </w:r>
            <w:r>
              <w:rPr>
                <w:spacing w:val="-4"/>
              </w:rPr>
              <w:t>万元/次</w:t>
            </w:r>
          </w:p>
        </w:tc>
        <w:tc>
          <w:tcPr>
            <w:tcW w:w="1580" w:type="dxa"/>
            <w:vAlign w:val="top"/>
          </w:tcPr>
          <w:p w14:paraId="3A916B5F">
            <w:pPr>
              <w:pStyle w:val="9"/>
              <w:spacing w:before="107" w:line="220" w:lineRule="auto"/>
              <w:ind w:left="271"/>
            </w:pPr>
            <w:r>
              <w:rPr>
                <w:spacing w:val="-2"/>
              </w:rPr>
              <w:t>属于严重违</w:t>
            </w:r>
          </w:p>
          <w:p w14:paraId="52053EAF">
            <w:pPr>
              <w:pStyle w:val="9"/>
              <w:spacing w:before="109" w:line="220" w:lineRule="auto"/>
              <w:ind w:left="169"/>
            </w:pPr>
            <w:r>
              <w:rPr>
                <w:spacing w:val="-2"/>
              </w:rPr>
              <w:t>约，建议参照</w:t>
            </w:r>
          </w:p>
          <w:p w14:paraId="739006B1">
            <w:pPr>
              <w:pStyle w:val="9"/>
              <w:spacing w:before="109" w:line="220" w:lineRule="auto"/>
              <w:ind w:left="149"/>
            </w:pPr>
            <w:r>
              <w:rPr>
                <w:spacing w:val="1"/>
              </w:rPr>
              <w:t>“违规分包或</w:t>
            </w:r>
          </w:p>
          <w:p w14:paraId="738D0BCB">
            <w:pPr>
              <w:pStyle w:val="9"/>
              <w:spacing w:before="109" w:line="220" w:lineRule="auto"/>
              <w:ind w:left="117"/>
            </w:pPr>
            <w:r>
              <w:rPr>
                <w:spacing w:val="-2"/>
              </w:rPr>
              <w:t>转包” 进行重</w:t>
            </w:r>
          </w:p>
          <w:p w14:paraId="26046FDD">
            <w:pPr>
              <w:pStyle w:val="9"/>
              <w:spacing w:before="110" w:line="217" w:lineRule="auto"/>
              <w:ind w:left="593"/>
            </w:pPr>
            <w:r>
              <w:rPr>
                <w:spacing w:val="-12"/>
              </w:rPr>
              <w:t>罚。</w:t>
            </w:r>
          </w:p>
        </w:tc>
      </w:tr>
      <w:tr w14:paraId="13E04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62" w:type="dxa"/>
            <w:vAlign w:val="top"/>
          </w:tcPr>
          <w:p w14:paraId="3EFEF02D">
            <w:pPr>
              <w:spacing w:line="287" w:lineRule="auto"/>
              <w:rPr>
                <w:rFonts w:ascii="Arial"/>
                <w:sz w:val="21"/>
              </w:rPr>
            </w:pPr>
          </w:p>
          <w:p w14:paraId="2A25F224">
            <w:pPr>
              <w:spacing w:line="288" w:lineRule="auto"/>
              <w:rPr>
                <w:rFonts w:ascii="Arial"/>
                <w:sz w:val="21"/>
              </w:rPr>
            </w:pPr>
          </w:p>
          <w:p w14:paraId="43660B7E">
            <w:pPr>
              <w:pStyle w:val="9"/>
              <w:spacing w:before="68"/>
              <w:ind w:left="387"/>
            </w:pPr>
            <w:r>
              <w:t>5</w:t>
            </w:r>
          </w:p>
        </w:tc>
        <w:tc>
          <w:tcPr>
            <w:tcW w:w="1469" w:type="dxa"/>
            <w:vAlign w:val="top"/>
          </w:tcPr>
          <w:p w14:paraId="15467775">
            <w:pPr>
              <w:spacing w:line="288" w:lineRule="auto"/>
              <w:rPr>
                <w:rFonts w:ascii="Arial"/>
                <w:sz w:val="21"/>
              </w:rPr>
            </w:pPr>
          </w:p>
          <w:p w14:paraId="73663E0B">
            <w:pPr>
              <w:spacing w:line="288" w:lineRule="auto"/>
              <w:rPr>
                <w:rFonts w:ascii="Arial"/>
                <w:sz w:val="21"/>
              </w:rPr>
            </w:pPr>
          </w:p>
          <w:p w14:paraId="7A000FEC">
            <w:pPr>
              <w:pStyle w:val="9"/>
              <w:spacing w:before="68" w:line="239" w:lineRule="auto"/>
              <w:ind w:left="473"/>
            </w:pPr>
            <w:r>
              <w:rPr>
                <w:spacing w:val="-2"/>
              </w:rPr>
              <w:t>4.1.4</w:t>
            </w:r>
          </w:p>
        </w:tc>
        <w:tc>
          <w:tcPr>
            <w:tcW w:w="3762" w:type="dxa"/>
            <w:vAlign w:val="top"/>
          </w:tcPr>
          <w:p w14:paraId="72427FF1">
            <w:pPr>
              <w:spacing w:line="396" w:lineRule="auto"/>
              <w:rPr>
                <w:rFonts w:ascii="Arial"/>
                <w:sz w:val="21"/>
              </w:rPr>
            </w:pPr>
          </w:p>
          <w:p w14:paraId="21168B32">
            <w:pPr>
              <w:pStyle w:val="9"/>
              <w:spacing w:before="68" w:line="319" w:lineRule="auto"/>
              <w:ind w:left="114" w:right="106"/>
            </w:pPr>
            <w:r>
              <w:rPr>
                <w:spacing w:val="10"/>
              </w:rPr>
              <w:t>未按批复的施工组织设计方案组织施</w:t>
            </w:r>
            <w:r>
              <w:rPr>
                <w:spacing w:val="-4"/>
              </w:rPr>
              <w:t>工，随意调整或变更。</w:t>
            </w:r>
          </w:p>
        </w:tc>
        <w:tc>
          <w:tcPr>
            <w:tcW w:w="1799" w:type="dxa"/>
            <w:vAlign w:val="top"/>
          </w:tcPr>
          <w:p w14:paraId="51CD3816">
            <w:pPr>
              <w:spacing w:line="287" w:lineRule="auto"/>
              <w:rPr>
                <w:rFonts w:ascii="Arial"/>
                <w:sz w:val="21"/>
              </w:rPr>
            </w:pPr>
          </w:p>
          <w:p w14:paraId="2AEBF561">
            <w:pPr>
              <w:spacing w:line="288" w:lineRule="auto"/>
              <w:rPr>
                <w:rFonts w:ascii="Arial"/>
                <w:sz w:val="21"/>
              </w:rPr>
            </w:pPr>
          </w:p>
          <w:p w14:paraId="55285E9A">
            <w:pPr>
              <w:pStyle w:val="9"/>
              <w:spacing w:before="68" w:line="220" w:lineRule="auto"/>
              <w:ind w:left="463"/>
            </w:pPr>
            <w:r>
              <w:rPr>
                <w:spacing w:val="-5"/>
              </w:rPr>
              <w:t>2</w:t>
            </w:r>
            <w:r>
              <w:rPr>
                <w:spacing w:val="-37"/>
              </w:rPr>
              <w:t xml:space="preserve"> </w:t>
            </w:r>
            <w:r>
              <w:rPr>
                <w:spacing w:val="-5"/>
              </w:rPr>
              <w:t>万元/次</w:t>
            </w:r>
          </w:p>
        </w:tc>
        <w:tc>
          <w:tcPr>
            <w:tcW w:w="1580" w:type="dxa"/>
            <w:vAlign w:val="top"/>
          </w:tcPr>
          <w:p w14:paraId="642B1F5E">
            <w:pPr>
              <w:pStyle w:val="9"/>
              <w:spacing w:before="108" w:line="220" w:lineRule="auto"/>
              <w:ind w:left="166"/>
            </w:pPr>
            <w:r>
              <w:rPr>
                <w:spacing w:val="-2"/>
              </w:rPr>
              <w:t>参照“擅自对</w:t>
            </w:r>
          </w:p>
          <w:p w14:paraId="6EE456FF">
            <w:pPr>
              <w:pStyle w:val="9"/>
              <w:spacing w:before="108" w:line="220" w:lineRule="auto"/>
              <w:ind w:left="163"/>
            </w:pPr>
            <w:r>
              <w:rPr>
                <w:spacing w:val="-2"/>
              </w:rPr>
              <w:t>施工图的任何</w:t>
            </w:r>
          </w:p>
          <w:p w14:paraId="1EA940F7">
            <w:pPr>
              <w:pStyle w:val="9"/>
              <w:spacing w:before="109" w:line="220" w:lineRule="auto"/>
              <w:ind w:left="272"/>
            </w:pPr>
            <w:r>
              <w:rPr>
                <w:spacing w:val="-2"/>
              </w:rPr>
              <w:t>部分进行修</w:t>
            </w:r>
          </w:p>
          <w:p w14:paraId="15884726">
            <w:pPr>
              <w:pStyle w:val="9"/>
              <w:spacing w:before="110" w:line="217" w:lineRule="auto"/>
              <w:ind w:left="118"/>
            </w:pPr>
            <w:r>
              <w:rPr>
                <w:spacing w:val="-6"/>
              </w:rPr>
              <w:t>订”进行处罚。</w:t>
            </w:r>
          </w:p>
        </w:tc>
      </w:tr>
      <w:tr w14:paraId="4072E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3" w:hRule="atLeast"/>
        </w:trPr>
        <w:tc>
          <w:tcPr>
            <w:tcW w:w="862" w:type="dxa"/>
            <w:vAlign w:val="top"/>
          </w:tcPr>
          <w:p w14:paraId="6EA940BA">
            <w:pPr>
              <w:spacing w:line="258" w:lineRule="auto"/>
              <w:rPr>
                <w:rFonts w:ascii="Arial"/>
                <w:sz w:val="21"/>
              </w:rPr>
            </w:pPr>
          </w:p>
          <w:p w14:paraId="160F2A02">
            <w:pPr>
              <w:spacing w:line="258" w:lineRule="auto"/>
              <w:rPr>
                <w:rFonts w:ascii="Arial"/>
                <w:sz w:val="21"/>
              </w:rPr>
            </w:pPr>
          </w:p>
          <w:p w14:paraId="30972B7A">
            <w:pPr>
              <w:spacing w:line="258" w:lineRule="auto"/>
              <w:rPr>
                <w:rFonts w:ascii="Arial"/>
                <w:sz w:val="21"/>
              </w:rPr>
            </w:pPr>
          </w:p>
          <w:p w14:paraId="45F544C5">
            <w:pPr>
              <w:spacing w:line="259" w:lineRule="auto"/>
              <w:rPr>
                <w:rFonts w:ascii="Arial"/>
                <w:sz w:val="21"/>
              </w:rPr>
            </w:pPr>
          </w:p>
          <w:p w14:paraId="6CCE01F2">
            <w:pPr>
              <w:spacing w:line="259" w:lineRule="auto"/>
              <w:rPr>
                <w:rFonts w:ascii="Arial"/>
                <w:sz w:val="21"/>
              </w:rPr>
            </w:pPr>
          </w:p>
          <w:p w14:paraId="6D26C58D">
            <w:pPr>
              <w:pStyle w:val="9"/>
              <w:spacing w:before="68"/>
              <w:ind w:left="385"/>
            </w:pPr>
            <w:r>
              <w:t>6</w:t>
            </w:r>
          </w:p>
        </w:tc>
        <w:tc>
          <w:tcPr>
            <w:tcW w:w="1469" w:type="dxa"/>
            <w:vAlign w:val="top"/>
          </w:tcPr>
          <w:p w14:paraId="6A04B637">
            <w:pPr>
              <w:spacing w:line="258" w:lineRule="auto"/>
              <w:rPr>
                <w:rFonts w:ascii="Arial"/>
                <w:sz w:val="21"/>
              </w:rPr>
            </w:pPr>
          </w:p>
          <w:p w14:paraId="453DD0B3">
            <w:pPr>
              <w:spacing w:line="258" w:lineRule="auto"/>
              <w:rPr>
                <w:rFonts w:ascii="Arial"/>
                <w:sz w:val="21"/>
              </w:rPr>
            </w:pPr>
          </w:p>
          <w:p w14:paraId="310B4ED3">
            <w:pPr>
              <w:spacing w:line="258" w:lineRule="auto"/>
              <w:rPr>
                <w:rFonts w:ascii="Arial"/>
                <w:sz w:val="21"/>
              </w:rPr>
            </w:pPr>
          </w:p>
          <w:p w14:paraId="330E3288">
            <w:pPr>
              <w:spacing w:line="259" w:lineRule="auto"/>
              <w:rPr>
                <w:rFonts w:ascii="Arial"/>
                <w:sz w:val="21"/>
              </w:rPr>
            </w:pPr>
          </w:p>
          <w:p w14:paraId="597BED12">
            <w:pPr>
              <w:spacing w:line="259" w:lineRule="auto"/>
              <w:rPr>
                <w:rFonts w:ascii="Arial"/>
                <w:sz w:val="21"/>
              </w:rPr>
            </w:pPr>
          </w:p>
          <w:p w14:paraId="2672ADFB">
            <w:pPr>
              <w:pStyle w:val="9"/>
              <w:spacing w:before="68" w:line="239" w:lineRule="auto"/>
              <w:ind w:left="473"/>
            </w:pPr>
            <w:r>
              <w:rPr>
                <w:spacing w:val="-2"/>
              </w:rPr>
              <w:t>4.1.4</w:t>
            </w:r>
          </w:p>
        </w:tc>
        <w:tc>
          <w:tcPr>
            <w:tcW w:w="3762" w:type="dxa"/>
            <w:vAlign w:val="top"/>
          </w:tcPr>
          <w:p w14:paraId="4CA053FE">
            <w:pPr>
              <w:spacing w:line="278" w:lineRule="auto"/>
              <w:rPr>
                <w:rFonts w:ascii="Arial"/>
                <w:sz w:val="21"/>
              </w:rPr>
            </w:pPr>
          </w:p>
          <w:p w14:paraId="1ECD5C52">
            <w:pPr>
              <w:spacing w:line="278" w:lineRule="auto"/>
              <w:rPr>
                <w:rFonts w:ascii="Arial"/>
                <w:sz w:val="21"/>
              </w:rPr>
            </w:pPr>
          </w:p>
          <w:p w14:paraId="2E32B336">
            <w:pPr>
              <w:spacing w:line="278" w:lineRule="auto"/>
              <w:rPr>
                <w:rFonts w:ascii="Arial"/>
                <w:sz w:val="21"/>
              </w:rPr>
            </w:pPr>
          </w:p>
          <w:p w14:paraId="495CBE9B">
            <w:pPr>
              <w:spacing w:line="279" w:lineRule="auto"/>
              <w:rPr>
                <w:rFonts w:ascii="Arial"/>
                <w:sz w:val="21"/>
              </w:rPr>
            </w:pPr>
          </w:p>
          <w:p w14:paraId="306A76B1">
            <w:pPr>
              <w:pStyle w:val="9"/>
              <w:spacing w:before="68" w:line="319" w:lineRule="auto"/>
              <w:ind w:left="114" w:right="106" w:firstLine="20"/>
            </w:pPr>
            <w:r>
              <w:rPr>
                <w:spacing w:val="9"/>
              </w:rPr>
              <w:t>已实施的超过一定规模的危险性较大</w:t>
            </w:r>
            <w:r>
              <w:rPr>
                <w:spacing w:val="-3"/>
              </w:rPr>
              <w:t>工程未组织专家论证、审查。</w:t>
            </w:r>
          </w:p>
        </w:tc>
        <w:tc>
          <w:tcPr>
            <w:tcW w:w="1799" w:type="dxa"/>
            <w:vAlign w:val="top"/>
          </w:tcPr>
          <w:p w14:paraId="66D50093">
            <w:pPr>
              <w:spacing w:line="258" w:lineRule="auto"/>
              <w:rPr>
                <w:rFonts w:ascii="Arial"/>
                <w:sz w:val="21"/>
              </w:rPr>
            </w:pPr>
          </w:p>
          <w:p w14:paraId="3129658A">
            <w:pPr>
              <w:spacing w:line="258" w:lineRule="auto"/>
              <w:rPr>
                <w:rFonts w:ascii="Arial"/>
                <w:sz w:val="21"/>
              </w:rPr>
            </w:pPr>
          </w:p>
          <w:p w14:paraId="51247F22">
            <w:pPr>
              <w:spacing w:line="258" w:lineRule="auto"/>
              <w:rPr>
                <w:rFonts w:ascii="Arial"/>
                <w:sz w:val="21"/>
              </w:rPr>
            </w:pPr>
          </w:p>
          <w:p w14:paraId="06B4BB64">
            <w:pPr>
              <w:spacing w:line="258" w:lineRule="auto"/>
              <w:rPr>
                <w:rFonts w:ascii="Arial"/>
                <w:sz w:val="21"/>
              </w:rPr>
            </w:pPr>
          </w:p>
          <w:p w14:paraId="6C71CB4D">
            <w:pPr>
              <w:spacing w:line="259" w:lineRule="auto"/>
              <w:rPr>
                <w:rFonts w:ascii="Arial"/>
                <w:sz w:val="21"/>
              </w:rPr>
            </w:pPr>
          </w:p>
          <w:p w14:paraId="009D18D5">
            <w:pPr>
              <w:pStyle w:val="9"/>
              <w:spacing w:before="69" w:line="220" w:lineRule="auto"/>
              <w:ind w:left="465"/>
            </w:pPr>
            <w:r>
              <w:rPr>
                <w:spacing w:val="-5"/>
              </w:rPr>
              <w:t>5</w:t>
            </w:r>
            <w:r>
              <w:rPr>
                <w:spacing w:val="-38"/>
              </w:rPr>
              <w:t xml:space="preserve"> </w:t>
            </w:r>
            <w:r>
              <w:rPr>
                <w:spacing w:val="-5"/>
              </w:rPr>
              <w:t>万元/次</w:t>
            </w:r>
          </w:p>
        </w:tc>
        <w:tc>
          <w:tcPr>
            <w:tcW w:w="1580" w:type="dxa"/>
            <w:vAlign w:val="top"/>
          </w:tcPr>
          <w:p w14:paraId="3247E6E3">
            <w:pPr>
              <w:pStyle w:val="9"/>
              <w:spacing w:before="108" w:line="220" w:lineRule="auto"/>
              <w:ind w:left="166"/>
            </w:pPr>
            <w:r>
              <w:rPr>
                <w:spacing w:val="-2"/>
              </w:rPr>
              <w:t>参照“擅自对</w:t>
            </w:r>
          </w:p>
          <w:p w14:paraId="26F33154">
            <w:pPr>
              <w:pStyle w:val="9"/>
              <w:spacing w:before="108" w:line="220" w:lineRule="auto"/>
              <w:ind w:left="163"/>
            </w:pPr>
            <w:r>
              <w:rPr>
                <w:spacing w:val="-2"/>
              </w:rPr>
              <w:t>施工图的任何</w:t>
            </w:r>
          </w:p>
          <w:p w14:paraId="37F88AE3">
            <w:pPr>
              <w:pStyle w:val="9"/>
              <w:spacing w:before="109" w:line="220" w:lineRule="auto"/>
              <w:ind w:left="272"/>
            </w:pPr>
            <w:r>
              <w:rPr>
                <w:spacing w:val="-2"/>
              </w:rPr>
              <w:t>部分进行修</w:t>
            </w:r>
          </w:p>
          <w:p w14:paraId="73665AD3">
            <w:pPr>
              <w:pStyle w:val="9"/>
              <w:spacing w:before="111" w:line="220" w:lineRule="auto"/>
              <w:ind w:left="118"/>
            </w:pPr>
            <w:r>
              <w:rPr>
                <w:spacing w:val="-6"/>
              </w:rPr>
              <w:t>订”进行处罚。</w:t>
            </w:r>
          </w:p>
          <w:p w14:paraId="1ED38610">
            <w:pPr>
              <w:pStyle w:val="9"/>
              <w:spacing w:before="109" w:line="219" w:lineRule="auto"/>
              <w:ind w:left="164"/>
            </w:pPr>
            <w:r>
              <w:rPr>
                <w:spacing w:val="-2"/>
              </w:rPr>
              <w:t>供招标人结合</w:t>
            </w:r>
          </w:p>
          <w:p w14:paraId="1AD4FCB4">
            <w:pPr>
              <w:pStyle w:val="9"/>
              <w:spacing w:before="111" w:line="220" w:lineRule="auto"/>
              <w:ind w:left="167"/>
            </w:pPr>
            <w:r>
              <w:rPr>
                <w:spacing w:val="-2"/>
              </w:rPr>
              <w:t>项目实际情况</w:t>
            </w:r>
          </w:p>
          <w:p w14:paraId="591684B0">
            <w:pPr>
              <w:pStyle w:val="9"/>
              <w:spacing w:before="109" w:line="220" w:lineRule="auto"/>
              <w:ind w:left="166"/>
            </w:pPr>
            <w:r>
              <w:rPr>
                <w:spacing w:val="-2"/>
              </w:rPr>
              <w:t>参考使用，合</w:t>
            </w:r>
          </w:p>
          <w:p w14:paraId="64040DD7">
            <w:pPr>
              <w:pStyle w:val="9"/>
              <w:spacing w:before="110" w:line="215" w:lineRule="auto"/>
              <w:ind w:left="482"/>
            </w:pPr>
            <w:r>
              <w:rPr>
                <w:spacing w:val="-3"/>
              </w:rPr>
              <w:t>理设置</w:t>
            </w:r>
          </w:p>
        </w:tc>
      </w:tr>
      <w:tr w14:paraId="714FD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6E2A81FA">
            <w:pPr>
              <w:spacing w:line="399" w:lineRule="auto"/>
              <w:rPr>
                <w:rFonts w:ascii="Arial"/>
                <w:sz w:val="21"/>
              </w:rPr>
            </w:pPr>
          </w:p>
          <w:p w14:paraId="775A5E24">
            <w:pPr>
              <w:pStyle w:val="9"/>
              <w:spacing w:before="68"/>
              <w:ind w:left="388"/>
            </w:pPr>
            <w:r>
              <w:t>7</w:t>
            </w:r>
          </w:p>
        </w:tc>
        <w:tc>
          <w:tcPr>
            <w:tcW w:w="1469" w:type="dxa"/>
            <w:vAlign w:val="top"/>
          </w:tcPr>
          <w:p w14:paraId="74986760">
            <w:pPr>
              <w:spacing w:line="399" w:lineRule="auto"/>
              <w:rPr>
                <w:rFonts w:ascii="Arial"/>
                <w:sz w:val="21"/>
              </w:rPr>
            </w:pPr>
          </w:p>
          <w:p w14:paraId="563F92BA">
            <w:pPr>
              <w:pStyle w:val="9"/>
              <w:spacing w:before="68" w:line="239" w:lineRule="auto"/>
              <w:ind w:left="473"/>
            </w:pPr>
            <w:r>
              <w:rPr>
                <w:spacing w:val="-2"/>
              </w:rPr>
              <w:t>4.1.4</w:t>
            </w:r>
          </w:p>
        </w:tc>
        <w:tc>
          <w:tcPr>
            <w:tcW w:w="3762" w:type="dxa"/>
            <w:vAlign w:val="top"/>
          </w:tcPr>
          <w:p w14:paraId="20AB551B">
            <w:pPr>
              <w:pStyle w:val="9"/>
              <w:spacing w:before="111" w:line="282" w:lineRule="auto"/>
              <w:ind w:left="112" w:right="103" w:firstLine="15"/>
              <w:jc w:val="both"/>
            </w:pPr>
            <w:r>
              <w:rPr>
                <w:spacing w:val="-3"/>
              </w:rPr>
              <w:t>因设计出现重大变更、施工方法发生重</w:t>
            </w:r>
            <w:r>
              <w:rPr>
                <w:spacing w:val="-2"/>
              </w:rPr>
              <w:t>大调整、外部施工环境或施工条件发生</w:t>
            </w:r>
            <w:r>
              <w:rPr>
                <w:spacing w:val="-3"/>
              </w:rPr>
              <w:t>重大变化等未及时进行修编的。</w:t>
            </w:r>
          </w:p>
        </w:tc>
        <w:tc>
          <w:tcPr>
            <w:tcW w:w="1799" w:type="dxa"/>
            <w:vAlign w:val="top"/>
          </w:tcPr>
          <w:p w14:paraId="39D3A337">
            <w:pPr>
              <w:spacing w:line="399" w:lineRule="auto"/>
              <w:rPr>
                <w:rFonts w:ascii="Arial"/>
                <w:sz w:val="21"/>
              </w:rPr>
            </w:pPr>
          </w:p>
          <w:p w14:paraId="13AF640A">
            <w:pPr>
              <w:pStyle w:val="9"/>
              <w:spacing w:before="68" w:line="220" w:lineRule="auto"/>
              <w:ind w:left="476"/>
            </w:pPr>
            <w:r>
              <w:rPr>
                <w:spacing w:val="-7"/>
              </w:rPr>
              <w:t>1</w:t>
            </w:r>
            <w:r>
              <w:rPr>
                <w:spacing w:val="-40"/>
              </w:rPr>
              <w:t xml:space="preserve"> </w:t>
            </w:r>
            <w:r>
              <w:rPr>
                <w:spacing w:val="-7"/>
              </w:rPr>
              <w:t>万元/次</w:t>
            </w:r>
          </w:p>
        </w:tc>
        <w:tc>
          <w:tcPr>
            <w:tcW w:w="1580" w:type="dxa"/>
            <w:vAlign w:val="top"/>
          </w:tcPr>
          <w:p w14:paraId="2E751541">
            <w:pPr>
              <w:rPr>
                <w:rFonts w:ascii="Arial"/>
                <w:sz w:val="21"/>
              </w:rPr>
            </w:pPr>
          </w:p>
        </w:tc>
      </w:tr>
      <w:tr w14:paraId="622E8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2" w:type="dxa"/>
            <w:vAlign w:val="top"/>
          </w:tcPr>
          <w:p w14:paraId="6D644329">
            <w:pPr>
              <w:spacing w:line="399" w:lineRule="auto"/>
              <w:rPr>
                <w:rFonts w:ascii="Arial"/>
                <w:sz w:val="21"/>
              </w:rPr>
            </w:pPr>
          </w:p>
          <w:p w14:paraId="595F3172">
            <w:pPr>
              <w:pStyle w:val="9"/>
              <w:spacing w:before="69"/>
              <w:ind w:left="384"/>
            </w:pPr>
            <w:r>
              <w:t>8</w:t>
            </w:r>
          </w:p>
        </w:tc>
        <w:tc>
          <w:tcPr>
            <w:tcW w:w="1469" w:type="dxa"/>
            <w:vAlign w:val="top"/>
          </w:tcPr>
          <w:p w14:paraId="3827128A">
            <w:pPr>
              <w:spacing w:line="400" w:lineRule="auto"/>
              <w:rPr>
                <w:rFonts w:ascii="Arial"/>
                <w:sz w:val="21"/>
              </w:rPr>
            </w:pPr>
          </w:p>
          <w:p w14:paraId="7F42B16A">
            <w:pPr>
              <w:pStyle w:val="9"/>
              <w:spacing w:before="68" w:line="239" w:lineRule="auto"/>
              <w:ind w:left="473"/>
            </w:pPr>
            <w:r>
              <w:rPr>
                <w:spacing w:val="-2"/>
              </w:rPr>
              <w:t>4.1.9</w:t>
            </w:r>
          </w:p>
        </w:tc>
        <w:tc>
          <w:tcPr>
            <w:tcW w:w="3762" w:type="dxa"/>
            <w:vAlign w:val="top"/>
          </w:tcPr>
          <w:p w14:paraId="2388BD29">
            <w:pPr>
              <w:spacing w:line="399" w:lineRule="auto"/>
              <w:rPr>
                <w:rFonts w:ascii="Arial"/>
                <w:sz w:val="21"/>
              </w:rPr>
            </w:pPr>
          </w:p>
          <w:p w14:paraId="4D113E9D">
            <w:pPr>
              <w:pStyle w:val="9"/>
              <w:spacing w:before="68" w:line="220" w:lineRule="auto"/>
              <w:ind w:left="112"/>
            </w:pPr>
            <w:r>
              <w:rPr>
                <w:spacing w:val="-1"/>
              </w:rPr>
              <w:t>承包人拒绝按规定履行维护和照管的</w:t>
            </w:r>
          </w:p>
        </w:tc>
        <w:tc>
          <w:tcPr>
            <w:tcW w:w="1799" w:type="dxa"/>
            <w:vAlign w:val="top"/>
          </w:tcPr>
          <w:p w14:paraId="499D0642">
            <w:pPr>
              <w:pStyle w:val="9"/>
              <w:spacing w:before="111" w:line="220" w:lineRule="auto"/>
              <w:ind w:left="160"/>
            </w:pPr>
            <w:r>
              <w:rPr>
                <w:spacing w:val="-5"/>
              </w:rPr>
              <w:t>1</w:t>
            </w:r>
            <w:r>
              <w:rPr>
                <w:spacing w:val="-36"/>
              </w:rPr>
              <w:t xml:space="preserve"> </w:t>
            </w:r>
            <w:r>
              <w:rPr>
                <w:spacing w:val="-5"/>
              </w:rPr>
              <w:t>万元/天，直至</w:t>
            </w:r>
          </w:p>
          <w:p w14:paraId="205071CD">
            <w:pPr>
              <w:pStyle w:val="9"/>
              <w:spacing w:before="108" w:line="220" w:lineRule="auto"/>
              <w:ind w:left="174"/>
            </w:pPr>
            <w:r>
              <w:rPr>
                <w:spacing w:val="-2"/>
              </w:rPr>
              <w:t>工程交工并移交</w:t>
            </w:r>
          </w:p>
          <w:p w14:paraId="74C0FA6C">
            <w:pPr>
              <w:pStyle w:val="9"/>
              <w:spacing w:before="109" w:line="215" w:lineRule="auto"/>
              <w:ind w:left="278"/>
            </w:pPr>
            <w:r>
              <w:rPr>
                <w:spacing w:val="-2"/>
              </w:rPr>
              <w:t>给发包人为止</w:t>
            </w:r>
          </w:p>
        </w:tc>
        <w:tc>
          <w:tcPr>
            <w:tcW w:w="1580" w:type="dxa"/>
            <w:vAlign w:val="top"/>
          </w:tcPr>
          <w:p w14:paraId="2E8767C4">
            <w:pPr>
              <w:rPr>
                <w:rFonts w:ascii="Arial"/>
                <w:sz w:val="21"/>
              </w:rPr>
            </w:pPr>
          </w:p>
        </w:tc>
      </w:tr>
      <w:tr w14:paraId="093A5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862" w:type="dxa"/>
            <w:vAlign w:val="top"/>
          </w:tcPr>
          <w:p w14:paraId="77C73690">
            <w:pPr>
              <w:pStyle w:val="9"/>
              <w:spacing w:before="291"/>
              <w:ind w:left="384"/>
            </w:pPr>
            <w:r>
              <w:t>9</w:t>
            </w:r>
          </w:p>
        </w:tc>
        <w:tc>
          <w:tcPr>
            <w:tcW w:w="1469" w:type="dxa"/>
            <w:vAlign w:val="top"/>
          </w:tcPr>
          <w:p w14:paraId="6D333A5A">
            <w:pPr>
              <w:pStyle w:val="9"/>
              <w:spacing w:before="291" w:line="239" w:lineRule="auto"/>
              <w:ind w:left="579"/>
            </w:pPr>
            <w:r>
              <w:rPr>
                <w:spacing w:val="-3"/>
              </w:rPr>
              <w:t>4.2</w:t>
            </w:r>
          </w:p>
        </w:tc>
        <w:tc>
          <w:tcPr>
            <w:tcW w:w="3762" w:type="dxa"/>
            <w:vAlign w:val="top"/>
          </w:tcPr>
          <w:p w14:paraId="3DE08B8F">
            <w:pPr>
              <w:pStyle w:val="9"/>
              <w:spacing w:before="112" w:line="266" w:lineRule="auto"/>
              <w:ind w:left="113" w:right="97" w:firstLine="1"/>
            </w:pPr>
            <w:r>
              <w:rPr>
                <w:spacing w:val="-3"/>
              </w:rPr>
              <w:t>未在履约保证金保函期限到期前</w:t>
            </w:r>
            <w:r>
              <w:rPr>
                <w:spacing w:val="-33"/>
              </w:rPr>
              <w:t xml:space="preserve"> </w:t>
            </w:r>
            <w:r>
              <w:rPr>
                <w:spacing w:val="-3"/>
              </w:rPr>
              <w:t>1</w:t>
            </w:r>
            <w:r>
              <w:rPr>
                <w:spacing w:val="-54"/>
              </w:rPr>
              <w:t xml:space="preserve"> </w:t>
            </w:r>
            <w:r>
              <w:rPr>
                <w:spacing w:val="-3"/>
              </w:rPr>
              <w:t>个月</w:t>
            </w:r>
            <w:r>
              <w:rPr>
                <w:spacing w:val="-2"/>
              </w:rPr>
              <w:t>完成原保函续期手续（或开立新保函）</w:t>
            </w:r>
          </w:p>
        </w:tc>
        <w:tc>
          <w:tcPr>
            <w:tcW w:w="1799" w:type="dxa"/>
            <w:vAlign w:val="top"/>
          </w:tcPr>
          <w:p w14:paraId="537FE2DB">
            <w:pPr>
              <w:pStyle w:val="9"/>
              <w:spacing w:before="112" w:line="266" w:lineRule="auto"/>
              <w:ind w:left="195" w:right="160" w:hanging="22"/>
            </w:pPr>
            <w:r>
              <w:rPr>
                <w:spacing w:val="-5"/>
              </w:rPr>
              <w:t>按</w:t>
            </w:r>
            <w:r>
              <w:rPr>
                <w:spacing w:val="-30"/>
              </w:rPr>
              <w:t xml:space="preserve"> </w:t>
            </w:r>
            <w:r>
              <w:rPr>
                <w:spacing w:val="-5"/>
              </w:rPr>
              <w:t>1000</w:t>
            </w:r>
            <w:r>
              <w:rPr>
                <w:spacing w:val="-42"/>
              </w:rPr>
              <w:t xml:space="preserve"> </w:t>
            </w:r>
            <w:r>
              <w:rPr>
                <w:spacing w:val="-5"/>
              </w:rPr>
              <w:t>元/天处以违约金直至原</w:t>
            </w:r>
          </w:p>
        </w:tc>
        <w:tc>
          <w:tcPr>
            <w:tcW w:w="1580" w:type="dxa"/>
            <w:vAlign w:val="top"/>
          </w:tcPr>
          <w:p w14:paraId="6ED5419E">
            <w:pPr>
              <w:rPr>
                <w:rFonts w:ascii="Arial"/>
                <w:sz w:val="21"/>
              </w:rPr>
            </w:pPr>
          </w:p>
        </w:tc>
      </w:tr>
    </w:tbl>
    <w:p w14:paraId="6BAED2F2">
      <w:pPr>
        <w:pStyle w:val="2"/>
        <w:spacing w:line="448" w:lineRule="auto"/>
      </w:pPr>
    </w:p>
    <w:p w14:paraId="7A6D8B30">
      <w:pPr>
        <w:spacing w:line="217" w:lineRule="auto"/>
        <w:rPr>
          <w:rFonts w:ascii="宋体" w:hAnsi="宋体" w:eastAsia="宋体" w:cs="宋体"/>
          <w:sz w:val="18"/>
          <w:szCs w:val="18"/>
        </w:rPr>
        <w:sectPr>
          <w:headerReference r:id="rId129" w:type="default"/>
          <w:footerReference r:id="rId130" w:type="default"/>
          <w:pgSz w:w="11905" w:h="16840"/>
          <w:pgMar w:top="1182" w:right="1123" w:bottom="1171" w:left="1303" w:header="849" w:footer="937" w:gutter="0"/>
          <w:pgNumType w:fmt="decimal"/>
          <w:cols w:space="720" w:num="1"/>
        </w:sectPr>
      </w:pPr>
    </w:p>
    <w:p w14:paraId="6A9F76FD">
      <w:pPr>
        <w:spacing w:line="234" w:lineRule="exact"/>
      </w:pPr>
    </w:p>
    <w:tbl>
      <w:tblPr>
        <w:tblStyle w:val="8"/>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36CB9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347B0B87">
            <w:pPr>
              <w:pStyle w:val="9"/>
              <w:spacing w:before="214" w:line="221" w:lineRule="auto"/>
              <w:ind w:left="225"/>
            </w:pPr>
            <w:r>
              <w:rPr>
                <w:b/>
                <w:bCs/>
                <w:spacing w:val="-4"/>
              </w:rPr>
              <w:t>序号</w:t>
            </w:r>
          </w:p>
        </w:tc>
        <w:tc>
          <w:tcPr>
            <w:tcW w:w="1469" w:type="dxa"/>
            <w:vAlign w:val="top"/>
          </w:tcPr>
          <w:p w14:paraId="2B82BD87">
            <w:pPr>
              <w:pStyle w:val="9"/>
              <w:spacing w:before="213" w:line="219" w:lineRule="auto"/>
              <w:ind w:left="319"/>
            </w:pPr>
            <w:r>
              <w:rPr>
                <w:b/>
                <w:bCs/>
                <w:spacing w:val="-5"/>
              </w:rPr>
              <w:t>合同依据</w:t>
            </w:r>
          </w:p>
        </w:tc>
        <w:tc>
          <w:tcPr>
            <w:tcW w:w="3762" w:type="dxa"/>
            <w:vAlign w:val="top"/>
          </w:tcPr>
          <w:p w14:paraId="69F9361C">
            <w:pPr>
              <w:pStyle w:val="9"/>
              <w:spacing w:before="213" w:line="220" w:lineRule="auto"/>
              <w:ind w:left="1465"/>
            </w:pPr>
            <w:r>
              <w:rPr>
                <w:b/>
                <w:bCs/>
                <w:spacing w:val="-4"/>
              </w:rPr>
              <w:t>违约内容</w:t>
            </w:r>
          </w:p>
        </w:tc>
        <w:tc>
          <w:tcPr>
            <w:tcW w:w="1799" w:type="dxa"/>
            <w:vAlign w:val="top"/>
          </w:tcPr>
          <w:p w14:paraId="407CCE8F">
            <w:pPr>
              <w:pStyle w:val="9"/>
              <w:spacing w:before="214" w:line="220" w:lineRule="auto"/>
              <w:ind w:left="381"/>
            </w:pPr>
            <w:r>
              <w:rPr>
                <w:b/>
                <w:bCs/>
                <w:spacing w:val="-4"/>
              </w:rPr>
              <w:t>违约金标准</w:t>
            </w:r>
          </w:p>
        </w:tc>
        <w:tc>
          <w:tcPr>
            <w:tcW w:w="1580" w:type="dxa"/>
            <w:vAlign w:val="top"/>
          </w:tcPr>
          <w:p w14:paraId="17C91FE0">
            <w:pPr>
              <w:pStyle w:val="9"/>
              <w:spacing w:before="214" w:line="221" w:lineRule="auto"/>
              <w:ind w:left="586"/>
            </w:pPr>
            <w:r>
              <w:rPr>
                <w:b/>
                <w:bCs/>
                <w:spacing w:val="-5"/>
              </w:rPr>
              <w:t>备注</w:t>
            </w:r>
          </w:p>
        </w:tc>
      </w:tr>
      <w:tr w14:paraId="74782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748DBAD8">
            <w:pPr>
              <w:rPr>
                <w:rFonts w:ascii="Arial"/>
                <w:sz w:val="21"/>
              </w:rPr>
            </w:pPr>
          </w:p>
        </w:tc>
        <w:tc>
          <w:tcPr>
            <w:tcW w:w="1469" w:type="dxa"/>
            <w:vAlign w:val="top"/>
          </w:tcPr>
          <w:p w14:paraId="1BC13743">
            <w:pPr>
              <w:rPr>
                <w:rFonts w:ascii="Arial"/>
                <w:sz w:val="21"/>
              </w:rPr>
            </w:pPr>
          </w:p>
        </w:tc>
        <w:tc>
          <w:tcPr>
            <w:tcW w:w="3762" w:type="dxa"/>
            <w:vAlign w:val="top"/>
          </w:tcPr>
          <w:p w14:paraId="493A76D6">
            <w:pPr>
              <w:pStyle w:val="9"/>
              <w:spacing w:before="105" w:line="220" w:lineRule="auto"/>
              <w:ind w:left="116"/>
            </w:pPr>
            <w:r>
              <w:rPr>
                <w:spacing w:val="-2"/>
              </w:rPr>
              <w:t>并提交给发包人的</w:t>
            </w:r>
          </w:p>
        </w:tc>
        <w:tc>
          <w:tcPr>
            <w:tcW w:w="1799" w:type="dxa"/>
            <w:vAlign w:val="top"/>
          </w:tcPr>
          <w:p w14:paraId="5E48F80E">
            <w:pPr>
              <w:pStyle w:val="9"/>
              <w:spacing w:before="106" w:line="220" w:lineRule="auto"/>
              <w:ind w:left="116"/>
            </w:pPr>
            <w:r>
              <w:rPr>
                <w:spacing w:val="-8"/>
              </w:rPr>
              <w:t>保函续期手续（或</w:t>
            </w:r>
          </w:p>
          <w:p w14:paraId="31CA858E">
            <w:pPr>
              <w:pStyle w:val="9"/>
              <w:spacing w:before="108" w:line="220" w:lineRule="auto"/>
              <w:ind w:left="116"/>
            </w:pPr>
            <w:r>
              <w:rPr>
                <w:spacing w:val="-14"/>
              </w:rPr>
              <w:t>开立新保函）并提</w:t>
            </w:r>
          </w:p>
          <w:p w14:paraId="771CC757">
            <w:pPr>
              <w:pStyle w:val="9"/>
              <w:spacing w:before="110" w:line="218" w:lineRule="auto"/>
              <w:ind w:left="385"/>
            </w:pPr>
            <w:r>
              <w:rPr>
                <w:spacing w:val="-2"/>
              </w:rPr>
              <w:t>交给发包人</w:t>
            </w:r>
          </w:p>
        </w:tc>
        <w:tc>
          <w:tcPr>
            <w:tcW w:w="1580" w:type="dxa"/>
            <w:vAlign w:val="top"/>
          </w:tcPr>
          <w:p w14:paraId="6F67F7A2">
            <w:pPr>
              <w:rPr>
                <w:rFonts w:ascii="Arial"/>
                <w:sz w:val="21"/>
              </w:rPr>
            </w:pPr>
          </w:p>
        </w:tc>
      </w:tr>
      <w:tr w14:paraId="502F9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2" w:type="dxa"/>
            <w:vMerge w:val="restart"/>
            <w:tcBorders>
              <w:bottom w:val="nil"/>
            </w:tcBorders>
            <w:vAlign w:val="top"/>
          </w:tcPr>
          <w:p w14:paraId="01073FAE">
            <w:pPr>
              <w:spacing w:line="314" w:lineRule="auto"/>
              <w:rPr>
                <w:rFonts w:ascii="Arial"/>
                <w:sz w:val="21"/>
              </w:rPr>
            </w:pPr>
          </w:p>
          <w:p w14:paraId="166F09F2">
            <w:pPr>
              <w:spacing w:line="314" w:lineRule="auto"/>
              <w:rPr>
                <w:rFonts w:ascii="Arial"/>
                <w:sz w:val="21"/>
              </w:rPr>
            </w:pPr>
          </w:p>
          <w:p w14:paraId="7E0D3365">
            <w:pPr>
              <w:spacing w:line="315" w:lineRule="auto"/>
              <w:rPr>
                <w:rFonts w:ascii="Arial"/>
                <w:sz w:val="21"/>
              </w:rPr>
            </w:pPr>
          </w:p>
          <w:p w14:paraId="76E06931">
            <w:pPr>
              <w:pStyle w:val="9"/>
              <w:spacing w:before="68"/>
              <w:ind w:left="346"/>
            </w:pPr>
            <w:r>
              <w:rPr>
                <w:spacing w:val="-6"/>
              </w:rPr>
              <w:t>10</w:t>
            </w:r>
          </w:p>
        </w:tc>
        <w:tc>
          <w:tcPr>
            <w:tcW w:w="1469" w:type="dxa"/>
            <w:vMerge w:val="restart"/>
            <w:tcBorders>
              <w:bottom w:val="nil"/>
            </w:tcBorders>
            <w:vAlign w:val="top"/>
          </w:tcPr>
          <w:p w14:paraId="259AE4B1">
            <w:pPr>
              <w:spacing w:line="314" w:lineRule="auto"/>
              <w:rPr>
                <w:rFonts w:ascii="Arial"/>
                <w:sz w:val="21"/>
              </w:rPr>
            </w:pPr>
          </w:p>
          <w:p w14:paraId="34D8071E">
            <w:pPr>
              <w:spacing w:line="314" w:lineRule="auto"/>
              <w:rPr>
                <w:rFonts w:ascii="Arial"/>
                <w:sz w:val="21"/>
              </w:rPr>
            </w:pPr>
          </w:p>
          <w:p w14:paraId="663DEDA2">
            <w:pPr>
              <w:spacing w:line="315" w:lineRule="auto"/>
              <w:rPr>
                <w:rFonts w:ascii="Arial"/>
                <w:sz w:val="21"/>
              </w:rPr>
            </w:pPr>
          </w:p>
          <w:p w14:paraId="440577CF">
            <w:pPr>
              <w:pStyle w:val="9"/>
              <w:spacing w:before="68" w:line="239" w:lineRule="auto"/>
              <w:ind w:left="579"/>
            </w:pPr>
            <w:r>
              <w:rPr>
                <w:spacing w:val="-3"/>
              </w:rPr>
              <w:t>4.3</w:t>
            </w:r>
          </w:p>
        </w:tc>
        <w:tc>
          <w:tcPr>
            <w:tcW w:w="3762" w:type="dxa"/>
            <w:vAlign w:val="top"/>
          </w:tcPr>
          <w:p w14:paraId="39C4648B">
            <w:pPr>
              <w:pStyle w:val="9"/>
              <w:spacing w:before="287" w:line="220" w:lineRule="auto"/>
              <w:ind w:left="117"/>
            </w:pPr>
            <w:r>
              <w:rPr>
                <w:spacing w:val="-3"/>
              </w:rPr>
              <w:t>（1）违规分包或转包</w:t>
            </w:r>
          </w:p>
        </w:tc>
        <w:tc>
          <w:tcPr>
            <w:tcW w:w="1799" w:type="dxa"/>
            <w:vAlign w:val="top"/>
          </w:tcPr>
          <w:p w14:paraId="46619AC8">
            <w:pPr>
              <w:pStyle w:val="9"/>
              <w:spacing w:before="107" w:line="267" w:lineRule="auto"/>
              <w:ind w:left="303" w:right="160" w:hanging="130"/>
            </w:pPr>
            <w:r>
              <w:rPr>
                <w:spacing w:val="-2"/>
              </w:rPr>
              <w:t>按违规分包转包</w:t>
            </w:r>
            <w:r>
              <w:rPr>
                <w:spacing w:val="-5"/>
              </w:rPr>
              <w:t>金额</w:t>
            </w:r>
            <w:r>
              <w:rPr>
                <w:spacing w:val="-29"/>
              </w:rPr>
              <w:t xml:space="preserve"> </w:t>
            </w:r>
            <w:r>
              <w:rPr>
                <w:spacing w:val="-5"/>
              </w:rPr>
              <w:t>10%处罚</w:t>
            </w:r>
          </w:p>
        </w:tc>
        <w:tc>
          <w:tcPr>
            <w:tcW w:w="1580" w:type="dxa"/>
            <w:vMerge w:val="restart"/>
            <w:tcBorders>
              <w:bottom w:val="nil"/>
            </w:tcBorders>
            <w:vAlign w:val="top"/>
          </w:tcPr>
          <w:p w14:paraId="63B6D223">
            <w:pPr>
              <w:spacing w:line="406" w:lineRule="auto"/>
              <w:rPr>
                <w:rFonts w:ascii="Arial"/>
                <w:sz w:val="21"/>
              </w:rPr>
            </w:pPr>
          </w:p>
          <w:p w14:paraId="749EA959">
            <w:pPr>
              <w:pStyle w:val="9"/>
              <w:spacing w:before="68" w:line="219" w:lineRule="auto"/>
              <w:ind w:left="164"/>
            </w:pPr>
            <w:r>
              <w:rPr>
                <w:spacing w:val="-2"/>
              </w:rPr>
              <w:t>供招标人结合</w:t>
            </w:r>
          </w:p>
          <w:p w14:paraId="6AC6957D">
            <w:pPr>
              <w:pStyle w:val="9"/>
              <w:spacing w:before="111" w:line="220" w:lineRule="auto"/>
              <w:ind w:left="167"/>
            </w:pPr>
            <w:r>
              <w:rPr>
                <w:spacing w:val="-2"/>
              </w:rPr>
              <w:t>项目实际情况</w:t>
            </w:r>
          </w:p>
          <w:p w14:paraId="5B1687DB">
            <w:pPr>
              <w:pStyle w:val="9"/>
              <w:spacing w:before="108" w:line="220" w:lineRule="auto"/>
              <w:ind w:left="166"/>
            </w:pPr>
            <w:r>
              <w:rPr>
                <w:spacing w:val="-2"/>
              </w:rPr>
              <w:t>参考使用，合</w:t>
            </w:r>
          </w:p>
          <w:p w14:paraId="42633752">
            <w:pPr>
              <w:pStyle w:val="9"/>
              <w:spacing w:before="110" w:line="221" w:lineRule="auto"/>
              <w:ind w:left="482"/>
            </w:pPr>
            <w:r>
              <w:rPr>
                <w:spacing w:val="-3"/>
              </w:rPr>
              <w:t>理设置</w:t>
            </w:r>
          </w:p>
        </w:tc>
      </w:tr>
      <w:tr w14:paraId="771F3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Merge w:val="continue"/>
            <w:tcBorders>
              <w:top w:val="nil"/>
              <w:bottom w:val="nil"/>
            </w:tcBorders>
            <w:vAlign w:val="top"/>
          </w:tcPr>
          <w:p w14:paraId="65C0A8BB">
            <w:pPr>
              <w:rPr>
                <w:rFonts w:ascii="Arial"/>
                <w:sz w:val="21"/>
              </w:rPr>
            </w:pPr>
          </w:p>
        </w:tc>
        <w:tc>
          <w:tcPr>
            <w:tcW w:w="1469" w:type="dxa"/>
            <w:vMerge w:val="continue"/>
            <w:tcBorders>
              <w:top w:val="nil"/>
              <w:bottom w:val="nil"/>
            </w:tcBorders>
            <w:vAlign w:val="top"/>
          </w:tcPr>
          <w:p w14:paraId="35EC5202">
            <w:pPr>
              <w:rPr>
                <w:rFonts w:ascii="Arial"/>
                <w:sz w:val="21"/>
              </w:rPr>
            </w:pPr>
          </w:p>
        </w:tc>
        <w:tc>
          <w:tcPr>
            <w:tcW w:w="3762" w:type="dxa"/>
            <w:vAlign w:val="top"/>
          </w:tcPr>
          <w:p w14:paraId="3ACD8533">
            <w:pPr>
              <w:pStyle w:val="9"/>
              <w:spacing w:before="106" w:line="267" w:lineRule="auto"/>
              <w:ind w:left="111" w:right="112" w:firstLine="5"/>
            </w:pPr>
            <w:r>
              <w:rPr>
                <w:spacing w:val="3"/>
              </w:rPr>
              <w:t>（2）发包人决定采取强制分包时，承</w:t>
            </w:r>
            <w:r>
              <w:rPr>
                <w:spacing w:val="-1"/>
              </w:rPr>
              <w:t>包人不接受或不予配合的</w:t>
            </w:r>
          </w:p>
        </w:tc>
        <w:tc>
          <w:tcPr>
            <w:tcW w:w="1799" w:type="dxa"/>
            <w:vAlign w:val="top"/>
          </w:tcPr>
          <w:p w14:paraId="4CCA57A7">
            <w:pPr>
              <w:pStyle w:val="9"/>
              <w:spacing w:before="287" w:line="220" w:lineRule="auto"/>
              <w:ind w:left="255"/>
            </w:pPr>
            <w:r>
              <w:rPr>
                <w:spacing w:val="-3"/>
              </w:rPr>
              <w:t>30-50</w:t>
            </w:r>
            <w:r>
              <w:rPr>
                <w:spacing w:val="-39"/>
              </w:rPr>
              <w:t xml:space="preserve"> </w:t>
            </w:r>
            <w:r>
              <w:rPr>
                <w:spacing w:val="-3"/>
              </w:rPr>
              <w:t>万元/次</w:t>
            </w:r>
          </w:p>
        </w:tc>
        <w:tc>
          <w:tcPr>
            <w:tcW w:w="1580" w:type="dxa"/>
            <w:vMerge w:val="continue"/>
            <w:tcBorders>
              <w:top w:val="nil"/>
              <w:bottom w:val="nil"/>
            </w:tcBorders>
            <w:vAlign w:val="top"/>
          </w:tcPr>
          <w:p w14:paraId="71266C9C">
            <w:pPr>
              <w:rPr>
                <w:rFonts w:ascii="Arial"/>
                <w:sz w:val="21"/>
              </w:rPr>
            </w:pPr>
          </w:p>
        </w:tc>
      </w:tr>
      <w:tr w14:paraId="7BC1B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Merge w:val="continue"/>
            <w:tcBorders>
              <w:top w:val="nil"/>
            </w:tcBorders>
            <w:vAlign w:val="top"/>
          </w:tcPr>
          <w:p w14:paraId="07123543">
            <w:pPr>
              <w:rPr>
                <w:rFonts w:ascii="Arial"/>
                <w:sz w:val="21"/>
              </w:rPr>
            </w:pPr>
          </w:p>
        </w:tc>
        <w:tc>
          <w:tcPr>
            <w:tcW w:w="1469" w:type="dxa"/>
            <w:vMerge w:val="continue"/>
            <w:tcBorders>
              <w:top w:val="nil"/>
            </w:tcBorders>
            <w:vAlign w:val="top"/>
          </w:tcPr>
          <w:p w14:paraId="28496AC8">
            <w:pPr>
              <w:rPr>
                <w:rFonts w:ascii="Arial"/>
                <w:sz w:val="21"/>
              </w:rPr>
            </w:pPr>
          </w:p>
        </w:tc>
        <w:tc>
          <w:tcPr>
            <w:tcW w:w="3762" w:type="dxa"/>
            <w:vAlign w:val="top"/>
          </w:tcPr>
          <w:p w14:paraId="27522395">
            <w:pPr>
              <w:pStyle w:val="9"/>
              <w:spacing w:before="108" w:line="266" w:lineRule="auto"/>
              <w:ind w:left="113" w:right="113" w:firstLine="3"/>
            </w:pPr>
            <w:r>
              <w:rPr>
                <w:spacing w:val="3"/>
              </w:rPr>
              <w:t>（3）除上述（1</w:t>
            </w:r>
            <w:r>
              <w:rPr>
                <w:spacing w:val="6"/>
              </w:rPr>
              <w:t>）（</w:t>
            </w:r>
            <w:r>
              <w:rPr>
                <w:spacing w:val="3"/>
              </w:rPr>
              <w:t>2）的情形外，未</w:t>
            </w:r>
            <w:r>
              <w:rPr>
                <w:spacing w:val="-1"/>
              </w:rPr>
              <w:t>按合同约定有效开展承包人监管工作</w:t>
            </w:r>
          </w:p>
        </w:tc>
        <w:tc>
          <w:tcPr>
            <w:tcW w:w="1799" w:type="dxa"/>
            <w:vAlign w:val="top"/>
          </w:tcPr>
          <w:p w14:paraId="2AD6A3F0">
            <w:pPr>
              <w:pStyle w:val="9"/>
              <w:spacing w:before="287" w:line="220" w:lineRule="auto"/>
              <w:ind w:left="306"/>
            </w:pPr>
            <w:r>
              <w:rPr>
                <w:spacing w:val="-3"/>
              </w:rPr>
              <w:t>5-10</w:t>
            </w:r>
            <w:r>
              <w:rPr>
                <w:spacing w:val="-41"/>
              </w:rPr>
              <w:t xml:space="preserve"> </w:t>
            </w:r>
            <w:r>
              <w:rPr>
                <w:spacing w:val="-3"/>
              </w:rPr>
              <w:t>万元/次</w:t>
            </w:r>
          </w:p>
        </w:tc>
        <w:tc>
          <w:tcPr>
            <w:tcW w:w="1580" w:type="dxa"/>
            <w:vMerge w:val="continue"/>
            <w:tcBorders>
              <w:top w:val="nil"/>
            </w:tcBorders>
            <w:vAlign w:val="top"/>
          </w:tcPr>
          <w:p w14:paraId="5E8B129E">
            <w:pPr>
              <w:rPr>
                <w:rFonts w:ascii="Arial"/>
                <w:sz w:val="21"/>
              </w:rPr>
            </w:pPr>
          </w:p>
        </w:tc>
      </w:tr>
      <w:tr w14:paraId="6EC55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5" w:hRule="atLeast"/>
        </w:trPr>
        <w:tc>
          <w:tcPr>
            <w:tcW w:w="862" w:type="dxa"/>
            <w:vAlign w:val="top"/>
          </w:tcPr>
          <w:p w14:paraId="3E6DA5B7">
            <w:pPr>
              <w:spacing w:line="258" w:lineRule="auto"/>
              <w:rPr>
                <w:rFonts w:ascii="Arial"/>
                <w:sz w:val="21"/>
              </w:rPr>
            </w:pPr>
          </w:p>
          <w:p w14:paraId="29405BA0">
            <w:pPr>
              <w:spacing w:line="258" w:lineRule="auto"/>
              <w:rPr>
                <w:rFonts w:ascii="Arial"/>
                <w:sz w:val="21"/>
              </w:rPr>
            </w:pPr>
          </w:p>
          <w:p w14:paraId="0C5F06B3">
            <w:pPr>
              <w:spacing w:line="258" w:lineRule="auto"/>
              <w:rPr>
                <w:rFonts w:ascii="Arial"/>
                <w:sz w:val="21"/>
              </w:rPr>
            </w:pPr>
          </w:p>
          <w:p w14:paraId="32ECAA00">
            <w:pPr>
              <w:spacing w:line="259" w:lineRule="auto"/>
              <w:rPr>
                <w:rFonts w:ascii="Arial"/>
                <w:sz w:val="21"/>
              </w:rPr>
            </w:pPr>
          </w:p>
          <w:p w14:paraId="522E29FD">
            <w:pPr>
              <w:spacing w:line="259" w:lineRule="auto"/>
              <w:rPr>
                <w:rFonts w:ascii="Arial"/>
                <w:sz w:val="21"/>
              </w:rPr>
            </w:pPr>
          </w:p>
          <w:p w14:paraId="060CA57A">
            <w:pPr>
              <w:pStyle w:val="9"/>
              <w:spacing w:before="69" w:line="241" w:lineRule="auto"/>
              <w:ind w:left="346"/>
            </w:pPr>
            <w:r>
              <w:rPr>
                <w:spacing w:val="-11"/>
              </w:rPr>
              <w:t>11</w:t>
            </w:r>
          </w:p>
        </w:tc>
        <w:tc>
          <w:tcPr>
            <w:tcW w:w="1469" w:type="dxa"/>
            <w:vAlign w:val="top"/>
          </w:tcPr>
          <w:p w14:paraId="604D0450">
            <w:pPr>
              <w:spacing w:line="258" w:lineRule="auto"/>
              <w:rPr>
                <w:rFonts w:ascii="Arial"/>
                <w:sz w:val="21"/>
              </w:rPr>
            </w:pPr>
          </w:p>
          <w:p w14:paraId="3D581AFF">
            <w:pPr>
              <w:spacing w:line="258" w:lineRule="auto"/>
              <w:rPr>
                <w:rFonts w:ascii="Arial"/>
                <w:sz w:val="21"/>
              </w:rPr>
            </w:pPr>
          </w:p>
          <w:p w14:paraId="3D69D046">
            <w:pPr>
              <w:spacing w:line="258" w:lineRule="auto"/>
              <w:rPr>
                <w:rFonts w:ascii="Arial"/>
                <w:sz w:val="21"/>
              </w:rPr>
            </w:pPr>
          </w:p>
          <w:p w14:paraId="2E3B8929">
            <w:pPr>
              <w:spacing w:line="259" w:lineRule="auto"/>
              <w:rPr>
                <w:rFonts w:ascii="Arial"/>
                <w:sz w:val="21"/>
              </w:rPr>
            </w:pPr>
          </w:p>
          <w:p w14:paraId="47B05302">
            <w:pPr>
              <w:spacing w:line="259" w:lineRule="auto"/>
              <w:rPr>
                <w:rFonts w:ascii="Arial"/>
                <w:sz w:val="21"/>
              </w:rPr>
            </w:pPr>
          </w:p>
          <w:p w14:paraId="2EF8A101">
            <w:pPr>
              <w:pStyle w:val="9"/>
              <w:spacing w:before="68" w:line="239" w:lineRule="auto"/>
              <w:ind w:left="473"/>
            </w:pPr>
            <w:r>
              <w:rPr>
                <w:spacing w:val="-2"/>
              </w:rPr>
              <w:t>4.6.1</w:t>
            </w:r>
          </w:p>
        </w:tc>
        <w:tc>
          <w:tcPr>
            <w:tcW w:w="3762" w:type="dxa"/>
            <w:vAlign w:val="top"/>
          </w:tcPr>
          <w:p w14:paraId="0F11E036">
            <w:pPr>
              <w:spacing w:line="311" w:lineRule="auto"/>
              <w:rPr>
                <w:rFonts w:ascii="Arial"/>
                <w:sz w:val="21"/>
              </w:rPr>
            </w:pPr>
          </w:p>
          <w:p w14:paraId="643F0A50">
            <w:pPr>
              <w:spacing w:line="311" w:lineRule="auto"/>
              <w:rPr>
                <w:rFonts w:ascii="Arial"/>
                <w:sz w:val="21"/>
              </w:rPr>
            </w:pPr>
          </w:p>
          <w:p w14:paraId="7D3C5397">
            <w:pPr>
              <w:spacing w:line="312" w:lineRule="auto"/>
              <w:rPr>
                <w:rFonts w:ascii="Arial"/>
                <w:sz w:val="21"/>
              </w:rPr>
            </w:pPr>
          </w:p>
          <w:p w14:paraId="136116A5">
            <w:pPr>
              <w:pStyle w:val="9"/>
              <w:spacing w:before="68" w:line="318" w:lineRule="auto"/>
              <w:ind w:left="111" w:right="103"/>
              <w:jc w:val="both"/>
            </w:pPr>
            <w:r>
              <w:rPr>
                <w:spacing w:val="11"/>
              </w:rPr>
              <w:t>承包人在接到监理人要求人员进场的</w:t>
            </w:r>
            <w:r>
              <w:rPr>
                <w:spacing w:val="-4"/>
              </w:rPr>
              <w:t>通知</w:t>
            </w:r>
            <w:r>
              <w:rPr>
                <w:spacing w:val="-28"/>
              </w:rPr>
              <w:t xml:space="preserve"> </w:t>
            </w:r>
            <w:r>
              <w:rPr>
                <w:spacing w:val="-4"/>
              </w:rPr>
              <w:t>5</w:t>
            </w:r>
            <w:r>
              <w:rPr>
                <w:spacing w:val="-39"/>
              </w:rPr>
              <w:t xml:space="preserve"> </w:t>
            </w:r>
            <w:r>
              <w:rPr>
                <w:spacing w:val="-4"/>
              </w:rPr>
              <w:t>天后仍未安排相关人员进场，从</w:t>
            </w:r>
            <w:r>
              <w:rPr>
                <w:spacing w:val="-3"/>
              </w:rPr>
              <w:t>第</w:t>
            </w:r>
            <w:r>
              <w:rPr>
                <w:spacing w:val="-32"/>
              </w:rPr>
              <w:t xml:space="preserve"> </w:t>
            </w:r>
            <w:r>
              <w:rPr>
                <w:spacing w:val="-3"/>
              </w:rPr>
              <w:t>6</w:t>
            </w:r>
            <w:r>
              <w:rPr>
                <w:spacing w:val="-40"/>
              </w:rPr>
              <w:t xml:space="preserve"> </w:t>
            </w:r>
            <w:r>
              <w:rPr>
                <w:spacing w:val="-3"/>
              </w:rPr>
              <w:t>天算起扣除承包人的违约金</w:t>
            </w:r>
          </w:p>
        </w:tc>
        <w:tc>
          <w:tcPr>
            <w:tcW w:w="1799" w:type="dxa"/>
            <w:vAlign w:val="top"/>
          </w:tcPr>
          <w:p w14:paraId="4E79A058">
            <w:pPr>
              <w:spacing w:line="251" w:lineRule="auto"/>
              <w:rPr>
                <w:rFonts w:ascii="Arial"/>
                <w:sz w:val="21"/>
              </w:rPr>
            </w:pPr>
          </w:p>
          <w:p w14:paraId="54D31E6E">
            <w:pPr>
              <w:spacing w:line="251" w:lineRule="auto"/>
              <w:rPr>
                <w:rFonts w:ascii="Arial"/>
                <w:sz w:val="21"/>
              </w:rPr>
            </w:pPr>
          </w:p>
          <w:p w14:paraId="60D29862">
            <w:pPr>
              <w:spacing w:line="252" w:lineRule="auto"/>
              <w:rPr>
                <w:rFonts w:ascii="Arial"/>
                <w:sz w:val="21"/>
              </w:rPr>
            </w:pPr>
          </w:p>
          <w:p w14:paraId="730911FA">
            <w:pPr>
              <w:pStyle w:val="9"/>
              <w:spacing w:before="68" w:line="318" w:lineRule="auto"/>
              <w:ind w:left="121" w:right="102" w:hanging="3"/>
            </w:pPr>
            <w:r>
              <w:rPr>
                <w:spacing w:val="-14"/>
              </w:rPr>
              <w:t>项目经理、项目总</w:t>
            </w:r>
            <w:r>
              <w:rPr>
                <w:spacing w:val="-4"/>
              </w:rPr>
              <w:t>工</w:t>
            </w:r>
            <w:r>
              <w:rPr>
                <w:spacing w:val="-43"/>
              </w:rPr>
              <w:t xml:space="preserve"> </w:t>
            </w:r>
            <w:r>
              <w:rPr>
                <w:spacing w:val="-4"/>
              </w:rPr>
              <w:t>2</w:t>
            </w:r>
            <w:r>
              <w:rPr>
                <w:spacing w:val="-38"/>
              </w:rPr>
              <w:t xml:space="preserve"> </w:t>
            </w:r>
            <w:r>
              <w:rPr>
                <w:spacing w:val="-4"/>
              </w:rPr>
              <w:t>万元/人日；</w:t>
            </w:r>
            <w:r>
              <w:rPr>
                <w:spacing w:val="5"/>
              </w:rPr>
              <w:t>其他主要技术人</w:t>
            </w:r>
            <w:r>
              <w:rPr>
                <w:spacing w:val="8"/>
              </w:rPr>
              <w:t>员</w:t>
            </w:r>
            <w:r>
              <w:rPr>
                <w:spacing w:val="-26"/>
              </w:rPr>
              <w:t xml:space="preserve"> </w:t>
            </w:r>
            <w:r>
              <w:rPr>
                <w:spacing w:val="8"/>
              </w:rPr>
              <w:t>1</w:t>
            </w:r>
            <w:r>
              <w:rPr>
                <w:spacing w:val="-39"/>
              </w:rPr>
              <w:t xml:space="preserve"> </w:t>
            </w:r>
            <w:r>
              <w:rPr>
                <w:spacing w:val="8"/>
              </w:rPr>
              <w:t>万元/人日</w:t>
            </w:r>
          </w:p>
        </w:tc>
        <w:tc>
          <w:tcPr>
            <w:tcW w:w="1580" w:type="dxa"/>
            <w:vAlign w:val="top"/>
          </w:tcPr>
          <w:p w14:paraId="18BE865A">
            <w:pPr>
              <w:pStyle w:val="9"/>
              <w:spacing w:before="108" w:line="220" w:lineRule="auto"/>
              <w:ind w:left="167"/>
            </w:pPr>
            <w:r>
              <w:rPr>
                <w:spacing w:val="-2"/>
              </w:rPr>
              <w:t>如果承包人接</w:t>
            </w:r>
          </w:p>
          <w:p w14:paraId="74FD4CB5">
            <w:pPr>
              <w:pStyle w:val="9"/>
              <w:spacing w:before="110" w:line="220" w:lineRule="auto"/>
              <w:ind w:left="122"/>
            </w:pPr>
            <w:r>
              <w:rPr>
                <w:spacing w:val="-6"/>
              </w:rPr>
              <w:t>到通知后</w:t>
            </w:r>
            <w:r>
              <w:rPr>
                <w:spacing w:val="-30"/>
              </w:rPr>
              <w:t xml:space="preserve"> </w:t>
            </w:r>
            <w:r>
              <w:rPr>
                <w:spacing w:val="-6"/>
              </w:rPr>
              <w:t>15</w:t>
            </w:r>
            <w:r>
              <w:rPr>
                <w:spacing w:val="-42"/>
              </w:rPr>
              <w:t xml:space="preserve"> </w:t>
            </w:r>
            <w:r>
              <w:rPr>
                <w:spacing w:val="-6"/>
              </w:rPr>
              <w:t>天</w:t>
            </w:r>
          </w:p>
          <w:p w14:paraId="39B1DA1A">
            <w:pPr>
              <w:pStyle w:val="9"/>
              <w:spacing w:before="109" w:line="220" w:lineRule="auto"/>
              <w:ind w:left="167"/>
            </w:pPr>
            <w:r>
              <w:rPr>
                <w:spacing w:val="-2"/>
              </w:rPr>
              <w:t>未安排相关人</w:t>
            </w:r>
          </w:p>
          <w:p w14:paraId="019AF1E3">
            <w:pPr>
              <w:pStyle w:val="9"/>
              <w:spacing w:before="108" w:line="220" w:lineRule="auto"/>
              <w:ind w:left="172"/>
            </w:pPr>
            <w:r>
              <w:rPr>
                <w:spacing w:val="-3"/>
              </w:rPr>
              <w:t>员进场，将要</w:t>
            </w:r>
          </w:p>
          <w:p w14:paraId="12B725A2">
            <w:pPr>
              <w:pStyle w:val="9"/>
              <w:spacing w:before="111" w:line="220" w:lineRule="auto"/>
              <w:ind w:left="271"/>
            </w:pPr>
            <w:r>
              <w:rPr>
                <w:spacing w:val="-2"/>
              </w:rPr>
              <w:t>求其更换人</w:t>
            </w:r>
          </w:p>
          <w:p w14:paraId="2D9C5AE5">
            <w:pPr>
              <w:pStyle w:val="9"/>
              <w:spacing w:before="109" w:line="220" w:lineRule="auto"/>
              <w:ind w:left="163"/>
            </w:pPr>
            <w:r>
              <w:rPr>
                <w:spacing w:val="-2"/>
              </w:rPr>
              <w:t>选，同时执行</w:t>
            </w:r>
          </w:p>
          <w:p w14:paraId="445AE5BF">
            <w:pPr>
              <w:pStyle w:val="9"/>
              <w:spacing w:before="110" w:line="220" w:lineRule="auto"/>
              <w:ind w:left="166"/>
            </w:pPr>
            <w:r>
              <w:rPr>
                <w:spacing w:val="-2"/>
              </w:rPr>
              <w:t>人员更换违约</w:t>
            </w:r>
          </w:p>
          <w:p w14:paraId="4AF5B248">
            <w:pPr>
              <w:pStyle w:val="9"/>
              <w:spacing w:before="110" w:line="216" w:lineRule="auto"/>
              <w:ind w:left="586"/>
            </w:pPr>
            <w:r>
              <w:rPr>
                <w:spacing w:val="-3"/>
              </w:rPr>
              <w:t>条款</w:t>
            </w:r>
          </w:p>
        </w:tc>
      </w:tr>
      <w:tr w14:paraId="6F038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6" w:hRule="atLeast"/>
        </w:trPr>
        <w:tc>
          <w:tcPr>
            <w:tcW w:w="862" w:type="dxa"/>
            <w:vAlign w:val="top"/>
          </w:tcPr>
          <w:p w14:paraId="75C264EE">
            <w:pPr>
              <w:spacing w:line="245" w:lineRule="auto"/>
              <w:rPr>
                <w:rFonts w:ascii="Arial"/>
                <w:sz w:val="21"/>
              </w:rPr>
            </w:pPr>
          </w:p>
          <w:p w14:paraId="3801B683">
            <w:pPr>
              <w:spacing w:line="245" w:lineRule="auto"/>
              <w:rPr>
                <w:rFonts w:ascii="Arial"/>
                <w:sz w:val="21"/>
              </w:rPr>
            </w:pPr>
          </w:p>
          <w:p w14:paraId="2ABB80C9">
            <w:pPr>
              <w:spacing w:line="245" w:lineRule="auto"/>
              <w:rPr>
                <w:rFonts w:ascii="Arial"/>
                <w:sz w:val="21"/>
              </w:rPr>
            </w:pPr>
          </w:p>
          <w:p w14:paraId="74273975">
            <w:pPr>
              <w:spacing w:line="245" w:lineRule="auto"/>
              <w:rPr>
                <w:rFonts w:ascii="Arial"/>
                <w:sz w:val="21"/>
              </w:rPr>
            </w:pPr>
          </w:p>
          <w:p w14:paraId="562FD1F4">
            <w:pPr>
              <w:spacing w:line="246" w:lineRule="auto"/>
              <w:rPr>
                <w:rFonts w:ascii="Arial"/>
                <w:sz w:val="21"/>
              </w:rPr>
            </w:pPr>
          </w:p>
          <w:p w14:paraId="300B6B31">
            <w:pPr>
              <w:spacing w:line="246" w:lineRule="auto"/>
              <w:rPr>
                <w:rFonts w:ascii="Arial"/>
                <w:sz w:val="21"/>
              </w:rPr>
            </w:pPr>
          </w:p>
          <w:p w14:paraId="6F97BD60">
            <w:pPr>
              <w:spacing w:line="246" w:lineRule="auto"/>
              <w:rPr>
                <w:rFonts w:ascii="Arial"/>
                <w:sz w:val="21"/>
              </w:rPr>
            </w:pPr>
          </w:p>
          <w:p w14:paraId="74AA2110">
            <w:pPr>
              <w:spacing w:line="246" w:lineRule="auto"/>
              <w:rPr>
                <w:rFonts w:ascii="Arial"/>
                <w:sz w:val="21"/>
              </w:rPr>
            </w:pPr>
          </w:p>
          <w:p w14:paraId="69990E88">
            <w:pPr>
              <w:spacing w:line="246" w:lineRule="auto"/>
              <w:rPr>
                <w:rFonts w:ascii="Arial"/>
                <w:sz w:val="21"/>
              </w:rPr>
            </w:pPr>
          </w:p>
          <w:p w14:paraId="0F7A06E6">
            <w:pPr>
              <w:spacing w:line="246" w:lineRule="auto"/>
              <w:rPr>
                <w:rFonts w:ascii="Arial"/>
                <w:sz w:val="21"/>
              </w:rPr>
            </w:pPr>
          </w:p>
          <w:p w14:paraId="0962669F">
            <w:pPr>
              <w:spacing w:line="246" w:lineRule="auto"/>
              <w:rPr>
                <w:rFonts w:ascii="Arial"/>
                <w:sz w:val="21"/>
              </w:rPr>
            </w:pPr>
          </w:p>
          <w:p w14:paraId="27DD2BF9">
            <w:pPr>
              <w:spacing w:line="246" w:lineRule="auto"/>
              <w:rPr>
                <w:rFonts w:ascii="Arial"/>
                <w:sz w:val="21"/>
              </w:rPr>
            </w:pPr>
          </w:p>
          <w:p w14:paraId="2ABACBFB">
            <w:pPr>
              <w:spacing w:line="246" w:lineRule="auto"/>
              <w:rPr>
                <w:rFonts w:ascii="Arial"/>
                <w:sz w:val="21"/>
              </w:rPr>
            </w:pPr>
          </w:p>
          <w:p w14:paraId="5878F5E2">
            <w:pPr>
              <w:spacing w:line="246" w:lineRule="auto"/>
              <w:rPr>
                <w:rFonts w:ascii="Arial"/>
                <w:sz w:val="21"/>
              </w:rPr>
            </w:pPr>
          </w:p>
          <w:p w14:paraId="0E2F93CF">
            <w:pPr>
              <w:pStyle w:val="9"/>
              <w:spacing w:before="68" w:line="241" w:lineRule="auto"/>
              <w:ind w:left="346"/>
            </w:pPr>
            <w:r>
              <w:rPr>
                <w:spacing w:val="-6"/>
              </w:rPr>
              <w:t>12</w:t>
            </w:r>
          </w:p>
        </w:tc>
        <w:tc>
          <w:tcPr>
            <w:tcW w:w="1469" w:type="dxa"/>
            <w:vAlign w:val="top"/>
          </w:tcPr>
          <w:p w14:paraId="70FAE9AB">
            <w:pPr>
              <w:spacing w:line="245" w:lineRule="auto"/>
              <w:rPr>
                <w:rFonts w:ascii="Arial"/>
                <w:sz w:val="21"/>
              </w:rPr>
            </w:pPr>
          </w:p>
          <w:p w14:paraId="75C5241E">
            <w:pPr>
              <w:spacing w:line="245" w:lineRule="auto"/>
              <w:rPr>
                <w:rFonts w:ascii="Arial"/>
                <w:sz w:val="21"/>
              </w:rPr>
            </w:pPr>
          </w:p>
          <w:p w14:paraId="06761C39">
            <w:pPr>
              <w:spacing w:line="245" w:lineRule="auto"/>
              <w:rPr>
                <w:rFonts w:ascii="Arial"/>
                <w:sz w:val="21"/>
              </w:rPr>
            </w:pPr>
          </w:p>
          <w:p w14:paraId="2FC0995A">
            <w:pPr>
              <w:spacing w:line="245" w:lineRule="auto"/>
              <w:rPr>
                <w:rFonts w:ascii="Arial"/>
                <w:sz w:val="21"/>
              </w:rPr>
            </w:pPr>
          </w:p>
          <w:p w14:paraId="229A6C89">
            <w:pPr>
              <w:spacing w:line="245" w:lineRule="auto"/>
              <w:rPr>
                <w:rFonts w:ascii="Arial"/>
                <w:sz w:val="21"/>
              </w:rPr>
            </w:pPr>
          </w:p>
          <w:p w14:paraId="41984BB5">
            <w:pPr>
              <w:spacing w:line="246" w:lineRule="auto"/>
              <w:rPr>
                <w:rFonts w:ascii="Arial"/>
                <w:sz w:val="21"/>
              </w:rPr>
            </w:pPr>
          </w:p>
          <w:p w14:paraId="3F44DAC5">
            <w:pPr>
              <w:spacing w:line="246" w:lineRule="auto"/>
              <w:rPr>
                <w:rFonts w:ascii="Arial"/>
                <w:sz w:val="21"/>
              </w:rPr>
            </w:pPr>
          </w:p>
          <w:p w14:paraId="0FB43F5F">
            <w:pPr>
              <w:spacing w:line="246" w:lineRule="auto"/>
              <w:rPr>
                <w:rFonts w:ascii="Arial"/>
                <w:sz w:val="21"/>
              </w:rPr>
            </w:pPr>
          </w:p>
          <w:p w14:paraId="2DC22FA4">
            <w:pPr>
              <w:spacing w:line="246" w:lineRule="auto"/>
              <w:rPr>
                <w:rFonts w:ascii="Arial"/>
                <w:sz w:val="21"/>
              </w:rPr>
            </w:pPr>
          </w:p>
          <w:p w14:paraId="6F91D21B">
            <w:pPr>
              <w:spacing w:line="246" w:lineRule="auto"/>
              <w:rPr>
                <w:rFonts w:ascii="Arial"/>
                <w:sz w:val="21"/>
              </w:rPr>
            </w:pPr>
          </w:p>
          <w:p w14:paraId="65038AB8">
            <w:pPr>
              <w:spacing w:line="246" w:lineRule="auto"/>
              <w:rPr>
                <w:rFonts w:ascii="Arial"/>
                <w:sz w:val="21"/>
              </w:rPr>
            </w:pPr>
          </w:p>
          <w:p w14:paraId="6573C5B9">
            <w:pPr>
              <w:spacing w:line="246" w:lineRule="auto"/>
              <w:rPr>
                <w:rFonts w:ascii="Arial"/>
                <w:sz w:val="21"/>
              </w:rPr>
            </w:pPr>
          </w:p>
          <w:p w14:paraId="1C4E3519">
            <w:pPr>
              <w:spacing w:line="246" w:lineRule="auto"/>
              <w:rPr>
                <w:rFonts w:ascii="Arial"/>
                <w:sz w:val="21"/>
              </w:rPr>
            </w:pPr>
          </w:p>
          <w:p w14:paraId="249DB8F4">
            <w:pPr>
              <w:spacing w:line="246" w:lineRule="auto"/>
              <w:rPr>
                <w:rFonts w:ascii="Arial"/>
                <w:sz w:val="21"/>
              </w:rPr>
            </w:pPr>
          </w:p>
          <w:p w14:paraId="155CD6D3">
            <w:pPr>
              <w:pStyle w:val="9"/>
              <w:spacing w:before="69" w:line="232" w:lineRule="auto"/>
              <w:ind w:left="211"/>
            </w:pPr>
            <w:r>
              <w:rPr>
                <w:spacing w:val="-1"/>
              </w:rPr>
              <w:t>4.6.3</w:t>
            </w:r>
            <w:r>
              <w:rPr>
                <w:rFonts w:hint="eastAsia"/>
                <w:spacing w:val="-1"/>
                <w:lang w:eastAsia="zh-CN"/>
              </w:rPr>
              <w:t>(</w:t>
            </w:r>
            <w:r>
              <w:rPr>
                <w:spacing w:val="-1"/>
              </w:rPr>
              <w:t>1</w:t>
            </w:r>
            <w:r>
              <w:rPr>
                <w:rFonts w:hint="eastAsia"/>
                <w:spacing w:val="-1"/>
                <w:lang w:eastAsia="zh-CN"/>
              </w:rPr>
              <w:t>)</w:t>
            </w:r>
          </w:p>
        </w:tc>
        <w:tc>
          <w:tcPr>
            <w:tcW w:w="3762" w:type="dxa"/>
            <w:vAlign w:val="top"/>
          </w:tcPr>
          <w:p w14:paraId="71F112B9">
            <w:pPr>
              <w:spacing w:line="256" w:lineRule="auto"/>
              <w:rPr>
                <w:rFonts w:ascii="Arial"/>
                <w:sz w:val="21"/>
              </w:rPr>
            </w:pPr>
          </w:p>
          <w:p w14:paraId="417492F4">
            <w:pPr>
              <w:spacing w:line="256" w:lineRule="auto"/>
              <w:rPr>
                <w:rFonts w:ascii="Arial"/>
                <w:sz w:val="21"/>
              </w:rPr>
            </w:pPr>
          </w:p>
          <w:p w14:paraId="39BEF27C">
            <w:pPr>
              <w:spacing w:line="256" w:lineRule="auto"/>
              <w:rPr>
                <w:rFonts w:ascii="Arial"/>
                <w:sz w:val="21"/>
              </w:rPr>
            </w:pPr>
          </w:p>
          <w:p w14:paraId="1FE4F1AE">
            <w:pPr>
              <w:spacing w:line="257" w:lineRule="auto"/>
              <w:rPr>
                <w:rFonts w:ascii="Arial"/>
                <w:sz w:val="21"/>
              </w:rPr>
            </w:pPr>
          </w:p>
          <w:p w14:paraId="13B8EC7F">
            <w:pPr>
              <w:spacing w:line="257" w:lineRule="auto"/>
              <w:rPr>
                <w:rFonts w:ascii="Arial"/>
                <w:sz w:val="21"/>
              </w:rPr>
            </w:pPr>
          </w:p>
          <w:p w14:paraId="4E952D0D">
            <w:pPr>
              <w:spacing w:line="257" w:lineRule="auto"/>
              <w:rPr>
                <w:rFonts w:ascii="Arial"/>
                <w:sz w:val="21"/>
              </w:rPr>
            </w:pPr>
          </w:p>
          <w:p w14:paraId="73B8927F">
            <w:pPr>
              <w:spacing w:line="257" w:lineRule="auto"/>
              <w:rPr>
                <w:rFonts w:ascii="Arial"/>
                <w:sz w:val="21"/>
              </w:rPr>
            </w:pPr>
          </w:p>
          <w:p w14:paraId="554DB5EE">
            <w:pPr>
              <w:spacing w:line="257" w:lineRule="auto"/>
              <w:rPr>
                <w:rFonts w:ascii="Arial"/>
                <w:sz w:val="21"/>
              </w:rPr>
            </w:pPr>
          </w:p>
          <w:p w14:paraId="308D0FC3">
            <w:pPr>
              <w:spacing w:line="257" w:lineRule="auto"/>
              <w:rPr>
                <w:rFonts w:ascii="Arial"/>
                <w:sz w:val="21"/>
              </w:rPr>
            </w:pPr>
          </w:p>
          <w:p w14:paraId="5FB729B5">
            <w:pPr>
              <w:spacing w:line="257" w:lineRule="auto"/>
              <w:rPr>
                <w:rFonts w:ascii="Arial"/>
                <w:sz w:val="21"/>
              </w:rPr>
            </w:pPr>
          </w:p>
          <w:p w14:paraId="707198D9">
            <w:pPr>
              <w:spacing w:line="257" w:lineRule="auto"/>
              <w:rPr>
                <w:rFonts w:ascii="Arial"/>
                <w:sz w:val="21"/>
              </w:rPr>
            </w:pPr>
          </w:p>
          <w:p w14:paraId="4A676696">
            <w:pPr>
              <w:spacing w:line="257" w:lineRule="auto"/>
              <w:rPr>
                <w:rFonts w:ascii="Arial"/>
                <w:sz w:val="21"/>
              </w:rPr>
            </w:pPr>
          </w:p>
          <w:p w14:paraId="09CD4D6A">
            <w:pPr>
              <w:pStyle w:val="9"/>
              <w:spacing w:before="69" w:line="318" w:lineRule="auto"/>
              <w:ind w:left="114" w:right="103"/>
              <w:jc w:val="both"/>
            </w:pPr>
            <w:r>
              <w:rPr>
                <w:spacing w:val="-2"/>
              </w:rPr>
              <w:t>项目经理、总工程师、质量总监、安全</w:t>
            </w:r>
            <w:r>
              <w:rPr>
                <w:spacing w:val="11"/>
              </w:rPr>
              <w:t>总监或其他主要管理人员无故不到位</w:t>
            </w:r>
            <w:r>
              <w:rPr>
                <w:spacing w:val="-3"/>
              </w:rPr>
              <w:t>或被替换</w:t>
            </w:r>
          </w:p>
        </w:tc>
        <w:tc>
          <w:tcPr>
            <w:tcW w:w="1799" w:type="dxa"/>
            <w:vAlign w:val="top"/>
          </w:tcPr>
          <w:p w14:paraId="343A031F">
            <w:pPr>
              <w:pStyle w:val="9"/>
              <w:spacing w:before="109" w:line="220" w:lineRule="auto"/>
              <w:ind w:left="171"/>
            </w:pPr>
            <w:r>
              <w:rPr>
                <w:spacing w:val="-2"/>
              </w:rPr>
              <w:t>根据施工合同段</w:t>
            </w:r>
          </w:p>
          <w:p w14:paraId="1BC58BBD">
            <w:pPr>
              <w:pStyle w:val="9"/>
              <w:spacing w:before="109" w:line="220" w:lineRule="auto"/>
              <w:ind w:left="116"/>
            </w:pPr>
            <w:r>
              <w:rPr>
                <w:spacing w:val="-7"/>
              </w:rPr>
              <w:t>规模调整，例如：</w:t>
            </w:r>
          </w:p>
          <w:p w14:paraId="4D50F4ED">
            <w:pPr>
              <w:pStyle w:val="9"/>
              <w:spacing w:before="109" w:line="220" w:lineRule="auto"/>
              <w:ind w:left="121"/>
            </w:pPr>
            <w:r>
              <w:rPr>
                <w:spacing w:val="-5"/>
              </w:rPr>
              <w:t>规模在</w:t>
            </w:r>
            <w:r>
              <w:rPr>
                <w:spacing w:val="-24"/>
              </w:rPr>
              <w:t xml:space="preserve"> </w:t>
            </w:r>
            <w:r>
              <w:rPr>
                <w:spacing w:val="-5"/>
              </w:rPr>
              <w:t>1000</w:t>
            </w:r>
            <w:r>
              <w:rPr>
                <w:spacing w:val="-41"/>
              </w:rPr>
              <w:t xml:space="preserve"> </w:t>
            </w:r>
            <w:r>
              <w:rPr>
                <w:spacing w:val="-5"/>
              </w:rPr>
              <w:t>万以</w:t>
            </w:r>
          </w:p>
          <w:p w14:paraId="5F0356B1">
            <w:pPr>
              <w:pStyle w:val="9"/>
              <w:spacing w:before="110" w:line="220" w:lineRule="auto"/>
              <w:ind w:left="147"/>
            </w:pPr>
            <w:r>
              <w:rPr>
                <w:spacing w:val="-3"/>
              </w:rPr>
              <w:t>上，5000</w:t>
            </w:r>
            <w:r>
              <w:rPr>
                <w:spacing w:val="-32"/>
              </w:rPr>
              <w:t xml:space="preserve"> </w:t>
            </w:r>
            <w:r>
              <w:rPr>
                <w:spacing w:val="-3"/>
              </w:rPr>
              <w:t>万以下</w:t>
            </w:r>
          </w:p>
          <w:p w14:paraId="39E2DEF5">
            <w:pPr>
              <w:pStyle w:val="9"/>
              <w:spacing w:before="109" w:line="220" w:lineRule="auto"/>
              <w:ind w:left="132"/>
            </w:pPr>
            <w:r>
              <w:rPr>
                <w:spacing w:val="-15"/>
              </w:rPr>
              <w:t>的，分别处以项目</w:t>
            </w:r>
          </w:p>
          <w:p w14:paraId="74C16C59">
            <w:pPr>
              <w:pStyle w:val="9"/>
              <w:spacing w:before="109" w:line="220" w:lineRule="auto"/>
              <w:ind w:left="173"/>
            </w:pPr>
            <w:r>
              <w:rPr>
                <w:spacing w:val="-2"/>
              </w:rPr>
              <w:t>经理、总工程师</w:t>
            </w:r>
          </w:p>
          <w:p w14:paraId="6CC7F696">
            <w:pPr>
              <w:pStyle w:val="9"/>
              <w:spacing w:before="110" w:line="220" w:lineRule="auto"/>
              <w:ind w:left="117"/>
            </w:pPr>
            <w:r>
              <w:rPr>
                <w:spacing w:val="-7"/>
              </w:rPr>
              <w:t>20</w:t>
            </w:r>
            <w:r>
              <w:rPr>
                <w:spacing w:val="-40"/>
              </w:rPr>
              <w:t xml:space="preserve"> </w:t>
            </w:r>
            <w:r>
              <w:rPr>
                <w:spacing w:val="-7"/>
              </w:rPr>
              <w:t>万/人次；质量</w:t>
            </w:r>
          </w:p>
          <w:p w14:paraId="0EFFABBA">
            <w:pPr>
              <w:pStyle w:val="9"/>
              <w:spacing w:before="110" w:line="221" w:lineRule="auto"/>
              <w:ind w:left="177"/>
            </w:pPr>
            <w:r>
              <w:rPr>
                <w:spacing w:val="-2"/>
              </w:rPr>
              <w:t>总监、安全总监</w:t>
            </w:r>
          </w:p>
          <w:p w14:paraId="39015BF0">
            <w:pPr>
              <w:pStyle w:val="9"/>
              <w:spacing w:before="108" w:line="220" w:lineRule="auto"/>
              <w:ind w:left="130"/>
            </w:pPr>
            <w:r>
              <w:rPr>
                <w:spacing w:val="-9"/>
              </w:rPr>
              <w:t>10</w:t>
            </w:r>
            <w:r>
              <w:rPr>
                <w:spacing w:val="-35"/>
              </w:rPr>
              <w:t xml:space="preserve"> </w:t>
            </w:r>
            <w:r>
              <w:rPr>
                <w:spacing w:val="-9"/>
              </w:rPr>
              <w:t>万/人次；其他</w:t>
            </w:r>
          </w:p>
          <w:p w14:paraId="03705430">
            <w:pPr>
              <w:pStyle w:val="9"/>
              <w:spacing w:before="110" w:line="220" w:lineRule="auto"/>
              <w:ind w:left="199"/>
            </w:pPr>
            <w:r>
              <w:rPr>
                <w:spacing w:val="-2"/>
              </w:rPr>
              <w:t>主要管理人员</w:t>
            </w:r>
            <w:r>
              <w:rPr>
                <w:spacing w:val="-40"/>
              </w:rPr>
              <w:t xml:space="preserve"> </w:t>
            </w:r>
            <w:r>
              <w:rPr>
                <w:spacing w:val="-2"/>
              </w:rPr>
              <w:t>2</w:t>
            </w:r>
          </w:p>
          <w:p w14:paraId="14A67A4A">
            <w:pPr>
              <w:pStyle w:val="9"/>
              <w:spacing w:before="110" w:line="220" w:lineRule="auto"/>
              <w:ind w:left="228"/>
            </w:pPr>
            <w:r>
              <w:rPr>
                <w:spacing w:val="-6"/>
              </w:rPr>
              <w:t>万/人次罚款。</w:t>
            </w:r>
          </w:p>
          <w:p w14:paraId="2976035E">
            <w:pPr>
              <w:pStyle w:val="9"/>
              <w:spacing w:before="110" w:line="220" w:lineRule="auto"/>
              <w:ind w:left="225"/>
            </w:pPr>
            <w:r>
              <w:rPr>
                <w:spacing w:val="-3"/>
              </w:rPr>
              <w:t>规模在</w:t>
            </w:r>
            <w:r>
              <w:rPr>
                <w:spacing w:val="-38"/>
              </w:rPr>
              <w:t xml:space="preserve"> </w:t>
            </w:r>
            <w:r>
              <w:rPr>
                <w:spacing w:val="-3"/>
              </w:rPr>
              <w:t>5000</w:t>
            </w:r>
            <w:r>
              <w:rPr>
                <w:spacing w:val="-21"/>
              </w:rPr>
              <w:t xml:space="preserve"> </w:t>
            </w:r>
            <w:r>
              <w:rPr>
                <w:spacing w:val="-3"/>
              </w:rPr>
              <w:t>以</w:t>
            </w:r>
          </w:p>
          <w:p w14:paraId="008E3E47">
            <w:pPr>
              <w:pStyle w:val="9"/>
              <w:spacing w:before="110" w:line="221" w:lineRule="auto"/>
              <w:ind w:left="117"/>
            </w:pPr>
            <w:r>
              <w:rPr>
                <w:spacing w:val="-7"/>
              </w:rPr>
              <w:t>上、1</w:t>
            </w:r>
            <w:r>
              <w:rPr>
                <w:spacing w:val="-45"/>
              </w:rPr>
              <w:t xml:space="preserve"> </w:t>
            </w:r>
            <w:r>
              <w:rPr>
                <w:spacing w:val="-7"/>
              </w:rPr>
              <w:t>亿以下的，</w:t>
            </w:r>
          </w:p>
          <w:p w14:paraId="69641F4D">
            <w:pPr>
              <w:pStyle w:val="9"/>
              <w:spacing w:before="109" w:line="220" w:lineRule="auto"/>
              <w:ind w:left="174"/>
            </w:pPr>
            <w:r>
              <w:rPr>
                <w:spacing w:val="-2"/>
              </w:rPr>
              <w:t>分别处以项目经</w:t>
            </w:r>
          </w:p>
          <w:p w14:paraId="1C85A332">
            <w:pPr>
              <w:pStyle w:val="9"/>
              <w:spacing w:before="109" w:line="220" w:lineRule="auto"/>
              <w:ind w:left="117"/>
            </w:pPr>
            <w:r>
              <w:rPr>
                <w:spacing w:val="-9"/>
              </w:rPr>
              <w:t>理、总工程师</w:t>
            </w:r>
            <w:r>
              <w:rPr>
                <w:spacing w:val="-26"/>
              </w:rPr>
              <w:t xml:space="preserve"> </w:t>
            </w:r>
            <w:r>
              <w:rPr>
                <w:spacing w:val="-9"/>
              </w:rPr>
              <w:t>100</w:t>
            </w:r>
          </w:p>
          <w:p w14:paraId="464D4C76">
            <w:pPr>
              <w:pStyle w:val="9"/>
              <w:spacing w:before="110" w:line="220" w:lineRule="auto"/>
              <w:ind w:left="124"/>
            </w:pPr>
            <w:r>
              <w:rPr>
                <w:spacing w:val="-2"/>
              </w:rPr>
              <w:t>万/人次；质量总</w:t>
            </w:r>
          </w:p>
          <w:p w14:paraId="2658534E">
            <w:pPr>
              <w:pStyle w:val="9"/>
              <w:spacing w:before="110" w:line="221" w:lineRule="auto"/>
              <w:ind w:left="146"/>
            </w:pPr>
            <w:r>
              <w:rPr>
                <w:spacing w:val="-3"/>
              </w:rPr>
              <w:t>监、安全总监</w:t>
            </w:r>
            <w:r>
              <w:rPr>
                <w:spacing w:val="-33"/>
              </w:rPr>
              <w:t xml:space="preserve"> </w:t>
            </w:r>
            <w:r>
              <w:rPr>
                <w:spacing w:val="-3"/>
              </w:rPr>
              <w:t>50</w:t>
            </w:r>
          </w:p>
          <w:p w14:paraId="139978F4">
            <w:pPr>
              <w:pStyle w:val="9"/>
              <w:spacing w:before="108" w:line="220" w:lineRule="auto"/>
              <w:ind w:left="124"/>
            </w:pPr>
            <w:r>
              <w:rPr>
                <w:spacing w:val="-2"/>
              </w:rPr>
              <w:t>万/人次；其他主</w:t>
            </w:r>
          </w:p>
          <w:p w14:paraId="65FDF5AE">
            <w:pPr>
              <w:pStyle w:val="9"/>
              <w:spacing w:before="110" w:line="220" w:lineRule="auto"/>
              <w:ind w:left="121"/>
            </w:pPr>
            <w:r>
              <w:rPr>
                <w:spacing w:val="-4"/>
              </w:rPr>
              <w:t>要管理人员</w:t>
            </w:r>
            <w:r>
              <w:rPr>
                <w:spacing w:val="-30"/>
              </w:rPr>
              <w:t xml:space="preserve"> </w:t>
            </w:r>
            <w:r>
              <w:rPr>
                <w:spacing w:val="-4"/>
              </w:rPr>
              <w:t>10</w:t>
            </w:r>
            <w:r>
              <w:rPr>
                <w:spacing w:val="-41"/>
              </w:rPr>
              <w:t xml:space="preserve"> </w:t>
            </w:r>
            <w:r>
              <w:rPr>
                <w:spacing w:val="-4"/>
              </w:rPr>
              <w:t>万</w:t>
            </w:r>
          </w:p>
          <w:p w14:paraId="0A1FEDE9">
            <w:pPr>
              <w:pStyle w:val="9"/>
              <w:spacing w:before="109" w:line="217" w:lineRule="auto"/>
              <w:ind w:left="383"/>
            </w:pPr>
            <w:r>
              <w:rPr>
                <w:spacing w:val="-7"/>
              </w:rPr>
              <w:t>人次罚款。</w:t>
            </w:r>
          </w:p>
        </w:tc>
        <w:tc>
          <w:tcPr>
            <w:tcW w:w="1580" w:type="dxa"/>
            <w:vAlign w:val="top"/>
          </w:tcPr>
          <w:p w14:paraId="4C2658A5">
            <w:pPr>
              <w:spacing w:line="241" w:lineRule="auto"/>
              <w:rPr>
                <w:rFonts w:ascii="Arial"/>
                <w:sz w:val="21"/>
              </w:rPr>
            </w:pPr>
          </w:p>
          <w:p w14:paraId="222383C9">
            <w:pPr>
              <w:spacing w:line="242" w:lineRule="auto"/>
              <w:rPr>
                <w:rFonts w:ascii="Arial"/>
                <w:sz w:val="21"/>
              </w:rPr>
            </w:pPr>
          </w:p>
          <w:p w14:paraId="1829205C">
            <w:pPr>
              <w:spacing w:line="242" w:lineRule="auto"/>
              <w:rPr>
                <w:rFonts w:ascii="Arial"/>
                <w:sz w:val="21"/>
              </w:rPr>
            </w:pPr>
          </w:p>
          <w:p w14:paraId="2937DD93">
            <w:pPr>
              <w:spacing w:line="242" w:lineRule="auto"/>
              <w:rPr>
                <w:rFonts w:ascii="Arial"/>
                <w:sz w:val="21"/>
              </w:rPr>
            </w:pPr>
          </w:p>
          <w:p w14:paraId="0445B2D4">
            <w:pPr>
              <w:spacing w:line="242" w:lineRule="auto"/>
              <w:rPr>
                <w:rFonts w:ascii="Arial"/>
                <w:sz w:val="21"/>
              </w:rPr>
            </w:pPr>
          </w:p>
          <w:p w14:paraId="42ACFC7D">
            <w:pPr>
              <w:spacing w:line="242" w:lineRule="auto"/>
              <w:rPr>
                <w:rFonts w:ascii="Arial"/>
                <w:sz w:val="21"/>
              </w:rPr>
            </w:pPr>
          </w:p>
          <w:p w14:paraId="04A4A877">
            <w:pPr>
              <w:spacing w:line="242" w:lineRule="auto"/>
              <w:rPr>
                <w:rFonts w:ascii="Arial"/>
                <w:sz w:val="21"/>
              </w:rPr>
            </w:pPr>
          </w:p>
          <w:p w14:paraId="0EBF2AA9">
            <w:pPr>
              <w:spacing w:line="242" w:lineRule="auto"/>
              <w:rPr>
                <w:rFonts w:ascii="Arial"/>
                <w:sz w:val="21"/>
              </w:rPr>
            </w:pPr>
          </w:p>
          <w:p w14:paraId="01D819D7">
            <w:pPr>
              <w:spacing w:line="242" w:lineRule="auto"/>
              <w:rPr>
                <w:rFonts w:ascii="Arial"/>
                <w:sz w:val="21"/>
              </w:rPr>
            </w:pPr>
          </w:p>
          <w:p w14:paraId="4CB4C793">
            <w:pPr>
              <w:spacing w:line="242" w:lineRule="auto"/>
              <w:rPr>
                <w:rFonts w:ascii="Arial"/>
                <w:sz w:val="21"/>
              </w:rPr>
            </w:pPr>
          </w:p>
          <w:p w14:paraId="241D0DD8">
            <w:pPr>
              <w:spacing w:line="242" w:lineRule="auto"/>
              <w:rPr>
                <w:rFonts w:ascii="Arial"/>
                <w:sz w:val="21"/>
              </w:rPr>
            </w:pPr>
          </w:p>
          <w:p w14:paraId="1FE47D55">
            <w:pPr>
              <w:spacing w:line="242" w:lineRule="auto"/>
              <w:rPr>
                <w:rFonts w:ascii="Arial"/>
                <w:sz w:val="21"/>
              </w:rPr>
            </w:pPr>
          </w:p>
          <w:p w14:paraId="5E3CC57C">
            <w:pPr>
              <w:pStyle w:val="9"/>
              <w:spacing w:before="68" w:line="219" w:lineRule="auto"/>
              <w:ind w:left="164"/>
            </w:pPr>
            <w:r>
              <w:rPr>
                <w:spacing w:val="-2"/>
              </w:rPr>
              <w:t>供招标人结合</w:t>
            </w:r>
          </w:p>
          <w:p w14:paraId="05B62951">
            <w:pPr>
              <w:pStyle w:val="9"/>
              <w:spacing w:before="111" w:line="220" w:lineRule="auto"/>
              <w:ind w:left="167"/>
            </w:pPr>
            <w:r>
              <w:rPr>
                <w:spacing w:val="-2"/>
              </w:rPr>
              <w:t>项目实际情况</w:t>
            </w:r>
          </w:p>
          <w:p w14:paraId="53525159">
            <w:pPr>
              <w:pStyle w:val="9"/>
              <w:spacing w:before="108" w:line="220" w:lineRule="auto"/>
              <w:ind w:left="166"/>
            </w:pPr>
            <w:r>
              <w:rPr>
                <w:spacing w:val="-2"/>
              </w:rPr>
              <w:t>参考使用，合</w:t>
            </w:r>
          </w:p>
          <w:p w14:paraId="46A6BB1A">
            <w:pPr>
              <w:pStyle w:val="9"/>
              <w:spacing w:before="110" w:line="221" w:lineRule="auto"/>
              <w:ind w:left="482"/>
            </w:pPr>
            <w:r>
              <w:rPr>
                <w:spacing w:val="-3"/>
              </w:rPr>
              <w:t>理设置</w:t>
            </w:r>
          </w:p>
        </w:tc>
      </w:tr>
    </w:tbl>
    <w:p w14:paraId="4F542BCF">
      <w:pPr>
        <w:pStyle w:val="2"/>
      </w:pPr>
    </w:p>
    <w:p w14:paraId="21CBFD0E">
      <w:pPr>
        <w:sectPr>
          <w:footerReference r:id="rId131" w:type="default"/>
          <w:pgSz w:w="11905" w:h="16840"/>
          <w:pgMar w:top="1182" w:right="1123" w:bottom="1171" w:left="1303" w:header="849" w:footer="936" w:gutter="0"/>
          <w:pgNumType w:fmt="decimal"/>
          <w:cols w:space="720" w:num="1"/>
        </w:sectPr>
      </w:pPr>
    </w:p>
    <w:p w14:paraId="556DE23C">
      <w:pPr>
        <w:spacing w:line="234" w:lineRule="exact"/>
      </w:pPr>
    </w:p>
    <w:tbl>
      <w:tblPr>
        <w:tblStyle w:val="8"/>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6150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700545F2">
            <w:pPr>
              <w:pStyle w:val="9"/>
              <w:spacing w:before="214" w:line="221" w:lineRule="auto"/>
              <w:ind w:left="225"/>
            </w:pPr>
            <w:r>
              <w:rPr>
                <w:b/>
                <w:bCs/>
                <w:spacing w:val="-4"/>
              </w:rPr>
              <w:t>序号</w:t>
            </w:r>
          </w:p>
        </w:tc>
        <w:tc>
          <w:tcPr>
            <w:tcW w:w="1469" w:type="dxa"/>
            <w:vAlign w:val="top"/>
          </w:tcPr>
          <w:p w14:paraId="20651435">
            <w:pPr>
              <w:pStyle w:val="9"/>
              <w:spacing w:before="213" w:line="219" w:lineRule="auto"/>
              <w:ind w:left="319"/>
            </w:pPr>
            <w:r>
              <w:rPr>
                <w:b/>
                <w:bCs/>
                <w:spacing w:val="-5"/>
              </w:rPr>
              <w:t>合同依据</w:t>
            </w:r>
          </w:p>
        </w:tc>
        <w:tc>
          <w:tcPr>
            <w:tcW w:w="3762" w:type="dxa"/>
            <w:vAlign w:val="top"/>
          </w:tcPr>
          <w:p w14:paraId="7FED7D1D">
            <w:pPr>
              <w:pStyle w:val="9"/>
              <w:spacing w:before="213" w:line="220" w:lineRule="auto"/>
              <w:ind w:left="1465"/>
            </w:pPr>
            <w:r>
              <w:rPr>
                <w:b/>
                <w:bCs/>
                <w:spacing w:val="-4"/>
              </w:rPr>
              <w:t>违约内容</w:t>
            </w:r>
          </w:p>
        </w:tc>
        <w:tc>
          <w:tcPr>
            <w:tcW w:w="1799" w:type="dxa"/>
            <w:vAlign w:val="top"/>
          </w:tcPr>
          <w:p w14:paraId="27AE947B">
            <w:pPr>
              <w:pStyle w:val="9"/>
              <w:spacing w:before="214" w:line="220" w:lineRule="auto"/>
              <w:ind w:left="381"/>
            </w:pPr>
            <w:r>
              <w:rPr>
                <w:b/>
                <w:bCs/>
                <w:spacing w:val="-4"/>
              </w:rPr>
              <w:t>违约金标准</w:t>
            </w:r>
          </w:p>
        </w:tc>
        <w:tc>
          <w:tcPr>
            <w:tcW w:w="1580" w:type="dxa"/>
            <w:vAlign w:val="top"/>
          </w:tcPr>
          <w:p w14:paraId="10BB050B">
            <w:pPr>
              <w:pStyle w:val="9"/>
              <w:spacing w:before="214" w:line="221" w:lineRule="auto"/>
              <w:ind w:left="586"/>
            </w:pPr>
            <w:r>
              <w:rPr>
                <w:b/>
                <w:bCs/>
                <w:spacing w:val="-5"/>
              </w:rPr>
              <w:t>备注</w:t>
            </w:r>
          </w:p>
        </w:tc>
      </w:tr>
      <w:tr w14:paraId="1C504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62" w:type="dxa"/>
            <w:vAlign w:val="top"/>
          </w:tcPr>
          <w:p w14:paraId="47B03BA6">
            <w:pPr>
              <w:rPr>
                <w:rFonts w:ascii="Arial"/>
                <w:sz w:val="21"/>
              </w:rPr>
            </w:pPr>
          </w:p>
        </w:tc>
        <w:tc>
          <w:tcPr>
            <w:tcW w:w="1469" w:type="dxa"/>
            <w:vAlign w:val="top"/>
          </w:tcPr>
          <w:p w14:paraId="69CB132F">
            <w:pPr>
              <w:rPr>
                <w:rFonts w:ascii="Arial"/>
                <w:sz w:val="21"/>
              </w:rPr>
            </w:pPr>
          </w:p>
        </w:tc>
        <w:tc>
          <w:tcPr>
            <w:tcW w:w="3762" w:type="dxa"/>
            <w:vAlign w:val="top"/>
          </w:tcPr>
          <w:p w14:paraId="44851D51">
            <w:pPr>
              <w:rPr>
                <w:rFonts w:ascii="Arial"/>
                <w:sz w:val="21"/>
              </w:rPr>
            </w:pPr>
          </w:p>
        </w:tc>
        <w:tc>
          <w:tcPr>
            <w:tcW w:w="1799" w:type="dxa"/>
            <w:vAlign w:val="top"/>
          </w:tcPr>
          <w:p w14:paraId="1B57D018">
            <w:pPr>
              <w:pStyle w:val="9"/>
              <w:spacing w:before="107" w:line="304" w:lineRule="auto"/>
              <w:ind w:left="115" w:right="102" w:firstLine="57"/>
              <w:jc w:val="both"/>
            </w:pPr>
            <w:r>
              <w:rPr>
                <w:spacing w:val="-6"/>
              </w:rPr>
              <w:t>规模在</w:t>
            </w:r>
            <w:r>
              <w:rPr>
                <w:spacing w:val="-30"/>
              </w:rPr>
              <w:t xml:space="preserve"> </w:t>
            </w:r>
            <w:r>
              <w:rPr>
                <w:spacing w:val="-6"/>
              </w:rPr>
              <w:t>1</w:t>
            </w:r>
            <w:r>
              <w:rPr>
                <w:spacing w:val="-43"/>
              </w:rPr>
              <w:t xml:space="preserve"> </w:t>
            </w:r>
            <w:r>
              <w:rPr>
                <w:spacing w:val="-6"/>
              </w:rPr>
              <w:t>亿以上</w:t>
            </w:r>
            <w:r>
              <w:rPr>
                <w:spacing w:val="-14"/>
              </w:rPr>
              <w:t>的，分别处以项目</w:t>
            </w:r>
            <w:r>
              <w:rPr>
                <w:spacing w:val="6"/>
              </w:rPr>
              <w:t>经理、总工程师</w:t>
            </w:r>
            <w:r>
              <w:rPr>
                <w:spacing w:val="1"/>
              </w:rPr>
              <w:t>200</w:t>
            </w:r>
            <w:r>
              <w:rPr>
                <w:spacing w:val="-40"/>
              </w:rPr>
              <w:t xml:space="preserve"> </w:t>
            </w:r>
            <w:r>
              <w:rPr>
                <w:spacing w:val="1"/>
              </w:rPr>
              <w:t>万/人次；质</w:t>
            </w:r>
            <w:r>
              <w:rPr>
                <w:spacing w:val="-14"/>
              </w:rPr>
              <w:t>量总监、安全总监</w:t>
            </w:r>
            <w:r>
              <w:rPr>
                <w:spacing w:val="-5"/>
              </w:rPr>
              <w:t>/人次</w:t>
            </w:r>
            <w:r>
              <w:rPr>
                <w:spacing w:val="-26"/>
              </w:rPr>
              <w:t xml:space="preserve"> </w:t>
            </w:r>
            <w:r>
              <w:rPr>
                <w:spacing w:val="-5"/>
              </w:rPr>
              <w:t>100</w:t>
            </w:r>
            <w:r>
              <w:rPr>
                <w:spacing w:val="-40"/>
              </w:rPr>
              <w:t xml:space="preserve"> </w:t>
            </w:r>
            <w:r>
              <w:rPr>
                <w:spacing w:val="-5"/>
              </w:rPr>
              <w:t>万；其</w:t>
            </w:r>
            <w:r>
              <w:rPr>
                <w:spacing w:val="6"/>
              </w:rPr>
              <w:t>他主要管理人员</w:t>
            </w:r>
            <w:r>
              <w:rPr>
                <w:spacing w:val="-2"/>
              </w:rPr>
              <w:t>20</w:t>
            </w:r>
            <w:r>
              <w:rPr>
                <w:spacing w:val="-39"/>
              </w:rPr>
              <w:t xml:space="preserve"> </w:t>
            </w:r>
            <w:r>
              <w:rPr>
                <w:spacing w:val="-2"/>
              </w:rPr>
              <w:t>万人次罚款。</w:t>
            </w:r>
          </w:p>
        </w:tc>
        <w:tc>
          <w:tcPr>
            <w:tcW w:w="1580" w:type="dxa"/>
            <w:vAlign w:val="top"/>
          </w:tcPr>
          <w:p w14:paraId="50A52F76">
            <w:pPr>
              <w:rPr>
                <w:rFonts w:ascii="Arial"/>
                <w:sz w:val="21"/>
              </w:rPr>
            </w:pPr>
          </w:p>
        </w:tc>
      </w:tr>
      <w:tr w14:paraId="50CBA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62" w:type="dxa"/>
            <w:vAlign w:val="top"/>
          </w:tcPr>
          <w:p w14:paraId="456EB2C9">
            <w:pPr>
              <w:spacing w:line="287" w:lineRule="auto"/>
              <w:rPr>
                <w:rFonts w:ascii="Arial"/>
                <w:sz w:val="21"/>
              </w:rPr>
            </w:pPr>
          </w:p>
          <w:p w14:paraId="496B0678">
            <w:pPr>
              <w:spacing w:line="287" w:lineRule="auto"/>
              <w:rPr>
                <w:rFonts w:ascii="Arial"/>
                <w:sz w:val="21"/>
              </w:rPr>
            </w:pPr>
          </w:p>
          <w:p w14:paraId="7505A43D">
            <w:pPr>
              <w:pStyle w:val="9"/>
              <w:spacing w:before="68"/>
              <w:ind w:left="346"/>
            </w:pPr>
            <w:r>
              <w:rPr>
                <w:spacing w:val="-6"/>
              </w:rPr>
              <w:t>13</w:t>
            </w:r>
          </w:p>
        </w:tc>
        <w:tc>
          <w:tcPr>
            <w:tcW w:w="1469" w:type="dxa"/>
            <w:vAlign w:val="top"/>
          </w:tcPr>
          <w:p w14:paraId="2284C532">
            <w:pPr>
              <w:spacing w:line="287" w:lineRule="auto"/>
              <w:rPr>
                <w:rFonts w:ascii="Arial"/>
                <w:sz w:val="21"/>
              </w:rPr>
            </w:pPr>
          </w:p>
          <w:p w14:paraId="383BE68B">
            <w:pPr>
              <w:spacing w:line="287" w:lineRule="auto"/>
              <w:rPr>
                <w:rFonts w:ascii="Arial"/>
                <w:sz w:val="21"/>
              </w:rPr>
            </w:pPr>
          </w:p>
          <w:p w14:paraId="3441B6B2">
            <w:pPr>
              <w:pStyle w:val="9"/>
              <w:spacing w:before="69" w:line="232" w:lineRule="auto"/>
              <w:ind w:left="211"/>
            </w:pPr>
            <w:r>
              <w:rPr>
                <w:spacing w:val="-1"/>
              </w:rPr>
              <w:t>4.6.3</w:t>
            </w:r>
            <w:r>
              <w:rPr>
                <w:rFonts w:hint="eastAsia"/>
                <w:spacing w:val="-1"/>
                <w:lang w:eastAsia="zh-CN"/>
              </w:rPr>
              <w:t>(</w:t>
            </w:r>
            <w:r>
              <w:rPr>
                <w:spacing w:val="-1"/>
              </w:rPr>
              <w:t>2</w:t>
            </w:r>
            <w:r>
              <w:rPr>
                <w:rFonts w:hint="eastAsia"/>
                <w:spacing w:val="-1"/>
                <w:lang w:eastAsia="zh-CN"/>
              </w:rPr>
              <w:t>)</w:t>
            </w:r>
          </w:p>
        </w:tc>
        <w:tc>
          <w:tcPr>
            <w:tcW w:w="3762" w:type="dxa"/>
            <w:vAlign w:val="top"/>
          </w:tcPr>
          <w:p w14:paraId="54FFC9E5">
            <w:pPr>
              <w:spacing w:line="395" w:lineRule="auto"/>
              <w:rPr>
                <w:rFonts w:ascii="Arial"/>
                <w:sz w:val="21"/>
              </w:rPr>
            </w:pPr>
          </w:p>
          <w:p w14:paraId="58653999">
            <w:pPr>
              <w:pStyle w:val="9"/>
              <w:spacing w:before="68" w:line="319" w:lineRule="auto"/>
              <w:ind w:left="151" w:right="106" w:hanging="40"/>
            </w:pPr>
            <w:r>
              <w:rPr>
                <w:spacing w:val="11"/>
              </w:rPr>
              <w:t>承包人的档案资料整理负责人在本项</w:t>
            </w:r>
            <w:r>
              <w:rPr>
                <w:spacing w:val="-9"/>
              </w:rPr>
              <w:t>目连续工作不足</w:t>
            </w:r>
            <w:r>
              <w:rPr>
                <w:spacing w:val="-22"/>
              </w:rPr>
              <w:t xml:space="preserve"> </w:t>
            </w:r>
            <w:r>
              <w:rPr>
                <w:spacing w:val="-9"/>
              </w:rPr>
              <w:t>1</w:t>
            </w:r>
            <w:r>
              <w:rPr>
                <w:spacing w:val="-43"/>
              </w:rPr>
              <w:t xml:space="preserve"> </w:t>
            </w:r>
            <w:r>
              <w:rPr>
                <w:spacing w:val="-9"/>
              </w:rPr>
              <w:t>年。</w:t>
            </w:r>
          </w:p>
        </w:tc>
        <w:tc>
          <w:tcPr>
            <w:tcW w:w="1799" w:type="dxa"/>
            <w:vAlign w:val="top"/>
          </w:tcPr>
          <w:p w14:paraId="0D5FCCE8">
            <w:pPr>
              <w:spacing w:line="287" w:lineRule="auto"/>
              <w:rPr>
                <w:rFonts w:ascii="Arial"/>
                <w:sz w:val="21"/>
              </w:rPr>
            </w:pPr>
          </w:p>
          <w:p w14:paraId="69F88F58">
            <w:pPr>
              <w:spacing w:line="287" w:lineRule="auto"/>
              <w:rPr>
                <w:rFonts w:ascii="Arial"/>
                <w:sz w:val="21"/>
              </w:rPr>
            </w:pPr>
          </w:p>
          <w:p w14:paraId="5055BFAA">
            <w:pPr>
              <w:pStyle w:val="9"/>
              <w:spacing w:before="68" w:line="220" w:lineRule="auto"/>
              <w:ind w:left="318"/>
            </w:pPr>
            <w:r>
              <w:rPr>
                <w:spacing w:val="-5"/>
              </w:rPr>
              <w:t>10</w:t>
            </w:r>
            <w:r>
              <w:rPr>
                <w:spacing w:val="-40"/>
              </w:rPr>
              <w:t xml:space="preserve"> </w:t>
            </w:r>
            <w:r>
              <w:rPr>
                <w:spacing w:val="-5"/>
              </w:rPr>
              <w:t>万元/人次</w:t>
            </w:r>
          </w:p>
        </w:tc>
        <w:tc>
          <w:tcPr>
            <w:tcW w:w="1580" w:type="dxa"/>
            <w:vAlign w:val="top"/>
          </w:tcPr>
          <w:p w14:paraId="481770BE">
            <w:pPr>
              <w:pStyle w:val="9"/>
              <w:spacing w:before="106" w:line="219" w:lineRule="auto"/>
              <w:ind w:left="164"/>
            </w:pPr>
            <w:r>
              <w:rPr>
                <w:spacing w:val="-2"/>
              </w:rPr>
              <w:t>供招标人结合</w:t>
            </w:r>
          </w:p>
          <w:p w14:paraId="59151633">
            <w:pPr>
              <w:pStyle w:val="9"/>
              <w:spacing w:before="111" w:line="220" w:lineRule="auto"/>
              <w:ind w:left="167"/>
            </w:pPr>
            <w:r>
              <w:rPr>
                <w:spacing w:val="-2"/>
              </w:rPr>
              <w:t>项目实际情况</w:t>
            </w:r>
          </w:p>
          <w:p w14:paraId="70313CDA">
            <w:pPr>
              <w:pStyle w:val="9"/>
              <w:spacing w:before="108" w:line="220" w:lineRule="auto"/>
              <w:ind w:left="166"/>
            </w:pPr>
            <w:r>
              <w:rPr>
                <w:spacing w:val="-2"/>
              </w:rPr>
              <w:t>参考使用，合</w:t>
            </w:r>
          </w:p>
          <w:p w14:paraId="4F35EB3F">
            <w:pPr>
              <w:pStyle w:val="9"/>
              <w:spacing w:before="110" w:line="218" w:lineRule="auto"/>
              <w:ind w:left="482"/>
            </w:pPr>
            <w:r>
              <w:rPr>
                <w:spacing w:val="-3"/>
              </w:rPr>
              <w:t>理设置</w:t>
            </w:r>
          </w:p>
        </w:tc>
      </w:tr>
      <w:tr w14:paraId="0B1F9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2" w:type="dxa"/>
            <w:vAlign w:val="top"/>
          </w:tcPr>
          <w:p w14:paraId="35FE03A9">
            <w:pPr>
              <w:spacing w:line="288" w:lineRule="auto"/>
              <w:rPr>
                <w:rFonts w:ascii="Arial"/>
                <w:sz w:val="21"/>
              </w:rPr>
            </w:pPr>
          </w:p>
          <w:p w14:paraId="59374A20">
            <w:pPr>
              <w:spacing w:line="288" w:lineRule="auto"/>
              <w:rPr>
                <w:rFonts w:ascii="Arial"/>
                <w:sz w:val="21"/>
              </w:rPr>
            </w:pPr>
          </w:p>
          <w:p w14:paraId="53E43750">
            <w:pPr>
              <w:pStyle w:val="9"/>
              <w:spacing w:before="68" w:line="241" w:lineRule="auto"/>
              <w:ind w:left="346"/>
            </w:pPr>
            <w:r>
              <w:rPr>
                <w:spacing w:val="-6"/>
              </w:rPr>
              <w:t>14</w:t>
            </w:r>
          </w:p>
        </w:tc>
        <w:tc>
          <w:tcPr>
            <w:tcW w:w="1469" w:type="dxa"/>
            <w:vAlign w:val="top"/>
          </w:tcPr>
          <w:p w14:paraId="07AB990C">
            <w:pPr>
              <w:spacing w:line="287" w:lineRule="auto"/>
              <w:rPr>
                <w:rFonts w:ascii="Arial"/>
                <w:sz w:val="21"/>
              </w:rPr>
            </w:pPr>
          </w:p>
          <w:p w14:paraId="2C116856">
            <w:pPr>
              <w:spacing w:line="288" w:lineRule="auto"/>
              <w:rPr>
                <w:rFonts w:ascii="Arial"/>
                <w:sz w:val="21"/>
              </w:rPr>
            </w:pPr>
          </w:p>
          <w:p w14:paraId="7A5DFE2E">
            <w:pPr>
              <w:pStyle w:val="9"/>
              <w:spacing w:before="68" w:line="232" w:lineRule="auto"/>
              <w:ind w:left="211"/>
            </w:pPr>
            <w:r>
              <w:rPr>
                <w:spacing w:val="-1"/>
              </w:rPr>
              <w:t>4.6.3</w:t>
            </w:r>
            <w:r>
              <w:rPr>
                <w:rFonts w:hint="eastAsia"/>
                <w:spacing w:val="-1"/>
                <w:lang w:eastAsia="zh-CN"/>
              </w:rPr>
              <w:t>(</w:t>
            </w:r>
            <w:r>
              <w:rPr>
                <w:spacing w:val="-1"/>
              </w:rPr>
              <w:t>2</w:t>
            </w:r>
            <w:r>
              <w:rPr>
                <w:rFonts w:hint="eastAsia"/>
                <w:spacing w:val="-1"/>
                <w:lang w:eastAsia="zh-CN"/>
              </w:rPr>
              <w:t>)</w:t>
            </w:r>
          </w:p>
        </w:tc>
        <w:tc>
          <w:tcPr>
            <w:tcW w:w="3762" w:type="dxa"/>
            <w:vAlign w:val="top"/>
          </w:tcPr>
          <w:p w14:paraId="7678104A">
            <w:pPr>
              <w:spacing w:line="397" w:lineRule="auto"/>
              <w:rPr>
                <w:rFonts w:ascii="Arial"/>
                <w:sz w:val="21"/>
              </w:rPr>
            </w:pPr>
          </w:p>
          <w:p w14:paraId="6B68F414">
            <w:pPr>
              <w:pStyle w:val="9"/>
              <w:spacing w:before="68" w:line="319" w:lineRule="auto"/>
              <w:ind w:left="119" w:right="106" w:hanging="7"/>
            </w:pPr>
            <w:r>
              <w:rPr>
                <w:spacing w:val="11"/>
              </w:rPr>
              <w:t>擅自更换档案资料整理负责人或档案</w:t>
            </w:r>
            <w:r>
              <w:t>员</w:t>
            </w:r>
          </w:p>
        </w:tc>
        <w:tc>
          <w:tcPr>
            <w:tcW w:w="1799" w:type="dxa"/>
            <w:vAlign w:val="top"/>
          </w:tcPr>
          <w:p w14:paraId="6A4406A0">
            <w:pPr>
              <w:spacing w:line="287" w:lineRule="auto"/>
              <w:rPr>
                <w:rFonts w:ascii="Arial"/>
                <w:sz w:val="21"/>
              </w:rPr>
            </w:pPr>
          </w:p>
          <w:p w14:paraId="2A9891F3">
            <w:pPr>
              <w:spacing w:line="288" w:lineRule="auto"/>
              <w:rPr>
                <w:rFonts w:ascii="Arial"/>
                <w:sz w:val="21"/>
              </w:rPr>
            </w:pPr>
          </w:p>
          <w:p w14:paraId="7840450D">
            <w:pPr>
              <w:pStyle w:val="9"/>
              <w:spacing w:before="68" w:line="220" w:lineRule="auto"/>
              <w:ind w:left="318"/>
            </w:pPr>
            <w:r>
              <w:rPr>
                <w:spacing w:val="-5"/>
              </w:rPr>
              <w:t>10</w:t>
            </w:r>
            <w:r>
              <w:rPr>
                <w:spacing w:val="-40"/>
              </w:rPr>
              <w:t xml:space="preserve"> </w:t>
            </w:r>
            <w:r>
              <w:rPr>
                <w:spacing w:val="-5"/>
              </w:rPr>
              <w:t>万元/人次</w:t>
            </w:r>
          </w:p>
        </w:tc>
        <w:tc>
          <w:tcPr>
            <w:tcW w:w="1580" w:type="dxa"/>
            <w:vAlign w:val="top"/>
          </w:tcPr>
          <w:p w14:paraId="7B500097">
            <w:pPr>
              <w:pStyle w:val="9"/>
              <w:spacing w:before="107" w:line="219" w:lineRule="auto"/>
              <w:ind w:left="164"/>
            </w:pPr>
            <w:r>
              <w:rPr>
                <w:spacing w:val="-2"/>
              </w:rPr>
              <w:t>供招标人结合</w:t>
            </w:r>
          </w:p>
          <w:p w14:paraId="764E7895">
            <w:pPr>
              <w:pStyle w:val="9"/>
              <w:spacing w:before="111" w:line="220" w:lineRule="auto"/>
              <w:ind w:left="167"/>
            </w:pPr>
            <w:r>
              <w:rPr>
                <w:spacing w:val="-2"/>
              </w:rPr>
              <w:t>项目实际情况</w:t>
            </w:r>
          </w:p>
          <w:p w14:paraId="47CAF950">
            <w:pPr>
              <w:pStyle w:val="9"/>
              <w:spacing w:before="108" w:line="220" w:lineRule="auto"/>
              <w:ind w:left="166"/>
            </w:pPr>
            <w:r>
              <w:rPr>
                <w:spacing w:val="-2"/>
              </w:rPr>
              <w:t>参考使用，合</w:t>
            </w:r>
          </w:p>
          <w:p w14:paraId="63C3C0A6">
            <w:pPr>
              <w:pStyle w:val="9"/>
              <w:spacing w:before="109" w:line="217" w:lineRule="auto"/>
              <w:ind w:left="482"/>
            </w:pPr>
            <w:r>
              <w:rPr>
                <w:spacing w:val="-3"/>
              </w:rPr>
              <w:t>理设置</w:t>
            </w:r>
          </w:p>
        </w:tc>
      </w:tr>
      <w:tr w14:paraId="5645B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7481C5AE">
            <w:pPr>
              <w:pStyle w:val="9"/>
              <w:spacing w:before="287"/>
              <w:ind w:left="346"/>
            </w:pPr>
            <w:r>
              <w:rPr>
                <w:spacing w:val="-6"/>
              </w:rPr>
              <w:t>15</w:t>
            </w:r>
          </w:p>
        </w:tc>
        <w:tc>
          <w:tcPr>
            <w:tcW w:w="1469" w:type="dxa"/>
            <w:vAlign w:val="top"/>
          </w:tcPr>
          <w:p w14:paraId="58B637ED">
            <w:pPr>
              <w:pStyle w:val="9"/>
              <w:spacing w:before="288" w:line="232" w:lineRule="auto"/>
              <w:ind w:left="212"/>
            </w:pPr>
            <w:r>
              <w:rPr>
                <w:spacing w:val="-1"/>
              </w:rPr>
              <w:t>4.6.3</w:t>
            </w:r>
            <w:r>
              <w:rPr>
                <w:rFonts w:hint="eastAsia"/>
                <w:spacing w:val="-1"/>
                <w:lang w:eastAsia="zh-CN"/>
              </w:rPr>
              <w:t>(</w:t>
            </w:r>
            <w:r>
              <w:rPr>
                <w:spacing w:val="-1"/>
              </w:rPr>
              <w:t>3</w:t>
            </w:r>
            <w:r>
              <w:rPr>
                <w:rFonts w:hint="eastAsia"/>
                <w:spacing w:val="-1"/>
                <w:lang w:eastAsia="zh-CN"/>
              </w:rPr>
              <w:t>)</w:t>
            </w:r>
          </w:p>
        </w:tc>
        <w:tc>
          <w:tcPr>
            <w:tcW w:w="3762" w:type="dxa"/>
            <w:vAlign w:val="top"/>
          </w:tcPr>
          <w:p w14:paraId="4EA5BD7B">
            <w:pPr>
              <w:pStyle w:val="9"/>
              <w:spacing w:before="108" w:line="266" w:lineRule="auto"/>
              <w:ind w:left="117" w:right="103" w:hanging="2"/>
            </w:pPr>
            <w:r>
              <w:rPr>
                <w:spacing w:val="-2"/>
              </w:rPr>
              <w:t>项目经理、总工程师、质量总监、安全</w:t>
            </w:r>
            <w:r>
              <w:rPr>
                <w:spacing w:val="-1"/>
              </w:rPr>
              <w:t>总监被认定存在“挂名”现象的</w:t>
            </w:r>
          </w:p>
        </w:tc>
        <w:tc>
          <w:tcPr>
            <w:tcW w:w="1799" w:type="dxa"/>
            <w:vAlign w:val="top"/>
          </w:tcPr>
          <w:p w14:paraId="32EFACFE">
            <w:pPr>
              <w:pStyle w:val="9"/>
              <w:spacing w:before="287" w:line="220" w:lineRule="auto"/>
              <w:ind w:left="359"/>
            </w:pPr>
            <w:r>
              <w:rPr>
                <w:spacing w:val="-4"/>
              </w:rPr>
              <w:t>5</w:t>
            </w:r>
            <w:r>
              <w:rPr>
                <w:spacing w:val="-39"/>
              </w:rPr>
              <w:t xml:space="preserve"> </w:t>
            </w:r>
            <w:r>
              <w:rPr>
                <w:spacing w:val="-4"/>
              </w:rPr>
              <w:t>万元/人次</w:t>
            </w:r>
          </w:p>
        </w:tc>
        <w:tc>
          <w:tcPr>
            <w:tcW w:w="1580" w:type="dxa"/>
            <w:vAlign w:val="top"/>
          </w:tcPr>
          <w:p w14:paraId="7802AC33">
            <w:pPr>
              <w:rPr>
                <w:rFonts w:ascii="Arial"/>
                <w:sz w:val="21"/>
              </w:rPr>
            </w:pPr>
          </w:p>
        </w:tc>
      </w:tr>
      <w:tr w14:paraId="6F724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2" w:type="dxa"/>
            <w:vAlign w:val="top"/>
          </w:tcPr>
          <w:p w14:paraId="003893DB">
            <w:pPr>
              <w:spacing w:line="397" w:lineRule="auto"/>
              <w:rPr>
                <w:rFonts w:ascii="Arial"/>
                <w:sz w:val="21"/>
              </w:rPr>
            </w:pPr>
          </w:p>
          <w:p w14:paraId="60B44C3F">
            <w:pPr>
              <w:pStyle w:val="9"/>
              <w:spacing w:before="69"/>
              <w:ind w:left="346"/>
            </w:pPr>
            <w:r>
              <w:rPr>
                <w:spacing w:val="-6"/>
              </w:rPr>
              <w:t>16</w:t>
            </w:r>
          </w:p>
        </w:tc>
        <w:tc>
          <w:tcPr>
            <w:tcW w:w="1469" w:type="dxa"/>
            <w:vAlign w:val="top"/>
          </w:tcPr>
          <w:p w14:paraId="14C5D93D">
            <w:pPr>
              <w:spacing w:line="397" w:lineRule="auto"/>
              <w:rPr>
                <w:rFonts w:ascii="Arial"/>
                <w:sz w:val="21"/>
              </w:rPr>
            </w:pPr>
          </w:p>
          <w:p w14:paraId="7DF0F111">
            <w:pPr>
              <w:pStyle w:val="9"/>
              <w:spacing w:before="69" w:line="232" w:lineRule="auto"/>
              <w:ind w:left="212"/>
            </w:pPr>
            <w:r>
              <w:rPr>
                <w:spacing w:val="-1"/>
              </w:rPr>
              <w:t>4.6.3</w:t>
            </w:r>
            <w:r>
              <w:rPr>
                <w:rFonts w:hint="eastAsia"/>
                <w:spacing w:val="-1"/>
                <w:lang w:eastAsia="zh-CN"/>
              </w:rPr>
              <w:t>(</w:t>
            </w:r>
            <w:r>
              <w:rPr>
                <w:spacing w:val="-1"/>
              </w:rPr>
              <w:t>3</w:t>
            </w:r>
            <w:r>
              <w:rPr>
                <w:rFonts w:hint="eastAsia"/>
                <w:spacing w:val="-1"/>
                <w:lang w:eastAsia="zh-CN"/>
              </w:rPr>
              <w:t>)</w:t>
            </w:r>
          </w:p>
        </w:tc>
        <w:tc>
          <w:tcPr>
            <w:tcW w:w="3762" w:type="dxa"/>
            <w:vAlign w:val="top"/>
          </w:tcPr>
          <w:p w14:paraId="5B4DEB35">
            <w:pPr>
              <w:pStyle w:val="9"/>
              <w:spacing w:before="109" w:line="283" w:lineRule="auto"/>
              <w:ind w:left="115" w:right="103"/>
              <w:jc w:val="both"/>
            </w:pPr>
            <w:r>
              <w:rPr>
                <w:spacing w:val="-2"/>
              </w:rPr>
              <w:t>项目经理、总工程师、质量总监、安全</w:t>
            </w:r>
            <w:r>
              <w:rPr>
                <w:spacing w:val="-4"/>
              </w:rPr>
              <w:t>总监驻守现场不足</w:t>
            </w:r>
            <w:r>
              <w:rPr>
                <w:spacing w:val="-26"/>
              </w:rPr>
              <w:t xml:space="preserve"> </w:t>
            </w:r>
            <w:r>
              <w:rPr>
                <w:spacing w:val="-4"/>
              </w:rPr>
              <w:t>22</w:t>
            </w:r>
            <w:r>
              <w:rPr>
                <w:spacing w:val="-41"/>
              </w:rPr>
              <w:t xml:space="preserve"> </w:t>
            </w:r>
            <w:r>
              <w:rPr>
                <w:spacing w:val="-4"/>
              </w:rPr>
              <w:t>天/月，处以不足</w:t>
            </w:r>
            <w:r>
              <w:rPr>
                <w:spacing w:val="-6"/>
              </w:rPr>
              <w:t>天数的违约金。</w:t>
            </w:r>
          </w:p>
        </w:tc>
        <w:tc>
          <w:tcPr>
            <w:tcW w:w="1799" w:type="dxa"/>
            <w:vAlign w:val="top"/>
          </w:tcPr>
          <w:p w14:paraId="503FB8C2">
            <w:pPr>
              <w:spacing w:line="398" w:lineRule="auto"/>
              <w:rPr>
                <w:rFonts w:ascii="Arial"/>
                <w:sz w:val="21"/>
              </w:rPr>
            </w:pPr>
          </w:p>
          <w:p w14:paraId="165752D6">
            <w:pPr>
              <w:pStyle w:val="9"/>
              <w:spacing w:before="68" w:line="220" w:lineRule="auto"/>
              <w:ind w:left="306"/>
            </w:pPr>
            <w:r>
              <w:rPr>
                <w:spacing w:val="-3"/>
              </w:rPr>
              <w:t>5000</w:t>
            </w:r>
            <w:r>
              <w:rPr>
                <w:spacing w:val="-43"/>
              </w:rPr>
              <w:t xml:space="preserve"> </w:t>
            </w:r>
            <w:r>
              <w:rPr>
                <w:spacing w:val="-3"/>
              </w:rPr>
              <w:t>元/人日</w:t>
            </w:r>
          </w:p>
        </w:tc>
        <w:tc>
          <w:tcPr>
            <w:tcW w:w="1580" w:type="dxa"/>
            <w:vAlign w:val="top"/>
          </w:tcPr>
          <w:p w14:paraId="3F6CD2C6">
            <w:pPr>
              <w:rPr>
                <w:rFonts w:ascii="Arial"/>
                <w:sz w:val="21"/>
              </w:rPr>
            </w:pPr>
          </w:p>
        </w:tc>
      </w:tr>
      <w:tr w14:paraId="3585A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862" w:type="dxa"/>
            <w:vAlign w:val="top"/>
          </w:tcPr>
          <w:p w14:paraId="0AC20A97">
            <w:pPr>
              <w:spacing w:line="311" w:lineRule="auto"/>
              <w:rPr>
                <w:rFonts w:ascii="Arial"/>
                <w:sz w:val="21"/>
              </w:rPr>
            </w:pPr>
          </w:p>
          <w:p w14:paraId="2B6B0A67">
            <w:pPr>
              <w:spacing w:line="312" w:lineRule="auto"/>
              <w:rPr>
                <w:rFonts w:ascii="Arial"/>
                <w:sz w:val="21"/>
              </w:rPr>
            </w:pPr>
          </w:p>
          <w:p w14:paraId="252A7AEA">
            <w:pPr>
              <w:spacing w:line="312" w:lineRule="auto"/>
              <w:rPr>
                <w:rFonts w:ascii="Arial"/>
                <w:sz w:val="21"/>
              </w:rPr>
            </w:pPr>
          </w:p>
          <w:p w14:paraId="34DBE7E6">
            <w:pPr>
              <w:pStyle w:val="9"/>
              <w:spacing w:before="68"/>
              <w:ind w:left="346"/>
            </w:pPr>
            <w:r>
              <w:rPr>
                <w:spacing w:val="-6"/>
              </w:rPr>
              <w:t>17</w:t>
            </w:r>
          </w:p>
        </w:tc>
        <w:tc>
          <w:tcPr>
            <w:tcW w:w="1469" w:type="dxa"/>
            <w:vAlign w:val="top"/>
          </w:tcPr>
          <w:p w14:paraId="0980E2FA">
            <w:pPr>
              <w:spacing w:line="311" w:lineRule="auto"/>
              <w:rPr>
                <w:rFonts w:ascii="Arial"/>
                <w:sz w:val="21"/>
              </w:rPr>
            </w:pPr>
          </w:p>
          <w:p w14:paraId="27BB9817">
            <w:pPr>
              <w:spacing w:line="312" w:lineRule="auto"/>
              <w:rPr>
                <w:rFonts w:ascii="Arial"/>
                <w:sz w:val="21"/>
              </w:rPr>
            </w:pPr>
          </w:p>
          <w:p w14:paraId="1571AE5F">
            <w:pPr>
              <w:spacing w:line="312" w:lineRule="auto"/>
              <w:rPr>
                <w:rFonts w:ascii="Arial"/>
                <w:sz w:val="21"/>
              </w:rPr>
            </w:pPr>
          </w:p>
          <w:p w14:paraId="49C7FB24">
            <w:pPr>
              <w:pStyle w:val="9"/>
              <w:spacing w:before="68" w:line="232" w:lineRule="auto"/>
              <w:ind w:left="212"/>
            </w:pPr>
            <w:r>
              <w:rPr>
                <w:spacing w:val="-1"/>
              </w:rPr>
              <w:t>4.6.3</w:t>
            </w:r>
            <w:r>
              <w:rPr>
                <w:rFonts w:hint="eastAsia"/>
                <w:spacing w:val="-1"/>
                <w:lang w:eastAsia="zh-CN"/>
              </w:rPr>
              <w:t>(</w:t>
            </w:r>
            <w:r>
              <w:rPr>
                <w:spacing w:val="-1"/>
              </w:rPr>
              <w:t>4</w:t>
            </w:r>
            <w:r>
              <w:rPr>
                <w:rFonts w:hint="eastAsia"/>
                <w:spacing w:val="-1"/>
                <w:lang w:eastAsia="zh-CN"/>
              </w:rPr>
              <w:t>)</w:t>
            </w:r>
          </w:p>
        </w:tc>
        <w:tc>
          <w:tcPr>
            <w:tcW w:w="3762" w:type="dxa"/>
            <w:vAlign w:val="top"/>
          </w:tcPr>
          <w:p w14:paraId="0B3CB390">
            <w:pPr>
              <w:pStyle w:val="9"/>
              <w:spacing w:before="106" w:line="300" w:lineRule="auto"/>
              <w:ind w:left="111" w:right="103"/>
              <w:jc w:val="both"/>
            </w:pPr>
            <w:r>
              <w:rPr>
                <w:spacing w:val="11"/>
              </w:rPr>
              <w:t>专职安全生产管理人员没有按规定配</w:t>
            </w:r>
            <w:r>
              <w:rPr>
                <w:spacing w:val="-7"/>
              </w:rPr>
              <w:t>备：年度施工产值</w:t>
            </w:r>
            <w:r>
              <w:rPr>
                <w:spacing w:val="-24"/>
              </w:rPr>
              <w:t xml:space="preserve"> </w:t>
            </w:r>
            <w:r>
              <w:rPr>
                <w:spacing w:val="-7"/>
              </w:rPr>
              <w:t>5000</w:t>
            </w:r>
            <w:r>
              <w:rPr>
                <w:spacing w:val="-40"/>
              </w:rPr>
              <w:t xml:space="preserve"> </w:t>
            </w:r>
            <w:r>
              <w:rPr>
                <w:spacing w:val="-7"/>
              </w:rPr>
              <w:t>万元以上不足</w:t>
            </w:r>
            <w:r>
              <w:rPr>
                <w:spacing w:val="-42"/>
              </w:rPr>
              <w:t xml:space="preserve"> </w:t>
            </w:r>
            <w:r>
              <w:rPr>
                <w:spacing w:val="-7"/>
              </w:rPr>
              <w:t>2</w:t>
            </w:r>
            <w:r>
              <w:rPr>
                <w:spacing w:val="-1"/>
              </w:rPr>
              <w:t>亿元的按每</w:t>
            </w:r>
            <w:r>
              <w:rPr>
                <w:spacing w:val="-24"/>
              </w:rPr>
              <w:t xml:space="preserve"> </w:t>
            </w:r>
            <w:r>
              <w:rPr>
                <w:spacing w:val="-1"/>
              </w:rPr>
              <w:t>5000</w:t>
            </w:r>
            <w:r>
              <w:rPr>
                <w:spacing w:val="-34"/>
              </w:rPr>
              <w:t xml:space="preserve"> </w:t>
            </w:r>
            <w:r>
              <w:rPr>
                <w:spacing w:val="-1"/>
              </w:rPr>
              <w:t>万元不少于</w:t>
            </w:r>
            <w:r>
              <w:rPr>
                <w:spacing w:val="-22"/>
              </w:rPr>
              <w:t xml:space="preserve"> </w:t>
            </w:r>
            <w:r>
              <w:rPr>
                <w:spacing w:val="-1"/>
              </w:rPr>
              <w:t>1</w:t>
            </w:r>
            <w:r>
              <w:rPr>
                <w:spacing w:val="-37"/>
              </w:rPr>
              <w:t xml:space="preserve"> </w:t>
            </w:r>
            <w:r>
              <w:rPr>
                <w:spacing w:val="-1"/>
              </w:rPr>
              <w:t>名的比</w:t>
            </w:r>
            <w:r>
              <w:rPr>
                <w:spacing w:val="-2"/>
              </w:rPr>
              <w:t>例配备；2</w:t>
            </w:r>
            <w:r>
              <w:rPr>
                <w:spacing w:val="-36"/>
              </w:rPr>
              <w:t xml:space="preserve"> </w:t>
            </w:r>
            <w:r>
              <w:rPr>
                <w:spacing w:val="-2"/>
              </w:rPr>
              <w:t>亿元以上的不少于</w:t>
            </w:r>
            <w:r>
              <w:rPr>
                <w:spacing w:val="-35"/>
              </w:rPr>
              <w:t xml:space="preserve"> </w:t>
            </w:r>
            <w:r>
              <w:rPr>
                <w:spacing w:val="-2"/>
              </w:rPr>
              <w:t>5</w:t>
            </w:r>
            <w:r>
              <w:rPr>
                <w:spacing w:val="-40"/>
              </w:rPr>
              <w:t xml:space="preserve"> </w:t>
            </w:r>
            <w:r>
              <w:rPr>
                <w:spacing w:val="-2"/>
              </w:rPr>
              <w:t>名，且</w:t>
            </w:r>
            <w:r>
              <w:rPr>
                <w:spacing w:val="3"/>
              </w:rPr>
              <w:t>按专业配备（不足</w:t>
            </w:r>
            <w:r>
              <w:rPr>
                <w:spacing w:val="-19"/>
              </w:rPr>
              <w:t xml:space="preserve"> </w:t>
            </w:r>
            <w:r>
              <w:rPr>
                <w:spacing w:val="3"/>
              </w:rPr>
              <w:t>5000</w:t>
            </w:r>
            <w:r>
              <w:rPr>
                <w:spacing w:val="-31"/>
              </w:rPr>
              <w:t xml:space="preserve"> </w:t>
            </w:r>
            <w:r>
              <w:rPr>
                <w:spacing w:val="3"/>
              </w:rPr>
              <w:t>万至少配备</w:t>
            </w:r>
            <w:r>
              <w:rPr>
                <w:spacing w:val="-34"/>
              </w:rPr>
              <w:t xml:space="preserve"> </w:t>
            </w:r>
            <w:r>
              <w:rPr>
                <w:spacing w:val="3"/>
              </w:rPr>
              <w:t>2</w:t>
            </w:r>
            <w:r>
              <w:rPr>
                <w:spacing w:val="-9"/>
              </w:rPr>
              <w:t>名）。</w:t>
            </w:r>
          </w:p>
        </w:tc>
        <w:tc>
          <w:tcPr>
            <w:tcW w:w="1799" w:type="dxa"/>
            <w:vAlign w:val="top"/>
          </w:tcPr>
          <w:p w14:paraId="5E2A24C2">
            <w:pPr>
              <w:spacing w:line="311" w:lineRule="auto"/>
              <w:rPr>
                <w:rFonts w:ascii="Arial"/>
                <w:sz w:val="21"/>
              </w:rPr>
            </w:pPr>
          </w:p>
          <w:p w14:paraId="30454613">
            <w:pPr>
              <w:spacing w:line="312" w:lineRule="auto"/>
              <w:rPr>
                <w:rFonts w:ascii="Arial"/>
                <w:sz w:val="21"/>
              </w:rPr>
            </w:pPr>
          </w:p>
          <w:p w14:paraId="784B005F">
            <w:pPr>
              <w:spacing w:line="312" w:lineRule="auto"/>
              <w:rPr>
                <w:rFonts w:ascii="Arial"/>
                <w:sz w:val="21"/>
              </w:rPr>
            </w:pPr>
          </w:p>
          <w:p w14:paraId="5EE8BAFB">
            <w:pPr>
              <w:pStyle w:val="9"/>
              <w:spacing w:before="68" w:line="220" w:lineRule="auto"/>
              <w:ind w:left="359"/>
            </w:pPr>
            <w:r>
              <w:rPr>
                <w:spacing w:val="-4"/>
              </w:rPr>
              <w:t>5</w:t>
            </w:r>
            <w:r>
              <w:rPr>
                <w:spacing w:val="-39"/>
              </w:rPr>
              <w:t xml:space="preserve"> </w:t>
            </w:r>
            <w:r>
              <w:rPr>
                <w:spacing w:val="-4"/>
              </w:rPr>
              <w:t>万元/人次</w:t>
            </w:r>
          </w:p>
        </w:tc>
        <w:tc>
          <w:tcPr>
            <w:tcW w:w="1580" w:type="dxa"/>
            <w:vAlign w:val="top"/>
          </w:tcPr>
          <w:p w14:paraId="5842C21C">
            <w:pPr>
              <w:rPr>
                <w:rFonts w:ascii="Arial"/>
                <w:sz w:val="21"/>
              </w:rPr>
            </w:pPr>
          </w:p>
        </w:tc>
      </w:tr>
      <w:tr w14:paraId="0CE5E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0920D189">
            <w:pPr>
              <w:spacing w:line="399" w:lineRule="auto"/>
              <w:rPr>
                <w:rFonts w:ascii="Arial"/>
                <w:sz w:val="21"/>
              </w:rPr>
            </w:pPr>
          </w:p>
          <w:p w14:paraId="2E44E9CB">
            <w:pPr>
              <w:pStyle w:val="9"/>
              <w:spacing w:before="68"/>
              <w:ind w:left="346"/>
            </w:pPr>
            <w:r>
              <w:rPr>
                <w:spacing w:val="-6"/>
              </w:rPr>
              <w:t>18</w:t>
            </w:r>
          </w:p>
        </w:tc>
        <w:tc>
          <w:tcPr>
            <w:tcW w:w="1469" w:type="dxa"/>
            <w:vAlign w:val="top"/>
          </w:tcPr>
          <w:p w14:paraId="177A1C7E">
            <w:pPr>
              <w:spacing w:line="399" w:lineRule="auto"/>
              <w:rPr>
                <w:rFonts w:ascii="Arial"/>
                <w:sz w:val="21"/>
              </w:rPr>
            </w:pPr>
          </w:p>
          <w:p w14:paraId="5C201AEE">
            <w:pPr>
              <w:pStyle w:val="9"/>
              <w:spacing w:before="68" w:line="232" w:lineRule="auto"/>
              <w:ind w:left="212"/>
            </w:pPr>
            <w:r>
              <w:rPr>
                <w:spacing w:val="-1"/>
              </w:rPr>
              <w:t>4.6.3</w:t>
            </w:r>
            <w:r>
              <w:rPr>
                <w:rFonts w:hint="eastAsia"/>
                <w:spacing w:val="-1"/>
                <w:lang w:eastAsia="zh-CN"/>
              </w:rPr>
              <w:t>(</w:t>
            </w:r>
            <w:r>
              <w:rPr>
                <w:spacing w:val="-1"/>
              </w:rPr>
              <w:t>5</w:t>
            </w:r>
            <w:r>
              <w:rPr>
                <w:rFonts w:hint="eastAsia"/>
                <w:spacing w:val="-1"/>
                <w:lang w:eastAsia="zh-CN"/>
              </w:rPr>
              <w:t>)</w:t>
            </w:r>
          </w:p>
        </w:tc>
        <w:tc>
          <w:tcPr>
            <w:tcW w:w="3762" w:type="dxa"/>
            <w:vAlign w:val="top"/>
          </w:tcPr>
          <w:p w14:paraId="66B60566">
            <w:pPr>
              <w:pStyle w:val="9"/>
              <w:spacing w:before="111" w:line="282" w:lineRule="auto"/>
              <w:ind w:left="112" w:right="103" w:firstLine="2"/>
              <w:jc w:val="both"/>
            </w:pPr>
            <w:r>
              <w:rPr>
                <w:spacing w:val="10"/>
              </w:rPr>
              <w:t>项目经理或总工程师无故缺席发包人</w:t>
            </w:r>
            <w:r>
              <w:rPr>
                <w:spacing w:val="-2"/>
              </w:rPr>
              <w:t>指定的各种会议，包括监理人主持的重</w:t>
            </w:r>
            <w:r>
              <w:rPr>
                <w:spacing w:val="-4"/>
              </w:rPr>
              <w:t>要会议（如工地例会等）。</w:t>
            </w:r>
          </w:p>
        </w:tc>
        <w:tc>
          <w:tcPr>
            <w:tcW w:w="1799" w:type="dxa"/>
            <w:vAlign w:val="top"/>
          </w:tcPr>
          <w:p w14:paraId="2AC5C5F8">
            <w:pPr>
              <w:spacing w:line="399" w:lineRule="auto"/>
              <w:rPr>
                <w:rFonts w:ascii="Arial"/>
                <w:sz w:val="21"/>
              </w:rPr>
            </w:pPr>
          </w:p>
          <w:p w14:paraId="67D86D3D">
            <w:pPr>
              <w:pStyle w:val="9"/>
              <w:spacing w:before="68" w:line="220" w:lineRule="auto"/>
              <w:ind w:left="476"/>
            </w:pPr>
            <w:r>
              <w:rPr>
                <w:spacing w:val="-7"/>
              </w:rPr>
              <w:t>1</w:t>
            </w:r>
            <w:r>
              <w:rPr>
                <w:spacing w:val="-40"/>
              </w:rPr>
              <w:t xml:space="preserve"> </w:t>
            </w:r>
            <w:r>
              <w:rPr>
                <w:spacing w:val="-7"/>
              </w:rPr>
              <w:t>万元/次</w:t>
            </w:r>
          </w:p>
        </w:tc>
        <w:tc>
          <w:tcPr>
            <w:tcW w:w="1580" w:type="dxa"/>
            <w:vAlign w:val="top"/>
          </w:tcPr>
          <w:p w14:paraId="0435211D">
            <w:pPr>
              <w:rPr>
                <w:rFonts w:ascii="Arial"/>
                <w:sz w:val="21"/>
              </w:rPr>
            </w:pPr>
          </w:p>
        </w:tc>
      </w:tr>
      <w:tr w14:paraId="62627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862" w:type="dxa"/>
            <w:vAlign w:val="top"/>
          </w:tcPr>
          <w:p w14:paraId="33A0FF3E">
            <w:pPr>
              <w:spacing w:line="399" w:lineRule="auto"/>
              <w:rPr>
                <w:rFonts w:ascii="Arial"/>
                <w:sz w:val="21"/>
              </w:rPr>
            </w:pPr>
          </w:p>
          <w:p w14:paraId="74BB8364">
            <w:pPr>
              <w:pStyle w:val="9"/>
              <w:spacing w:before="69"/>
              <w:ind w:left="346"/>
            </w:pPr>
            <w:r>
              <w:rPr>
                <w:spacing w:val="-11"/>
              </w:rPr>
              <w:t>19</w:t>
            </w:r>
          </w:p>
        </w:tc>
        <w:tc>
          <w:tcPr>
            <w:tcW w:w="1469" w:type="dxa"/>
            <w:vAlign w:val="top"/>
          </w:tcPr>
          <w:p w14:paraId="7B8D68D0">
            <w:pPr>
              <w:spacing w:line="400" w:lineRule="auto"/>
              <w:rPr>
                <w:rFonts w:ascii="Arial"/>
                <w:sz w:val="21"/>
              </w:rPr>
            </w:pPr>
          </w:p>
          <w:p w14:paraId="3098DB88">
            <w:pPr>
              <w:pStyle w:val="9"/>
              <w:spacing w:before="68" w:line="239" w:lineRule="auto"/>
              <w:ind w:left="473"/>
            </w:pPr>
            <w:r>
              <w:rPr>
                <w:spacing w:val="-2"/>
              </w:rPr>
              <w:t>4.6.6</w:t>
            </w:r>
          </w:p>
        </w:tc>
        <w:tc>
          <w:tcPr>
            <w:tcW w:w="3762" w:type="dxa"/>
            <w:vAlign w:val="top"/>
          </w:tcPr>
          <w:p w14:paraId="01536317">
            <w:pPr>
              <w:pStyle w:val="9"/>
              <w:spacing w:before="109" w:line="283" w:lineRule="auto"/>
              <w:ind w:left="113" w:right="103" w:firstLine="1"/>
              <w:jc w:val="both"/>
            </w:pPr>
            <w:r>
              <w:rPr>
                <w:spacing w:val="-2"/>
              </w:rPr>
              <w:t>不签订劳动合同、非法使用农民工的，或者拖延和克扣农民工工资的，由此造</w:t>
            </w:r>
            <w:r>
              <w:rPr>
                <w:spacing w:val="-3"/>
              </w:rPr>
              <w:t>成劳务人员上访或劳动纠纷的。</w:t>
            </w:r>
          </w:p>
        </w:tc>
        <w:tc>
          <w:tcPr>
            <w:tcW w:w="1799" w:type="dxa"/>
            <w:vAlign w:val="top"/>
          </w:tcPr>
          <w:p w14:paraId="6FBC43FA">
            <w:pPr>
              <w:spacing w:line="399" w:lineRule="auto"/>
              <w:rPr>
                <w:rFonts w:ascii="Arial"/>
                <w:sz w:val="21"/>
              </w:rPr>
            </w:pPr>
          </w:p>
          <w:p w14:paraId="3E665A00">
            <w:pPr>
              <w:pStyle w:val="9"/>
              <w:spacing w:before="68" w:line="220" w:lineRule="auto"/>
              <w:ind w:left="423"/>
            </w:pPr>
            <w:r>
              <w:rPr>
                <w:spacing w:val="-6"/>
              </w:rPr>
              <w:t>10</w:t>
            </w:r>
            <w:r>
              <w:rPr>
                <w:spacing w:val="-38"/>
              </w:rPr>
              <w:t xml:space="preserve"> </w:t>
            </w:r>
            <w:r>
              <w:rPr>
                <w:spacing w:val="-6"/>
              </w:rPr>
              <w:t>万元/次</w:t>
            </w:r>
          </w:p>
        </w:tc>
        <w:tc>
          <w:tcPr>
            <w:tcW w:w="1580" w:type="dxa"/>
            <w:vAlign w:val="top"/>
          </w:tcPr>
          <w:p w14:paraId="7DFE2753">
            <w:pPr>
              <w:rPr>
                <w:rFonts w:ascii="Arial"/>
                <w:sz w:val="21"/>
              </w:rPr>
            </w:pPr>
          </w:p>
        </w:tc>
      </w:tr>
      <w:tr w14:paraId="77E9E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862" w:type="dxa"/>
            <w:vAlign w:val="top"/>
          </w:tcPr>
          <w:p w14:paraId="01B7275D">
            <w:pPr>
              <w:spacing w:line="400" w:lineRule="auto"/>
              <w:rPr>
                <w:rFonts w:ascii="Arial"/>
                <w:sz w:val="21"/>
              </w:rPr>
            </w:pPr>
          </w:p>
          <w:p w14:paraId="2C49CFE0">
            <w:pPr>
              <w:pStyle w:val="9"/>
              <w:spacing w:before="68"/>
              <w:ind w:left="333"/>
            </w:pPr>
            <w:r>
              <w:rPr>
                <w:spacing w:val="-5"/>
              </w:rPr>
              <w:t>20</w:t>
            </w:r>
          </w:p>
        </w:tc>
        <w:tc>
          <w:tcPr>
            <w:tcW w:w="1469" w:type="dxa"/>
            <w:vAlign w:val="top"/>
          </w:tcPr>
          <w:p w14:paraId="6A423BFD">
            <w:pPr>
              <w:spacing w:line="400" w:lineRule="auto"/>
              <w:rPr>
                <w:rFonts w:ascii="Arial"/>
                <w:sz w:val="21"/>
              </w:rPr>
            </w:pPr>
          </w:p>
          <w:p w14:paraId="59770C58">
            <w:pPr>
              <w:pStyle w:val="9"/>
              <w:spacing w:before="69" w:line="239" w:lineRule="auto"/>
              <w:ind w:left="473"/>
            </w:pPr>
            <w:r>
              <w:rPr>
                <w:spacing w:val="-2"/>
              </w:rPr>
              <w:t>4.6.6</w:t>
            </w:r>
          </w:p>
        </w:tc>
        <w:tc>
          <w:tcPr>
            <w:tcW w:w="3762" w:type="dxa"/>
            <w:vAlign w:val="top"/>
          </w:tcPr>
          <w:p w14:paraId="1BFE7D07">
            <w:pPr>
              <w:pStyle w:val="9"/>
              <w:spacing w:before="112" w:line="283" w:lineRule="auto"/>
              <w:ind w:left="114" w:right="103"/>
              <w:jc w:val="both"/>
            </w:pPr>
            <w:r>
              <w:rPr>
                <w:spacing w:val="-2"/>
              </w:rPr>
              <w:t>未按交通运输主管部门、上级主管或管</w:t>
            </w:r>
            <w:r>
              <w:rPr>
                <w:spacing w:val="11"/>
              </w:rPr>
              <w:t>理单位等要求落实从业人员实名制管</w:t>
            </w:r>
            <w:r>
              <w:rPr>
                <w:spacing w:val="-4"/>
              </w:rPr>
              <w:t>理和工资支付管理的。</w:t>
            </w:r>
          </w:p>
        </w:tc>
        <w:tc>
          <w:tcPr>
            <w:tcW w:w="1799" w:type="dxa"/>
            <w:vAlign w:val="top"/>
          </w:tcPr>
          <w:p w14:paraId="330E537A">
            <w:pPr>
              <w:spacing w:line="400" w:lineRule="auto"/>
              <w:rPr>
                <w:rFonts w:ascii="Arial"/>
                <w:sz w:val="21"/>
              </w:rPr>
            </w:pPr>
          </w:p>
          <w:p w14:paraId="76252F1D">
            <w:pPr>
              <w:pStyle w:val="9"/>
              <w:spacing w:before="68" w:line="220" w:lineRule="auto"/>
              <w:ind w:left="465"/>
            </w:pPr>
            <w:r>
              <w:rPr>
                <w:spacing w:val="-5"/>
              </w:rPr>
              <w:t>5</w:t>
            </w:r>
            <w:r>
              <w:rPr>
                <w:spacing w:val="-38"/>
              </w:rPr>
              <w:t xml:space="preserve"> </w:t>
            </w:r>
            <w:r>
              <w:rPr>
                <w:spacing w:val="-5"/>
              </w:rPr>
              <w:t>万元/次</w:t>
            </w:r>
          </w:p>
        </w:tc>
        <w:tc>
          <w:tcPr>
            <w:tcW w:w="1580" w:type="dxa"/>
            <w:vAlign w:val="top"/>
          </w:tcPr>
          <w:p w14:paraId="3FD6A665">
            <w:pPr>
              <w:rPr>
                <w:rFonts w:ascii="Arial"/>
                <w:sz w:val="21"/>
              </w:rPr>
            </w:pPr>
          </w:p>
        </w:tc>
      </w:tr>
    </w:tbl>
    <w:p w14:paraId="0B384848">
      <w:pPr>
        <w:pStyle w:val="2"/>
      </w:pPr>
    </w:p>
    <w:p w14:paraId="046E1B69">
      <w:pPr>
        <w:sectPr>
          <w:footerReference r:id="rId132" w:type="default"/>
          <w:pgSz w:w="11905" w:h="16840"/>
          <w:pgMar w:top="1182" w:right="1123" w:bottom="1171" w:left="1303" w:header="849" w:footer="937" w:gutter="0"/>
          <w:pgNumType w:fmt="decimal"/>
          <w:cols w:space="720" w:num="1"/>
        </w:sectPr>
      </w:pPr>
    </w:p>
    <w:p w14:paraId="2002FFE1">
      <w:pPr>
        <w:spacing w:line="234" w:lineRule="exact"/>
      </w:pPr>
    </w:p>
    <w:tbl>
      <w:tblPr>
        <w:tblStyle w:val="8"/>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6407A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4F7D5476">
            <w:pPr>
              <w:pStyle w:val="9"/>
              <w:spacing w:before="214" w:line="221" w:lineRule="auto"/>
              <w:ind w:left="225"/>
            </w:pPr>
            <w:r>
              <w:rPr>
                <w:b/>
                <w:bCs/>
                <w:spacing w:val="-4"/>
              </w:rPr>
              <w:t>序号</w:t>
            </w:r>
          </w:p>
        </w:tc>
        <w:tc>
          <w:tcPr>
            <w:tcW w:w="1469" w:type="dxa"/>
            <w:vAlign w:val="top"/>
          </w:tcPr>
          <w:p w14:paraId="3A509DB7">
            <w:pPr>
              <w:pStyle w:val="9"/>
              <w:spacing w:before="213" w:line="219" w:lineRule="auto"/>
              <w:ind w:left="319"/>
            </w:pPr>
            <w:r>
              <w:rPr>
                <w:b/>
                <w:bCs/>
                <w:spacing w:val="-5"/>
              </w:rPr>
              <w:t>合同依据</w:t>
            </w:r>
          </w:p>
        </w:tc>
        <w:tc>
          <w:tcPr>
            <w:tcW w:w="3762" w:type="dxa"/>
            <w:vAlign w:val="top"/>
          </w:tcPr>
          <w:p w14:paraId="685F1B84">
            <w:pPr>
              <w:pStyle w:val="9"/>
              <w:spacing w:before="213" w:line="220" w:lineRule="auto"/>
              <w:ind w:left="1465"/>
            </w:pPr>
            <w:r>
              <w:rPr>
                <w:b/>
                <w:bCs/>
                <w:spacing w:val="-4"/>
              </w:rPr>
              <w:t>违约内容</w:t>
            </w:r>
          </w:p>
        </w:tc>
        <w:tc>
          <w:tcPr>
            <w:tcW w:w="1799" w:type="dxa"/>
            <w:vAlign w:val="top"/>
          </w:tcPr>
          <w:p w14:paraId="75EFD6A2">
            <w:pPr>
              <w:pStyle w:val="9"/>
              <w:spacing w:before="214" w:line="220" w:lineRule="auto"/>
              <w:ind w:left="381"/>
            </w:pPr>
            <w:r>
              <w:rPr>
                <w:b/>
                <w:bCs/>
                <w:spacing w:val="-4"/>
              </w:rPr>
              <w:t>违约金标准</w:t>
            </w:r>
          </w:p>
        </w:tc>
        <w:tc>
          <w:tcPr>
            <w:tcW w:w="1580" w:type="dxa"/>
            <w:vAlign w:val="top"/>
          </w:tcPr>
          <w:p w14:paraId="3EB8B399">
            <w:pPr>
              <w:pStyle w:val="9"/>
              <w:spacing w:before="214" w:line="221" w:lineRule="auto"/>
              <w:ind w:left="586"/>
            </w:pPr>
            <w:r>
              <w:rPr>
                <w:b/>
                <w:bCs/>
                <w:spacing w:val="-5"/>
              </w:rPr>
              <w:t>备注</w:t>
            </w:r>
          </w:p>
        </w:tc>
      </w:tr>
      <w:tr w14:paraId="0360D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2" w:type="dxa"/>
            <w:vAlign w:val="top"/>
          </w:tcPr>
          <w:p w14:paraId="16187A90">
            <w:pPr>
              <w:pStyle w:val="9"/>
              <w:spacing w:before="209" w:line="241" w:lineRule="auto"/>
              <w:ind w:left="333"/>
            </w:pPr>
            <w:r>
              <w:rPr>
                <w:spacing w:val="-5"/>
              </w:rPr>
              <w:t>21</w:t>
            </w:r>
          </w:p>
        </w:tc>
        <w:tc>
          <w:tcPr>
            <w:tcW w:w="1469" w:type="dxa"/>
            <w:vAlign w:val="top"/>
          </w:tcPr>
          <w:p w14:paraId="6BC4EF85">
            <w:pPr>
              <w:pStyle w:val="9"/>
              <w:spacing w:before="209" w:line="239" w:lineRule="auto"/>
              <w:ind w:left="473"/>
            </w:pPr>
            <w:r>
              <w:rPr>
                <w:spacing w:val="-2"/>
              </w:rPr>
              <w:t>4.6.7</w:t>
            </w:r>
          </w:p>
        </w:tc>
        <w:tc>
          <w:tcPr>
            <w:tcW w:w="3762" w:type="dxa"/>
            <w:vAlign w:val="top"/>
          </w:tcPr>
          <w:p w14:paraId="4E7829DF">
            <w:pPr>
              <w:pStyle w:val="9"/>
              <w:spacing w:before="208" w:line="220" w:lineRule="auto"/>
              <w:ind w:left="114"/>
            </w:pPr>
            <w:r>
              <w:rPr>
                <w:spacing w:val="-1"/>
              </w:rPr>
              <w:t>分项工程的施工员没在现场管理的</w:t>
            </w:r>
          </w:p>
        </w:tc>
        <w:tc>
          <w:tcPr>
            <w:tcW w:w="1799" w:type="dxa"/>
            <w:vAlign w:val="top"/>
          </w:tcPr>
          <w:p w14:paraId="2DB8E84D">
            <w:pPr>
              <w:pStyle w:val="9"/>
              <w:spacing w:before="208" w:line="220" w:lineRule="auto"/>
              <w:ind w:left="424"/>
            </w:pPr>
            <w:r>
              <w:rPr>
                <w:spacing w:val="-5"/>
              </w:rPr>
              <w:t>1000</w:t>
            </w:r>
            <w:r>
              <w:rPr>
                <w:spacing w:val="-40"/>
              </w:rPr>
              <w:t xml:space="preserve"> </w:t>
            </w:r>
            <w:r>
              <w:rPr>
                <w:spacing w:val="-5"/>
              </w:rPr>
              <w:t>元/次</w:t>
            </w:r>
          </w:p>
        </w:tc>
        <w:tc>
          <w:tcPr>
            <w:tcW w:w="1580" w:type="dxa"/>
            <w:vAlign w:val="top"/>
          </w:tcPr>
          <w:p w14:paraId="494C769A">
            <w:pPr>
              <w:rPr>
                <w:rFonts w:ascii="Arial"/>
                <w:sz w:val="21"/>
              </w:rPr>
            </w:pPr>
          </w:p>
        </w:tc>
      </w:tr>
      <w:tr w14:paraId="72F5C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3032237B">
            <w:pPr>
              <w:pStyle w:val="9"/>
              <w:spacing w:before="286" w:line="241" w:lineRule="auto"/>
              <w:ind w:left="333"/>
            </w:pPr>
            <w:r>
              <w:rPr>
                <w:spacing w:val="-5"/>
              </w:rPr>
              <w:t>22</w:t>
            </w:r>
          </w:p>
        </w:tc>
        <w:tc>
          <w:tcPr>
            <w:tcW w:w="1469" w:type="dxa"/>
            <w:vAlign w:val="top"/>
          </w:tcPr>
          <w:p w14:paraId="3DAD52A9">
            <w:pPr>
              <w:pStyle w:val="9"/>
              <w:spacing w:before="286" w:line="239" w:lineRule="auto"/>
              <w:ind w:left="473"/>
            </w:pPr>
            <w:r>
              <w:rPr>
                <w:spacing w:val="-2"/>
              </w:rPr>
              <w:t>4.6.7</w:t>
            </w:r>
          </w:p>
        </w:tc>
        <w:tc>
          <w:tcPr>
            <w:tcW w:w="3762" w:type="dxa"/>
            <w:vAlign w:val="top"/>
          </w:tcPr>
          <w:p w14:paraId="00BC3AFA">
            <w:pPr>
              <w:pStyle w:val="9"/>
              <w:spacing w:before="106" w:line="267" w:lineRule="auto"/>
              <w:ind w:left="110" w:right="102" w:firstLine="1"/>
            </w:pPr>
            <w:r>
              <w:rPr>
                <w:spacing w:val="-2"/>
              </w:rPr>
              <w:t>重要工序（桩基、面层施工等</w:t>
            </w:r>
            <w:r>
              <w:t>），</w:t>
            </w:r>
            <w:r>
              <w:rPr>
                <w:spacing w:val="-2"/>
              </w:rPr>
              <w:t>没有</w:t>
            </w:r>
            <w:r>
              <w:rPr>
                <w:spacing w:val="-1"/>
              </w:rPr>
              <w:t>施工员在现场管理的</w:t>
            </w:r>
          </w:p>
        </w:tc>
        <w:tc>
          <w:tcPr>
            <w:tcW w:w="1799" w:type="dxa"/>
            <w:vAlign w:val="top"/>
          </w:tcPr>
          <w:p w14:paraId="125FCBBD">
            <w:pPr>
              <w:pStyle w:val="9"/>
              <w:spacing w:before="285" w:line="220" w:lineRule="auto"/>
              <w:ind w:left="410"/>
            </w:pPr>
            <w:r>
              <w:rPr>
                <w:spacing w:val="-3"/>
              </w:rPr>
              <w:t>2000</w:t>
            </w:r>
            <w:r>
              <w:rPr>
                <w:spacing w:val="-40"/>
              </w:rPr>
              <w:t xml:space="preserve"> </w:t>
            </w:r>
            <w:r>
              <w:rPr>
                <w:spacing w:val="-3"/>
              </w:rPr>
              <w:t>元/次</w:t>
            </w:r>
          </w:p>
        </w:tc>
        <w:tc>
          <w:tcPr>
            <w:tcW w:w="1580" w:type="dxa"/>
            <w:vAlign w:val="top"/>
          </w:tcPr>
          <w:p w14:paraId="3E81FCE1">
            <w:pPr>
              <w:rPr>
                <w:rFonts w:ascii="Arial"/>
                <w:sz w:val="21"/>
              </w:rPr>
            </w:pPr>
          </w:p>
        </w:tc>
      </w:tr>
      <w:tr w14:paraId="682EF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862" w:type="dxa"/>
            <w:vAlign w:val="top"/>
          </w:tcPr>
          <w:p w14:paraId="3ED1AF40">
            <w:pPr>
              <w:pStyle w:val="9"/>
              <w:spacing w:before="286"/>
              <w:ind w:left="333"/>
            </w:pPr>
            <w:r>
              <w:rPr>
                <w:spacing w:val="-5"/>
              </w:rPr>
              <w:t>23</w:t>
            </w:r>
          </w:p>
        </w:tc>
        <w:tc>
          <w:tcPr>
            <w:tcW w:w="1469" w:type="dxa"/>
            <w:vAlign w:val="top"/>
          </w:tcPr>
          <w:p w14:paraId="063A56F9">
            <w:pPr>
              <w:pStyle w:val="9"/>
              <w:spacing w:before="287" w:line="239" w:lineRule="auto"/>
              <w:ind w:left="473"/>
            </w:pPr>
            <w:r>
              <w:rPr>
                <w:spacing w:val="-2"/>
              </w:rPr>
              <w:t>4.6.7</w:t>
            </w:r>
          </w:p>
        </w:tc>
        <w:tc>
          <w:tcPr>
            <w:tcW w:w="3762" w:type="dxa"/>
            <w:vAlign w:val="top"/>
          </w:tcPr>
          <w:p w14:paraId="575F5139">
            <w:pPr>
              <w:pStyle w:val="9"/>
              <w:spacing w:before="106" w:line="268" w:lineRule="auto"/>
              <w:ind w:left="113" w:right="102" w:hanging="3"/>
            </w:pPr>
            <w:r>
              <w:rPr>
                <w:spacing w:val="2"/>
              </w:rPr>
              <w:t>超过</w:t>
            </w:r>
            <w:r>
              <w:rPr>
                <w:spacing w:val="-29"/>
              </w:rPr>
              <w:t xml:space="preserve"> </w:t>
            </w:r>
            <w:r>
              <w:rPr>
                <w:spacing w:val="2"/>
              </w:rPr>
              <w:t>24</w:t>
            </w:r>
            <w:r>
              <w:rPr>
                <w:spacing w:val="-33"/>
              </w:rPr>
              <w:t xml:space="preserve"> </w:t>
            </w:r>
            <w:r>
              <w:rPr>
                <w:spacing w:val="2"/>
              </w:rPr>
              <w:t>小时没有施工员在场而继续施</w:t>
            </w:r>
            <w:r>
              <w:rPr>
                <w:spacing w:val="-3"/>
              </w:rPr>
              <w:t>工的</w:t>
            </w:r>
          </w:p>
        </w:tc>
        <w:tc>
          <w:tcPr>
            <w:tcW w:w="1799" w:type="dxa"/>
            <w:vAlign w:val="top"/>
          </w:tcPr>
          <w:p w14:paraId="39519379">
            <w:pPr>
              <w:pStyle w:val="9"/>
              <w:spacing w:before="286" w:line="220" w:lineRule="auto"/>
              <w:ind w:left="412"/>
            </w:pPr>
            <w:r>
              <w:rPr>
                <w:spacing w:val="-3"/>
              </w:rPr>
              <w:t>5000</w:t>
            </w:r>
            <w:r>
              <w:rPr>
                <w:spacing w:val="-42"/>
              </w:rPr>
              <w:t xml:space="preserve"> </w:t>
            </w:r>
            <w:r>
              <w:rPr>
                <w:spacing w:val="-3"/>
              </w:rPr>
              <w:t>元/次</w:t>
            </w:r>
          </w:p>
        </w:tc>
        <w:tc>
          <w:tcPr>
            <w:tcW w:w="1580" w:type="dxa"/>
            <w:vAlign w:val="top"/>
          </w:tcPr>
          <w:p w14:paraId="0D793F93">
            <w:pPr>
              <w:rPr>
                <w:rFonts w:ascii="Arial"/>
                <w:sz w:val="21"/>
              </w:rPr>
            </w:pPr>
          </w:p>
        </w:tc>
      </w:tr>
      <w:tr w14:paraId="448AE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49EF26EC">
            <w:pPr>
              <w:pStyle w:val="9"/>
              <w:spacing w:before="287" w:line="241" w:lineRule="auto"/>
              <w:ind w:left="333"/>
            </w:pPr>
            <w:r>
              <w:rPr>
                <w:spacing w:val="-3"/>
              </w:rPr>
              <w:t>24</w:t>
            </w:r>
          </w:p>
        </w:tc>
        <w:tc>
          <w:tcPr>
            <w:tcW w:w="1469" w:type="dxa"/>
            <w:vAlign w:val="top"/>
          </w:tcPr>
          <w:p w14:paraId="29DDB7C7">
            <w:pPr>
              <w:pStyle w:val="9"/>
              <w:spacing w:before="286" w:line="239" w:lineRule="auto"/>
              <w:ind w:left="579"/>
            </w:pPr>
            <w:r>
              <w:rPr>
                <w:spacing w:val="-3"/>
              </w:rPr>
              <w:t>4.9</w:t>
            </w:r>
          </w:p>
        </w:tc>
        <w:tc>
          <w:tcPr>
            <w:tcW w:w="3762" w:type="dxa"/>
            <w:vAlign w:val="top"/>
          </w:tcPr>
          <w:p w14:paraId="6F7B15A2">
            <w:pPr>
              <w:pStyle w:val="9"/>
              <w:spacing w:before="106" w:line="267" w:lineRule="auto"/>
              <w:ind w:left="113" w:right="106" w:hanging="2"/>
            </w:pPr>
            <w:r>
              <w:rPr>
                <w:spacing w:val="11"/>
              </w:rPr>
              <w:t>承包人将工程进度款转移或用于其他</w:t>
            </w:r>
            <w:r>
              <w:rPr>
                <w:spacing w:val="-3"/>
              </w:rPr>
              <w:t>工程的</w:t>
            </w:r>
          </w:p>
        </w:tc>
        <w:tc>
          <w:tcPr>
            <w:tcW w:w="1799" w:type="dxa"/>
            <w:vAlign w:val="top"/>
          </w:tcPr>
          <w:p w14:paraId="4212C91F">
            <w:pPr>
              <w:pStyle w:val="9"/>
              <w:spacing w:before="286" w:line="220" w:lineRule="auto"/>
              <w:ind w:left="476"/>
            </w:pPr>
            <w:r>
              <w:rPr>
                <w:spacing w:val="-7"/>
              </w:rPr>
              <w:t>1</w:t>
            </w:r>
            <w:r>
              <w:rPr>
                <w:spacing w:val="-40"/>
              </w:rPr>
              <w:t xml:space="preserve"> </w:t>
            </w:r>
            <w:r>
              <w:rPr>
                <w:spacing w:val="-7"/>
              </w:rPr>
              <w:t>万元/次</w:t>
            </w:r>
          </w:p>
        </w:tc>
        <w:tc>
          <w:tcPr>
            <w:tcW w:w="1580" w:type="dxa"/>
            <w:vAlign w:val="top"/>
          </w:tcPr>
          <w:p w14:paraId="3A173D9A">
            <w:pPr>
              <w:rPr>
                <w:rFonts w:ascii="Arial"/>
                <w:sz w:val="21"/>
              </w:rPr>
            </w:pPr>
          </w:p>
        </w:tc>
      </w:tr>
      <w:tr w14:paraId="243FB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5B184742">
            <w:pPr>
              <w:pStyle w:val="9"/>
              <w:spacing w:before="287"/>
              <w:ind w:left="333"/>
            </w:pPr>
            <w:r>
              <w:rPr>
                <w:spacing w:val="-5"/>
              </w:rPr>
              <w:t>25</w:t>
            </w:r>
          </w:p>
        </w:tc>
        <w:tc>
          <w:tcPr>
            <w:tcW w:w="1469" w:type="dxa"/>
            <w:vAlign w:val="top"/>
          </w:tcPr>
          <w:p w14:paraId="7229585F">
            <w:pPr>
              <w:pStyle w:val="9"/>
              <w:spacing w:before="287" w:line="232" w:lineRule="auto"/>
              <w:ind w:left="263"/>
            </w:pPr>
            <w:r>
              <w:rPr>
                <w:spacing w:val="-3"/>
              </w:rPr>
              <w:t>4.13</w:t>
            </w:r>
            <w:r>
              <w:rPr>
                <w:rFonts w:hint="eastAsia"/>
                <w:spacing w:val="-3"/>
                <w:lang w:eastAsia="zh-CN"/>
              </w:rPr>
              <w:t>(</w:t>
            </w:r>
            <w:r>
              <w:rPr>
                <w:spacing w:val="-3"/>
              </w:rPr>
              <w:t>3</w:t>
            </w:r>
            <w:r>
              <w:rPr>
                <w:rFonts w:hint="eastAsia"/>
                <w:spacing w:val="-3"/>
                <w:lang w:eastAsia="zh-CN"/>
              </w:rPr>
              <w:t>)</w:t>
            </w:r>
          </w:p>
        </w:tc>
        <w:tc>
          <w:tcPr>
            <w:tcW w:w="3762" w:type="dxa"/>
            <w:vAlign w:val="top"/>
          </w:tcPr>
          <w:p w14:paraId="2D2B1AF0">
            <w:pPr>
              <w:pStyle w:val="9"/>
              <w:spacing w:before="106" w:line="267" w:lineRule="auto"/>
              <w:ind w:left="111" w:right="106" w:hanging="1"/>
            </w:pPr>
            <w:r>
              <w:rPr>
                <w:spacing w:val="11"/>
              </w:rPr>
              <w:t>拒绝完成发包人对于界面模糊点的工</w:t>
            </w:r>
            <w:r>
              <w:rPr>
                <w:spacing w:val="-2"/>
              </w:rPr>
              <w:t>作指派的</w:t>
            </w:r>
          </w:p>
        </w:tc>
        <w:tc>
          <w:tcPr>
            <w:tcW w:w="1799" w:type="dxa"/>
            <w:vAlign w:val="top"/>
          </w:tcPr>
          <w:p w14:paraId="40EDE3D9">
            <w:pPr>
              <w:pStyle w:val="9"/>
              <w:spacing w:before="286" w:line="220" w:lineRule="auto"/>
              <w:ind w:left="465"/>
            </w:pPr>
            <w:r>
              <w:rPr>
                <w:spacing w:val="-5"/>
              </w:rPr>
              <w:t>5</w:t>
            </w:r>
            <w:r>
              <w:rPr>
                <w:spacing w:val="-38"/>
              </w:rPr>
              <w:t xml:space="preserve"> </w:t>
            </w:r>
            <w:r>
              <w:rPr>
                <w:spacing w:val="-5"/>
              </w:rPr>
              <w:t>万元/次</w:t>
            </w:r>
          </w:p>
        </w:tc>
        <w:tc>
          <w:tcPr>
            <w:tcW w:w="1580" w:type="dxa"/>
            <w:vAlign w:val="top"/>
          </w:tcPr>
          <w:p w14:paraId="00A5439D">
            <w:pPr>
              <w:rPr>
                <w:rFonts w:ascii="Arial"/>
                <w:sz w:val="21"/>
              </w:rPr>
            </w:pPr>
          </w:p>
        </w:tc>
      </w:tr>
      <w:tr w14:paraId="6E88F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4" w:hRule="atLeast"/>
        </w:trPr>
        <w:tc>
          <w:tcPr>
            <w:tcW w:w="862" w:type="dxa"/>
            <w:vAlign w:val="top"/>
          </w:tcPr>
          <w:p w14:paraId="69E4F6E1">
            <w:pPr>
              <w:spacing w:line="250" w:lineRule="auto"/>
              <w:rPr>
                <w:rFonts w:ascii="Arial"/>
                <w:sz w:val="21"/>
              </w:rPr>
            </w:pPr>
          </w:p>
          <w:p w14:paraId="5A643CA8">
            <w:pPr>
              <w:spacing w:line="251" w:lineRule="auto"/>
              <w:rPr>
                <w:rFonts w:ascii="Arial"/>
                <w:sz w:val="21"/>
              </w:rPr>
            </w:pPr>
          </w:p>
          <w:p w14:paraId="5305D34E">
            <w:pPr>
              <w:spacing w:line="251" w:lineRule="auto"/>
              <w:rPr>
                <w:rFonts w:ascii="Arial"/>
                <w:sz w:val="21"/>
              </w:rPr>
            </w:pPr>
          </w:p>
          <w:p w14:paraId="508C2185">
            <w:pPr>
              <w:spacing w:line="251" w:lineRule="auto"/>
              <w:rPr>
                <w:rFonts w:ascii="Arial"/>
                <w:sz w:val="21"/>
              </w:rPr>
            </w:pPr>
          </w:p>
          <w:p w14:paraId="2F74672A">
            <w:pPr>
              <w:spacing w:line="251" w:lineRule="auto"/>
              <w:rPr>
                <w:rFonts w:ascii="Arial"/>
                <w:sz w:val="21"/>
              </w:rPr>
            </w:pPr>
          </w:p>
          <w:p w14:paraId="059C682C">
            <w:pPr>
              <w:spacing w:line="251" w:lineRule="auto"/>
              <w:rPr>
                <w:rFonts w:ascii="Arial"/>
                <w:sz w:val="21"/>
              </w:rPr>
            </w:pPr>
          </w:p>
          <w:p w14:paraId="78801A89">
            <w:pPr>
              <w:spacing w:line="251" w:lineRule="auto"/>
              <w:rPr>
                <w:rFonts w:ascii="Arial"/>
                <w:sz w:val="21"/>
              </w:rPr>
            </w:pPr>
          </w:p>
          <w:p w14:paraId="2472A986">
            <w:pPr>
              <w:spacing w:line="251" w:lineRule="auto"/>
              <w:rPr>
                <w:rFonts w:ascii="Arial"/>
                <w:sz w:val="21"/>
              </w:rPr>
            </w:pPr>
          </w:p>
          <w:p w14:paraId="10DF7F48">
            <w:pPr>
              <w:pStyle w:val="9"/>
              <w:spacing w:before="68"/>
              <w:ind w:left="333"/>
            </w:pPr>
            <w:r>
              <w:rPr>
                <w:spacing w:val="-5"/>
              </w:rPr>
              <w:t>26</w:t>
            </w:r>
          </w:p>
        </w:tc>
        <w:tc>
          <w:tcPr>
            <w:tcW w:w="1469" w:type="dxa"/>
            <w:vAlign w:val="top"/>
          </w:tcPr>
          <w:p w14:paraId="4F378E4F">
            <w:pPr>
              <w:spacing w:line="250" w:lineRule="auto"/>
              <w:rPr>
                <w:rFonts w:ascii="Arial"/>
                <w:sz w:val="21"/>
              </w:rPr>
            </w:pPr>
          </w:p>
          <w:p w14:paraId="3DB6C147">
            <w:pPr>
              <w:spacing w:line="251" w:lineRule="auto"/>
              <w:rPr>
                <w:rFonts w:ascii="Arial"/>
                <w:sz w:val="21"/>
              </w:rPr>
            </w:pPr>
          </w:p>
          <w:p w14:paraId="4618D071">
            <w:pPr>
              <w:spacing w:line="251" w:lineRule="auto"/>
              <w:rPr>
                <w:rFonts w:ascii="Arial"/>
                <w:sz w:val="21"/>
              </w:rPr>
            </w:pPr>
          </w:p>
          <w:p w14:paraId="115F85FC">
            <w:pPr>
              <w:spacing w:line="251" w:lineRule="auto"/>
              <w:rPr>
                <w:rFonts w:ascii="Arial"/>
                <w:sz w:val="21"/>
              </w:rPr>
            </w:pPr>
          </w:p>
          <w:p w14:paraId="7E1C9A01">
            <w:pPr>
              <w:spacing w:line="251" w:lineRule="auto"/>
              <w:rPr>
                <w:rFonts w:ascii="Arial"/>
                <w:sz w:val="21"/>
              </w:rPr>
            </w:pPr>
          </w:p>
          <w:p w14:paraId="67ADABBF">
            <w:pPr>
              <w:spacing w:line="251" w:lineRule="auto"/>
              <w:rPr>
                <w:rFonts w:ascii="Arial"/>
                <w:sz w:val="21"/>
              </w:rPr>
            </w:pPr>
          </w:p>
          <w:p w14:paraId="2A3CEAC7">
            <w:pPr>
              <w:spacing w:line="251" w:lineRule="auto"/>
              <w:rPr>
                <w:rFonts w:ascii="Arial"/>
                <w:sz w:val="21"/>
              </w:rPr>
            </w:pPr>
          </w:p>
          <w:p w14:paraId="408839C1">
            <w:pPr>
              <w:spacing w:line="251" w:lineRule="auto"/>
              <w:rPr>
                <w:rFonts w:ascii="Arial"/>
                <w:sz w:val="21"/>
              </w:rPr>
            </w:pPr>
          </w:p>
          <w:p w14:paraId="0EBDCDC7">
            <w:pPr>
              <w:pStyle w:val="9"/>
              <w:spacing w:before="68" w:line="239" w:lineRule="auto"/>
              <w:ind w:left="478"/>
            </w:pPr>
            <w:r>
              <w:rPr>
                <w:spacing w:val="-3"/>
              </w:rPr>
              <w:t>5.1.2</w:t>
            </w:r>
          </w:p>
        </w:tc>
        <w:tc>
          <w:tcPr>
            <w:tcW w:w="3762" w:type="dxa"/>
            <w:vAlign w:val="top"/>
          </w:tcPr>
          <w:p w14:paraId="755355D5">
            <w:pPr>
              <w:spacing w:line="274" w:lineRule="auto"/>
              <w:rPr>
                <w:rFonts w:ascii="Arial"/>
                <w:sz w:val="21"/>
              </w:rPr>
            </w:pPr>
          </w:p>
          <w:p w14:paraId="74234C3D">
            <w:pPr>
              <w:spacing w:line="275" w:lineRule="auto"/>
              <w:rPr>
                <w:rFonts w:ascii="Arial"/>
                <w:sz w:val="21"/>
              </w:rPr>
            </w:pPr>
          </w:p>
          <w:p w14:paraId="0E57CF37">
            <w:pPr>
              <w:spacing w:line="275" w:lineRule="auto"/>
              <w:rPr>
                <w:rFonts w:ascii="Arial"/>
                <w:sz w:val="21"/>
              </w:rPr>
            </w:pPr>
          </w:p>
          <w:p w14:paraId="35815FC8">
            <w:pPr>
              <w:spacing w:line="275" w:lineRule="auto"/>
              <w:rPr>
                <w:rFonts w:ascii="Arial"/>
                <w:sz w:val="21"/>
              </w:rPr>
            </w:pPr>
          </w:p>
          <w:p w14:paraId="74597801">
            <w:pPr>
              <w:spacing w:line="275" w:lineRule="auto"/>
              <w:rPr>
                <w:rFonts w:ascii="Arial"/>
                <w:sz w:val="21"/>
              </w:rPr>
            </w:pPr>
          </w:p>
          <w:p w14:paraId="49C91452">
            <w:pPr>
              <w:spacing w:line="275" w:lineRule="auto"/>
              <w:rPr>
                <w:rFonts w:ascii="Arial"/>
                <w:sz w:val="21"/>
              </w:rPr>
            </w:pPr>
          </w:p>
          <w:p w14:paraId="22E8668D">
            <w:pPr>
              <w:pStyle w:val="9"/>
              <w:spacing w:before="68" w:line="318" w:lineRule="auto"/>
              <w:ind w:left="111" w:right="103"/>
              <w:jc w:val="both"/>
            </w:pPr>
            <w:r>
              <w:rPr>
                <w:spacing w:val="-3"/>
              </w:rPr>
              <w:t>承包人应按照《投标人拟投入的关键设</w:t>
            </w:r>
            <w:r>
              <w:rPr>
                <w:spacing w:val="-2"/>
              </w:rPr>
              <w:t>备承诺表》中所列的品牌进行采购，不</w:t>
            </w:r>
            <w:r>
              <w:rPr>
                <w:spacing w:val="-5"/>
              </w:rPr>
              <w:t>得变更设备品牌。</w:t>
            </w:r>
          </w:p>
        </w:tc>
        <w:tc>
          <w:tcPr>
            <w:tcW w:w="1799" w:type="dxa"/>
            <w:vAlign w:val="top"/>
          </w:tcPr>
          <w:p w14:paraId="41E6EC5C">
            <w:pPr>
              <w:spacing w:line="287" w:lineRule="auto"/>
              <w:rPr>
                <w:rFonts w:ascii="Arial"/>
                <w:sz w:val="21"/>
              </w:rPr>
            </w:pPr>
          </w:p>
          <w:p w14:paraId="2380F493">
            <w:pPr>
              <w:spacing w:line="288" w:lineRule="auto"/>
              <w:rPr>
                <w:rFonts w:ascii="Arial"/>
                <w:sz w:val="21"/>
              </w:rPr>
            </w:pPr>
          </w:p>
          <w:p w14:paraId="1F3C0DD2">
            <w:pPr>
              <w:pStyle w:val="9"/>
              <w:spacing w:before="68" w:line="317" w:lineRule="auto"/>
              <w:ind w:left="115" w:right="53" w:firstLine="3"/>
              <w:jc w:val="both"/>
            </w:pPr>
            <w:r>
              <w:rPr>
                <w:spacing w:val="-15"/>
              </w:rPr>
              <w:t>未按照《投标人拟</w:t>
            </w:r>
            <w:r>
              <w:rPr>
                <w:spacing w:val="6"/>
              </w:rPr>
              <w:t>投入的关键设备</w:t>
            </w:r>
            <w:r>
              <w:rPr>
                <w:spacing w:val="-14"/>
              </w:rPr>
              <w:t>承诺表》中所列设</w:t>
            </w:r>
            <w:r>
              <w:rPr>
                <w:spacing w:val="-7"/>
              </w:rPr>
              <w:t>备品牌进行采购，</w:t>
            </w:r>
            <w:r>
              <w:rPr>
                <w:spacing w:val="6"/>
              </w:rPr>
              <w:t>按以下标准向发</w:t>
            </w:r>
            <w:r>
              <w:rPr>
                <w:spacing w:val="-7"/>
              </w:rPr>
              <w:t>包人提交违约金：</w:t>
            </w:r>
            <w:r>
              <w:rPr>
                <w:spacing w:val="-3"/>
              </w:rPr>
              <w:t>关键设备</w:t>
            </w:r>
            <w:r>
              <w:rPr>
                <w:spacing w:val="-45"/>
              </w:rPr>
              <w:t xml:space="preserve"> </w:t>
            </w:r>
            <w:r>
              <w:rPr>
                <w:spacing w:val="-3"/>
                <w:u w:val="single" w:color="auto"/>
              </w:rPr>
              <w:t>80</w:t>
            </w:r>
            <w:r>
              <w:rPr>
                <w:spacing w:val="-41"/>
                <w:u w:val="single" w:color="auto"/>
              </w:rPr>
              <w:t xml:space="preserve"> </w:t>
            </w:r>
            <w:r>
              <w:rPr>
                <w:spacing w:val="-3"/>
                <w:u w:val="single" w:color="auto"/>
              </w:rPr>
              <w:t>万元</w:t>
            </w:r>
            <w:r>
              <w:rPr>
                <w:spacing w:val="-1"/>
                <w:u w:val="single" w:color="auto"/>
              </w:rPr>
              <w:t>/类，其他主要设</w:t>
            </w:r>
            <w:r>
              <w:rPr>
                <w:spacing w:val="2"/>
                <w:u w:val="single" w:color="auto"/>
              </w:rPr>
              <w:t>备</w:t>
            </w:r>
            <w:r>
              <w:rPr>
                <w:spacing w:val="-36"/>
                <w:u w:val="single" w:color="auto"/>
              </w:rPr>
              <w:t xml:space="preserve"> </w:t>
            </w:r>
            <w:r>
              <w:rPr>
                <w:spacing w:val="2"/>
                <w:u w:val="single" w:color="auto"/>
              </w:rPr>
              <w:t>30</w:t>
            </w:r>
            <w:r>
              <w:rPr>
                <w:spacing w:val="-38"/>
                <w:u w:val="single" w:color="auto"/>
              </w:rPr>
              <w:t xml:space="preserve"> </w:t>
            </w:r>
            <w:r>
              <w:rPr>
                <w:spacing w:val="2"/>
                <w:u w:val="single" w:color="auto"/>
              </w:rPr>
              <w:t>万元/类</w:t>
            </w:r>
            <w:r>
              <w:rPr>
                <w:spacing w:val="2"/>
              </w:rPr>
              <w:t>。</w:t>
            </w:r>
          </w:p>
        </w:tc>
        <w:tc>
          <w:tcPr>
            <w:tcW w:w="1580" w:type="dxa"/>
            <w:vAlign w:val="top"/>
          </w:tcPr>
          <w:p w14:paraId="26002472">
            <w:pPr>
              <w:pStyle w:val="9"/>
              <w:spacing w:before="107" w:line="219" w:lineRule="auto"/>
              <w:ind w:left="165"/>
            </w:pPr>
            <w:r>
              <w:rPr>
                <w:spacing w:val="-2"/>
              </w:rPr>
              <w:t>本条可适用于</w:t>
            </w:r>
          </w:p>
          <w:p w14:paraId="346163D6">
            <w:pPr>
              <w:pStyle w:val="9"/>
              <w:spacing w:before="110" w:line="219" w:lineRule="auto"/>
              <w:ind w:left="163"/>
            </w:pPr>
            <w:r>
              <w:rPr>
                <w:spacing w:val="-2"/>
              </w:rPr>
              <w:t>机电工程（包</w:t>
            </w:r>
          </w:p>
          <w:p w14:paraId="7FBDFD0D">
            <w:pPr>
              <w:pStyle w:val="9"/>
              <w:spacing w:before="110" w:line="220" w:lineRule="auto"/>
              <w:ind w:left="116"/>
            </w:pPr>
            <w:r>
              <w:rPr>
                <w:spacing w:val="-7"/>
              </w:rPr>
              <w:t>括收费、监控、</w:t>
            </w:r>
          </w:p>
          <w:p w14:paraId="095371F3">
            <w:pPr>
              <w:pStyle w:val="9"/>
              <w:spacing w:before="109" w:line="220" w:lineRule="auto"/>
              <w:ind w:left="164"/>
            </w:pPr>
            <w:r>
              <w:rPr>
                <w:spacing w:val="-2"/>
              </w:rPr>
              <w:t>通信三大系统</w:t>
            </w:r>
          </w:p>
          <w:p w14:paraId="6628D36B">
            <w:pPr>
              <w:pStyle w:val="9"/>
              <w:spacing w:before="110" w:line="220" w:lineRule="auto"/>
              <w:ind w:left="163"/>
            </w:pPr>
            <w:r>
              <w:rPr>
                <w:spacing w:val="-6"/>
              </w:rPr>
              <w:t>及通信管道、</w:t>
            </w:r>
          </w:p>
          <w:p w14:paraId="0372904C">
            <w:pPr>
              <w:pStyle w:val="9"/>
              <w:spacing w:before="110" w:line="219" w:lineRule="auto"/>
              <w:ind w:left="175"/>
            </w:pPr>
            <w:r>
              <w:rPr>
                <w:spacing w:val="-3"/>
              </w:rPr>
              <w:t>隧道消防和供</w:t>
            </w:r>
          </w:p>
          <w:p w14:paraId="79BDD5A8">
            <w:pPr>
              <w:pStyle w:val="9"/>
              <w:spacing w:before="111" w:line="219" w:lineRule="auto"/>
              <w:ind w:left="164"/>
            </w:pPr>
            <w:r>
              <w:rPr>
                <w:spacing w:val="-2"/>
              </w:rPr>
              <w:t>配电等）采用</w:t>
            </w:r>
          </w:p>
          <w:p w14:paraId="41AE396E">
            <w:pPr>
              <w:pStyle w:val="9"/>
              <w:spacing w:before="112" w:line="220" w:lineRule="auto"/>
              <w:ind w:left="167"/>
            </w:pPr>
            <w:r>
              <w:rPr>
                <w:spacing w:val="-2"/>
              </w:rPr>
              <w:t>设备选型评分</w:t>
            </w:r>
          </w:p>
          <w:p w14:paraId="39A9A2D9">
            <w:pPr>
              <w:pStyle w:val="9"/>
              <w:spacing w:before="109" w:line="220" w:lineRule="auto"/>
              <w:ind w:left="181"/>
            </w:pPr>
            <w:r>
              <w:rPr>
                <w:spacing w:val="-4"/>
              </w:rPr>
              <w:t>的情形，由招</w:t>
            </w:r>
          </w:p>
          <w:p w14:paraId="2703B75F">
            <w:pPr>
              <w:pStyle w:val="9"/>
              <w:spacing w:before="110" w:line="220" w:lineRule="auto"/>
              <w:ind w:left="165"/>
            </w:pPr>
            <w:r>
              <w:rPr>
                <w:spacing w:val="-2"/>
              </w:rPr>
              <w:t>标人自行选择</w:t>
            </w:r>
          </w:p>
          <w:p w14:paraId="196ABF71">
            <w:pPr>
              <w:pStyle w:val="9"/>
              <w:spacing w:before="109" w:line="220" w:lineRule="auto"/>
              <w:ind w:left="273"/>
            </w:pPr>
            <w:r>
              <w:rPr>
                <w:spacing w:val="-2"/>
              </w:rPr>
              <w:t>设置相应内</w:t>
            </w:r>
          </w:p>
          <w:p w14:paraId="067BB88D">
            <w:pPr>
              <w:pStyle w:val="9"/>
              <w:spacing w:before="111" w:line="216" w:lineRule="auto"/>
              <w:ind w:left="586"/>
            </w:pPr>
            <w:r>
              <w:rPr>
                <w:spacing w:val="-11"/>
              </w:rPr>
              <w:t>容。</w:t>
            </w:r>
          </w:p>
        </w:tc>
      </w:tr>
      <w:tr w14:paraId="094BE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862" w:type="dxa"/>
            <w:vAlign w:val="top"/>
          </w:tcPr>
          <w:p w14:paraId="35F6FE21">
            <w:pPr>
              <w:spacing w:line="252" w:lineRule="auto"/>
              <w:rPr>
                <w:rFonts w:ascii="Arial"/>
                <w:sz w:val="21"/>
              </w:rPr>
            </w:pPr>
          </w:p>
          <w:p w14:paraId="1B776E75">
            <w:pPr>
              <w:spacing w:line="252" w:lineRule="auto"/>
              <w:rPr>
                <w:rFonts w:ascii="Arial"/>
                <w:sz w:val="21"/>
              </w:rPr>
            </w:pPr>
          </w:p>
          <w:p w14:paraId="557AA401">
            <w:pPr>
              <w:spacing w:line="252" w:lineRule="auto"/>
              <w:rPr>
                <w:rFonts w:ascii="Arial"/>
                <w:sz w:val="21"/>
              </w:rPr>
            </w:pPr>
          </w:p>
          <w:p w14:paraId="10E175A7">
            <w:pPr>
              <w:pStyle w:val="9"/>
              <w:spacing w:before="68"/>
              <w:ind w:left="333"/>
            </w:pPr>
            <w:r>
              <w:rPr>
                <w:spacing w:val="-5"/>
              </w:rPr>
              <w:t>27</w:t>
            </w:r>
          </w:p>
        </w:tc>
        <w:tc>
          <w:tcPr>
            <w:tcW w:w="1469" w:type="dxa"/>
            <w:vAlign w:val="top"/>
          </w:tcPr>
          <w:p w14:paraId="61290254">
            <w:pPr>
              <w:spacing w:line="252" w:lineRule="auto"/>
              <w:rPr>
                <w:rFonts w:ascii="Arial"/>
                <w:sz w:val="21"/>
              </w:rPr>
            </w:pPr>
          </w:p>
          <w:p w14:paraId="48B34AF7">
            <w:pPr>
              <w:spacing w:line="252" w:lineRule="auto"/>
              <w:rPr>
                <w:rFonts w:ascii="Arial"/>
                <w:sz w:val="21"/>
              </w:rPr>
            </w:pPr>
          </w:p>
          <w:p w14:paraId="77E73444">
            <w:pPr>
              <w:spacing w:line="252" w:lineRule="auto"/>
              <w:rPr>
                <w:rFonts w:ascii="Arial"/>
                <w:sz w:val="21"/>
              </w:rPr>
            </w:pPr>
          </w:p>
          <w:p w14:paraId="6453A4B5">
            <w:pPr>
              <w:pStyle w:val="9"/>
              <w:spacing w:before="69" w:line="239" w:lineRule="auto"/>
              <w:ind w:left="374"/>
            </w:pPr>
            <w:r>
              <w:rPr>
                <w:spacing w:val="-2"/>
              </w:rPr>
              <w:t>5.1.5.2</w:t>
            </w:r>
          </w:p>
        </w:tc>
        <w:tc>
          <w:tcPr>
            <w:tcW w:w="3762" w:type="dxa"/>
            <w:vAlign w:val="top"/>
          </w:tcPr>
          <w:p w14:paraId="6A600AF7">
            <w:pPr>
              <w:spacing w:line="397" w:lineRule="auto"/>
              <w:rPr>
                <w:rFonts w:ascii="Arial"/>
                <w:sz w:val="21"/>
              </w:rPr>
            </w:pPr>
          </w:p>
          <w:p w14:paraId="581B0E5C">
            <w:pPr>
              <w:pStyle w:val="9"/>
              <w:spacing w:before="69" w:line="318" w:lineRule="auto"/>
              <w:ind w:left="111" w:right="106" w:firstLine="3"/>
              <w:jc w:val="both"/>
            </w:pPr>
            <w:r>
              <w:rPr>
                <w:spacing w:val="10"/>
              </w:rPr>
              <w:t>未经发包人书面同意擅自与公开招标</w:t>
            </w:r>
            <w:r>
              <w:rPr>
                <w:spacing w:val="11"/>
              </w:rPr>
              <w:t>确定的供货人以外的其他供货人采购</w:t>
            </w:r>
            <w:r>
              <w:rPr>
                <w:spacing w:val="-4"/>
              </w:rPr>
              <w:t>甲控乙购</w:t>
            </w:r>
            <w:r>
              <w:rPr>
                <w:spacing w:val="-33"/>
              </w:rPr>
              <w:t xml:space="preserve"> </w:t>
            </w:r>
            <w:r>
              <w:rPr>
                <w:spacing w:val="-4"/>
              </w:rPr>
              <w:t>I</w:t>
            </w:r>
            <w:r>
              <w:rPr>
                <w:spacing w:val="-44"/>
              </w:rPr>
              <w:t xml:space="preserve"> </w:t>
            </w:r>
            <w:r>
              <w:rPr>
                <w:spacing w:val="-4"/>
              </w:rPr>
              <w:t>类材料的</w:t>
            </w:r>
          </w:p>
        </w:tc>
        <w:tc>
          <w:tcPr>
            <w:tcW w:w="1799" w:type="dxa"/>
            <w:vAlign w:val="top"/>
          </w:tcPr>
          <w:p w14:paraId="539DB8B4">
            <w:pPr>
              <w:pStyle w:val="9"/>
              <w:spacing w:before="109" w:line="219" w:lineRule="auto"/>
              <w:ind w:left="173"/>
            </w:pPr>
            <w:r>
              <w:rPr>
                <w:spacing w:val="-2"/>
              </w:rPr>
              <w:t>按承包人自行采</w:t>
            </w:r>
          </w:p>
          <w:p w14:paraId="74748654">
            <w:pPr>
              <w:pStyle w:val="9"/>
              <w:spacing w:before="110" w:line="219" w:lineRule="auto"/>
              <w:ind w:left="113"/>
              <w:rPr>
                <w:sz w:val="19"/>
                <w:szCs w:val="19"/>
              </w:rPr>
            </w:pPr>
            <w:r>
              <w:rPr>
                <w:spacing w:val="-8"/>
              </w:rPr>
              <w:t>购材料金额（</w:t>
            </w:r>
            <w:r>
              <w:rPr>
                <w:spacing w:val="-8"/>
                <w:sz w:val="19"/>
                <w:szCs w:val="19"/>
              </w:rPr>
              <w:t>按暂</w:t>
            </w:r>
          </w:p>
          <w:p w14:paraId="3849D2ED">
            <w:pPr>
              <w:pStyle w:val="9"/>
              <w:spacing w:before="110" w:line="219" w:lineRule="auto"/>
              <w:ind w:left="118"/>
            </w:pPr>
            <w:r>
              <w:rPr>
                <w:spacing w:val="-4"/>
                <w:sz w:val="19"/>
                <w:szCs w:val="19"/>
              </w:rPr>
              <w:t>扣价计，</w:t>
            </w:r>
            <w:r>
              <w:rPr>
                <w:spacing w:val="-4"/>
              </w:rPr>
              <w:t>含销售货</w:t>
            </w:r>
          </w:p>
          <w:p w14:paraId="043D27B2">
            <w:pPr>
              <w:pStyle w:val="9"/>
              <w:spacing w:before="110" w:line="220" w:lineRule="auto"/>
              <w:ind w:left="115"/>
            </w:pPr>
            <w:r>
              <w:rPr>
                <w:spacing w:val="-14"/>
              </w:rPr>
              <w:t>物增值税）的双倍</w:t>
            </w:r>
          </w:p>
          <w:p w14:paraId="28D338D6">
            <w:pPr>
              <w:pStyle w:val="9"/>
              <w:spacing w:before="110" w:line="215" w:lineRule="auto"/>
              <w:ind w:left="385"/>
            </w:pPr>
            <w:r>
              <w:rPr>
                <w:spacing w:val="-2"/>
              </w:rPr>
              <w:t>扣除违约金</w:t>
            </w:r>
          </w:p>
        </w:tc>
        <w:tc>
          <w:tcPr>
            <w:tcW w:w="1580" w:type="dxa"/>
            <w:vAlign w:val="top"/>
          </w:tcPr>
          <w:p w14:paraId="05450578">
            <w:pPr>
              <w:rPr>
                <w:rFonts w:ascii="Arial"/>
                <w:sz w:val="21"/>
              </w:rPr>
            </w:pPr>
          </w:p>
        </w:tc>
      </w:tr>
      <w:tr w14:paraId="06647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2" w:type="dxa"/>
            <w:vAlign w:val="top"/>
          </w:tcPr>
          <w:p w14:paraId="7FB9A81C">
            <w:pPr>
              <w:spacing w:line="289" w:lineRule="auto"/>
              <w:rPr>
                <w:rFonts w:ascii="Arial"/>
                <w:sz w:val="21"/>
              </w:rPr>
            </w:pPr>
          </w:p>
          <w:p w14:paraId="20D39650">
            <w:pPr>
              <w:spacing w:line="289" w:lineRule="auto"/>
              <w:rPr>
                <w:rFonts w:ascii="Arial"/>
                <w:sz w:val="21"/>
              </w:rPr>
            </w:pPr>
          </w:p>
          <w:p w14:paraId="1F622EE1">
            <w:pPr>
              <w:pStyle w:val="9"/>
              <w:spacing w:before="68"/>
              <w:ind w:left="333"/>
            </w:pPr>
            <w:r>
              <w:rPr>
                <w:spacing w:val="-5"/>
              </w:rPr>
              <w:t>28</w:t>
            </w:r>
          </w:p>
        </w:tc>
        <w:tc>
          <w:tcPr>
            <w:tcW w:w="1469" w:type="dxa"/>
            <w:vAlign w:val="top"/>
          </w:tcPr>
          <w:p w14:paraId="2F3EEF83">
            <w:pPr>
              <w:spacing w:line="289" w:lineRule="auto"/>
              <w:rPr>
                <w:rFonts w:ascii="Arial"/>
                <w:sz w:val="21"/>
              </w:rPr>
            </w:pPr>
          </w:p>
          <w:p w14:paraId="4E3009E1">
            <w:pPr>
              <w:spacing w:line="289" w:lineRule="auto"/>
              <w:rPr>
                <w:rFonts w:ascii="Arial"/>
                <w:sz w:val="21"/>
              </w:rPr>
            </w:pPr>
          </w:p>
          <w:p w14:paraId="401BF0AC">
            <w:pPr>
              <w:pStyle w:val="9"/>
              <w:spacing w:before="68" w:line="239" w:lineRule="auto"/>
              <w:ind w:left="374"/>
            </w:pPr>
            <w:r>
              <w:rPr>
                <w:spacing w:val="-2"/>
              </w:rPr>
              <w:t>5.1.5.2</w:t>
            </w:r>
          </w:p>
        </w:tc>
        <w:tc>
          <w:tcPr>
            <w:tcW w:w="3762" w:type="dxa"/>
            <w:vAlign w:val="top"/>
          </w:tcPr>
          <w:p w14:paraId="1D854472">
            <w:pPr>
              <w:spacing w:line="400" w:lineRule="auto"/>
              <w:rPr>
                <w:rFonts w:ascii="Arial"/>
                <w:sz w:val="21"/>
              </w:rPr>
            </w:pPr>
          </w:p>
          <w:p w14:paraId="4150F8EF">
            <w:pPr>
              <w:pStyle w:val="9"/>
              <w:spacing w:before="68" w:line="318" w:lineRule="auto"/>
              <w:ind w:left="112" w:right="103"/>
            </w:pPr>
            <w:r>
              <w:rPr>
                <w:spacing w:val="-2"/>
              </w:rPr>
              <w:t>擅自将统一采购的材料、设备倒卖或使</w:t>
            </w:r>
            <w:r>
              <w:rPr>
                <w:spacing w:val="-1"/>
              </w:rPr>
              <w:t>用在与本项目无关的工程中的</w:t>
            </w:r>
          </w:p>
        </w:tc>
        <w:tc>
          <w:tcPr>
            <w:tcW w:w="1799" w:type="dxa"/>
            <w:vAlign w:val="top"/>
          </w:tcPr>
          <w:p w14:paraId="13FF621E">
            <w:pPr>
              <w:pStyle w:val="9"/>
              <w:spacing w:before="109" w:line="220" w:lineRule="auto"/>
              <w:ind w:left="117"/>
              <w:rPr>
                <w:sz w:val="19"/>
                <w:szCs w:val="19"/>
              </w:rPr>
            </w:pPr>
            <w:r>
              <w:rPr>
                <w:spacing w:val="-9"/>
              </w:rPr>
              <w:t>按发生金额（</w:t>
            </w:r>
            <w:r>
              <w:rPr>
                <w:spacing w:val="-9"/>
                <w:sz w:val="19"/>
                <w:szCs w:val="19"/>
              </w:rPr>
              <w:t>按暂</w:t>
            </w:r>
          </w:p>
          <w:p w14:paraId="36B85F32">
            <w:pPr>
              <w:pStyle w:val="9"/>
              <w:spacing w:before="110" w:line="219" w:lineRule="auto"/>
              <w:ind w:left="118"/>
            </w:pPr>
            <w:r>
              <w:rPr>
                <w:spacing w:val="-4"/>
                <w:sz w:val="19"/>
                <w:szCs w:val="19"/>
              </w:rPr>
              <w:t>扣价计，</w:t>
            </w:r>
            <w:r>
              <w:rPr>
                <w:spacing w:val="-4"/>
              </w:rPr>
              <w:t>含销售货</w:t>
            </w:r>
          </w:p>
          <w:p w14:paraId="643F7B1B">
            <w:pPr>
              <w:pStyle w:val="9"/>
              <w:spacing w:before="110" w:line="220" w:lineRule="auto"/>
              <w:ind w:left="115"/>
            </w:pPr>
            <w:r>
              <w:rPr>
                <w:spacing w:val="-14"/>
              </w:rPr>
              <w:t>物增值税）的双倍</w:t>
            </w:r>
          </w:p>
          <w:p w14:paraId="08C49A62">
            <w:pPr>
              <w:pStyle w:val="9"/>
              <w:spacing w:before="110" w:line="214" w:lineRule="auto"/>
              <w:ind w:left="385"/>
            </w:pPr>
            <w:r>
              <w:rPr>
                <w:spacing w:val="-2"/>
              </w:rPr>
              <w:t>扣除违约金</w:t>
            </w:r>
          </w:p>
        </w:tc>
        <w:tc>
          <w:tcPr>
            <w:tcW w:w="1580" w:type="dxa"/>
            <w:vAlign w:val="top"/>
          </w:tcPr>
          <w:p w14:paraId="27E2FAA9">
            <w:pPr>
              <w:rPr>
                <w:rFonts w:ascii="Arial"/>
                <w:sz w:val="21"/>
              </w:rPr>
            </w:pPr>
          </w:p>
        </w:tc>
      </w:tr>
      <w:tr w14:paraId="6CE44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862" w:type="dxa"/>
            <w:vAlign w:val="top"/>
          </w:tcPr>
          <w:p w14:paraId="21CD2710">
            <w:pPr>
              <w:spacing w:line="312" w:lineRule="auto"/>
              <w:rPr>
                <w:rFonts w:ascii="Arial"/>
                <w:sz w:val="21"/>
              </w:rPr>
            </w:pPr>
          </w:p>
          <w:p w14:paraId="188B10EC">
            <w:pPr>
              <w:spacing w:line="312" w:lineRule="auto"/>
              <w:rPr>
                <w:rFonts w:ascii="Arial"/>
                <w:sz w:val="21"/>
              </w:rPr>
            </w:pPr>
          </w:p>
          <w:p w14:paraId="21445670">
            <w:pPr>
              <w:spacing w:line="312" w:lineRule="auto"/>
              <w:rPr>
                <w:rFonts w:ascii="Arial"/>
                <w:sz w:val="21"/>
              </w:rPr>
            </w:pPr>
          </w:p>
          <w:p w14:paraId="691B6DF5">
            <w:pPr>
              <w:pStyle w:val="9"/>
              <w:spacing w:before="68"/>
              <w:ind w:left="333"/>
            </w:pPr>
            <w:r>
              <w:rPr>
                <w:spacing w:val="-5"/>
              </w:rPr>
              <w:t>29</w:t>
            </w:r>
          </w:p>
        </w:tc>
        <w:tc>
          <w:tcPr>
            <w:tcW w:w="1469" w:type="dxa"/>
            <w:vAlign w:val="top"/>
          </w:tcPr>
          <w:p w14:paraId="44651963">
            <w:pPr>
              <w:spacing w:line="312" w:lineRule="auto"/>
              <w:rPr>
                <w:rFonts w:ascii="Arial"/>
                <w:sz w:val="21"/>
              </w:rPr>
            </w:pPr>
          </w:p>
          <w:p w14:paraId="50B6F14C">
            <w:pPr>
              <w:spacing w:line="312" w:lineRule="auto"/>
              <w:rPr>
                <w:rFonts w:ascii="Arial"/>
                <w:sz w:val="21"/>
              </w:rPr>
            </w:pPr>
          </w:p>
          <w:p w14:paraId="59471E5B">
            <w:pPr>
              <w:spacing w:line="312" w:lineRule="auto"/>
              <w:rPr>
                <w:rFonts w:ascii="Arial"/>
                <w:sz w:val="21"/>
              </w:rPr>
            </w:pPr>
          </w:p>
          <w:p w14:paraId="4EC2AE1A">
            <w:pPr>
              <w:pStyle w:val="9"/>
              <w:spacing w:before="69" w:line="239" w:lineRule="auto"/>
              <w:ind w:left="374"/>
            </w:pPr>
            <w:r>
              <w:rPr>
                <w:spacing w:val="-2"/>
              </w:rPr>
              <w:t>5.1.5.3</w:t>
            </w:r>
          </w:p>
        </w:tc>
        <w:tc>
          <w:tcPr>
            <w:tcW w:w="3762" w:type="dxa"/>
            <w:vAlign w:val="top"/>
          </w:tcPr>
          <w:p w14:paraId="4DF88F63">
            <w:pPr>
              <w:spacing w:line="252" w:lineRule="auto"/>
              <w:rPr>
                <w:rFonts w:ascii="Arial"/>
                <w:sz w:val="21"/>
              </w:rPr>
            </w:pPr>
          </w:p>
          <w:p w14:paraId="27253D23">
            <w:pPr>
              <w:spacing w:line="252" w:lineRule="auto"/>
              <w:rPr>
                <w:rFonts w:ascii="Arial"/>
                <w:sz w:val="21"/>
              </w:rPr>
            </w:pPr>
          </w:p>
          <w:p w14:paraId="5908EAD5">
            <w:pPr>
              <w:spacing w:line="253" w:lineRule="auto"/>
              <w:rPr>
                <w:rFonts w:ascii="Arial"/>
                <w:sz w:val="21"/>
              </w:rPr>
            </w:pPr>
          </w:p>
          <w:p w14:paraId="6F077F63">
            <w:pPr>
              <w:pStyle w:val="9"/>
              <w:spacing w:before="68" w:line="319" w:lineRule="auto"/>
              <w:ind w:left="112" w:right="103" w:firstLine="2"/>
            </w:pPr>
            <w:r>
              <w:rPr>
                <w:spacing w:val="2"/>
              </w:rPr>
              <w:t>未经发包人同意擅自使用</w:t>
            </w:r>
            <w:r>
              <w:rPr>
                <w:spacing w:val="-29"/>
              </w:rPr>
              <w:t xml:space="preserve"> </w:t>
            </w:r>
            <w:r>
              <w:rPr>
                <w:spacing w:val="2"/>
              </w:rPr>
              <w:t>52.5</w:t>
            </w:r>
            <w:r>
              <w:rPr>
                <w:spacing w:val="-40"/>
              </w:rPr>
              <w:t xml:space="preserve"> </w:t>
            </w:r>
            <w:r>
              <w:rPr>
                <w:spacing w:val="2"/>
              </w:rPr>
              <w:t>及以上</w:t>
            </w:r>
            <w:r>
              <w:rPr>
                <w:spacing w:val="-2"/>
              </w:rPr>
              <w:t>标号水泥的</w:t>
            </w:r>
          </w:p>
        </w:tc>
        <w:tc>
          <w:tcPr>
            <w:tcW w:w="1799" w:type="dxa"/>
            <w:vAlign w:val="top"/>
          </w:tcPr>
          <w:p w14:paraId="3A70D28A">
            <w:pPr>
              <w:pStyle w:val="9"/>
              <w:spacing w:before="111" w:line="300" w:lineRule="auto"/>
              <w:ind w:left="117" w:right="102"/>
              <w:jc w:val="both"/>
            </w:pPr>
            <w:r>
              <w:rPr>
                <w:spacing w:val="-14"/>
              </w:rPr>
              <w:t>按“擅自使用的水</w:t>
            </w:r>
            <w:r>
              <w:rPr>
                <w:spacing w:val="6"/>
              </w:rPr>
              <w:t>泥数量×（当期</w:t>
            </w:r>
            <w:r>
              <w:rPr>
                <w:spacing w:val="1"/>
              </w:rPr>
              <w:t>52.5</w:t>
            </w:r>
            <w:r>
              <w:rPr>
                <w:spacing w:val="-42"/>
              </w:rPr>
              <w:t xml:space="preserve"> </w:t>
            </w:r>
            <w:r>
              <w:rPr>
                <w:spacing w:val="1"/>
              </w:rPr>
              <w:t>及以上标号</w:t>
            </w:r>
            <w:r>
              <w:rPr>
                <w:spacing w:val="-1"/>
              </w:rPr>
              <w:t>水泥单价信息价</w:t>
            </w:r>
            <w:r>
              <w:rPr>
                <w:rFonts w:hint="eastAsia"/>
                <w:spacing w:val="-1"/>
                <w:lang w:eastAsia="zh-CN"/>
              </w:rPr>
              <w:t>－</w:t>
            </w:r>
            <w:r>
              <w:rPr>
                <w:spacing w:val="-3"/>
              </w:rPr>
              <w:t>当期</w:t>
            </w:r>
            <w:r>
              <w:rPr>
                <w:spacing w:val="-40"/>
              </w:rPr>
              <w:t xml:space="preserve"> </w:t>
            </w:r>
            <w:r>
              <w:rPr>
                <w:spacing w:val="-3"/>
              </w:rPr>
              <w:t>42.5</w:t>
            </w:r>
            <w:r>
              <w:rPr>
                <w:spacing w:val="-45"/>
              </w:rPr>
              <w:t xml:space="preserve"> </w:t>
            </w:r>
            <w:r>
              <w:rPr>
                <w:spacing w:val="-3"/>
              </w:rPr>
              <w:t>标号水</w:t>
            </w:r>
            <w:r>
              <w:rPr>
                <w:spacing w:val="-14"/>
              </w:rPr>
              <w:t>泥单价信息价）×</w:t>
            </w:r>
          </w:p>
        </w:tc>
        <w:tc>
          <w:tcPr>
            <w:tcW w:w="1580" w:type="dxa"/>
            <w:vAlign w:val="top"/>
          </w:tcPr>
          <w:p w14:paraId="6C2F4DBC">
            <w:pPr>
              <w:rPr>
                <w:rFonts w:ascii="Arial"/>
                <w:sz w:val="21"/>
              </w:rPr>
            </w:pPr>
          </w:p>
        </w:tc>
      </w:tr>
    </w:tbl>
    <w:p w14:paraId="1222AA68">
      <w:pPr>
        <w:pStyle w:val="2"/>
      </w:pPr>
    </w:p>
    <w:p w14:paraId="5EB57ACD">
      <w:pPr>
        <w:sectPr>
          <w:footerReference r:id="rId133" w:type="default"/>
          <w:pgSz w:w="11905" w:h="16840"/>
          <w:pgMar w:top="1182" w:right="1123" w:bottom="1171" w:left="1303" w:header="849" w:footer="937" w:gutter="0"/>
          <w:pgNumType w:fmt="decimal"/>
          <w:cols w:space="720" w:num="1"/>
        </w:sectPr>
      </w:pPr>
    </w:p>
    <w:p w14:paraId="2DE9C366">
      <w:pPr>
        <w:spacing w:line="234" w:lineRule="exact"/>
      </w:pPr>
    </w:p>
    <w:tbl>
      <w:tblPr>
        <w:tblStyle w:val="8"/>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1A786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35E51C5D">
            <w:pPr>
              <w:pStyle w:val="9"/>
              <w:spacing w:before="214" w:line="221" w:lineRule="auto"/>
              <w:ind w:left="225"/>
            </w:pPr>
            <w:r>
              <w:rPr>
                <w:b/>
                <w:bCs/>
                <w:spacing w:val="-4"/>
              </w:rPr>
              <w:t>序号</w:t>
            </w:r>
          </w:p>
        </w:tc>
        <w:tc>
          <w:tcPr>
            <w:tcW w:w="1469" w:type="dxa"/>
            <w:vAlign w:val="top"/>
          </w:tcPr>
          <w:p w14:paraId="2071684D">
            <w:pPr>
              <w:pStyle w:val="9"/>
              <w:spacing w:before="213" w:line="219" w:lineRule="auto"/>
              <w:ind w:left="319"/>
            </w:pPr>
            <w:r>
              <w:rPr>
                <w:b/>
                <w:bCs/>
                <w:spacing w:val="-5"/>
              </w:rPr>
              <w:t>合同依据</w:t>
            </w:r>
          </w:p>
        </w:tc>
        <w:tc>
          <w:tcPr>
            <w:tcW w:w="3762" w:type="dxa"/>
            <w:vAlign w:val="top"/>
          </w:tcPr>
          <w:p w14:paraId="545DC59E">
            <w:pPr>
              <w:pStyle w:val="9"/>
              <w:spacing w:before="213" w:line="220" w:lineRule="auto"/>
              <w:ind w:left="1465"/>
            </w:pPr>
            <w:r>
              <w:rPr>
                <w:b/>
                <w:bCs/>
                <w:spacing w:val="-4"/>
              </w:rPr>
              <w:t>违约内容</w:t>
            </w:r>
          </w:p>
        </w:tc>
        <w:tc>
          <w:tcPr>
            <w:tcW w:w="1799" w:type="dxa"/>
            <w:vAlign w:val="top"/>
          </w:tcPr>
          <w:p w14:paraId="38C50392">
            <w:pPr>
              <w:pStyle w:val="9"/>
              <w:spacing w:before="214" w:line="220" w:lineRule="auto"/>
              <w:ind w:left="381"/>
            </w:pPr>
            <w:r>
              <w:rPr>
                <w:b/>
                <w:bCs/>
                <w:spacing w:val="-4"/>
              </w:rPr>
              <w:t>违约金标准</w:t>
            </w:r>
          </w:p>
        </w:tc>
        <w:tc>
          <w:tcPr>
            <w:tcW w:w="1580" w:type="dxa"/>
            <w:vAlign w:val="top"/>
          </w:tcPr>
          <w:p w14:paraId="2EF2B380">
            <w:pPr>
              <w:pStyle w:val="9"/>
              <w:spacing w:before="214" w:line="221" w:lineRule="auto"/>
              <w:ind w:left="586"/>
            </w:pPr>
            <w:r>
              <w:rPr>
                <w:b/>
                <w:bCs/>
                <w:spacing w:val="-5"/>
              </w:rPr>
              <w:t>备注</w:t>
            </w:r>
          </w:p>
        </w:tc>
      </w:tr>
      <w:tr w14:paraId="65C58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20E9FCD2">
            <w:pPr>
              <w:rPr>
                <w:rFonts w:ascii="Arial"/>
                <w:sz w:val="21"/>
              </w:rPr>
            </w:pPr>
          </w:p>
        </w:tc>
        <w:tc>
          <w:tcPr>
            <w:tcW w:w="1469" w:type="dxa"/>
            <w:vAlign w:val="top"/>
          </w:tcPr>
          <w:p w14:paraId="2A2D2272">
            <w:pPr>
              <w:rPr>
                <w:rFonts w:ascii="Arial"/>
                <w:sz w:val="21"/>
              </w:rPr>
            </w:pPr>
          </w:p>
        </w:tc>
        <w:tc>
          <w:tcPr>
            <w:tcW w:w="3762" w:type="dxa"/>
            <w:vAlign w:val="top"/>
          </w:tcPr>
          <w:p w14:paraId="50C1C2B8">
            <w:pPr>
              <w:rPr>
                <w:rFonts w:ascii="Arial"/>
                <w:sz w:val="21"/>
              </w:rPr>
            </w:pPr>
          </w:p>
        </w:tc>
        <w:tc>
          <w:tcPr>
            <w:tcW w:w="1799" w:type="dxa"/>
            <w:vAlign w:val="top"/>
          </w:tcPr>
          <w:p w14:paraId="61DADB92">
            <w:pPr>
              <w:pStyle w:val="9"/>
              <w:spacing w:before="105" w:line="219" w:lineRule="auto"/>
              <w:ind w:left="177"/>
            </w:pPr>
            <w:r>
              <w:rPr>
                <w:spacing w:val="-4"/>
              </w:rPr>
              <w:t>（1+销售货物增</w:t>
            </w:r>
          </w:p>
          <w:p w14:paraId="3C5F1A9C">
            <w:pPr>
              <w:pStyle w:val="9"/>
              <w:spacing w:before="110" w:line="220" w:lineRule="auto"/>
              <w:ind w:left="115"/>
            </w:pPr>
            <w:r>
              <w:rPr>
                <w:spacing w:val="-12"/>
              </w:rPr>
              <w:t>值税）”扣除违约</w:t>
            </w:r>
          </w:p>
          <w:p w14:paraId="00C7EC2A">
            <w:pPr>
              <w:pStyle w:val="9"/>
              <w:spacing w:before="110" w:line="218" w:lineRule="auto"/>
              <w:ind w:left="803"/>
            </w:pPr>
            <w:r>
              <w:t>金</w:t>
            </w:r>
          </w:p>
        </w:tc>
        <w:tc>
          <w:tcPr>
            <w:tcW w:w="1580" w:type="dxa"/>
            <w:vAlign w:val="top"/>
          </w:tcPr>
          <w:p w14:paraId="5AAB5D10">
            <w:pPr>
              <w:rPr>
                <w:rFonts w:ascii="Arial"/>
                <w:sz w:val="21"/>
              </w:rPr>
            </w:pPr>
          </w:p>
        </w:tc>
      </w:tr>
      <w:tr w14:paraId="0B18F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862" w:type="dxa"/>
            <w:vAlign w:val="top"/>
          </w:tcPr>
          <w:p w14:paraId="7CB89C18">
            <w:pPr>
              <w:spacing w:line="395" w:lineRule="auto"/>
              <w:rPr>
                <w:rFonts w:ascii="Arial"/>
                <w:sz w:val="21"/>
              </w:rPr>
            </w:pPr>
          </w:p>
          <w:p w14:paraId="7D07ECBC">
            <w:pPr>
              <w:pStyle w:val="9"/>
              <w:spacing w:before="69"/>
              <w:ind w:left="335"/>
            </w:pPr>
            <w:r>
              <w:rPr>
                <w:spacing w:val="-3"/>
              </w:rPr>
              <w:t>30</w:t>
            </w:r>
          </w:p>
        </w:tc>
        <w:tc>
          <w:tcPr>
            <w:tcW w:w="1469" w:type="dxa"/>
            <w:vAlign w:val="top"/>
          </w:tcPr>
          <w:p w14:paraId="70A00C50">
            <w:pPr>
              <w:spacing w:line="395" w:lineRule="auto"/>
              <w:rPr>
                <w:rFonts w:ascii="Arial"/>
                <w:sz w:val="21"/>
              </w:rPr>
            </w:pPr>
          </w:p>
          <w:p w14:paraId="3DD9B545">
            <w:pPr>
              <w:pStyle w:val="9"/>
              <w:spacing w:before="69" w:line="232" w:lineRule="auto"/>
              <w:ind w:left="217"/>
            </w:pPr>
            <w:r>
              <w:rPr>
                <w:spacing w:val="-2"/>
              </w:rPr>
              <w:t>5.1.6</w:t>
            </w:r>
            <w:r>
              <w:rPr>
                <w:rFonts w:hint="eastAsia"/>
                <w:spacing w:val="-2"/>
                <w:lang w:eastAsia="zh-CN"/>
              </w:rPr>
              <w:t>(</w:t>
            </w:r>
            <w:r>
              <w:rPr>
                <w:spacing w:val="-2"/>
              </w:rPr>
              <w:t>2</w:t>
            </w:r>
            <w:r>
              <w:rPr>
                <w:rFonts w:hint="eastAsia"/>
                <w:spacing w:val="-2"/>
                <w:lang w:eastAsia="zh-CN"/>
              </w:rPr>
              <w:t>)</w:t>
            </w:r>
          </w:p>
        </w:tc>
        <w:tc>
          <w:tcPr>
            <w:tcW w:w="3762" w:type="dxa"/>
            <w:vAlign w:val="top"/>
          </w:tcPr>
          <w:p w14:paraId="3077A3DD">
            <w:pPr>
              <w:pStyle w:val="9"/>
              <w:spacing w:before="106" w:line="284" w:lineRule="auto"/>
              <w:ind w:left="112" w:right="103" w:hanging="2"/>
              <w:jc w:val="both"/>
            </w:pPr>
            <w:r>
              <w:rPr>
                <w:spacing w:val="2"/>
              </w:rPr>
              <w:t>逾期支付甲控乙购</w:t>
            </w:r>
            <w:r>
              <w:rPr>
                <w:spacing w:val="-19"/>
              </w:rPr>
              <w:t xml:space="preserve"> </w:t>
            </w:r>
            <w:r>
              <w:t>II</w:t>
            </w:r>
            <w:r>
              <w:rPr>
                <w:spacing w:val="-39"/>
              </w:rPr>
              <w:t xml:space="preserve"> </w:t>
            </w:r>
            <w:r>
              <w:rPr>
                <w:spacing w:val="2"/>
              </w:rPr>
              <w:t>类材料款，或以</w:t>
            </w:r>
            <w:r>
              <w:rPr>
                <w:spacing w:val="-2"/>
              </w:rPr>
              <w:t>压低单价、私自扣留或巧设名目等方式</w:t>
            </w:r>
            <w:r>
              <w:rPr>
                <w:spacing w:val="-1"/>
              </w:rPr>
              <w:t>收取或变相收取供应商费用的</w:t>
            </w:r>
          </w:p>
        </w:tc>
        <w:tc>
          <w:tcPr>
            <w:tcW w:w="1799" w:type="dxa"/>
            <w:vAlign w:val="top"/>
          </w:tcPr>
          <w:p w14:paraId="62AE24E2">
            <w:pPr>
              <w:spacing w:line="395" w:lineRule="auto"/>
              <w:rPr>
                <w:rFonts w:ascii="Arial"/>
                <w:sz w:val="21"/>
              </w:rPr>
            </w:pPr>
          </w:p>
          <w:p w14:paraId="30161DCD">
            <w:pPr>
              <w:pStyle w:val="9"/>
              <w:spacing w:before="68" w:line="220" w:lineRule="auto"/>
              <w:ind w:left="476"/>
            </w:pPr>
            <w:r>
              <w:rPr>
                <w:spacing w:val="-7"/>
              </w:rPr>
              <w:t>1</w:t>
            </w:r>
            <w:r>
              <w:rPr>
                <w:spacing w:val="-40"/>
              </w:rPr>
              <w:t xml:space="preserve"> </w:t>
            </w:r>
            <w:r>
              <w:rPr>
                <w:spacing w:val="-7"/>
              </w:rPr>
              <w:t>万元/次</w:t>
            </w:r>
          </w:p>
        </w:tc>
        <w:tc>
          <w:tcPr>
            <w:tcW w:w="1580" w:type="dxa"/>
            <w:vAlign w:val="top"/>
          </w:tcPr>
          <w:p w14:paraId="2BCBC96D">
            <w:pPr>
              <w:rPr>
                <w:rFonts w:ascii="Arial"/>
                <w:sz w:val="21"/>
              </w:rPr>
            </w:pPr>
          </w:p>
        </w:tc>
      </w:tr>
      <w:tr w14:paraId="3301E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77AEB2C4">
            <w:pPr>
              <w:spacing w:line="395" w:lineRule="auto"/>
              <w:rPr>
                <w:rFonts w:ascii="Arial"/>
                <w:sz w:val="21"/>
              </w:rPr>
            </w:pPr>
          </w:p>
          <w:p w14:paraId="42D6F86E">
            <w:pPr>
              <w:pStyle w:val="9"/>
              <w:spacing w:before="68"/>
              <w:ind w:left="334"/>
            </w:pPr>
            <w:r>
              <w:rPr>
                <w:spacing w:val="-3"/>
              </w:rPr>
              <w:t>31</w:t>
            </w:r>
          </w:p>
        </w:tc>
        <w:tc>
          <w:tcPr>
            <w:tcW w:w="1469" w:type="dxa"/>
            <w:vAlign w:val="top"/>
          </w:tcPr>
          <w:p w14:paraId="6BBACB25">
            <w:pPr>
              <w:spacing w:line="395" w:lineRule="auto"/>
              <w:rPr>
                <w:rFonts w:ascii="Arial"/>
                <w:sz w:val="21"/>
              </w:rPr>
            </w:pPr>
          </w:p>
          <w:p w14:paraId="61DF7354">
            <w:pPr>
              <w:pStyle w:val="9"/>
              <w:spacing w:before="68" w:line="232" w:lineRule="auto"/>
              <w:ind w:left="216"/>
            </w:pPr>
            <w:r>
              <w:rPr>
                <w:spacing w:val="-2"/>
              </w:rPr>
              <w:t>5.1.6</w:t>
            </w:r>
            <w:r>
              <w:rPr>
                <w:rFonts w:hint="eastAsia"/>
                <w:spacing w:val="-2"/>
                <w:lang w:eastAsia="zh-CN"/>
              </w:rPr>
              <w:t>(</w:t>
            </w:r>
            <w:r>
              <w:rPr>
                <w:spacing w:val="-2"/>
              </w:rPr>
              <w:t>3</w:t>
            </w:r>
            <w:r>
              <w:rPr>
                <w:rFonts w:hint="eastAsia"/>
                <w:spacing w:val="-2"/>
                <w:lang w:eastAsia="zh-CN"/>
              </w:rPr>
              <w:t>)</w:t>
            </w:r>
          </w:p>
        </w:tc>
        <w:tc>
          <w:tcPr>
            <w:tcW w:w="3762" w:type="dxa"/>
            <w:vAlign w:val="top"/>
          </w:tcPr>
          <w:p w14:paraId="461C8D9A">
            <w:pPr>
              <w:pStyle w:val="9"/>
              <w:spacing w:before="285" w:line="319" w:lineRule="auto"/>
              <w:ind w:left="110" w:right="104" w:firstLine="4"/>
            </w:pPr>
            <w:r>
              <w:rPr>
                <w:spacing w:val="2"/>
              </w:rPr>
              <w:t>不服从发包人对于甲控乙购</w:t>
            </w:r>
            <w:r>
              <w:rPr>
                <w:spacing w:val="-24"/>
              </w:rPr>
              <w:t xml:space="preserve"> </w:t>
            </w:r>
            <w:r>
              <w:t>II</w:t>
            </w:r>
            <w:r>
              <w:rPr>
                <w:spacing w:val="-41"/>
              </w:rPr>
              <w:t xml:space="preserve"> </w:t>
            </w:r>
            <w:r>
              <w:rPr>
                <w:spacing w:val="2"/>
              </w:rPr>
              <w:t>类材料</w:t>
            </w:r>
            <w:r>
              <w:rPr>
                <w:spacing w:val="-2"/>
              </w:rPr>
              <w:t>选定的管理的</w:t>
            </w:r>
          </w:p>
        </w:tc>
        <w:tc>
          <w:tcPr>
            <w:tcW w:w="1799" w:type="dxa"/>
            <w:vAlign w:val="top"/>
          </w:tcPr>
          <w:p w14:paraId="53873DAB">
            <w:pPr>
              <w:pStyle w:val="9"/>
              <w:spacing w:before="106" w:line="220" w:lineRule="auto"/>
              <w:ind w:left="149"/>
            </w:pPr>
            <w:r>
              <w:rPr>
                <w:spacing w:val="-3"/>
              </w:rPr>
              <w:t>5</w:t>
            </w:r>
            <w:r>
              <w:rPr>
                <w:spacing w:val="-40"/>
              </w:rPr>
              <w:t xml:space="preserve"> </w:t>
            </w:r>
            <w:r>
              <w:rPr>
                <w:spacing w:val="-3"/>
              </w:rPr>
              <w:t>万元/次，情节</w:t>
            </w:r>
          </w:p>
          <w:p w14:paraId="020A83C4">
            <w:pPr>
              <w:pStyle w:val="9"/>
              <w:spacing w:before="109" w:line="220" w:lineRule="auto"/>
              <w:ind w:left="172"/>
            </w:pPr>
            <w:r>
              <w:rPr>
                <w:spacing w:val="-2"/>
              </w:rPr>
              <w:t>严重的没收履约</w:t>
            </w:r>
          </w:p>
          <w:p w14:paraId="6085E56A">
            <w:pPr>
              <w:pStyle w:val="9"/>
              <w:spacing w:before="110" w:line="217" w:lineRule="auto"/>
              <w:ind w:left="592"/>
            </w:pPr>
            <w:r>
              <w:rPr>
                <w:spacing w:val="-3"/>
              </w:rPr>
              <w:t>保证金</w:t>
            </w:r>
          </w:p>
        </w:tc>
        <w:tc>
          <w:tcPr>
            <w:tcW w:w="1580" w:type="dxa"/>
            <w:vAlign w:val="top"/>
          </w:tcPr>
          <w:p w14:paraId="132EBDAE">
            <w:pPr>
              <w:rPr>
                <w:rFonts w:ascii="Arial"/>
                <w:sz w:val="21"/>
              </w:rPr>
            </w:pPr>
          </w:p>
        </w:tc>
      </w:tr>
      <w:tr w14:paraId="30E9A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862" w:type="dxa"/>
            <w:vAlign w:val="top"/>
          </w:tcPr>
          <w:p w14:paraId="7F2E9FB7">
            <w:pPr>
              <w:pStyle w:val="9"/>
              <w:spacing w:before="286"/>
              <w:ind w:left="334"/>
            </w:pPr>
            <w:r>
              <w:rPr>
                <w:spacing w:val="-3"/>
              </w:rPr>
              <w:t>32</w:t>
            </w:r>
          </w:p>
        </w:tc>
        <w:tc>
          <w:tcPr>
            <w:tcW w:w="1469" w:type="dxa"/>
            <w:vAlign w:val="top"/>
          </w:tcPr>
          <w:p w14:paraId="5987E8EF">
            <w:pPr>
              <w:pStyle w:val="9"/>
              <w:spacing w:before="286" w:line="232" w:lineRule="auto"/>
              <w:ind w:left="216"/>
            </w:pPr>
            <w:r>
              <w:rPr>
                <w:spacing w:val="-2"/>
              </w:rPr>
              <w:t>5.1.6</w:t>
            </w:r>
            <w:r>
              <w:rPr>
                <w:rFonts w:hint="eastAsia"/>
                <w:spacing w:val="-2"/>
                <w:lang w:eastAsia="zh-CN"/>
              </w:rPr>
              <w:t>(</w:t>
            </w:r>
            <w:r>
              <w:rPr>
                <w:spacing w:val="-2"/>
              </w:rPr>
              <w:t>4</w:t>
            </w:r>
            <w:r>
              <w:rPr>
                <w:rFonts w:hint="eastAsia"/>
                <w:spacing w:val="-2"/>
                <w:lang w:eastAsia="zh-CN"/>
              </w:rPr>
              <w:t>)</w:t>
            </w:r>
          </w:p>
        </w:tc>
        <w:tc>
          <w:tcPr>
            <w:tcW w:w="3762" w:type="dxa"/>
            <w:vAlign w:val="top"/>
          </w:tcPr>
          <w:p w14:paraId="289387E5">
            <w:pPr>
              <w:pStyle w:val="9"/>
              <w:spacing w:before="106" w:line="267" w:lineRule="auto"/>
              <w:ind w:left="114" w:right="103"/>
            </w:pPr>
            <w:r>
              <w:rPr>
                <w:spacing w:val="-2"/>
              </w:rPr>
              <w:t>未在规定的时间内对支座、伸缩缝进行</w:t>
            </w:r>
            <w:r>
              <w:rPr>
                <w:spacing w:val="-3"/>
              </w:rPr>
              <w:t>更换的</w:t>
            </w:r>
          </w:p>
        </w:tc>
        <w:tc>
          <w:tcPr>
            <w:tcW w:w="1799" w:type="dxa"/>
            <w:vAlign w:val="top"/>
          </w:tcPr>
          <w:p w14:paraId="636C41AA">
            <w:pPr>
              <w:pStyle w:val="9"/>
              <w:spacing w:before="286" w:line="220" w:lineRule="auto"/>
              <w:ind w:left="465"/>
            </w:pPr>
            <w:r>
              <w:rPr>
                <w:spacing w:val="-5"/>
              </w:rPr>
              <w:t>5</w:t>
            </w:r>
            <w:r>
              <w:rPr>
                <w:spacing w:val="-38"/>
              </w:rPr>
              <w:t xml:space="preserve"> </w:t>
            </w:r>
            <w:r>
              <w:rPr>
                <w:spacing w:val="-5"/>
              </w:rPr>
              <w:t>万元/次</w:t>
            </w:r>
          </w:p>
        </w:tc>
        <w:tc>
          <w:tcPr>
            <w:tcW w:w="1580" w:type="dxa"/>
            <w:vAlign w:val="top"/>
          </w:tcPr>
          <w:p w14:paraId="6E6381BE">
            <w:pPr>
              <w:rPr>
                <w:rFonts w:ascii="Arial"/>
                <w:sz w:val="21"/>
              </w:rPr>
            </w:pPr>
          </w:p>
        </w:tc>
      </w:tr>
      <w:tr w14:paraId="09EBF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62" w:type="dxa"/>
            <w:vAlign w:val="top"/>
          </w:tcPr>
          <w:p w14:paraId="2DCCEFBA">
            <w:pPr>
              <w:spacing w:line="287" w:lineRule="auto"/>
              <w:rPr>
                <w:rFonts w:ascii="Arial"/>
                <w:sz w:val="21"/>
              </w:rPr>
            </w:pPr>
          </w:p>
          <w:p w14:paraId="65FB1D3D">
            <w:pPr>
              <w:spacing w:line="288" w:lineRule="auto"/>
              <w:rPr>
                <w:rFonts w:ascii="Arial"/>
                <w:sz w:val="21"/>
              </w:rPr>
            </w:pPr>
          </w:p>
          <w:p w14:paraId="5F413BBF">
            <w:pPr>
              <w:pStyle w:val="9"/>
              <w:spacing w:before="68"/>
              <w:ind w:left="334"/>
            </w:pPr>
            <w:r>
              <w:rPr>
                <w:spacing w:val="-6"/>
              </w:rPr>
              <w:t>33</w:t>
            </w:r>
          </w:p>
        </w:tc>
        <w:tc>
          <w:tcPr>
            <w:tcW w:w="1469" w:type="dxa"/>
            <w:vAlign w:val="top"/>
          </w:tcPr>
          <w:p w14:paraId="66BA1C39">
            <w:pPr>
              <w:spacing w:line="288" w:lineRule="auto"/>
              <w:rPr>
                <w:rFonts w:ascii="Arial"/>
                <w:sz w:val="21"/>
              </w:rPr>
            </w:pPr>
          </w:p>
          <w:p w14:paraId="108524A7">
            <w:pPr>
              <w:spacing w:line="288" w:lineRule="auto"/>
              <w:rPr>
                <w:rFonts w:ascii="Arial"/>
                <w:sz w:val="21"/>
              </w:rPr>
            </w:pPr>
          </w:p>
          <w:p w14:paraId="1F39E8C4">
            <w:pPr>
              <w:pStyle w:val="9"/>
              <w:spacing w:before="68" w:line="239" w:lineRule="auto"/>
              <w:ind w:left="478"/>
            </w:pPr>
            <w:r>
              <w:rPr>
                <w:spacing w:val="-3"/>
              </w:rPr>
              <w:t>5.3.1</w:t>
            </w:r>
          </w:p>
        </w:tc>
        <w:tc>
          <w:tcPr>
            <w:tcW w:w="3762" w:type="dxa"/>
            <w:vAlign w:val="top"/>
          </w:tcPr>
          <w:p w14:paraId="4BADB989">
            <w:pPr>
              <w:pStyle w:val="9"/>
              <w:spacing w:before="288" w:line="318" w:lineRule="auto"/>
              <w:ind w:left="110" w:right="103" w:firstLine="4"/>
              <w:jc w:val="both"/>
            </w:pPr>
            <w:r>
              <w:rPr>
                <w:spacing w:val="-2"/>
              </w:rPr>
              <w:t>未经监理人同意，承包人将专用于本工程的材料、工程设备、施工设备和临时</w:t>
            </w:r>
            <w:r>
              <w:rPr>
                <w:spacing w:val="-3"/>
              </w:rPr>
              <w:t>设施运出施工场地或挪作他用。</w:t>
            </w:r>
          </w:p>
        </w:tc>
        <w:tc>
          <w:tcPr>
            <w:tcW w:w="1799" w:type="dxa"/>
            <w:vAlign w:val="top"/>
          </w:tcPr>
          <w:p w14:paraId="57DD98DD">
            <w:pPr>
              <w:pStyle w:val="9"/>
              <w:spacing w:before="106" w:line="292" w:lineRule="auto"/>
              <w:ind w:left="170" w:right="134" w:hanging="10"/>
              <w:jc w:val="both"/>
            </w:pPr>
            <w:r>
              <w:rPr>
                <w:spacing w:val="-5"/>
              </w:rPr>
              <w:t>1</w:t>
            </w:r>
            <w:r>
              <w:rPr>
                <w:spacing w:val="-38"/>
              </w:rPr>
              <w:t xml:space="preserve"> </w:t>
            </w:r>
            <w:r>
              <w:rPr>
                <w:spacing w:val="-5"/>
              </w:rPr>
              <w:t>万元/台，同时处以</w:t>
            </w:r>
            <w:r>
              <w:rPr>
                <w:spacing w:val="-27"/>
              </w:rPr>
              <w:t xml:space="preserve"> </w:t>
            </w:r>
            <w:r>
              <w:rPr>
                <w:spacing w:val="-5"/>
              </w:rPr>
              <w:t>1000</w:t>
            </w:r>
            <w:r>
              <w:rPr>
                <w:spacing w:val="-42"/>
              </w:rPr>
              <w:t xml:space="preserve"> </w:t>
            </w:r>
            <w:r>
              <w:rPr>
                <w:spacing w:val="-5"/>
              </w:rPr>
              <w:t>元/天</w:t>
            </w:r>
            <w:r>
              <w:rPr>
                <w:spacing w:val="-2"/>
              </w:rPr>
              <w:t>的违约金直至承</w:t>
            </w:r>
            <w:r>
              <w:rPr>
                <w:spacing w:val="-5"/>
              </w:rPr>
              <w:t>包人纠正为止。</w:t>
            </w:r>
          </w:p>
        </w:tc>
        <w:tc>
          <w:tcPr>
            <w:tcW w:w="1580" w:type="dxa"/>
            <w:vAlign w:val="top"/>
          </w:tcPr>
          <w:p w14:paraId="41410FC6">
            <w:pPr>
              <w:rPr>
                <w:rFonts w:ascii="Arial"/>
                <w:sz w:val="21"/>
              </w:rPr>
            </w:pPr>
          </w:p>
        </w:tc>
      </w:tr>
      <w:tr w14:paraId="6D098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34B375DF">
            <w:pPr>
              <w:spacing w:line="397" w:lineRule="auto"/>
              <w:rPr>
                <w:rFonts w:ascii="Arial"/>
                <w:sz w:val="21"/>
              </w:rPr>
            </w:pPr>
          </w:p>
          <w:p w14:paraId="72797FC3">
            <w:pPr>
              <w:pStyle w:val="9"/>
              <w:spacing w:before="68"/>
              <w:ind w:left="334"/>
            </w:pPr>
            <w:r>
              <w:rPr>
                <w:spacing w:val="-3"/>
              </w:rPr>
              <w:t>34</w:t>
            </w:r>
          </w:p>
        </w:tc>
        <w:tc>
          <w:tcPr>
            <w:tcW w:w="1469" w:type="dxa"/>
            <w:vAlign w:val="top"/>
          </w:tcPr>
          <w:p w14:paraId="7B713611">
            <w:pPr>
              <w:spacing w:line="397" w:lineRule="auto"/>
              <w:rPr>
                <w:rFonts w:ascii="Arial"/>
                <w:sz w:val="21"/>
              </w:rPr>
            </w:pPr>
          </w:p>
          <w:p w14:paraId="4E6EA18D">
            <w:pPr>
              <w:pStyle w:val="9"/>
              <w:spacing w:before="69" w:line="239" w:lineRule="auto"/>
              <w:ind w:left="426"/>
            </w:pPr>
            <w:r>
              <w:rPr>
                <w:spacing w:val="-2"/>
              </w:rPr>
              <w:t>5.6.11</w:t>
            </w:r>
          </w:p>
        </w:tc>
        <w:tc>
          <w:tcPr>
            <w:tcW w:w="3762" w:type="dxa"/>
            <w:vAlign w:val="top"/>
          </w:tcPr>
          <w:p w14:paraId="3085913C">
            <w:pPr>
              <w:pStyle w:val="9"/>
              <w:spacing w:before="288" w:line="320" w:lineRule="auto"/>
              <w:ind w:left="128" w:right="103" w:hanging="18"/>
            </w:pPr>
            <w:r>
              <w:rPr>
                <w:spacing w:val="-2"/>
              </w:rPr>
              <w:t>对自动采集的试验数据进行修改、造假</w:t>
            </w:r>
            <w:r>
              <w:t>的</w:t>
            </w:r>
          </w:p>
        </w:tc>
        <w:tc>
          <w:tcPr>
            <w:tcW w:w="1799" w:type="dxa"/>
            <w:vAlign w:val="top"/>
          </w:tcPr>
          <w:p w14:paraId="5B63A130">
            <w:pPr>
              <w:pStyle w:val="9"/>
              <w:spacing w:before="108" w:line="220" w:lineRule="auto"/>
              <w:ind w:left="160"/>
            </w:pPr>
            <w:r>
              <w:rPr>
                <w:spacing w:val="-5"/>
              </w:rPr>
              <w:t>1</w:t>
            </w:r>
            <w:r>
              <w:rPr>
                <w:spacing w:val="-36"/>
              </w:rPr>
              <w:t xml:space="preserve"> </w:t>
            </w:r>
            <w:r>
              <w:rPr>
                <w:spacing w:val="-5"/>
              </w:rPr>
              <w:t>万元/次，责任</w:t>
            </w:r>
          </w:p>
          <w:p w14:paraId="09380CA1">
            <w:pPr>
              <w:pStyle w:val="9"/>
              <w:spacing w:before="109" w:line="220" w:lineRule="auto"/>
              <w:ind w:left="117"/>
            </w:pPr>
            <w:r>
              <w:rPr>
                <w:spacing w:val="-13"/>
              </w:rPr>
              <w:t>人第一次通报，第</w:t>
            </w:r>
          </w:p>
          <w:p w14:paraId="5E95C862">
            <w:pPr>
              <w:pStyle w:val="9"/>
              <w:spacing w:before="109" w:line="216" w:lineRule="auto"/>
              <w:ind w:left="490"/>
            </w:pPr>
            <w:r>
              <w:rPr>
                <w:spacing w:val="-3"/>
              </w:rPr>
              <w:t>二次清退</w:t>
            </w:r>
          </w:p>
        </w:tc>
        <w:tc>
          <w:tcPr>
            <w:tcW w:w="1580" w:type="dxa"/>
            <w:vAlign w:val="top"/>
          </w:tcPr>
          <w:p w14:paraId="6F6AEB70">
            <w:pPr>
              <w:rPr>
                <w:rFonts w:ascii="Arial"/>
                <w:sz w:val="21"/>
              </w:rPr>
            </w:pPr>
          </w:p>
        </w:tc>
      </w:tr>
      <w:tr w14:paraId="08EE4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2" w:type="dxa"/>
            <w:vAlign w:val="top"/>
          </w:tcPr>
          <w:p w14:paraId="668C6098">
            <w:pPr>
              <w:spacing w:line="288" w:lineRule="auto"/>
              <w:rPr>
                <w:rFonts w:ascii="Arial"/>
                <w:sz w:val="21"/>
              </w:rPr>
            </w:pPr>
          </w:p>
          <w:p w14:paraId="6B7BBAEC">
            <w:pPr>
              <w:spacing w:line="289" w:lineRule="auto"/>
              <w:rPr>
                <w:rFonts w:ascii="Arial"/>
                <w:sz w:val="21"/>
              </w:rPr>
            </w:pPr>
          </w:p>
          <w:p w14:paraId="398A0D8E">
            <w:pPr>
              <w:pStyle w:val="9"/>
              <w:spacing w:before="68"/>
              <w:ind w:left="334"/>
            </w:pPr>
            <w:r>
              <w:rPr>
                <w:spacing w:val="-6"/>
              </w:rPr>
              <w:t>35</w:t>
            </w:r>
          </w:p>
        </w:tc>
        <w:tc>
          <w:tcPr>
            <w:tcW w:w="1469" w:type="dxa"/>
            <w:vAlign w:val="top"/>
          </w:tcPr>
          <w:p w14:paraId="51F514F2">
            <w:pPr>
              <w:spacing w:line="288" w:lineRule="auto"/>
              <w:rPr>
                <w:rFonts w:ascii="Arial"/>
                <w:sz w:val="21"/>
              </w:rPr>
            </w:pPr>
          </w:p>
          <w:p w14:paraId="04CED57A">
            <w:pPr>
              <w:spacing w:line="289" w:lineRule="auto"/>
              <w:rPr>
                <w:rFonts w:ascii="Arial"/>
                <w:sz w:val="21"/>
              </w:rPr>
            </w:pPr>
          </w:p>
          <w:p w14:paraId="6C118F73">
            <w:pPr>
              <w:pStyle w:val="9"/>
              <w:spacing w:before="68" w:line="239" w:lineRule="auto"/>
              <w:ind w:left="476"/>
            </w:pPr>
            <w:r>
              <w:rPr>
                <w:spacing w:val="-2"/>
              </w:rPr>
              <w:t>6.1.1</w:t>
            </w:r>
          </w:p>
        </w:tc>
        <w:tc>
          <w:tcPr>
            <w:tcW w:w="3762" w:type="dxa"/>
            <w:vAlign w:val="top"/>
          </w:tcPr>
          <w:p w14:paraId="7CE191BA">
            <w:pPr>
              <w:spacing w:line="397" w:lineRule="auto"/>
              <w:rPr>
                <w:rFonts w:ascii="Arial"/>
                <w:sz w:val="21"/>
              </w:rPr>
            </w:pPr>
          </w:p>
          <w:p w14:paraId="3F5F399D">
            <w:pPr>
              <w:pStyle w:val="9"/>
              <w:spacing w:before="68" w:line="319" w:lineRule="auto"/>
              <w:ind w:left="112" w:right="106"/>
            </w:pPr>
            <w:r>
              <w:rPr>
                <w:spacing w:val="11"/>
              </w:rPr>
              <w:t>按施工进度计划须到位而未到位的主</w:t>
            </w:r>
            <w:r>
              <w:rPr>
                <w:spacing w:val="-3"/>
              </w:rPr>
              <w:t>要设备，或擅自改变主要设备型号。</w:t>
            </w:r>
          </w:p>
        </w:tc>
        <w:tc>
          <w:tcPr>
            <w:tcW w:w="1799" w:type="dxa"/>
            <w:vAlign w:val="top"/>
          </w:tcPr>
          <w:p w14:paraId="1B324206">
            <w:pPr>
              <w:pStyle w:val="9"/>
              <w:spacing w:before="109" w:line="291" w:lineRule="auto"/>
              <w:ind w:left="170" w:right="134" w:hanging="10"/>
              <w:jc w:val="both"/>
            </w:pPr>
            <w:r>
              <w:rPr>
                <w:spacing w:val="-5"/>
              </w:rPr>
              <w:t>1</w:t>
            </w:r>
            <w:r>
              <w:rPr>
                <w:spacing w:val="-38"/>
              </w:rPr>
              <w:t xml:space="preserve"> </w:t>
            </w:r>
            <w:r>
              <w:rPr>
                <w:spacing w:val="-5"/>
              </w:rPr>
              <w:t>万元/台，同时处以</w:t>
            </w:r>
            <w:r>
              <w:rPr>
                <w:spacing w:val="-27"/>
              </w:rPr>
              <w:t xml:space="preserve"> </w:t>
            </w:r>
            <w:r>
              <w:rPr>
                <w:spacing w:val="-5"/>
              </w:rPr>
              <w:t>1000</w:t>
            </w:r>
            <w:r>
              <w:rPr>
                <w:spacing w:val="-42"/>
              </w:rPr>
              <w:t xml:space="preserve"> </w:t>
            </w:r>
            <w:r>
              <w:rPr>
                <w:spacing w:val="-5"/>
              </w:rPr>
              <w:t>元/天</w:t>
            </w:r>
            <w:r>
              <w:rPr>
                <w:spacing w:val="-2"/>
              </w:rPr>
              <w:t>的违约金直至承</w:t>
            </w:r>
            <w:r>
              <w:rPr>
                <w:spacing w:val="-5"/>
              </w:rPr>
              <w:t>包人纠正为止。</w:t>
            </w:r>
          </w:p>
        </w:tc>
        <w:tc>
          <w:tcPr>
            <w:tcW w:w="1580" w:type="dxa"/>
            <w:vAlign w:val="top"/>
          </w:tcPr>
          <w:p w14:paraId="336DC39C">
            <w:pPr>
              <w:rPr>
                <w:rFonts w:ascii="Arial"/>
                <w:sz w:val="21"/>
              </w:rPr>
            </w:pPr>
          </w:p>
        </w:tc>
      </w:tr>
      <w:tr w14:paraId="5E5A3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862" w:type="dxa"/>
            <w:vAlign w:val="top"/>
          </w:tcPr>
          <w:p w14:paraId="01C048DE">
            <w:pPr>
              <w:spacing w:line="288" w:lineRule="auto"/>
              <w:rPr>
                <w:rFonts w:ascii="Arial"/>
                <w:sz w:val="21"/>
              </w:rPr>
            </w:pPr>
          </w:p>
          <w:p w14:paraId="21D89C2D">
            <w:pPr>
              <w:spacing w:line="289" w:lineRule="auto"/>
              <w:rPr>
                <w:rFonts w:ascii="Arial"/>
                <w:sz w:val="21"/>
              </w:rPr>
            </w:pPr>
          </w:p>
          <w:p w14:paraId="348E120B">
            <w:pPr>
              <w:pStyle w:val="9"/>
              <w:spacing w:before="69"/>
              <w:ind w:left="334"/>
            </w:pPr>
            <w:r>
              <w:rPr>
                <w:spacing w:val="-3"/>
              </w:rPr>
              <w:t>36</w:t>
            </w:r>
          </w:p>
        </w:tc>
        <w:tc>
          <w:tcPr>
            <w:tcW w:w="1469" w:type="dxa"/>
            <w:vAlign w:val="top"/>
          </w:tcPr>
          <w:p w14:paraId="412FC5EE">
            <w:pPr>
              <w:spacing w:line="289" w:lineRule="auto"/>
              <w:rPr>
                <w:rFonts w:ascii="Arial"/>
                <w:sz w:val="21"/>
              </w:rPr>
            </w:pPr>
          </w:p>
          <w:p w14:paraId="11582E83">
            <w:pPr>
              <w:spacing w:line="289" w:lineRule="auto"/>
              <w:rPr>
                <w:rFonts w:ascii="Arial"/>
                <w:sz w:val="21"/>
              </w:rPr>
            </w:pPr>
          </w:p>
          <w:p w14:paraId="78BC3B10">
            <w:pPr>
              <w:pStyle w:val="9"/>
              <w:spacing w:before="68" w:line="239" w:lineRule="auto"/>
              <w:ind w:left="581"/>
            </w:pPr>
            <w:r>
              <w:rPr>
                <w:spacing w:val="-4"/>
              </w:rPr>
              <w:t>6.3</w:t>
            </w:r>
          </w:p>
        </w:tc>
        <w:tc>
          <w:tcPr>
            <w:tcW w:w="3762" w:type="dxa"/>
            <w:vAlign w:val="top"/>
          </w:tcPr>
          <w:p w14:paraId="7831FFB2">
            <w:pPr>
              <w:spacing w:line="399" w:lineRule="auto"/>
              <w:rPr>
                <w:rFonts w:ascii="Arial"/>
                <w:sz w:val="21"/>
              </w:rPr>
            </w:pPr>
          </w:p>
          <w:p w14:paraId="05A207CF">
            <w:pPr>
              <w:pStyle w:val="9"/>
              <w:spacing w:before="69" w:line="319" w:lineRule="auto"/>
              <w:ind w:left="113" w:right="106" w:hanging="2"/>
            </w:pPr>
            <w:r>
              <w:rPr>
                <w:spacing w:val="11"/>
              </w:rPr>
              <w:t>承包人未按监理人要求增加或更换施</w:t>
            </w:r>
            <w:r>
              <w:rPr>
                <w:spacing w:val="-3"/>
              </w:rPr>
              <w:t>工设备</w:t>
            </w:r>
          </w:p>
        </w:tc>
        <w:tc>
          <w:tcPr>
            <w:tcW w:w="1799" w:type="dxa"/>
            <w:vAlign w:val="top"/>
          </w:tcPr>
          <w:p w14:paraId="6867561C">
            <w:pPr>
              <w:pStyle w:val="9"/>
              <w:spacing w:before="110" w:line="291" w:lineRule="auto"/>
              <w:ind w:left="170" w:right="134" w:hanging="10"/>
              <w:jc w:val="both"/>
            </w:pPr>
            <w:r>
              <w:rPr>
                <w:spacing w:val="-5"/>
              </w:rPr>
              <w:t>1</w:t>
            </w:r>
            <w:r>
              <w:rPr>
                <w:spacing w:val="-38"/>
              </w:rPr>
              <w:t xml:space="preserve"> </w:t>
            </w:r>
            <w:r>
              <w:rPr>
                <w:spacing w:val="-5"/>
              </w:rPr>
              <w:t>万元/台，同时处以</w:t>
            </w:r>
            <w:r>
              <w:rPr>
                <w:spacing w:val="-27"/>
              </w:rPr>
              <w:t xml:space="preserve"> </w:t>
            </w:r>
            <w:r>
              <w:rPr>
                <w:spacing w:val="-5"/>
              </w:rPr>
              <w:t>1000</w:t>
            </w:r>
            <w:r>
              <w:rPr>
                <w:spacing w:val="-42"/>
              </w:rPr>
              <w:t xml:space="preserve"> </w:t>
            </w:r>
            <w:r>
              <w:rPr>
                <w:spacing w:val="-5"/>
              </w:rPr>
              <w:t>元/天</w:t>
            </w:r>
            <w:r>
              <w:rPr>
                <w:spacing w:val="-2"/>
              </w:rPr>
              <w:t>的违约金直至承</w:t>
            </w:r>
            <w:r>
              <w:rPr>
                <w:spacing w:val="-5"/>
              </w:rPr>
              <w:t>包人纠正为止。</w:t>
            </w:r>
          </w:p>
        </w:tc>
        <w:tc>
          <w:tcPr>
            <w:tcW w:w="1580" w:type="dxa"/>
            <w:vAlign w:val="top"/>
          </w:tcPr>
          <w:p w14:paraId="615A69C9">
            <w:pPr>
              <w:rPr>
                <w:rFonts w:ascii="Arial"/>
                <w:sz w:val="21"/>
              </w:rPr>
            </w:pPr>
          </w:p>
        </w:tc>
      </w:tr>
      <w:tr w14:paraId="59E85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2" w:type="dxa"/>
            <w:vAlign w:val="top"/>
          </w:tcPr>
          <w:p w14:paraId="20FB747E">
            <w:pPr>
              <w:pStyle w:val="9"/>
              <w:spacing w:before="290"/>
              <w:ind w:left="334"/>
            </w:pPr>
            <w:r>
              <w:rPr>
                <w:spacing w:val="-6"/>
              </w:rPr>
              <w:t>37</w:t>
            </w:r>
          </w:p>
        </w:tc>
        <w:tc>
          <w:tcPr>
            <w:tcW w:w="1469" w:type="dxa"/>
            <w:vAlign w:val="top"/>
          </w:tcPr>
          <w:p w14:paraId="221FCD2D">
            <w:pPr>
              <w:pStyle w:val="9"/>
              <w:spacing w:before="290" w:line="239" w:lineRule="auto"/>
              <w:ind w:left="438"/>
            </w:pPr>
            <w:r>
              <w:rPr>
                <w:spacing w:val="-4"/>
              </w:rPr>
              <w:t>11.1.1</w:t>
            </w:r>
          </w:p>
        </w:tc>
        <w:tc>
          <w:tcPr>
            <w:tcW w:w="3762" w:type="dxa"/>
            <w:vAlign w:val="top"/>
          </w:tcPr>
          <w:p w14:paraId="2C5A70BE">
            <w:pPr>
              <w:pStyle w:val="9"/>
              <w:spacing w:before="290" w:line="220" w:lineRule="auto"/>
              <w:ind w:left="111"/>
            </w:pPr>
            <w:r>
              <w:rPr>
                <w:spacing w:val="-1"/>
              </w:rPr>
              <w:t>承包人未按期开工</w:t>
            </w:r>
          </w:p>
        </w:tc>
        <w:tc>
          <w:tcPr>
            <w:tcW w:w="1799" w:type="dxa"/>
            <w:vAlign w:val="top"/>
          </w:tcPr>
          <w:p w14:paraId="6D40CB46">
            <w:pPr>
              <w:pStyle w:val="9"/>
              <w:spacing w:before="109" w:line="266" w:lineRule="auto"/>
              <w:ind w:left="172" w:right="160"/>
            </w:pPr>
            <w:r>
              <w:rPr>
                <w:spacing w:val="-2"/>
              </w:rPr>
              <w:t>参照工期延误的标准扣除违约金</w:t>
            </w:r>
          </w:p>
        </w:tc>
        <w:tc>
          <w:tcPr>
            <w:tcW w:w="1580" w:type="dxa"/>
            <w:vAlign w:val="top"/>
          </w:tcPr>
          <w:p w14:paraId="688BD984">
            <w:pPr>
              <w:rPr>
                <w:rFonts w:ascii="Arial"/>
                <w:sz w:val="21"/>
              </w:rPr>
            </w:pPr>
          </w:p>
        </w:tc>
      </w:tr>
      <w:tr w14:paraId="21384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2" w:type="dxa"/>
            <w:vAlign w:val="top"/>
          </w:tcPr>
          <w:p w14:paraId="6C9D242E">
            <w:pPr>
              <w:spacing w:line="289" w:lineRule="auto"/>
              <w:rPr>
                <w:rFonts w:ascii="Arial"/>
                <w:sz w:val="21"/>
              </w:rPr>
            </w:pPr>
          </w:p>
          <w:p w14:paraId="21077B25">
            <w:pPr>
              <w:spacing w:line="289" w:lineRule="auto"/>
              <w:rPr>
                <w:rFonts w:ascii="Arial"/>
                <w:sz w:val="21"/>
              </w:rPr>
            </w:pPr>
          </w:p>
          <w:p w14:paraId="0114E9B9">
            <w:pPr>
              <w:pStyle w:val="9"/>
              <w:spacing w:before="68"/>
              <w:ind w:left="334"/>
            </w:pPr>
            <w:r>
              <w:rPr>
                <w:spacing w:val="-6"/>
              </w:rPr>
              <w:t>38</w:t>
            </w:r>
          </w:p>
        </w:tc>
        <w:tc>
          <w:tcPr>
            <w:tcW w:w="1469" w:type="dxa"/>
            <w:vAlign w:val="top"/>
          </w:tcPr>
          <w:p w14:paraId="7DA44946">
            <w:pPr>
              <w:spacing w:line="289" w:lineRule="auto"/>
              <w:rPr>
                <w:rFonts w:ascii="Arial"/>
                <w:sz w:val="21"/>
              </w:rPr>
            </w:pPr>
          </w:p>
          <w:p w14:paraId="2DFC7D43">
            <w:pPr>
              <w:spacing w:line="289" w:lineRule="auto"/>
              <w:rPr>
                <w:rFonts w:ascii="Arial"/>
                <w:sz w:val="21"/>
              </w:rPr>
            </w:pPr>
          </w:p>
          <w:p w14:paraId="59D2DC54">
            <w:pPr>
              <w:pStyle w:val="9"/>
              <w:spacing w:before="68" w:line="232" w:lineRule="auto"/>
              <w:ind w:left="279"/>
            </w:pPr>
            <w:r>
              <w:rPr>
                <w:spacing w:val="-5"/>
              </w:rPr>
              <w:t>11.5</w:t>
            </w:r>
            <w:r>
              <w:rPr>
                <w:rFonts w:hint="eastAsia"/>
                <w:spacing w:val="-5"/>
                <w:lang w:eastAsia="zh-CN"/>
              </w:rPr>
              <w:t>(</w:t>
            </w:r>
            <w:r>
              <w:rPr>
                <w:spacing w:val="-5"/>
              </w:rPr>
              <w:t>3</w:t>
            </w:r>
            <w:r>
              <w:rPr>
                <w:rFonts w:hint="eastAsia"/>
                <w:spacing w:val="-5"/>
                <w:lang w:eastAsia="zh-CN"/>
              </w:rPr>
              <w:t>)</w:t>
            </w:r>
          </w:p>
        </w:tc>
        <w:tc>
          <w:tcPr>
            <w:tcW w:w="3762" w:type="dxa"/>
            <w:vAlign w:val="top"/>
          </w:tcPr>
          <w:p w14:paraId="463886C6">
            <w:pPr>
              <w:spacing w:line="288" w:lineRule="auto"/>
              <w:rPr>
                <w:rFonts w:ascii="Arial"/>
                <w:sz w:val="21"/>
              </w:rPr>
            </w:pPr>
          </w:p>
          <w:p w14:paraId="5F6B65FA">
            <w:pPr>
              <w:spacing w:line="289" w:lineRule="auto"/>
              <w:rPr>
                <w:rFonts w:ascii="Arial"/>
                <w:sz w:val="21"/>
              </w:rPr>
            </w:pPr>
          </w:p>
          <w:p w14:paraId="13F0D799">
            <w:pPr>
              <w:pStyle w:val="9"/>
              <w:spacing w:before="69" w:line="220" w:lineRule="auto"/>
              <w:ind w:left="111"/>
            </w:pPr>
            <w:r>
              <w:rPr>
                <w:spacing w:val="-1"/>
              </w:rPr>
              <w:t>承包人的工期延误</w:t>
            </w:r>
          </w:p>
        </w:tc>
        <w:tc>
          <w:tcPr>
            <w:tcW w:w="1799" w:type="dxa"/>
            <w:vAlign w:val="top"/>
          </w:tcPr>
          <w:p w14:paraId="0CDB78EF">
            <w:pPr>
              <w:pStyle w:val="9"/>
              <w:spacing w:before="109" w:line="220" w:lineRule="auto"/>
              <w:ind w:left="173"/>
            </w:pPr>
            <w:r>
              <w:rPr>
                <w:spacing w:val="-2"/>
              </w:rPr>
              <w:t>按照项目专用条</w:t>
            </w:r>
          </w:p>
          <w:p w14:paraId="3E3BDD01">
            <w:pPr>
              <w:pStyle w:val="9"/>
              <w:spacing w:before="109" w:line="220" w:lineRule="auto"/>
              <w:ind w:left="146"/>
            </w:pPr>
            <w:r>
              <w:rPr>
                <w:spacing w:val="-4"/>
              </w:rPr>
              <w:t>款数据表第</w:t>
            </w:r>
            <w:r>
              <w:rPr>
                <w:spacing w:val="-27"/>
              </w:rPr>
              <w:t xml:space="preserve"> </w:t>
            </w:r>
            <w:r>
              <w:rPr>
                <w:spacing w:val="-4"/>
              </w:rPr>
              <w:t>11.5</w:t>
            </w:r>
          </w:p>
          <w:p w14:paraId="52E214B0">
            <w:pPr>
              <w:pStyle w:val="9"/>
              <w:spacing w:before="110" w:line="220" w:lineRule="auto"/>
              <w:ind w:left="172"/>
            </w:pPr>
            <w:r>
              <w:rPr>
                <w:spacing w:val="-2"/>
              </w:rPr>
              <w:t>款规定的标准扣</w:t>
            </w:r>
          </w:p>
          <w:p w14:paraId="2E9EBCB4">
            <w:pPr>
              <w:pStyle w:val="9"/>
              <w:spacing w:before="109" w:line="214" w:lineRule="auto"/>
              <w:ind w:left="814"/>
            </w:pPr>
            <w:r>
              <w:t>除</w:t>
            </w:r>
          </w:p>
        </w:tc>
        <w:tc>
          <w:tcPr>
            <w:tcW w:w="1580" w:type="dxa"/>
            <w:vAlign w:val="top"/>
          </w:tcPr>
          <w:p w14:paraId="7273A540">
            <w:pPr>
              <w:rPr>
                <w:rFonts w:ascii="Arial"/>
                <w:sz w:val="21"/>
              </w:rPr>
            </w:pPr>
          </w:p>
        </w:tc>
      </w:tr>
      <w:tr w14:paraId="21308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862" w:type="dxa"/>
            <w:vAlign w:val="top"/>
          </w:tcPr>
          <w:p w14:paraId="7D8D8B7B">
            <w:pPr>
              <w:spacing w:line="289" w:lineRule="auto"/>
              <w:rPr>
                <w:rFonts w:ascii="Arial"/>
                <w:sz w:val="21"/>
              </w:rPr>
            </w:pPr>
          </w:p>
          <w:p w14:paraId="15D33679">
            <w:pPr>
              <w:spacing w:line="289" w:lineRule="auto"/>
              <w:rPr>
                <w:rFonts w:ascii="Arial"/>
                <w:sz w:val="21"/>
              </w:rPr>
            </w:pPr>
          </w:p>
          <w:p w14:paraId="2A54B385">
            <w:pPr>
              <w:pStyle w:val="9"/>
              <w:spacing w:before="69"/>
              <w:ind w:left="334"/>
            </w:pPr>
            <w:r>
              <w:rPr>
                <w:spacing w:val="-6"/>
              </w:rPr>
              <w:t>39</w:t>
            </w:r>
          </w:p>
        </w:tc>
        <w:tc>
          <w:tcPr>
            <w:tcW w:w="1469" w:type="dxa"/>
            <w:vAlign w:val="top"/>
          </w:tcPr>
          <w:p w14:paraId="19944F6B">
            <w:pPr>
              <w:spacing w:line="289" w:lineRule="auto"/>
              <w:rPr>
                <w:rFonts w:ascii="Arial"/>
                <w:sz w:val="21"/>
              </w:rPr>
            </w:pPr>
          </w:p>
          <w:p w14:paraId="2299DCD9">
            <w:pPr>
              <w:spacing w:line="289" w:lineRule="auto"/>
              <w:rPr>
                <w:rFonts w:ascii="Arial"/>
                <w:sz w:val="21"/>
              </w:rPr>
            </w:pPr>
          </w:p>
          <w:p w14:paraId="18F3580A">
            <w:pPr>
              <w:pStyle w:val="9"/>
              <w:spacing w:before="69" w:line="232" w:lineRule="auto"/>
              <w:ind w:left="279"/>
            </w:pPr>
            <w:r>
              <w:rPr>
                <w:spacing w:val="-5"/>
              </w:rPr>
              <w:t>11.5</w:t>
            </w:r>
            <w:r>
              <w:rPr>
                <w:rFonts w:hint="eastAsia"/>
                <w:spacing w:val="-5"/>
                <w:lang w:eastAsia="zh-CN"/>
              </w:rPr>
              <w:t>(</w:t>
            </w:r>
            <w:r>
              <w:rPr>
                <w:spacing w:val="-5"/>
              </w:rPr>
              <w:t>6</w:t>
            </w:r>
            <w:r>
              <w:rPr>
                <w:rFonts w:hint="eastAsia"/>
                <w:spacing w:val="-5"/>
                <w:lang w:eastAsia="zh-CN"/>
              </w:rPr>
              <w:t>)</w:t>
            </w:r>
          </w:p>
        </w:tc>
        <w:tc>
          <w:tcPr>
            <w:tcW w:w="3762" w:type="dxa"/>
            <w:vAlign w:val="top"/>
          </w:tcPr>
          <w:p w14:paraId="6E7B32E4">
            <w:pPr>
              <w:pStyle w:val="9"/>
              <w:spacing w:before="110" w:line="292" w:lineRule="auto"/>
              <w:ind w:left="112" w:right="103"/>
              <w:jc w:val="both"/>
            </w:pPr>
            <w:r>
              <w:rPr>
                <w:spacing w:val="10"/>
              </w:rPr>
              <w:t>连续三个月未能完成发包人下发（批</w:t>
            </w:r>
            <w:r>
              <w:t>复）的月计划任务的</w:t>
            </w:r>
            <w:r>
              <w:rPr>
                <w:spacing w:val="-35"/>
              </w:rPr>
              <w:t xml:space="preserve"> </w:t>
            </w:r>
            <w:r>
              <w:t>80%或累计未能完</w:t>
            </w:r>
            <w:r>
              <w:rPr>
                <w:spacing w:val="-2"/>
              </w:rPr>
              <w:t>成发包人下发（批复）的季度计划任务</w:t>
            </w:r>
            <w:r>
              <w:rPr>
                <w:spacing w:val="-4"/>
              </w:rPr>
              <w:t>的</w:t>
            </w:r>
            <w:r>
              <w:rPr>
                <w:spacing w:val="-44"/>
              </w:rPr>
              <w:t xml:space="preserve"> </w:t>
            </w:r>
            <w:r>
              <w:rPr>
                <w:spacing w:val="-4"/>
              </w:rPr>
              <w:t>80%的</w:t>
            </w:r>
          </w:p>
        </w:tc>
        <w:tc>
          <w:tcPr>
            <w:tcW w:w="1799" w:type="dxa"/>
            <w:vAlign w:val="top"/>
          </w:tcPr>
          <w:p w14:paraId="62F1C7FF">
            <w:pPr>
              <w:spacing w:line="289" w:lineRule="auto"/>
              <w:rPr>
                <w:rFonts w:ascii="Arial"/>
                <w:sz w:val="21"/>
              </w:rPr>
            </w:pPr>
          </w:p>
          <w:p w14:paraId="57F9AFCC">
            <w:pPr>
              <w:spacing w:line="289" w:lineRule="auto"/>
              <w:rPr>
                <w:rFonts w:ascii="Arial"/>
                <w:sz w:val="21"/>
              </w:rPr>
            </w:pPr>
          </w:p>
          <w:p w14:paraId="14C02081">
            <w:pPr>
              <w:pStyle w:val="9"/>
              <w:spacing w:before="68" w:line="220" w:lineRule="auto"/>
              <w:ind w:left="412"/>
            </w:pPr>
            <w:r>
              <w:rPr>
                <w:spacing w:val="-4"/>
              </w:rPr>
              <w:t>50</w:t>
            </w:r>
            <w:r>
              <w:rPr>
                <w:spacing w:val="-39"/>
              </w:rPr>
              <w:t xml:space="preserve"> </w:t>
            </w:r>
            <w:r>
              <w:rPr>
                <w:spacing w:val="-4"/>
              </w:rPr>
              <w:t>万元/次</w:t>
            </w:r>
          </w:p>
        </w:tc>
        <w:tc>
          <w:tcPr>
            <w:tcW w:w="1580" w:type="dxa"/>
            <w:vAlign w:val="top"/>
          </w:tcPr>
          <w:p w14:paraId="68F7823F">
            <w:pPr>
              <w:rPr>
                <w:rFonts w:ascii="Arial"/>
                <w:sz w:val="21"/>
              </w:rPr>
            </w:pPr>
          </w:p>
        </w:tc>
      </w:tr>
    </w:tbl>
    <w:p w14:paraId="7B36E252">
      <w:pPr>
        <w:pStyle w:val="2"/>
      </w:pPr>
    </w:p>
    <w:p w14:paraId="1077B3A4">
      <w:pPr>
        <w:sectPr>
          <w:footerReference r:id="rId134" w:type="default"/>
          <w:pgSz w:w="11905" w:h="16840"/>
          <w:pgMar w:top="1182" w:right="1123" w:bottom="1171" w:left="1303" w:header="849" w:footer="937" w:gutter="0"/>
          <w:pgNumType w:fmt="decimal"/>
          <w:cols w:space="720" w:num="1"/>
        </w:sectPr>
      </w:pPr>
    </w:p>
    <w:p w14:paraId="7467E059">
      <w:pPr>
        <w:spacing w:line="234" w:lineRule="exact"/>
      </w:pPr>
    </w:p>
    <w:tbl>
      <w:tblPr>
        <w:tblStyle w:val="8"/>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2"/>
        <w:gridCol w:w="1469"/>
        <w:gridCol w:w="3762"/>
        <w:gridCol w:w="1799"/>
        <w:gridCol w:w="1580"/>
      </w:tblGrid>
      <w:tr w14:paraId="3B843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62" w:type="dxa"/>
            <w:vAlign w:val="top"/>
          </w:tcPr>
          <w:p w14:paraId="1C776523">
            <w:pPr>
              <w:pStyle w:val="9"/>
              <w:spacing w:before="214" w:line="221" w:lineRule="auto"/>
              <w:ind w:left="225"/>
            </w:pPr>
            <w:r>
              <w:rPr>
                <w:b/>
                <w:bCs/>
                <w:spacing w:val="-4"/>
              </w:rPr>
              <w:t>序号</w:t>
            </w:r>
          </w:p>
        </w:tc>
        <w:tc>
          <w:tcPr>
            <w:tcW w:w="1469" w:type="dxa"/>
            <w:vAlign w:val="top"/>
          </w:tcPr>
          <w:p w14:paraId="78A87A93">
            <w:pPr>
              <w:pStyle w:val="9"/>
              <w:spacing w:before="213" w:line="219" w:lineRule="auto"/>
              <w:ind w:left="319"/>
            </w:pPr>
            <w:r>
              <w:rPr>
                <w:b/>
                <w:bCs/>
                <w:spacing w:val="-5"/>
              </w:rPr>
              <w:t>合同依据</w:t>
            </w:r>
          </w:p>
        </w:tc>
        <w:tc>
          <w:tcPr>
            <w:tcW w:w="3762" w:type="dxa"/>
            <w:vAlign w:val="top"/>
          </w:tcPr>
          <w:p w14:paraId="6C26EFA3">
            <w:pPr>
              <w:pStyle w:val="9"/>
              <w:spacing w:before="213" w:line="220" w:lineRule="auto"/>
              <w:ind w:left="1465"/>
            </w:pPr>
            <w:r>
              <w:rPr>
                <w:b/>
                <w:bCs/>
                <w:spacing w:val="-4"/>
              </w:rPr>
              <w:t>违约内容</w:t>
            </w:r>
          </w:p>
        </w:tc>
        <w:tc>
          <w:tcPr>
            <w:tcW w:w="1799" w:type="dxa"/>
            <w:vAlign w:val="top"/>
          </w:tcPr>
          <w:p w14:paraId="2A91B36F">
            <w:pPr>
              <w:pStyle w:val="9"/>
              <w:spacing w:before="214" w:line="220" w:lineRule="auto"/>
              <w:ind w:left="381"/>
            </w:pPr>
            <w:r>
              <w:rPr>
                <w:b/>
                <w:bCs/>
                <w:spacing w:val="-4"/>
              </w:rPr>
              <w:t>违约金标准</w:t>
            </w:r>
          </w:p>
        </w:tc>
        <w:tc>
          <w:tcPr>
            <w:tcW w:w="1580" w:type="dxa"/>
            <w:vAlign w:val="top"/>
          </w:tcPr>
          <w:p w14:paraId="2BC3582D">
            <w:pPr>
              <w:pStyle w:val="9"/>
              <w:spacing w:before="214" w:line="221" w:lineRule="auto"/>
              <w:ind w:left="586"/>
            </w:pPr>
            <w:r>
              <w:rPr>
                <w:b/>
                <w:bCs/>
                <w:spacing w:val="-5"/>
              </w:rPr>
              <w:t>备注</w:t>
            </w:r>
          </w:p>
        </w:tc>
      </w:tr>
      <w:tr w14:paraId="3E74E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2" w:type="dxa"/>
            <w:vAlign w:val="top"/>
          </w:tcPr>
          <w:p w14:paraId="0733552C">
            <w:pPr>
              <w:spacing w:line="287" w:lineRule="auto"/>
              <w:rPr>
                <w:rFonts w:ascii="Arial"/>
                <w:sz w:val="21"/>
              </w:rPr>
            </w:pPr>
          </w:p>
          <w:p w14:paraId="45EF0BC3">
            <w:pPr>
              <w:spacing w:line="287" w:lineRule="auto"/>
              <w:rPr>
                <w:rFonts w:ascii="Arial"/>
                <w:sz w:val="21"/>
              </w:rPr>
            </w:pPr>
          </w:p>
          <w:p w14:paraId="7B8E4999">
            <w:pPr>
              <w:pStyle w:val="9"/>
              <w:spacing w:before="68"/>
              <w:ind w:left="329"/>
            </w:pPr>
            <w:r>
              <w:rPr>
                <w:spacing w:val="-2"/>
              </w:rPr>
              <w:t>40</w:t>
            </w:r>
          </w:p>
        </w:tc>
        <w:tc>
          <w:tcPr>
            <w:tcW w:w="1469" w:type="dxa"/>
            <w:vAlign w:val="top"/>
          </w:tcPr>
          <w:p w14:paraId="1531AA06">
            <w:pPr>
              <w:spacing w:line="287" w:lineRule="auto"/>
              <w:rPr>
                <w:rFonts w:ascii="Arial"/>
                <w:sz w:val="21"/>
              </w:rPr>
            </w:pPr>
          </w:p>
          <w:p w14:paraId="52A7F63A">
            <w:pPr>
              <w:spacing w:line="287" w:lineRule="auto"/>
              <w:rPr>
                <w:rFonts w:ascii="Arial"/>
                <w:sz w:val="21"/>
              </w:rPr>
            </w:pPr>
          </w:p>
          <w:p w14:paraId="5598BF69">
            <w:pPr>
              <w:pStyle w:val="9"/>
              <w:spacing w:before="68" w:line="239" w:lineRule="auto"/>
              <w:ind w:left="438"/>
            </w:pPr>
            <w:r>
              <w:rPr>
                <w:spacing w:val="-4"/>
              </w:rPr>
              <w:t>13.1.2</w:t>
            </w:r>
          </w:p>
        </w:tc>
        <w:tc>
          <w:tcPr>
            <w:tcW w:w="3762" w:type="dxa"/>
            <w:vAlign w:val="top"/>
          </w:tcPr>
          <w:p w14:paraId="4F0E7F0F">
            <w:pPr>
              <w:pStyle w:val="9"/>
              <w:spacing w:before="105" w:line="292" w:lineRule="auto"/>
              <w:ind w:left="113" w:right="103" w:firstLine="14"/>
              <w:jc w:val="both"/>
            </w:pPr>
            <w:r>
              <w:rPr>
                <w:spacing w:val="-3"/>
              </w:rPr>
              <w:t>因任何方式（包括政府质量监督部门、</w:t>
            </w:r>
            <w:r>
              <w:rPr>
                <w:spacing w:val="-2"/>
              </w:rPr>
              <w:t>发包人或监理人组织的各类检查）发现的关键工程质量不合格、工序不规范造成质量隐患的</w:t>
            </w:r>
          </w:p>
        </w:tc>
        <w:tc>
          <w:tcPr>
            <w:tcW w:w="1799" w:type="dxa"/>
            <w:vAlign w:val="top"/>
          </w:tcPr>
          <w:p w14:paraId="24C9D6A3">
            <w:pPr>
              <w:spacing w:line="286" w:lineRule="auto"/>
              <w:rPr>
                <w:rFonts w:ascii="Arial"/>
                <w:sz w:val="21"/>
              </w:rPr>
            </w:pPr>
          </w:p>
          <w:p w14:paraId="5990D615">
            <w:pPr>
              <w:spacing w:line="287" w:lineRule="auto"/>
              <w:rPr>
                <w:rFonts w:ascii="Arial"/>
                <w:sz w:val="21"/>
              </w:rPr>
            </w:pPr>
          </w:p>
          <w:p w14:paraId="55600563">
            <w:pPr>
              <w:pStyle w:val="9"/>
              <w:spacing w:before="69" w:line="220" w:lineRule="auto"/>
              <w:ind w:left="423"/>
            </w:pPr>
            <w:r>
              <w:rPr>
                <w:spacing w:val="-6"/>
              </w:rPr>
              <w:t>10</w:t>
            </w:r>
            <w:r>
              <w:rPr>
                <w:spacing w:val="-38"/>
              </w:rPr>
              <w:t xml:space="preserve"> </w:t>
            </w:r>
            <w:r>
              <w:rPr>
                <w:spacing w:val="-6"/>
              </w:rPr>
              <w:t>万元/次</w:t>
            </w:r>
          </w:p>
        </w:tc>
        <w:tc>
          <w:tcPr>
            <w:tcW w:w="1580" w:type="dxa"/>
            <w:vAlign w:val="top"/>
          </w:tcPr>
          <w:p w14:paraId="5BDCA6BD">
            <w:pPr>
              <w:pStyle w:val="9"/>
              <w:spacing w:before="106" w:line="219" w:lineRule="auto"/>
              <w:ind w:left="164"/>
            </w:pPr>
            <w:r>
              <w:rPr>
                <w:spacing w:val="-2"/>
              </w:rPr>
              <w:t>供招标人结合</w:t>
            </w:r>
          </w:p>
          <w:p w14:paraId="51632E27">
            <w:pPr>
              <w:pStyle w:val="9"/>
              <w:spacing w:before="111" w:line="220" w:lineRule="auto"/>
              <w:ind w:left="167"/>
            </w:pPr>
            <w:r>
              <w:rPr>
                <w:spacing w:val="-2"/>
              </w:rPr>
              <w:t>项目实际情况</w:t>
            </w:r>
          </w:p>
          <w:p w14:paraId="5E780E3C">
            <w:pPr>
              <w:pStyle w:val="9"/>
              <w:spacing w:before="108" w:line="220" w:lineRule="auto"/>
              <w:ind w:left="166"/>
            </w:pPr>
            <w:r>
              <w:rPr>
                <w:spacing w:val="-2"/>
              </w:rPr>
              <w:t>参考使用，合</w:t>
            </w:r>
          </w:p>
          <w:p w14:paraId="29F9A235">
            <w:pPr>
              <w:pStyle w:val="9"/>
              <w:spacing w:before="110" w:line="218" w:lineRule="auto"/>
              <w:ind w:left="482"/>
            </w:pPr>
            <w:r>
              <w:rPr>
                <w:spacing w:val="-3"/>
              </w:rPr>
              <w:t>理设置</w:t>
            </w:r>
          </w:p>
        </w:tc>
      </w:tr>
      <w:tr w14:paraId="7C032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862" w:type="dxa"/>
            <w:vAlign w:val="top"/>
          </w:tcPr>
          <w:p w14:paraId="12F435D8">
            <w:pPr>
              <w:pStyle w:val="9"/>
              <w:spacing w:before="287" w:line="241" w:lineRule="auto"/>
              <w:ind w:left="329"/>
            </w:pPr>
            <w:r>
              <w:rPr>
                <w:spacing w:val="-3"/>
              </w:rPr>
              <w:t>41</w:t>
            </w:r>
          </w:p>
        </w:tc>
        <w:tc>
          <w:tcPr>
            <w:tcW w:w="1469" w:type="dxa"/>
            <w:vAlign w:val="top"/>
          </w:tcPr>
          <w:p w14:paraId="07DC7097">
            <w:pPr>
              <w:pStyle w:val="9"/>
              <w:spacing w:before="286" w:line="239" w:lineRule="auto"/>
              <w:ind w:left="543"/>
            </w:pPr>
            <w:r>
              <w:rPr>
                <w:spacing w:val="-6"/>
              </w:rPr>
              <w:t>13.7</w:t>
            </w:r>
          </w:p>
        </w:tc>
        <w:tc>
          <w:tcPr>
            <w:tcW w:w="3762" w:type="dxa"/>
            <w:vAlign w:val="top"/>
          </w:tcPr>
          <w:p w14:paraId="2763F8E5">
            <w:pPr>
              <w:pStyle w:val="9"/>
              <w:spacing w:before="107" w:line="267" w:lineRule="auto"/>
              <w:ind w:left="131" w:right="103" w:hanging="21"/>
            </w:pPr>
            <w:r>
              <w:rPr>
                <w:spacing w:val="-2"/>
              </w:rPr>
              <w:t>存在偷工减料，有意降低工程质量，企</w:t>
            </w:r>
            <w:r>
              <w:rPr>
                <w:spacing w:val="-3"/>
              </w:rPr>
              <w:t>图蒙骗发包人、监理人的</w:t>
            </w:r>
          </w:p>
        </w:tc>
        <w:tc>
          <w:tcPr>
            <w:tcW w:w="1799" w:type="dxa"/>
            <w:vAlign w:val="top"/>
          </w:tcPr>
          <w:p w14:paraId="522868A1">
            <w:pPr>
              <w:pStyle w:val="9"/>
              <w:spacing w:before="286" w:line="220" w:lineRule="auto"/>
              <w:ind w:left="423"/>
            </w:pPr>
            <w:r>
              <w:rPr>
                <w:spacing w:val="-6"/>
              </w:rPr>
              <w:t>10</w:t>
            </w:r>
            <w:r>
              <w:rPr>
                <w:spacing w:val="-38"/>
              </w:rPr>
              <w:t xml:space="preserve"> </w:t>
            </w:r>
            <w:r>
              <w:rPr>
                <w:spacing w:val="-6"/>
              </w:rPr>
              <w:t>万元/次</w:t>
            </w:r>
          </w:p>
        </w:tc>
        <w:tc>
          <w:tcPr>
            <w:tcW w:w="1580" w:type="dxa"/>
            <w:vAlign w:val="top"/>
          </w:tcPr>
          <w:p w14:paraId="11C5B309">
            <w:pPr>
              <w:rPr>
                <w:rFonts w:ascii="Arial"/>
                <w:sz w:val="21"/>
              </w:rPr>
            </w:pPr>
          </w:p>
        </w:tc>
      </w:tr>
      <w:tr w14:paraId="57301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2" w:type="dxa"/>
            <w:vAlign w:val="top"/>
          </w:tcPr>
          <w:p w14:paraId="1FE3D1CD">
            <w:pPr>
              <w:pStyle w:val="9"/>
              <w:spacing w:before="211" w:line="241" w:lineRule="auto"/>
              <w:ind w:left="329"/>
            </w:pPr>
            <w:r>
              <w:rPr>
                <w:spacing w:val="-3"/>
              </w:rPr>
              <w:t>42</w:t>
            </w:r>
          </w:p>
        </w:tc>
        <w:tc>
          <w:tcPr>
            <w:tcW w:w="1469" w:type="dxa"/>
            <w:vAlign w:val="top"/>
          </w:tcPr>
          <w:p w14:paraId="3E67C4FC">
            <w:pPr>
              <w:pStyle w:val="9"/>
              <w:spacing w:before="210" w:line="239" w:lineRule="auto"/>
              <w:ind w:left="489"/>
            </w:pPr>
            <w:r>
              <w:rPr>
                <w:spacing w:val="-4"/>
              </w:rPr>
              <w:t>13.12</w:t>
            </w:r>
          </w:p>
        </w:tc>
        <w:tc>
          <w:tcPr>
            <w:tcW w:w="3762" w:type="dxa"/>
            <w:vAlign w:val="top"/>
          </w:tcPr>
          <w:p w14:paraId="516C5B1C">
            <w:pPr>
              <w:pStyle w:val="9"/>
              <w:spacing w:before="211" w:line="220" w:lineRule="auto"/>
              <w:ind w:left="129"/>
            </w:pPr>
            <w:r>
              <w:rPr>
                <w:spacing w:val="-2"/>
              </w:rPr>
              <w:t>出现严重的质量缺陷或质量事故的</w:t>
            </w:r>
          </w:p>
        </w:tc>
        <w:tc>
          <w:tcPr>
            <w:tcW w:w="1799" w:type="dxa"/>
            <w:vAlign w:val="top"/>
          </w:tcPr>
          <w:p w14:paraId="2CD76E07">
            <w:pPr>
              <w:pStyle w:val="9"/>
              <w:spacing w:before="210" w:line="220" w:lineRule="auto"/>
              <w:ind w:left="266"/>
            </w:pPr>
            <w:r>
              <w:rPr>
                <w:spacing w:val="-4"/>
              </w:rPr>
              <w:t>10-50</w:t>
            </w:r>
            <w:r>
              <w:rPr>
                <w:spacing w:val="-38"/>
              </w:rPr>
              <w:t xml:space="preserve"> </w:t>
            </w:r>
            <w:r>
              <w:rPr>
                <w:spacing w:val="-4"/>
              </w:rPr>
              <w:t>万元/次</w:t>
            </w:r>
          </w:p>
        </w:tc>
        <w:tc>
          <w:tcPr>
            <w:tcW w:w="1580" w:type="dxa"/>
            <w:vAlign w:val="top"/>
          </w:tcPr>
          <w:p w14:paraId="0D7C41DE">
            <w:pPr>
              <w:rPr>
                <w:rFonts w:ascii="Arial"/>
                <w:sz w:val="21"/>
              </w:rPr>
            </w:pPr>
          </w:p>
        </w:tc>
      </w:tr>
      <w:tr w14:paraId="19726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862" w:type="dxa"/>
            <w:vAlign w:val="top"/>
          </w:tcPr>
          <w:p w14:paraId="22B3359E">
            <w:pPr>
              <w:spacing w:line="287" w:lineRule="auto"/>
              <w:rPr>
                <w:rFonts w:ascii="Arial"/>
                <w:sz w:val="21"/>
              </w:rPr>
            </w:pPr>
          </w:p>
          <w:p w14:paraId="1E1A0632">
            <w:pPr>
              <w:spacing w:line="288" w:lineRule="auto"/>
              <w:rPr>
                <w:rFonts w:ascii="Arial"/>
                <w:sz w:val="21"/>
              </w:rPr>
            </w:pPr>
          </w:p>
          <w:p w14:paraId="51868AB7">
            <w:pPr>
              <w:pStyle w:val="9"/>
              <w:spacing w:before="68"/>
              <w:ind w:left="329"/>
            </w:pPr>
            <w:r>
              <w:rPr>
                <w:spacing w:val="-2"/>
              </w:rPr>
              <w:t>43</w:t>
            </w:r>
          </w:p>
        </w:tc>
        <w:tc>
          <w:tcPr>
            <w:tcW w:w="1469" w:type="dxa"/>
            <w:vAlign w:val="top"/>
          </w:tcPr>
          <w:p w14:paraId="55127809">
            <w:pPr>
              <w:spacing w:line="288" w:lineRule="auto"/>
              <w:rPr>
                <w:rFonts w:ascii="Arial"/>
                <w:sz w:val="21"/>
              </w:rPr>
            </w:pPr>
          </w:p>
          <w:p w14:paraId="7BDE4602">
            <w:pPr>
              <w:spacing w:line="288" w:lineRule="auto"/>
              <w:rPr>
                <w:rFonts w:ascii="Arial"/>
                <w:sz w:val="21"/>
              </w:rPr>
            </w:pPr>
          </w:p>
          <w:p w14:paraId="559E32F6">
            <w:pPr>
              <w:pStyle w:val="9"/>
              <w:spacing w:before="68" w:line="239" w:lineRule="auto"/>
              <w:ind w:left="425"/>
            </w:pPr>
            <w:r>
              <w:rPr>
                <w:spacing w:val="-2"/>
              </w:rPr>
              <w:t>20.1.3</w:t>
            </w:r>
          </w:p>
        </w:tc>
        <w:tc>
          <w:tcPr>
            <w:tcW w:w="3762" w:type="dxa"/>
            <w:vAlign w:val="top"/>
          </w:tcPr>
          <w:p w14:paraId="4FD23BBF">
            <w:pPr>
              <w:pStyle w:val="9"/>
              <w:spacing w:before="287" w:line="319" w:lineRule="auto"/>
              <w:ind w:left="111" w:right="106"/>
              <w:jc w:val="both"/>
            </w:pPr>
            <w:r>
              <w:rPr>
                <w:spacing w:val="11"/>
              </w:rPr>
              <w:t>承包人不履行索赔主体责任或发包人认为承包人履行索赔主体责任不尽责</w:t>
            </w:r>
            <w:r>
              <w:t>的</w:t>
            </w:r>
          </w:p>
        </w:tc>
        <w:tc>
          <w:tcPr>
            <w:tcW w:w="1799" w:type="dxa"/>
            <w:vAlign w:val="top"/>
          </w:tcPr>
          <w:p w14:paraId="62BEB8D1">
            <w:pPr>
              <w:pStyle w:val="9"/>
              <w:spacing w:before="287" w:line="220" w:lineRule="auto"/>
              <w:ind w:left="170"/>
            </w:pPr>
            <w:r>
              <w:rPr>
                <w:spacing w:val="-1"/>
              </w:rPr>
              <w:t>视情节最高按该</w:t>
            </w:r>
          </w:p>
          <w:p w14:paraId="606CA960">
            <w:pPr>
              <w:pStyle w:val="9"/>
              <w:spacing w:before="109" w:line="220" w:lineRule="auto"/>
              <w:ind w:left="145"/>
            </w:pPr>
            <w:r>
              <w:rPr>
                <w:spacing w:val="-3"/>
              </w:rPr>
              <w:t>变更金额的</w:t>
            </w:r>
            <w:r>
              <w:rPr>
                <w:spacing w:val="-28"/>
              </w:rPr>
              <w:t xml:space="preserve"> </w:t>
            </w:r>
            <w:r>
              <w:rPr>
                <w:spacing w:val="-3"/>
              </w:rPr>
              <w:t>100%</w:t>
            </w:r>
          </w:p>
          <w:p w14:paraId="31E6ADA9">
            <w:pPr>
              <w:pStyle w:val="9"/>
              <w:spacing w:before="110" w:line="220" w:lineRule="auto"/>
              <w:ind w:left="381"/>
            </w:pPr>
            <w:r>
              <w:rPr>
                <w:spacing w:val="-2"/>
              </w:rPr>
              <w:t>计扣违约金</w:t>
            </w:r>
          </w:p>
        </w:tc>
        <w:tc>
          <w:tcPr>
            <w:tcW w:w="1580" w:type="dxa"/>
            <w:vAlign w:val="top"/>
          </w:tcPr>
          <w:p w14:paraId="01CBFA68">
            <w:pPr>
              <w:pStyle w:val="9"/>
              <w:spacing w:before="107" w:line="219" w:lineRule="auto"/>
              <w:ind w:left="164"/>
            </w:pPr>
            <w:r>
              <w:rPr>
                <w:spacing w:val="-2"/>
              </w:rPr>
              <w:t>供招标人结合</w:t>
            </w:r>
          </w:p>
          <w:p w14:paraId="79DAE507">
            <w:pPr>
              <w:pStyle w:val="9"/>
              <w:spacing w:before="111" w:line="220" w:lineRule="auto"/>
              <w:ind w:left="167"/>
            </w:pPr>
            <w:r>
              <w:rPr>
                <w:spacing w:val="-2"/>
              </w:rPr>
              <w:t>项目实际情况</w:t>
            </w:r>
          </w:p>
          <w:p w14:paraId="4F3A4F7A">
            <w:pPr>
              <w:pStyle w:val="9"/>
              <w:spacing w:before="108" w:line="220" w:lineRule="auto"/>
              <w:ind w:left="166"/>
            </w:pPr>
            <w:r>
              <w:rPr>
                <w:spacing w:val="-2"/>
              </w:rPr>
              <w:t>参考使用，合</w:t>
            </w:r>
          </w:p>
          <w:p w14:paraId="089D4FE7">
            <w:pPr>
              <w:pStyle w:val="9"/>
              <w:spacing w:before="110" w:line="216" w:lineRule="auto"/>
              <w:ind w:left="482"/>
            </w:pPr>
            <w:r>
              <w:rPr>
                <w:spacing w:val="-3"/>
              </w:rPr>
              <w:t>理设置</w:t>
            </w:r>
          </w:p>
        </w:tc>
      </w:tr>
      <w:tr w14:paraId="308EC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62" w:type="dxa"/>
            <w:vAlign w:val="top"/>
          </w:tcPr>
          <w:p w14:paraId="46F5DED7">
            <w:pPr>
              <w:pStyle w:val="9"/>
              <w:spacing w:before="211" w:line="241" w:lineRule="auto"/>
              <w:ind w:left="329"/>
            </w:pPr>
            <w:r>
              <w:rPr>
                <w:spacing w:val="-3"/>
              </w:rPr>
              <w:t>44</w:t>
            </w:r>
          </w:p>
        </w:tc>
        <w:tc>
          <w:tcPr>
            <w:tcW w:w="1469" w:type="dxa"/>
            <w:vAlign w:val="top"/>
          </w:tcPr>
          <w:p w14:paraId="29ADBEBA">
            <w:pPr>
              <w:pStyle w:val="9"/>
              <w:spacing w:before="211" w:line="239" w:lineRule="auto"/>
              <w:ind w:left="530"/>
            </w:pPr>
            <w:r>
              <w:rPr>
                <w:spacing w:val="-2"/>
              </w:rPr>
              <w:t>25.6</w:t>
            </w:r>
          </w:p>
        </w:tc>
        <w:tc>
          <w:tcPr>
            <w:tcW w:w="3762" w:type="dxa"/>
            <w:vAlign w:val="top"/>
          </w:tcPr>
          <w:p w14:paraId="2D432CEE">
            <w:pPr>
              <w:pStyle w:val="9"/>
              <w:spacing w:before="211" w:line="220" w:lineRule="auto"/>
              <w:ind w:left="112"/>
            </w:pPr>
            <w:r>
              <w:rPr>
                <w:spacing w:val="-1"/>
              </w:rPr>
              <w:t>保密要求落实不到位</w:t>
            </w:r>
          </w:p>
        </w:tc>
        <w:tc>
          <w:tcPr>
            <w:tcW w:w="1799" w:type="dxa"/>
            <w:vAlign w:val="top"/>
          </w:tcPr>
          <w:p w14:paraId="37C140CF">
            <w:pPr>
              <w:pStyle w:val="9"/>
              <w:spacing w:before="211" w:line="220" w:lineRule="auto"/>
              <w:ind w:left="413"/>
            </w:pPr>
            <w:r>
              <w:rPr>
                <w:spacing w:val="-4"/>
              </w:rPr>
              <w:t>30</w:t>
            </w:r>
            <w:r>
              <w:rPr>
                <w:spacing w:val="-40"/>
              </w:rPr>
              <w:t xml:space="preserve"> </w:t>
            </w:r>
            <w:r>
              <w:rPr>
                <w:spacing w:val="-4"/>
              </w:rPr>
              <w:t>万元/次</w:t>
            </w:r>
          </w:p>
        </w:tc>
        <w:tc>
          <w:tcPr>
            <w:tcW w:w="1580" w:type="dxa"/>
            <w:vAlign w:val="top"/>
          </w:tcPr>
          <w:p w14:paraId="560177D5">
            <w:pPr>
              <w:rPr>
                <w:rFonts w:ascii="Arial"/>
                <w:sz w:val="21"/>
              </w:rPr>
            </w:pPr>
          </w:p>
        </w:tc>
      </w:tr>
      <w:tr w14:paraId="23947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862" w:type="dxa"/>
            <w:vAlign w:val="top"/>
          </w:tcPr>
          <w:p w14:paraId="2962CC0B">
            <w:pPr>
              <w:spacing w:line="397" w:lineRule="auto"/>
              <w:rPr>
                <w:rFonts w:ascii="Arial"/>
                <w:sz w:val="21"/>
              </w:rPr>
            </w:pPr>
          </w:p>
          <w:p w14:paraId="44138D25">
            <w:pPr>
              <w:pStyle w:val="9"/>
              <w:spacing w:before="68"/>
              <w:ind w:left="329"/>
            </w:pPr>
            <w:r>
              <w:rPr>
                <w:spacing w:val="-3"/>
              </w:rPr>
              <w:t>45</w:t>
            </w:r>
          </w:p>
        </w:tc>
        <w:tc>
          <w:tcPr>
            <w:tcW w:w="1469" w:type="dxa"/>
            <w:vAlign w:val="top"/>
          </w:tcPr>
          <w:p w14:paraId="568BDFAB">
            <w:pPr>
              <w:spacing w:line="397" w:lineRule="auto"/>
              <w:rPr>
                <w:rFonts w:ascii="Arial"/>
                <w:sz w:val="21"/>
              </w:rPr>
            </w:pPr>
          </w:p>
          <w:p w14:paraId="6BAE6337">
            <w:pPr>
              <w:pStyle w:val="9"/>
              <w:spacing w:before="69" w:line="239" w:lineRule="auto"/>
              <w:ind w:left="530"/>
            </w:pPr>
            <w:r>
              <w:rPr>
                <w:spacing w:val="-2"/>
              </w:rPr>
              <w:t>25.6</w:t>
            </w:r>
          </w:p>
        </w:tc>
        <w:tc>
          <w:tcPr>
            <w:tcW w:w="3762" w:type="dxa"/>
            <w:vAlign w:val="top"/>
          </w:tcPr>
          <w:p w14:paraId="4DE675A0">
            <w:pPr>
              <w:spacing w:line="397" w:lineRule="auto"/>
              <w:rPr>
                <w:rFonts w:ascii="Arial"/>
                <w:sz w:val="21"/>
              </w:rPr>
            </w:pPr>
          </w:p>
          <w:p w14:paraId="3523D259">
            <w:pPr>
              <w:pStyle w:val="9"/>
              <w:spacing w:before="68" w:line="220" w:lineRule="auto"/>
              <w:ind w:left="110"/>
            </w:pPr>
            <w:r>
              <w:rPr>
                <w:spacing w:val="-1"/>
              </w:rPr>
              <w:t>舆情管理落实不到位</w:t>
            </w:r>
          </w:p>
        </w:tc>
        <w:tc>
          <w:tcPr>
            <w:tcW w:w="1799" w:type="dxa"/>
            <w:vAlign w:val="top"/>
          </w:tcPr>
          <w:p w14:paraId="56F2B112">
            <w:pPr>
              <w:pStyle w:val="9"/>
              <w:spacing w:before="108" w:line="220" w:lineRule="auto"/>
              <w:ind w:left="115"/>
            </w:pPr>
            <w:r>
              <w:rPr>
                <w:spacing w:val="-12"/>
              </w:rPr>
              <w:t>根据具体情况，按</w:t>
            </w:r>
          </w:p>
          <w:p w14:paraId="57C22776">
            <w:pPr>
              <w:pStyle w:val="9"/>
              <w:spacing w:before="109" w:line="220" w:lineRule="auto"/>
              <w:ind w:left="200"/>
            </w:pPr>
            <w:r>
              <w:rPr>
                <w:spacing w:val="-3"/>
              </w:rPr>
              <w:t>2-10</w:t>
            </w:r>
            <w:r>
              <w:rPr>
                <w:spacing w:val="-35"/>
              </w:rPr>
              <w:t xml:space="preserve"> </w:t>
            </w:r>
            <w:r>
              <w:rPr>
                <w:spacing w:val="-3"/>
              </w:rPr>
              <w:t>万元/次处</w:t>
            </w:r>
          </w:p>
          <w:p w14:paraId="0D3F52F1">
            <w:pPr>
              <w:pStyle w:val="9"/>
              <w:spacing w:before="109" w:line="216" w:lineRule="auto"/>
              <w:ind w:left="511"/>
            </w:pPr>
            <w:r>
              <w:rPr>
                <w:spacing w:val="-6"/>
              </w:rPr>
              <w:t>以违约金</w:t>
            </w:r>
          </w:p>
        </w:tc>
        <w:tc>
          <w:tcPr>
            <w:tcW w:w="1580" w:type="dxa"/>
            <w:vAlign w:val="top"/>
          </w:tcPr>
          <w:p w14:paraId="57BF43DD">
            <w:pPr>
              <w:rPr>
                <w:rFonts w:ascii="Arial"/>
                <w:sz w:val="21"/>
              </w:rPr>
            </w:pPr>
          </w:p>
        </w:tc>
      </w:tr>
      <w:tr w14:paraId="5E951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862" w:type="dxa"/>
            <w:vAlign w:val="top"/>
          </w:tcPr>
          <w:p w14:paraId="253A829F">
            <w:pPr>
              <w:spacing w:line="261" w:lineRule="auto"/>
              <w:rPr>
                <w:rFonts w:ascii="Arial"/>
                <w:sz w:val="21"/>
              </w:rPr>
            </w:pPr>
          </w:p>
          <w:p w14:paraId="1DD5385F">
            <w:pPr>
              <w:spacing w:line="261" w:lineRule="auto"/>
              <w:rPr>
                <w:rFonts w:ascii="Arial"/>
                <w:sz w:val="21"/>
              </w:rPr>
            </w:pPr>
          </w:p>
          <w:p w14:paraId="7C56662B">
            <w:pPr>
              <w:spacing w:line="261" w:lineRule="auto"/>
              <w:rPr>
                <w:rFonts w:ascii="Arial"/>
                <w:sz w:val="21"/>
              </w:rPr>
            </w:pPr>
          </w:p>
          <w:p w14:paraId="6650A0D5">
            <w:pPr>
              <w:spacing w:line="261" w:lineRule="auto"/>
              <w:rPr>
                <w:rFonts w:ascii="Arial"/>
                <w:sz w:val="21"/>
              </w:rPr>
            </w:pPr>
          </w:p>
          <w:p w14:paraId="0C6F18E5">
            <w:pPr>
              <w:spacing w:line="261" w:lineRule="auto"/>
              <w:rPr>
                <w:rFonts w:ascii="Arial"/>
                <w:sz w:val="21"/>
              </w:rPr>
            </w:pPr>
          </w:p>
          <w:p w14:paraId="7E8C183A">
            <w:pPr>
              <w:spacing w:line="262" w:lineRule="auto"/>
              <w:rPr>
                <w:rFonts w:ascii="Arial"/>
                <w:sz w:val="21"/>
              </w:rPr>
            </w:pPr>
          </w:p>
          <w:p w14:paraId="42EE47F4">
            <w:pPr>
              <w:spacing w:line="262" w:lineRule="auto"/>
              <w:rPr>
                <w:rFonts w:ascii="Arial"/>
                <w:sz w:val="21"/>
              </w:rPr>
            </w:pPr>
          </w:p>
          <w:p w14:paraId="742059D9">
            <w:pPr>
              <w:pStyle w:val="9"/>
              <w:spacing w:before="68"/>
              <w:ind w:left="329"/>
            </w:pPr>
            <w:r>
              <w:rPr>
                <w:spacing w:val="-2"/>
              </w:rPr>
              <w:t>46</w:t>
            </w:r>
          </w:p>
        </w:tc>
        <w:tc>
          <w:tcPr>
            <w:tcW w:w="1469" w:type="dxa"/>
            <w:vAlign w:val="top"/>
          </w:tcPr>
          <w:p w14:paraId="6749B314">
            <w:pPr>
              <w:spacing w:line="241" w:lineRule="auto"/>
              <w:rPr>
                <w:rFonts w:ascii="Arial"/>
                <w:sz w:val="21"/>
              </w:rPr>
            </w:pPr>
          </w:p>
          <w:p w14:paraId="1106EFDE">
            <w:pPr>
              <w:spacing w:line="241" w:lineRule="auto"/>
              <w:rPr>
                <w:rFonts w:ascii="Arial"/>
                <w:sz w:val="21"/>
              </w:rPr>
            </w:pPr>
          </w:p>
          <w:p w14:paraId="5F0E68EA">
            <w:pPr>
              <w:spacing w:line="241" w:lineRule="auto"/>
              <w:rPr>
                <w:rFonts w:ascii="Arial"/>
                <w:sz w:val="21"/>
              </w:rPr>
            </w:pPr>
          </w:p>
          <w:p w14:paraId="5BAF2058">
            <w:pPr>
              <w:spacing w:line="241" w:lineRule="auto"/>
              <w:rPr>
                <w:rFonts w:ascii="Arial"/>
                <w:sz w:val="21"/>
              </w:rPr>
            </w:pPr>
          </w:p>
          <w:p w14:paraId="74B02466">
            <w:pPr>
              <w:spacing w:line="241" w:lineRule="auto"/>
              <w:rPr>
                <w:rFonts w:ascii="Arial"/>
                <w:sz w:val="21"/>
              </w:rPr>
            </w:pPr>
          </w:p>
          <w:p w14:paraId="0153009A">
            <w:pPr>
              <w:spacing w:line="241" w:lineRule="auto"/>
              <w:rPr>
                <w:rFonts w:ascii="Arial"/>
                <w:sz w:val="21"/>
              </w:rPr>
            </w:pPr>
          </w:p>
          <w:p w14:paraId="30C2E4A1">
            <w:pPr>
              <w:spacing w:line="241" w:lineRule="auto"/>
              <w:rPr>
                <w:rFonts w:ascii="Arial"/>
                <w:sz w:val="21"/>
              </w:rPr>
            </w:pPr>
          </w:p>
          <w:p w14:paraId="7036FA3E">
            <w:pPr>
              <w:spacing w:line="241" w:lineRule="auto"/>
              <w:rPr>
                <w:rFonts w:ascii="Arial"/>
                <w:sz w:val="21"/>
              </w:rPr>
            </w:pPr>
          </w:p>
          <w:p w14:paraId="04CBD510">
            <w:pPr>
              <w:pStyle w:val="9"/>
              <w:spacing w:before="68" w:line="142" w:lineRule="exact"/>
              <w:ind w:left="682"/>
            </w:pPr>
            <w:r>
              <w:rPr>
                <w:position w:val="-3"/>
              </w:rPr>
              <w:t>-</w:t>
            </w:r>
          </w:p>
        </w:tc>
        <w:tc>
          <w:tcPr>
            <w:tcW w:w="3762" w:type="dxa"/>
            <w:vAlign w:val="top"/>
          </w:tcPr>
          <w:p w14:paraId="04983B8A">
            <w:pPr>
              <w:spacing w:line="278" w:lineRule="auto"/>
              <w:rPr>
                <w:rFonts w:ascii="Arial"/>
                <w:sz w:val="21"/>
              </w:rPr>
            </w:pPr>
          </w:p>
          <w:p w14:paraId="6A99CE1E">
            <w:pPr>
              <w:spacing w:line="279" w:lineRule="auto"/>
              <w:rPr>
                <w:rFonts w:ascii="Arial"/>
                <w:sz w:val="21"/>
              </w:rPr>
            </w:pPr>
          </w:p>
          <w:p w14:paraId="53DD8308">
            <w:pPr>
              <w:spacing w:line="279" w:lineRule="auto"/>
              <w:rPr>
                <w:rFonts w:ascii="Arial"/>
                <w:sz w:val="21"/>
              </w:rPr>
            </w:pPr>
          </w:p>
          <w:p w14:paraId="2DB4F54A">
            <w:pPr>
              <w:spacing w:line="279" w:lineRule="auto"/>
              <w:rPr>
                <w:rFonts w:ascii="Arial"/>
                <w:sz w:val="21"/>
              </w:rPr>
            </w:pPr>
          </w:p>
          <w:p w14:paraId="4EFA85E0">
            <w:pPr>
              <w:pStyle w:val="9"/>
              <w:spacing w:before="69" w:line="317" w:lineRule="auto"/>
              <w:ind w:left="111" w:right="101"/>
              <w:jc w:val="both"/>
            </w:pPr>
            <w:r>
              <w:rPr>
                <w:spacing w:val="11"/>
              </w:rPr>
              <w:t>承包人未在发包人及监理人规定的时</w:t>
            </w:r>
            <w:r>
              <w:rPr>
                <w:spacing w:val="-2"/>
              </w:rPr>
              <w:t>间内上报其要求的有关资料，含计量及</w:t>
            </w:r>
            <w:r>
              <w:rPr>
                <w:spacing w:val="-8"/>
              </w:rPr>
              <w:t>计划、统计、变更、结算书、（交） 竣</w:t>
            </w:r>
            <w:r>
              <w:rPr>
                <w:spacing w:val="2"/>
              </w:rPr>
              <w:t>工等资料</w:t>
            </w:r>
            <w:r>
              <w:rPr>
                <w:spacing w:val="44"/>
              </w:rPr>
              <w:t xml:space="preserve"> </w:t>
            </w:r>
            <w:r>
              <w:rPr>
                <w:spacing w:val="2"/>
              </w:rPr>
              <w:t>，或承包人上报有关资料出</w:t>
            </w:r>
            <w:r>
              <w:rPr>
                <w:spacing w:val="-2"/>
              </w:rPr>
              <w:t>现数据严重失实、有意瞒报、误报等的</w:t>
            </w:r>
          </w:p>
        </w:tc>
        <w:tc>
          <w:tcPr>
            <w:tcW w:w="1799" w:type="dxa"/>
            <w:vAlign w:val="top"/>
          </w:tcPr>
          <w:p w14:paraId="4F258C4A">
            <w:pPr>
              <w:pStyle w:val="9"/>
              <w:spacing w:before="108" w:line="220" w:lineRule="auto"/>
              <w:ind w:left="160"/>
            </w:pPr>
            <w:r>
              <w:rPr>
                <w:spacing w:val="-5"/>
              </w:rPr>
              <w:t>1</w:t>
            </w:r>
            <w:r>
              <w:rPr>
                <w:spacing w:val="-36"/>
              </w:rPr>
              <w:t xml:space="preserve"> </w:t>
            </w:r>
            <w:r>
              <w:rPr>
                <w:spacing w:val="-5"/>
              </w:rPr>
              <w:t>万元/次，同时</w:t>
            </w:r>
          </w:p>
          <w:p w14:paraId="3C4B801B">
            <w:pPr>
              <w:pStyle w:val="9"/>
              <w:spacing w:before="110" w:line="220" w:lineRule="auto"/>
              <w:ind w:left="175"/>
            </w:pPr>
            <w:r>
              <w:rPr>
                <w:spacing w:val="-5"/>
              </w:rPr>
              <w:t>处以</w:t>
            </w:r>
            <w:r>
              <w:rPr>
                <w:spacing w:val="-28"/>
              </w:rPr>
              <w:t xml:space="preserve"> </w:t>
            </w:r>
            <w:r>
              <w:rPr>
                <w:spacing w:val="-5"/>
              </w:rPr>
              <w:t>1000</w:t>
            </w:r>
            <w:r>
              <w:rPr>
                <w:spacing w:val="-42"/>
              </w:rPr>
              <w:t xml:space="preserve"> </w:t>
            </w:r>
            <w:r>
              <w:rPr>
                <w:spacing w:val="-5"/>
              </w:rPr>
              <w:t>元/天</w:t>
            </w:r>
          </w:p>
          <w:p w14:paraId="61683E0C">
            <w:pPr>
              <w:pStyle w:val="9"/>
              <w:spacing w:before="108" w:line="220" w:lineRule="auto"/>
              <w:ind w:left="188"/>
            </w:pPr>
            <w:r>
              <w:rPr>
                <w:spacing w:val="-4"/>
              </w:rPr>
              <w:t>的违约金直至承</w:t>
            </w:r>
          </w:p>
          <w:p w14:paraId="02D15E73">
            <w:pPr>
              <w:pStyle w:val="9"/>
              <w:spacing w:before="110" w:line="220" w:lineRule="auto"/>
              <w:ind w:left="115"/>
            </w:pPr>
            <w:r>
              <w:rPr>
                <w:spacing w:val="-14"/>
              </w:rPr>
              <w:t>包人纠正为止。同</w:t>
            </w:r>
          </w:p>
          <w:p w14:paraId="7B329314">
            <w:pPr>
              <w:pStyle w:val="9"/>
              <w:spacing w:before="110" w:line="220" w:lineRule="auto"/>
              <w:ind w:left="201"/>
            </w:pPr>
            <w:r>
              <w:rPr>
                <w:spacing w:val="-2"/>
              </w:rPr>
              <w:t>一资料如超过</w:t>
            </w:r>
            <w:r>
              <w:rPr>
                <w:spacing w:val="-40"/>
              </w:rPr>
              <w:t xml:space="preserve"> </w:t>
            </w:r>
            <w:r>
              <w:rPr>
                <w:spacing w:val="-2"/>
              </w:rPr>
              <w:t>3</w:t>
            </w:r>
          </w:p>
          <w:p w14:paraId="6362D1D4">
            <w:pPr>
              <w:pStyle w:val="9"/>
              <w:spacing w:before="109" w:line="220" w:lineRule="auto"/>
              <w:ind w:left="121"/>
            </w:pPr>
            <w:r>
              <w:rPr>
                <w:spacing w:val="-13"/>
              </w:rPr>
              <w:t>次仍未上报的，可</w:t>
            </w:r>
          </w:p>
          <w:p w14:paraId="7D7E78F0">
            <w:pPr>
              <w:pStyle w:val="9"/>
              <w:spacing w:before="110" w:line="220" w:lineRule="auto"/>
              <w:ind w:left="119"/>
            </w:pPr>
            <w:r>
              <w:rPr>
                <w:spacing w:val="-10"/>
              </w:rPr>
              <w:t>处以</w:t>
            </w:r>
            <w:r>
              <w:rPr>
                <w:spacing w:val="-23"/>
              </w:rPr>
              <w:t xml:space="preserve"> </w:t>
            </w:r>
            <w:r>
              <w:rPr>
                <w:spacing w:val="-10"/>
              </w:rPr>
              <w:t>10</w:t>
            </w:r>
            <w:r>
              <w:rPr>
                <w:spacing w:val="-39"/>
              </w:rPr>
              <w:t xml:space="preserve"> </w:t>
            </w:r>
            <w:r>
              <w:rPr>
                <w:spacing w:val="-10"/>
              </w:rPr>
              <w:t>万元/次，</w:t>
            </w:r>
          </w:p>
          <w:p w14:paraId="636E5E04">
            <w:pPr>
              <w:pStyle w:val="9"/>
              <w:spacing w:before="110" w:line="220" w:lineRule="auto"/>
              <w:ind w:left="140"/>
            </w:pPr>
            <w:r>
              <w:rPr>
                <w:spacing w:val="-8"/>
              </w:rPr>
              <w:t>同时处以</w:t>
            </w:r>
            <w:r>
              <w:rPr>
                <w:spacing w:val="-30"/>
              </w:rPr>
              <w:t xml:space="preserve"> </w:t>
            </w:r>
            <w:r>
              <w:rPr>
                <w:spacing w:val="-8"/>
              </w:rPr>
              <w:t>1</w:t>
            </w:r>
            <w:r>
              <w:rPr>
                <w:spacing w:val="-39"/>
              </w:rPr>
              <w:t xml:space="preserve"> </w:t>
            </w:r>
            <w:r>
              <w:rPr>
                <w:spacing w:val="-8"/>
              </w:rPr>
              <w:t>万元/</w:t>
            </w:r>
          </w:p>
          <w:p w14:paraId="27B23A51">
            <w:pPr>
              <w:pStyle w:val="9"/>
              <w:spacing w:before="110" w:line="220" w:lineRule="auto"/>
              <w:ind w:left="175"/>
            </w:pPr>
            <w:r>
              <w:rPr>
                <w:spacing w:val="-2"/>
              </w:rPr>
              <w:t>天的处违约金直</w:t>
            </w:r>
          </w:p>
          <w:p w14:paraId="2BAFDD0C">
            <w:pPr>
              <w:pStyle w:val="9"/>
              <w:spacing w:before="109" w:line="220" w:lineRule="auto"/>
              <w:ind w:left="173"/>
            </w:pPr>
            <w:r>
              <w:rPr>
                <w:spacing w:val="-2"/>
              </w:rPr>
              <w:t>至承包人纠正为</w:t>
            </w:r>
          </w:p>
          <w:p w14:paraId="454EBB8E">
            <w:pPr>
              <w:pStyle w:val="9"/>
              <w:spacing w:before="111" w:line="214" w:lineRule="auto"/>
              <w:ind w:left="802"/>
            </w:pPr>
            <w:r>
              <w:t>止</w:t>
            </w:r>
          </w:p>
        </w:tc>
        <w:tc>
          <w:tcPr>
            <w:tcW w:w="1580" w:type="dxa"/>
            <w:vAlign w:val="top"/>
          </w:tcPr>
          <w:p w14:paraId="64C9600B">
            <w:pPr>
              <w:rPr>
                <w:rFonts w:ascii="Arial"/>
                <w:sz w:val="21"/>
              </w:rPr>
            </w:pPr>
          </w:p>
        </w:tc>
      </w:tr>
      <w:tr w14:paraId="53CA6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862" w:type="dxa"/>
            <w:vAlign w:val="top"/>
          </w:tcPr>
          <w:p w14:paraId="5751E973">
            <w:pPr>
              <w:spacing w:line="399" w:lineRule="auto"/>
              <w:rPr>
                <w:rFonts w:ascii="Arial"/>
                <w:sz w:val="21"/>
              </w:rPr>
            </w:pPr>
          </w:p>
          <w:p w14:paraId="06A8C7A0">
            <w:pPr>
              <w:pStyle w:val="9"/>
              <w:spacing w:before="69"/>
              <w:ind w:left="329"/>
            </w:pPr>
            <w:r>
              <w:rPr>
                <w:spacing w:val="-2"/>
              </w:rPr>
              <w:t>47</w:t>
            </w:r>
          </w:p>
        </w:tc>
        <w:tc>
          <w:tcPr>
            <w:tcW w:w="1469" w:type="dxa"/>
            <w:vAlign w:val="top"/>
          </w:tcPr>
          <w:p w14:paraId="46364BFA">
            <w:pPr>
              <w:spacing w:line="249" w:lineRule="auto"/>
              <w:rPr>
                <w:rFonts w:ascii="Arial"/>
                <w:sz w:val="21"/>
              </w:rPr>
            </w:pPr>
          </w:p>
          <w:p w14:paraId="517713A3">
            <w:pPr>
              <w:spacing w:line="249" w:lineRule="auto"/>
              <w:rPr>
                <w:rFonts w:ascii="Arial"/>
                <w:sz w:val="21"/>
              </w:rPr>
            </w:pPr>
          </w:p>
          <w:p w14:paraId="3ED63253">
            <w:pPr>
              <w:pStyle w:val="9"/>
              <w:spacing w:before="68" w:line="143" w:lineRule="exact"/>
              <w:ind w:left="682"/>
            </w:pPr>
            <w:r>
              <w:rPr>
                <w:position w:val="-3"/>
              </w:rPr>
              <w:t>-</w:t>
            </w:r>
          </w:p>
        </w:tc>
        <w:tc>
          <w:tcPr>
            <w:tcW w:w="3762" w:type="dxa"/>
            <w:vAlign w:val="top"/>
          </w:tcPr>
          <w:p w14:paraId="5A740DD6">
            <w:pPr>
              <w:pStyle w:val="9"/>
              <w:spacing w:before="110" w:line="284" w:lineRule="auto"/>
              <w:ind w:left="114" w:right="103" w:hanging="4"/>
              <w:jc w:val="both"/>
            </w:pPr>
            <w:r>
              <w:rPr>
                <w:spacing w:val="-2"/>
              </w:rPr>
              <w:t>在规定期限内，未执行有关合同指令、发包人指令、会议纪要（决定）以及有</w:t>
            </w:r>
            <w:r>
              <w:rPr>
                <w:spacing w:val="-3"/>
              </w:rPr>
              <w:t>关制度的</w:t>
            </w:r>
          </w:p>
        </w:tc>
        <w:tc>
          <w:tcPr>
            <w:tcW w:w="1799" w:type="dxa"/>
            <w:vAlign w:val="top"/>
          </w:tcPr>
          <w:p w14:paraId="295CD4A3">
            <w:pPr>
              <w:spacing w:line="399" w:lineRule="auto"/>
              <w:rPr>
                <w:rFonts w:ascii="Arial"/>
                <w:sz w:val="21"/>
              </w:rPr>
            </w:pPr>
          </w:p>
          <w:p w14:paraId="5C3DF927">
            <w:pPr>
              <w:pStyle w:val="9"/>
              <w:spacing w:before="68" w:line="220" w:lineRule="auto"/>
              <w:ind w:left="465"/>
            </w:pPr>
            <w:r>
              <w:rPr>
                <w:spacing w:val="-5"/>
              </w:rPr>
              <w:t>5</w:t>
            </w:r>
            <w:r>
              <w:rPr>
                <w:spacing w:val="-38"/>
              </w:rPr>
              <w:t xml:space="preserve"> </w:t>
            </w:r>
            <w:r>
              <w:rPr>
                <w:spacing w:val="-5"/>
              </w:rPr>
              <w:t>万元/次</w:t>
            </w:r>
          </w:p>
        </w:tc>
        <w:tc>
          <w:tcPr>
            <w:tcW w:w="1580" w:type="dxa"/>
            <w:vAlign w:val="top"/>
          </w:tcPr>
          <w:p w14:paraId="16157B9C">
            <w:pPr>
              <w:rPr>
                <w:rFonts w:ascii="Arial"/>
                <w:sz w:val="21"/>
              </w:rPr>
            </w:pPr>
          </w:p>
        </w:tc>
      </w:tr>
    </w:tbl>
    <w:p w14:paraId="70005B70">
      <w:pPr>
        <w:pStyle w:val="2"/>
      </w:pPr>
    </w:p>
    <w:p w14:paraId="5A03484B">
      <w:pPr>
        <w:sectPr>
          <w:footerReference r:id="rId135" w:type="default"/>
          <w:pgSz w:w="11905" w:h="16840"/>
          <w:pgMar w:top="1182" w:right="1123" w:bottom="1171" w:left="1303" w:header="849" w:footer="937" w:gutter="0"/>
          <w:pgNumType w:fmt="decimal"/>
          <w:cols w:space="720" w:num="1"/>
        </w:sectPr>
      </w:pPr>
    </w:p>
    <w:p w14:paraId="3AD5E490">
      <w:pPr>
        <w:pStyle w:val="2"/>
        <w:spacing w:line="267" w:lineRule="auto"/>
      </w:pPr>
    </w:p>
    <w:p w14:paraId="5FAA744B">
      <w:pPr>
        <w:spacing w:before="78" w:line="219" w:lineRule="auto"/>
        <w:ind w:left="140"/>
        <w:rPr>
          <w:rFonts w:ascii="宋体" w:hAnsi="宋体" w:eastAsia="宋体" w:cs="宋体"/>
          <w:sz w:val="24"/>
          <w:szCs w:val="24"/>
        </w:rPr>
      </w:pPr>
      <w:r>
        <w:rPr>
          <w:rFonts w:ascii="宋体" w:hAnsi="宋体" w:eastAsia="宋体" w:cs="宋体"/>
          <w:b/>
          <w:bCs/>
          <w:spacing w:val="-16"/>
          <w:sz w:val="24"/>
          <w:szCs w:val="24"/>
        </w:rPr>
        <w:t>附件十三：</w:t>
      </w:r>
    </w:p>
    <w:p w14:paraId="7EDAFF21">
      <w:pPr>
        <w:spacing w:before="196" w:line="241" w:lineRule="auto"/>
        <w:ind w:left="1535"/>
        <w:rPr>
          <w:rFonts w:ascii="宋体" w:hAnsi="宋体" w:eastAsia="宋体" w:cs="宋体"/>
          <w:sz w:val="15"/>
          <w:szCs w:val="15"/>
        </w:rPr>
      </w:pPr>
      <w:r>
        <w:rPr>
          <w:rFonts w:ascii="宋体" w:hAnsi="宋体" w:eastAsia="宋体" w:cs="宋体"/>
          <w:b/>
          <w:bCs/>
          <w:spacing w:val="7"/>
          <w:sz w:val="31"/>
          <w:szCs w:val="31"/>
        </w:rPr>
        <w:t>工程质量、安全及文明施工违约项目一览表</w:t>
      </w:r>
    </w:p>
    <w:p w14:paraId="2F750C24">
      <w:pPr>
        <w:spacing w:line="93"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50416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6C417B2D">
            <w:pPr>
              <w:pStyle w:val="9"/>
              <w:spacing w:before="225" w:line="220" w:lineRule="auto"/>
              <w:ind w:left="210"/>
            </w:pPr>
            <w:r>
              <w:rPr>
                <w:b/>
                <w:bCs/>
                <w:spacing w:val="-4"/>
              </w:rPr>
              <w:t>类别</w:t>
            </w:r>
          </w:p>
        </w:tc>
        <w:tc>
          <w:tcPr>
            <w:tcW w:w="839" w:type="dxa"/>
            <w:vAlign w:val="top"/>
          </w:tcPr>
          <w:p w14:paraId="55F35990">
            <w:pPr>
              <w:pStyle w:val="9"/>
              <w:spacing w:before="226" w:line="221" w:lineRule="auto"/>
              <w:ind w:left="211"/>
            </w:pPr>
            <w:r>
              <w:rPr>
                <w:b/>
                <w:bCs/>
                <w:spacing w:val="-4"/>
              </w:rPr>
              <w:t>序号</w:t>
            </w:r>
          </w:p>
        </w:tc>
        <w:tc>
          <w:tcPr>
            <w:tcW w:w="7621" w:type="dxa"/>
            <w:vAlign w:val="top"/>
          </w:tcPr>
          <w:p w14:paraId="72511CEC">
            <w:pPr>
              <w:pStyle w:val="9"/>
              <w:spacing w:before="226" w:line="220" w:lineRule="auto"/>
              <w:ind w:left="3393"/>
            </w:pPr>
            <w:r>
              <w:rPr>
                <w:b/>
                <w:bCs/>
                <w:spacing w:val="-4"/>
              </w:rPr>
              <w:t>违约项目</w:t>
            </w:r>
          </w:p>
        </w:tc>
      </w:tr>
      <w:tr w14:paraId="7415F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32" w:type="dxa"/>
            <w:vAlign w:val="top"/>
          </w:tcPr>
          <w:p w14:paraId="18D2D421">
            <w:pPr>
              <w:spacing w:line="265" w:lineRule="auto"/>
              <w:rPr>
                <w:rFonts w:ascii="Arial"/>
                <w:sz w:val="21"/>
              </w:rPr>
            </w:pPr>
          </w:p>
          <w:p w14:paraId="20520E8E">
            <w:pPr>
              <w:spacing w:line="265" w:lineRule="auto"/>
              <w:rPr>
                <w:rFonts w:ascii="Arial"/>
                <w:sz w:val="21"/>
              </w:rPr>
            </w:pPr>
          </w:p>
          <w:p w14:paraId="50B59EFE">
            <w:pPr>
              <w:spacing w:line="266" w:lineRule="auto"/>
              <w:rPr>
                <w:rFonts w:ascii="Arial"/>
                <w:sz w:val="21"/>
              </w:rPr>
            </w:pPr>
          </w:p>
          <w:p w14:paraId="047D5062">
            <w:pPr>
              <w:spacing w:line="266" w:lineRule="auto"/>
              <w:rPr>
                <w:rFonts w:ascii="Arial"/>
                <w:sz w:val="21"/>
              </w:rPr>
            </w:pPr>
          </w:p>
          <w:p w14:paraId="21DA186D">
            <w:pPr>
              <w:pStyle w:val="9"/>
              <w:spacing w:before="69" w:line="354" w:lineRule="auto"/>
              <w:ind w:left="315" w:right="204" w:hanging="100"/>
            </w:pPr>
            <w:r>
              <w:rPr>
                <w:spacing w:val="-7"/>
              </w:rPr>
              <w:t>原材</w:t>
            </w:r>
            <w:r>
              <w:t>料</w:t>
            </w:r>
          </w:p>
        </w:tc>
        <w:tc>
          <w:tcPr>
            <w:tcW w:w="839" w:type="dxa"/>
            <w:vAlign w:val="top"/>
          </w:tcPr>
          <w:p w14:paraId="3DD1C0DF">
            <w:pPr>
              <w:spacing w:line="252" w:lineRule="auto"/>
              <w:rPr>
                <w:rFonts w:ascii="Arial"/>
                <w:sz w:val="21"/>
              </w:rPr>
            </w:pPr>
          </w:p>
          <w:p w14:paraId="07A87947">
            <w:pPr>
              <w:spacing w:line="252" w:lineRule="auto"/>
              <w:rPr>
                <w:rFonts w:ascii="Arial"/>
                <w:sz w:val="21"/>
              </w:rPr>
            </w:pPr>
          </w:p>
          <w:p w14:paraId="3A438E31">
            <w:pPr>
              <w:spacing w:line="252" w:lineRule="auto"/>
              <w:rPr>
                <w:rFonts w:ascii="Arial"/>
                <w:sz w:val="21"/>
              </w:rPr>
            </w:pPr>
          </w:p>
          <w:p w14:paraId="7DC55084">
            <w:pPr>
              <w:spacing w:line="253" w:lineRule="auto"/>
              <w:rPr>
                <w:rFonts w:ascii="Arial"/>
                <w:sz w:val="21"/>
              </w:rPr>
            </w:pPr>
          </w:p>
          <w:p w14:paraId="2927946D">
            <w:pPr>
              <w:spacing w:line="253" w:lineRule="auto"/>
              <w:rPr>
                <w:rFonts w:ascii="Arial"/>
                <w:sz w:val="21"/>
              </w:rPr>
            </w:pPr>
          </w:p>
          <w:p w14:paraId="198536CF">
            <w:pPr>
              <w:pStyle w:val="9"/>
              <w:spacing w:before="69" w:line="241" w:lineRule="auto"/>
              <w:ind w:left="385"/>
            </w:pPr>
            <w:r>
              <w:t>1</w:t>
            </w:r>
          </w:p>
        </w:tc>
        <w:tc>
          <w:tcPr>
            <w:tcW w:w="7621" w:type="dxa"/>
            <w:vAlign w:val="top"/>
          </w:tcPr>
          <w:p w14:paraId="4BC8D5FB">
            <w:pPr>
              <w:pStyle w:val="9"/>
              <w:spacing w:before="139" w:line="351" w:lineRule="auto"/>
              <w:ind w:left="113" w:right="115" w:firstLine="2"/>
            </w:pPr>
            <w:r>
              <w:rPr>
                <w:spacing w:val="1"/>
              </w:rPr>
              <w:t>凡是施工用材出现不合格情况，应对相关单位进行处罚，并将情况上报交通</w:t>
            </w:r>
            <w:r>
              <w:t>运输</w:t>
            </w:r>
            <w:r>
              <w:rPr>
                <w:spacing w:val="-2"/>
              </w:rPr>
              <w:t>主管部门，建议对该品牌及供货商列入黑名单。</w:t>
            </w:r>
          </w:p>
          <w:p w14:paraId="2A777DC3">
            <w:pPr>
              <w:pStyle w:val="9"/>
              <w:spacing w:before="2" w:line="351" w:lineRule="auto"/>
              <w:ind w:left="111" w:right="115"/>
              <w:jc w:val="both"/>
            </w:pPr>
            <w:r>
              <w:rPr>
                <w:spacing w:val="1"/>
              </w:rPr>
              <w:t>桥梁支座、桥梁伸缩装置、土工织物（土工格栅、土</w:t>
            </w:r>
            <w:r>
              <w:t>工布）、外加剂、锚（夹）</w:t>
            </w:r>
            <w:r>
              <w:rPr>
                <w:spacing w:val="1"/>
              </w:rPr>
              <w:t>具、机电工程及交通安全设施等产品，出现不合格检验批，除该批次的产品全部</w:t>
            </w:r>
            <w:r>
              <w:rPr>
                <w:spacing w:val="-5"/>
              </w:rPr>
              <w:t>退回外，违约金</w:t>
            </w:r>
            <w:r>
              <w:rPr>
                <w:spacing w:val="-27"/>
              </w:rPr>
              <w:t xml:space="preserve"> </w:t>
            </w:r>
            <w:r>
              <w:rPr>
                <w:spacing w:val="-5"/>
              </w:rPr>
              <w:t>10</w:t>
            </w:r>
            <w:r>
              <w:rPr>
                <w:spacing w:val="-39"/>
              </w:rPr>
              <w:t xml:space="preserve"> </w:t>
            </w:r>
            <w:r>
              <w:rPr>
                <w:spacing w:val="-5"/>
              </w:rPr>
              <w:t>万元/次。</w:t>
            </w:r>
          </w:p>
          <w:p w14:paraId="27AE388D">
            <w:pPr>
              <w:pStyle w:val="9"/>
              <w:spacing w:line="288" w:lineRule="auto"/>
              <w:ind w:left="129" w:right="115" w:hanging="19"/>
            </w:pPr>
            <w:r>
              <w:rPr>
                <w:spacing w:val="1"/>
              </w:rPr>
              <w:t>钢材、水泥、沥青、集料等原材料出现不合格材料时，除该批次的产品全部清除</w:t>
            </w:r>
            <w:r>
              <w:rPr>
                <w:spacing w:val="-6"/>
              </w:rPr>
              <w:t>出场外，违约金</w:t>
            </w:r>
            <w:r>
              <w:rPr>
                <w:spacing w:val="-31"/>
              </w:rPr>
              <w:t xml:space="preserve"> </w:t>
            </w:r>
            <w:r>
              <w:rPr>
                <w:spacing w:val="-6"/>
              </w:rPr>
              <w:t>20</w:t>
            </w:r>
            <w:r>
              <w:rPr>
                <w:spacing w:val="-38"/>
              </w:rPr>
              <w:t xml:space="preserve"> </w:t>
            </w:r>
            <w:r>
              <w:rPr>
                <w:spacing w:val="-6"/>
              </w:rPr>
              <w:t>万元/次。</w:t>
            </w:r>
          </w:p>
        </w:tc>
      </w:tr>
      <w:tr w14:paraId="15C64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09CDB12E">
            <w:pPr>
              <w:spacing w:line="251" w:lineRule="auto"/>
              <w:rPr>
                <w:rFonts w:ascii="Arial"/>
                <w:sz w:val="21"/>
              </w:rPr>
            </w:pPr>
          </w:p>
          <w:p w14:paraId="2405A8AF">
            <w:pPr>
              <w:spacing w:line="251" w:lineRule="auto"/>
              <w:rPr>
                <w:rFonts w:ascii="Arial"/>
                <w:sz w:val="21"/>
              </w:rPr>
            </w:pPr>
          </w:p>
          <w:p w14:paraId="38A92562">
            <w:pPr>
              <w:spacing w:line="251" w:lineRule="auto"/>
              <w:rPr>
                <w:rFonts w:ascii="Arial"/>
                <w:sz w:val="21"/>
              </w:rPr>
            </w:pPr>
          </w:p>
          <w:p w14:paraId="159D7DB0">
            <w:pPr>
              <w:spacing w:line="251" w:lineRule="auto"/>
              <w:rPr>
                <w:rFonts w:ascii="Arial"/>
                <w:sz w:val="21"/>
              </w:rPr>
            </w:pPr>
          </w:p>
          <w:p w14:paraId="1033849B">
            <w:pPr>
              <w:spacing w:line="251" w:lineRule="auto"/>
              <w:rPr>
                <w:rFonts w:ascii="Arial"/>
                <w:sz w:val="21"/>
              </w:rPr>
            </w:pPr>
          </w:p>
          <w:p w14:paraId="28F59C14">
            <w:pPr>
              <w:spacing w:line="251" w:lineRule="auto"/>
              <w:rPr>
                <w:rFonts w:ascii="Arial"/>
                <w:sz w:val="21"/>
              </w:rPr>
            </w:pPr>
          </w:p>
          <w:p w14:paraId="5C44BE7B">
            <w:pPr>
              <w:spacing w:line="251" w:lineRule="auto"/>
              <w:rPr>
                <w:rFonts w:ascii="Arial"/>
                <w:sz w:val="21"/>
              </w:rPr>
            </w:pPr>
          </w:p>
          <w:p w14:paraId="7B2D255B">
            <w:pPr>
              <w:spacing w:line="252" w:lineRule="auto"/>
              <w:rPr>
                <w:rFonts w:ascii="Arial"/>
                <w:sz w:val="21"/>
              </w:rPr>
            </w:pPr>
          </w:p>
          <w:p w14:paraId="54002EAB">
            <w:pPr>
              <w:spacing w:line="252" w:lineRule="auto"/>
              <w:rPr>
                <w:rFonts w:ascii="Arial"/>
                <w:sz w:val="21"/>
              </w:rPr>
            </w:pPr>
          </w:p>
          <w:p w14:paraId="1C360379">
            <w:pPr>
              <w:spacing w:line="252" w:lineRule="auto"/>
              <w:rPr>
                <w:rFonts w:ascii="Arial"/>
                <w:sz w:val="21"/>
              </w:rPr>
            </w:pPr>
          </w:p>
          <w:p w14:paraId="1FBE2CDC">
            <w:pPr>
              <w:spacing w:line="252" w:lineRule="auto"/>
              <w:rPr>
                <w:rFonts w:ascii="Arial"/>
                <w:sz w:val="21"/>
              </w:rPr>
            </w:pPr>
          </w:p>
          <w:p w14:paraId="6592C337">
            <w:pPr>
              <w:spacing w:line="252" w:lineRule="auto"/>
              <w:rPr>
                <w:rFonts w:ascii="Arial"/>
                <w:sz w:val="21"/>
              </w:rPr>
            </w:pPr>
          </w:p>
          <w:p w14:paraId="3AC4C741">
            <w:pPr>
              <w:spacing w:line="252" w:lineRule="auto"/>
              <w:rPr>
                <w:rFonts w:ascii="Arial"/>
                <w:sz w:val="21"/>
              </w:rPr>
            </w:pPr>
          </w:p>
          <w:p w14:paraId="254E3A03">
            <w:pPr>
              <w:spacing w:line="252" w:lineRule="auto"/>
              <w:rPr>
                <w:rFonts w:ascii="Arial"/>
                <w:sz w:val="21"/>
              </w:rPr>
            </w:pPr>
          </w:p>
          <w:p w14:paraId="4F062C45">
            <w:pPr>
              <w:pStyle w:val="9"/>
              <w:spacing w:before="68" w:line="353" w:lineRule="auto"/>
              <w:ind w:left="209" w:right="204" w:firstLine="2"/>
              <w:jc w:val="both"/>
            </w:pPr>
            <w:r>
              <w:rPr>
                <w:spacing w:val="-5"/>
              </w:rPr>
              <w:t>路基</w:t>
            </w:r>
            <w:r>
              <w:rPr>
                <w:spacing w:val="-4"/>
              </w:rPr>
              <w:t>及砌体工</w:t>
            </w:r>
            <w:r>
              <w:rPr>
                <w:spacing w:val="28"/>
                <w:w w:val="133"/>
              </w:rPr>
              <w:t>程</w:t>
            </w:r>
          </w:p>
        </w:tc>
        <w:tc>
          <w:tcPr>
            <w:tcW w:w="839" w:type="dxa"/>
            <w:vAlign w:val="top"/>
          </w:tcPr>
          <w:p w14:paraId="45DC868A">
            <w:pPr>
              <w:spacing w:line="269" w:lineRule="auto"/>
              <w:rPr>
                <w:rFonts w:ascii="Arial"/>
                <w:sz w:val="21"/>
              </w:rPr>
            </w:pPr>
          </w:p>
          <w:p w14:paraId="33196E66">
            <w:pPr>
              <w:pStyle w:val="9"/>
              <w:spacing w:before="68" w:line="241" w:lineRule="auto"/>
              <w:ind w:left="385"/>
            </w:pPr>
            <w:r>
              <w:t>1</w:t>
            </w:r>
          </w:p>
        </w:tc>
        <w:tc>
          <w:tcPr>
            <w:tcW w:w="7621" w:type="dxa"/>
            <w:vAlign w:val="top"/>
          </w:tcPr>
          <w:p w14:paraId="36B2040C">
            <w:pPr>
              <w:pStyle w:val="9"/>
              <w:spacing w:before="138" w:line="288" w:lineRule="auto"/>
              <w:ind w:left="128" w:right="107" w:hanging="15"/>
            </w:pPr>
            <w:r>
              <w:t>填土没有路拱（要求</w:t>
            </w:r>
            <w:r>
              <w:rPr>
                <w:spacing w:val="-42"/>
              </w:rPr>
              <w:t xml:space="preserve"> </w:t>
            </w:r>
            <w:r>
              <w:t>2%—4%</w:t>
            </w:r>
            <w:r>
              <w:rPr>
                <w:spacing w:val="-3"/>
              </w:rPr>
              <w:t>），</w:t>
            </w:r>
            <w:r>
              <w:t>排水不畅的；路基</w:t>
            </w:r>
            <w:r>
              <w:rPr>
                <w:spacing w:val="-1"/>
              </w:rPr>
              <w:t>施工未采取临时防护排水措施</w:t>
            </w:r>
            <w:r>
              <w:rPr>
                <w:spacing w:val="-5"/>
              </w:rPr>
              <w:t>的，违约金</w:t>
            </w:r>
            <w:r>
              <w:rPr>
                <w:spacing w:val="-38"/>
              </w:rPr>
              <w:t xml:space="preserve"> </w:t>
            </w:r>
            <w:r>
              <w:rPr>
                <w:spacing w:val="-5"/>
              </w:rPr>
              <w:t>2,000</w:t>
            </w:r>
            <w:r>
              <w:rPr>
                <w:spacing w:val="-42"/>
              </w:rPr>
              <w:t xml:space="preserve"> </w:t>
            </w:r>
            <w:r>
              <w:rPr>
                <w:spacing w:val="-5"/>
              </w:rPr>
              <w:t>元/处。</w:t>
            </w:r>
          </w:p>
        </w:tc>
      </w:tr>
      <w:tr w14:paraId="2A055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EEA380C">
            <w:pPr>
              <w:rPr>
                <w:rFonts w:ascii="Arial"/>
                <w:sz w:val="21"/>
              </w:rPr>
            </w:pPr>
          </w:p>
        </w:tc>
        <w:tc>
          <w:tcPr>
            <w:tcW w:w="839" w:type="dxa"/>
            <w:vAlign w:val="top"/>
          </w:tcPr>
          <w:p w14:paraId="46E76677">
            <w:pPr>
              <w:pStyle w:val="9"/>
              <w:spacing w:before="224" w:line="241" w:lineRule="auto"/>
              <w:ind w:left="372"/>
            </w:pPr>
            <w:r>
              <w:t>2</w:t>
            </w:r>
          </w:p>
        </w:tc>
        <w:tc>
          <w:tcPr>
            <w:tcW w:w="7621" w:type="dxa"/>
            <w:vAlign w:val="top"/>
          </w:tcPr>
          <w:p w14:paraId="21583091">
            <w:pPr>
              <w:pStyle w:val="9"/>
              <w:spacing w:before="223" w:line="217" w:lineRule="auto"/>
              <w:ind w:left="113"/>
            </w:pPr>
            <w:r>
              <w:rPr>
                <w:spacing w:val="-2"/>
              </w:rPr>
              <w:t>路基平整度不符合规范要求的，违约金</w:t>
            </w:r>
            <w:r>
              <w:rPr>
                <w:spacing w:val="-40"/>
              </w:rPr>
              <w:t xml:space="preserve"> </w:t>
            </w:r>
            <w:r>
              <w:rPr>
                <w:spacing w:val="-2"/>
              </w:rPr>
              <w:t>2,000</w:t>
            </w:r>
            <w:r>
              <w:rPr>
                <w:spacing w:val="-42"/>
              </w:rPr>
              <w:t xml:space="preserve"> </w:t>
            </w:r>
            <w:r>
              <w:rPr>
                <w:spacing w:val="-2"/>
              </w:rPr>
              <w:t>元/处。</w:t>
            </w:r>
          </w:p>
        </w:tc>
      </w:tr>
      <w:tr w14:paraId="54541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7EA3C8A2">
            <w:pPr>
              <w:rPr>
                <w:rFonts w:ascii="Arial"/>
                <w:sz w:val="21"/>
              </w:rPr>
            </w:pPr>
          </w:p>
        </w:tc>
        <w:tc>
          <w:tcPr>
            <w:tcW w:w="839" w:type="dxa"/>
            <w:vAlign w:val="top"/>
          </w:tcPr>
          <w:p w14:paraId="3D871057">
            <w:pPr>
              <w:pStyle w:val="9"/>
              <w:spacing w:before="222"/>
              <w:ind w:left="374"/>
            </w:pPr>
            <w:r>
              <w:t>3</w:t>
            </w:r>
          </w:p>
        </w:tc>
        <w:tc>
          <w:tcPr>
            <w:tcW w:w="7621" w:type="dxa"/>
            <w:vAlign w:val="top"/>
          </w:tcPr>
          <w:p w14:paraId="02A06EC4">
            <w:pPr>
              <w:pStyle w:val="9"/>
              <w:spacing w:before="222" w:line="217" w:lineRule="auto"/>
              <w:ind w:left="113"/>
            </w:pPr>
            <w:r>
              <w:rPr>
                <w:spacing w:val="-2"/>
              </w:rPr>
              <w:t>路基填土未经平地机整平就进行压实施工的，违约金</w:t>
            </w:r>
            <w:r>
              <w:rPr>
                <w:spacing w:val="-28"/>
              </w:rPr>
              <w:t xml:space="preserve"> </w:t>
            </w:r>
            <w:r>
              <w:rPr>
                <w:spacing w:val="-2"/>
              </w:rPr>
              <w:t>2,000</w:t>
            </w:r>
            <w:r>
              <w:rPr>
                <w:spacing w:val="-42"/>
              </w:rPr>
              <w:t xml:space="preserve"> </w:t>
            </w:r>
            <w:r>
              <w:rPr>
                <w:spacing w:val="-2"/>
              </w:rPr>
              <w:t>元/处。</w:t>
            </w:r>
          </w:p>
        </w:tc>
      </w:tr>
      <w:tr w14:paraId="706F9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36A99DED">
            <w:pPr>
              <w:rPr>
                <w:rFonts w:ascii="Arial"/>
                <w:sz w:val="21"/>
              </w:rPr>
            </w:pPr>
          </w:p>
        </w:tc>
        <w:tc>
          <w:tcPr>
            <w:tcW w:w="839" w:type="dxa"/>
            <w:vAlign w:val="top"/>
          </w:tcPr>
          <w:p w14:paraId="1F9577A4">
            <w:pPr>
              <w:spacing w:line="271" w:lineRule="auto"/>
              <w:rPr>
                <w:rFonts w:ascii="Arial"/>
                <w:sz w:val="21"/>
              </w:rPr>
            </w:pPr>
          </w:p>
          <w:p w14:paraId="62459148">
            <w:pPr>
              <w:pStyle w:val="9"/>
              <w:spacing w:before="69" w:line="241" w:lineRule="auto"/>
              <w:ind w:left="369"/>
            </w:pPr>
            <w:r>
              <w:t>4</w:t>
            </w:r>
          </w:p>
        </w:tc>
        <w:tc>
          <w:tcPr>
            <w:tcW w:w="7621" w:type="dxa"/>
            <w:vAlign w:val="top"/>
          </w:tcPr>
          <w:p w14:paraId="0AB2A115">
            <w:pPr>
              <w:pStyle w:val="9"/>
              <w:spacing w:before="141" w:line="287" w:lineRule="auto"/>
              <w:ind w:left="116" w:right="115" w:hanging="3"/>
            </w:pPr>
            <w:r>
              <w:rPr>
                <w:spacing w:val="1"/>
              </w:rPr>
              <w:t>填土松铺厚度或现场实测的压实层厚度超过试验段报告明确的松铺厚度或压实层</w:t>
            </w:r>
            <w:r>
              <w:rPr>
                <w:spacing w:val="-4"/>
              </w:rPr>
              <w:t>厚时，违约金</w:t>
            </w:r>
            <w:r>
              <w:rPr>
                <w:spacing w:val="-36"/>
              </w:rPr>
              <w:t xml:space="preserve"> </w:t>
            </w:r>
            <w:r>
              <w:rPr>
                <w:spacing w:val="-4"/>
              </w:rPr>
              <w:t>5,000</w:t>
            </w:r>
            <w:r>
              <w:rPr>
                <w:spacing w:val="-42"/>
              </w:rPr>
              <w:t xml:space="preserve"> </w:t>
            </w:r>
            <w:r>
              <w:rPr>
                <w:spacing w:val="-4"/>
              </w:rPr>
              <w:t>元/处。</w:t>
            </w:r>
          </w:p>
        </w:tc>
      </w:tr>
      <w:tr w14:paraId="236E5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4DC6A6EF">
            <w:pPr>
              <w:rPr>
                <w:rFonts w:ascii="Arial"/>
                <w:sz w:val="21"/>
              </w:rPr>
            </w:pPr>
          </w:p>
        </w:tc>
        <w:tc>
          <w:tcPr>
            <w:tcW w:w="839" w:type="dxa"/>
            <w:vAlign w:val="top"/>
          </w:tcPr>
          <w:p w14:paraId="2E18CBD7">
            <w:pPr>
              <w:spacing w:line="272" w:lineRule="auto"/>
              <w:rPr>
                <w:rFonts w:ascii="Arial"/>
                <w:sz w:val="21"/>
              </w:rPr>
            </w:pPr>
          </w:p>
          <w:p w14:paraId="5B35D4F9">
            <w:pPr>
              <w:pStyle w:val="9"/>
              <w:spacing w:before="68"/>
              <w:ind w:left="374"/>
            </w:pPr>
            <w:r>
              <w:t>5</w:t>
            </w:r>
          </w:p>
        </w:tc>
        <w:tc>
          <w:tcPr>
            <w:tcW w:w="7621" w:type="dxa"/>
            <w:vAlign w:val="top"/>
          </w:tcPr>
          <w:p w14:paraId="23DC6EC1">
            <w:pPr>
              <w:pStyle w:val="9"/>
              <w:spacing w:before="143" w:line="286" w:lineRule="auto"/>
              <w:ind w:left="113" w:right="104"/>
            </w:pPr>
            <w:r>
              <w:rPr>
                <w:spacing w:val="-2"/>
              </w:rPr>
              <w:t>路槽底面以下</w:t>
            </w:r>
            <w:r>
              <w:rPr>
                <w:spacing w:val="-44"/>
              </w:rPr>
              <w:t xml:space="preserve"> </w:t>
            </w:r>
            <w:r>
              <w:rPr>
                <w:spacing w:val="-2"/>
              </w:rPr>
              <w:t>0-80cm</w:t>
            </w:r>
            <w:r>
              <w:rPr>
                <w:spacing w:val="-40"/>
              </w:rPr>
              <w:t xml:space="preserve"> </w:t>
            </w:r>
            <w:r>
              <w:rPr>
                <w:spacing w:val="-2"/>
              </w:rPr>
              <w:t>范围内，填料最大粒径不超过</w:t>
            </w:r>
            <w:r>
              <w:rPr>
                <w:spacing w:val="-29"/>
              </w:rPr>
              <w:t xml:space="preserve"> </w:t>
            </w:r>
            <w:r>
              <w:rPr>
                <w:spacing w:val="-2"/>
              </w:rPr>
              <w:t>10cm，在</w:t>
            </w:r>
            <w:r>
              <w:rPr>
                <w:spacing w:val="-43"/>
              </w:rPr>
              <w:t xml:space="preserve"> </w:t>
            </w:r>
            <w:r>
              <w:rPr>
                <w:spacing w:val="-3"/>
              </w:rPr>
              <w:t>80cm</w:t>
            </w:r>
            <w:r>
              <w:rPr>
                <w:spacing w:val="-21"/>
              </w:rPr>
              <w:t xml:space="preserve"> </w:t>
            </w:r>
            <w:r>
              <w:rPr>
                <w:spacing w:val="-3"/>
              </w:rPr>
              <w:t>以下的填料最大粒径不超过</w:t>
            </w:r>
            <w:r>
              <w:rPr>
                <w:spacing w:val="-29"/>
              </w:rPr>
              <w:t xml:space="preserve"> </w:t>
            </w:r>
            <w:r>
              <w:rPr>
                <w:spacing w:val="-3"/>
              </w:rPr>
              <w:t>15cm。违者违约金</w:t>
            </w:r>
            <w:r>
              <w:rPr>
                <w:spacing w:val="-40"/>
              </w:rPr>
              <w:t xml:space="preserve"> </w:t>
            </w:r>
            <w:r>
              <w:rPr>
                <w:spacing w:val="-3"/>
              </w:rPr>
              <w:t>2,000</w:t>
            </w:r>
            <w:r>
              <w:rPr>
                <w:spacing w:val="-44"/>
              </w:rPr>
              <w:t xml:space="preserve"> </w:t>
            </w:r>
            <w:r>
              <w:rPr>
                <w:spacing w:val="-3"/>
              </w:rPr>
              <w:t>元/次。</w:t>
            </w:r>
          </w:p>
        </w:tc>
      </w:tr>
      <w:tr w14:paraId="68E54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148C1D1E">
            <w:pPr>
              <w:rPr>
                <w:rFonts w:ascii="Arial"/>
                <w:sz w:val="21"/>
              </w:rPr>
            </w:pPr>
          </w:p>
        </w:tc>
        <w:tc>
          <w:tcPr>
            <w:tcW w:w="839" w:type="dxa"/>
            <w:vAlign w:val="top"/>
          </w:tcPr>
          <w:p w14:paraId="1A7BE0D8">
            <w:pPr>
              <w:pStyle w:val="9"/>
              <w:spacing w:before="225"/>
              <w:ind w:left="371"/>
            </w:pPr>
            <w:r>
              <w:t>6</w:t>
            </w:r>
          </w:p>
        </w:tc>
        <w:tc>
          <w:tcPr>
            <w:tcW w:w="7621" w:type="dxa"/>
            <w:vAlign w:val="top"/>
          </w:tcPr>
          <w:p w14:paraId="3DBE1DE4">
            <w:pPr>
              <w:pStyle w:val="9"/>
              <w:spacing w:before="225" w:line="217" w:lineRule="auto"/>
              <w:ind w:left="113"/>
            </w:pPr>
            <w:r>
              <w:rPr>
                <w:spacing w:val="-2"/>
              </w:rPr>
              <w:t>路基填土应按规定作液限、塑限指数及</w:t>
            </w:r>
            <w:r>
              <w:rPr>
                <w:spacing w:val="-37"/>
              </w:rPr>
              <w:t xml:space="preserve"> </w:t>
            </w:r>
            <w:r>
              <w:rPr>
                <w:spacing w:val="-2"/>
              </w:rPr>
              <w:t>CBR</w:t>
            </w:r>
            <w:r>
              <w:rPr>
                <w:spacing w:val="-43"/>
              </w:rPr>
              <w:t xml:space="preserve"> </w:t>
            </w:r>
            <w:r>
              <w:rPr>
                <w:spacing w:val="-2"/>
              </w:rPr>
              <w:t>值试验。违者违约金</w:t>
            </w:r>
            <w:r>
              <w:rPr>
                <w:spacing w:val="-41"/>
              </w:rPr>
              <w:t xml:space="preserve"> </w:t>
            </w:r>
            <w:r>
              <w:rPr>
                <w:spacing w:val="-2"/>
              </w:rPr>
              <w:t>5,000</w:t>
            </w:r>
            <w:r>
              <w:rPr>
                <w:spacing w:val="-42"/>
              </w:rPr>
              <w:t xml:space="preserve"> </w:t>
            </w:r>
            <w:r>
              <w:rPr>
                <w:spacing w:val="-2"/>
              </w:rPr>
              <w:t>元/次。</w:t>
            </w:r>
          </w:p>
        </w:tc>
      </w:tr>
      <w:tr w14:paraId="254E8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0C039E5">
            <w:pPr>
              <w:rPr>
                <w:rFonts w:ascii="Arial"/>
                <w:sz w:val="21"/>
              </w:rPr>
            </w:pPr>
          </w:p>
        </w:tc>
        <w:tc>
          <w:tcPr>
            <w:tcW w:w="839" w:type="dxa"/>
            <w:vAlign w:val="top"/>
          </w:tcPr>
          <w:p w14:paraId="1768A042">
            <w:pPr>
              <w:spacing w:line="273" w:lineRule="auto"/>
              <w:rPr>
                <w:rFonts w:ascii="Arial"/>
                <w:sz w:val="21"/>
              </w:rPr>
            </w:pPr>
          </w:p>
          <w:p w14:paraId="3ADE686E">
            <w:pPr>
              <w:pStyle w:val="9"/>
              <w:spacing w:before="68"/>
              <w:ind w:left="375"/>
            </w:pPr>
            <w:r>
              <w:t>7</w:t>
            </w:r>
          </w:p>
        </w:tc>
        <w:tc>
          <w:tcPr>
            <w:tcW w:w="7621" w:type="dxa"/>
            <w:vAlign w:val="top"/>
          </w:tcPr>
          <w:p w14:paraId="6943A3FB">
            <w:pPr>
              <w:pStyle w:val="9"/>
              <w:spacing w:before="144" w:line="286" w:lineRule="auto"/>
              <w:ind w:left="114" w:right="115" w:hanging="3"/>
            </w:pPr>
            <w:r>
              <w:rPr>
                <w:spacing w:val="1"/>
              </w:rPr>
              <w:t>确保填方边坡碾压密实，边坡坡面要夯实，路基宽度在设计基础上每边超填不小</w:t>
            </w:r>
            <w:r>
              <w:rPr>
                <w:spacing w:val="-3"/>
              </w:rPr>
              <w:t>于</w:t>
            </w:r>
            <w:r>
              <w:rPr>
                <w:spacing w:val="-24"/>
              </w:rPr>
              <w:t xml:space="preserve"> </w:t>
            </w:r>
            <w:r>
              <w:rPr>
                <w:spacing w:val="-3"/>
              </w:rPr>
              <w:t>50cm，等植草前刷坡。违者违约金</w:t>
            </w:r>
            <w:r>
              <w:rPr>
                <w:spacing w:val="-40"/>
              </w:rPr>
              <w:t xml:space="preserve"> </w:t>
            </w:r>
            <w:r>
              <w:rPr>
                <w:spacing w:val="-3"/>
              </w:rPr>
              <w:t>2,000</w:t>
            </w:r>
            <w:r>
              <w:rPr>
                <w:spacing w:val="-44"/>
              </w:rPr>
              <w:t xml:space="preserve"> </w:t>
            </w:r>
            <w:r>
              <w:rPr>
                <w:spacing w:val="-3"/>
              </w:rPr>
              <w:t>元/处。</w:t>
            </w:r>
          </w:p>
        </w:tc>
      </w:tr>
      <w:tr w14:paraId="6A1B2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9287912">
            <w:pPr>
              <w:rPr>
                <w:rFonts w:ascii="Arial"/>
                <w:sz w:val="21"/>
              </w:rPr>
            </w:pPr>
          </w:p>
        </w:tc>
        <w:tc>
          <w:tcPr>
            <w:tcW w:w="839" w:type="dxa"/>
            <w:vAlign w:val="top"/>
          </w:tcPr>
          <w:p w14:paraId="4977C6F0">
            <w:pPr>
              <w:pStyle w:val="9"/>
              <w:spacing w:before="226"/>
              <w:ind w:left="370"/>
            </w:pPr>
            <w:r>
              <w:t>8</w:t>
            </w:r>
          </w:p>
        </w:tc>
        <w:tc>
          <w:tcPr>
            <w:tcW w:w="7621" w:type="dxa"/>
            <w:vAlign w:val="top"/>
          </w:tcPr>
          <w:p w14:paraId="2E6F25B3">
            <w:pPr>
              <w:pStyle w:val="9"/>
              <w:spacing w:before="225" w:line="217" w:lineRule="auto"/>
              <w:ind w:left="113"/>
            </w:pPr>
            <w:r>
              <w:rPr>
                <w:spacing w:val="-2"/>
              </w:rPr>
              <w:t>填土压实度达不到设计要求的，违约金</w:t>
            </w:r>
            <w:r>
              <w:rPr>
                <w:spacing w:val="-42"/>
              </w:rPr>
              <w:t xml:space="preserve"> </w:t>
            </w:r>
            <w:r>
              <w:rPr>
                <w:spacing w:val="-2"/>
              </w:rPr>
              <w:t>2,000</w:t>
            </w:r>
            <w:r>
              <w:rPr>
                <w:spacing w:val="-42"/>
              </w:rPr>
              <w:t xml:space="preserve"> </w:t>
            </w:r>
            <w:r>
              <w:rPr>
                <w:spacing w:val="-2"/>
              </w:rPr>
              <w:t>元/检测段。</w:t>
            </w:r>
          </w:p>
        </w:tc>
      </w:tr>
      <w:tr w14:paraId="0089D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20E334CD">
            <w:pPr>
              <w:rPr>
                <w:rFonts w:ascii="Arial"/>
                <w:sz w:val="21"/>
              </w:rPr>
            </w:pPr>
          </w:p>
        </w:tc>
        <w:tc>
          <w:tcPr>
            <w:tcW w:w="839" w:type="dxa"/>
            <w:vAlign w:val="top"/>
          </w:tcPr>
          <w:p w14:paraId="1BA79C97">
            <w:pPr>
              <w:spacing w:line="272" w:lineRule="auto"/>
              <w:rPr>
                <w:rFonts w:ascii="Arial"/>
                <w:sz w:val="21"/>
              </w:rPr>
            </w:pPr>
          </w:p>
          <w:p w14:paraId="63547248">
            <w:pPr>
              <w:pStyle w:val="9"/>
              <w:spacing w:before="68"/>
              <w:ind w:left="370"/>
            </w:pPr>
            <w:r>
              <w:t>9</w:t>
            </w:r>
          </w:p>
        </w:tc>
        <w:tc>
          <w:tcPr>
            <w:tcW w:w="7621" w:type="dxa"/>
            <w:vAlign w:val="top"/>
          </w:tcPr>
          <w:p w14:paraId="56D76A4D">
            <w:pPr>
              <w:pStyle w:val="9"/>
              <w:spacing w:before="144" w:line="286" w:lineRule="auto"/>
              <w:ind w:left="112" w:right="45"/>
            </w:pPr>
            <w:r>
              <w:rPr>
                <w:spacing w:val="-7"/>
              </w:rPr>
              <w:t>石方路基靠近边坡范围采用光面爆破，爆破后及时清理</w:t>
            </w:r>
            <w:r>
              <w:rPr>
                <w:spacing w:val="-8"/>
              </w:rPr>
              <w:t>险石、松石，违者违约金</w:t>
            </w:r>
            <w:r>
              <w:rPr>
                <w:spacing w:val="-42"/>
              </w:rPr>
              <w:t xml:space="preserve"> </w:t>
            </w:r>
            <w:r>
              <w:rPr>
                <w:spacing w:val="-8"/>
              </w:rPr>
              <w:t>2，</w:t>
            </w:r>
            <w:r>
              <w:t xml:space="preserve"> </w:t>
            </w:r>
            <w:r>
              <w:rPr>
                <w:spacing w:val="-3"/>
              </w:rPr>
              <w:t>000</w:t>
            </w:r>
            <w:r>
              <w:rPr>
                <w:spacing w:val="-43"/>
              </w:rPr>
              <w:t xml:space="preserve"> </w:t>
            </w:r>
            <w:r>
              <w:rPr>
                <w:spacing w:val="-3"/>
              </w:rPr>
              <w:t>元/处。</w:t>
            </w:r>
          </w:p>
        </w:tc>
      </w:tr>
      <w:tr w14:paraId="7BE78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DC49333">
            <w:pPr>
              <w:rPr>
                <w:rFonts w:ascii="Arial"/>
                <w:sz w:val="21"/>
              </w:rPr>
            </w:pPr>
          </w:p>
        </w:tc>
        <w:tc>
          <w:tcPr>
            <w:tcW w:w="839" w:type="dxa"/>
            <w:vAlign w:val="top"/>
          </w:tcPr>
          <w:p w14:paraId="23B4A3FB">
            <w:pPr>
              <w:spacing w:line="272" w:lineRule="auto"/>
              <w:rPr>
                <w:rFonts w:ascii="Arial"/>
                <w:sz w:val="21"/>
              </w:rPr>
            </w:pPr>
          </w:p>
          <w:p w14:paraId="026DC801">
            <w:pPr>
              <w:pStyle w:val="9"/>
              <w:spacing w:before="68"/>
              <w:ind w:left="333"/>
            </w:pPr>
            <w:r>
              <w:rPr>
                <w:spacing w:val="-6"/>
              </w:rPr>
              <w:t>10</w:t>
            </w:r>
          </w:p>
        </w:tc>
        <w:tc>
          <w:tcPr>
            <w:tcW w:w="7621" w:type="dxa"/>
            <w:vAlign w:val="top"/>
          </w:tcPr>
          <w:p w14:paraId="0CA20163">
            <w:pPr>
              <w:pStyle w:val="9"/>
              <w:spacing w:before="144" w:line="286" w:lineRule="auto"/>
              <w:ind w:left="116" w:right="115" w:hanging="3"/>
            </w:pPr>
            <w:r>
              <w:rPr>
                <w:spacing w:val="1"/>
              </w:rPr>
              <w:t>路堤填石要求逐层水平填筑石块，摆放平整，码砌边部，空隙用石渣石屑嵌压稳</w:t>
            </w:r>
            <w:r>
              <w:rPr>
                <w:spacing w:val="-2"/>
              </w:rPr>
              <w:t>定，石块尺寸符合规范要求，违者违约金</w:t>
            </w:r>
            <w:r>
              <w:rPr>
                <w:spacing w:val="-42"/>
              </w:rPr>
              <w:t xml:space="preserve"> </w:t>
            </w:r>
            <w:r>
              <w:rPr>
                <w:spacing w:val="-2"/>
              </w:rPr>
              <w:t>2，000</w:t>
            </w:r>
            <w:r>
              <w:rPr>
                <w:spacing w:val="-42"/>
              </w:rPr>
              <w:t xml:space="preserve"> </w:t>
            </w:r>
            <w:r>
              <w:rPr>
                <w:spacing w:val="-2"/>
              </w:rPr>
              <w:t>元/处。</w:t>
            </w:r>
          </w:p>
        </w:tc>
      </w:tr>
      <w:tr w14:paraId="6D463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104C1AFF">
            <w:pPr>
              <w:rPr>
                <w:rFonts w:ascii="Arial"/>
                <w:sz w:val="21"/>
              </w:rPr>
            </w:pPr>
          </w:p>
        </w:tc>
        <w:tc>
          <w:tcPr>
            <w:tcW w:w="839" w:type="dxa"/>
            <w:vAlign w:val="top"/>
          </w:tcPr>
          <w:p w14:paraId="0F5E0ABE">
            <w:pPr>
              <w:spacing w:line="273" w:lineRule="auto"/>
              <w:rPr>
                <w:rFonts w:ascii="Arial"/>
                <w:sz w:val="21"/>
              </w:rPr>
            </w:pPr>
          </w:p>
          <w:p w14:paraId="259FCB58">
            <w:pPr>
              <w:pStyle w:val="9"/>
              <w:spacing w:before="68" w:line="241" w:lineRule="auto"/>
              <w:ind w:left="333"/>
            </w:pPr>
            <w:r>
              <w:rPr>
                <w:spacing w:val="-6"/>
              </w:rPr>
              <w:t>11</w:t>
            </w:r>
          </w:p>
        </w:tc>
        <w:tc>
          <w:tcPr>
            <w:tcW w:w="7621" w:type="dxa"/>
            <w:vAlign w:val="top"/>
          </w:tcPr>
          <w:p w14:paraId="0932B0AD">
            <w:pPr>
              <w:pStyle w:val="9"/>
              <w:spacing w:before="144" w:line="286" w:lineRule="auto"/>
              <w:ind w:left="110" w:right="115"/>
            </w:pPr>
            <w:r>
              <w:rPr>
                <w:spacing w:val="1"/>
              </w:rPr>
              <w:t>粉喷桩应严格控制喷粉时间、停粉时间、水泥喷入量，不得中断喷粉，确保喷粉</w:t>
            </w:r>
            <w:r>
              <w:rPr>
                <w:spacing w:val="-2"/>
              </w:rPr>
              <w:t>桩长度，桩身上部范围必须进行二次搅拌，违者违约金</w:t>
            </w:r>
            <w:r>
              <w:rPr>
                <w:spacing w:val="-25"/>
              </w:rPr>
              <w:t xml:space="preserve"> </w:t>
            </w:r>
            <w:r>
              <w:rPr>
                <w:spacing w:val="-2"/>
              </w:rPr>
              <w:t>2，000</w:t>
            </w:r>
            <w:r>
              <w:rPr>
                <w:spacing w:val="-42"/>
              </w:rPr>
              <w:t xml:space="preserve"> </w:t>
            </w:r>
            <w:r>
              <w:rPr>
                <w:spacing w:val="-2"/>
              </w:rPr>
              <w:t>元/次。</w:t>
            </w:r>
          </w:p>
        </w:tc>
      </w:tr>
      <w:tr w14:paraId="25529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2" w:type="dxa"/>
            <w:vMerge w:val="continue"/>
            <w:tcBorders>
              <w:top w:val="nil"/>
            </w:tcBorders>
            <w:vAlign w:val="top"/>
          </w:tcPr>
          <w:p w14:paraId="57E9DAB4">
            <w:pPr>
              <w:rPr>
                <w:rFonts w:ascii="Arial"/>
                <w:sz w:val="21"/>
              </w:rPr>
            </w:pPr>
          </w:p>
        </w:tc>
        <w:tc>
          <w:tcPr>
            <w:tcW w:w="839" w:type="dxa"/>
            <w:vAlign w:val="top"/>
          </w:tcPr>
          <w:p w14:paraId="0EAF4780">
            <w:pPr>
              <w:pStyle w:val="9"/>
              <w:spacing w:before="226" w:line="241" w:lineRule="auto"/>
              <w:ind w:left="333"/>
            </w:pPr>
            <w:r>
              <w:rPr>
                <w:spacing w:val="-6"/>
              </w:rPr>
              <w:t>12</w:t>
            </w:r>
          </w:p>
        </w:tc>
        <w:tc>
          <w:tcPr>
            <w:tcW w:w="7621" w:type="dxa"/>
            <w:vAlign w:val="top"/>
          </w:tcPr>
          <w:p w14:paraId="28172769">
            <w:pPr>
              <w:pStyle w:val="9"/>
              <w:spacing w:before="226" w:line="219" w:lineRule="auto"/>
              <w:ind w:left="113"/>
            </w:pPr>
            <w:r>
              <w:rPr>
                <w:spacing w:val="-1"/>
              </w:rPr>
              <w:t>软基换填处理未将软土清除干净就进行回填施</w:t>
            </w:r>
            <w:r>
              <w:rPr>
                <w:spacing w:val="-2"/>
              </w:rPr>
              <w:t>工的，违约金</w:t>
            </w:r>
            <w:r>
              <w:rPr>
                <w:spacing w:val="-42"/>
              </w:rPr>
              <w:t xml:space="preserve"> </w:t>
            </w:r>
            <w:r>
              <w:rPr>
                <w:spacing w:val="-2"/>
              </w:rPr>
              <w:t>2，000</w:t>
            </w:r>
            <w:r>
              <w:rPr>
                <w:spacing w:val="-42"/>
              </w:rPr>
              <w:t xml:space="preserve"> </w:t>
            </w:r>
            <w:r>
              <w:rPr>
                <w:spacing w:val="-2"/>
              </w:rPr>
              <w:t>元/处。</w:t>
            </w:r>
          </w:p>
        </w:tc>
      </w:tr>
    </w:tbl>
    <w:p w14:paraId="178BB61D">
      <w:pPr>
        <w:pStyle w:val="2"/>
        <w:spacing w:line="345" w:lineRule="auto"/>
      </w:pPr>
    </w:p>
    <w:p w14:paraId="133D1706">
      <w:pPr>
        <w:pStyle w:val="2"/>
        <w:spacing w:line="346" w:lineRule="auto"/>
      </w:pPr>
    </w:p>
    <w:p w14:paraId="2C5822CB">
      <w:pPr>
        <w:spacing w:line="217" w:lineRule="auto"/>
        <w:rPr>
          <w:rFonts w:ascii="宋体" w:hAnsi="宋体" w:eastAsia="宋体" w:cs="宋体"/>
          <w:sz w:val="18"/>
          <w:szCs w:val="18"/>
        </w:rPr>
        <w:sectPr>
          <w:footerReference r:id="rId136" w:type="default"/>
          <w:pgSz w:w="11905" w:h="16840"/>
          <w:pgMar w:top="1182" w:right="1303" w:bottom="1171" w:left="1303" w:header="849" w:footer="937" w:gutter="0"/>
          <w:pgNumType w:fmt="decimal"/>
          <w:cols w:space="720" w:num="1"/>
        </w:sectPr>
      </w:pPr>
    </w:p>
    <w:p w14:paraId="4403A760">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71B43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5BC495A9">
            <w:pPr>
              <w:pStyle w:val="9"/>
              <w:spacing w:before="225" w:line="220" w:lineRule="auto"/>
              <w:ind w:left="210"/>
            </w:pPr>
            <w:r>
              <w:rPr>
                <w:b/>
                <w:bCs/>
                <w:spacing w:val="-4"/>
              </w:rPr>
              <w:t>类别</w:t>
            </w:r>
          </w:p>
        </w:tc>
        <w:tc>
          <w:tcPr>
            <w:tcW w:w="839" w:type="dxa"/>
            <w:vAlign w:val="top"/>
          </w:tcPr>
          <w:p w14:paraId="089B22FF">
            <w:pPr>
              <w:pStyle w:val="9"/>
              <w:spacing w:before="226" w:line="221" w:lineRule="auto"/>
              <w:ind w:left="211"/>
            </w:pPr>
            <w:r>
              <w:rPr>
                <w:b/>
                <w:bCs/>
                <w:spacing w:val="-4"/>
              </w:rPr>
              <w:t>序号</w:t>
            </w:r>
          </w:p>
        </w:tc>
        <w:tc>
          <w:tcPr>
            <w:tcW w:w="7621" w:type="dxa"/>
            <w:vAlign w:val="top"/>
          </w:tcPr>
          <w:p w14:paraId="28AB3054">
            <w:pPr>
              <w:pStyle w:val="9"/>
              <w:spacing w:before="226" w:line="220" w:lineRule="auto"/>
              <w:ind w:left="3393"/>
            </w:pPr>
            <w:r>
              <w:rPr>
                <w:b/>
                <w:bCs/>
                <w:spacing w:val="-4"/>
              </w:rPr>
              <w:t>违约项目</w:t>
            </w:r>
          </w:p>
        </w:tc>
      </w:tr>
      <w:tr w14:paraId="65EBB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bottom w:val="nil"/>
            </w:tcBorders>
            <w:vAlign w:val="top"/>
          </w:tcPr>
          <w:p w14:paraId="05803E2F">
            <w:pPr>
              <w:rPr>
                <w:rFonts w:ascii="Arial"/>
                <w:sz w:val="21"/>
              </w:rPr>
            </w:pPr>
          </w:p>
        </w:tc>
        <w:tc>
          <w:tcPr>
            <w:tcW w:w="839" w:type="dxa"/>
            <w:vAlign w:val="top"/>
          </w:tcPr>
          <w:p w14:paraId="338D08E6">
            <w:pPr>
              <w:pStyle w:val="9"/>
              <w:spacing w:before="221"/>
              <w:ind w:left="333"/>
            </w:pPr>
            <w:r>
              <w:rPr>
                <w:spacing w:val="-6"/>
              </w:rPr>
              <w:t>13</w:t>
            </w:r>
          </w:p>
        </w:tc>
        <w:tc>
          <w:tcPr>
            <w:tcW w:w="7621" w:type="dxa"/>
            <w:vAlign w:val="top"/>
          </w:tcPr>
          <w:p w14:paraId="0D2FCC24">
            <w:pPr>
              <w:pStyle w:val="9"/>
              <w:spacing w:before="220" w:line="220" w:lineRule="auto"/>
              <w:ind w:left="113"/>
            </w:pPr>
            <w:r>
              <w:rPr>
                <w:spacing w:val="-2"/>
              </w:rPr>
              <w:t>软基处理未按要求进行沉降和稳定性观测的，违约金</w:t>
            </w:r>
            <w:r>
              <w:rPr>
                <w:spacing w:val="-29"/>
              </w:rPr>
              <w:t xml:space="preserve"> </w:t>
            </w:r>
            <w:r>
              <w:rPr>
                <w:spacing w:val="-2"/>
              </w:rPr>
              <w:t>2，000</w:t>
            </w:r>
            <w:r>
              <w:rPr>
                <w:spacing w:val="-41"/>
              </w:rPr>
              <w:t xml:space="preserve"> </w:t>
            </w:r>
            <w:r>
              <w:rPr>
                <w:spacing w:val="-2"/>
              </w:rPr>
              <w:t>元/次。</w:t>
            </w:r>
          </w:p>
        </w:tc>
      </w:tr>
      <w:tr w14:paraId="7BF1B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5E2BBB27">
            <w:pPr>
              <w:rPr>
                <w:rFonts w:ascii="Arial"/>
                <w:sz w:val="21"/>
              </w:rPr>
            </w:pPr>
          </w:p>
        </w:tc>
        <w:tc>
          <w:tcPr>
            <w:tcW w:w="839" w:type="dxa"/>
            <w:vAlign w:val="top"/>
          </w:tcPr>
          <w:p w14:paraId="18155BEC">
            <w:pPr>
              <w:spacing w:line="268" w:lineRule="auto"/>
              <w:rPr>
                <w:rFonts w:ascii="Arial"/>
                <w:sz w:val="21"/>
              </w:rPr>
            </w:pPr>
          </w:p>
          <w:p w14:paraId="5293F48E">
            <w:pPr>
              <w:pStyle w:val="9"/>
              <w:spacing w:before="68" w:line="241" w:lineRule="auto"/>
              <w:ind w:left="333"/>
            </w:pPr>
            <w:r>
              <w:rPr>
                <w:spacing w:val="-6"/>
              </w:rPr>
              <w:t>14</w:t>
            </w:r>
          </w:p>
        </w:tc>
        <w:tc>
          <w:tcPr>
            <w:tcW w:w="7621" w:type="dxa"/>
            <w:vAlign w:val="top"/>
          </w:tcPr>
          <w:p w14:paraId="7C81A55F">
            <w:pPr>
              <w:pStyle w:val="9"/>
              <w:spacing w:before="138" w:line="288" w:lineRule="auto"/>
              <w:ind w:left="113" w:right="115"/>
            </w:pPr>
            <w:r>
              <w:rPr>
                <w:spacing w:val="1"/>
              </w:rPr>
              <w:t>软基路段施工前应调查软土分布范围、软土深度，进行土工试验，发现与设计不</w:t>
            </w:r>
            <w:r>
              <w:rPr>
                <w:spacing w:val="-2"/>
              </w:rPr>
              <w:t>符的，应通知监理人，违者违约金</w:t>
            </w:r>
            <w:r>
              <w:rPr>
                <w:spacing w:val="-41"/>
              </w:rPr>
              <w:t xml:space="preserve"> </w:t>
            </w:r>
            <w:r>
              <w:rPr>
                <w:spacing w:val="-2"/>
              </w:rPr>
              <w:t>5，000</w:t>
            </w:r>
            <w:r>
              <w:rPr>
                <w:spacing w:val="-42"/>
              </w:rPr>
              <w:t xml:space="preserve"> </w:t>
            </w:r>
            <w:r>
              <w:rPr>
                <w:spacing w:val="-3"/>
              </w:rPr>
              <w:t>元/次。</w:t>
            </w:r>
          </w:p>
        </w:tc>
      </w:tr>
      <w:tr w14:paraId="4E0E4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1BB6FDF1">
            <w:pPr>
              <w:rPr>
                <w:rFonts w:ascii="Arial"/>
                <w:sz w:val="21"/>
              </w:rPr>
            </w:pPr>
          </w:p>
        </w:tc>
        <w:tc>
          <w:tcPr>
            <w:tcW w:w="839" w:type="dxa"/>
            <w:vAlign w:val="top"/>
          </w:tcPr>
          <w:p w14:paraId="724880BF">
            <w:pPr>
              <w:pStyle w:val="9"/>
              <w:spacing w:before="222"/>
              <w:ind w:left="333"/>
            </w:pPr>
            <w:r>
              <w:rPr>
                <w:spacing w:val="-6"/>
              </w:rPr>
              <w:t>15</w:t>
            </w:r>
          </w:p>
        </w:tc>
        <w:tc>
          <w:tcPr>
            <w:tcW w:w="7621" w:type="dxa"/>
            <w:vAlign w:val="top"/>
          </w:tcPr>
          <w:p w14:paraId="6F7C6158">
            <w:pPr>
              <w:pStyle w:val="9"/>
              <w:spacing w:before="222" w:line="217" w:lineRule="auto"/>
              <w:ind w:left="111"/>
            </w:pPr>
            <w:r>
              <w:rPr>
                <w:spacing w:val="-1"/>
              </w:rPr>
              <w:t>袋装砂井施工中，砂袋未垂吊、灌沙不饱满</w:t>
            </w:r>
            <w:r>
              <w:rPr>
                <w:spacing w:val="-2"/>
              </w:rPr>
              <w:t>的，违约金</w:t>
            </w:r>
            <w:r>
              <w:rPr>
                <w:spacing w:val="-42"/>
              </w:rPr>
              <w:t xml:space="preserve"> </w:t>
            </w:r>
            <w:r>
              <w:rPr>
                <w:spacing w:val="-2"/>
              </w:rPr>
              <w:t>2,000</w:t>
            </w:r>
            <w:r>
              <w:rPr>
                <w:spacing w:val="-42"/>
              </w:rPr>
              <w:t xml:space="preserve"> </w:t>
            </w:r>
            <w:r>
              <w:rPr>
                <w:spacing w:val="-2"/>
              </w:rPr>
              <w:t>元/根。</w:t>
            </w:r>
          </w:p>
        </w:tc>
      </w:tr>
      <w:tr w14:paraId="0AD35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0112B6E">
            <w:pPr>
              <w:rPr>
                <w:rFonts w:ascii="Arial"/>
                <w:sz w:val="21"/>
              </w:rPr>
            </w:pPr>
          </w:p>
        </w:tc>
        <w:tc>
          <w:tcPr>
            <w:tcW w:w="839" w:type="dxa"/>
            <w:vAlign w:val="top"/>
          </w:tcPr>
          <w:p w14:paraId="68CD01A1">
            <w:pPr>
              <w:spacing w:line="269" w:lineRule="auto"/>
              <w:rPr>
                <w:rFonts w:ascii="Arial"/>
                <w:sz w:val="21"/>
              </w:rPr>
            </w:pPr>
          </w:p>
          <w:p w14:paraId="78A8C3DC">
            <w:pPr>
              <w:pStyle w:val="9"/>
              <w:spacing w:before="68"/>
              <w:ind w:left="333"/>
            </w:pPr>
            <w:r>
              <w:rPr>
                <w:spacing w:val="-6"/>
              </w:rPr>
              <w:t>16</w:t>
            </w:r>
          </w:p>
        </w:tc>
        <w:tc>
          <w:tcPr>
            <w:tcW w:w="7621" w:type="dxa"/>
            <w:vAlign w:val="top"/>
          </w:tcPr>
          <w:p w14:paraId="0599F4F9">
            <w:pPr>
              <w:pStyle w:val="9"/>
              <w:spacing w:before="139" w:line="288" w:lineRule="auto"/>
              <w:ind w:left="112" w:right="50" w:hanging="1"/>
            </w:pPr>
            <w:r>
              <w:rPr>
                <w:spacing w:val="-2"/>
              </w:rPr>
              <w:t>袋装砂井、砂袋织物和塑料排水板的材料质量必须符合设计要求，违者违约金</w:t>
            </w:r>
            <w:r>
              <w:rPr>
                <w:spacing w:val="-35"/>
              </w:rPr>
              <w:t xml:space="preserve"> </w:t>
            </w:r>
            <w:r>
              <w:rPr>
                <w:spacing w:val="-2"/>
              </w:rPr>
              <w:t>2，</w:t>
            </w:r>
            <w:r>
              <w:t xml:space="preserve"> </w:t>
            </w:r>
            <w:r>
              <w:rPr>
                <w:spacing w:val="-3"/>
              </w:rPr>
              <w:t>000</w:t>
            </w:r>
            <w:r>
              <w:rPr>
                <w:spacing w:val="-43"/>
              </w:rPr>
              <w:t xml:space="preserve"> </w:t>
            </w:r>
            <w:r>
              <w:rPr>
                <w:spacing w:val="-3"/>
              </w:rPr>
              <w:t>元/处。</w:t>
            </w:r>
          </w:p>
        </w:tc>
      </w:tr>
      <w:tr w14:paraId="40DBA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715FCE2B">
            <w:pPr>
              <w:rPr>
                <w:rFonts w:ascii="Arial"/>
                <w:sz w:val="21"/>
              </w:rPr>
            </w:pPr>
          </w:p>
        </w:tc>
        <w:tc>
          <w:tcPr>
            <w:tcW w:w="839" w:type="dxa"/>
            <w:vAlign w:val="top"/>
          </w:tcPr>
          <w:p w14:paraId="79D23F2D">
            <w:pPr>
              <w:spacing w:line="269" w:lineRule="auto"/>
              <w:rPr>
                <w:rFonts w:ascii="Arial"/>
                <w:sz w:val="21"/>
              </w:rPr>
            </w:pPr>
          </w:p>
          <w:p w14:paraId="71D265DE">
            <w:pPr>
              <w:pStyle w:val="9"/>
              <w:spacing w:before="68"/>
              <w:ind w:left="333"/>
            </w:pPr>
            <w:r>
              <w:rPr>
                <w:spacing w:val="-6"/>
              </w:rPr>
              <w:t>17</w:t>
            </w:r>
          </w:p>
        </w:tc>
        <w:tc>
          <w:tcPr>
            <w:tcW w:w="7621" w:type="dxa"/>
            <w:vAlign w:val="top"/>
          </w:tcPr>
          <w:p w14:paraId="3485F551">
            <w:pPr>
              <w:pStyle w:val="9"/>
              <w:spacing w:before="139" w:line="288" w:lineRule="auto"/>
              <w:ind w:left="112" w:right="115"/>
            </w:pPr>
            <w:r>
              <w:rPr>
                <w:spacing w:val="1"/>
              </w:rPr>
              <w:t>土工格栅、土工布等土工材料质量不符合设计要求，搭接宽度、搭接方式不符合</w:t>
            </w:r>
            <w:r>
              <w:rPr>
                <w:spacing w:val="-3"/>
              </w:rPr>
              <w:t>有关要求的，违约金</w:t>
            </w:r>
            <w:r>
              <w:rPr>
                <w:spacing w:val="-38"/>
              </w:rPr>
              <w:t xml:space="preserve"> </w:t>
            </w:r>
            <w:r>
              <w:rPr>
                <w:spacing w:val="-3"/>
              </w:rPr>
              <w:t>2，000</w:t>
            </w:r>
            <w:r>
              <w:rPr>
                <w:spacing w:val="-42"/>
              </w:rPr>
              <w:t xml:space="preserve"> </w:t>
            </w:r>
            <w:r>
              <w:rPr>
                <w:spacing w:val="-3"/>
              </w:rPr>
              <w:t>元/处。</w:t>
            </w:r>
          </w:p>
        </w:tc>
      </w:tr>
      <w:tr w14:paraId="4BB5C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3" w:hRule="atLeast"/>
        </w:trPr>
        <w:tc>
          <w:tcPr>
            <w:tcW w:w="832" w:type="dxa"/>
            <w:vMerge w:val="continue"/>
            <w:tcBorders>
              <w:top w:val="nil"/>
              <w:bottom w:val="nil"/>
            </w:tcBorders>
            <w:vAlign w:val="top"/>
          </w:tcPr>
          <w:p w14:paraId="00ADA82A">
            <w:pPr>
              <w:rPr>
                <w:rFonts w:ascii="Arial"/>
                <w:sz w:val="21"/>
              </w:rPr>
            </w:pPr>
          </w:p>
        </w:tc>
        <w:tc>
          <w:tcPr>
            <w:tcW w:w="839" w:type="dxa"/>
            <w:vAlign w:val="top"/>
          </w:tcPr>
          <w:p w14:paraId="0DD5F488">
            <w:pPr>
              <w:spacing w:line="265" w:lineRule="auto"/>
              <w:rPr>
                <w:rFonts w:ascii="Arial"/>
                <w:sz w:val="21"/>
              </w:rPr>
            </w:pPr>
          </w:p>
          <w:p w14:paraId="2DAB14DD">
            <w:pPr>
              <w:spacing w:line="265" w:lineRule="auto"/>
              <w:rPr>
                <w:rFonts w:ascii="Arial"/>
                <w:sz w:val="21"/>
              </w:rPr>
            </w:pPr>
          </w:p>
          <w:p w14:paraId="2973D406">
            <w:pPr>
              <w:spacing w:line="265" w:lineRule="auto"/>
              <w:rPr>
                <w:rFonts w:ascii="Arial"/>
                <w:sz w:val="21"/>
              </w:rPr>
            </w:pPr>
          </w:p>
          <w:p w14:paraId="7682F210">
            <w:pPr>
              <w:spacing w:line="265" w:lineRule="auto"/>
              <w:rPr>
                <w:rFonts w:ascii="Arial"/>
                <w:sz w:val="21"/>
              </w:rPr>
            </w:pPr>
          </w:p>
          <w:p w14:paraId="18D925F6">
            <w:pPr>
              <w:spacing w:line="266" w:lineRule="auto"/>
              <w:rPr>
                <w:rFonts w:ascii="Arial"/>
                <w:sz w:val="21"/>
              </w:rPr>
            </w:pPr>
          </w:p>
          <w:p w14:paraId="5B11DE57">
            <w:pPr>
              <w:spacing w:line="266" w:lineRule="auto"/>
              <w:rPr>
                <w:rFonts w:ascii="Arial"/>
                <w:sz w:val="21"/>
              </w:rPr>
            </w:pPr>
          </w:p>
          <w:p w14:paraId="5A576D3A">
            <w:pPr>
              <w:spacing w:line="266" w:lineRule="auto"/>
              <w:rPr>
                <w:rFonts w:ascii="Arial"/>
                <w:sz w:val="21"/>
              </w:rPr>
            </w:pPr>
          </w:p>
          <w:p w14:paraId="601DA6A0">
            <w:pPr>
              <w:pStyle w:val="9"/>
              <w:spacing w:before="69"/>
              <w:ind w:left="333"/>
            </w:pPr>
            <w:r>
              <w:rPr>
                <w:spacing w:val="-6"/>
              </w:rPr>
              <w:t>18</w:t>
            </w:r>
          </w:p>
        </w:tc>
        <w:tc>
          <w:tcPr>
            <w:tcW w:w="7621" w:type="dxa"/>
            <w:vAlign w:val="top"/>
          </w:tcPr>
          <w:p w14:paraId="05A5154F">
            <w:pPr>
              <w:pStyle w:val="9"/>
              <w:spacing w:before="138" w:line="217" w:lineRule="auto"/>
              <w:ind w:left="116"/>
            </w:pPr>
            <w:r>
              <w:rPr>
                <w:spacing w:val="-2"/>
              </w:rPr>
              <w:t>结构物台背回填施工应符合以下要求，违者违约金</w:t>
            </w:r>
            <w:r>
              <w:rPr>
                <w:spacing w:val="-43"/>
              </w:rPr>
              <w:t xml:space="preserve"> </w:t>
            </w:r>
            <w:r>
              <w:rPr>
                <w:spacing w:val="-2"/>
              </w:rPr>
              <w:t>2,000</w:t>
            </w:r>
            <w:r>
              <w:rPr>
                <w:spacing w:val="-42"/>
              </w:rPr>
              <w:t xml:space="preserve"> </w:t>
            </w:r>
            <w:r>
              <w:rPr>
                <w:spacing w:val="-2"/>
              </w:rPr>
              <w:t>元/处（次</w:t>
            </w:r>
            <w:r>
              <w:rPr>
                <w:spacing w:val="-5"/>
              </w:rPr>
              <w:t>）：</w:t>
            </w:r>
          </w:p>
          <w:p w14:paraId="196FC715">
            <w:pPr>
              <w:pStyle w:val="9"/>
              <w:spacing w:before="155" w:line="351" w:lineRule="auto"/>
              <w:ind w:left="116" w:right="114"/>
            </w:pPr>
            <w:r>
              <w:rPr>
                <w:spacing w:val="-2"/>
              </w:rPr>
              <w:t>（1）除肋式及桩柱式外，回填必须在上部结构安装完毕，结构物验收合格，且砼</w:t>
            </w:r>
            <w:r>
              <w:rPr>
                <w:spacing w:val="-4"/>
              </w:rPr>
              <w:t>强度达到设计的</w:t>
            </w:r>
            <w:r>
              <w:rPr>
                <w:spacing w:val="-45"/>
              </w:rPr>
              <w:t xml:space="preserve"> </w:t>
            </w:r>
            <w:r>
              <w:rPr>
                <w:spacing w:val="-4"/>
              </w:rPr>
              <w:t>85%后方可进行；</w:t>
            </w:r>
          </w:p>
          <w:p w14:paraId="5E4EA81C">
            <w:pPr>
              <w:pStyle w:val="9"/>
              <w:spacing w:before="1" w:line="351" w:lineRule="auto"/>
              <w:ind w:left="115" w:right="118" w:firstLine="2"/>
            </w:pPr>
            <w:r>
              <w:rPr>
                <w:spacing w:val="-6"/>
              </w:rPr>
              <w:t>（2）回填必须在构造物两端对称填筑压实，以免产生变形、破坏</w:t>
            </w:r>
            <w:r>
              <w:rPr>
                <w:spacing w:val="-7"/>
              </w:rPr>
              <w:t>，</w:t>
            </w:r>
            <w:r>
              <w:rPr>
                <w:spacing w:val="42"/>
              </w:rPr>
              <w:t xml:space="preserve"> </w:t>
            </w:r>
            <w:r>
              <w:rPr>
                <w:spacing w:val="-7"/>
              </w:rPr>
              <w:t>每层松铺厚度</w:t>
            </w:r>
            <w:r>
              <w:rPr>
                <w:spacing w:val="-3"/>
              </w:rPr>
              <w:t>不大于</w:t>
            </w:r>
            <w:r>
              <w:rPr>
                <w:spacing w:val="-42"/>
              </w:rPr>
              <w:t xml:space="preserve"> </w:t>
            </w:r>
            <w:r>
              <w:rPr>
                <w:spacing w:val="-3"/>
              </w:rPr>
              <w:t>20cm；</w:t>
            </w:r>
          </w:p>
          <w:p w14:paraId="3701D4B5">
            <w:pPr>
              <w:pStyle w:val="9"/>
              <w:spacing w:before="1" w:line="351" w:lineRule="auto"/>
              <w:ind w:left="116" w:right="121"/>
            </w:pPr>
            <w:r>
              <w:rPr>
                <w:spacing w:val="-1"/>
              </w:rPr>
              <w:t>（3）回填界面路基填筑时必须超填</w:t>
            </w:r>
            <w:r>
              <w:rPr>
                <w:spacing w:val="-23"/>
              </w:rPr>
              <w:t xml:space="preserve"> </w:t>
            </w:r>
            <w:r>
              <w:rPr>
                <w:spacing w:val="-1"/>
              </w:rPr>
              <w:t>50cm</w:t>
            </w:r>
            <w:r>
              <w:rPr>
                <w:spacing w:val="-19"/>
              </w:rPr>
              <w:t xml:space="preserve"> </w:t>
            </w:r>
            <w:r>
              <w:rPr>
                <w:spacing w:val="-1"/>
              </w:rPr>
              <w:t>以上，超填部分回填施工前清除，保证</w:t>
            </w:r>
            <w:r>
              <w:rPr>
                <w:spacing w:val="-10"/>
              </w:rPr>
              <w:t>界面密实；</w:t>
            </w:r>
          </w:p>
          <w:p w14:paraId="40F02D0D">
            <w:pPr>
              <w:pStyle w:val="9"/>
              <w:spacing w:line="351" w:lineRule="auto"/>
              <w:ind w:left="115" w:right="49" w:firstLine="2"/>
            </w:pPr>
            <w:r>
              <w:rPr>
                <w:spacing w:val="-6"/>
              </w:rPr>
              <w:t>（4）回填砂施工采用水密法，配合插入式振捣捧小型夯实设备，小型压路机进行，必须达到设计压实度；</w:t>
            </w:r>
          </w:p>
          <w:p w14:paraId="317693A1">
            <w:pPr>
              <w:pStyle w:val="9"/>
              <w:spacing w:before="1" w:line="219" w:lineRule="auto"/>
              <w:ind w:left="117"/>
            </w:pPr>
            <w:r>
              <w:rPr>
                <w:spacing w:val="-2"/>
              </w:rPr>
              <w:t>（5）台背填料及回填断面应符合设计和规范要求。</w:t>
            </w:r>
          </w:p>
        </w:tc>
      </w:tr>
      <w:tr w14:paraId="66B2A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6" w:hRule="atLeast"/>
        </w:trPr>
        <w:tc>
          <w:tcPr>
            <w:tcW w:w="832" w:type="dxa"/>
            <w:vMerge w:val="continue"/>
            <w:tcBorders>
              <w:top w:val="nil"/>
              <w:bottom w:val="nil"/>
            </w:tcBorders>
            <w:vAlign w:val="top"/>
          </w:tcPr>
          <w:p w14:paraId="09DC84A9">
            <w:pPr>
              <w:rPr>
                <w:rFonts w:ascii="Arial"/>
                <w:sz w:val="21"/>
              </w:rPr>
            </w:pPr>
          </w:p>
        </w:tc>
        <w:tc>
          <w:tcPr>
            <w:tcW w:w="839" w:type="dxa"/>
            <w:vAlign w:val="top"/>
          </w:tcPr>
          <w:p w14:paraId="530E564A">
            <w:pPr>
              <w:spacing w:line="259" w:lineRule="auto"/>
              <w:rPr>
                <w:rFonts w:ascii="Arial"/>
                <w:sz w:val="21"/>
              </w:rPr>
            </w:pPr>
          </w:p>
          <w:p w14:paraId="336ACF35">
            <w:pPr>
              <w:spacing w:line="259" w:lineRule="auto"/>
              <w:rPr>
                <w:rFonts w:ascii="Arial"/>
                <w:sz w:val="21"/>
              </w:rPr>
            </w:pPr>
          </w:p>
          <w:p w14:paraId="474522EE">
            <w:pPr>
              <w:spacing w:line="259" w:lineRule="auto"/>
              <w:rPr>
                <w:rFonts w:ascii="Arial"/>
                <w:sz w:val="21"/>
              </w:rPr>
            </w:pPr>
          </w:p>
          <w:p w14:paraId="25A0AFB2">
            <w:pPr>
              <w:spacing w:line="260" w:lineRule="auto"/>
              <w:rPr>
                <w:rFonts w:ascii="Arial"/>
                <w:sz w:val="21"/>
              </w:rPr>
            </w:pPr>
          </w:p>
          <w:p w14:paraId="3AEE702F">
            <w:pPr>
              <w:spacing w:line="260" w:lineRule="auto"/>
              <w:rPr>
                <w:rFonts w:ascii="Arial"/>
                <w:sz w:val="21"/>
              </w:rPr>
            </w:pPr>
          </w:p>
          <w:p w14:paraId="46486E64">
            <w:pPr>
              <w:spacing w:line="260" w:lineRule="auto"/>
              <w:rPr>
                <w:rFonts w:ascii="Arial"/>
                <w:sz w:val="21"/>
              </w:rPr>
            </w:pPr>
          </w:p>
          <w:p w14:paraId="0D504C10">
            <w:pPr>
              <w:spacing w:line="260" w:lineRule="auto"/>
              <w:rPr>
                <w:rFonts w:ascii="Arial"/>
                <w:sz w:val="21"/>
              </w:rPr>
            </w:pPr>
          </w:p>
          <w:p w14:paraId="3BBF0DF1">
            <w:pPr>
              <w:pStyle w:val="9"/>
              <w:spacing w:before="68"/>
              <w:ind w:left="333"/>
            </w:pPr>
            <w:r>
              <w:rPr>
                <w:spacing w:val="-6"/>
              </w:rPr>
              <w:t>19</w:t>
            </w:r>
          </w:p>
        </w:tc>
        <w:tc>
          <w:tcPr>
            <w:tcW w:w="7621" w:type="dxa"/>
            <w:vAlign w:val="top"/>
          </w:tcPr>
          <w:p w14:paraId="6C265824">
            <w:pPr>
              <w:pStyle w:val="9"/>
              <w:spacing w:before="140" w:line="217" w:lineRule="auto"/>
              <w:ind w:left="112"/>
            </w:pPr>
            <w:r>
              <w:rPr>
                <w:spacing w:val="-6"/>
              </w:rPr>
              <w:t>支挡工程（含砌体工程）不满足下列规定者，违约金</w:t>
            </w:r>
            <w:r>
              <w:rPr>
                <w:spacing w:val="-34"/>
              </w:rPr>
              <w:t xml:space="preserve"> </w:t>
            </w:r>
            <w:r>
              <w:rPr>
                <w:spacing w:val="-6"/>
              </w:rPr>
              <w:t>2,000</w:t>
            </w:r>
            <w:r>
              <w:rPr>
                <w:spacing w:val="-43"/>
              </w:rPr>
              <w:t xml:space="preserve"> </w:t>
            </w:r>
            <w:r>
              <w:rPr>
                <w:spacing w:val="-6"/>
              </w:rPr>
              <w:t>元/项，并作返工处理：</w:t>
            </w:r>
          </w:p>
          <w:p w14:paraId="6C7AE1B1">
            <w:pPr>
              <w:pStyle w:val="9"/>
              <w:spacing w:before="152" w:line="219" w:lineRule="auto"/>
              <w:ind w:left="117"/>
            </w:pPr>
            <w:r>
              <w:rPr>
                <w:spacing w:val="-3"/>
              </w:rPr>
              <w:t>（1）不得采用风化石，表面石料粒径需≥30cm；</w:t>
            </w:r>
          </w:p>
          <w:p w14:paraId="43B4EEDC">
            <w:pPr>
              <w:pStyle w:val="9"/>
              <w:spacing w:before="152" w:line="351" w:lineRule="auto"/>
              <w:ind w:left="112" w:right="117" w:firstLine="4"/>
            </w:pPr>
            <w:r>
              <w:rPr>
                <w:spacing w:val="-2"/>
              </w:rPr>
              <w:t>（2）构造物表面平顺，无凹凸扭曲现象，砂浆抹边的棱角线、平直度符</w:t>
            </w:r>
            <w:r>
              <w:rPr>
                <w:spacing w:val="-3"/>
              </w:rPr>
              <w:t>合设计及</w:t>
            </w:r>
            <w:r>
              <w:rPr>
                <w:spacing w:val="-10"/>
              </w:rPr>
              <w:t>规范要求；</w:t>
            </w:r>
          </w:p>
          <w:p w14:paraId="52E15EC0">
            <w:pPr>
              <w:pStyle w:val="9"/>
              <w:spacing w:before="1" w:line="218" w:lineRule="auto"/>
              <w:ind w:left="117"/>
            </w:pPr>
            <w:r>
              <w:rPr>
                <w:spacing w:val="-3"/>
              </w:rPr>
              <w:t>（3）构造物结构尺寸符合设计及规范要求。</w:t>
            </w:r>
          </w:p>
          <w:p w14:paraId="5D5F8C5B">
            <w:pPr>
              <w:pStyle w:val="9"/>
              <w:spacing w:before="151" w:line="220" w:lineRule="auto"/>
              <w:ind w:left="117"/>
            </w:pPr>
            <w:r>
              <w:rPr>
                <w:spacing w:val="-1"/>
              </w:rPr>
              <w:t>（4）勾缝不得有瞎缝、丢缝、裂纹和脱落现象，缝宽统一；</w:t>
            </w:r>
          </w:p>
          <w:p w14:paraId="1B0E6812">
            <w:pPr>
              <w:pStyle w:val="9"/>
              <w:spacing w:before="150" w:line="313" w:lineRule="auto"/>
              <w:ind w:left="111" w:right="49" w:firstLine="5"/>
            </w:pPr>
            <w:r>
              <w:rPr>
                <w:spacing w:val="-8"/>
              </w:rPr>
              <w:t>（5）石缝不大于</w:t>
            </w:r>
            <w:r>
              <w:rPr>
                <w:spacing w:val="-45"/>
              </w:rPr>
              <w:t xml:space="preserve"> </w:t>
            </w:r>
            <w:r>
              <w:rPr>
                <w:spacing w:val="-8"/>
              </w:rPr>
              <w:t>40mm，砌缝内砂浆均匀饱满，不得有空洞；层间</w:t>
            </w:r>
            <w:r>
              <w:rPr>
                <w:spacing w:val="-9"/>
              </w:rPr>
              <w:t>错缝不大于</w:t>
            </w:r>
            <w:r>
              <w:rPr>
                <w:spacing w:val="-45"/>
              </w:rPr>
              <w:t xml:space="preserve"> </w:t>
            </w:r>
            <w:r>
              <w:rPr>
                <w:spacing w:val="-9"/>
              </w:rPr>
              <w:t>80mm，</w:t>
            </w:r>
            <w:r>
              <w:rPr>
                <w:spacing w:val="-4"/>
              </w:rPr>
              <w:t>三块石相接空隙不大于</w:t>
            </w:r>
            <w:r>
              <w:rPr>
                <w:spacing w:val="-31"/>
              </w:rPr>
              <w:t xml:space="preserve"> </w:t>
            </w:r>
            <w:r>
              <w:rPr>
                <w:spacing w:val="-4"/>
              </w:rPr>
              <w:t>70mm；</w:t>
            </w:r>
          </w:p>
          <w:p w14:paraId="7E57E27D">
            <w:pPr>
              <w:pStyle w:val="9"/>
              <w:spacing w:before="1" w:line="218" w:lineRule="auto"/>
              <w:ind w:left="117"/>
            </w:pPr>
            <w:r>
              <w:rPr>
                <w:spacing w:val="-3"/>
              </w:rPr>
              <w:t>（6）砂浆抹面，平整度用 2m</w:t>
            </w:r>
            <w:r>
              <w:rPr>
                <w:spacing w:val="-43"/>
              </w:rPr>
              <w:t xml:space="preserve"> </w:t>
            </w:r>
            <w:r>
              <w:rPr>
                <w:spacing w:val="-3"/>
              </w:rPr>
              <w:t>直尺检查</w:t>
            </w:r>
            <w:r>
              <w:rPr>
                <w:spacing w:val="-4"/>
              </w:rPr>
              <w:t>≤8mm，不得有裂缝、空鼓现象；</w:t>
            </w:r>
          </w:p>
          <w:p w14:paraId="3F56BC25">
            <w:pPr>
              <w:pStyle w:val="9"/>
              <w:spacing w:before="151" w:line="220" w:lineRule="auto"/>
              <w:ind w:left="117"/>
            </w:pPr>
            <w:r>
              <w:rPr>
                <w:spacing w:val="-2"/>
              </w:rPr>
              <w:t>（7）泄水孔按设计设置，数量、位置和坡度符合要求，无堵塞现象。</w:t>
            </w:r>
          </w:p>
        </w:tc>
      </w:tr>
      <w:tr w14:paraId="4F081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32" w:type="dxa"/>
            <w:vMerge w:val="continue"/>
            <w:tcBorders>
              <w:top w:val="nil"/>
            </w:tcBorders>
            <w:vAlign w:val="top"/>
          </w:tcPr>
          <w:p w14:paraId="74BA5F4A">
            <w:pPr>
              <w:rPr>
                <w:rFonts w:ascii="Arial"/>
                <w:sz w:val="21"/>
              </w:rPr>
            </w:pPr>
          </w:p>
        </w:tc>
        <w:tc>
          <w:tcPr>
            <w:tcW w:w="839" w:type="dxa"/>
            <w:vAlign w:val="top"/>
          </w:tcPr>
          <w:p w14:paraId="1360B46B">
            <w:pPr>
              <w:spacing w:line="334" w:lineRule="auto"/>
              <w:rPr>
                <w:rFonts w:ascii="Arial"/>
                <w:sz w:val="21"/>
              </w:rPr>
            </w:pPr>
          </w:p>
          <w:p w14:paraId="6724D5C8">
            <w:pPr>
              <w:spacing w:line="335" w:lineRule="auto"/>
              <w:rPr>
                <w:rFonts w:ascii="Arial"/>
                <w:sz w:val="21"/>
              </w:rPr>
            </w:pPr>
          </w:p>
          <w:p w14:paraId="58D21ACA">
            <w:pPr>
              <w:pStyle w:val="9"/>
              <w:spacing w:before="68"/>
              <w:ind w:left="320"/>
            </w:pPr>
            <w:r>
              <w:rPr>
                <w:spacing w:val="-3"/>
              </w:rPr>
              <w:t>20</w:t>
            </w:r>
          </w:p>
        </w:tc>
        <w:tc>
          <w:tcPr>
            <w:tcW w:w="7621" w:type="dxa"/>
            <w:vAlign w:val="top"/>
          </w:tcPr>
          <w:p w14:paraId="48916D21">
            <w:pPr>
              <w:pStyle w:val="9"/>
              <w:spacing w:before="141" w:line="217" w:lineRule="auto"/>
              <w:ind w:left="111"/>
            </w:pPr>
            <w:r>
              <w:rPr>
                <w:spacing w:val="-2"/>
              </w:rPr>
              <w:t>浆砌或砼排水工程存在下列情况之一的，违约金</w:t>
            </w:r>
            <w:r>
              <w:rPr>
                <w:spacing w:val="-41"/>
              </w:rPr>
              <w:t xml:space="preserve"> </w:t>
            </w:r>
            <w:r>
              <w:rPr>
                <w:spacing w:val="-2"/>
              </w:rPr>
              <w:t>2,000</w:t>
            </w:r>
            <w:r>
              <w:rPr>
                <w:spacing w:val="-42"/>
              </w:rPr>
              <w:t xml:space="preserve"> </w:t>
            </w:r>
            <w:r>
              <w:rPr>
                <w:spacing w:val="-2"/>
              </w:rPr>
              <w:t>元/处：</w:t>
            </w:r>
          </w:p>
          <w:p w14:paraId="1E2D17A0">
            <w:pPr>
              <w:pStyle w:val="9"/>
              <w:spacing w:before="153" w:line="220" w:lineRule="auto"/>
              <w:ind w:left="117"/>
            </w:pPr>
            <w:r>
              <w:rPr>
                <w:spacing w:val="-5"/>
              </w:rPr>
              <w:t>（1）铺砌厚度不满足要求；</w:t>
            </w:r>
          </w:p>
          <w:p w14:paraId="1738F5FB">
            <w:pPr>
              <w:pStyle w:val="9"/>
              <w:spacing w:before="149" w:line="220" w:lineRule="auto"/>
              <w:ind w:left="117"/>
            </w:pPr>
            <w:r>
              <w:rPr>
                <w:spacing w:val="-5"/>
              </w:rPr>
              <w:t>（2）垫层厚度不满足要求的；</w:t>
            </w:r>
          </w:p>
          <w:p w14:paraId="22891C8A">
            <w:pPr>
              <w:pStyle w:val="9"/>
              <w:spacing w:before="149" w:line="220" w:lineRule="auto"/>
              <w:ind w:left="117"/>
            </w:pPr>
            <w:r>
              <w:rPr>
                <w:spacing w:val="-5"/>
              </w:rPr>
              <w:t>（3）砌缝内砂浆不饱满的；</w:t>
            </w:r>
          </w:p>
        </w:tc>
      </w:tr>
    </w:tbl>
    <w:p w14:paraId="63276A67">
      <w:pPr>
        <w:pStyle w:val="2"/>
      </w:pPr>
    </w:p>
    <w:p w14:paraId="61EB92CA">
      <w:pPr>
        <w:sectPr>
          <w:footerReference r:id="rId137" w:type="default"/>
          <w:pgSz w:w="11905" w:h="16840"/>
          <w:pgMar w:top="1182" w:right="1303" w:bottom="1171" w:left="1303" w:header="849" w:footer="937" w:gutter="0"/>
          <w:pgNumType w:fmt="decimal"/>
          <w:cols w:space="720" w:num="1"/>
        </w:sectPr>
      </w:pPr>
    </w:p>
    <w:p w14:paraId="233B9A74">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7BD8A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00BF25EC">
            <w:pPr>
              <w:pStyle w:val="9"/>
              <w:spacing w:before="225" w:line="220" w:lineRule="auto"/>
              <w:ind w:left="210"/>
            </w:pPr>
            <w:r>
              <w:rPr>
                <w:b/>
                <w:bCs/>
                <w:spacing w:val="-4"/>
              </w:rPr>
              <w:t>类别</w:t>
            </w:r>
          </w:p>
        </w:tc>
        <w:tc>
          <w:tcPr>
            <w:tcW w:w="839" w:type="dxa"/>
            <w:vAlign w:val="top"/>
          </w:tcPr>
          <w:p w14:paraId="37634930">
            <w:pPr>
              <w:pStyle w:val="9"/>
              <w:spacing w:before="226" w:line="221" w:lineRule="auto"/>
              <w:ind w:left="211"/>
            </w:pPr>
            <w:r>
              <w:rPr>
                <w:b/>
                <w:bCs/>
                <w:spacing w:val="-4"/>
              </w:rPr>
              <w:t>序号</w:t>
            </w:r>
          </w:p>
        </w:tc>
        <w:tc>
          <w:tcPr>
            <w:tcW w:w="7621" w:type="dxa"/>
            <w:vAlign w:val="top"/>
          </w:tcPr>
          <w:p w14:paraId="50EB51DF">
            <w:pPr>
              <w:pStyle w:val="9"/>
              <w:spacing w:before="226" w:line="220" w:lineRule="auto"/>
              <w:ind w:left="3393"/>
            </w:pPr>
            <w:r>
              <w:rPr>
                <w:b/>
                <w:bCs/>
                <w:spacing w:val="-4"/>
              </w:rPr>
              <w:t>违约项目</w:t>
            </w:r>
          </w:p>
        </w:tc>
      </w:tr>
      <w:tr w14:paraId="614A0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4" w:hRule="atLeast"/>
        </w:trPr>
        <w:tc>
          <w:tcPr>
            <w:tcW w:w="832" w:type="dxa"/>
            <w:vMerge w:val="restart"/>
            <w:tcBorders>
              <w:bottom w:val="nil"/>
            </w:tcBorders>
            <w:vAlign w:val="top"/>
          </w:tcPr>
          <w:p w14:paraId="7BC9419F">
            <w:pPr>
              <w:rPr>
                <w:rFonts w:ascii="Arial"/>
                <w:sz w:val="21"/>
              </w:rPr>
            </w:pPr>
          </w:p>
        </w:tc>
        <w:tc>
          <w:tcPr>
            <w:tcW w:w="839" w:type="dxa"/>
            <w:vAlign w:val="top"/>
          </w:tcPr>
          <w:p w14:paraId="4D6D17E4">
            <w:pPr>
              <w:rPr>
                <w:rFonts w:ascii="Arial"/>
                <w:sz w:val="21"/>
              </w:rPr>
            </w:pPr>
          </w:p>
        </w:tc>
        <w:tc>
          <w:tcPr>
            <w:tcW w:w="7621" w:type="dxa"/>
            <w:vAlign w:val="top"/>
          </w:tcPr>
          <w:p w14:paraId="024781F0">
            <w:pPr>
              <w:pStyle w:val="9"/>
              <w:spacing w:before="138" w:line="219" w:lineRule="auto"/>
              <w:ind w:left="117"/>
            </w:pPr>
            <w:r>
              <w:rPr>
                <w:spacing w:val="-5"/>
              </w:rPr>
              <w:t>（4）砂浆不采用机械拌和的；</w:t>
            </w:r>
          </w:p>
          <w:p w14:paraId="1ACBF96E">
            <w:pPr>
              <w:pStyle w:val="9"/>
              <w:spacing w:before="150" w:line="220" w:lineRule="auto"/>
              <w:ind w:left="117"/>
            </w:pPr>
            <w:r>
              <w:rPr>
                <w:spacing w:val="-6"/>
              </w:rPr>
              <w:t>（5）砌缝没有错开的；</w:t>
            </w:r>
          </w:p>
          <w:p w14:paraId="39037BAA">
            <w:pPr>
              <w:pStyle w:val="9"/>
              <w:spacing w:before="148" w:line="220" w:lineRule="auto"/>
              <w:ind w:left="117"/>
            </w:pPr>
            <w:r>
              <w:rPr>
                <w:spacing w:val="-4"/>
              </w:rPr>
              <w:t>（6）砂浆强度达不到规定要求的；</w:t>
            </w:r>
          </w:p>
          <w:p w14:paraId="60C93CA1">
            <w:pPr>
              <w:pStyle w:val="9"/>
              <w:spacing w:before="150" w:line="219" w:lineRule="auto"/>
              <w:ind w:left="117"/>
            </w:pPr>
            <w:r>
              <w:rPr>
                <w:spacing w:val="-3"/>
              </w:rPr>
              <w:t>（7）沟底未清理干净，有浮土、泥浆等杂物的；</w:t>
            </w:r>
          </w:p>
          <w:p w14:paraId="0B095AAC">
            <w:pPr>
              <w:pStyle w:val="9"/>
              <w:spacing w:before="150" w:line="220" w:lineRule="auto"/>
              <w:ind w:left="117"/>
            </w:pPr>
            <w:r>
              <w:rPr>
                <w:spacing w:val="-5"/>
              </w:rPr>
              <w:t>（8）施工后不进行养护的；</w:t>
            </w:r>
          </w:p>
          <w:p w14:paraId="5392498E">
            <w:pPr>
              <w:pStyle w:val="9"/>
              <w:spacing w:before="150" w:line="220" w:lineRule="auto"/>
              <w:ind w:left="117"/>
            </w:pPr>
            <w:r>
              <w:rPr>
                <w:spacing w:val="-2"/>
              </w:rPr>
              <w:t>（9）截水沟与实际地形砌顺，要求线形顺畅，地形无变化时，不得出现弯曲；</w:t>
            </w:r>
          </w:p>
          <w:p w14:paraId="444314F7">
            <w:pPr>
              <w:pStyle w:val="9"/>
              <w:spacing w:before="150" w:line="220" w:lineRule="auto"/>
              <w:ind w:left="117"/>
            </w:pPr>
            <w:r>
              <w:rPr>
                <w:spacing w:val="-3"/>
              </w:rPr>
              <w:t>（10）排水沟出现“沟外沟”问题。</w:t>
            </w:r>
          </w:p>
        </w:tc>
      </w:tr>
      <w:tr w14:paraId="0000A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76C0BE04">
            <w:pPr>
              <w:rPr>
                <w:rFonts w:ascii="Arial"/>
                <w:sz w:val="21"/>
              </w:rPr>
            </w:pPr>
          </w:p>
        </w:tc>
        <w:tc>
          <w:tcPr>
            <w:tcW w:w="839" w:type="dxa"/>
            <w:vAlign w:val="top"/>
          </w:tcPr>
          <w:p w14:paraId="47AD8B52">
            <w:pPr>
              <w:spacing w:line="269" w:lineRule="auto"/>
              <w:rPr>
                <w:rFonts w:ascii="Arial"/>
                <w:sz w:val="21"/>
              </w:rPr>
            </w:pPr>
          </w:p>
          <w:p w14:paraId="1FADF50C">
            <w:pPr>
              <w:pStyle w:val="9"/>
              <w:spacing w:before="68" w:line="241" w:lineRule="auto"/>
              <w:ind w:left="320"/>
            </w:pPr>
            <w:r>
              <w:rPr>
                <w:spacing w:val="-3"/>
              </w:rPr>
              <w:t>21</w:t>
            </w:r>
          </w:p>
        </w:tc>
        <w:tc>
          <w:tcPr>
            <w:tcW w:w="7621" w:type="dxa"/>
            <w:vAlign w:val="top"/>
          </w:tcPr>
          <w:p w14:paraId="16650A06">
            <w:pPr>
              <w:pStyle w:val="9"/>
              <w:spacing w:before="138" w:line="288" w:lineRule="auto"/>
              <w:ind w:left="112" w:right="115" w:hanging="1"/>
            </w:pPr>
            <w:r>
              <w:rPr>
                <w:spacing w:val="1"/>
              </w:rPr>
              <w:t>排水盲沟（渗沟）断面不符合设计要求，回填碎石含泥量超标的，土工布铺设不</w:t>
            </w:r>
            <w:r>
              <w:rPr>
                <w:spacing w:val="-2"/>
              </w:rPr>
              <w:t>符合要求的，出水口堵塞的，违者违约金</w:t>
            </w:r>
            <w:r>
              <w:rPr>
                <w:spacing w:val="-38"/>
              </w:rPr>
              <w:t xml:space="preserve"> </w:t>
            </w:r>
            <w:r>
              <w:rPr>
                <w:spacing w:val="-2"/>
              </w:rPr>
              <w:t>2,000</w:t>
            </w:r>
            <w:r>
              <w:rPr>
                <w:spacing w:val="-42"/>
              </w:rPr>
              <w:t xml:space="preserve"> </w:t>
            </w:r>
            <w:r>
              <w:rPr>
                <w:spacing w:val="-2"/>
              </w:rPr>
              <w:t>元/处。</w:t>
            </w:r>
          </w:p>
        </w:tc>
      </w:tr>
      <w:tr w14:paraId="7AE3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101BC518">
            <w:pPr>
              <w:rPr>
                <w:rFonts w:ascii="Arial"/>
                <w:sz w:val="21"/>
              </w:rPr>
            </w:pPr>
          </w:p>
        </w:tc>
        <w:tc>
          <w:tcPr>
            <w:tcW w:w="839" w:type="dxa"/>
            <w:vAlign w:val="top"/>
          </w:tcPr>
          <w:p w14:paraId="77EA22A4">
            <w:pPr>
              <w:spacing w:line="270" w:lineRule="auto"/>
              <w:rPr>
                <w:rFonts w:ascii="Arial"/>
                <w:sz w:val="21"/>
              </w:rPr>
            </w:pPr>
          </w:p>
          <w:p w14:paraId="0E918FCE">
            <w:pPr>
              <w:pStyle w:val="9"/>
              <w:spacing w:before="68" w:line="241" w:lineRule="auto"/>
              <w:ind w:left="320"/>
            </w:pPr>
            <w:r>
              <w:rPr>
                <w:spacing w:val="-3"/>
              </w:rPr>
              <w:t>22</w:t>
            </w:r>
          </w:p>
        </w:tc>
        <w:tc>
          <w:tcPr>
            <w:tcW w:w="7621" w:type="dxa"/>
            <w:vAlign w:val="top"/>
          </w:tcPr>
          <w:p w14:paraId="12EB0419">
            <w:pPr>
              <w:pStyle w:val="9"/>
              <w:spacing w:before="139" w:line="288" w:lineRule="auto"/>
              <w:ind w:left="111" w:right="115" w:hanging="1"/>
            </w:pPr>
            <w:r>
              <w:rPr>
                <w:spacing w:val="1"/>
              </w:rPr>
              <w:t>边坡开挖未做到开挖一级、防护一级的，斜陡坡路堤基底台阶开挖不符合设计及</w:t>
            </w:r>
            <w:r>
              <w:rPr>
                <w:spacing w:val="-4"/>
              </w:rPr>
              <w:t>规范要求的，违约金</w:t>
            </w:r>
            <w:r>
              <w:rPr>
                <w:spacing w:val="-16"/>
              </w:rPr>
              <w:t xml:space="preserve"> </w:t>
            </w:r>
            <w:r>
              <w:rPr>
                <w:spacing w:val="-4"/>
              </w:rPr>
              <w:t>10,000</w:t>
            </w:r>
            <w:r>
              <w:rPr>
                <w:spacing w:val="-42"/>
              </w:rPr>
              <w:t xml:space="preserve"> </w:t>
            </w:r>
            <w:r>
              <w:rPr>
                <w:spacing w:val="-4"/>
              </w:rPr>
              <w:t>元/次。</w:t>
            </w:r>
          </w:p>
        </w:tc>
      </w:tr>
      <w:tr w14:paraId="18378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2" w:type="dxa"/>
            <w:vMerge w:val="continue"/>
            <w:tcBorders>
              <w:top w:val="nil"/>
            </w:tcBorders>
            <w:vAlign w:val="top"/>
          </w:tcPr>
          <w:p w14:paraId="342C240E">
            <w:pPr>
              <w:rPr>
                <w:rFonts w:ascii="Arial"/>
                <w:sz w:val="21"/>
              </w:rPr>
            </w:pPr>
          </w:p>
        </w:tc>
        <w:tc>
          <w:tcPr>
            <w:tcW w:w="839" w:type="dxa"/>
            <w:vAlign w:val="top"/>
          </w:tcPr>
          <w:p w14:paraId="6AB740BE">
            <w:pPr>
              <w:spacing w:line="288" w:lineRule="auto"/>
              <w:rPr>
                <w:rFonts w:ascii="Arial"/>
                <w:sz w:val="21"/>
              </w:rPr>
            </w:pPr>
          </w:p>
          <w:p w14:paraId="6AB0EC2E">
            <w:pPr>
              <w:spacing w:line="289" w:lineRule="auto"/>
              <w:rPr>
                <w:rFonts w:ascii="Arial"/>
                <w:sz w:val="21"/>
              </w:rPr>
            </w:pPr>
          </w:p>
          <w:p w14:paraId="511A1321">
            <w:pPr>
              <w:spacing w:line="289" w:lineRule="auto"/>
              <w:rPr>
                <w:rFonts w:ascii="Arial"/>
                <w:sz w:val="21"/>
              </w:rPr>
            </w:pPr>
          </w:p>
          <w:p w14:paraId="33709738">
            <w:pPr>
              <w:pStyle w:val="9"/>
              <w:spacing w:before="68"/>
              <w:ind w:left="320"/>
            </w:pPr>
            <w:r>
              <w:rPr>
                <w:spacing w:val="-3"/>
              </w:rPr>
              <w:t>23</w:t>
            </w:r>
          </w:p>
        </w:tc>
        <w:tc>
          <w:tcPr>
            <w:tcW w:w="7621" w:type="dxa"/>
            <w:vAlign w:val="top"/>
          </w:tcPr>
          <w:p w14:paraId="0BA40A34">
            <w:pPr>
              <w:pStyle w:val="9"/>
              <w:spacing w:before="139" w:line="217" w:lineRule="auto"/>
              <w:ind w:left="111"/>
            </w:pPr>
            <w:r>
              <w:rPr>
                <w:spacing w:val="-2"/>
              </w:rPr>
              <w:t>锚杆或锚索工程存在以下类别的问题时，违约金</w:t>
            </w:r>
            <w:r>
              <w:rPr>
                <w:spacing w:val="-31"/>
              </w:rPr>
              <w:t xml:space="preserve"> </w:t>
            </w:r>
            <w:r>
              <w:rPr>
                <w:spacing w:val="-2"/>
              </w:rPr>
              <w:t>5,000</w:t>
            </w:r>
            <w:r>
              <w:rPr>
                <w:spacing w:val="-41"/>
              </w:rPr>
              <w:t xml:space="preserve"> </w:t>
            </w:r>
            <w:r>
              <w:rPr>
                <w:spacing w:val="-2"/>
              </w:rPr>
              <w:t>元/处。</w:t>
            </w:r>
          </w:p>
          <w:p w14:paraId="4B328DEF">
            <w:pPr>
              <w:pStyle w:val="9"/>
              <w:spacing w:before="153" w:line="220" w:lineRule="auto"/>
              <w:ind w:left="117"/>
            </w:pPr>
            <w:r>
              <w:rPr>
                <w:spacing w:val="-5"/>
              </w:rPr>
              <w:t>（1）锚杆或锚索长度不足；</w:t>
            </w:r>
          </w:p>
          <w:p w14:paraId="6E2646B5">
            <w:pPr>
              <w:pStyle w:val="9"/>
              <w:spacing w:before="149" w:line="220" w:lineRule="auto"/>
              <w:ind w:left="117"/>
            </w:pPr>
            <w:r>
              <w:rPr>
                <w:spacing w:val="-5"/>
              </w:rPr>
              <w:t>（2）压浆、封锚不规范；</w:t>
            </w:r>
          </w:p>
          <w:p w14:paraId="35100CEB">
            <w:pPr>
              <w:pStyle w:val="9"/>
              <w:spacing w:before="149" w:line="220" w:lineRule="auto"/>
              <w:ind w:left="117"/>
            </w:pPr>
            <w:r>
              <w:rPr>
                <w:spacing w:val="-7"/>
              </w:rPr>
              <w:t>（3）张拉力不足；</w:t>
            </w:r>
          </w:p>
          <w:p w14:paraId="230A5E9B">
            <w:pPr>
              <w:pStyle w:val="9"/>
              <w:spacing w:before="150" w:line="220" w:lineRule="auto"/>
              <w:ind w:left="117"/>
            </w:pPr>
            <w:r>
              <w:rPr>
                <w:spacing w:val="-5"/>
              </w:rPr>
              <w:t>（4）强度不合格。</w:t>
            </w:r>
          </w:p>
        </w:tc>
      </w:tr>
      <w:tr w14:paraId="7985B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restart"/>
            <w:tcBorders>
              <w:bottom w:val="nil"/>
            </w:tcBorders>
            <w:vAlign w:val="top"/>
          </w:tcPr>
          <w:p w14:paraId="2DC0FA9C">
            <w:pPr>
              <w:spacing w:line="242" w:lineRule="auto"/>
              <w:rPr>
                <w:rFonts w:ascii="Arial"/>
                <w:sz w:val="21"/>
              </w:rPr>
            </w:pPr>
          </w:p>
          <w:p w14:paraId="22FA8A70">
            <w:pPr>
              <w:spacing w:line="242" w:lineRule="auto"/>
              <w:rPr>
                <w:rFonts w:ascii="Arial"/>
                <w:sz w:val="21"/>
              </w:rPr>
            </w:pPr>
          </w:p>
          <w:p w14:paraId="3532AF65">
            <w:pPr>
              <w:spacing w:line="242" w:lineRule="auto"/>
              <w:rPr>
                <w:rFonts w:ascii="Arial"/>
                <w:sz w:val="21"/>
              </w:rPr>
            </w:pPr>
          </w:p>
          <w:p w14:paraId="7900E1AA">
            <w:pPr>
              <w:spacing w:line="242" w:lineRule="auto"/>
              <w:rPr>
                <w:rFonts w:ascii="Arial"/>
                <w:sz w:val="21"/>
              </w:rPr>
            </w:pPr>
          </w:p>
          <w:p w14:paraId="79FBE5F8">
            <w:pPr>
              <w:spacing w:line="242" w:lineRule="auto"/>
              <w:rPr>
                <w:rFonts w:ascii="Arial"/>
                <w:sz w:val="21"/>
              </w:rPr>
            </w:pPr>
          </w:p>
          <w:p w14:paraId="19577952">
            <w:pPr>
              <w:spacing w:line="242" w:lineRule="auto"/>
              <w:rPr>
                <w:rFonts w:ascii="Arial"/>
                <w:sz w:val="21"/>
              </w:rPr>
            </w:pPr>
          </w:p>
          <w:p w14:paraId="54E9210A">
            <w:pPr>
              <w:spacing w:line="242" w:lineRule="auto"/>
              <w:rPr>
                <w:rFonts w:ascii="Arial"/>
                <w:sz w:val="21"/>
              </w:rPr>
            </w:pPr>
          </w:p>
          <w:p w14:paraId="45C2B940">
            <w:pPr>
              <w:spacing w:line="242" w:lineRule="auto"/>
              <w:rPr>
                <w:rFonts w:ascii="Arial"/>
                <w:sz w:val="21"/>
              </w:rPr>
            </w:pPr>
          </w:p>
          <w:p w14:paraId="3C38D285">
            <w:pPr>
              <w:spacing w:line="242" w:lineRule="auto"/>
              <w:rPr>
                <w:rFonts w:ascii="Arial"/>
                <w:sz w:val="21"/>
              </w:rPr>
            </w:pPr>
          </w:p>
          <w:p w14:paraId="5F5EBFE7">
            <w:pPr>
              <w:spacing w:line="242" w:lineRule="auto"/>
              <w:rPr>
                <w:rFonts w:ascii="Arial"/>
                <w:sz w:val="21"/>
              </w:rPr>
            </w:pPr>
          </w:p>
          <w:p w14:paraId="075DFC52">
            <w:pPr>
              <w:spacing w:line="243" w:lineRule="auto"/>
              <w:rPr>
                <w:rFonts w:ascii="Arial"/>
                <w:sz w:val="21"/>
              </w:rPr>
            </w:pPr>
          </w:p>
          <w:p w14:paraId="082EF728">
            <w:pPr>
              <w:spacing w:line="243" w:lineRule="auto"/>
              <w:rPr>
                <w:rFonts w:ascii="Arial"/>
                <w:sz w:val="21"/>
              </w:rPr>
            </w:pPr>
          </w:p>
          <w:p w14:paraId="3C1E9613">
            <w:pPr>
              <w:pStyle w:val="9"/>
              <w:spacing w:before="68" w:line="354" w:lineRule="auto"/>
              <w:ind w:left="212" w:right="204" w:hanging="2"/>
            </w:pPr>
            <w:r>
              <w:rPr>
                <w:spacing w:val="-5"/>
              </w:rPr>
              <w:t>桥涵</w:t>
            </w:r>
            <w:r>
              <w:rPr>
                <w:spacing w:val="-6"/>
              </w:rPr>
              <w:t>工程</w:t>
            </w:r>
          </w:p>
        </w:tc>
        <w:tc>
          <w:tcPr>
            <w:tcW w:w="839" w:type="dxa"/>
            <w:vAlign w:val="top"/>
          </w:tcPr>
          <w:p w14:paraId="0445645F">
            <w:pPr>
              <w:spacing w:line="271" w:lineRule="auto"/>
              <w:rPr>
                <w:rFonts w:ascii="Arial"/>
                <w:sz w:val="21"/>
              </w:rPr>
            </w:pPr>
          </w:p>
          <w:p w14:paraId="4D08FE9C">
            <w:pPr>
              <w:pStyle w:val="9"/>
              <w:spacing w:before="68" w:line="241" w:lineRule="auto"/>
              <w:ind w:left="385"/>
            </w:pPr>
            <w:r>
              <w:t>1</w:t>
            </w:r>
          </w:p>
        </w:tc>
        <w:tc>
          <w:tcPr>
            <w:tcW w:w="7621" w:type="dxa"/>
            <w:vAlign w:val="top"/>
          </w:tcPr>
          <w:p w14:paraId="039C95BB">
            <w:pPr>
              <w:pStyle w:val="9"/>
              <w:spacing w:before="139" w:line="288" w:lineRule="auto"/>
              <w:ind w:left="111" w:right="47" w:firstLine="13"/>
            </w:pPr>
            <w:r>
              <w:rPr>
                <w:spacing w:val="-7"/>
              </w:rPr>
              <w:t>防撞栏出现大量麻面；线形有明显波折、错台；</w:t>
            </w:r>
            <w:r>
              <w:rPr>
                <w:spacing w:val="44"/>
              </w:rPr>
              <w:t xml:space="preserve"> </w:t>
            </w:r>
            <w:r>
              <w:rPr>
                <w:spacing w:val="-8"/>
              </w:rPr>
              <w:t>墙角或接缝漏浆；表面多处露筋，</w:t>
            </w:r>
            <w:r>
              <w:rPr>
                <w:spacing w:val="-3"/>
              </w:rPr>
              <w:t>每十米违约金</w:t>
            </w:r>
            <w:r>
              <w:rPr>
                <w:spacing w:val="-34"/>
              </w:rPr>
              <w:t xml:space="preserve"> </w:t>
            </w:r>
            <w:r>
              <w:rPr>
                <w:spacing w:val="-3"/>
              </w:rPr>
              <w:t>2,000</w:t>
            </w:r>
            <w:r>
              <w:rPr>
                <w:spacing w:val="-42"/>
              </w:rPr>
              <w:t xml:space="preserve"> </w:t>
            </w:r>
            <w:r>
              <w:rPr>
                <w:spacing w:val="-3"/>
              </w:rPr>
              <w:t>元。</w:t>
            </w:r>
          </w:p>
        </w:tc>
      </w:tr>
      <w:tr w14:paraId="55346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3DF6863E">
            <w:pPr>
              <w:rPr>
                <w:rFonts w:ascii="Arial"/>
                <w:sz w:val="21"/>
              </w:rPr>
            </w:pPr>
          </w:p>
        </w:tc>
        <w:tc>
          <w:tcPr>
            <w:tcW w:w="839" w:type="dxa"/>
            <w:vAlign w:val="top"/>
          </w:tcPr>
          <w:p w14:paraId="0D5E40C3">
            <w:pPr>
              <w:pStyle w:val="9"/>
              <w:spacing w:before="225" w:line="241" w:lineRule="auto"/>
              <w:ind w:left="372"/>
            </w:pPr>
            <w:r>
              <w:t>2</w:t>
            </w:r>
          </w:p>
        </w:tc>
        <w:tc>
          <w:tcPr>
            <w:tcW w:w="7621" w:type="dxa"/>
            <w:vAlign w:val="top"/>
          </w:tcPr>
          <w:p w14:paraId="63540841">
            <w:pPr>
              <w:pStyle w:val="9"/>
              <w:spacing w:before="224" w:line="217" w:lineRule="auto"/>
              <w:ind w:left="114"/>
            </w:pPr>
            <w:r>
              <w:rPr>
                <w:spacing w:val="-2"/>
              </w:rPr>
              <w:t>构造物不按要求进行养生的，违约金</w:t>
            </w:r>
            <w:r>
              <w:rPr>
                <w:spacing w:val="-43"/>
              </w:rPr>
              <w:t xml:space="preserve"> </w:t>
            </w:r>
            <w:r>
              <w:rPr>
                <w:spacing w:val="-2"/>
              </w:rPr>
              <w:t>2,000</w:t>
            </w:r>
            <w:r>
              <w:rPr>
                <w:spacing w:val="-42"/>
              </w:rPr>
              <w:t xml:space="preserve"> </w:t>
            </w:r>
            <w:r>
              <w:rPr>
                <w:spacing w:val="-2"/>
              </w:rPr>
              <w:t>元/处。</w:t>
            </w:r>
          </w:p>
        </w:tc>
      </w:tr>
      <w:tr w14:paraId="7DBF0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3955AA90">
            <w:pPr>
              <w:rPr>
                <w:rFonts w:ascii="Arial"/>
                <w:sz w:val="21"/>
              </w:rPr>
            </w:pPr>
          </w:p>
        </w:tc>
        <w:tc>
          <w:tcPr>
            <w:tcW w:w="839" w:type="dxa"/>
            <w:vAlign w:val="top"/>
          </w:tcPr>
          <w:p w14:paraId="6FE78898">
            <w:pPr>
              <w:pStyle w:val="9"/>
              <w:spacing w:before="223"/>
              <w:ind w:left="374"/>
            </w:pPr>
            <w:r>
              <w:t>3</w:t>
            </w:r>
          </w:p>
        </w:tc>
        <w:tc>
          <w:tcPr>
            <w:tcW w:w="7621" w:type="dxa"/>
            <w:vAlign w:val="top"/>
          </w:tcPr>
          <w:p w14:paraId="67A143B3">
            <w:pPr>
              <w:pStyle w:val="9"/>
              <w:spacing w:before="223" w:line="217" w:lineRule="auto"/>
              <w:ind w:left="114"/>
            </w:pPr>
            <w:r>
              <w:rPr>
                <w:spacing w:val="-1"/>
              </w:rPr>
              <w:t>构造物施工未采取措施保证钢筋保护层厚度就浇筑砼的</w:t>
            </w:r>
            <w:r>
              <w:rPr>
                <w:spacing w:val="-2"/>
              </w:rPr>
              <w:t>，违约金</w:t>
            </w:r>
            <w:r>
              <w:rPr>
                <w:spacing w:val="-43"/>
              </w:rPr>
              <w:t xml:space="preserve"> </w:t>
            </w:r>
            <w:r>
              <w:rPr>
                <w:spacing w:val="-2"/>
              </w:rPr>
              <w:t>2,000</w:t>
            </w:r>
            <w:r>
              <w:rPr>
                <w:spacing w:val="-42"/>
              </w:rPr>
              <w:t xml:space="preserve"> </w:t>
            </w:r>
            <w:r>
              <w:rPr>
                <w:spacing w:val="-2"/>
              </w:rPr>
              <w:t>元/次。</w:t>
            </w:r>
          </w:p>
        </w:tc>
      </w:tr>
      <w:tr w14:paraId="1B7AE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832" w:type="dxa"/>
            <w:vMerge w:val="continue"/>
            <w:tcBorders>
              <w:top w:val="nil"/>
              <w:bottom w:val="nil"/>
            </w:tcBorders>
            <w:vAlign w:val="top"/>
          </w:tcPr>
          <w:p w14:paraId="40A11E9C">
            <w:pPr>
              <w:rPr>
                <w:rFonts w:ascii="Arial"/>
                <w:sz w:val="21"/>
              </w:rPr>
            </w:pPr>
          </w:p>
        </w:tc>
        <w:tc>
          <w:tcPr>
            <w:tcW w:w="839" w:type="dxa"/>
            <w:vAlign w:val="top"/>
          </w:tcPr>
          <w:p w14:paraId="6B7D5B64">
            <w:pPr>
              <w:spacing w:line="289" w:lineRule="auto"/>
              <w:rPr>
                <w:rFonts w:ascii="Arial"/>
                <w:sz w:val="21"/>
              </w:rPr>
            </w:pPr>
          </w:p>
          <w:p w14:paraId="18F34135">
            <w:pPr>
              <w:spacing w:line="290" w:lineRule="auto"/>
              <w:rPr>
                <w:rFonts w:ascii="Arial"/>
                <w:sz w:val="21"/>
              </w:rPr>
            </w:pPr>
          </w:p>
          <w:p w14:paraId="0BD55655">
            <w:pPr>
              <w:spacing w:line="290" w:lineRule="auto"/>
              <w:rPr>
                <w:rFonts w:ascii="Arial"/>
                <w:sz w:val="21"/>
              </w:rPr>
            </w:pPr>
          </w:p>
          <w:p w14:paraId="1384E55F">
            <w:pPr>
              <w:pStyle w:val="9"/>
              <w:spacing w:before="68" w:line="241" w:lineRule="auto"/>
              <w:ind w:left="369"/>
            </w:pPr>
            <w:r>
              <w:t>4</w:t>
            </w:r>
          </w:p>
        </w:tc>
        <w:tc>
          <w:tcPr>
            <w:tcW w:w="7621" w:type="dxa"/>
            <w:vAlign w:val="top"/>
          </w:tcPr>
          <w:p w14:paraId="317EAC26">
            <w:pPr>
              <w:pStyle w:val="9"/>
              <w:spacing w:before="141" w:line="217" w:lineRule="auto"/>
              <w:ind w:left="118"/>
            </w:pPr>
            <w:r>
              <w:rPr>
                <w:spacing w:val="-4"/>
              </w:rPr>
              <w:t>下列情况，违者违约金</w:t>
            </w:r>
            <w:r>
              <w:rPr>
                <w:spacing w:val="-32"/>
              </w:rPr>
              <w:t xml:space="preserve"> </w:t>
            </w:r>
            <w:r>
              <w:rPr>
                <w:spacing w:val="-4"/>
              </w:rPr>
              <w:t>2,000</w:t>
            </w:r>
            <w:r>
              <w:rPr>
                <w:spacing w:val="-42"/>
              </w:rPr>
              <w:t xml:space="preserve"> </w:t>
            </w:r>
            <w:r>
              <w:rPr>
                <w:spacing w:val="-4"/>
              </w:rPr>
              <w:t>元/处：</w:t>
            </w:r>
          </w:p>
          <w:p w14:paraId="4A7670BF">
            <w:pPr>
              <w:pStyle w:val="9"/>
              <w:spacing w:before="152" w:line="219" w:lineRule="auto"/>
              <w:ind w:left="117"/>
            </w:pPr>
            <w:r>
              <w:rPr>
                <w:spacing w:val="-2"/>
              </w:rPr>
              <w:t>（1）伸缩缝位置必须保证满足设计要求，安装时必须按气温来确定安装宽度；</w:t>
            </w:r>
          </w:p>
          <w:p w14:paraId="6B07C69B">
            <w:pPr>
              <w:pStyle w:val="9"/>
              <w:spacing w:before="151" w:line="220" w:lineRule="auto"/>
              <w:ind w:left="117"/>
            </w:pPr>
            <w:r>
              <w:rPr>
                <w:spacing w:val="-3"/>
              </w:rPr>
              <w:t>（2）预留槽口的砼面必须密实、平整，无杂物；</w:t>
            </w:r>
          </w:p>
          <w:p w14:paraId="4013F4D7">
            <w:pPr>
              <w:pStyle w:val="9"/>
              <w:spacing w:before="149" w:line="219" w:lineRule="auto"/>
              <w:ind w:left="117"/>
            </w:pPr>
            <w:r>
              <w:rPr>
                <w:spacing w:val="-2"/>
              </w:rPr>
              <w:t>（3）伸缩缝型钢及配件的规格、质量与设计一致；</w:t>
            </w:r>
          </w:p>
          <w:p w14:paraId="5DF5597E">
            <w:pPr>
              <w:pStyle w:val="9"/>
              <w:spacing w:before="151" w:line="220" w:lineRule="auto"/>
              <w:ind w:left="117"/>
            </w:pPr>
            <w:r>
              <w:rPr>
                <w:spacing w:val="-3"/>
              </w:rPr>
              <w:t>（4）预埋钢筋应按设计要求预埋。</w:t>
            </w:r>
          </w:p>
        </w:tc>
      </w:tr>
      <w:tr w14:paraId="0C804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18B8FB9">
            <w:pPr>
              <w:rPr>
                <w:rFonts w:ascii="Arial"/>
                <w:sz w:val="21"/>
              </w:rPr>
            </w:pPr>
          </w:p>
        </w:tc>
        <w:tc>
          <w:tcPr>
            <w:tcW w:w="839" w:type="dxa"/>
            <w:vAlign w:val="top"/>
          </w:tcPr>
          <w:p w14:paraId="0E872917">
            <w:pPr>
              <w:pStyle w:val="9"/>
              <w:spacing w:before="225"/>
              <w:ind w:left="374"/>
            </w:pPr>
            <w:r>
              <w:t>5</w:t>
            </w:r>
          </w:p>
        </w:tc>
        <w:tc>
          <w:tcPr>
            <w:tcW w:w="7621" w:type="dxa"/>
            <w:vAlign w:val="top"/>
          </w:tcPr>
          <w:p w14:paraId="26BB2666">
            <w:pPr>
              <w:pStyle w:val="9"/>
              <w:spacing w:before="225" w:line="217" w:lineRule="auto"/>
              <w:ind w:left="113"/>
            </w:pPr>
            <w:r>
              <w:rPr>
                <w:spacing w:val="-2"/>
              </w:rPr>
              <w:t>预应力张拉不规范，或张拉力不符设计要求的，违约金</w:t>
            </w:r>
            <w:r>
              <w:rPr>
                <w:spacing w:val="-26"/>
              </w:rPr>
              <w:t xml:space="preserve"> </w:t>
            </w:r>
            <w:r>
              <w:rPr>
                <w:spacing w:val="-2"/>
              </w:rPr>
              <w:t>2,000</w:t>
            </w:r>
            <w:r>
              <w:rPr>
                <w:spacing w:val="-42"/>
              </w:rPr>
              <w:t xml:space="preserve"> </w:t>
            </w:r>
            <w:r>
              <w:rPr>
                <w:spacing w:val="-2"/>
              </w:rPr>
              <w:t>元/次。</w:t>
            </w:r>
          </w:p>
        </w:tc>
      </w:tr>
      <w:tr w14:paraId="282104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2ACF41E0">
            <w:pPr>
              <w:rPr>
                <w:rFonts w:ascii="Arial"/>
                <w:sz w:val="21"/>
              </w:rPr>
            </w:pPr>
          </w:p>
        </w:tc>
        <w:tc>
          <w:tcPr>
            <w:tcW w:w="839" w:type="dxa"/>
            <w:vAlign w:val="top"/>
          </w:tcPr>
          <w:p w14:paraId="04B9C738">
            <w:pPr>
              <w:pStyle w:val="9"/>
              <w:spacing w:before="226"/>
              <w:ind w:left="371"/>
            </w:pPr>
            <w:r>
              <w:t>6</w:t>
            </w:r>
          </w:p>
        </w:tc>
        <w:tc>
          <w:tcPr>
            <w:tcW w:w="7621" w:type="dxa"/>
            <w:vAlign w:val="top"/>
          </w:tcPr>
          <w:p w14:paraId="3604F031">
            <w:pPr>
              <w:pStyle w:val="9"/>
              <w:spacing w:before="225" w:line="217" w:lineRule="auto"/>
              <w:ind w:left="113"/>
            </w:pPr>
            <w:r>
              <w:rPr>
                <w:spacing w:val="-2"/>
              </w:rPr>
              <w:t>预应力筋有烧伤或划伤，必须立即撤换，违者违约金</w:t>
            </w:r>
            <w:r>
              <w:rPr>
                <w:spacing w:val="-28"/>
              </w:rPr>
              <w:t xml:space="preserve"> </w:t>
            </w:r>
            <w:r>
              <w:rPr>
                <w:spacing w:val="-2"/>
              </w:rPr>
              <w:t>5,000</w:t>
            </w:r>
            <w:r>
              <w:rPr>
                <w:spacing w:val="-42"/>
              </w:rPr>
              <w:t xml:space="preserve"> </w:t>
            </w:r>
            <w:r>
              <w:rPr>
                <w:spacing w:val="-2"/>
              </w:rPr>
              <w:t>元/次。</w:t>
            </w:r>
          </w:p>
        </w:tc>
      </w:tr>
      <w:tr w14:paraId="620D9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4E98189">
            <w:pPr>
              <w:rPr>
                <w:rFonts w:ascii="Arial"/>
                <w:sz w:val="21"/>
              </w:rPr>
            </w:pPr>
          </w:p>
        </w:tc>
        <w:tc>
          <w:tcPr>
            <w:tcW w:w="839" w:type="dxa"/>
            <w:vAlign w:val="top"/>
          </w:tcPr>
          <w:p w14:paraId="66D661D7">
            <w:pPr>
              <w:pStyle w:val="9"/>
              <w:spacing w:before="226"/>
              <w:ind w:left="375"/>
            </w:pPr>
            <w:r>
              <w:t>7</w:t>
            </w:r>
          </w:p>
        </w:tc>
        <w:tc>
          <w:tcPr>
            <w:tcW w:w="7621" w:type="dxa"/>
            <w:vAlign w:val="top"/>
          </w:tcPr>
          <w:p w14:paraId="58DB0FB4">
            <w:pPr>
              <w:pStyle w:val="9"/>
              <w:spacing w:before="226" w:line="217" w:lineRule="auto"/>
              <w:ind w:left="113"/>
            </w:pPr>
            <w:r>
              <w:rPr>
                <w:spacing w:val="-2"/>
              </w:rPr>
              <w:t>预应力筋因施工不当造成断丝且无法补救时，违约金</w:t>
            </w:r>
            <w:r>
              <w:rPr>
                <w:spacing w:val="-28"/>
              </w:rPr>
              <w:t xml:space="preserve"> </w:t>
            </w:r>
            <w:r>
              <w:rPr>
                <w:spacing w:val="-2"/>
              </w:rPr>
              <w:t>8,000</w:t>
            </w:r>
            <w:r>
              <w:rPr>
                <w:spacing w:val="-42"/>
              </w:rPr>
              <w:t xml:space="preserve"> </w:t>
            </w:r>
            <w:r>
              <w:rPr>
                <w:spacing w:val="-2"/>
              </w:rPr>
              <w:t>元/次。</w:t>
            </w:r>
          </w:p>
        </w:tc>
      </w:tr>
      <w:tr w14:paraId="33459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32" w:type="dxa"/>
            <w:vMerge w:val="continue"/>
            <w:tcBorders>
              <w:top w:val="nil"/>
            </w:tcBorders>
            <w:vAlign w:val="top"/>
          </w:tcPr>
          <w:p w14:paraId="279A9F1A">
            <w:pPr>
              <w:rPr>
                <w:rFonts w:ascii="Arial"/>
                <w:sz w:val="21"/>
              </w:rPr>
            </w:pPr>
          </w:p>
        </w:tc>
        <w:tc>
          <w:tcPr>
            <w:tcW w:w="839" w:type="dxa"/>
            <w:vAlign w:val="top"/>
          </w:tcPr>
          <w:p w14:paraId="53CF8BEA">
            <w:pPr>
              <w:spacing w:line="272" w:lineRule="auto"/>
              <w:rPr>
                <w:rFonts w:ascii="Arial"/>
                <w:sz w:val="21"/>
              </w:rPr>
            </w:pPr>
          </w:p>
          <w:p w14:paraId="368D98A1">
            <w:pPr>
              <w:pStyle w:val="9"/>
              <w:spacing w:before="69"/>
              <w:ind w:left="370"/>
            </w:pPr>
            <w:r>
              <w:t>8</w:t>
            </w:r>
          </w:p>
        </w:tc>
        <w:tc>
          <w:tcPr>
            <w:tcW w:w="7621" w:type="dxa"/>
            <w:vAlign w:val="top"/>
          </w:tcPr>
          <w:p w14:paraId="3AA67C47">
            <w:pPr>
              <w:pStyle w:val="9"/>
              <w:spacing w:before="145" w:line="287" w:lineRule="auto"/>
              <w:ind w:left="113" w:right="105"/>
            </w:pPr>
            <w:r>
              <w:rPr>
                <w:spacing w:val="-6"/>
              </w:rPr>
              <w:t>预制梁施工必须符合设计要求，吊装位置准确，标高误差±1cm，违者违约金</w:t>
            </w:r>
            <w:r>
              <w:rPr>
                <w:spacing w:val="-29"/>
              </w:rPr>
              <w:t xml:space="preserve"> </w:t>
            </w:r>
            <w:r>
              <w:rPr>
                <w:spacing w:val="-6"/>
              </w:rPr>
              <w:t>2,000</w:t>
            </w:r>
            <w:r>
              <w:rPr>
                <w:spacing w:val="-8"/>
              </w:rPr>
              <w:t>元/处。</w:t>
            </w:r>
          </w:p>
        </w:tc>
      </w:tr>
    </w:tbl>
    <w:p w14:paraId="21C5625C">
      <w:pPr>
        <w:pStyle w:val="2"/>
      </w:pPr>
    </w:p>
    <w:p w14:paraId="361DAF5A">
      <w:pPr>
        <w:sectPr>
          <w:footerReference r:id="rId138" w:type="default"/>
          <w:pgSz w:w="11905" w:h="16840"/>
          <w:pgMar w:top="1182" w:right="1303" w:bottom="1171" w:left="1303" w:header="849" w:footer="937" w:gutter="0"/>
          <w:pgNumType w:fmt="decimal"/>
          <w:cols w:space="720" w:num="1"/>
        </w:sectPr>
      </w:pPr>
    </w:p>
    <w:p w14:paraId="41B50496">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6BA90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3D2A500C">
            <w:pPr>
              <w:pStyle w:val="9"/>
              <w:spacing w:before="225" w:line="220" w:lineRule="auto"/>
              <w:ind w:left="210"/>
            </w:pPr>
            <w:r>
              <w:rPr>
                <w:b/>
                <w:bCs/>
                <w:spacing w:val="-4"/>
              </w:rPr>
              <w:t>类别</w:t>
            </w:r>
          </w:p>
        </w:tc>
        <w:tc>
          <w:tcPr>
            <w:tcW w:w="839" w:type="dxa"/>
            <w:vAlign w:val="top"/>
          </w:tcPr>
          <w:p w14:paraId="6210366A">
            <w:pPr>
              <w:pStyle w:val="9"/>
              <w:spacing w:before="226" w:line="221" w:lineRule="auto"/>
              <w:ind w:left="211"/>
            </w:pPr>
            <w:r>
              <w:rPr>
                <w:b/>
                <w:bCs/>
                <w:spacing w:val="-4"/>
              </w:rPr>
              <w:t>序号</w:t>
            </w:r>
          </w:p>
        </w:tc>
        <w:tc>
          <w:tcPr>
            <w:tcW w:w="7621" w:type="dxa"/>
            <w:vAlign w:val="top"/>
          </w:tcPr>
          <w:p w14:paraId="2307E582">
            <w:pPr>
              <w:pStyle w:val="9"/>
              <w:spacing w:before="226" w:line="220" w:lineRule="auto"/>
              <w:ind w:left="3393"/>
            </w:pPr>
            <w:r>
              <w:rPr>
                <w:b/>
                <w:bCs/>
                <w:spacing w:val="-4"/>
              </w:rPr>
              <w:t>违约项目</w:t>
            </w:r>
          </w:p>
        </w:tc>
      </w:tr>
      <w:tr w14:paraId="1D987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26EBC45D">
            <w:pPr>
              <w:rPr>
                <w:rFonts w:ascii="Arial"/>
                <w:sz w:val="21"/>
              </w:rPr>
            </w:pPr>
          </w:p>
        </w:tc>
        <w:tc>
          <w:tcPr>
            <w:tcW w:w="839" w:type="dxa"/>
            <w:vAlign w:val="top"/>
          </w:tcPr>
          <w:p w14:paraId="4967127D">
            <w:pPr>
              <w:spacing w:line="267" w:lineRule="auto"/>
              <w:rPr>
                <w:rFonts w:ascii="Arial"/>
                <w:sz w:val="21"/>
              </w:rPr>
            </w:pPr>
          </w:p>
          <w:p w14:paraId="0525410E">
            <w:pPr>
              <w:pStyle w:val="9"/>
              <w:spacing w:before="68"/>
              <w:ind w:left="370"/>
            </w:pPr>
            <w:r>
              <w:t>9</w:t>
            </w:r>
          </w:p>
        </w:tc>
        <w:tc>
          <w:tcPr>
            <w:tcW w:w="7621" w:type="dxa"/>
            <w:vAlign w:val="top"/>
          </w:tcPr>
          <w:p w14:paraId="25FF518A">
            <w:pPr>
              <w:pStyle w:val="9"/>
              <w:spacing w:before="138" w:line="288" w:lineRule="auto"/>
              <w:ind w:left="114" w:right="106"/>
            </w:pPr>
            <w:r>
              <w:t>一个经过自检的钢筋骨架中钢筋焊接长度不足及焊缝不饱满超过</w:t>
            </w:r>
            <w:r>
              <w:rPr>
                <w:spacing w:val="-23"/>
              </w:rPr>
              <w:t xml:space="preserve"> </w:t>
            </w:r>
            <w:r>
              <w:t>3</w:t>
            </w:r>
            <w:r>
              <w:rPr>
                <w:spacing w:val="-39"/>
              </w:rPr>
              <w:t xml:space="preserve"> </w:t>
            </w:r>
            <w:r>
              <w:t>处的，违约金</w:t>
            </w:r>
            <w:r>
              <w:rPr>
                <w:spacing w:val="-3"/>
              </w:rPr>
              <w:t>2,000</w:t>
            </w:r>
            <w:r>
              <w:rPr>
                <w:spacing w:val="-39"/>
              </w:rPr>
              <w:t xml:space="preserve"> </w:t>
            </w:r>
            <w:r>
              <w:rPr>
                <w:spacing w:val="-3"/>
              </w:rPr>
              <w:t>元/个。</w:t>
            </w:r>
          </w:p>
        </w:tc>
      </w:tr>
      <w:tr w14:paraId="53009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0471B725">
            <w:pPr>
              <w:rPr>
                <w:rFonts w:ascii="Arial"/>
                <w:sz w:val="21"/>
              </w:rPr>
            </w:pPr>
          </w:p>
        </w:tc>
        <w:tc>
          <w:tcPr>
            <w:tcW w:w="839" w:type="dxa"/>
            <w:vAlign w:val="top"/>
          </w:tcPr>
          <w:p w14:paraId="5AB9BF2F">
            <w:pPr>
              <w:spacing w:line="268" w:lineRule="auto"/>
              <w:rPr>
                <w:rFonts w:ascii="Arial"/>
                <w:sz w:val="21"/>
              </w:rPr>
            </w:pPr>
          </w:p>
          <w:p w14:paraId="357C4AB9">
            <w:pPr>
              <w:pStyle w:val="9"/>
              <w:spacing w:before="68"/>
              <w:ind w:left="333"/>
            </w:pPr>
            <w:r>
              <w:rPr>
                <w:spacing w:val="-6"/>
              </w:rPr>
              <w:t>10</w:t>
            </w:r>
          </w:p>
        </w:tc>
        <w:tc>
          <w:tcPr>
            <w:tcW w:w="7621" w:type="dxa"/>
            <w:vAlign w:val="top"/>
          </w:tcPr>
          <w:p w14:paraId="74C21F69">
            <w:pPr>
              <w:pStyle w:val="9"/>
              <w:spacing w:before="138" w:line="288" w:lineRule="auto"/>
              <w:ind w:left="128" w:right="112" w:hanging="13"/>
            </w:pPr>
            <w:r>
              <w:t>一个经过自检的钢筋骨架有</w:t>
            </w:r>
            <w:r>
              <w:rPr>
                <w:spacing w:val="-30"/>
              </w:rPr>
              <w:t xml:space="preserve"> </w:t>
            </w:r>
            <w:r>
              <w:t>3</w:t>
            </w:r>
            <w:r>
              <w:rPr>
                <w:spacing w:val="-38"/>
              </w:rPr>
              <w:t xml:space="preserve"> </w:t>
            </w:r>
            <w:r>
              <w:t>处钢筋间距（包括主筋和构造筋）不符合规范要求</w:t>
            </w:r>
            <w:r>
              <w:rPr>
                <w:spacing w:val="-5"/>
              </w:rPr>
              <w:t>的违约金</w:t>
            </w:r>
            <w:r>
              <w:rPr>
                <w:spacing w:val="-43"/>
              </w:rPr>
              <w:t xml:space="preserve"> </w:t>
            </w:r>
            <w:r>
              <w:rPr>
                <w:spacing w:val="-5"/>
              </w:rPr>
              <w:t>2,000</w:t>
            </w:r>
            <w:r>
              <w:rPr>
                <w:spacing w:val="-42"/>
              </w:rPr>
              <w:t xml:space="preserve"> </w:t>
            </w:r>
            <w:r>
              <w:rPr>
                <w:spacing w:val="-5"/>
              </w:rPr>
              <w:t>元/个。</w:t>
            </w:r>
          </w:p>
        </w:tc>
      </w:tr>
      <w:tr w14:paraId="12D78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5BCC8E36">
            <w:pPr>
              <w:rPr>
                <w:rFonts w:ascii="Arial"/>
                <w:sz w:val="21"/>
              </w:rPr>
            </w:pPr>
          </w:p>
        </w:tc>
        <w:tc>
          <w:tcPr>
            <w:tcW w:w="839" w:type="dxa"/>
            <w:vAlign w:val="top"/>
          </w:tcPr>
          <w:p w14:paraId="588CB386">
            <w:pPr>
              <w:pStyle w:val="9"/>
              <w:spacing w:before="223" w:line="241" w:lineRule="auto"/>
              <w:ind w:left="333"/>
            </w:pPr>
            <w:r>
              <w:rPr>
                <w:spacing w:val="-6"/>
              </w:rPr>
              <w:t>11</w:t>
            </w:r>
          </w:p>
        </w:tc>
        <w:tc>
          <w:tcPr>
            <w:tcW w:w="7621" w:type="dxa"/>
            <w:vAlign w:val="top"/>
          </w:tcPr>
          <w:p w14:paraId="44B9E1E9">
            <w:pPr>
              <w:pStyle w:val="9"/>
              <w:spacing w:before="223" w:line="217" w:lineRule="auto"/>
              <w:ind w:left="109"/>
            </w:pPr>
            <w:r>
              <w:rPr>
                <w:spacing w:val="-1"/>
              </w:rPr>
              <w:t>钢筋骨架已生锈，在浇筑砼前未作去锈处理的，</w:t>
            </w:r>
            <w:r>
              <w:rPr>
                <w:spacing w:val="-2"/>
              </w:rPr>
              <w:t>违约金</w:t>
            </w:r>
            <w:r>
              <w:rPr>
                <w:spacing w:val="-43"/>
              </w:rPr>
              <w:t xml:space="preserve"> </w:t>
            </w:r>
            <w:r>
              <w:rPr>
                <w:spacing w:val="-2"/>
              </w:rPr>
              <w:t>2,000</w:t>
            </w:r>
            <w:r>
              <w:rPr>
                <w:spacing w:val="-42"/>
              </w:rPr>
              <w:t xml:space="preserve"> </w:t>
            </w:r>
            <w:r>
              <w:rPr>
                <w:spacing w:val="-2"/>
              </w:rPr>
              <w:t>元/次。</w:t>
            </w:r>
          </w:p>
        </w:tc>
      </w:tr>
      <w:tr w14:paraId="2A640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7C681CA2">
            <w:pPr>
              <w:rPr>
                <w:rFonts w:ascii="Arial"/>
                <w:sz w:val="21"/>
              </w:rPr>
            </w:pPr>
          </w:p>
        </w:tc>
        <w:tc>
          <w:tcPr>
            <w:tcW w:w="839" w:type="dxa"/>
            <w:vAlign w:val="top"/>
          </w:tcPr>
          <w:p w14:paraId="6DA10ADA">
            <w:pPr>
              <w:spacing w:line="270" w:lineRule="auto"/>
              <w:rPr>
                <w:rFonts w:ascii="Arial"/>
                <w:sz w:val="21"/>
              </w:rPr>
            </w:pPr>
          </w:p>
          <w:p w14:paraId="748C4CEC">
            <w:pPr>
              <w:pStyle w:val="9"/>
              <w:spacing w:before="68" w:line="241" w:lineRule="auto"/>
              <w:ind w:left="333"/>
            </w:pPr>
            <w:r>
              <w:rPr>
                <w:spacing w:val="-6"/>
              </w:rPr>
              <w:t>12</w:t>
            </w:r>
          </w:p>
        </w:tc>
        <w:tc>
          <w:tcPr>
            <w:tcW w:w="7621" w:type="dxa"/>
            <w:vAlign w:val="top"/>
          </w:tcPr>
          <w:p w14:paraId="71082E94">
            <w:pPr>
              <w:pStyle w:val="9"/>
              <w:spacing w:before="141" w:line="287" w:lineRule="auto"/>
              <w:ind w:left="110" w:right="49"/>
            </w:pPr>
            <w:r>
              <w:rPr>
                <w:spacing w:val="-3"/>
              </w:rPr>
              <w:t>在钻孔桩的施工中泥浆循环系统未设沉淀池的，或沉淀池规格不符合有关要求的，</w:t>
            </w:r>
            <w:r>
              <w:rPr>
                <w:spacing w:val="-4"/>
              </w:rPr>
              <w:t>违约金</w:t>
            </w:r>
            <w:r>
              <w:rPr>
                <w:spacing w:val="-43"/>
              </w:rPr>
              <w:t xml:space="preserve"> </w:t>
            </w:r>
            <w:r>
              <w:rPr>
                <w:spacing w:val="-4"/>
              </w:rPr>
              <w:t>2,000</w:t>
            </w:r>
            <w:r>
              <w:rPr>
                <w:spacing w:val="-41"/>
              </w:rPr>
              <w:t xml:space="preserve"> </w:t>
            </w:r>
            <w:r>
              <w:rPr>
                <w:spacing w:val="-4"/>
              </w:rPr>
              <w:t>元/处。</w:t>
            </w:r>
          </w:p>
        </w:tc>
      </w:tr>
      <w:tr w14:paraId="69FEB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77D5D2C7">
            <w:pPr>
              <w:rPr>
                <w:rFonts w:ascii="Arial"/>
                <w:sz w:val="21"/>
              </w:rPr>
            </w:pPr>
          </w:p>
        </w:tc>
        <w:tc>
          <w:tcPr>
            <w:tcW w:w="839" w:type="dxa"/>
            <w:vAlign w:val="top"/>
          </w:tcPr>
          <w:p w14:paraId="319BD4C2">
            <w:pPr>
              <w:spacing w:line="270" w:lineRule="auto"/>
              <w:rPr>
                <w:rFonts w:ascii="Arial"/>
                <w:sz w:val="21"/>
              </w:rPr>
            </w:pPr>
          </w:p>
          <w:p w14:paraId="6FE394C1">
            <w:pPr>
              <w:pStyle w:val="9"/>
              <w:spacing w:before="69"/>
              <w:ind w:left="333"/>
            </w:pPr>
            <w:r>
              <w:rPr>
                <w:spacing w:val="-6"/>
              </w:rPr>
              <w:t>13</w:t>
            </w:r>
          </w:p>
        </w:tc>
        <w:tc>
          <w:tcPr>
            <w:tcW w:w="7621" w:type="dxa"/>
            <w:vAlign w:val="top"/>
          </w:tcPr>
          <w:p w14:paraId="41DF5BC6">
            <w:pPr>
              <w:pStyle w:val="9"/>
              <w:spacing w:before="142" w:line="287" w:lineRule="auto"/>
              <w:ind w:left="112" w:right="103" w:hanging="1"/>
            </w:pPr>
            <w:r>
              <w:rPr>
                <w:spacing w:val="-4"/>
              </w:rPr>
              <w:t>桩基检测评定为</w:t>
            </w:r>
            <w:r>
              <w:rPr>
                <w:spacing w:val="-42"/>
              </w:rPr>
              <w:t xml:space="preserve"> </w:t>
            </w:r>
            <w:r>
              <w:rPr>
                <w:spacing w:val="-4"/>
              </w:rPr>
              <w:t>C</w:t>
            </w:r>
            <w:r>
              <w:rPr>
                <w:spacing w:val="-43"/>
              </w:rPr>
              <w:t xml:space="preserve"> </w:t>
            </w:r>
            <w:r>
              <w:rPr>
                <w:spacing w:val="-4"/>
              </w:rPr>
              <w:t>类桩的，每根违约金</w:t>
            </w:r>
            <w:r>
              <w:rPr>
                <w:spacing w:val="-42"/>
              </w:rPr>
              <w:t xml:space="preserve"> </w:t>
            </w:r>
            <w:r>
              <w:rPr>
                <w:spacing w:val="-4"/>
              </w:rPr>
              <w:t>2,000</w:t>
            </w:r>
            <w:r>
              <w:rPr>
                <w:spacing w:val="-44"/>
              </w:rPr>
              <w:t xml:space="preserve"> </w:t>
            </w:r>
            <w:r>
              <w:rPr>
                <w:spacing w:val="-4"/>
              </w:rPr>
              <w:t>元，出现不合格桩的，违约金</w:t>
            </w:r>
            <w:r>
              <w:rPr>
                <w:spacing w:val="-40"/>
              </w:rPr>
              <w:t xml:space="preserve"> </w:t>
            </w:r>
            <w:r>
              <w:rPr>
                <w:spacing w:val="-4"/>
              </w:rPr>
              <w:t>5,000</w:t>
            </w:r>
            <w:r>
              <w:rPr>
                <w:spacing w:val="-8"/>
              </w:rPr>
              <w:t>元/根。</w:t>
            </w:r>
          </w:p>
        </w:tc>
      </w:tr>
      <w:tr w14:paraId="344F7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4D06606">
            <w:pPr>
              <w:rPr>
                <w:rFonts w:ascii="Arial"/>
                <w:sz w:val="21"/>
              </w:rPr>
            </w:pPr>
          </w:p>
        </w:tc>
        <w:tc>
          <w:tcPr>
            <w:tcW w:w="839" w:type="dxa"/>
            <w:vAlign w:val="top"/>
          </w:tcPr>
          <w:p w14:paraId="48C4537D">
            <w:pPr>
              <w:pStyle w:val="9"/>
              <w:spacing w:before="224" w:line="241" w:lineRule="auto"/>
              <w:ind w:left="333"/>
            </w:pPr>
            <w:r>
              <w:rPr>
                <w:spacing w:val="-6"/>
              </w:rPr>
              <w:t>14</w:t>
            </w:r>
          </w:p>
        </w:tc>
        <w:tc>
          <w:tcPr>
            <w:tcW w:w="7621" w:type="dxa"/>
            <w:vAlign w:val="top"/>
          </w:tcPr>
          <w:p w14:paraId="55981091">
            <w:pPr>
              <w:pStyle w:val="9"/>
              <w:spacing w:before="224" w:line="217" w:lineRule="auto"/>
              <w:ind w:left="112"/>
            </w:pPr>
            <w:r>
              <w:rPr>
                <w:spacing w:val="-2"/>
              </w:rPr>
              <w:t>浇注砼时，自由下落高度超过</w:t>
            </w:r>
            <w:r>
              <w:rPr>
                <w:spacing w:val="-42"/>
              </w:rPr>
              <w:t xml:space="preserve"> </w:t>
            </w:r>
            <w:r>
              <w:rPr>
                <w:spacing w:val="-2"/>
              </w:rPr>
              <w:t>2m</w:t>
            </w:r>
            <w:r>
              <w:rPr>
                <w:spacing w:val="-43"/>
              </w:rPr>
              <w:t xml:space="preserve"> </w:t>
            </w:r>
            <w:r>
              <w:rPr>
                <w:spacing w:val="-2"/>
              </w:rPr>
              <w:t>而不用串筒的，违约金</w:t>
            </w:r>
            <w:r>
              <w:rPr>
                <w:spacing w:val="-42"/>
              </w:rPr>
              <w:t xml:space="preserve"> </w:t>
            </w:r>
            <w:r>
              <w:rPr>
                <w:spacing w:val="-2"/>
              </w:rPr>
              <w:t>2,000</w:t>
            </w:r>
            <w:r>
              <w:rPr>
                <w:spacing w:val="-42"/>
              </w:rPr>
              <w:t xml:space="preserve"> </w:t>
            </w:r>
            <w:r>
              <w:rPr>
                <w:spacing w:val="-2"/>
              </w:rPr>
              <w:t>元/次。</w:t>
            </w:r>
          </w:p>
        </w:tc>
      </w:tr>
      <w:tr w14:paraId="7790B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3176006B">
            <w:pPr>
              <w:rPr>
                <w:rFonts w:ascii="Arial"/>
                <w:sz w:val="21"/>
              </w:rPr>
            </w:pPr>
          </w:p>
        </w:tc>
        <w:tc>
          <w:tcPr>
            <w:tcW w:w="839" w:type="dxa"/>
            <w:vAlign w:val="top"/>
          </w:tcPr>
          <w:p w14:paraId="424F784D">
            <w:pPr>
              <w:pStyle w:val="9"/>
              <w:spacing w:before="224"/>
              <w:ind w:left="333"/>
            </w:pPr>
            <w:r>
              <w:rPr>
                <w:spacing w:val="-6"/>
              </w:rPr>
              <w:t>15</w:t>
            </w:r>
          </w:p>
        </w:tc>
        <w:tc>
          <w:tcPr>
            <w:tcW w:w="7621" w:type="dxa"/>
            <w:vAlign w:val="top"/>
          </w:tcPr>
          <w:p w14:paraId="7812F083">
            <w:pPr>
              <w:pStyle w:val="9"/>
              <w:spacing w:before="224" w:line="217" w:lineRule="auto"/>
              <w:ind w:left="110"/>
            </w:pPr>
            <w:r>
              <w:rPr>
                <w:spacing w:val="-2"/>
              </w:rPr>
              <w:t>砼施工配合比不按重量比的，违约金</w:t>
            </w:r>
            <w:r>
              <w:rPr>
                <w:spacing w:val="-39"/>
              </w:rPr>
              <w:t xml:space="preserve"> </w:t>
            </w:r>
            <w:r>
              <w:rPr>
                <w:spacing w:val="-2"/>
              </w:rPr>
              <w:t>5,000</w:t>
            </w:r>
            <w:r>
              <w:rPr>
                <w:spacing w:val="-42"/>
              </w:rPr>
              <w:t xml:space="preserve"> </w:t>
            </w:r>
            <w:r>
              <w:rPr>
                <w:spacing w:val="-2"/>
              </w:rPr>
              <w:t>元/次。</w:t>
            </w:r>
          </w:p>
        </w:tc>
      </w:tr>
      <w:tr w14:paraId="48306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40C60FB5">
            <w:pPr>
              <w:rPr>
                <w:rFonts w:ascii="Arial"/>
                <w:sz w:val="21"/>
              </w:rPr>
            </w:pPr>
          </w:p>
        </w:tc>
        <w:tc>
          <w:tcPr>
            <w:tcW w:w="839" w:type="dxa"/>
            <w:vAlign w:val="top"/>
          </w:tcPr>
          <w:p w14:paraId="3501BF22">
            <w:pPr>
              <w:pStyle w:val="9"/>
              <w:spacing w:before="223"/>
              <w:ind w:left="333"/>
            </w:pPr>
            <w:r>
              <w:rPr>
                <w:spacing w:val="-6"/>
              </w:rPr>
              <w:t>16</w:t>
            </w:r>
          </w:p>
        </w:tc>
        <w:tc>
          <w:tcPr>
            <w:tcW w:w="7621" w:type="dxa"/>
            <w:vAlign w:val="top"/>
          </w:tcPr>
          <w:p w14:paraId="098AFC80">
            <w:pPr>
              <w:pStyle w:val="9"/>
              <w:spacing w:before="223" w:line="217" w:lineRule="auto"/>
              <w:ind w:left="112"/>
            </w:pPr>
            <w:r>
              <w:rPr>
                <w:spacing w:val="-1"/>
              </w:rPr>
              <w:t>两梁板之间接缝不得有杂物，填充料符合设计要求，违者违约金</w:t>
            </w:r>
            <w:r>
              <w:rPr>
                <w:spacing w:val="-37"/>
              </w:rPr>
              <w:t xml:space="preserve"> </w:t>
            </w:r>
            <w:r>
              <w:rPr>
                <w:spacing w:val="-1"/>
              </w:rPr>
              <w:t>2,000</w:t>
            </w:r>
            <w:r>
              <w:rPr>
                <w:spacing w:val="-42"/>
              </w:rPr>
              <w:t xml:space="preserve"> </w:t>
            </w:r>
            <w:r>
              <w:rPr>
                <w:spacing w:val="-1"/>
              </w:rPr>
              <w:t>元。</w:t>
            </w:r>
          </w:p>
        </w:tc>
      </w:tr>
      <w:tr w14:paraId="43F5F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4EA50A92">
            <w:pPr>
              <w:rPr>
                <w:rFonts w:ascii="Arial"/>
                <w:sz w:val="21"/>
              </w:rPr>
            </w:pPr>
          </w:p>
        </w:tc>
        <w:tc>
          <w:tcPr>
            <w:tcW w:w="839" w:type="dxa"/>
            <w:vAlign w:val="top"/>
          </w:tcPr>
          <w:p w14:paraId="59AA27E7">
            <w:pPr>
              <w:spacing w:line="272" w:lineRule="auto"/>
              <w:rPr>
                <w:rFonts w:ascii="Arial"/>
                <w:sz w:val="21"/>
              </w:rPr>
            </w:pPr>
          </w:p>
          <w:p w14:paraId="6A3E6976">
            <w:pPr>
              <w:pStyle w:val="9"/>
              <w:spacing w:before="68"/>
              <w:ind w:left="333"/>
            </w:pPr>
            <w:r>
              <w:rPr>
                <w:spacing w:val="-6"/>
              </w:rPr>
              <w:t>17</w:t>
            </w:r>
          </w:p>
        </w:tc>
        <w:tc>
          <w:tcPr>
            <w:tcW w:w="7621" w:type="dxa"/>
            <w:vAlign w:val="top"/>
          </w:tcPr>
          <w:p w14:paraId="3F158911">
            <w:pPr>
              <w:pStyle w:val="9"/>
              <w:spacing w:before="142" w:line="287" w:lineRule="auto"/>
              <w:ind w:left="110" w:right="49"/>
            </w:pPr>
            <w:r>
              <w:rPr>
                <w:spacing w:val="-6"/>
              </w:rPr>
              <w:t>砼拌和机的计量装置应定期标定、误差在允许范围内， 拌和机的容量要满足要求，</w:t>
            </w:r>
            <w:r>
              <w:rPr>
                <w:spacing w:val="-1"/>
              </w:rPr>
              <w:t>桥梁施工要具备应急拌和机，不满足上述要求</w:t>
            </w:r>
            <w:r>
              <w:rPr>
                <w:spacing w:val="-2"/>
              </w:rPr>
              <w:t>的，违约金</w:t>
            </w:r>
            <w:r>
              <w:rPr>
                <w:spacing w:val="-43"/>
              </w:rPr>
              <w:t xml:space="preserve"> </w:t>
            </w:r>
            <w:r>
              <w:rPr>
                <w:spacing w:val="-2"/>
              </w:rPr>
              <w:t>2,000</w:t>
            </w:r>
            <w:r>
              <w:rPr>
                <w:spacing w:val="-41"/>
              </w:rPr>
              <w:t xml:space="preserve"> </w:t>
            </w:r>
            <w:r>
              <w:rPr>
                <w:spacing w:val="-2"/>
              </w:rPr>
              <w:t>元/次。</w:t>
            </w:r>
          </w:p>
        </w:tc>
      </w:tr>
      <w:tr w14:paraId="4CE40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48A801F9">
            <w:pPr>
              <w:rPr>
                <w:rFonts w:ascii="Arial"/>
                <w:sz w:val="21"/>
              </w:rPr>
            </w:pPr>
          </w:p>
        </w:tc>
        <w:tc>
          <w:tcPr>
            <w:tcW w:w="839" w:type="dxa"/>
            <w:vAlign w:val="top"/>
          </w:tcPr>
          <w:p w14:paraId="0B8090DB">
            <w:pPr>
              <w:pStyle w:val="9"/>
              <w:spacing w:before="224"/>
              <w:ind w:left="333"/>
            </w:pPr>
            <w:r>
              <w:rPr>
                <w:spacing w:val="-6"/>
              </w:rPr>
              <w:t>18</w:t>
            </w:r>
          </w:p>
        </w:tc>
        <w:tc>
          <w:tcPr>
            <w:tcW w:w="7621" w:type="dxa"/>
            <w:vAlign w:val="top"/>
          </w:tcPr>
          <w:p w14:paraId="1E6CB5A2">
            <w:pPr>
              <w:pStyle w:val="9"/>
              <w:spacing w:before="224" w:line="217" w:lineRule="auto"/>
              <w:ind w:left="112"/>
            </w:pPr>
            <w:r>
              <w:rPr>
                <w:spacing w:val="-1"/>
              </w:rPr>
              <w:t>压浆不按配合比制浆，水灰比失控，强度达不到要求的</w:t>
            </w:r>
            <w:r>
              <w:rPr>
                <w:spacing w:val="-2"/>
              </w:rPr>
              <w:t>，违约金</w:t>
            </w:r>
            <w:r>
              <w:rPr>
                <w:spacing w:val="-41"/>
              </w:rPr>
              <w:t xml:space="preserve"> </w:t>
            </w:r>
            <w:r>
              <w:rPr>
                <w:spacing w:val="-2"/>
              </w:rPr>
              <w:t>3,000</w:t>
            </w:r>
            <w:r>
              <w:rPr>
                <w:spacing w:val="-41"/>
              </w:rPr>
              <w:t xml:space="preserve"> </w:t>
            </w:r>
            <w:r>
              <w:rPr>
                <w:spacing w:val="-2"/>
              </w:rPr>
              <w:t>元/次。</w:t>
            </w:r>
          </w:p>
        </w:tc>
      </w:tr>
      <w:tr w14:paraId="78562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FDA824E">
            <w:pPr>
              <w:rPr>
                <w:rFonts w:ascii="Arial"/>
                <w:sz w:val="21"/>
              </w:rPr>
            </w:pPr>
          </w:p>
        </w:tc>
        <w:tc>
          <w:tcPr>
            <w:tcW w:w="839" w:type="dxa"/>
            <w:vAlign w:val="top"/>
          </w:tcPr>
          <w:p w14:paraId="3156FF3B">
            <w:pPr>
              <w:pStyle w:val="9"/>
              <w:spacing w:before="224"/>
              <w:ind w:left="333"/>
            </w:pPr>
            <w:r>
              <w:rPr>
                <w:spacing w:val="-6"/>
              </w:rPr>
              <w:t>19</w:t>
            </w:r>
          </w:p>
        </w:tc>
        <w:tc>
          <w:tcPr>
            <w:tcW w:w="7621" w:type="dxa"/>
            <w:vAlign w:val="top"/>
          </w:tcPr>
          <w:p w14:paraId="16B449A9">
            <w:pPr>
              <w:pStyle w:val="9"/>
              <w:spacing w:before="224" w:line="217" w:lineRule="auto"/>
              <w:ind w:left="112"/>
            </w:pPr>
            <w:r>
              <w:rPr>
                <w:spacing w:val="-3"/>
              </w:rPr>
              <w:t>压浆不饱满的，违约金</w:t>
            </w:r>
            <w:r>
              <w:rPr>
                <w:spacing w:val="-34"/>
              </w:rPr>
              <w:t xml:space="preserve"> </w:t>
            </w:r>
            <w:r>
              <w:rPr>
                <w:spacing w:val="-3"/>
              </w:rPr>
              <w:t>3,000</w:t>
            </w:r>
            <w:r>
              <w:rPr>
                <w:spacing w:val="-41"/>
              </w:rPr>
              <w:t xml:space="preserve"> </w:t>
            </w:r>
            <w:r>
              <w:rPr>
                <w:spacing w:val="-3"/>
              </w:rPr>
              <w:t>元/束。</w:t>
            </w:r>
          </w:p>
        </w:tc>
      </w:tr>
      <w:tr w14:paraId="7652A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EFC710E">
            <w:pPr>
              <w:rPr>
                <w:rFonts w:ascii="Arial"/>
                <w:sz w:val="21"/>
              </w:rPr>
            </w:pPr>
          </w:p>
        </w:tc>
        <w:tc>
          <w:tcPr>
            <w:tcW w:w="839" w:type="dxa"/>
            <w:vAlign w:val="top"/>
          </w:tcPr>
          <w:p w14:paraId="72B03EB7">
            <w:pPr>
              <w:spacing w:line="271" w:lineRule="auto"/>
              <w:rPr>
                <w:rFonts w:ascii="Arial"/>
                <w:sz w:val="21"/>
              </w:rPr>
            </w:pPr>
          </w:p>
          <w:p w14:paraId="05F84A8C">
            <w:pPr>
              <w:pStyle w:val="9"/>
              <w:spacing w:before="68"/>
              <w:ind w:left="320"/>
            </w:pPr>
            <w:r>
              <w:rPr>
                <w:spacing w:val="-3"/>
              </w:rPr>
              <w:t>20</w:t>
            </w:r>
          </w:p>
        </w:tc>
        <w:tc>
          <w:tcPr>
            <w:tcW w:w="7621" w:type="dxa"/>
            <w:vAlign w:val="top"/>
          </w:tcPr>
          <w:p w14:paraId="76D3E2B6">
            <w:pPr>
              <w:pStyle w:val="9"/>
              <w:spacing w:before="142" w:line="287" w:lineRule="auto"/>
              <w:ind w:left="113" w:right="107"/>
            </w:pPr>
            <w:r>
              <w:rPr>
                <w:spacing w:val="2"/>
              </w:rPr>
              <w:t>预制、现浇砼构件必须采用足够强度、大面积的钢板制模板，违者违约金</w:t>
            </w:r>
            <w:r>
              <w:rPr>
                <w:spacing w:val="-31"/>
              </w:rPr>
              <w:t xml:space="preserve"> </w:t>
            </w:r>
            <w:r>
              <w:rPr>
                <w:spacing w:val="2"/>
              </w:rPr>
              <w:t>3,000</w:t>
            </w:r>
            <w:r>
              <w:rPr>
                <w:spacing w:val="-8"/>
              </w:rPr>
              <w:t>元/次。</w:t>
            </w:r>
          </w:p>
        </w:tc>
      </w:tr>
      <w:tr w14:paraId="1B037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Merge w:val="continue"/>
            <w:tcBorders>
              <w:top w:val="nil"/>
              <w:bottom w:val="nil"/>
            </w:tcBorders>
            <w:vAlign w:val="top"/>
          </w:tcPr>
          <w:p w14:paraId="0AE26005">
            <w:pPr>
              <w:rPr>
                <w:rFonts w:ascii="Arial"/>
                <w:sz w:val="21"/>
              </w:rPr>
            </w:pPr>
          </w:p>
        </w:tc>
        <w:tc>
          <w:tcPr>
            <w:tcW w:w="839" w:type="dxa"/>
            <w:vAlign w:val="top"/>
          </w:tcPr>
          <w:p w14:paraId="7AE7512C">
            <w:pPr>
              <w:spacing w:line="471" w:lineRule="auto"/>
              <w:rPr>
                <w:rFonts w:ascii="Arial"/>
                <w:sz w:val="21"/>
              </w:rPr>
            </w:pPr>
          </w:p>
          <w:p w14:paraId="70B822C3">
            <w:pPr>
              <w:pStyle w:val="9"/>
              <w:spacing w:before="68" w:line="241" w:lineRule="auto"/>
              <w:ind w:left="320"/>
            </w:pPr>
            <w:r>
              <w:rPr>
                <w:spacing w:val="-3"/>
              </w:rPr>
              <w:t>21</w:t>
            </w:r>
          </w:p>
        </w:tc>
        <w:tc>
          <w:tcPr>
            <w:tcW w:w="7621" w:type="dxa"/>
            <w:vAlign w:val="top"/>
          </w:tcPr>
          <w:p w14:paraId="3140D8E6">
            <w:pPr>
              <w:pStyle w:val="9"/>
              <w:spacing w:before="142" w:line="308" w:lineRule="auto"/>
              <w:ind w:left="112" w:right="109" w:firstLine="4"/>
              <w:jc w:val="both"/>
            </w:pPr>
            <w:r>
              <w:rPr>
                <w:spacing w:val="1"/>
              </w:rPr>
              <w:t>结构物外观质量出现限制缺陷需修补的，必须按方案试验确定可行，并经</w:t>
            </w:r>
            <w:r>
              <w:t>发包人</w:t>
            </w:r>
            <w:r>
              <w:rPr>
                <w:spacing w:val="1"/>
              </w:rPr>
              <w:t>和监理人检查同意后，方可修整补救，无法补救的则以“推倒重来”为原则。违</w:t>
            </w:r>
            <w:r>
              <w:rPr>
                <w:spacing w:val="-4"/>
              </w:rPr>
              <w:t>者违约金</w:t>
            </w:r>
            <w:r>
              <w:rPr>
                <w:spacing w:val="-40"/>
              </w:rPr>
              <w:t xml:space="preserve"> </w:t>
            </w:r>
            <w:r>
              <w:rPr>
                <w:spacing w:val="-4"/>
              </w:rPr>
              <w:t>3,000</w:t>
            </w:r>
            <w:r>
              <w:rPr>
                <w:spacing w:val="-41"/>
              </w:rPr>
              <w:t xml:space="preserve"> </w:t>
            </w:r>
            <w:r>
              <w:rPr>
                <w:spacing w:val="-4"/>
              </w:rPr>
              <w:t>元/处。</w:t>
            </w:r>
          </w:p>
        </w:tc>
      </w:tr>
      <w:tr w14:paraId="08202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77DD16F7">
            <w:pPr>
              <w:rPr>
                <w:rFonts w:ascii="Arial"/>
                <w:sz w:val="21"/>
              </w:rPr>
            </w:pPr>
          </w:p>
        </w:tc>
        <w:tc>
          <w:tcPr>
            <w:tcW w:w="839" w:type="dxa"/>
            <w:vAlign w:val="top"/>
          </w:tcPr>
          <w:p w14:paraId="126B459E">
            <w:pPr>
              <w:spacing w:line="273" w:lineRule="auto"/>
              <w:rPr>
                <w:rFonts w:ascii="Arial"/>
                <w:sz w:val="21"/>
              </w:rPr>
            </w:pPr>
          </w:p>
          <w:p w14:paraId="32B01B56">
            <w:pPr>
              <w:pStyle w:val="9"/>
              <w:spacing w:before="69" w:line="241" w:lineRule="auto"/>
              <w:ind w:left="320"/>
            </w:pPr>
            <w:r>
              <w:rPr>
                <w:spacing w:val="-3"/>
              </w:rPr>
              <w:t>22</w:t>
            </w:r>
          </w:p>
        </w:tc>
        <w:tc>
          <w:tcPr>
            <w:tcW w:w="7621" w:type="dxa"/>
            <w:vAlign w:val="top"/>
          </w:tcPr>
          <w:p w14:paraId="6860C981">
            <w:pPr>
              <w:pStyle w:val="9"/>
              <w:spacing w:before="144" w:line="286" w:lineRule="auto"/>
              <w:ind w:left="111" w:right="49" w:firstLine="2"/>
            </w:pPr>
            <w:r>
              <w:rPr>
                <w:spacing w:val="-3"/>
              </w:rPr>
              <w:t>各构件按首件制要求施工后，经发包人和监理人检查合格后，方可进行后续施工，</w:t>
            </w:r>
            <w:r>
              <w:rPr>
                <w:spacing w:val="-4"/>
              </w:rPr>
              <w:t>违者违约金</w:t>
            </w:r>
            <w:r>
              <w:rPr>
                <w:spacing w:val="-35"/>
              </w:rPr>
              <w:t xml:space="preserve"> </w:t>
            </w:r>
            <w:r>
              <w:rPr>
                <w:spacing w:val="-4"/>
              </w:rPr>
              <w:t>5,000</w:t>
            </w:r>
            <w:r>
              <w:rPr>
                <w:spacing w:val="-41"/>
              </w:rPr>
              <w:t xml:space="preserve"> </w:t>
            </w:r>
            <w:r>
              <w:rPr>
                <w:spacing w:val="-4"/>
              </w:rPr>
              <w:t>元/次。</w:t>
            </w:r>
          </w:p>
        </w:tc>
      </w:tr>
      <w:tr w14:paraId="74ACA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4DDD337">
            <w:pPr>
              <w:rPr>
                <w:rFonts w:ascii="Arial"/>
                <w:sz w:val="21"/>
              </w:rPr>
            </w:pPr>
          </w:p>
        </w:tc>
        <w:tc>
          <w:tcPr>
            <w:tcW w:w="839" w:type="dxa"/>
            <w:vAlign w:val="top"/>
          </w:tcPr>
          <w:p w14:paraId="37A36329">
            <w:pPr>
              <w:pStyle w:val="9"/>
              <w:spacing w:before="225"/>
              <w:ind w:left="320"/>
            </w:pPr>
            <w:r>
              <w:rPr>
                <w:spacing w:val="-3"/>
              </w:rPr>
              <w:t>23</w:t>
            </w:r>
          </w:p>
        </w:tc>
        <w:tc>
          <w:tcPr>
            <w:tcW w:w="7621" w:type="dxa"/>
            <w:vAlign w:val="top"/>
          </w:tcPr>
          <w:p w14:paraId="71950D25">
            <w:pPr>
              <w:pStyle w:val="9"/>
              <w:spacing w:before="225" w:line="217" w:lineRule="auto"/>
              <w:ind w:left="116"/>
            </w:pPr>
            <w:r>
              <w:rPr>
                <w:spacing w:val="-2"/>
              </w:rPr>
              <w:t>结构标高尺寸误差超出规范允许值，违约金</w:t>
            </w:r>
            <w:r>
              <w:rPr>
                <w:spacing w:val="-39"/>
              </w:rPr>
              <w:t xml:space="preserve"> </w:t>
            </w:r>
            <w:r>
              <w:rPr>
                <w:spacing w:val="-2"/>
              </w:rPr>
              <w:t>2,000</w:t>
            </w:r>
            <w:r>
              <w:rPr>
                <w:spacing w:val="-42"/>
              </w:rPr>
              <w:t xml:space="preserve"> </w:t>
            </w:r>
            <w:r>
              <w:rPr>
                <w:spacing w:val="-2"/>
              </w:rPr>
              <w:t>元/处。</w:t>
            </w:r>
          </w:p>
        </w:tc>
      </w:tr>
      <w:tr w14:paraId="75BA2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7B5D4257">
            <w:pPr>
              <w:rPr>
                <w:rFonts w:ascii="Arial"/>
                <w:sz w:val="21"/>
              </w:rPr>
            </w:pPr>
          </w:p>
        </w:tc>
        <w:tc>
          <w:tcPr>
            <w:tcW w:w="839" w:type="dxa"/>
            <w:vAlign w:val="top"/>
          </w:tcPr>
          <w:p w14:paraId="1D730903">
            <w:pPr>
              <w:spacing w:line="274" w:lineRule="auto"/>
              <w:rPr>
                <w:rFonts w:ascii="Arial"/>
                <w:sz w:val="21"/>
              </w:rPr>
            </w:pPr>
          </w:p>
          <w:p w14:paraId="5507A9D3">
            <w:pPr>
              <w:pStyle w:val="9"/>
              <w:spacing w:before="68" w:line="241" w:lineRule="auto"/>
              <w:ind w:left="320"/>
            </w:pPr>
            <w:r>
              <w:rPr>
                <w:spacing w:val="-3"/>
              </w:rPr>
              <w:t>24</w:t>
            </w:r>
          </w:p>
        </w:tc>
        <w:tc>
          <w:tcPr>
            <w:tcW w:w="7621" w:type="dxa"/>
            <w:vAlign w:val="top"/>
          </w:tcPr>
          <w:p w14:paraId="51827EA0">
            <w:pPr>
              <w:pStyle w:val="9"/>
              <w:spacing w:before="144" w:line="286" w:lineRule="auto"/>
              <w:ind w:left="111" w:right="115"/>
            </w:pPr>
            <w:r>
              <w:rPr>
                <w:spacing w:val="1"/>
              </w:rPr>
              <w:t>桥面铺装强度、厚度、平整度、横坡、抗滑性能均应符合要求；桥面铺装与伸缩</w:t>
            </w:r>
            <w:r>
              <w:rPr>
                <w:spacing w:val="-2"/>
              </w:rPr>
              <w:t>缝结合良好，保证平整，违者违约金</w:t>
            </w:r>
            <w:r>
              <w:rPr>
                <w:spacing w:val="-42"/>
              </w:rPr>
              <w:t xml:space="preserve"> </w:t>
            </w:r>
            <w:r>
              <w:rPr>
                <w:spacing w:val="-2"/>
              </w:rPr>
              <w:t>2,000</w:t>
            </w:r>
            <w:r>
              <w:rPr>
                <w:spacing w:val="-41"/>
              </w:rPr>
              <w:t xml:space="preserve"> </w:t>
            </w:r>
            <w:r>
              <w:rPr>
                <w:spacing w:val="-2"/>
              </w:rPr>
              <w:t>元/处。</w:t>
            </w:r>
          </w:p>
        </w:tc>
      </w:tr>
      <w:tr w14:paraId="2F5DE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32" w:type="dxa"/>
            <w:vMerge w:val="continue"/>
            <w:tcBorders>
              <w:top w:val="nil"/>
            </w:tcBorders>
            <w:vAlign w:val="top"/>
          </w:tcPr>
          <w:p w14:paraId="2177B5A3">
            <w:pPr>
              <w:rPr>
                <w:rFonts w:ascii="Arial"/>
                <w:sz w:val="21"/>
              </w:rPr>
            </w:pPr>
          </w:p>
        </w:tc>
        <w:tc>
          <w:tcPr>
            <w:tcW w:w="839" w:type="dxa"/>
            <w:vAlign w:val="top"/>
          </w:tcPr>
          <w:p w14:paraId="2CA2AB55">
            <w:pPr>
              <w:spacing w:line="335" w:lineRule="auto"/>
              <w:rPr>
                <w:rFonts w:ascii="Arial"/>
                <w:sz w:val="21"/>
              </w:rPr>
            </w:pPr>
          </w:p>
          <w:p w14:paraId="6BF33935">
            <w:pPr>
              <w:spacing w:line="335" w:lineRule="auto"/>
              <w:rPr>
                <w:rFonts w:ascii="Arial"/>
                <w:sz w:val="21"/>
              </w:rPr>
            </w:pPr>
          </w:p>
          <w:p w14:paraId="26234410">
            <w:pPr>
              <w:pStyle w:val="9"/>
              <w:spacing w:before="69"/>
              <w:ind w:left="320"/>
            </w:pPr>
            <w:r>
              <w:rPr>
                <w:spacing w:val="-3"/>
              </w:rPr>
              <w:t>25</w:t>
            </w:r>
          </w:p>
        </w:tc>
        <w:tc>
          <w:tcPr>
            <w:tcW w:w="7621" w:type="dxa"/>
            <w:vAlign w:val="top"/>
          </w:tcPr>
          <w:p w14:paraId="34CE5C0F">
            <w:pPr>
              <w:pStyle w:val="9"/>
              <w:spacing w:before="143" w:line="217" w:lineRule="auto"/>
              <w:ind w:left="110"/>
            </w:pPr>
            <w:r>
              <w:rPr>
                <w:spacing w:val="-3"/>
              </w:rPr>
              <w:t>达不到以下要求的，违约金</w:t>
            </w:r>
            <w:r>
              <w:rPr>
                <w:spacing w:val="-37"/>
              </w:rPr>
              <w:t xml:space="preserve"> </w:t>
            </w:r>
            <w:r>
              <w:rPr>
                <w:spacing w:val="-3"/>
              </w:rPr>
              <w:t>2,000</w:t>
            </w:r>
            <w:r>
              <w:rPr>
                <w:spacing w:val="-42"/>
              </w:rPr>
              <w:t xml:space="preserve"> </w:t>
            </w:r>
            <w:r>
              <w:rPr>
                <w:spacing w:val="-3"/>
              </w:rPr>
              <w:t>元/处：</w:t>
            </w:r>
          </w:p>
          <w:p w14:paraId="40B88008">
            <w:pPr>
              <w:pStyle w:val="9"/>
              <w:spacing w:before="152" w:line="219" w:lineRule="auto"/>
              <w:ind w:left="117"/>
            </w:pPr>
            <w:r>
              <w:rPr>
                <w:spacing w:val="-3"/>
              </w:rPr>
              <w:t>（1）钢模板大面平整、坚固，板面缝隙小，错台不大于 1mm；</w:t>
            </w:r>
          </w:p>
          <w:p w14:paraId="5D92E7E3">
            <w:pPr>
              <w:pStyle w:val="9"/>
              <w:spacing w:before="153" w:line="287" w:lineRule="auto"/>
              <w:ind w:left="115" w:right="116" w:firstLine="1"/>
            </w:pPr>
            <w:r>
              <w:rPr>
                <w:spacing w:val="-2"/>
              </w:rPr>
              <w:t>（2）在盖梁浇筑前，立柱应用薄膜包裹，并用胶布密封固定，防止漏浆损</w:t>
            </w:r>
            <w:r>
              <w:rPr>
                <w:spacing w:val="-3"/>
              </w:rPr>
              <w:t>坏立柱</w:t>
            </w:r>
            <w:r>
              <w:rPr>
                <w:spacing w:val="-10"/>
              </w:rPr>
              <w:t>外观质量；</w:t>
            </w:r>
          </w:p>
        </w:tc>
      </w:tr>
    </w:tbl>
    <w:p w14:paraId="7AAF1722">
      <w:pPr>
        <w:pStyle w:val="2"/>
      </w:pPr>
    </w:p>
    <w:p w14:paraId="35C93E5E">
      <w:pPr>
        <w:sectPr>
          <w:footerReference r:id="rId139" w:type="default"/>
          <w:pgSz w:w="11905" w:h="16840"/>
          <w:pgMar w:top="1182" w:right="1303" w:bottom="1171" w:left="1303" w:header="849" w:footer="937" w:gutter="0"/>
          <w:pgNumType w:fmt="decimal"/>
          <w:cols w:space="720" w:num="1"/>
        </w:sectPr>
      </w:pPr>
    </w:p>
    <w:p w14:paraId="24F48103">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16DA7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27B6BC29">
            <w:pPr>
              <w:pStyle w:val="9"/>
              <w:spacing w:before="225" w:line="220" w:lineRule="auto"/>
              <w:ind w:left="210"/>
            </w:pPr>
            <w:r>
              <w:rPr>
                <w:b/>
                <w:bCs/>
                <w:spacing w:val="-4"/>
              </w:rPr>
              <w:t>类别</w:t>
            </w:r>
          </w:p>
        </w:tc>
        <w:tc>
          <w:tcPr>
            <w:tcW w:w="839" w:type="dxa"/>
            <w:vAlign w:val="top"/>
          </w:tcPr>
          <w:p w14:paraId="4E8A3814">
            <w:pPr>
              <w:pStyle w:val="9"/>
              <w:spacing w:before="226" w:line="221" w:lineRule="auto"/>
              <w:ind w:left="211"/>
            </w:pPr>
            <w:r>
              <w:rPr>
                <w:b/>
                <w:bCs/>
                <w:spacing w:val="-4"/>
              </w:rPr>
              <w:t>序号</w:t>
            </w:r>
          </w:p>
        </w:tc>
        <w:tc>
          <w:tcPr>
            <w:tcW w:w="7621" w:type="dxa"/>
            <w:vAlign w:val="top"/>
          </w:tcPr>
          <w:p w14:paraId="62546656">
            <w:pPr>
              <w:pStyle w:val="9"/>
              <w:spacing w:before="226" w:line="220" w:lineRule="auto"/>
              <w:ind w:left="3393"/>
            </w:pPr>
            <w:r>
              <w:rPr>
                <w:b/>
                <w:bCs/>
                <w:spacing w:val="-4"/>
              </w:rPr>
              <w:t>违约项目</w:t>
            </w:r>
          </w:p>
        </w:tc>
      </w:tr>
      <w:tr w14:paraId="761D3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1345116B">
            <w:pPr>
              <w:rPr>
                <w:rFonts w:ascii="Arial"/>
                <w:sz w:val="21"/>
              </w:rPr>
            </w:pPr>
          </w:p>
        </w:tc>
        <w:tc>
          <w:tcPr>
            <w:tcW w:w="839" w:type="dxa"/>
            <w:vAlign w:val="top"/>
          </w:tcPr>
          <w:p w14:paraId="14E7CD49">
            <w:pPr>
              <w:rPr>
                <w:rFonts w:ascii="Arial"/>
                <w:sz w:val="21"/>
              </w:rPr>
            </w:pPr>
          </w:p>
        </w:tc>
        <w:tc>
          <w:tcPr>
            <w:tcW w:w="7621" w:type="dxa"/>
            <w:vAlign w:val="top"/>
          </w:tcPr>
          <w:p w14:paraId="2D561975">
            <w:pPr>
              <w:pStyle w:val="9"/>
              <w:spacing w:before="138" w:line="288" w:lineRule="auto"/>
              <w:ind w:left="114" w:right="107" w:firstLine="3"/>
            </w:pPr>
            <w:r>
              <w:rPr>
                <w:spacing w:val="-2"/>
              </w:rPr>
              <w:t>（3）裸露在砼外的结构钢筋或施工用的临时钢构件，时间需超过一个月，必须采</w:t>
            </w:r>
            <w:r>
              <w:rPr>
                <w:spacing w:val="-5"/>
              </w:rPr>
              <w:t>取有效的防锈措施。</w:t>
            </w:r>
          </w:p>
        </w:tc>
      </w:tr>
      <w:tr w14:paraId="7B6FD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13CB3640">
            <w:pPr>
              <w:rPr>
                <w:rFonts w:ascii="Arial"/>
                <w:sz w:val="21"/>
              </w:rPr>
            </w:pPr>
          </w:p>
        </w:tc>
        <w:tc>
          <w:tcPr>
            <w:tcW w:w="839" w:type="dxa"/>
            <w:vAlign w:val="top"/>
          </w:tcPr>
          <w:p w14:paraId="1093D02C">
            <w:pPr>
              <w:spacing w:line="268" w:lineRule="auto"/>
              <w:rPr>
                <w:rFonts w:ascii="Arial"/>
                <w:sz w:val="21"/>
              </w:rPr>
            </w:pPr>
          </w:p>
          <w:p w14:paraId="537FA40D">
            <w:pPr>
              <w:pStyle w:val="9"/>
              <w:spacing w:before="68"/>
              <w:ind w:left="320"/>
            </w:pPr>
            <w:r>
              <w:rPr>
                <w:spacing w:val="-3"/>
              </w:rPr>
              <w:t>26</w:t>
            </w:r>
          </w:p>
        </w:tc>
        <w:tc>
          <w:tcPr>
            <w:tcW w:w="7621" w:type="dxa"/>
            <w:vAlign w:val="top"/>
          </w:tcPr>
          <w:p w14:paraId="7380ED25">
            <w:pPr>
              <w:pStyle w:val="9"/>
              <w:spacing w:before="138" w:line="288" w:lineRule="auto"/>
              <w:ind w:left="112" w:right="153"/>
            </w:pPr>
            <w:r>
              <w:rPr>
                <w:spacing w:val="-2"/>
              </w:rPr>
              <w:t>支座垫石标高误差超过±5mm，表面不清洁、不平整，有脱空松动的，违约金</w:t>
            </w:r>
            <w:r>
              <w:rPr>
                <w:spacing w:val="-33"/>
              </w:rPr>
              <w:t xml:space="preserve"> </w:t>
            </w:r>
            <w:r>
              <w:rPr>
                <w:spacing w:val="-2"/>
              </w:rPr>
              <w:t>2，</w:t>
            </w:r>
            <w:r>
              <w:t xml:space="preserve"> </w:t>
            </w:r>
            <w:r>
              <w:rPr>
                <w:spacing w:val="-3"/>
              </w:rPr>
              <w:t>000</w:t>
            </w:r>
            <w:r>
              <w:rPr>
                <w:spacing w:val="-43"/>
              </w:rPr>
              <w:t xml:space="preserve"> </w:t>
            </w:r>
            <w:r>
              <w:rPr>
                <w:spacing w:val="-3"/>
              </w:rPr>
              <w:t>元/处。</w:t>
            </w:r>
          </w:p>
        </w:tc>
      </w:tr>
      <w:tr w14:paraId="0F8B0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tcBorders>
            <w:vAlign w:val="top"/>
          </w:tcPr>
          <w:p w14:paraId="64E1ECC4">
            <w:pPr>
              <w:rPr>
                <w:rFonts w:ascii="Arial"/>
                <w:sz w:val="21"/>
              </w:rPr>
            </w:pPr>
          </w:p>
        </w:tc>
        <w:tc>
          <w:tcPr>
            <w:tcW w:w="839" w:type="dxa"/>
            <w:vAlign w:val="top"/>
          </w:tcPr>
          <w:p w14:paraId="352F2904">
            <w:pPr>
              <w:pStyle w:val="9"/>
              <w:spacing w:before="223"/>
              <w:ind w:left="320"/>
            </w:pPr>
            <w:r>
              <w:rPr>
                <w:spacing w:val="-3"/>
              </w:rPr>
              <w:t>27</w:t>
            </w:r>
          </w:p>
        </w:tc>
        <w:tc>
          <w:tcPr>
            <w:tcW w:w="7621" w:type="dxa"/>
            <w:vAlign w:val="top"/>
          </w:tcPr>
          <w:p w14:paraId="05498683">
            <w:pPr>
              <w:pStyle w:val="9"/>
              <w:spacing w:before="223" w:line="217" w:lineRule="auto"/>
              <w:ind w:left="111"/>
            </w:pPr>
            <w:r>
              <w:rPr>
                <w:spacing w:val="-2"/>
              </w:rPr>
              <w:t>检测发现混凝土强度不合格的构件，违约金</w:t>
            </w:r>
            <w:r>
              <w:rPr>
                <w:spacing w:val="-29"/>
              </w:rPr>
              <w:t xml:space="preserve"> </w:t>
            </w:r>
            <w:r>
              <w:rPr>
                <w:spacing w:val="-2"/>
              </w:rPr>
              <w:t>10,000</w:t>
            </w:r>
            <w:r>
              <w:rPr>
                <w:spacing w:val="-42"/>
              </w:rPr>
              <w:t xml:space="preserve"> </w:t>
            </w:r>
            <w:r>
              <w:rPr>
                <w:spacing w:val="-2"/>
              </w:rPr>
              <w:t>元</w:t>
            </w:r>
            <w:r>
              <w:rPr>
                <w:spacing w:val="-3"/>
              </w:rPr>
              <w:t>/处。</w:t>
            </w:r>
          </w:p>
        </w:tc>
      </w:tr>
      <w:tr w14:paraId="222AD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restart"/>
            <w:tcBorders>
              <w:bottom w:val="nil"/>
            </w:tcBorders>
            <w:vAlign w:val="top"/>
          </w:tcPr>
          <w:p w14:paraId="5116CCF0">
            <w:pPr>
              <w:spacing w:line="245" w:lineRule="auto"/>
              <w:rPr>
                <w:rFonts w:ascii="Arial"/>
                <w:sz w:val="21"/>
              </w:rPr>
            </w:pPr>
          </w:p>
          <w:p w14:paraId="65CB7482">
            <w:pPr>
              <w:spacing w:line="245" w:lineRule="auto"/>
              <w:rPr>
                <w:rFonts w:ascii="Arial"/>
                <w:sz w:val="21"/>
              </w:rPr>
            </w:pPr>
          </w:p>
          <w:p w14:paraId="42624ABF">
            <w:pPr>
              <w:spacing w:line="245" w:lineRule="auto"/>
              <w:rPr>
                <w:rFonts w:ascii="Arial"/>
                <w:sz w:val="21"/>
              </w:rPr>
            </w:pPr>
          </w:p>
          <w:p w14:paraId="5F35292D">
            <w:pPr>
              <w:spacing w:line="245" w:lineRule="auto"/>
              <w:rPr>
                <w:rFonts w:ascii="Arial"/>
                <w:sz w:val="21"/>
              </w:rPr>
            </w:pPr>
          </w:p>
          <w:p w14:paraId="732F19B5">
            <w:pPr>
              <w:spacing w:line="245" w:lineRule="auto"/>
              <w:rPr>
                <w:rFonts w:ascii="Arial"/>
                <w:sz w:val="21"/>
              </w:rPr>
            </w:pPr>
          </w:p>
          <w:p w14:paraId="553DC4C3">
            <w:pPr>
              <w:spacing w:line="245" w:lineRule="auto"/>
              <w:rPr>
                <w:rFonts w:ascii="Arial"/>
                <w:sz w:val="21"/>
              </w:rPr>
            </w:pPr>
          </w:p>
          <w:p w14:paraId="7E9DA5BA">
            <w:pPr>
              <w:spacing w:line="245" w:lineRule="auto"/>
              <w:rPr>
                <w:rFonts w:ascii="Arial"/>
                <w:sz w:val="21"/>
              </w:rPr>
            </w:pPr>
          </w:p>
          <w:p w14:paraId="308D755A">
            <w:pPr>
              <w:spacing w:line="245" w:lineRule="auto"/>
              <w:rPr>
                <w:rFonts w:ascii="Arial"/>
                <w:sz w:val="21"/>
              </w:rPr>
            </w:pPr>
          </w:p>
          <w:p w14:paraId="603F33A4">
            <w:pPr>
              <w:spacing w:line="245" w:lineRule="auto"/>
              <w:rPr>
                <w:rFonts w:ascii="Arial"/>
                <w:sz w:val="21"/>
              </w:rPr>
            </w:pPr>
          </w:p>
          <w:p w14:paraId="7C31526B">
            <w:pPr>
              <w:spacing w:line="245" w:lineRule="auto"/>
              <w:rPr>
                <w:rFonts w:ascii="Arial"/>
                <w:sz w:val="21"/>
              </w:rPr>
            </w:pPr>
          </w:p>
          <w:p w14:paraId="7F1A0148">
            <w:pPr>
              <w:spacing w:line="245" w:lineRule="auto"/>
              <w:rPr>
                <w:rFonts w:ascii="Arial"/>
                <w:sz w:val="21"/>
              </w:rPr>
            </w:pPr>
          </w:p>
          <w:p w14:paraId="2F235FFC">
            <w:pPr>
              <w:spacing w:line="245" w:lineRule="auto"/>
              <w:rPr>
                <w:rFonts w:ascii="Arial"/>
                <w:sz w:val="21"/>
              </w:rPr>
            </w:pPr>
          </w:p>
          <w:p w14:paraId="2CA22471">
            <w:pPr>
              <w:spacing w:line="245" w:lineRule="auto"/>
              <w:rPr>
                <w:rFonts w:ascii="Arial"/>
                <w:sz w:val="21"/>
              </w:rPr>
            </w:pPr>
          </w:p>
          <w:p w14:paraId="273AC649">
            <w:pPr>
              <w:spacing w:line="245" w:lineRule="auto"/>
              <w:rPr>
                <w:rFonts w:ascii="Arial"/>
                <w:sz w:val="21"/>
              </w:rPr>
            </w:pPr>
          </w:p>
          <w:p w14:paraId="0A3627F4">
            <w:pPr>
              <w:spacing w:line="246" w:lineRule="auto"/>
              <w:rPr>
                <w:rFonts w:ascii="Arial"/>
                <w:sz w:val="21"/>
              </w:rPr>
            </w:pPr>
          </w:p>
          <w:p w14:paraId="70224B4D">
            <w:pPr>
              <w:spacing w:line="246" w:lineRule="auto"/>
              <w:rPr>
                <w:rFonts w:ascii="Arial"/>
                <w:sz w:val="21"/>
              </w:rPr>
            </w:pPr>
          </w:p>
          <w:p w14:paraId="56CDF1DF">
            <w:pPr>
              <w:spacing w:line="246" w:lineRule="auto"/>
              <w:rPr>
                <w:rFonts w:ascii="Arial"/>
                <w:sz w:val="21"/>
              </w:rPr>
            </w:pPr>
          </w:p>
          <w:p w14:paraId="5DAA29C6">
            <w:pPr>
              <w:spacing w:line="246" w:lineRule="auto"/>
              <w:rPr>
                <w:rFonts w:ascii="Arial"/>
                <w:sz w:val="21"/>
              </w:rPr>
            </w:pPr>
          </w:p>
          <w:p w14:paraId="434C850D">
            <w:pPr>
              <w:spacing w:line="246" w:lineRule="auto"/>
              <w:rPr>
                <w:rFonts w:ascii="Arial"/>
                <w:sz w:val="21"/>
              </w:rPr>
            </w:pPr>
          </w:p>
          <w:p w14:paraId="6EE391C2">
            <w:pPr>
              <w:spacing w:line="246" w:lineRule="auto"/>
              <w:rPr>
                <w:rFonts w:ascii="Arial"/>
                <w:sz w:val="21"/>
              </w:rPr>
            </w:pPr>
          </w:p>
          <w:p w14:paraId="058FA6BF">
            <w:pPr>
              <w:spacing w:line="246" w:lineRule="auto"/>
              <w:rPr>
                <w:rFonts w:ascii="Arial"/>
                <w:sz w:val="21"/>
              </w:rPr>
            </w:pPr>
          </w:p>
          <w:p w14:paraId="0E0DADD2">
            <w:pPr>
              <w:pStyle w:val="9"/>
              <w:spacing w:before="68" w:line="355" w:lineRule="auto"/>
              <w:ind w:left="212" w:right="204"/>
            </w:pPr>
            <w:r>
              <w:rPr>
                <w:spacing w:val="-5"/>
              </w:rPr>
              <w:t>路面</w:t>
            </w:r>
            <w:r>
              <w:rPr>
                <w:spacing w:val="-6"/>
              </w:rPr>
              <w:t>工程</w:t>
            </w:r>
          </w:p>
        </w:tc>
        <w:tc>
          <w:tcPr>
            <w:tcW w:w="839" w:type="dxa"/>
            <w:vAlign w:val="top"/>
          </w:tcPr>
          <w:p w14:paraId="0B8AC5F5">
            <w:pPr>
              <w:spacing w:line="270" w:lineRule="auto"/>
              <w:rPr>
                <w:rFonts w:ascii="Arial"/>
                <w:sz w:val="21"/>
              </w:rPr>
            </w:pPr>
          </w:p>
          <w:p w14:paraId="27A0478A">
            <w:pPr>
              <w:pStyle w:val="9"/>
              <w:spacing w:before="68" w:line="241" w:lineRule="auto"/>
              <w:ind w:left="385"/>
            </w:pPr>
            <w:r>
              <w:t>1</w:t>
            </w:r>
          </w:p>
        </w:tc>
        <w:tc>
          <w:tcPr>
            <w:tcW w:w="7621" w:type="dxa"/>
            <w:vAlign w:val="top"/>
          </w:tcPr>
          <w:p w14:paraId="4FA315FA">
            <w:pPr>
              <w:pStyle w:val="9"/>
              <w:spacing w:before="139" w:line="288" w:lineRule="auto"/>
              <w:ind w:left="112" w:right="120"/>
            </w:pPr>
            <w:r>
              <w:rPr>
                <w:spacing w:val="-4"/>
              </w:rPr>
              <w:t>路面基层必须碾压密实，表面干燥、清洁、无浮土，</w:t>
            </w:r>
            <w:r>
              <w:rPr>
                <w:spacing w:val="65"/>
              </w:rPr>
              <w:t xml:space="preserve"> </w:t>
            </w:r>
            <w:r>
              <w:rPr>
                <w:spacing w:val="-4"/>
              </w:rPr>
              <w:t>边线整齐、无松散，平整度</w:t>
            </w:r>
            <w:r>
              <w:rPr>
                <w:spacing w:val="-2"/>
              </w:rPr>
              <w:t>和路拱度符合要求，违者每处违约金</w:t>
            </w:r>
            <w:r>
              <w:rPr>
                <w:spacing w:val="-42"/>
              </w:rPr>
              <w:t xml:space="preserve"> </w:t>
            </w:r>
            <w:r>
              <w:rPr>
                <w:spacing w:val="-2"/>
              </w:rPr>
              <w:t>2,000</w:t>
            </w:r>
            <w:r>
              <w:rPr>
                <w:spacing w:val="-41"/>
              </w:rPr>
              <w:t xml:space="preserve"> </w:t>
            </w:r>
            <w:r>
              <w:rPr>
                <w:spacing w:val="-2"/>
              </w:rPr>
              <w:t>元/处。</w:t>
            </w:r>
          </w:p>
        </w:tc>
      </w:tr>
      <w:tr w14:paraId="7E3E3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832" w:type="dxa"/>
            <w:vMerge w:val="continue"/>
            <w:tcBorders>
              <w:top w:val="nil"/>
              <w:bottom w:val="nil"/>
            </w:tcBorders>
            <w:vAlign w:val="top"/>
          </w:tcPr>
          <w:p w14:paraId="61EAAF61">
            <w:pPr>
              <w:rPr>
                <w:rFonts w:ascii="Arial"/>
                <w:sz w:val="21"/>
              </w:rPr>
            </w:pPr>
          </w:p>
        </w:tc>
        <w:tc>
          <w:tcPr>
            <w:tcW w:w="839" w:type="dxa"/>
            <w:vAlign w:val="top"/>
          </w:tcPr>
          <w:p w14:paraId="0D8DDA59">
            <w:pPr>
              <w:spacing w:line="334" w:lineRule="auto"/>
              <w:rPr>
                <w:rFonts w:ascii="Arial"/>
                <w:sz w:val="21"/>
              </w:rPr>
            </w:pPr>
          </w:p>
          <w:p w14:paraId="3CE11924">
            <w:pPr>
              <w:spacing w:line="334" w:lineRule="auto"/>
              <w:rPr>
                <w:rFonts w:ascii="Arial"/>
                <w:sz w:val="21"/>
              </w:rPr>
            </w:pPr>
          </w:p>
          <w:p w14:paraId="20B165C2">
            <w:pPr>
              <w:pStyle w:val="9"/>
              <w:spacing w:before="68" w:line="241" w:lineRule="auto"/>
              <w:ind w:left="372"/>
            </w:pPr>
            <w:r>
              <w:t>2</w:t>
            </w:r>
          </w:p>
        </w:tc>
        <w:tc>
          <w:tcPr>
            <w:tcW w:w="7621" w:type="dxa"/>
            <w:vAlign w:val="top"/>
          </w:tcPr>
          <w:p w14:paraId="64F9C256">
            <w:pPr>
              <w:pStyle w:val="9"/>
              <w:spacing w:before="138" w:line="320" w:lineRule="auto"/>
              <w:ind w:left="112" w:right="49" w:firstLine="1"/>
              <w:jc w:val="both"/>
            </w:pPr>
            <w:r>
              <w:rPr>
                <w:spacing w:val="-2"/>
              </w:rPr>
              <w:t>水泥砼路面存在下列问题的，违约金</w:t>
            </w:r>
            <w:r>
              <w:rPr>
                <w:spacing w:val="-28"/>
              </w:rPr>
              <w:t xml:space="preserve"> </w:t>
            </w:r>
            <w:r>
              <w:rPr>
                <w:spacing w:val="-2"/>
              </w:rPr>
              <w:t>1,000</w:t>
            </w:r>
            <w:r>
              <w:rPr>
                <w:spacing w:val="-43"/>
              </w:rPr>
              <w:t xml:space="preserve"> </w:t>
            </w:r>
            <w:r>
              <w:rPr>
                <w:spacing w:val="-3"/>
              </w:rPr>
              <w:t>元/处：1</w:t>
            </w:r>
            <w:r>
              <w:rPr>
                <w:rFonts w:hint="eastAsia"/>
                <w:spacing w:val="-3"/>
                <w:lang w:eastAsia="zh-CN"/>
              </w:rPr>
              <w:t>）</w:t>
            </w:r>
            <w:r>
              <w:rPr>
                <w:spacing w:val="-3"/>
              </w:rPr>
              <w:t>粗细集料不符合设计和规范</w:t>
            </w:r>
            <w:r>
              <w:rPr>
                <w:spacing w:val="-6"/>
              </w:rPr>
              <w:t>要求；2</w:t>
            </w:r>
            <w:r>
              <w:rPr>
                <w:rFonts w:hint="eastAsia"/>
                <w:spacing w:val="-6"/>
                <w:lang w:eastAsia="zh-CN"/>
              </w:rPr>
              <w:t>）</w:t>
            </w:r>
            <w:r>
              <w:rPr>
                <w:spacing w:val="-6"/>
              </w:rPr>
              <w:t>基层和底基层压实度＜98%（高速公路和一级公路）或＜97%（其他公路</w:t>
            </w:r>
            <w:r>
              <w:rPr>
                <w:spacing w:val="-42"/>
              </w:rPr>
              <w:t>），</w:t>
            </w:r>
            <w:r>
              <w:rPr>
                <w:spacing w:val="1"/>
              </w:rPr>
              <w:t>明显离析，露骨严重，表面坑洼，开裂严重；3</w:t>
            </w:r>
            <w:r>
              <w:rPr>
                <w:rFonts w:hint="eastAsia"/>
                <w:spacing w:val="1"/>
                <w:lang w:eastAsia="zh-CN"/>
              </w:rPr>
              <w:t>）</w:t>
            </w:r>
            <w:r>
              <w:rPr>
                <w:spacing w:val="1"/>
              </w:rPr>
              <w:t>基层和底基层没有清理杂物，有</w:t>
            </w:r>
            <w:r>
              <w:rPr>
                <w:spacing w:val="-1"/>
              </w:rPr>
              <w:t>浮土；4</w:t>
            </w:r>
            <w:r>
              <w:rPr>
                <w:rFonts w:hint="eastAsia"/>
                <w:spacing w:val="-1"/>
                <w:lang w:eastAsia="zh-CN"/>
              </w:rPr>
              <w:t>）</w:t>
            </w:r>
            <w:r>
              <w:rPr>
                <w:spacing w:val="-1"/>
              </w:rPr>
              <w:t>养护不规范；5</w:t>
            </w:r>
            <w:r>
              <w:rPr>
                <w:rFonts w:hint="eastAsia"/>
                <w:spacing w:val="-1"/>
                <w:lang w:eastAsia="zh-CN"/>
              </w:rPr>
              <w:t>）</w:t>
            </w:r>
            <w:r>
              <w:rPr>
                <w:spacing w:val="-1"/>
              </w:rPr>
              <w:t>接缝填充料用量不足或用料不符</w:t>
            </w:r>
            <w:r>
              <w:rPr>
                <w:spacing w:val="-2"/>
              </w:rPr>
              <w:t>合设计要求。</w:t>
            </w:r>
          </w:p>
        </w:tc>
      </w:tr>
      <w:tr w14:paraId="5120E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0B047DF8">
            <w:pPr>
              <w:rPr>
                <w:rFonts w:ascii="Arial"/>
                <w:sz w:val="21"/>
              </w:rPr>
            </w:pPr>
          </w:p>
        </w:tc>
        <w:tc>
          <w:tcPr>
            <w:tcW w:w="839" w:type="dxa"/>
            <w:vAlign w:val="top"/>
          </w:tcPr>
          <w:p w14:paraId="5AC4F2FC">
            <w:pPr>
              <w:spacing w:line="270" w:lineRule="auto"/>
              <w:rPr>
                <w:rFonts w:ascii="Arial"/>
                <w:sz w:val="21"/>
              </w:rPr>
            </w:pPr>
          </w:p>
          <w:p w14:paraId="4C3C4033">
            <w:pPr>
              <w:pStyle w:val="9"/>
              <w:spacing w:before="68"/>
              <w:ind w:left="374"/>
            </w:pPr>
            <w:r>
              <w:t>3</w:t>
            </w:r>
          </w:p>
        </w:tc>
        <w:tc>
          <w:tcPr>
            <w:tcW w:w="7621" w:type="dxa"/>
            <w:vAlign w:val="top"/>
          </w:tcPr>
          <w:p w14:paraId="235C9BC9">
            <w:pPr>
              <w:pStyle w:val="9"/>
              <w:spacing w:before="139" w:line="288" w:lineRule="auto"/>
              <w:ind w:left="111" w:right="106" w:firstLine="2"/>
            </w:pPr>
            <w:r>
              <w:t>水泥砼路面检测发现混凝土强度不合格的部位，违约金</w:t>
            </w:r>
            <w:r>
              <w:rPr>
                <w:spacing w:val="-19"/>
              </w:rPr>
              <w:t xml:space="preserve"> </w:t>
            </w:r>
            <w:r>
              <w:t>10,000</w:t>
            </w:r>
            <w:r>
              <w:rPr>
                <w:spacing w:val="-42"/>
              </w:rPr>
              <w:t xml:space="preserve"> </w:t>
            </w:r>
            <w:r>
              <w:t>元/处；平整度合</w:t>
            </w:r>
            <w:r>
              <w:rPr>
                <w:spacing w:val="-3"/>
              </w:rPr>
              <w:t>格率＜80%，违约金</w:t>
            </w:r>
            <w:r>
              <w:rPr>
                <w:spacing w:val="-32"/>
              </w:rPr>
              <w:t xml:space="preserve"> </w:t>
            </w:r>
            <w:r>
              <w:rPr>
                <w:spacing w:val="-3"/>
              </w:rPr>
              <w:t>30000</w:t>
            </w:r>
            <w:r>
              <w:rPr>
                <w:spacing w:val="-42"/>
              </w:rPr>
              <w:t xml:space="preserve"> </w:t>
            </w:r>
            <w:r>
              <w:rPr>
                <w:spacing w:val="-3"/>
              </w:rPr>
              <w:t>元/分项工程。</w:t>
            </w:r>
          </w:p>
        </w:tc>
      </w:tr>
      <w:tr w14:paraId="4CE08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3" w:hRule="atLeast"/>
        </w:trPr>
        <w:tc>
          <w:tcPr>
            <w:tcW w:w="832" w:type="dxa"/>
            <w:vMerge w:val="continue"/>
            <w:tcBorders>
              <w:top w:val="nil"/>
              <w:bottom w:val="nil"/>
            </w:tcBorders>
            <w:vAlign w:val="top"/>
          </w:tcPr>
          <w:p w14:paraId="6555658D">
            <w:pPr>
              <w:rPr>
                <w:rFonts w:ascii="Arial"/>
                <w:sz w:val="21"/>
              </w:rPr>
            </w:pPr>
          </w:p>
        </w:tc>
        <w:tc>
          <w:tcPr>
            <w:tcW w:w="839" w:type="dxa"/>
            <w:vAlign w:val="top"/>
          </w:tcPr>
          <w:p w14:paraId="4EE967A4">
            <w:pPr>
              <w:spacing w:line="241" w:lineRule="auto"/>
              <w:rPr>
                <w:rFonts w:ascii="Arial"/>
                <w:sz w:val="21"/>
              </w:rPr>
            </w:pPr>
          </w:p>
          <w:p w14:paraId="225BEED3">
            <w:pPr>
              <w:spacing w:line="241" w:lineRule="auto"/>
              <w:rPr>
                <w:rFonts w:ascii="Arial"/>
                <w:sz w:val="21"/>
              </w:rPr>
            </w:pPr>
          </w:p>
          <w:p w14:paraId="5103567D">
            <w:pPr>
              <w:spacing w:line="241" w:lineRule="auto"/>
              <w:rPr>
                <w:rFonts w:ascii="Arial"/>
                <w:sz w:val="21"/>
              </w:rPr>
            </w:pPr>
          </w:p>
          <w:p w14:paraId="472621B8">
            <w:pPr>
              <w:spacing w:line="241" w:lineRule="auto"/>
              <w:rPr>
                <w:rFonts w:ascii="Arial"/>
                <w:sz w:val="21"/>
              </w:rPr>
            </w:pPr>
          </w:p>
          <w:p w14:paraId="39FCB103">
            <w:pPr>
              <w:spacing w:line="241" w:lineRule="auto"/>
              <w:rPr>
                <w:rFonts w:ascii="Arial"/>
                <w:sz w:val="21"/>
              </w:rPr>
            </w:pPr>
          </w:p>
          <w:p w14:paraId="19F046A7">
            <w:pPr>
              <w:spacing w:line="241" w:lineRule="auto"/>
              <w:rPr>
                <w:rFonts w:ascii="Arial"/>
                <w:sz w:val="21"/>
              </w:rPr>
            </w:pPr>
          </w:p>
          <w:p w14:paraId="407EA438">
            <w:pPr>
              <w:spacing w:line="242" w:lineRule="auto"/>
              <w:rPr>
                <w:rFonts w:ascii="Arial"/>
                <w:sz w:val="21"/>
              </w:rPr>
            </w:pPr>
          </w:p>
          <w:p w14:paraId="3D39EB39">
            <w:pPr>
              <w:spacing w:line="242" w:lineRule="auto"/>
              <w:rPr>
                <w:rFonts w:ascii="Arial"/>
                <w:sz w:val="21"/>
              </w:rPr>
            </w:pPr>
          </w:p>
          <w:p w14:paraId="386BEEC9">
            <w:pPr>
              <w:spacing w:line="242" w:lineRule="auto"/>
              <w:rPr>
                <w:rFonts w:ascii="Arial"/>
                <w:sz w:val="21"/>
              </w:rPr>
            </w:pPr>
          </w:p>
          <w:p w14:paraId="323A0C42">
            <w:pPr>
              <w:spacing w:line="242" w:lineRule="auto"/>
              <w:rPr>
                <w:rFonts w:ascii="Arial"/>
                <w:sz w:val="21"/>
              </w:rPr>
            </w:pPr>
          </w:p>
          <w:p w14:paraId="68BAB82C">
            <w:pPr>
              <w:spacing w:line="242" w:lineRule="auto"/>
              <w:rPr>
                <w:rFonts w:ascii="Arial"/>
                <w:sz w:val="21"/>
              </w:rPr>
            </w:pPr>
          </w:p>
          <w:p w14:paraId="3EB88073">
            <w:pPr>
              <w:pStyle w:val="9"/>
              <w:spacing w:before="68" w:line="241" w:lineRule="auto"/>
              <w:ind w:left="369"/>
            </w:pPr>
            <w:r>
              <w:t>4</w:t>
            </w:r>
          </w:p>
        </w:tc>
        <w:tc>
          <w:tcPr>
            <w:tcW w:w="7621" w:type="dxa"/>
            <w:vAlign w:val="top"/>
          </w:tcPr>
          <w:p w14:paraId="1FDB03CA">
            <w:pPr>
              <w:pStyle w:val="9"/>
              <w:spacing w:before="139" w:line="219" w:lineRule="auto"/>
              <w:ind w:left="111"/>
            </w:pPr>
            <w:r>
              <w:rPr>
                <w:spacing w:val="-3"/>
              </w:rPr>
              <w:t>沥青路面存在以下问题的，违约金</w:t>
            </w:r>
            <w:r>
              <w:rPr>
                <w:spacing w:val="-11"/>
              </w:rPr>
              <w:t xml:space="preserve"> </w:t>
            </w:r>
            <w:r>
              <w:rPr>
                <w:spacing w:val="-3"/>
              </w:rPr>
              <w:t>10000-50000</w:t>
            </w:r>
            <w:r>
              <w:rPr>
                <w:spacing w:val="-42"/>
              </w:rPr>
              <w:t xml:space="preserve"> </w:t>
            </w:r>
            <w:r>
              <w:rPr>
                <w:spacing w:val="-3"/>
              </w:rPr>
              <w:t>元/处：</w:t>
            </w:r>
          </w:p>
          <w:p w14:paraId="24F80B0B">
            <w:pPr>
              <w:pStyle w:val="9"/>
              <w:spacing w:before="152" w:line="351" w:lineRule="auto"/>
              <w:ind w:left="113" w:right="121" w:firstLine="3"/>
            </w:pPr>
            <w:r>
              <w:rPr>
                <w:spacing w:val="-1"/>
              </w:rPr>
              <w:t>（1）沥青、矿料质量、混合料级配、混合料指标不符合要求的，沥青含量或</w:t>
            </w:r>
            <w:r>
              <w:rPr>
                <w:spacing w:val="-42"/>
              </w:rPr>
              <w:t xml:space="preserve"> </w:t>
            </w:r>
            <w:r>
              <w:rPr>
                <w:spacing w:val="-1"/>
              </w:rPr>
              <w:t>SBS</w:t>
            </w:r>
            <w:r>
              <w:rPr>
                <w:spacing w:val="-10"/>
              </w:rPr>
              <w:t>用量不足；</w:t>
            </w:r>
          </w:p>
          <w:p w14:paraId="10CC8922">
            <w:pPr>
              <w:pStyle w:val="9"/>
              <w:spacing w:line="218" w:lineRule="auto"/>
              <w:ind w:left="117"/>
            </w:pPr>
            <w:r>
              <w:rPr>
                <w:spacing w:val="-2"/>
              </w:rPr>
              <w:t>（2）沥青混合料的拌和温度、摊铺温度、碾压温度不符合规范或设计要求；</w:t>
            </w:r>
          </w:p>
          <w:p w14:paraId="7AF72629">
            <w:pPr>
              <w:pStyle w:val="9"/>
              <w:spacing w:before="152" w:line="351" w:lineRule="auto"/>
              <w:ind w:left="151" w:right="118" w:hanging="34"/>
            </w:pPr>
            <w:r>
              <w:rPr>
                <w:spacing w:val="-6"/>
              </w:rPr>
              <w:t>（3）沥青混合料的生产，未按要求做抽提试验、筛分试验、马</w:t>
            </w:r>
            <w:r>
              <w:rPr>
                <w:spacing w:val="-7"/>
              </w:rPr>
              <w:t>歇尔试验，</w:t>
            </w:r>
            <w:r>
              <w:rPr>
                <w:spacing w:val="42"/>
              </w:rPr>
              <w:t xml:space="preserve"> </w:t>
            </w:r>
            <w:r>
              <w:rPr>
                <w:spacing w:val="-7"/>
              </w:rPr>
              <w:t>检测项</w:t>
            </w:r>
            <w:r>
              <w:rPr>
                <w:spacing w:val="-5"/>
              </w:rPr>
              <w:t>目、方法、频率没有按设计或规范要求执行；</w:t>
            </w:r>
          </w:p>
          <w:p w14:paraId="38A3CA2C">
            <w:pPr>
              <w:pStyle w:val="9"/>
              <w:spacing w:before="1" w:line="219" w:lineRule="auto"/>
              <w:ind w:left="117"/>
            </w:pPr>
            <w:r>
              <w:rPr>
                <w:spacing w:val="-2"/>
              </w:rPr>
              <w:t>（4）拌和后的混合料不均匀一致，有花白、粗细料分离和结团成块现象；</w:t>
            </w:r>
          </w:p>
          <w:p w14:paraId="1017FF61">
            <w:pPr>
              <w:pStyle w:val="9"/>
              <w:spacing w:before="151" w:line="220" w:lineRule="auto"/>
              <w:ind w:left="117"/>
            </w:pPr>
            <w:r>
              <w:rPr>
                <w:spacing w:val="-3"/>
              </w:rPr>
              <w:t>（5）有泛油、松散、裂缝和明显离析现象；</w:t>
            </w:r>
          </w:p>
          <w:p w14:paraId="1FFED30E">
            <w:pPr>
              <w:pStyle w:val="9"/>
              <w:spacing w:before="149" w:line="220" w:lineRule="auto"/>
              <w:ind w:left="117"/>
            </w:pPr>
            <w:r>
              <w:rPr>
                <w:spacing w:val="-3"/>
              </w:rPr>
              <w:t>（6）面层施工前未按要求对基层裂缝进行处理；</w:t>
            </w:r>
          </w:p>
          <w:p w14:paraId="5FD89B1E">
            <w:pPr>
              <w:pStyle w:val="9"/>
              <w:spacing w:before="149" w:line="220" w:lineRule="auto"/>
              <w:ind w:left="117"/>
            </w:pPr>
            <w:r>
              <w:rPr>
                <w:spacing w:val="-2"/>
              </w:rPr>
              <w:t>（7）面层和路缘石及其他构造物不密贴，有积水或漏水</w:t>
            </w:r>
            <w:r>
              <w:rPr>
                <w:spacing w:val="-3"/>
              </w:rPr>
              <w:t>现象的；</w:t>
            </w:r>
          </w:p>
          <w:p w14:paraId="104638A9">
            <w:pPr>
              <w:pStyle w:val="9"/>
              <w:spacing w:before="151" w:line="219" w:lineRule="auto"/>
              <w:ind w:left="117"/>
            </w:pPr>
            <w:r>
              <w:rPr>
                <w:spacing w:val="-4"/>
              </w:rPr>
              <w:t>（8）运输车辆未采取保温措施；</w:t>
            </w:r>
          </w:p>
          <w:p w14:paraId="53B3A401">
            <w:pPr>
              <w:pStyle w:val="9"/>
              <w:spacing w:before="151" w:line="219" w:lineRule="auto"/>
              <w:ind w:left="117"/>
            </w:pPr>
            <w:r>
              <w:rPr>
                <w:spacing w:val="-3"/>
              </w:rPr>
              <w:t>（9）下雨时摊铺，或雨后下承层未干就摊铺的；</w:t>
            </w:r>
          </w:p>
          <w:p w14:paraId="5FF02620">
            <w:pPr>
              <w:pStyle w:val="9"/>
              <w:spacing w:before="150" w:line="220" w:lineRule="auto"/>
              <w:ind w:left="117"/>
            </w:pPr>
            <w:r>
              <w:rPr>
                <w:spacing w:val="-3"/>
              </w:rPr>
              <w:t>（10）纵横接缝施工不符合规范要求的。</w:t>
            </w:r>
          </w:p>
          <w:p w14:paraId="7C1F7DCC">
            <w:pPr>
              <w:pStyle w:val="9"/>
              <w:spacing w:before="151" w:line="220" w:lineRule="auto"/>
              <w:ind w:left="117"/>
            </w:pPr>
            <w:r>
              <w:rPr>
                <w:spacing w:val="-4"/>
              </w:rPr>
              <w:t>（11）平整度没有达标。</w:t>
            </w:r>
          </w:p>
        </w:tc>
      </w:tr>
      <w:tr w14:paraId="09EF1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131E8BB">
            <w:pPr>
              <w:rPr>
                <w:rFonts w:ascii="Arial"/>
                <w:sz w:val="21"/>
              </w:rPr>
            </w:pPr>
          </w:p>
        </w:tc>
        <w:tc>
          <w:tcPr>
            <w:tcW w:w="839" w:type="dxa"/>
            <w:vAlign w:val="top"/>
          </w:tcPr>
          <w:p w14:paraId="367A47D4">
            <w:pPr>
              <w:spacing w:line="272" w:lineRule="auto"/>
              <w:rPr>
                <w:rFonts w:ascii="Arial"/>
                <w:sz w:val="21"/>
              </w:rPr>
            </w:pPr>
          </w:p>
          <w:p w14:paraId="6CB6C165">
            <w:pPr>
              <w:pStyle w:val="9"/>
              <w:spacing w:before="68"/>
              <w:ind w:left="374"/>
            </w:pPr>
            <w:r>
              <w:t>5</w:t>
            </w:r>
          </w:p>
        </w:tc>
        <w:tc>
          <w:tcPr>
            <w:tcW w:w="7621" w:type="dxa"/>
            <w:vAlign w:val="top"/>
          </w:tcPr>
          <w:p w14:paraId="3CB8D3B6">
            <w:pPr>
              <w:pStyle w:val="9"/>
              <w:spacing w:before="142" w:line="287" w:lineRule="auto"/>
              <w:ind w:left="112" w:right="105"/>
            </w:pPr>
            <w:r>
              <w:rPr>
                <w:spacing w:val="-2"/>
              </w:rPr>
              <w:t>路面基层或沥青面层未保护好，污染严重的，违约金</w:t>
            </w:r>
            <w:r>
              <w:rPr>
                <w:spacing w:val="-41"/>
              </w:rPr>
              <w:t xml:space="preserve"> </w:t>
            </w:r>
            <w:r>
              <w:rPr>
                <w:spacing w:val="-2"/>
              </w:rPr>
              <w:t>20000</w:t>
            </w:r>
            <w:r>
              <w:rPr>
                <w:spacing w:val="-43"/>
              </w:rPr>
              <w:t xml:space="preserve"> </w:t>
            </w:r>
            <w:r>
              <w:rPr>
                <w:spacing w:val="-2"/>
              </w:rPr>
              <w:t>元/处；污</w:t>
            </w:r>
            <w:r>
              <w:rPr>
                <w:spacing w:val="-3"/>
              </w:rPr>
              <w:t>染严重的路</w:t>
            </w:r>
            <w:r>
              <w:rPr>
                <w:spacing w:val="-1"/>
              </w:rPr>
              <w:t>面基层或沥青面层在施工下一层时未及时清</w:t>
            </w:r>
            <w:r>
              <w:rPr>
                <w:spacing w:val="-2"/>
              </w:rPr>
              <w:t>理时，违约金</w:t>
            </w:r>
            <w:r>
              <w:rPr>
                <w:spacing w:val="-42"/>
              </w:rPr>
              <w:t xml:space="preserve"> </w:t>
            </w:r>
            <w:r>
              <w:rPr>
                <w:spacing w:val="-2"/>
              </w:rPr>
              <w:t>20000</w:t>
            </w:r>
            <w:r>
              <w:rPr>
                <w:spacing w:val="-42"/>
              </w:rPr>
              <w:t xml:space="preserve"> </w:t>
            </w:r>
            <w:r>
              <w:rPr>
                <w:spacing w:val="-2"/>
              </w:rPr>
              <w:t>元/处。</w:t>
            </w:r>
          </w:p>
        </w:tc>
      </w:tr>
      <w:tr w14:paraId="15025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76FA976D">
            <w:pPr>
              <w:rPr>
                <w:rFonts w:ascii="Arial"/>
                <w:sz w:val="21"/>
              </w:rPr>
            </w:pPr>
          </w:p>
        </w:tc>
        <w:tc>
          <w:tcPr>
            <w:tcW w:w="839" w:type="dxa"/>
            <w:vAlign w:val="top"/>
          </w:tcPr>
          <w:p w14:paraId="59CCEE1D">
            <w:pPr>
              <w:spacing w:line="272" w:lineRule="auto"/>
              <w:rPr>
                <w:rFonts w:ascii="Arial"/>
                <w:sz w:val="21"/>
              </w:rPr>
            </w:pPr>
          </w:p>
          <w:p w14:paraId="097A222A">
            <w:pPr>
              <w:pStyle w:val="9"/>
              <w:spacing w:before="68"/>
              <w:ind w:left="371"/>
            </w:pPr>
            <w:r>
              <w:t>6</w:t>
            </w:r>
          </w:p>
        </w:tc>
        <w:tc>
          <w:tcPr>
            <w:tcW w:w="7621" w:type="dxa"/>
            <w:vAlign w:val="top"/>
          </w:tcPr>
          <w:p w14:paraId="65BCB9B5">
            <w:pPr>
              <w:pStyle w:val="9"/>
              <w:spacing w:before="142" w:line="287" w:lineRule="auto"/>
              <w:ind w:left="115" w:right="115" w:hanging="5"/>
            </w:pPr>
            <w:r>
              <w:rPr>
                <w:spacing w:val="1"/>
              </w:rPr>
              <w:t>在进行路面施工时，若下承层清扫不彻底或施工便道未洒水造成路面污染的，违</w:t>
            </w:r>
            <w:r>
              <w:rPr>
                <w:spacing w:val="-6"/>
              </w:rPr>
              <w:t>约金</w:t>
            </w:r>
            <w:r>
              <w:rPr>
                <w:spacing w:val="-37"/>
              </w:rPr>
              <w:t xml:space="preserve"> </w:t>
            </w:r>
            <w:r>
              <w:rPr>
                <w:spacing w:val="-6"/>
              </w:rPr>
              <w:t>3000</w:t>
            </w:r>
            <w:r>
              <w:rPr>
                <w:spacing w:val="-41"/>
              </w:rPr>
              <w:t xml:space="preserve"> </w:t>
            </w:r>
            <w:r>
              <w:rPr>
                <w:spacing w:val="-6"/>
              </w:rPr>
              <w:t>元/处。</w:t>
            </w:r>
          </w:p>
        </w:tc>
      </w:tr>
      <w:tr w14:paraId="082D4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2" w:type="dxa"/>
            <w:vMerge w:val="continue"/>
            <w:tcBorders>
              <w:top w:val="nil"/>
            </w:tcBorders>
            <w:vAlign w:val="top"/>
          </w:tcPr>
          <w:p w14:paraId="01F3F0BC">
            <w:pPr>
              <w:rPr>
                <w:rFonts w:ascii="Arial"/>
                <w:sz w:val="21"/>
              </w:rPr>
            </w:pPr>
          </w:p>
        </w:tc>
        <w:tc>
          <w:tcPr>
            <w:tcW w:w="839" w:type="dxa"/>
            <w:vAlign w:val="top"/>
          </w:tcPr>
          <w:p w14:paraId="23F13887">
            <w:pPr>
              <w:pStyle w:val="9"/>
              <w:spacing w:before="224"/>
              <w:ind w:left="375"/>
            </w:pPr>
            <w:r>
              <w:t>7</w:t>
            </w:r>
          </w:p>
        </w:tc>
        <w:tc>
          <w:tcPr>
            <w:tcW w:w="7621" w:type="dxa"/>
            <w:vAlign w:val="top"/>
          </w:tcPr>
          <w:p w14:paraId="15665EE0">
            <w:pPr>
              <w:pStyle w:val="9"/>
              <w:spacing w:before="224" w:line="219" w:lineRule="auto"/>
              <w:ind w:left="110"/>
            </w:pPr>
            <w:r>
              <w:rPr>
                <w:spacing w:val="1"/>
              </w:rPr>
              <w:t>在进行工程质量巡查的同时，若发现施工过程不规范，且承包人拒不采用有效措</w:t>
            </w:r>
          </w:p>
        </w:tc>
      </w:tr>
    </w:tbl>
    <w:p w14:paraId="6000A340">
      <w:pPr>
        <w:pStyle w:val="2"/>
      </w:pPr>
    </w:p>
    <w:p w14:paraId="2352A6E3">
      <w:pPr>
        <w:sectPr>
          <w:footerReference r:id="rId140" w:type="default"/>
          <w:pgSz w:w="11905" w:h="16840"/>
          <w:pgMar w:top="1182" w:right="1303" w:bottom="1171" w:left="1303" w:header="849" w:footer="937" w:gutter="0"/>
          <w:pgNumType w:fmt="decimal"/>
          <w:cols w:space="720" w:num="1"/>
        </w:sectPr>
      </w:pPr>
    </w:p>
    <w:p w14:paraId="392BC0C4">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2C223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07991B38">
            <w:pPr>
              <w:pStyle w:val="9"/>
              <w:spacing w:before="225" w:line="220" w:lineRule="auto"/>
              <w:ind w:left="210"/>
            </w:pPr>
            <w:r>
              <w:rPr>
                <w:b/>
                <w:bCs/>
                <w:spacing w:val="-4"/>
              </w:rPr>
              <w:t>类别</w:t>
            </w:r>
          </w:p>
        </w:tc>
        <w:tc>
          <w:tcPr>
            <w:tcW w:w="839" w:type="dxa"/>
            <w:vAlign w:val="top"/>
          </w:tcPr>
          <w:p w14:paraId="0A47E6BE">
            <w:pPr>
              <w:pStyle w:val="9"/>
              <w:spacing w:before="226" w:line="221" w:lineRule="auto"/>
              <w:ind w:left="211"/>
            </w:pPr>
            <w:r>
              <w:rPr>
                <w:b/>
                <w:bCs/>
                <w:spacing w:val="-4"/>
              </w:rPr>
              <w:t>序号</w:t>
            </w:r>
          </w:p>
        </w:tc>
        <w:tc>
          <w:tcPr>
            <w:tcW w:w="7621" w:type="dxa"/>
            <w:vAlign w:val="top"/>
          </w:tcPr>
          <w:p w14:paraId="553BE049">
            <w:pPr>
              <w:pStyle w:val="9"/>
              <w:spacing w:before="226" w:line="220" w:lineRule="auto"/>
              <w:ind w:left="3393"/>
            </w:pPr>
            <w:r>
              <w:rPr>
                <w:b/>
                <w:bCs/>
                <w:spacing w:val="-4"/>
              </w:rPr>
              <w:t>违约项目</w:t>
            </w:r>
          </w:p>
        </w:tc>
      </w:tr>
      <w:tr w14:paraId="4CDC5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2" w:hRule="atLeast"/>
        </w:trPr>
        <w:tc>
          <w:tcPr>
            <w:tcW w:w="832" w:type="dxa"/>
            <w:vMerge w:val="restart"/>
            <w:tcBorders>
              <w:bottom w:val="nil"/>
            </w:tcBorders>
            <w:vAlign w:val="top"/>
          </w:tcPr>
          <w:p w14:paraId="3C97D8EA">
            <w:pPr>
              <w:rPr>
                <w:rFonts w:ascii="Arial"/>
                <w:sz w:val="21"/>
              </w:rPr>
            </w:pPr>
          </w:p>
        </w:tc>
        <w:tc>
          <w:tcPr>
            <w:tcW w:w="839" w:type="dxa"/>
            <w:vAlign w:val="top"/>
          </w:tcPr>
          <w:p w14:paraId="044A1723">
            <w:pPr>
              <w:rPr>
                <w:rFonts w:ascii="Arial"/>
                <w:sz w:val="21"/>
              </w:rPr>
            </w:pPr>
          </w:p>
        </w:tc>
        <w:tc>
          <w:tcPr>
            <w:tcW w:w="7621" w:type="dxa"/>
            <w:vAlign w:val="top"/>
          </w:tcPr>
          <w:p w14:paraId="0CD0178E">
            <w:pPr>
              <w:pStyle w:val="9"/>
              <w:spacing w:before="138" w:line="220" w:lineRule="auto"/>
              <w:ind w:left="110"/>
            </w:pPr>
            <w:r>
              <w:rPr>
                <w:spacing w:val="-3"/>
              </w:rPr>
              <w:t>施及时补救或改正的，违约金</w:t>
            </w:r>
            <w:r>
              <w:rPr>
                <w:spacing w:val="-28"/>
              </w:rPr>
              <w:t xml:space="preserve"> </w:t>
            </w:r>
            <w:r>
              <w:rPr>
                <w:spacing w:val="-3"/>
              </w:rPr>
              <w:t>5000</w:t>
            </w:r>
            <w:r>
              <w:rPr>
                <w:spacing w:val="-41"/>
              </w:rPr>
              <w:t xml:space="preserve"> </w:t>
            </w:r>
            <w:r>
              <w:rPr>
                <w:spacing w:val="-3"/>
              </w:rPr>
              <w:t>元/次。</w:t>
            </w:r>
          </w:p>
        </w:tc>
      </w:tr>
      <w:tr w14:paraId="7B07A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Merge w:val="continue"/>
            <w:tcBorders>
              <w:top w:val="nil"/>
              <w:bottom w:val="nil"/>
            </w:tcBorders>
            <w:vAlign w:val="top"/>
          </w:tcPr>
          <w:p w14:paraId="2DE2F8D1">
            <w:pPr>
              <w:rPr>
                <w:rFonts w:ascii="Arial"/>
                <w:sz w:val="21"/>
              </w:rPr>
            </w:pPr>
          </w:p>
        </w:tc>
        <w:tc>
          <w:tcPr>
            <w:tcW w:w="839" w:type="dxa"/>
            <w:vAlign w:val="top"/>
          </w:tcPr>
          <w:p w14:paraId="0648DD5D">
            <w:pPr>
              <w:spacing w:line="466" w:lineRule="auto"/>
              <w:rPr>
                <w:rFonts w:ascii="Arial"/>
                <w:sz w:val="21"/>
              </w:rPr>
            </w:pPr>
          </w:p>
          <w:p w14:paraId="0FE97CCB">
            <w:pPr>
              <w:pStyle w:val="9"/>
              <w:spacing w:before="69"/>
              <w:ind w:left="370"/>
            </w:pPr>
            <w:r>
              <w:t>8</w:t>
            </w:r>
          </w:p>
        </w:tc>
        <w:tc>
          <w:tcPr>
            <w:tcW w:w="7621" w:type="dxa"/>
            <w:vAlign w:val="top"/>
          </w:tcPr>
          <w:p w14:paraId="6773E451">
            <w:pPr>
              <w:pStyle w:val="9"/>
              <w:spacing w:before="139" w:line="309" w:lineRule="auto"/>
              <w:ind w:left="110" w:right="115" w:firstLine="1"/>
              <w:jc w:val="both"/>
            </w:pPr>
            <w:r>
              <w:rPr>
                <w:spacing w:val="1"/>
              </w:rPr>
              <w:t>若对原材料或混合料或路面结构层的有关技术指标有怀疑时，对该技术指标进行抽查，抽查不合格的，除对已施工路面进行返工外，沥青、水泥、粗集料、细集</w:t>
            </w:r>
            <w:r>
              <w:rPr>
                <w:spacing w:val="-2"/>
              </w:rPr>
              <w:t>料、填料不合格违约金</w:t>
            </w:r>
            <w:r>
              <w:rPr>
                <w:spacing w:val="-35"/>
              </w:rPr>
              <w:t xml:space="preserve"> </w:t>
            </w:r>
            <w:r>
              <w:rPr>
                <w:spacing w:val="-2"/>
              </w:rPr>
              <w:t>3000</w:t>
            </w:r>
            <w:r>
              <w:rPr>
                <w:spacing w:val="-41"/>
              </w:rPr>
              <w:t xml:space="preserve"> </w:t>
            </w:r>
            <w:r>
              <w:rPr>
                <w:spacing w:val="-2"/>
              </w:rPr>
              <w:t>元/次，混合料、结构层不合格违约金</w:t>
            </w:r>
            <w:r>
              <w:rPr>
                <w:spacing w:val="-41"/>
              </w:rPr>
              <w:t xml:space="preserve"> </w:t>
            </w:r>
            <w:r>
              <w:rPr>
                <w:spacing w:val="-2"/>
              </w:rPr>
              <w:t>3000</w:t>
            </w:r>
            <w:r>
              <w:rPr>
                <w:spacing w:val="-42"/>
              </w:rPr>
              <w:t xml:space="preserve"> </w:t>
            </w:r>
            <w:r>
              <w:rPr>
                <w:spacing w:val="-2"/>
              </w:rPr>
              <w:t>元/次。</w:t>
            </w:r>
          </w:p>
        </w:tc>
      </w:tr>
      <w:tr w14:paraId="11F61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71C89928">
            <w:pPr>
              <w:rPr>
                <w:rFonts w:ascii="Arial"/>
                <w:sz w:val="21"/>
              </w:rPr>
            </w:pPr>
          </w:p>
        </w:tc>
        <w:tc>
          <w:tcPr>
            <w:tcW w:w="839" w:type="dxa"/>
            <w:vAlign w:val="top"/>
          </w:tcPr>
          <w:p w14:paraId="3B9F8BA2">
            <w:pPr>
              <w:spacing w:line="269" w:lineRule="auto"/>
              <w:rPr>
                <w:rFonts w:ascii="Arial"/>
                <w:sz w:val="21"/>
              </w:rPr>
            </w:pPr>
          </w:p>
          <w:p w14:paraId="26E628E6">
            <w:pPr>
              <w:pStyle w:val="9"/>
              <w:spacing w:before="68"/>
              <w:ind w:left="370"/>
            </w:pPr>
            <w:r>
              <w:t>9</w:t>
            </w:r>
          </w:p>
        </w:tc>
        <w:tc>
          <w:tcPr>
            <w:tcW w:w="7621" w:type="dxa"/>
            <w:vAlign w:val="top"/>
          </w:tcPr>
          <w:p w14:paraId="62E3889B">
            <w:pPr>
              <w:pStyle w:val="9"/>
              <w:spacing w:before="138" w:line="288" w:lineRule="auto"/>
              <w:ind w:left="128" w:right="115" w:hanging="14"/>
            </w:pPr>
            <w:r>
              <w:rPr>
                <w:spacing w:val="1"/>
              </w:rPr>
              <w:t>各路面承包人应对高程控制点准确放样，严禁为提高高程的合格率而挪动检测点</w:t>
            </w:r>
            <w:r>
              <w:rPr>
                <w:spacing w:val="-3"/>
              </w:rPr>
              <w:t>的位置。若发现有此行为的，违约金</w:t>
            </w:r>
            <w:r>
              <w:rPr>
                <w:spacing w:val="-37"/>
              </w:rPr>
              <w:t xml:space="preserve"> </w:t>
            </w:r>
            <w:r>
              <w:rPr>
                <w:spacing w:val="-3"/>
              </w:rPr>
              <w:t>3000</w:t>
            </w:r>
            <w:r>
              <w:rPr>
                <w:spacing w:val="-41"/>
              </w:rPr>
              <w:t xml:space="preserve"> </w:t>
            </w:r>
            <w:r>
              <w:rPr>
                <w:spacing w:val="-3"/>
              </w:rPr>
              <w:t>元/次。</w:t>
            </w:r>
          </w:p>
        </w:tc>
      </w:tr>
      <w:tr w14:paraId="21B5D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0A1269D5">
            <w:pPr>
              <w:rPr>
                <w:rFonts w:ascii="Arial"/>
                <w:sz w:val="21"/>
              </w:rPr>
            </w:pPr>
          </w:p>
        </w:tc>
        <w:tc>
          <w:tcPr>
            <w:tcW w:w="839" w:type="dxa"/>
            <w:vAlign w:val="top"/>
          </w:tcPr>
          <w:p w14:paraId="4325B5FA">
            <w:pPr>
              <w:spacing w:line="270" w:lineRule="auto"/>
              <w:rPr>
                <w:rFonts w:ascii="Arial"/>
                <w:sz w:val="21"/>
              </w:rPr>
            </w:pPr>
          </w:p>
          <w:p w14:paraId="67386EDF">
            <w:pPr>
              <w:pStyle w:val="9"/>
              <w:spacing w:before="68"/>
              <w:ind w:left="333"/>
            </w:pPr>
            <w:r>
              <w:rPr>
                <w:spacing w:val="-6"/>
              </w:rPr>
              <w:t>10</w:t>
            </w:r>
          </w:p>
        </w:tc>
        <w:tc>
          <w:tcPr>
            <w:tcW w:w="7621" w:type="dxa"/>
            <w:vAlign w:val="top"/>
          </w:tcPr>
          <w:p w14:paraId="481AC8BC">
            <w:pPr>
              <w:pStyle w:val="9"/>
              <w:spacing w:before="141" w:line="287" w:lineRule="auto"/>
              <w:ind w:left="113" w:right="115" w:hanging="2"/>
            </w:pPr>
            <w:r>
              <w:rPr>
                <w:spacing w:val="1"/>
              </w:rPr>
              <w:t>基层透层、沥青路面下封层和粘层各项技术指标应符合规定，如发现洒布量不足</w:t>
            </w:r>
            <w:r>
              <w:rPr>
                <w:spacing w:val="-3"/>
              </w:rPr>
              <w:t>或洒布不均匀的</w:t>
            </w:r>
            <w:r>
              <w:rPr>
                <w:rFonts w:hint="eastAsia"/>
                <w:spacing w:val="-3"/>
                <w:lang w:eastAsia="zh-CN"/>
              </w:rPr>
              <w:t>，</w:t>
            </w:r>
            <w:r>
              <w:rPr>
                <w:spacing w:val="-3"/>
              </w:rPr>
              <w:t>违约金</w:t>
            </w:r>
            <w:r>
              <w:rPr>
                <w:spacing w:val="-36"/>
              </w:rPr>
              <w:t xml:space="preserve"> </w:t>
            </w:r>
            <w:r>
              <w:rPr>
                <w:spacing w:val="-3"/>
              </w:rPr>
              <w:t>3000</w:t>
            </w:r>
            <w:r>
              <w:rPr>
                <w:spacing w:val="-42"/>
              </w:rPr>
              <w:t xml:space="preserve"> </w:t>
            </w:r>
            <w:r>
              <w:rPr>
                <w:spacing w:val="-3"/>
              </w:rPr>
              <w:t>元/处。</w:t>
            </w:r>
          </w:p>
        </w:tc>
      </w:tr>
      <w:tr w14:paraId="3755F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0F9E668E">
            <w:pPr>
              <w:rPr>
                <w:rFonts w:ascii="Arial"/>
                <w:sz w:val="21"/>
              </w:rPr>
            </w:pPr>
          </w:p>
        </w:tc>
        <w:tc>
          <w:tcPr>
            <w:tcW w:w="839" w:type="dxa"/>
            <w:vAlign w:val="top"/>
          </w:tcPr>
          <w:p w14:paraId="71B6690C">
            <w:pPr>
              <w:spacing w:line="272" w:lineRule="auto"/>
              <w:rPr>
                <w:rFonts w:ascii="Arial"/>
                <w:sz w:val="21"/>
              </w:rPr>
            </w:pPr>
          </w:p>
          <w:p w14:paraId="232119AB">
            <w:pPr>
              <w:pStyle w:val="9"/>
              <w:spacing w:before="68" w:line="241" w:lineRule="auto"/>
              <w:ind w:left="333"/>
            </w:pPr>
            <w:r>
              <w:rPr>
                <w:spacing w:val="-6"/>
              </w:rPr>
              <w:t>11</w:t>
            </w:r>
          </w:p>
        </w:tc>
        <w:tc>
          <w:tcPr>
            <w:tcW w:w="7621" w:type="dxa"/>
            <w:vAlign w:val="top"/>
          </w:tcPr>
          <w:p w14:paraId="00E4053B">
            <w:pPr>
              <w:pStyle w:val="9"/>
              <w:spacing w:before="141" w:line="287" w:lineRule="auto"/>
              <w:ind w:left="112" w:right="112"/>
            </w:pPr>
            <w:r>
              <w:rPr>
                <w:spacing w:val="1"/>
              </w:rPr>
              <w:t>拌和楼称量装置没有定期标定的，拌和数据无安装系统远程自动采集监测的，无</w:t>
            </w:r>
            <w:r>
              <w:rPr>
                <w:spacing w:val="-2"/>
              </w:rPr>
              <w:t>法打印生产清单，或对数据进行人工修改的，违约金</w:t>
            </w:r>
            <w:r>
              <w:rPr>
                <w:spacing w:val="-30"/>
              </w:rPr>
              <w:t xml:space="preserve"> </w:t>
            </w:r>
            <w:r>
              <w:rPr>
                <w:spacing w:val="-2"/>
              </w:rPr>
              <w:t>5000</w:t>
            </w:r>
            <w:r>
              <w:rPr>
                <w:spacing w:val="-42"/>
              </w:rPr>
              <w:t xml:space="preserve"> </w:t>
            </w:r>
            <w:r>
              <w:rPr>
                <w:spacing w:val="-2"/>
              </w:rPr>
              <w:t>元/次。</w:t>
            </w:r>
          </w:p>
        </w:tc>
      </w:tr>
      <w:tr w14:paraId="18911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32" w:type="dxa"/>
            <w:vMerge w:val="continue"/>
            <w:tcBorders>
              <w:top w:val="nil"/>
              <w:bottom w:val="nil"/>
            </w:tcBorders>
            <w:vAlign w:val="top"/>
          </w:tcPr>
          <w:p w14:paraId="5DB5855A">
            <w:pPr>
              <w:rPr>
                <w:rFonts w:ascii="Arial"/>
                <w:sz w:val="21"/>
              </w:rPr>
            </w:pPr>
          </w:p>
        </w:tc>
        <w:tc>
          <w:tcPr>
            <w:tcW w:w="839" w:type="dxa"/>
            <w:vAlign w:val="top"/>
          </w:tcPr>
          <w:p w14:paraId="6AACCBF0">
            <w:pPr>
              <w:spacing w:line="471" w:lineRule="auto"/>
              <w:rPr>
                <w:rFonts w:ascii="Arial"/>
                <w:sz w:val="21"/>
              </w:rPr>
            </w:pPr>
          </w:p>
          <w:p w14:paraId="5AC06327">
            <w:pPr>
              <w:pStyle w:val="9"/>
              <w:spacing w:before="68" w:line="241" w:lineRule="auto"/>
              <w:ind w:left="333"/>
            </w:pPr>
            <w:r>
              <w:rPr>
                <w:spacing w:val="-6"/>
              </w:rPr>
              <w:t>12</w:t>
            </w:r>
          </w:p>
        </w:tc>
        <w:tc>
          <w:tcPr>
            <w:tcW w:w="7621" w:type="dxa"/>
            <w:vAlign w:val="top"/>
          </w:tcPr>
          <w:p w14:paraId="17F30F38">
            <w:pPr>
              <w:pStyle w:val="9"/>
              <w:spacing w:before="143" w:line="308" w:lineRule="auto"/>
              <w:ind w:left="112" w:right="109" w:hanging="1"/>
              <w:jc w:val="both"/>
            </w:pPr>
            <w:r>
              <w:rPr>
                <w:spacing w:val="1"/>
              </w:rPr>
              <w:t>承包人不得自行采购或挪用甲供材料，沥青实际用量与经批复的生产配合比所计算沥青数量（因重大变更引起的数量差额除外）少于 0.3%或超出 1%，按差价部</w:t>
            </w:r>
            <w:r>
              <w:rPr>
                <w:spacing w:val="-4"/>
              </w:rPr>
              <w:t>分双倍材料价款罚金。</w:t>
            </w:r>
          </w:p>
        </w:tc>
      </w:tr>
      <w:tr w14:paraId="1A320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478358B5">
            <w:pPr>
              <w:rPr>
                <w:rFonts w:ascii="Arial"/>
                <w:sz w:val="21"/>
              </w:rPr>
            </w:pPr>
          </w:p>
        </w:tc>
        <w:tc>
          <w:tcPr>
            <w:tcW w:w="839" w:type="dxa"/>
            <w:vAlign w:val="top"/>
          </w:tcPr>
          <w:p w14:paraId="2CDE984B">
            <w:pPr>
              <w:spacing w:line="272" w:lineRule="auto"/>
              <w:rPr>
                <w:rFonts w:ascii="Arial"/>
                <w:sz w:val="21"/>
              </w:rPr>
            </w:pPr>
          </w:p>
          <w:p w14:paraId="41D344FF">
            <w:pPr>
              <w:pStyle w:val="9"/>
              <w:spacing w:before="68"/>
              <w:ind w:left="333"/>
            </w:pPr>
            <w:r>
              <w:rPr>
                <w:spacing w:val="-6"/>
              </w:rPr>
              <w:t>13</w:t>
            </w:r>
          </w:p>
        </w:tc>
        <w:tc>
          <w:tcPr>
            <w:tcW w:w="7621" w:type="dxa"/>
            <w:vAlign w:val="top"/>
          </w:tcPr>
          <w:p w14:paraId="25B44EF0">
            <w:pPr>
              <w:pStyle w:val="9"/>
              <w:spacing w:before="142" w:line="287" w:lineRule="auto"/>
              <w:ind w:left="114" w:right="115" w:hanging="3"/>
            </w:pPr>
            <w:r>
              <w:rPr>
                <w:spacing w:val="1"/>
              </w:rPr>
              <w:t>承包人不得随意改变碎石材料来源，未经批准的材料严禁用于本工程，违反规定</w:t>
            </w:r>
            <w:r>
              <w:rPr>
                <w:spacing w:val="-2"/>
              </w:rPr>
              <w:t>一经发现，要求清退材料并处违约金</w:t>
            </w:r>
            <w:r>
              <w:rPr>
                <w:spacing w:val="-43"/>
              </w:rPr>
              <w:t xml:space="preserve"> </w:t>
            </w:r>
            <w:r>
              <w:rPr>
                <w:spacing w:val="-2"/>
              </w:rPr>
              <w:t>200000</w:t>
            </w:r>
            <w:r>
              <w:rPr>
                <w:spacing w:val="-42"/>
              </w:rPr>
              <w:t xml:space="preserve"> </w:t>
            </w:r>
            <w:r>
              <w:rPr>
                <w:spacing w:val="-2"/>
              </w:rPr>
              <w:t>元/次。</w:t>
            </w:r>
          </w:p>
        </w:tc>
      </w:tr>
      <w:tr w14:paraId="4640A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4632DE0E">
            <w:pPr>
              <w:rPr>
                <w:rFonts w:ascii="Arial"/>
                <w:sz w:val="21"/>
              </w:rPr>
            </w:pPr>
          </w:p>
        </w:tc>
        <w:tc>
          <w:tcPr>
            <w:tcW w:w="839" w:type="dxa"/>
            <w:vAlign w:val="top"/>
          </w:tcPr>
          <w:p w14:paraId="01242BFB">
            <w:pPr>
              <w:spacing w:line="272" w:lineRule="auto"/>
              <w:rPr>
                <w:rFonts w:ascii="Arial"/>
                <w:sz w:val="21"/>
              </w:rPr>
            </w:pPr>
          </w:p>
          <w:p w14:paraId="136ABE8A">
            <w:pPr>
              <w:pStyle w:val="9"/>
              <w:spacing w:before="68" w:line="241" w:lineRule="auto"/>
              <w:ind w:left="333"/>
            </w:pPr>
            <w:r>
              <w:rPr>
                <w:spacing w:val="-6"/>
              </w:rPr>
              <w:t>14</w:t>
            </w:r>
          </w:p>
        </w:tc>
        <w:tc>
          <w:tcPr>
            <w:tcW w:w="7621" w:type="dxa"/>
            <w:vAlign w:val="top"/>
          </w:tcPr>
          <w:p w14:paraId="17F8AC22">
            <w:pPr>
              <w:pStyle w:val="9"/>
              <w:spacing w:before="142" w:line="287" w:lineRule="auto"/>
              <w:ind w:left="110" w:right="105"/>
            </w:pPr>
            <w:r>
              <w:rPr>
                <w:spacing w:val="-3"/>
              </w:rPr>
              <w:t>施工点无施工员现场管理的，违约金</w:t>
            </w:r>
            <w:r>
              <w:rPr>
                <w:spacing w:val="-31"/>
              </w:rPr>
              <w:t xml:space="preserve"> </w:t>
            </w:r>
            <w:r>
              <w:rPr>
                <w:spacing w:val="-3"/>
              </w:rPr>
              <w:t>2000</w:t>
            </w:r>
            <w:r>
              <w:rPr>
                <w:spacing w:val="-41"/>
              </w:rPr>
              <w:t xml:space="preserve"> </w:t>
            </w:r>
            <w:r>
              <w:rPr>
                <w:spacing w:val="-3"/>
              </w:rPr>
              <w:t>元/次，超过</w:t>
            </w:r>
            <w:r>
              <w:rPr>
                <w:spacing w:val="-42"/>
              </w:rPr>
              <w:t xml:space="preserve"> </w:t>
            </w:r>
            <w:r>
              <w:rPr>
                <w:spacing w:val="-3"/>
              </w:rPr>
              <w:t>24</w:t>
            </w:r>
            <w:r>
              <w:rPr>
                <w:spacing w:val="-39"/>
              </w:rPr>
              <w:t xml:space="preserve"> </w:t>
            </w:r>
            <w:r>
              <w:rPr>
                <w:spacing w:val="-3"/>
              </w:rPr>
              <w:t>小时仍未安排施工员在场而继续施工的，违约金</w:t>
            </w:r>
            <w:r>
              <w:rPr>
                <w:spacing w:val="-33"/>
              </w:rPr>
              <w:t xml:space="preserve"> </w:t>
            </w:r>
            <w:r>
              <w:rPr>
                <w:spacing w:val="-3"/>
              </w:rPr>
              <w:t>5000</w:t>
            </w:r>
            <w:r>
              <w:rPr>
                <w:spacing w:val="-42"/>
              </w:rPr>
              <w:t xml:space="preserve"> </w:t>
            </w:r>
            <w:r>
              <w:rPr>
                <w:spacing w:val="-3"/>
              </w:rPr>
              <w:t>元/次。</w:t>
            </w:r>
          </w:p>
        </w:tc>
      </w:tr>
      <w:tr w14:paraId="4E17D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07FBD288">
            <w:pPr>
              <w:rPr>
                <w:rFonts w:ascii="Arial"/>
                <w:sz w:val="21"/>
              </w:rPr>
            </w:pPr>
          </w:p>
        </w:tc>
        <w:tc>
          <w:tcPr>
            <w:tcW w:w="839" w:type="dxa"/>
            <w:vAlign w:val="top"/>
          </w:tcPr>
          <w:p w14:paraId="7826379B">
            <w:pPr>
              <w:pStyle w:val="9"/>
              <w:spacing w:before="224"/>
              <w:ind w:left="333"/>
            </w:pPr>
            <w:r>
              <w:rPr>
                <w:spacing w:val="-6"/>
              </w:rPr>
              <w:t>15</w:t>
            </w:r>
          </w:p>
        </w:tc>
        <w:tc>
          <w:tcPr>
            <w:tcW w:w="7621" w:type="dxa"/>
            <w:vAlign w:val="top"/>
          </w:tcPr>
          <w:p w14:paraId="4EAEB3FF">
            <w:pPr>
              <w:pStyle w:val="9"/>
              <w:spacing w:before="224" w:line="220" w:lineRule="auto"/>
              <w:ind w:left="127"/>
            </w:pPr>
            <w:r>
              <w:rPr>
                <w:spacing w:val="-2"/>
              </w:rPr>
              <w:t>因摊铺速度过快或过振、缺振造成质量问题或返工的，违约金</w:t>
            </w:r>
            <w:r>
              <w:rPr>
                <w:spacing w:val="-29"/>
              </w:rPr>
              <w:t xml:space="preserve"> </w:t>
            </w:r>
            <w:r>
              <w:rPr>
                <w:spacing w:val="-2"/>
              </w:rPr>
              <w:t>1000</w:t>
            </w:r>
            <w:r>
              <w:rPr>
                <w:spacing w:val="-3"/>
              </w:rPr>
              <w:t>0</w:t>
            </w:r>
            <w:r>
              <w:rPr>
                <w:spacing w:val="-42"/>
              </w:rPr>
              <w:t xml:space="preserve"> </w:t>
            </w:r>
            <w:r>
              <w:rPr>
                <w:spacing w:val="-3"/>
              </w:rPr>
              <w:t>元/次。</w:t>
            </w:r>
          </w:p>
        </w:tc>
      </w:tr>
      <w:tr w14:paraId="4FB4C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EB8290C">
            <w:pPr>
              <w:rPr>
                <w:rFonts w:ascii="Arial"/>
                <w:sz w:val="21"/>
              </w:rPr>
            </w:pPr>
          </w:p>
        </w:tc>
        <w:tc>
          <w:tcPr>
            <w:tcW w:w="839" w:type="dxa"/>
            <w:vAlign w:val="top"/>
          </w:tcPr>
          <w:p w14:paraId="0EDBF3FD">
            <w:pPr>
              <w:spacing w:line="273" w:lineRule="auto"/>
              <w:rPr>
                <w:rFonts w:ascii="Arial"/>
                <w:sz w:val="21"/>
              </w:rPr>
            </w:pPr>
          </w:p>
          <w:p w14:paraId="4ADC3C5E">
            <w:pPr>
              <w:pStyle w:val="9"/>
              <w:spacing w:before="68"/>
              <w:ind w:left="333"/>
            </w:pPr>
            <w:r>
              <w:rPr>
                <w:spacing w:val="-6"/>
              </w:rPr>
              <w:t>16</w:t>
            </w:r>
          </w:p>
        </w:tc>
        <w:tc>
          <w:tcPr>
            <w:tcW w:w="7621" w:type="dxa"/>
            <w:vAlign w:val="top"/>
          </w:tcPr>
          <w:p w14:paraId="2E960CA0">
            <w:pPr>
              <w:pStyle w:val="9"/>
              <w:spacing w:before="144" w:line="286" w:lineRule="auto"/>
              <w:ind w:left="115" w:right="115"/>
            </w:pPr>
            <w:r>
              <w:rPr>
                <w:spacing w:val="1"/>
              </w:rPr>
              <w:t>不按设计要求设置拉杆、传力杆、胀缝钢筋骨架、板块补强钢筋的，传力杆安装</w:t>
            </w:r>
            <w:r>
              <w:rPr>
                <w:spacing w:val="-2"/>
              </w:rPr>
              <w:t>不水平偏斜的，胀缝板弯曲、位移、连浆、倾斜的，违约金</w:t>
            </w:r>
            <w:r>
              <w:rPr>
                <w:spacing w:val="-27"/>
              </w:rPr>
              <w:t xml:space="preserve"> </w:t>
            </w:r>
            <w:r>
              <w:rPr>
                <w:spacing w:val="-2"/>
              </w:rPr>
              <w:t>5000</w:t>
            </w:r>
            <w:r>
              <w:rPr>
                <w:spacing w:val="-41"/>
              </w:rPr>
              <w:t xml:space="preserve"> </w:t>
            </w:r>
            <w:r>
              <w:rPr>
                <w:spacing w:val="-2"/>
              </w:rPr>
              <w:t>元/次。</w:t>
            </w:r>
          </w:p>
        </w:tc>
      </w:tr>
      <w:tr w14:paraId="1E4D8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763BCD5D">
            <w:pPr>
              <w:rPr>
                <w:rFonts w:ascii="Arial"/>
                <w:sz w:val="21"/>
              </w:rPr>
            </w:pPr>
          </w:p>
        </w:tc>
        <w:tc>
          <w:tcPr>
            <w:tcW w:w="839" w:type="dxa"/>
            <w:vAlign w:val="top"/>
          </w:tcPr>
          <w:p w14:paraId="59085B6B">
            <w:pPr>
              <w:spacing w:line="273" w:lineRule="auto"/>
              <w:rPr>
                <w:rFonts w:ascii="Arial"/>
                <w:sz w:val="21"/>
              </w:rPr>
            </w:pPr>
          </w:p>
          <w:p w14:paraId="43D816AD">
            <w:pPr>
              <w:pStyle w:val="9"/>
              <w:spacing w:before="68"/>
              <w:ind w:left="333"/>
            </w:pPr>
            <w:r>
              <w:rPr>
                <w:spacing w:val="-6"/>
              </w:rPr>
              <w:t>17</w:t>
            </w:r>
          </w:p>
        </w:tc>
        <w:tc>
          <w:tcPr>
            <w:tcW w:w="7621" w:type="dxa"/>
            <w:vAlign w:val="top"/>
          </w:tcPr>
          <w:p w14:paraId="0FC6BF14">
            <w:pPr>
              <w:pStyle w:val="9"/>
              <w:spacing w:before="144" w:line="286" w:lineRule="auto"/>
              <w:ind w:left="115" w:right="108" w:hanging="5"/>
            </w:pPr>
            <w:r>
              <w:rPr>
                <w:spacing w:val="1"/>
              </w:rPr>
              <w:t>切缝深度不够、不直顺，胀缝灌缝不饱满，胀缝表面缺陷、接缝不顺直；违约金</w:t>
            </w:r>
            <w:r>
              <w:rPr>
                <w:spacing w:val="-3"/>
              </w:rPr>
              <w:t>5000</w:t>
            </w:r>
            <w:r>
              <w:rPr>
                <w:spacing w:val="-43"/>
              </w:rPr>
              <w:t xml:space="preserve"> </w:t>
            </w:r>
            <w:r>
              <w:rPr>
                <w:spacing w:val="-3"/>
              </w:rPr>
              <w:t>元/处。</w:t>
            </w:r>
          </w:p>
        </w:tc>
      </w:tr>
      <w:tr w14:paraId="51F0E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25C1DCE">
            <w:pPr>
              <w:rPr>
                <w:rFonts w:ascii="Arial"/>
                <w:sz w:val="21"/>
              </w:rPr>
            </w:pPr>
          </w:p>
        </w:tc>
        <w:tc>
          <w:tcPr>
            <w:tcW w:w="839" w:type="dxa"/>
            <w:vAlign w:val="top"/>
          </w:tcPr>
          <w:p w14:paraId="678F31DC">
            <w:pPr>
              <w:pStyle w:val="9"/>
              <w:spacing w:before="225"/>
              <w:ind w:left="333"/>
            </w:pPr>
            <w:r>
              <w:rPr>
                <w:spacing w:val="-6"/>
              </w:rPr>
              <w:t>18</w:t>
            </w:r>
          </w:p>
        </w:tc>
        <w:tc>
          <w:tcPr>
            <w:tcW w:w="7621" w:type="dxa"/>
            <w:vAlign w:val="top"/>
          </w:tcPr>
          <w:p w14:paraId="6CE11BAB">
            <w:pPr>
              <w:pStyle w:val="9"/>
              <w:spacing w:before="225" w:line="219" w:lineRule="auto"/>
              <w:ind w:left="111"/>
            </w:pPr>
            <w:r>
              <w:rPr>
                <w:spacing w:val="-1"/>
              </w:rPr>
              <w:t>运输过程中应加盖蓬布，洒落混合料污染已成型路</w:t>
            </w:r>
            <w:r>
              <w:rPr>
                <w:spacing w:val="-2"/>
              </w:rPr>
              <w:t>面，违约金</w:t>
            </w:r>
            <w:r>
              <w:rPr>
                <w:spacing w:val="-43"/>
              </w:rPr>
              <w:t xml:space="preserve"> </w:t>
            </w:r>
            <w:r>
              <w:rPr>
                <w:spacing w:val="-2"/>
              </w:rPr>
              <w:t>2000</w:t>
            </w:r>
            <w:r>
              <w:rPr>
                <w:spacing w:val="-41"/>
              </w:rPr>
              <w:t xml:space="preserve"> </w:t>
            </w:r>
            <w:r>
              <w:rPr>
                <w:spacing w:val="-2"/>
              </w:rPr>
              <w:t>元/次。</w:t>
            </w:r>
          </w:p>
        </w:tc>
      </w:tr>
      <w:tr w14:paraId="1B622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32E5E42D">
            <w:pPr>
              <w:rPr>
                <w:rFonts w:ascii="Arial"/>
                <w:sz w:val="21"/>
              </w:rPr>
            </w:pPr>
          </w:p>
        </w:tc>
        <w:tc>
          <w:tcPr>
            <w:tcW w:w="839" w:type="dxa"/>
            <w:vAlign w:val="top"/>
          </w:tcPr>
          <w:p w14:paraId="1CEDB741">
            <w:pPr>
              <w:spacing w:line="273" w:lineRule="auto"/>
              <w:rPr>
                <w:rFonts w:ascii="Arial"/>
                <w:sz w:val="21"/>
              </w:rPr>
            </w:pPr>
          </w:p>
          <w:p w14:paraId="43E4179E">
            <w:pPr>
              <w:pStyle w:val="9"/>
              <w:spacing w:before="68"/>
              <w:ind w:left="333"/>
            </w:pPr>
            <w:r>
              <w:rPr>
                <w:spacing w:val="-6"/>
              </w:rPr>
              <w:t>19</w:t>
            </w:r>
          </w:p>
        </w:tc>
        <w:tc>
          <w:tcPr>
            <w:tcW w:w="7621" w:type="dxa"/>
            <w:vAlign w:val="top"/>
          </w:tcPr>
          <w:p w14:paraId="2AC13BA2">
            <w:pPr>
              <w:pStyle w:val="9"/>
              <w:spacing w:before="144" w:line="286" w:lineRule="auto"/>
              <w:ind w:left="113" w:right="115" w:hanging="3"/>
            </w:pPr>
            <w:r>
              <w:rPr>
                <w:spacing w:val="1"/>
              </w:rPr>
              <w:t>施工时随意将剩料或废料向路基边坡、桥底、涵洞内或路外倾倒，造成环境污染</w:t>
            </w:r>
            <w:r>
              <w:rPr>
                <w:spacing w:val="-2"/>
              </w:rPr>
              <w:t>或伤害人员、堵塞沟渠、损坏绿化的，违约金</w:t>
            </w:r>
            <w:r>
              <w:rPr>
                <w:spacing w:val="-29"/>
              </w:rPr>
              <w:t xml:space="preserve"> </w:t>
            </w:r>
            <w:r>
              <w:rPr>
                <w:spacing w:val="-2"/>
              </w:rPr>
              <w:t>100</w:t>
            </w:r>
            <w:r>
              <w:rPr>
                <w:spacing w:val="-3"/>
              </w:rPr>
              <w:t>00</w:t>
            </w:r>
            <w:r>
              <w:rPr>
                <w:spacing w:val="-42"/>
              </w:rPr>
              <w:t xml:space="preserve"> </w:t>
            </w:r>
            <w:r>
              <w:rPr>
                <w:spacing w:val="-3"/>
              </w:rPr>
              <w:t>元/次。</w:t>
            </w:r>
          </w:p>
        </w:tc>
      </w:tr>
      <w:tr w14:paraId="7FB54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4787CF09">
            <w:pPr>
              <w:rPr>
                <w:rFonts w:ascii="Arial"/>
                <w:sz w:val="21"/>
              </w:rPr>
            </w:pPr>
          </w:p>
        </w:tc>
        <w:tc>
          <w:tcPr>
            <w:tcW w:w="839" w:type="dxa"/>
            <w:vAlign w:val="top"/>
          </w:tcPr>
          <w:p w14:paraId="2F93C6BE">
            <w:pPr>
              <w:spacing w:line="273" w:lineRule="auto"/>
              <w:rPr>
                <w:rFonts w:ascii="Arial"/>
                <w:sz w:val="21"/>
              </w:rPr>
            </w:pPr>
          </w:p>
          <w:p w14:paraId="1B35C903">
            <w:pPr>
              <w:pStyle w:val="9"/>
              <w:spacing w:before="68"/>
              <w:ind w:left="320"/>
            </w:pPr>
            <w:r>
              <w:rPr>
                <w:spacing w:val="-3"/>
              </w:rPr>
              <w:t>20</w:t>
            </w:r>
          </w:p>
        </w:tc>
        <w:tc>
          <w:tcPr>
            <w:tcW w:w="7621" w:type="dxa"/>
            <w:vAlign w:val="top"/>
          </w:tcPr>
          <w:p w14:paraId="3ECD22EC">
            <w:pPr>
              <w:pStyle w:val="9"/>
              <w:spacing w:before="144" w:line="286" w:lineRule="auto"/>
              <w:ind w:left="112" w:right="115" w:hanging="1"/>
            </w:pPr>
            <w:r>
              <w:rPr>
                <w:spacing w:val="1"/>
              </w:rPr>
              <w:t>沥青面层施工前，承包人应对所有施工进出口设置岗亭，并配置高压水枪、水槽</w:t>
            </w:r>
            <w:r>
              <w:rPr>
                <w:spacing w:val="-2"/>
              </w:rPr>
              <w:t>等清洗车轮的设备，如发现未按要求设置的，违约金</w:t>
            </w:r>
            <w:r>
              <w:rPr>
                <w:spacing w:val="-28"/>
              </w:rPr>
              <w:t xml:space="preserve"> </w:t>
            </w:r>
            <w:r>
              <w:rPr>
                <w:spacing w:val="-2"/>
              </w:rPr>
              <w:t>50000</w:t>
            </w:r>
            <w:r>
              <w:rPr>
                <w:spacing w:val="-42"/>
              </w:rPr>
              <w:t xml:space="preserve"> </w:t>
            </w:r>
            <w:r>
              <w:rPr>
                <w:spacing w:val="-2"/>
              </w:rPr>
              <w:t>元/次。</w:t>
            </w:r>
          </w:p>
        </w:tc>
      </w:tr>
      <w:tr w14:paraId="1C78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32" w:type="dxa"/>
            <w:vMerge w:val="continue"/>
            <w:tcBorders>
              <w:top w:val="nil"/>
            </w:tcBorders>
            <w:vAlign w:val="top"/>
          </w:tcPr>
          <w:p w14:paraId="788F982A">
            <w:pPr>
              <w:rPr>
                <w:rFonts w:ascii="Arial"/>
                <w:sz w:val="21"/>
              </w:rPr>
            </w:pPr>
          </w:p>
        </w:tc>
        <w:tc>
          <w:tcPr>
            <w:tcW w:w="839" w:type="dxa"/>
            <w:vAlign w:val="top"/>
          </w:tcPr>
          <w:p w14:paraId="46D07072">
            <w:pPr>
              <w:spacing w:line="335" w:lineRule="auto"/>
              <w:rPr>
                <w:rFonts w:ascii="Arial"/>
                <w:sz w:val="21"/>
              </w:rPr>
            </w:pPr>
          </w:p>
          <w:p w14:paraId="34639689">
            <w:pPr>
              <w:spacing w:line="336" w:lineRule="auto"/>
              <w:rPr>
                <w:rFonts w:ascii="Arial"/>
                <w:sz w:val="21"/>
              </w:rPr>
            </w:pPr>
          </w:p>
          <w:p w14:paraId="00B316BD">
            <w:pPr>
              <w:pStyle w:val="9"/>
              <w:spacing w:before="68" w:line="241" w:lineRule="auto"/>
              <w:ind w:left="320"/>
            </w:pPr>
            <w:r>
              <w:rPr>
                <w:spacing w:val="-3"/>
              </w:rPr>
              <w:t>21</w:t>
            </w:r>
          </w:p>
        </w:tc>
        <w:tc>
          <w:tcPr>
            <w:tcW w:w="7621" w:type="dxa"/>
            <w:vAlign w:val="top"/>
          </w:tcPr>
          <w:p w14:paraId="450AB12D">
            <w:pPr>
              <w:pStyle w:val="9"/>
              <w:spacing w:before="142" w:line="320" w:lineRule="auto"/>
              <w:ind w:left="110" w:right="103"/>
              <w:jc w:val="both"/>
            </w:pPr>
            <w:r>
              <w:rPr>
                <w:spacing w:val="-2"/>
              </w:rPr>
              <w:t>对于各批次沥青混合料的抽查，若实际配合比</w:t>
            </w:r>
            <w:r>
              <w:rPr>
                <w:rFonts w:hint="eastAsia"/>
                <w:spacing w:val="-2"/>
                <w:lang w:eastAsia="zh-CN"/>
              </w:rPr>
              <w:t>（</w:t>
            </w:r>
            <w:r>
              <w:rPr>
                <w:spacing w:val="-2"/>
              </w:rPr>
              <w:t>按承包人、监理、第三方监控单位</w:t>
            </w:r>
            <w:r>
              <w:rPr>
                <w:spacing w:val="4"/>
              </w:rPr>
              <w:t>试验的试验结果的平均值计算</w:t>
            </w:r>
            <w:r>
              <w:rPr>
                <w:rFonts w:hint="eastAsia"/>
                <w:spacing w:val="4"/>
                <w:lang w:eastAsia="zh-CN"/>
              </w:rPr>
              <w:t>）</w:t>
            </w:r>
            <w:r>
              <w:rPr>
                <w:spacing w:val="4"/>
              </w:rPr>
              <w:t>小于按照监理人审查批准的正式生产配合比的偏</w:t>
            </w:r>
            <w:r>
              <w:rPr>
                <w:spacing w:val="-2"/>
              </w:rPr>
              <w:t>差超过 0.2%，违约金</w:t>
            </w:r>
            <w:r>
              <w:rPr>
                <w:spacing w:val="-30"/>
              </w:rPr>
              <w:t xml:space="preserve"> </w:t>
            </w:r>
            <w:r>
              <w:rPr>
                <w:spacing w:val="-2"/>
              </w:rPr>
              <w:t>10</w:t>
            </w:r>
            <w:r>
              <w:rPr>
                <w:spacing w:val="-40"/>
              </w:rPr>
              <w:t xml:space="preserve"> </w:t>
            </w:r>
            <w:r>
              <w:rPr>
                <w:spacing w:val="-2"/>
              </w:rPr>
              <w:t>万元/次；施工的正</w:t>
            </w:r>
            <w:r>
              <w:rPr>
                <w:spacing w:val="-3"/>
              </w:rPr>
              <w:t>式生产配比中集料的通过率超过规范</w:t>
            </w:r>
            <w:r>
              <w:rPr>
                <w:spacing w:val="-5"/>
              </w:rPr>
              <w:t>允许偏差，违约金</w:t>
            </w:r>
            <w:r>
              <w:rPr>
                <w:spacing w:val="-22"/>
              </w:rPr>
              <w:t xml:space="preserve"> </w:t>
            </w:r>
            <w:r>
              <w:rPr>
                <w:spacing w:val="-5"/>
              </w:rPr>
              <w:t>10</w:t>
            </w:r>
            <w:r>
              <w:rPr>
                <w:spacing w:val="-38"/>
              </w:rPr>
              <w:t xml:space="preserve"> </w:t>
            </w:r>
            <w:r>
              <w:rPr>
                <w:spacing w:val="-5"/>
              </w:rPr>
              <w:t>万元/次。</w:t>
            </w:r>
          </w:p>
        </w:tc>
      </w:tr>
    </w:tbl>
    <w:p w14:paraId="4DB99BF8">
      <w:pPr>
        <w:pStyle w:val="2"/>
      </w:pPr>
    </w:p>
    <w:p w14:paraId="631191DC">
      <w:pPr>
        <w:sectPr>
          <w:footerReference r:id="rId141" w:type="default"/>
          <w:pgSz w:w="11905" w:h="16840"/>
          <w:pgMar w:top="1182" w:right="1303" w:bottom="1171" w:left="1303" w:header="849" w:footer="937" w:gutter="0"/>
          <w:pgNumType w:fmt="decimal"/>
          <w:cols w:space="720" w:num="1"/>
        </w:sectPr>
      </w:pPr>
    </w:p>
    <w:p w14:paraId="0AF7F8FB">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74669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055787A8">
            <w:pPr>
              <w:pStyle w:val="9"/>
              <w:spacing w:before="225" w:line="220" w:lineRule="auto"/>
              <w:ind w:left="210"/>
            </w:pPr>
            <w:r>
              <w:rPr>
                <w:b/>
                <w:bCs/>
                <w:spacing w:val="-4"/>
              </w:rPr>
              <w:t>类别</w:t>
            </w:r>
          </w:p>
        </w:tc>
        <w:tc>
          <w:tcPr>
            <w:tcW w:w="839" w:type="dxa"/>
            <w:vAlign w:val="top"/>
          </w:tcPr>
          <w:p w14:paraId="4090DAE2">
            <w:pPr>
              <w:pStyle w:val="9"/>
              <w:spacing w:before="226" w:line="221" w:lineRule="auto"/>
              <w:ind w:left="211"/>
            </w:pPr>
            <w:r>
              <w:rPr>
                <w:b/>
                <w:bCs/>
                <w:spacing w:val="-4"/>
              </w:rPr>
              <w:t>序号</w:t>
            </w:r>
          </w:p>
        </w:tc>
        <w:tc>
          <w:tcPr>
            <w:tcW w:w="7621" w:type="dxa"/>
            <w:vAlign w:val="top"/>
          </w:tcPr>
          <w:p w14:paraId="55540802">
            <w:pPr>
              <w:pStyle w:val="9"/>
              <w:spacing w:before="226" w:line="220" w:lineRule="auto"/>
              <w:ind w:left="3393"/>
            </w:pPr>
            <w:r>
              <w:rPr>
                <w:b/>
                <w:bCs/>
                <w:spacing w:val="-4"/>
              </w:rPr>
              <w:t>违约项目</w:t>
            </w:r>
          </w:p>
        </w:tc>
      </w:tr>
      <w:tr w14:paraId="47FE2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Align w:val="top"/>
          </w:tcPr>
          <w:p w14:paraId="36328BAA">
            <w:pPr>
              <w:rPr>
                <w:rFonts w:ascii="Arial"/>
                <w:sz w:val="21"/>
              </w:rPr>
            </w:pPr>
          </w:p>
        </w:tc>
        <w:tc>
          <w:tcPr>
            <w:tcW w:w="839" w:type="dxa"/>
            <w:vAlign w:val="top"/>
          </w:tcPr>
          <w:p w14:paraId="0A6ACAB4">
            <w:pPr>
              <w:spacing w:line="268" w:lineRule="auto"/>
              <w:rPr>
                <w:rFonts w:ascii="Arial"/>
                <w:sz w:val="21"/>
              </w:rPr>
            </w:pPr>
          </w:p>
          <w:p w14:paraId="7CC2A063">
            <w:pPr>
              <w:pStyle w:val="9"/>
              <w:spacing w:before="68" w:line="241" w:lineRule="auto"/>
              <w:ind w:left="320"/>
            </w:pPr>
            <w:r>
              <w:rPr>
                <w:spacing w:val="-3"/>
              </w:rPr>
              <w:t>22</w:t>
            </w:r>
          </w:p>
        </w:tc>
        <w:tc>
          <w:tcPr>
            <w:tcW w:w="7621" w:type="dxa"/>
            <w:vAlign w:val="top"/>
          </w:tcPr>
          <w:p w14:paraId="0168719B">
            <w:pPr>
              <w:pStyle w:val="9"/>
              <w:spacing w:before="138" w:line="288" w:lineRule="auto"/>
              <w:ind w:left="116" w:right="107" w:hanging="5"/>
            </w:pPr>
            <w:r>
              <w:t>沥青面层集料检查发现集料含泥量超标或</w:t>
            </w:r>
            <w:r>
              <w:rPr>
                <w:spacing w:val="-36"/>
              </w:rPr>
              <w:t xml:space="preserve"> </w:t>
            </w:r>
            <w:r>
              <w:t>0-3mm</w:t>
            </w:r>
            <w:r>
              <w:rPr>
                <w:spacing w:val="-41"/>
              </w:rPr>
              <w:t xml:space="preserve"> </w:t>
            </w:r>
            <w:r>
              <w:t>细集料</w:t>
            </w:r>
            <w:r>
              <w:rPr>
                <w:spacing w:val="-42"/>
              </w:rPr>
              <w:t xml:space="preserve"> </w:t>
            </w:r>
            <w:r>
              <w:t>0.075mm</w:t>
            </w:r>
            <w:r>
              <w:rPr>
                <w:spacing w:val="-41"/>
              </w:rPr>
              <w:t xml:space="preserve"> </w:t>
            </w:r>
            <w:r>
              <w:t>通过</w:t>
            </w:r>
            <w:r>
              <w:rPr>
                <w:spacing w:val="-1"/>
              </w:rPr>
              <w:t>率超标，违</w:t>
            </w:r>
            <w:r>
              <w:rPr>
                <w:spacing w:val="-6"/>
              </w:rPr>
              <w:t>约金</w:t>
            </w:r>
            <w:r>
              <w:rPr>
                <w:spacing w:val="-37"/>
              </w:rPr>
              <w:t xml:space="preserve"> </w:t>
            </w:r>
            <w:r>
              <w:rPr>
                <w:spacing w:val="-6"/>
              </w:rPr>
              <w:t>5000</w:t>
            </w:r>
            <w:r>
              <w:rPr>
                <w:spacing w:val="-41"/>
              </w:rPr>
              <w:t xml:space="preserve"> </w:t>
            </w:r>
            <w:r>
              <w:rPr>
                <w:spacing w:val="-6"/>
              </w:rPr>
              <w:t>元/次。</w:t>
            </w:r>
          </w:p>
        </w:tc>
      </w:tr>
      <w:tr w14:paraId="26A79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Merge w:val="restart"/>
            <w:tcBorders>
              <w:bottom w:val="nil"/>
            </w:tcBorders>
            <w:vAlign w:val="top"/>
          </w:tcPr>
          <w:p w14:paraId="65AC3441">
            <w:pPr>
              <w:spacing w:line="246" w:lineRule="auto"/>
              <w:rPr>
                <w:rFonts w:ascii="Arial"/>
                <w:sz w:val="21"/>
              </w:rPr>
            </w:pPr>
          </w:p>
          <w:p w14:paraId="39B4C6FC">
            <w:pPr>
              <w:spacing w:line="246" w:lineRule="auto"/>
              <w:rPr>
                <w:rFonts w:ascii="Arial"/>
                <w:sz w:val="21"/>
              </w:rPr>
            </w:pPr>
          </w:p>
          <w:p w14:paraId="08916F1C">
            <w:pPr>
              <w:spacing w:line="246" w:lineRule="auto"/>
              <w:rPr>
                <w:rFonts w:ascii="Arial"/>
                <w:sz w:val="21"/>
              </w:rPr>
            </w:pPr>
          </w:p>
          <w:p w14:paraId="10C010A0">
            <w:pPr>
              <w:spacing w:line="246" w:lineRule="auto"/>
              <w:rPr>
                <w:rFonts w:ascii="Arial"/>
                <w:sz w:val="21"/>
              </w:rPr>
            </w:pPr>
          </w:p>
          <w:p w14:paraId="33B9C291">
            <w:pPr>
              <w:spacing w:line="246" w:lineRule="auto"/>
              <w:rPr>
                <w:rFonts w:ascii="Arial"/>
                <w:sz w:val="21"/>
              </w:rPr>
            </w:pPr>
          </w:p>
          <w:p w14:paraId="0F231268">
            <w:pPr>
              <w:spacing w:line="246" w:lineRule="auto"/>
              <w:rPr>
                <w:rFonts w:ascii="Arial"/>
                <w:sz w:val="21"/>
              </w:rPr>
            </w:pPr>
          </w:p>
          <w:p w14:paraId="6771F394">
            <w:pPr>
              <w:spacing w:line="246" w:lineRule="auto"/>
              <w:rPr>
                <w:rFonts w:ascii="Arial"/>
                <w:sz w:val="21"/>
              </w:rPr>
            </w:pPr>
          </w:p>
          <w:p w14:paraId="139FCD41">
            <w:pPr>
              <w:spacing w:line="246" w:lineRule="auto"/>
              <w:rPr>
                <w:rFonts w:ascii="Arial"/>
                <w:sz w:val="21"/>
              </w:rPr>
            </w:pPr>
          </w:p>
          <w:p w14:paraId="16FBCF81">
            <w:pPr>
              <w:spacing w:line="246" w:lineRule="auto"/>
              <w:rPr>
                <w:rFonts w:ascii="Arial"/>
                <w:sz w:val="21"/>
              </w:rPr>
            </w:pPr>
          </w:p>
          <w:p w14:paraId="166DA039">
            <w:pPr>
              <w:spacing w:line="246" w:lineRule="auto"/>
              <w:rPr>
                <w:rFonts w:ascii="Arial"/>
                <w:sz w:val="21"/>
              </w:rPr>
            </w:pPr>
          </w:p>
          <w:p w14:paraId="2037B86D">
            <w:pPr>
              <w:spacing w:line="246" w:lineRule="auto"/>
              <w:rPr>
                <w:rFonts w:ascii="Arial"/>
                <w:sz w:val="21"/>
              </w:rPr>
            </w:pPr>
          </w:p>
          <w:p w14:paraId="6AA25A1D">
            <w:pPr>
              <w:spacing w:line="246" w:lineRule="auto"/>
              <w:rPr>
                <w:rFonts w:ascii="Arial"/>
                <w:sz w:val="21"/>
              </w:rPr>
            </w:pPr>
          </w:p>
          <w:p w14:paraId="036C8926">
            <w:pPr>
              <w:spacing w:line="246" w:lineRule="auto"/>
              <w:rPr>
                <w:rFonts w:ascii="Arial"/>
                <w:sz w:val="21"/>
              </w:rPr>
            </w:pPr>
          </w:p>
          <w:p w14:paraId="0EB3149C">
            <w:pPr>
              <w:spacing w:line="246" w:lineRule="auto"/>
              <w:rPr>
                <w:rFonts w:ascii="Arial"/>
                <w:sz w:val="21"/>
              </w:rPr>
            </w:pPr>
          </w:p>
          <w:p w14:paraId="497169E9">
            <w:pPr>
              <w:spacing w:line="246" w:lineRule="auto"/>
              <w:rPr>
                <w:rFonts w:ascii="Arial"/>
                <w:sz w:val="21"/>
              </w:rPr>
            </w:pPr>
          </w:p>
          <w:p w14:paraId="44C3B2DF">
            <w:pPr>
              <w:spacing w:line="246" w:lineRule="auto"/>
              <w:rPr>
                <w:rFonts w:ascii="Arial"/>
                <w:sz w:val="21"/>
              </w:rPr>
            </w:pPr>
          </w:p>
          <w:p w14:paraId="538EB2D0">
            <w:pPr>
              <w:spacing w:line="246" w:lineRule="auto"/>
              <w:rPr>
                <w:rFonts w:ascii="Arial"/>
                <w:sz w:val="21"/>
              </w:rPr>
            </w:pPr>
          </w:p>
          <w:p w14:paraId="61A82008">
            <w:pPr>
              <w:spacing w:line="246" w:lineRule="auto"/>
              <w:rPr>
                <w:rFonts w:ascii="Arial"/>
                <w:sz w:val="21"/>
              </w:rPr>
            </w:pPr>
          </w:p>
          <w:p w14:paraId="343E43CF">
            <w:pPr>
              <w:spacing w:line="246" w:lineRule="auto"/>
              <w:rPr>
                <w:rFonts w:ascii="Arial"/>
                <w:sz w:val="21"/>
              </w:rPr>
            </w:pPr>
          </w:p>
          <w:p w14:paraId="3DAC893E">
            <w:pPr>
              <w:spacing w:line="246" w:lineRule="auto"/>
              <w:rPr>
                <w:rFonts w:ascii="Arial"/>
                <w:sz w:val="21"/>
              </w:rPr>
            </w:pPr>
          </w:p>
          <w:p w14:paraId="2FBD2F81">
            <w:pPr>
              <w:spacing w:line="247" w:lineRule="auto"/>
              <w:rPr>
                <w:rFonts w:ascii="Arial"/>
                <w:sz w:val="21"/>
              </w:rPr>
            </w:pPr>
          </w:p>
          <w:p w14:paraId="29B434E8">
            <w:pPr>
              <w:spacing w:line="247" w:lineRule="auto"/>
              <w:rPr>
                <w:rFonts w:ascii="Arial"/>
                <w:sz w:val="21"/>
              </w:rPr>
            </w:pPr>
          </w:p>
          <w:p w14:paraId="60411CED">
            <w:pPr>
              <w:spacing w:line="247" w:lineRule="auto"/>
              <w:rPr>
                <w:rFonts w:ascii="Arial"/>
                <w:sz w:val="21"/>
              </w:rPr>
            </w:pPr>
          </w:p>
          <w:p w14:paraId="413F7DB8">
            <w:pPr>
              <w:spacing w:line="247" w:lineRule="auto"/>
              <w:rPr>
                <w:rFonts w:ascii="Arial"/>
                <w:sz w:val="21"/>
              </w:rPr>
            </w:pPr>
          </w:p>
          <w:p w14:paraId="7FA65DF6">
            <w:pPr>
              <w:pStyle w:val="9"/>
              <w:spacing w:before="68" w:line="354" w:lineRule="auto"/>
              <w:ind w:left="213" w:right="204" w:firstLine="8"/>
            </w:pPr>
            <w:r>
              <w:rPr>
                <w:spacing w:val="-10"/>
              </w:rPr>
              <w:t>隧道</w:t>
            </w:r>
            <w:r>
              <w:rPr>
                <w:spacing w:val="-6"/>
              </w:rPr>
              <w:t>工程</w:t>
            </w:r>
          </w:p>
        </w:tc>
        <w:tc>
          <w:tcPr>
            <w:tcW w:w="839" w:type="dxa"/>
            <w:vAlign w:val="top"/>
          </w:tcPr>
          <w:p w14:paraId="534EFE4F">
            <w:pPr>
              <w:spacing w:line="468" w:lineRule="auto"/>
              <w:rPr>
                <w:rFonts w:ascii="Arial"/>
                <w:sz w:val="21"/>
              </w:rPr>
            </w:pPr>
          </w:p>
          <w:p w14:paraId="0DEB62A8">
            <w:pPr>
              <w:pStyle w:val="9"/>
              <w:spacing w:before="68" w:line="241" w:lineRule="auto"/>
              <w:ind w:left="385"/>
            </w:pPr>
            <w:r>
              <w:t>1</w:t>
            </w:r>
          </w:p>
        </w:tc>
        <w:tc>
          <w:tcPr>
            <w:tcW w:w="7621" w:type="dxa"/>
            <w:vAlign w:val="top"/>
          </w:tcPr>
          <w:p w14:paraId="47F89B84">
            <w:pPr>
              <w:pStyle w:val="9"/>
              <w:spacing w:before="139" w:line="309" w:lineRule="auto"/>
              <w:ind w:left="112" w:right="110" w:firstLine="9"/>
              <w:jc w:val="both"/>
            </w:pPr>
            <w:r>
              <w:rPr>
                <w:spacing w:val="1"/>
              </w:rPr>
              <w:t>隧道工程应严格控制超欠挖。超挖时必须用同等级强度的砼回填密</w:t>
            </w:r>
            <w:r>
              <w:t>实，不得用土</w:t>
            </w:r>
            <w:r>
              <w:rPr>
                <w:spacing w:val="1"/>
              </w:rPr>
              <w:t>石或洞渣回填；严禁欠挖，不许有超限突石，欠挖部位必须按设计轮廓线进行清</w:t>
            </w:r>
            <w:r>
              <w:rPr>
                <w:spacing w:val="-4"/>
              </w:rPr>
              <w:t>理，违者违约金</w:t>
            </w:r>
            <w:r>
              <w:rPr>
                <w:spacing w:val="-28"/>
              </w:rPr>
              <w:t xml:space="preserve"> </w:t>
            </w:r>
            <w:r>
              <w:rPr>
                <w:spacing w:val="-4"/>
              </w:rPr>
              <w:t>10000</w:t>
            </w:r>
            <w:r>
              <w:rPr>
                <w:spacing w:val="-41"/>
              </w:rPr>
              <w:t xml:space="preserve"> </w:t>
            </w:r>
            <w:r>
              <w:rPr>
                <w:spacing w:val="-4"/>
              </w:rPr>
              <w:t>元/次。</w:t>
            </w:r>
          </w:p>
        </w:tc>
      </w:tr>
      <w:tr w14:paraId="5A33B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4CE1CAEE">
            <w:pPr>
              <w:rPr>
                <w:rFonts w:ascii="Arial"/>
                <w:sz w:val="21"/>
              </w:rPr>
            </w:pPr>
          </w:p>
        </w:tc>
        <w:tc>
          <w:tcPr>
            <w:tcW w:w="839" w:type="dxa"/>
            <w:vAlign w:val="top"/>
          </w:tcPr>
          <w:p w14:paraId="2E916C1A">
            <w:pPr>
              <w:pStyle w:val="9"/>
              <w:spacing w:before="223" w:line="241" w:lineRule="auto"/>
              <w:ind w:left="372"/>
            </w:pPr>
            <w:r>
              <w:t>2</w:t>
            </w:r>
          </w:p>
        </w:tc>
        <w:tc>
          <w:tcPr>
            <w:tcW w:w="7621" w:type="dxa"/>
            <w:vAlign w:val="top"/>
          </w:tcPr>
          <w:p w14:paraId="45E936EB">
            <w:pPr>
              <w:pStyle w:val="9"/>
              <w:spacing w:before="222" w:line="219" w:lineRule="auto"/>
              <w:ind w:left="122"/>
            </w:pPr>
            <w:r>
              <w:rPr>
                <w:spacing w:val="-3"/>
              </w:rPr>
              <w:t>隧道仰拱初支施工前，应将围岩表面松散虚渣清理干净，违者违约金</w:t>
            </w:r>
            <w:r>
              <w:rPr>
                <w:spacing w:val="-37"/>
              </w:rPr>
              <w:t xml:space="preserve"> </w:t>
            </w:r>
            <w:r>
              <w:rPr>
                <w:spacing w:val="-3"/>
              </w:rPr>
              <w:t>5000</w:t>
            </w:r>
            <w:r>
              <w:rPr>
                <w:spacing w:val="-43"/>
              </w:rPr>
              <w:t xml:space="preserve"> </w:t>
            </w:r>
            <w:r>
              <w:rPr>
                <w:spacing w:val="-3"/>
              </w:rPr>
              <w:t>元/次。</w:t>
            </w:r>
          </w:p>
        </w:tc>
      </w:tr>
      <w:tr w14:paraId="793CB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6" w:hRule="atLeast"/>
        </w:trPr>
        <w:tc>
          <w:tcPr>
            <w:tcW w:w="832" w:type="dxa"/>
            <w:vMerge w:val="continue"/>
            <w:tcBorders>
              <w:top w:val="nil"/>
              <w:bottom w:val="nil"/>
            </w:tcBorders>
            <w:vAlign w:val="top"/>
          </w:tcPr>
          <w:p w14:paraId="712F1FB4">
            <w:pPr>
              <w:rPr>
                <w:rFonts w:ascii="Arial"/>
                <w:sz w:val="21"/>
              </w:rPr>
            </w:pPr>
          </w:p>
        </w:tc>
        <w:tc>
          <w:tcPr>
            <w:tcW w:w="839" w:type="dxa"/>
            <w:vAlign w:val="top"/>
          </w:tcPr>
          <w:p w14:paraId="37E3AE47">
            <w:pPr>
              <w:spacing w:line="283" w:lineRule="auto"/>
              <w:rPr>
                <w:rFonts w:ascii="Arial"/>
                <w:sz w:val="21"/>
              </w:rPr>
            </w:pPr>
          </w:p>
          <w:p w14:paraId="06476743">
            <w:pPr>
              <w:spacing w:line="284" w:lineRule="auto"/>
              <w:rPr>
                <w:rFonts w:ascii="Arial"/>
                <w:sz w:val="21"/>
              </w:rPr>
            </w:pPr>
          </w:p>
          <w:p w14:paraId="052D65FF">
            <w:pPr>
              <w:spacing w:line="284" w:lineRule="auto"/>
              <w:rPr>
                <w:rFonts w:ascii="Arial"/>
                <w:sz w:val="21"/>
              </w:rPr>
            </w:pPr>
          </w:p>
          <w:p w14:paraId="4986D9D8">
            <w:pPr>
              <w:spacing w:line="284" w:lineRule="auto"/>
              <w:rPr>
                <w:rFonts w:ascii="Arial"/>
                <w:sz w:val="21"/>
              </w:rPr>
            </w:pPr>
          </w:p>
          <w:p w14:paraId="0F602550">
            <w:pPr>
              <w:spacing w:line="284" w:lineRule="auto"/>
              <w:rPr>
                <w:rFonts w:ascii="Arial"/>
                <w:sz w:val="21"/>
              </w:rPr>
            </w:pPr>
          </w:p>
          <w:p w14:paraId="0EE4A6F0">
            <w:pPr>
              <w:pStyle w:val="9"/>
              <w:spacing w:before="68"/>
              <w:ind w:left="374"/>
            </w:pPr>
            <w:r>
              <w:t>3</w:t>
            </w:r>
          </w:p>
        </w:tc>
        <w:tc>
          <w:tcPr>
            <w:tcW w:w="7621" w:type="dxa"/>
            <w:vAlign w:val="top"/>
          </w:tcPr>
          <w:p w14:paraId="7E2E2973">
            <w:pPr>
              <w:pStyle w:val="9"/>
              <w:spacing w:before="140" w:line="217" w:lineRule="auto"/>
              <w:ind w:left="122"/>
            </w:pPr>
            <w:r>
              <w:rPr>
                <w:spacing w:val="-4"/>
              </w:rPr>
              <w:t>隧道工程出现以下情况</w:t>
            </w:r>
            <w:r>
              <w:rPr>
                <w:rFonts w:hint="eastAsia"/>
                <w:spacing w:val="-4"/>
                <w:lang w:eastAsia="zh-CN"/>
              </w:rPr>
              <w:t>，</w:t>
            </w:r>
            <w:r>
              <w:rPr>
                <w:spacing w:val="-4"/>
              </w:rPr>
              <w:t>违约金</w:t>
            </w:r>
            <w:r>
              <w:rPr>
                <w:spacing w:val="-21"/>
              </w:rPr>
              <w:t xml:space="preserve"> </w:t>
            </w:r>
            <w:r>
              <w:rPr>
                <w:spacing w:val="-4"/>
              </w:rPr>
              <w:t>1,000</w:t>
            </w:r>
            <w:r>
              <w:rPr>
                <w:spacing w:val="-41"/>
              </w:rPr>
              <w:t xml:space="preserve"> </w:t>
            </w:r>
            <w:r>
              <w:rPr>
                <w:spacing w:val="-4"/>
              </w:rPr>
              <w:t>元/处：</w:t>
            </w:r>
          </w:p>
          <w:p w14:paraId="47F81FCA">
            <w:pPr>
              <w:pStyle w:val="9"/>
              <w:spacing w:before="152" w:line="219" w:lineRule="auto"/>
              <w:ind w:left="117"/>
            </w:pPr>
            <w:r>
              <w:rPr>
                <w:spacing w:val="-4"/>
              </w:rPr>
              <w:t>（1）防水板破损穿孔、搭接漏焊、脱焊；</w:t>
            </w:r>
          </w:p>
          <w:p w14:paraId="42D87DC1">
            <w:pPr>
              <w:pStyle w:val="9"/>
              <w:spacing w:before="61" w:line="219" w:lineRule="auto"/>
              <w:ind w:left="117"/>
            </w:pPr>
            <w:r>
              <w:rPr>
                <w:spacing w:val="-5"/>
              </w:rPr>
              <w:t>（2）锚垫板未按要求施工；</w:t>
            </w:r>
          </w:p>
          <w:p w14:paraId="1029002D">
            <w:pPr>
              <w:pStyle w:val="9"/>
              <w:spacing w:before="153" w:line="218" w:lineRule="auto"/>
              <w:ind w:left="117"/>
            </w:pPr>
            <w:r>
              <w:rPr>
                <w:spacing w:val="-4"/>
              </w:rPr>
              <w:t>（3）未按批复工法要求进行光面爆破；</w:t>
            </w:r>
          </w:p>
          <w:p w14:paraId="08FB9A2E">
            <w:pPr>
              <w:pStyle w:val="9"/>
              <w:spacing w:before="150" w:line="220" w:lineRule="auto"/>
              <w:ind w:left="117"/>
            </w:pPr>
            <w:r>
              <w:rPr>
                <w:spacing w:val="-3"/>
              </w:rPr>
              <w:t>（4）洞内装修工程未达到设计要求，线形不平顺；</w:t>
            </w:r>
          </w:p>
          <w:p w14:paraId="47EF619E">
            <w:pPr>
              <w:pStyle w:val="9"/>
              <w:spacing w:before="150" w:line="220" w:lineRule="auto"/>
              <w:ind w:left="117"/>
            </w:pPr>
            <w:r>
              <w:rPr>
                <w:spacing w:val="-3"/>
              </w:rPr>
              <w:t>（5）二衬施工缝接合处理不好，二衬间错台超过</w:t>
            </w:r>
            <w:r>
              <w:rPr>
                <w:spacing w:val="-11"/>
              </w:rPr>
              <w:t xml:space="preserve"> </w:t>
            </w:r>
            <w:r>
              <w:rPr>
                <w:spacing w:val="-3"/>
              </w:rPr>
              <w:t>1cm；</w:t>
            </w:r>
          </w:p>
          <w:p w14:paraId="7498DBFC">
            <w:pPr>
              <w:pStyle w:val="9"/>
              <w:spacing w:before="150" w:line="220" w:lineRule="auto"/>
              <w:ind w:left="117"/>
            </w:pPr>
            <w:r>
              <w:rPr>
                <w:spacing w:val="-2"/>
              </w:rPr>
              <w:t>（6）通风管破损未处理，照明、防尘措施</w:t>
            </w:r>
            <w:r>
              <w:rPr>
                <w:spacing w:val="-3"/>
              </w:rPr>
              <w:t>设置不符合要求；</w:t>
            </w:r>
          </w:p>
          <w:p w14:paraId="415AC466">
            <w:pPr>
              <w:pStyle w:val="9"/>
              <w:spacing w:before="150" w:line="220" w:lineRule="auto"/>
              <w:ind w:left="117"/>
            </w:pPr>
            <w:r>
              <w:rPr>
                <w:spacing w:val="-1"/>
              </w:rPr>
              <w:t>（7）钢架、隔栅钢架间距，二衬钢筋及层间间距</w:t>
            </w:r>
            <w:r>
              <w:rPr>
                <w:spacing w:val="-2"/>
              </w:rPr>
              <w:t>不满足设计及规范要求。</w:t>
            </w:r>
          </w:p>
        </w:tc>
      </w:tr>
      <w:tr w14:paraId="6FD99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832" w:type="dxa"/>
            <w:vMerge w:val="continue"/>
            <w:tcBorders>
              <w:top w:val="nil"/>
              <w:bottom w:val="nil"/>
            </w:tcBorders>
            <w:vAlign w:val="top"/>
          </w:tcPr>
          <w:p w14:paraId="237D5D54">
            <w:pPr>
              <w:rPr>
                <w:rFonts w:ascii="Arial"/>
                <w:sz w:val="21"/>
              </w:rPr>
            </w:pPr>
          </w:p>
        </w:tc>
        <w:tc>
          <w:tcPr>
            <w:tcW w:w="839" w:type="dxa"/>
            <w:vAlign w:val="top"/>
          </w:tcPr>
          <w:p w14:paraId="66877D12">
            <w:pPr>
              <w:spacing w:line="266" w:lineRule="auto"/>
              <w:rPr>
                <w:rFonts w:ascii="Arial"/>
                <w:sz w:val="21"/>
              </w:rPr>
            </w:pPr>
          </w:p>
          <w:p w14:paraId="731B9976">
            <w:pPr>
              <w:spacing w:line="266" w:lineRule="auto"/>
              <w:rPr>
                <w:rFonts w:ascii="Arial"/>
                <w:sz w:val="21"/>
              </w:rPr>
            </w:pPr>
          </w:p>
          <w:p w14:paraId="03AC2055">
            <w:pPr>
              <w:spacing w:line="267" w:lineRule="auto"/>
              <w:rPr>
                <w:rFonts w:ascii="Arial"/>
                <w:sz w:val="21"/>
              </w:rPr>
            </w:pPr>
          </w:p>
          <w:p w14:paraId="1CE61490">
            <w:pPr>
              <w:spacing w:line="267" w:lineRule="auto"/>
              <w:rPr>
                <w:rFonts w:ascii="Arial"/>
                <w:sz w:val="21"/>
              </w:rPr>
            </w:pPr>
          </w:p>
          <w:p w14:paraId="2260B6C6">
            <w:pPr>
              <w:pStyle w:val="9"/>
              <w:spacing w:before="69" w:line="241" w:lineRule="auto"/>
              <w:ind w:left="369"/>
            </w:pPr>
            <w:r>
              <w:t>4</w:t>
            </w:r>
          </w:p>
        </w:tc>
        <w:tc>
          <w:tcPr>
            <w:tcW w:w="7621" w:type="dxa"/>
            <w:vAlign w:val="top"/>
          </w:tcPr>
          <w:p w14:paraId="014EAE7A">
            <w:pPr>
              <w:pStyle w:val="9"/>
              <w:spacing w:before="142" w:line="351" w:lineRule="auto"/>
              <w:ind w:left="111" w:right="115" w:firstLine="10"/>
            </w:pPr>
            <w:r>
              <w:rPr>
                <w:spacing w:val="1"/>
              </w:rPr>
              <w:t>隧道施工中承包人应加强监控量测，达到指导施工、确保安</w:t>
            </w:r>
            <w:r>
              <w:t>全、为确定支护参数</w:t>
            </w:r>
            <w:r>
              <w:rPr>
                <w:spacing w:val="-9"/>
              </w:rPr>
              <w:t>服务。</w:t>
            </w:r>
          </w:p>
          <w:p w14:paraId="3AE9E1FA">
            <w:pPr>
              <w:pStyle w:val="9"/>
              <w:spacing w:before="1" w:line="351" w:lineRule="auto"/>
              <w:ind w:left="113" w:right="123" w:firstLine="3"/>
            </w:pPr>
            <w:r>
              <w:rPr>
                <w:spacing w:val="-2"/>
              </w:rPr>
              <w:t>（1）监控量测发现问题应采取紧急措施避免事态发展，若监</w:t>
            </w:r>
            <w:r>
              <w:rPr>
                <w:spacing w:val="-3"/>
              </w:rPr>
              <w:t>控量测失职造成不良后果由进行监控的单位自负，并处以</w:t>
            </w:r>
            <w:r>
              <w:rPr>
                <w:spacing w:val="-13"/>
              </w:rPr>
              <w:t xml:space="preserve"> </w:t>
            </w:r>
            <w:r>
              <w:rPr>
                <w:spacing w:val="-3"/>
              </w:rPr>
              <w:t>10000</w:t>
            </w:r>
            <w:r>
              <w:rPr>
                <w:spacing w:val="-42"/>
              </w:rPr>
              <w:t xml:space="preserve"> </w:t>
            </w:r>
            <w:r>
              <w:rPr>
                <w:spacing w:val="-3"/>
              </w:rPr>
              <w:t>元/次的违约金。</w:t>
            </w:r>
          </w:p>
          <w:p w14:paraId="08DA8B91">
            <w:pPr>
              <w:pStyle w:val="9"/>
              <w:spacing w:before="1" w:line="286" w:lineRule="auto"/>
              <w:ind w:left="113" w:right="124" w:firstLine="3"/>
            </w:pPr>
            <w:r>
              <w:rPr>
                <w:spacing w:val="-5"/>
              </w:rPr>
              <w:t xml:space="preserve">（2）监控量测断面布设间距及量测布点、量测频率不满足方案或规范要求， </w:t>
            </w:r>
            <w:r>
              <w:rPr>
                <w:spacing w:val="-6"/>
              </w:rPr>
              <w:t>量测</w:t>
            </w:r>
            <w:r>
              <w:rPr>
                <w:spacing w:val="-3"/>
              </w:rPr>
              <w:t>数据处理不及时，违约金</w:t>
            </w:r>
            <w:r>
              <w:rPr>
                <w:spacing w:val="-36"/>
              </w:rPr>
              <w:t xml:space="preserve"> </w:t>
            </w:r>
            <w:r>
              <w:rPr>
                <w:spacing w:val="-3"/>
              </w:rPr>
              <w:t>2000</w:t>
            </w:r>
            <w:r>
              <w:rPr>
                <w:spacing w:val="-42"/>
              </w:rPr>
              <w:t xml:space="preserve"> </w:t>
            </w:r>
            <w:r>
              <w:rPr>
                <w:spacing w:val="-3"/>
              </w:rPr>
              <w:t>元/次。</w:t>
            </w:r>
          </w:p>
        </w:tc>
      </w:tr>
      <w:tr w14:paraId="77E53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832" w:type="dxa"/>
            <w:vMerge w:val="continue"/>
            <w:tcBorders>
              <w:top w:val="nil"/>
              <w:bottom w:val="nil"/>
            </w:tcBorders>
            <w:vAlign w:val="top"/>
          </w:tcPr>
          <w:p w14:paraId="6CD1603C">
            <w:pPr>
              <w:rPr>
                <w:rFonts w:ascii="Arial"/>
                <w:sz w:val="21"/>
              </w:rPr>
            </w:pPr>
          </w:p>
        </w:tc>
        <w:tc>
          <w:tcPr>
            <w:tcW w:w="839" w:type="dxa"/>
            <w:vAlign w:val="top"/>
          </w:tcPr>
          <w:p w14:paraId="0E63447A">
            <w:pPr>
              <w:spacing w:line="334" w:lineRule="auto"/>
              <w:rPr>
                <w:rFonts w:ascii="Arial"/>
                <w:sz w:val="21"/>
              </w:rPr>
            </w:pPr>
          </w:p>
          <w:p w14:paraId="267B4327">
            <w:pPr>
              <w:spacing w:line="335" w:lineRule="auto"/>
              <w:rPr>
                <w:rFonts w:ascii="Arial"/>
                <w:sz w:val="21"/>
              </w:rPr>
            </w:pPr>
          </w:p>
          <w:p w14:paraId="573A959C">
            <w:pPr>
              <w:pStyle w:val="9"/>
              <w:spacing w:before="69"/>
              <w:ind w:left="374"/>
            </w:pPr>
            <w:r>
              <w:t>5</w:t>
            </w:r>
          </w:p>
        </w:tc>
        <w:tc>
          <w:tcPr>
            <w:tcW w:w="7621" w:type="dxa"/>
            <w:vAlign w:val="top"/>
          </w:tcPr>
          <w:p w14:paraId="7CCF43F9">
            <w:pPr>
              <w:pStyle w:val="9"/>
              <w:spacing w:before="143" w:line="319" w:lineRule="auto"/>
              <w:ind w:left="113" w:right="108" w:firstLine="9"/>
              <w:jc w:val="both"/>
            </w:pPr>
            <w:r>
              <w:rPr>
                <w:spacing w:val="1"/>
              </w:rPr>
              <w:t>隧道开挖应采用“短进尺、少扰动、早喷锚、紧封闭”的原则，开挖及</w:t>
            </w:r>
            <w:r>
              <w:t>支护严格</w:t>
            </w:r>
            <w:r>
              <w:rPr>
                <w:spacing w:val="1"/>
              </w:rPr>
              <w:t>按技术规范规定进行控制，避免造成坍塌。若延误支护或初期支护超过规定的距离，或掌子面与二衬距离超过规范要求，由此带来的后果由承包人自负，并处以</w:t>
            </w:r>
            <w:r>
              <w:rPr>
                <w:spacing w:val="-4"/>
              </w:rPr>
              <w:t>10000</w:t>
            </w:r>
            <w:r>
              <w:rPr>
                <w:spacing w:val="-43"/>
              </w:rPr>
              <w:t xml:space="preserve"> </w:t>
            </w:r>
            <w:r>
              <w:rPr>
                <w:spacing w:val="-4"/>
              </w:rPr>
              <w:t>元的违约金。</w:t>
            </w:r>
          </w:p>
        </w:tc>
      </w:tr>
      <w:tr w14:paraId="56841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27A62010">
            <w:pPr>
              <w:rPr>
                <w:rFonts w:ascii="Arial"/>
                <w:sz w:val="21"/>
              </w:rPr>
            </w:pPr>
          </w:p>
        </w:tc>
        <w:tc>
          <w:tcPr>
            <w:tcW w:w="839" w:type="dxa"/>
            <w:vAlign w:val="top"/>
          </w:tcPr>
          <w:p w14:paraId="72B60AF8">
            <w:pPr>
              <w:spacing w:line="271" w:lineRule="auto"/>
              <w:rPr>
                <w:rFonts w:ascii="Arial"/>
                <w:sz w:val="21"/>
              </w:rPr>
            </w:pPr>
          </w:p>
          <w:p w14:paraId="2339467A">
            <w:pPr>
              <w:pStyle w:val="9"/>
              <w:spacing w:before="69"/>
              <w:ind w:left="371"/>
            </w:pPr>
            <w:r>
              <w:t>6</w:t>
            </w:r>
          </w:p>
        </w:tc>
        <w:tc>
          <w:tcPr>
            <w:tcW w:w="7621" w:type="dxa"/>
            <w:vAlign w:val="top"/>
          </w:tcPr>
          <w:p w14:paraId="017B18D0">
            <w:pPr>
              <w:pStyle w:val="9"/>
              <w:spacing w:before="143" w:line="286" w:lineRule="auto"/>
              <w:ind w:left="116" w:right="49" w:firstLine="5"/>
            </w:pPr>
            <w:r>
              <w:rPr>
                <w:spacing w:val="-6"/>
              </w:rPr>
              <w:t>隧道衬砌厚度统计评定不合格或单点出现小于</w:t>
            </w:r>
            <w:r>
              <w:rPr>
                <w:spacing w:val="-42"/>
              </w:rPr>
              <w:t xml:space="preserve"> </w:t>
            </w:r>
            <w:r>
              <w:rPr>
                <w:spacing w:val="-6"/>
              </w:rPr>
              <w:t>1/2</w:t>
            </w:r>
            <w:r>
              <w:rPr>
                <w:spacing w:val="-54"/>
              </w:rPr>
              <w:t xml:space="preserve"> </w:t>
            </w:r>
            <w:r>
              <w:rPr>
                <w:spacing w:val="-6"/>
              </w:rPr>
              <w:t>设计值时，违约金</w:t>
            </w:r>
            <w:r>
              <w:rPr>
                <w:spacing w:val="-42"/>
              </w:rPr>
              <w:t xml:space="preserve"> </w:t>
            </w:r>
            <w:r>
              <w:rPr>
                <w:spacing w:val="-6"/>
              </w:rPr>
              <w:t>10000</w:t>
            </w:r>
            <w:r>
              <w:rPr>
                <w:spacing w:val="-55"/>
              </w:rPr>
              <w:t xml:space="preserve"> </w:t>
            </w:r>
            <w:r>
              <w:rPr>
                <w:spacing w:val="-6"/>
              </w:rPr>
              <w:t>元/处，</w:t>
            </w:r>
            <w:r>
              <w:rPr>
                <w:spacing w:val="-5"/>
              </w:rPr>
              <w:t>并要求处理合格。</w:t>
            </w:r>
          </w:p>
        </w:tc>
      </w:tr>
      <w:tr w14:paraId="38B1A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275E4BA3">
            <w:pPr>
              <w:rPr>
                <w:rFonts w:ascii="Arial"/>
                <w:sz w:val="21"/>
              </w:rPr>
            </w:pPr>
          </w:p>
        </w:tc>
        <w:tc>
          <w:tcPr>
            <w:tcW w:w="839" w:type="dxa"/>
            <w:vAlign w:val="top"/>
          </w:tcPr>
          <w:p w14:paraId="08F57467">
            <w:pPr>
              <w:spacing w:line="272" w:lineRule="auto"/>
              <w:rPr>
                <w:rFonts w:ascii="Arial"/>
                <w:sz w:val="21"/>
              </w:rPr>
            </w:pPr>
          </w:p>
          <w:p w14:paraId="604CDB70">
            <w:pPr>
              <w:pStyle w:val="9"/>
              <w:spacing w:before="69"/>
              <w:ind w:left="375"/>
            </w:pPr>
            <w:r>
              <w:t>7</w:t>
            </w:r>
          </w:p>
        </w:tc>
        <w:tc>
          <w:tcPr>
            <w:tcW w:w="7621" w:type="dxa"/>
            <w:vAlign w:val="top"/>
          </w:tcPr>
          <w:p w14:paraId="7E21F4D4">
            <w:pPr>
              <w:pStyle w:val="9"/>
              <w:spacing w:before="144" w:line="286" w:lineRule="auto"/>
              <w:ind w:left="112" w:right="115" w:hanging="1"/>
            </w:pPr>
            <w:r>
              <w:rPr>
                <w:spacing w:val="1"/>
              </w:rPr>
              <w:t>衬砌混凝土强度应满足设计及《公路工程质量检验评定标准》要求，否则，除要</w:t>
            </w:r>
            <w:r>
              <w:rPr>
                <w:spacing w:val="-3"/>
              </w:rPr>
              <w:t>求及时采取措施处理外，并处以承包人</w:t>
            </w:r>
            <w:r>
              <w:rPr>
                <w:spacing w:val="-14"/>
              </w:rPr>
              <w:t xml:space="preserve"> </w:t>
            </w:r>
            <w:r>
              <w:rPr>
                <w:spacing w:val="-3"/>
              </w:rPr>
              <w:t>10000</w:t>
            </w:r>
            <w:r>
              <w:rPr>
                <w:spacing w:val="-42"/>
              </w:rPr>
              <w:t xml:space="preserve"> </w:t>
            </w:r>
            <w:r>
              <w:rPr>
                <w:spacing w:val="-3"/>
              </w:rPr>
              <w:t>元的违约金。</w:t>
            </w:r>
          </w:p>
        </w:tc>
      </w:tr>
      <w:tr w14:paraId="5DC13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832" w:type="dxa"/>
            <w:vMerge w:val="continue"/>
            <w:tcBorders>
              <w:top w:val="nil"/>
            </w:tcBorders>
            <w:vAlign w:val="top"/>
          </w:tcPr>
          <w:p w14:paraId="6EBE0504">
            <w:pPr>
              <w:rPr>
                <w:rFonts w:ascii="Arial"/>
                <w:sz w:val="21"/>
              </w:rPr>
            </w:pPr>
          </w:p>
        </w:tc>
        <w:tc>
          <w:tcPr>
            <w:tcW w:w="839" w:type="dxa"/>
            <w:vAlign w:val="top"/>
          </w:tcPr>
          <w:p w14:paraId="0B7EB43C">
            <w:pPr>
              <w:spacing w:line="289" w:lineRule="auto"/>
              <w:rPr>
                <w:rFonts w:ascii="Arial"/>
                <w:sz w:val="21"/>
              </w:rPr>
            </w:pPr>
          </w:p>
          <w:p w14:paraId="1EBE527C">
            <w:pPr>
              <w:spacing w:line="290" w:lineRule="auto"/>
              <w:rPr>
                <w:rFonts w:ascii="Arial"/>
                <w:sz w:val="21"/>
              </w:rPr>
            </w:pPr>
          </w:p>
          <w:p w14:paraId="4441F240">
            <w:pPr>
              <w:spacing w:line="290" w:lineRule="auto"/>
              <w:rPr>
                <w:rFonts w:ascii="Arial"/>
                <w:sz w:val="21"/>
              </w:rPr>
            </w:pPr>
          </w:p>
          <w:p w14:paraId="61276A1F">
            <w:pPr>
              <w:pStyle w:val="9"/>
              <w:spacing w:before="68"/>
              <w:ind w:left="370"/>
            </w:pPr>
            <w:r>
              <w:t>8</w:t>
            </w:r>
          </w:p>
        </w:tc>
        <w:tc>
          <w:tcPr>
            <w:tcW w:w="7621" w:type="dxa"/>
            <w:vAlign w:val="top"/>
          </w:tcPr>
          <w:p w14:paraId="2F5C699E">
            <w:pPr>
              <w:pStyle w:val="9"/>
              <w:spacing w:before="144" w:line="351" w:lineRule="auto"/>
              <w:ind w:left="113" w:right="162" w:firstLine="1"/>
            </w:pPr>
            <w:r>
              <w:t>不按照施工技术规范、施工图纸进行施工，偷工减</w:t>
            </w:r>
            <w:r>
              <w:rPr>
                <w:spacing w:val="-1"/>
              </w:rPr>
              <w:t>料、粗制滥造的，一经查实，</w:t>
            </w:r>
            <w:r>
              <w:rPr>
                <w:spacing w:val="-2"/>
              </w:rPr>
              <w:t>按违约处理，并需按要求处理至符合设计和规范要求为止。</w:t>
            </w:r>
          </w:p>
          <w:p w14:paraId="729869BB">
            <w:pPr>
              <w:pStyle w:val="9"/>
              <w:spacing w:before="1" w:line="351" w:lineRule="auto"/>
              <w:ind w:left="113" w:right="114" w:firstLine="3"/>
            </w:pPr>
            <w:r>
              <w:rPr>
                <w:spacing w:val="4"/>
              </w:rPr>
              <w:t>（1）锚杆少打或锚杆长度不足或中空锚杆未按设计注浆或药卷锚杆未按设</w:t>
            </w:r>
            <w:r>
              <w:rPr>
                <w:spacing w:val="3"/>
              </w:rPr>
              <w:t>计要</w:t>
            </w:r>
            <w:r>
              <w:rPr>
                <w:spacing w:val="-5"/>
              </w:rPr>
              <w:t>求安装，违约金</w:t>
            </w:r>
            <w:r>
              <w:rPr>
                <w:spacing w:val="-31"/>
              </w:rPr>
              <w:t xml:space="preserve"> </w:t>
            </w:r>
            <w:r>
              <w:rPr>
                <w:spacing w:val="-5"/>
              </w:rPr>
              <w:t>2000</w:t>
            </w:r>
            <w:r>
              <w:rPr>
                <w:spacing w:val="-42"/>
              </w:rPr>
              <w:t xml:space="preserve"> </w:t>
            </w:r>
            <w:r>
              <w:rPr>
                <w:spacing w:val="-5"/>
              </w:rPr>
              <w:t>元/点；</w:t>
            </w:r>
          </w:p>
          <w:p w14:paraId="77026046">
            <w:pPr>
              <w:pStyle w:val="9"/>
              <w:spacing w:line="219" w:lineRule="auto"/>
              <w:ind w:left="117"/>
            </w:pPr>
            <w:r>
              <w:rPr>
                <w:spacing w:val="-3"/>
              </w:rPr>
              <w:t>（2）格栅钢架或钢架每少安一榀，违约金</w:t>
            </w:r>
            <w:r>
              <w:rPr>
                <w:spacing w:val="-24"/>
              </w:rPr>
              <w:t xml:space="preserve"> </w:t>
            </w:r>
            <w:r>
              <w:rPr>
                <w:spacing w:val="-3"/>
              </w:rPr>
              <w:t>10000</w:t>
            </w:r>
            <w:r>
              <w:rPr>
                <w:spacing w:val="-42"/>
              </w:rPr>
              <w:t xml:space="preserve"> </w:t>
            </w:r>
            <w:r>
              <w:rPr>
                <w:spacing w:val="-3"/>
              </w:rPr>
              <w:t>元/榀；</w:t>
            </w:r>
          </w:p>
        </w:tc>
      </w:tr>
    </w:tbl>
    <w:p w14:paraId="14B32ABF">
      <w:pPr>
        <w:pStyle w:val="2"/>
      </w:pPr>
    </w:p>
    <w:p w14:paraId="4B1462AB">
      <w:pPr>
        <w:sectPr>
          <w:footerReference r:id="rId142" w:type="default"/>
          <w:pgSz w:w="11905" w:h="16840"/>
          <w:pgMar w:top="1182" w:right="1303" w:bottom="1171" w:left="1303" w:header="849" w:footer="937" w:gutter="0"/>
          <w:pgNumType w:fmt="decimal"/>
          <w:cols w:space="720" w:num="1"/>
        </w:sectPr>
      </w:pPr>
    </w:p>
    <w:p w14:paraId="4A91741F">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385A4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6A621B8C">
            <w:pPr>
              <w:pStyle w:val="9"/>
              <w:spacing w:before="225" w:line="220" w:lineRule="auto"/>
              <w:ind w:left="210"/>
            </w:pPr>
            <w:r>
              <w:rPr>
                <w:b/>
                <w:bCs/>
                <w:spacing w:val="-4"/>
              </w:rPr>
              <w:t>类别</w:t>
            </w:r>
          </w:p>
        </w:tc>
        <w:tc>
          <w:tcPr>
            <w:tcW w:w="839" w:type="dxa"/>
            <w:vAlign w:val="top"/>
          </w:tcPr>
          <w:p w14:paraId="024DFB39">
            <w:pPr>
              <w:pStyle w:val="9"/>
              <w:spacing w:before="226" w:line="221" w:lineRule="auto"/>
              <w:ind w:left="211"/>
            </w:pPr>
            <w:r>
              <w:rPr>
                <w:b/>
                <w:bCs/>
                <w:spacing w:val="-4"/>
              </w:rPr>
              <w:t>序号</w:t>
            </w:r>
          </w:p>
        </w:tc>
        <w:tc>
          <w:tcPr>
            <w:tcW w:w="7621" w:type="dxa"/>
            <w:vAlign w:val="top"/>
          </w:tcPr>
          <w:p w14:paraId="659E6B0D">
            <w:pPr>
              <w:pStyle w:val="9"/>
              <w:spacing w:before="226" w:line="220" w:lineRule="auto"/>
              <w:ind w:left="3393"/>
            </w:pPr>
            <w:r>
              <w:rPr>
                <w:b/>
                <w:bCs/>
                <w:spacing w:val="-4"/>
              </w:rPr>
              <w:t>违约项目</w:t>
            </w:r>
          </w:p>
        </w:tc>
      </w:tr>
      <w:tr w14:paraId="25558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Merge w:val="restart"/>
            <w:tcBorders>
              <w:bottom w:val="nil"/>
            </w:tcBorders>
            <w:vAlign w:val="top"/>
          </w:tcPr>
          <w:p w14:paraId="484D24E7">
            <w:pPr>
              <w:rPr>
                <w:rFonts w:ascii="Arial"/>
                <w:sz w:val="21"/>
              </w:rPr>
            </w:pPr>
          </w:p>
        </w:tc>
        <w:tc>
          <w:tcPr>
            <w:tcW w:w="839" w:type="dxa"/>
            <w:vAlign w:val="top"/>
          </w:tcPr>
          <w:p w14:paraId="58BA8FAF">
            <w:pPr>
              <w:rPr>
                <w:rFonts w:ascii="Arial"/>
                <w:sz w:val="21"/>
              </w:rPr>
            </w:pPr>
          </w:p>
        </w:tc>
        <w:tc>
          <w:tcPr>
            <w:tcW w:w="7621" w:type="dxa"/>
            <w:vAlign w:val="top"/>
          </w:tcPr>
          <w:p w14:paraId="47A5797F">
            <w:pPr>
              <w:pStyle w:val="9"/>
              <w:spacing w:before="138" w:line="220" w:lineRule="auto"/>
              <w:ind w:left="117"/>
            </w:pPr>
            <w:r>
              <w:rPr>
                <w:spacing w:val="-2"/>
              </w:rPr>
              <w:t>（3）小导管、钢插管、管棚每少打一根（或长度不足</w:t>
            </w:r>
            <w:r>
              <w:rPr>
                <w:spacing w:val="1"/>
              </w:rPr>
              <w:t>），</w:t>
            </w:r>
            <w:r>
              <w:rPr>
                <w:spacing w:val="-2"/>
              </w:rPr>
              <w:t>违约金</w:t>
            </w:r>
            <w:r>
              <w:rPr>
                <w:spacing w:val="-41"/>
              </w:rPr>
              <w:t xml:space="preserve"> </w:t>
            </w:r>
            <w:r>
              <w:rPr>
                <w:spacing w:val="-2"/>
              </w:rPr>
              <w:t>5000</w:t>
            </w:r>
            <w:r>
              <w:rPr>
                <w:spacing w:val="-43"/>
              </w:rPr>
              <w:t xml:space="preserve"> </w:t>
            </w:r>
            <w:r>
              <w:rPr>
                <w:spacing w:val="-2"/>
              </w:rPr>
              <w:t>元/根；</w:t>
            </w:r>
          </w:p>
          <w:p w14:paraId="2B355AFD">
            <w:pPr>
              <w:pStyle w:val="9"/>
              <w:spacing w:before="149" w:line="220" w:lineRule="auto"/>
              <w:ind w:left="117"/>
            </w:pPr>
            <w:r>
              <w:rPr>
                <w:spacing w:val="-4"/>
              </w:rPr>
              <w:t>（4）二衬钢架数量不足，违约金</w:t>
            </w:r>
            <w:r>
              <w:rPr>
                <w:spacing w:val="-12"/>
              </w:rPr>
              <w:t xml:space="preserve"> </w:t>
            </w:r>
            <w:r>
              <w:rPr>
                <w:spacing w:val="-4"/>
              </w:rPr>
              <w:t>10000</w:t>
            </w:r>
            <w:r>
              <w:rPr>
                <w:spacing w:val="-42"/>
              </w:rPr>
              <w:t xml:space="preserve"> </w:t>
            </w:r>
            <w:r>
              <w:rPr>
                <w:spacing w:val="-4"/>
              </w:rPr>
              <w:t>元/处；</w:t>
            </w:r>
          </w:p>
          <w:p w14:paraId="2E395517">
            <w:pPr>
              <w:pStyle w:val="9"/>
              <w:spacing w:before="149" w:line="220" w:lineRule="auto"/>
              <w:ind w:left="112"/>
            </w:pPr>
            <w:r>
              <w:rPr>
                <w:spacing w:val="-2"/>
              </w:rPr>
              <w:t>其他偷工减料现象可根据具体情况处以</w:t>
            </w:r>
            <w:r>
              <w:rPr>
                <w:spacing w:val="-41"/>
              </w:rPr>
              <w:t xml:space="preserve"> </w:t>
            </w:r>
            <w:r>
              <w:rPr>
                <w:spacing w:val="-2"/>
              </w:rPr>
              <w:t>500</w:t>
            </w:r>
            <w:r>
              <w:rPr>
                <w:spacing w:val="-42"/>
              </w:rPr>
              <w:t xml:space="preserve"> </w:t>
            </w:r>
            <w:r>
              <w:rPr>
                <w:spacing w:val="-2"/>
              </w:rPr>
              <w:t>元-2000</w:t>
            </w:r>
            <w:r>
              <w:rPr>
                <w:spacing w:val="-43"/>
              </w:rPr>
              <w:t xml:space="preserve"> </w:t>
            </w:r>
            <w:r>
              <w:rPr>
                <w:spacing w:val="-2"/>
              </w:rPr>
              <w:t>元违</w:t>
            </w:r>
            <w:r>
              <w:rPr>
                <w:spacing w:val="-3"/>
              </w:rPr>
              <w:t>约金。</w:t>
            </w:r>
          </w:p>
        </w:tc>
      </w:tr>
      <w:tr w14:paraId="1AC6C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C46AB77">
            <w:pPr>
              <w:rPr>
                <w:rFonts w:ascii="Arial"/>
                <w:sz w:val="21"/>
              </w:rPr>
            </w:pPr>
          </w:p>
        </w:tc>
        <w:tc>
          <w:tcPr>
            <w:tcW w:w="839" w:type="dxa"/>
            <w:vAlign w:val="top"/>
          </w:tcPr>
          <w:p w14:paraId="4519F79C">
            <w:pPr>
              <w:pStyle w:val="9"/>
              <w:spacing w:before="221"/>
              <w:ind w:left="370"/>
            </w:pPr>
            <w:r>
              <w:t>9</w:t>
            </w:r>
          </w:p>
        </w:tc>
        <w:tc>
          <w:tcPr>
            <w:tcW w:w="7621" w:type="dxa"/>
            <w:vAlign w:val="top"/>
          </w:tcPr>
          <w:p w14:paraId="537530DC">
            <w:pPr>
              <w:pStyle w:val="9"/>
              <w:spacing w:before="221" w:line="219" w:lineRule="auto"/>
              <w:ind w:left="111"/>
            </w:pPr>
            <w:r>
              <w:rPr>
                <w:spacing w:val="-2"/>
              </w:rPr>
              <w:t>格栅拱架不垂直或锁脚锚杆施工不规范，违约金</w:t>
            </w:r>
            <w:r>
              <w:rPr>
                <w:spacing w:val="-35"/>
              </w:rPr>
              <w:t xml:space="preserve"> </w:t>
            </w:r>
            <w:r>
              <w:rPr>
                <w:spacing w:val="-2"/>
              </w:rPr>
              <w:t>500</w:t>
            </w:r>
            <w:r>
              <w:rPr>
                <w:spacing w:val="-41"/>
              </w:rPr>
              <w:t xml:space="preserve"> </w:t>
            </w:r>
            <w:r>
              <w:rPr>
                <w:spacing w:val="-2"/>
              </w:rPr>
              <w:t>元/榀。</w:t>
            </w:r>
          </w:p>
        </w:tc>
      </w:tr>
      <w:tr w14:paraId="73C21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7EF20B89">
            <w:pPr>
              <w:rPr>
                <w:rFonts w:ascii="Arial"/>
                <w:sz w:val="21"/>
              </w:rPr>
            </w:pPr>
          </w:p>
        </w:tc>
        <w:tc>
          <w:tcPr>
            <w:tcW w:w="839" w:type="dxa"/>
            <w:vAlign w:val="top"/>
          </w:tcPr>
          <w:p w14:paraId="3B9B8851">
            <w:pPr>
              <w:spacing w:line="269" w:lineRule="auto"/>
              <w:rPr>
                <w:rFonts w:ascii="Arial"/>
                <w:sz w:val="21"/>
              </w:rPr>
            </w:pPr>
          </w:p>
          <w:p w14:paraId="66FD45F3">
            <w:pPr>
              <w:pStyle w:val="9"/>
              <w:spacing w:before="68"/>
              <w:ind w:left="333"/>
            </w:pPr>
            <w:r>
              <w:rPr>
                <w:spacing w:val="-6"/>
              </w:rPr>
              <w:t>10</w:t>
            </w:r>
          </w:p>
        </w:tc>
        <w:tc>
          <w:tcPr>
            <w:tcW w:w="7621" w:type="dxa"/>
            <w:vAlign w:val="top"/>
          </w:tcPr>
          <w:p w14:paraId="352A7437">
            <w:pPr>
              <w:pStyle w:val="9"/>
              <w:spacing w:before="138" w:line="288" w:lineRule="auto"/>
              <w:ind w:left="113" w:right="115" w:firstLine="9"/>
            </w:pPr>
            <w:r>
              <w:rPr>
                <w:spacing w:val="1"/>
              </w:rPr>
              <w:t>隧道洞身施工完毕后，不得出现渗水、漏水现象，如出现以</w:t>
            </w:r>
            <w:r>
              <w:t>上问题，除要求施工</w:t>
            </w:r>
            <w:r>
              <w:rPr>
                <w:spacing w:val="-3"/>
              </w:rPr>
              <w:t>单位予以补救外，处以</w:t>
            </w:r>
            <w:r>
              <w:rPr>
                <w:spacing w:val="-33"/>
              </w:rPr>
              <w:t xml:space="preserve"> </w:t>
            </w:r>
            <w:r>
              <w:rPr>
                <w:spacing w:val="-3"/>
              </w:rPr>
              <w:t>5000</w:t>
            </w:r>
            <w:r>
              <w:rPr>
                <w:spacing w:val="-42"/>
              </w:rPr>
              <w:t xml:space="preserve"> </w:t>
            </w:r>
            <w:r>
              <w:rPr>
                <w:spacing w:val="-3"/>
              </w:rPr>
              <w:t>元/处的违约金。</w:t>
            </w:r>
          </w:p>
        </w:tc>
      </w:tr>
      <w:tr w14:paraId="700C9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tcBorders>
            <w:vAlign w:val="top"/>
          </w:tcPr>
          <w:p w14:paraId="173589D0">
            <w:pPr>
              <w:rPr>
                <w:rFonts w:ascii="Arial"/>
                <w:sz w:val="21"/>
              </w:rPr>
            </w:pPr>
          </w:p>
        </w:tc>
        <w:tc>
          <w:tcPr>
            <w:tcW w:w="839" w:type="dxa"/>
            <w:vAlign w:val="top"/>
          </w:tcPr>
          <w:p w14:paraId="52257A74">
            <w:pPr>
              <w:pStyle w:val="9"/>
              <w:spacing w:before="223" w:line="241" w:lineRule="auto"/>
              <w:ind w:left="333"/>
            </w:pPr>
            <w:r>
              <w:rPr>
                <w:spacing w:val="-6"/>
              </w:rPr>
              <w:t>11</w:t>
            </w:r>
          </w:p>
        </w:tc>
        <w:tc>
          <w:tcPr>
            <w:tcW w:w="7621" w:type="dxa"/>
            <w:vAlign w:val="top"/>
          </w:tcPr>
          <w:p w14:paraId="3B3D4538">
            <w:pPr>
              <w:pStyle w:val="9"/>
              <w:spacing w:before="222" w:line="220" w:lineRule="auto"/>
              <w:ind w:left="112"/>
            </w:pPr>
            <w:r>
              <w:rPr>
                <w:spacing w:val="-2"/>
              </w:rPr>
              <w:t>按照规范，隧道作业未开启通风设备的违约金</w:t>
            </w:r>
            <w:r>
              <w:rPr>
                <w:spacing w:val="-29"/>
              </w:rPr>
              <w:t xml:space="preserve"> </w:t>
            </w:r>
            <w:r>
              <w:rPr>
                <w:spacing w:val="-2"/>
              </w:rPr>
              <w:t>10000</w:t>
            </w:r>
            <w:r>
              <w:rPr>
                <w:spacing w:val="-42"/>
              </w:rPr>
              <w:t xml:space="preserve"> </w:t>
            </w:r>
            <w:r>
              <w:rPr>
                <w:spacing w:val="-3"/>
              </w:rPr>
              <w:t>元/次。</w:t>
            </w:r>
          </w:p>
        </w:tc>
      </w:tr>
      <w:tr w14:paraId="0E79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Align w:val="top"/>
          </w:tcPr>
          <w:p w14:paraId="5C711FB0">
            <w:pPr>
              <w:spacing w:line="269" w:lineRule="auto"/>
              <w:rPr>
                <w:rFonts w:ascii="Arial"/>
                <w:sz w:val="21"/>
              </w:rPr>
            </w:pPr>
          </w:p>
          <w:p w14:paraId="393DB699">
            <w:pPr>
              <w:pStyle w:val="9"/>
              <w:spacing w:before="68" w:line="355" w:lineRule="auto"/>
              <w:ind w:left="212" w:right="204"/>
            </w:pPr>
            <w:r>
              <w:rPr>
                <w:spacing w:val="-5"/>
              </w:rPr>
              <w:t>绿化</w:t>
            </w:r>
            <w:r>
              <w:rPr>
                <w:spacing w:val="-6"/>
              </w:rPr>
              <w:t>工程</w:t>
            </w:r>
          </w:p>
        </w:tc>
        <w:tc>
          <w:tcPr>
            <w:tcW w:w="839" w:type="dxa"/>
            <w:vAlign w:val="top"/>
          </w:tcPr>
          <w:p w14:paraId="151862FB">
            <w:pPr>
              <w:spacing w:line="469" w:lineRule="auto"/>
              <w:rPr>
                <w:rFonts w:ascii="Arial"/>
                <w:sz w:val="21"/>
              </w:rPr>
            </w:pPr>
          </w:p>
          <w:p w14:paraId="3C68CB3E">
            <w:pPr>
              <w:pStyle w:val="9"/>
              <w:spacing w:before="68" w:line="241" w:lineRule="auto"/>
              <w:ind w:left="385"/>
            </w:pPr>
            <w:r>
              <w:t>1</w:t>
            </w:r>
          </w:p>
        </w:tc>
        <w:tc>
          <w:tcPr>
            <w:tcW w:w="7621" w:type="dxa"/>
            <w:vAlign w:val="top"/>
          </w:tcPr>
          <w:p w14:paraId="62B09F04">
            <w:pPr>
              <w:pStyle w:val="9"/>
              <w:spacing w:before="139" w:line="309" w:lineRule="auto"/>
              <w:ind w:left="111" w:right="110" w:firstLine="3"/>
              <w:jc w:val="both"/>
            </w:pPr>
            <w:r>
              <w:rPr>
                <w:spacing w:val="1"/>
              </w:rPr>
              <w:t>如果绿化工程与设计要求不符，或质量不合格，或造成质量隐患，以清单单位为</w:t>
            </w:r>
            <w:r>
              <w:rPr>
                <w:spacing w:val="-4"/>
              </w:rPr>
              <w:t>违约金依据，即违约金</w:t>
            </w:r>
            <w:r>
              <w:rPr>
                <w:spacing w:val="-16"/>
              </w:rPr>
              <w:t xml:space="preserve"> </w:t>
            </w:r>
            <w:r>
              <w:rPr>
                <w:spacing w:val="-4"/>
              </w:rPr>
              <w:t>1000</w:t>
            </w:r>
            <w:r>
              <w:rPr>
                <w:spacing w:val="-45"/>
              </w:rPr>
              <w:t xml:space="preserve"> </w:t>
            </w:r>
            <w:r>
              <w:rPr>
                <w:spacing w:val="-4"/>
              </w:rPr>
              <w:t>元/丛、1000</w:t>
            </w:r>
            <w:r>
              <w:rPr>
                <w:spacing w:val="-44"/>
              </w:rPr>
              <w:t xml:space="preserve"> </w:t>
            </w:r>
            <w:r>
              <w:rPr>
                <w:spacing w:val="-4"/>
              </w:rPr>
              <w:t>元/株、500</w:t>
            </w:r>
            <w:r>
              <w:rPr>
                <w:spacing w:val="-43"/>
              </w:rPr>
              <w:t xml:space="preserve"> </w:t>
            </w:r>
            <w:r>
              <w:rPr>
                <w:spacing w:val="-4"/>
              </w:rPr>
              <w:t>元/m</w:t>
            </w:r>
            <w:r>
              <w:rPr>
                <w:spacing w:val="-4"/>
                <w:position w:val="10"/>
                <w:sz w:val="10"/>
                <w:szCs w:val="10"/>
              </w:rPr>
              <w:t>2</w:t>
            </w:r>
            <w:r>
              <w:rPr>
                <w:spacing w:val="-4"/>
              </w:rPr>
              <w:t>、500</w:t>
            </w:r>
            <w:r>
              <w:rPr>
                <w:spacing w:val="-42"/>
              </w:rPr>
              <w:t xml:space="preserve"> </w:t>
            </w:r>
            <w:r>
              <w:rPr>
                <w:spacing w:val="-4"/>
              </w:rPr>
              <w:t>元/t</w:t>
            </w:r>
            <w:r>
              <w:rPr>
                <w:spacing w:val="-22"/>
              </w:rPr>
              <w:t xml:space="preserve"> </w:t>
            </w:r>
            <w:r>
              <w:rPr>
                <w:spacing w:val="-4"/>
              </w:rPr>
              <w:t>以及</w:t>
            </w:r>
            <w:r>
              <w:rPr>
                <w:spacing w:val="-28"/>
              </w:rPr>
              <w:t xml:space="preserve"> </w:t>
            </w:r>
            <w:r>
              <w:rPr>
                <w:spacing w:val="-4"/>
              </w:rPr>
              <w:t>10000</w:t>
            </w:r>
            <w:r>
              <w:rPr>
                <w:spacing w:val="-6"/>
              </w:rPr>
              <w:t>元/个等。</w:t>
            </w:r>
          </w:p>
        </w:tc>
      </w:tr>
      <w:tr w14:paraId="07F7C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62ED6533">
            <w:pPr>
              <w:spacing w:line="253" w:lineRule="auto"/>
              <w:rPr>
                <w:rFonts w:ascii="Arial"/>
                <w:sz w:val="21"/>
              </w:rPr>
            </w:pPr>
          </w:p>
          <w:p w14:paraId="4E3EAD5C">
            <w:pPr>
              <w:spacing w:line="253" w:lineRule="auto"/>
              <w:rPr>
                <w:rFonts w:ascii="Arial"/>
                <w:sz w:val="21"/>
              </w:rPr>
            </w:pPr>
          </w:p>
          <w:p w14:paraId="74A5FD1D">
            <w:pPr>
              <w:spacing w:line="253" w:lineRule="auto"/>
              <w:rPr>
                <w:rFonts w:ascii="Arial"/>
                <w:sz w:val="21"/>
              </w:rPr>
            </w:pPr>
          </w:p>
          <w:p w14:paraId="7F4F98FE">
            <w:pPr>
              <w:spacing w:line="253" w:lineRule="auto"/>
              <w:rPr>
                <w:rFonts w:ascii="Arial"/>
                <w:sz w:val="21"/>
              </w:rPr>
            </w:pPr>
          </w:p>
          <w:p w14:paraId="2B792277">
            <w:pPr>
              <w:spacing w:line="253" w:lineRule="auto"/>
              <w:rPr>
                <w:rFonts w:ascii="Arial"/>
                <w:sz w:val="21"/>
              </w:rPr>
            </w:pPr>
          </w:p>
          <w:p w14:paraId="01B057C3">
            <w:pPr>
              <w:spacing w:line="253" w:lineRule="auto"/>
              <w:rPr>
                <w:rFonts w:ascii="Arial"/>
                <w:sz w:val="21"/>
              </w:rPr>
            </w:pPr>
          </w:p>
          <w:p w14:paraId="5DD46644">
            <w:pPr>
              <w:spacing w:line="253" w:lineRule="auto"/>
              <w:rPr>
                <w:rFonts w:ascii="Arial"/>
                <w:sz w:val="21"/>
              </w:rPr>
            </w:pPr>
          </w:p>
          <w:p w14:paraId="5006532A">
            <w:pPr>
              <w:spacing w:line="253" w:lineRule="auto"/>
              <w:rPr>
                <w:rFonts w:ascii="Arial"/>
                <w:sz w:val="21"/>
              </w:rPr>
            </w:pPr>
          </w:p>
          <w:p w14:paraId="5F26B317">
            <w:pPr>
              <w:spacing w:line="253" w:lineRule="auto"/>
              <w:rPr>
                <w:rFonts w:ascii="Arial"/>
                <w:sz w:val="21"/>
              </w:rPr>
            </w:pPr>
          </w:p>
          <w:p w14:paraId="136E2750">
            <w:pPr>
              <w:spacing w:line="254" w:lineRule="auto"/>
              <w:rPr>
                <w:rFonts w:ascii="Arial"/>
                <w:sz w:val="21"/>
              </w:rPr>
            </w:pPr>
          </w:p>
          <w:p w14:paraId="1E923BBB">
            <w:pPr>
              <w:spacing w:line="254" w:lineRule="auto"/>
              <w:rPr>
                <w:rFonts w:ascii="Arial"/>
                <w:sz w:val="21"/>
              </w:rPr>
            </w:pPr>
          </w:p>
          <w:p w14:paraId="326DEECB">
            <w:pPr>
              <w:spacing w:line="254" w:lineRule="auto"/>
              <w:rPr>
                <w:rFonts w:ascii="Arial"/>
                <w:sz w:val="21"/>
              </w:rPr>
            </w:pPr>
          </w:p>
          <w:p w14:paraId="3ECE59DE">
            <w:pPr>
              <w:spacing w:line="254" w:lineRule="auto"/>
              <w:rPr>
                <w:rFonts w:ascii="Arial"/>
                <w:sz w:val="21"/>
              </w:rPr>
            </w:pPr>
          </w:p>
          <w:p w14:paraId="2331D728">
            <w:pPr>
              <w:spacing w:line="254" w:lineRule="auto"/>
              <w:rPr>
                <w:rFonts w:ascii="Arial"/>
                <w:sz w:val="21"/>
              </w:rPr>
            </w:pPr>
          </w:p>
          <w:p w14:paraId="6DC15A88">
            <w:pPr>
              <w:spacing w:line="254" w:lineRule="auto"/>
              <w:rPr>
                <w:rFonts w:ascii="Arial"/>
                <w:sz w:val="21"/>
              </w:rPr>
            </w:pPr>
          </w:p>
          <w:p w14:paraId="13E9D2C4">
            <w:pPr>
              <w:spacing w:line="254" w:lineRule="auto"/>
              <w:rPr>
                <w:rFonts w:ascii="Arial"/>
                <w:sz w:val="21"/>
              </w:rPr>
            </w:pPr>
          </w:p>
          <w:p w14:paraId="69610FC3">
            <w:pPr>
              <w:pStyle w:val="9"/>
              <w:spacing w:before="68" w:line="354" w:lineRule="auto"/>
              <w:ind w:left="212" w:right="204" w:firstLine="2"/>
            </w:pPr>
            <w:r>
              <w:rPr>
                <w:spacing w:val="-7"/>
              </w:rPr>
              <w:t>安全</w:t>
            </w:r>
            <w:r>
              <w:rPr>
                <w:spacing w:val="-5"/>
              </w:rPr>
              <w:t>生产</w:t>
            </w:r>
          </w:p>
        </w:tc>
        <w:tc>
          <w:tcPr>
            <w:tcW w:w="839" w:type="dxa"/>
            <w:vAlign w:val="top"/>
          </w:tcPr>
          <w:p w14:paraId="7FE3CBF6">
            <w:pPr>
              <w:spacing w:line="271" w:lineRule="auto"/>
              <w:rPr>
                <w:rFonts w:ascii="Arial"/>
                <w:sz w:val="21"/>
              </w:rPr>
            </w:pPr>
          </w:p>
          <w:p w14:paraId="3A7A56B7">
            <w:pPr>
              <w:pStyle w:val="9"/>
              <w:spacing w:before="69" w:line="241" w:lineRule="auto"/>
              <w:ind w:left="385"/>
            </w:pPr>
            <w:r>
              <w:t>1</w:t>
            </w:r>
          </w:p>
        </w:tc>
        <w:tc>
          <w:tcPr>
            <w:tcW w:w="7621" w:type="dxa"/>
            <w:vAlign w:val="top"/>
          </w:tcPr>
          <w:p w14:paraId="1E3A850A">
            <w:pPr>
              <w:pStyle w:val="9"/>
              <w:spacing w:before="141" w:line="287" w:lineRule="auto"/>
              <w:ind w:left="111" w:right="115"/>
            </w:pPr>
            <w:r>
              <w:rPr>
                <w:spacing w:val="1"/>
              </w:rPr>
              <w:t>桥梁施工现场及构件预制场、钢筋加工场、搅拌站、爬梯施工驻地须悬挂安全生</w:t>
            </w:r>
            <w:r>
              <w:rPr>
                <w:spacing w:val="-4"/>
              </w:rPr>
              <w:t>产标牌，违者违约金</w:t>
            </w:r>
            <w:r>
              <w:rPr>
                <w:spacing w:val="-19"/>
              </w:rPr>
              <w:t xml:space="preserve"> </w:t>
            </w:r>
            <w:r>
              <w:rPr>
                <w:spacing w:val="-4"/>
              </w:rPr>
              <w:t>1,000</w:t>
            </w:r>
            <w:r>
              <w:rPr>
                <w:spacing w:val="-41"/>
              </w:rPr>
              <w:t xml:space="preserve"> </w:t>
            </w:r>
            <w:r>
              <w:rPr>
                <w:spacing w:val="-4"/>
              </w:rPr>
              <w:t>元/处。</w:t>
            </w:r>
          </w:p>
        </w:tc>
      </w:tr>
      <w:tr w14:paraId="3722B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3D7ED4FC">
            <w:pPr>
              <w:rPr>
                <w:rFonts w:ascii="Arial"/>
                <w:sz w:val="21"/>
              </w:rPr>
            </w:pPr>
          </w:p>
        </w:tc>
        <w:tc>
          <w:tcPr>
            <w:tcW w:w="839" w:type="dxa"/>
            <w:vAlign w:val="top"/>
          </w:tcPr>
          <w:p w14:paraId="63F8EEF4">
            <w:pPr>
              <w:spacing w:line="272" w:lineRule="auto"/>
              <w:rPr>
                <w:rFonts w:ascii="Arial"/>
                <w:sz w:val="21"/>
              </w:rPr>
            </w:pPr>
          </w:p>
          <w:p w14:paraId="6B65B562">
            <w:pPr>
              <w:pStyle w:val="9"/>
              <w:spacing w:before="69" w:line="241" w:lineRule="auto"/>
              <w:ind w:left="372"/>
            </w:pPr>
            <w:r>
              <w:t>2</w:t>
            </w:r>
          </w:p>
        </w:tc>
        <w:tc>
          <w:tcPr>
            <w:tcW w:w="7621" w:type="dxa"/>
            <w:vAlign w:val="top"/>
          </w:tcPr>
          <w:p w14:paraId="36318F6D">
            <w:pPr>
              <w:pStyle w:val="9"/>
              <w:spacing w:before="142" w:line="287" w:lineRule="auto"/>
              <w:ind w:left="126" w:right="108" w:hanging="15"/>
            </w:pPr>
            <w:r>
              <w:rPr>
                <w:spacing w:val="1"/>
              </w:rPr>
              <w:t>基坑开挖未有效围护的，桩孔施工后未加盖的，临边防护不符合要求的，违约金</w:t>
            </w:r>
            <w:r>
              <w:rPr>
                <w:spacing w:val="-4"/>
              </w:rPr>
              <w:t>1,000</w:t>
            </w:r>
            <w:r>
              <w:rPr>
                <w:spacing w:val="-43"/>
              </w:rPr>
              <w:t xml:space="preserve"> </w:t>
            </w:r>
            <w:r>
              <w:rPr>
                <w:spacing w:val="-4"/>
              </w:rPr>
              <w:t>元/处。</w:t>
            </w:r>
          </w:p>
        </w:tc>
      </w:tr>
      <w:tr w14:paraId="1DD0B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32" w:type="dxa"/>
            <w:vMerge w:val="continue"/>
            <w:tcBorders>
              <w:top w:val="nil"/>
              <w:bottom w:val="nil"/>
            </w:tcBorders>
            <w:vAlign w:val="top"/>
          </w:tcPr>
          <w:p w14:paraId="6C052E4F">
            <w:pPr>
              <w:rPr>
                <w:rFonts w:ascii="Arial"/>
                <w:sz w:val="21"/>
              </w:rPr>
            </w:pPr>
          </w:p>
        </w:tc>
        <w:tc>
          <w:tcPr>
            <w:tcW w:w="839" w:type="dxa"/>
            <w:vAlign w:val="top"/>
          </w:tcPr>
          <w:p w14:paraId="4E29739F">
            <w:pPr>
              <w:spacing w:line="470" w:lineRule="auto"/>
              <w:rPr>
                <w:rFonts w:ascii="Arial"/>
                <w:sz w:val="21"/>
              </w:rPr>
            </w:pPr>
          </w:p>
          <w:p w14:paraId="1DAEAFFB">
            <w:pPr>
              <w:pStyle w:val="9"/>
              <w:spacing w:before="68"/>
              <w:ind w:left="374"/>
            </w:pPr>
            <w:r>
              <w:t>3</w:t>
            </w:r>
          </w:p>
        </w:tc>
        <w:tc>
          <w:tcPr>
            <w:tcW w:w="7621" w:type="dxa"/>
            <w:vAlign w:val="top"/>
          </w:tcPr>
          <w:p w14:paraId="4584EDDC">
            <w:pPr>
              <w:pStyle w:val="9"/>
              <w:spacing w:before="140" w:line="309" w:lineRule="auto"/>
              <w:ind w:left="111" w:right="115" w:hanging="1"/>
              <w:jc w:val="both"/>
            </w:pPr>
            <w:r>
              <w:t>施工用电存在安全问题，</w:t>
            </w:r>
            <w:r>
              <w:rPr>
                <w:spacing w:val="-61"/>
              </w:rPr>
              <w:t xml:space="preserve"> </w:t>
            </w:r>
            <w:r>
              <w:t>电力线路架设零乱不牢固；电源线老化、</w:t>
            </w:r>
            <w:r>
              <w:rPr>
                <w:spacing w:val="-1"/>
              </w:rPr>
              <w:t>绝缘损坏、接</w:t>
            </w:r>
            <w:r>
              <w:rPr>
                <w:spacing w:val="1"/>
              </w:rPr>
              <w:t>头处无包扎的；使用不合格电线；不设电箱、漏电开关；施工现场未设安全警示</w:t>
            </w:r>
            <w:r>
              <w:rPr>
                <w:spacing w:val="-5"/>
              </w:rPr>
              <w:t>牌，违约金</w:t>
            </w:r>
            <w:r>
              <w:rPr>
                <w:spacing w:val="-21"/>
              </w:rPr>
              <w:t xml:space="preserve"> </w:t>
            </w:r>
            <w:r>
              <w:rPr>
                <w:spacing w:val="-5"/>
              </w:rPr>
              <w:t>1,000</w:t>
            </w:r>
            <w:r>
              <w:rPr>
                <w:spacing w:val="-42"/>
              </w:rPr>
              <w:t xml:space="preserve"> </w:t>
            </w:r>
            <w:r>
              <w:rPr>
                <w:spacing w:val="-5"/>
              </w:rPr>
              <w:t>元/处。</w:t>
            </w:r>
          </w:p>
        </w:tc>
      </w:tr>
      <w:tr w14:paraId="4A25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5A2709C1">
            <w:pPr>
              <w:rPr>
                <w:rFonts w:ascii="Arial"/>
                <w:sz w:val="21"/>
              </w:rPr>
            </w:pPr>
          </w:p>
        </w:tc>
        <w:tc>
          <w:tcPr>
            <w:tcW w:w="839" w:type="dxa"/>
            <w:vAlign w:val="top"/>
          </w:tcPr>
          <w:p w14:paraId="521C9BD7">
            <w:pPr>
              <w:pStyle w:val="9"/>
              <w:spacing w:before="226" w:line="241" w:lineRule="auto"/>
              <w:ind w:left="369"/>
            </w:pPr>
            <w:r>
              <w:t>4</w:t>
            </w:r>
          </w:p>
        </w:tc>
        <w:tc>
          <w:tcPr>
            <w:tcW w:w="7621" w:type="dxa"/>
            <w:vAlign w:val="top"/>
          </w:tcPr>
          <w:p w14:paraId="3C2CDAF8">
            <w:pPr>
              <w:pStyle w:val="9"/>
              <w:spacing w:before="225" w:line="217" w:lineRule="auto"/>
              <w:ind w:left="117"/>
            </w:pPr>
            <w:r>
              <w:rPr>
                <w:spacing w:val="-2"/>
              </w:rPr>
              <w:t>高空作业未设置稳固爬梯；不设围栏、安全网，违约金</w:t>
            </w:r>
            <w:r>
              <w:rPr>
                <w:spacing w:val="-30"/>
              </w:rPr>
              <w:t xml:space="preserve"> </w:t>
            </w:r>
            <w:r>
              <w:rPr>
                <w:spacing w:val="-2"/>
              </w:rPr>
              <w:t>1,000</w:t>
            </w:r>
            <w:r>
              <w:rPr>
                <w:spacing w:val="-42"/>
              </w:rPr>
              <w:t xml:space="preserve"> </w:t>
            </w:r>
            <w:r>
              <w:rPr>
                <w:spacing w:val="-2"/>
              </w:rPr>
              <w:t>元/处。</w:t>
            </w:r>
          </w:p>
        </w:tc>
      </w:tr>
      <w:tr w14:paraId="31DF6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FE7886B">
            <w:pPr>
              <w:rPr>
                <w:rFonts w:ascii="Arial"/>
                <w:sz w:val="21"/>
              </w:rPr>
            </w:pPr>
          </w:p>
        </w:tc>
        <w:tc>
          <w:tcPr>
            <w:tcW w:w="839" w:type="dxa"/>
            <w:vAlign w:val="top"/>
          </w:tcPr>
          <w:p w14:paraId="5E96BCC6">
            <w:pPr>
              <w:spacing w:line="272" w:lineRule="auto"/>
              <w:rPr>
                <w:rFonts w:ascii="Arial"/>
                <w:sz w:val="21"/>
              </w:rPr>
            </w:pPr>
          </w:p>
          <w:p w14:paraId="6F02037A">
            <w:pPr>
              <w:pStyle w:val="9"/>
              <w:spacing w:before="68"/>
              <w:ind w:left="374"/>
            </w:pPr>
            <w:r>
              <w:t>5</w:t>
            </w:r>
          </w:p>
        </w:tc>
        <w:tc>
          <w:tcPr>
            <w:tcW w:w="7621" w:type="dxa"/>
            <w:vAlign w:val="top"/>
          </w:tcPr>
          <w:p w14:paraId="1FFFE147">
            <w:pPr>
              <w:pStyle w:val="9"/>
              <w:spacing w:before="142" w:line="287" w:lineRule="auto"/>
              <w:ind w:left="111" w:right="115"/>
            </w:pPr>
            <w:r>
              <w:rPr>
                <w:spacing w:val="1"/>
              </w:rPr>
              <w:t>爆破作业应按批准的爆破方案及施工安全技术规程的要求进行，并对人身、工程</w:t>
            </w:r>
            <w:r>
              <w:rPr>
                <w:spacing w:val="-2"/>
              </w:rPr>
              <w:t>本身及所有财产采取保护措施，违者违约金</w:t>
            </w:r>
            <w:r>
              <w:rPr>
                <w:spacing w:val="-36"/>
              </w:rPr>
              <w:t xml:space="preserve"> </w:t>
            </w:r>
            <w:r>
              <w:rPr>
                <w:spacing w:val="-2"/>
              </w:rPr>
              <w:t>2,000</w:t>
            </w:r>
            <w:r>
              <w:rPr>
                <w:spacing w:val="-41"/>
              </w:rPr>
              <w:t xml:space="preserve"> </w:t>
            </w:r>
            <w:r>
              <w:rPr>
                <w:spacing w:val="-2"/>
              </w:rPr>
              <w:t>元/次。</w:t>
            </w:r>
          </w:p>
        </w:tc>
      </w:tr>
      <w:tr w14:paraId="3A319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74F4B0A6">
            <w:pPr>
              <w:rPr>
                <w:rFonts w:ascii="Arial"/>
                <w:sz w:val="21"/>
              </w:rPr>
            </w:pPr>
          </w:p>
        </w:tc>
        <w:tc>
          <w:tcPr>
            <w:tcW w:w="839" w:type="dxa"/>
            <w:vAlign w:val="top"/>
          </w:tcPr>
          <w:p w14:paraId="00DB2452">
            <w:pPr>
              <w:pStyle w:val="9"/>
              <w:spacing w:before="224"/>
              <w:ind w:left="371"/>
            </w:pPr>
            <w:r>
              <w:t>6</w:t>
            </w:r>
          </w:p>
        </w:tc>
        <w:tc>
          <w:tcPr>
            <w:tcW w:w="7621" w:type="dxa"/>
            <w:vAlign w:val="top"/>
          </w:tcPr>
          <w:p w14:paraId="316AD82C">
            <w:pPr>
              <w:pStyle w:val="9"/>
              <w:spacing w:before="224" w:line="217" w:lineRule="auto"/>
              <w:ind w:left="111"/>
            </w:pPr>
            <w:r>
              <w:rPr>
                <w:spacing w:val="-2"/>
              </w:rPr>
              <w:t>爆破器材设专人保管，严格领用手续，违者违约金</w:t>
            </w:r>
            <w:r>
              <w:rPr>
                <w:spacing w:val="-29"/>
              </w:rPr>
              <w:t xml:space="preserve"> </w:t>
            </w:r>
            <w:r>
              <w:rPr>
                <w:spacing w:val="-2"/>
              </w:rPr>
              <w:t>2,000</w:t>
            </w:r>
            <w:r>
              <w:rPr>
                <w:spacing w:val="-41"/>
              </w:rPr>
              <w:t xml:space="preserve"> </w:t>
            </w:r>
            <w:r>
              <w:rPr>
                <w:spacing w:val="-2"/>
              </w:rPr>
              <w:t>元/次。</w:t>
            </w:r>
          </w:p>
        </w:tc>
      </w:tr>
      <w:tr w14:paraId="7BB65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33EAC6F7">
            <w:pPr>
              <w:rPr>
                <w:rFonts w:ascii="Arial"/>
                <w:sz w:val="21"/>
              </w:rPr>
            </w:pPr>
          </w:p>
        </w:tc>
        <w:tc>
          <w:tcPr>
            <w:tcW w:w="839" w:type="dxa"/>
            <w:vAlign w:val="top"/>
          </w:tcPr>
          <w:p w14:paraId="174EB790">
            <w:pPr>
              <w:spacing w:line="273" w:lineRule="auto"/>
              <w:rPr>
                <w:rFonts w:ascii="Arial"/>
                <w:sz w:val="21"/>
              </w:rPr>
            </w:pPr>
          </w:p>
          <w:p w14:paraId="2B6FB714">
            <w:pPr>
              <w:pStyle w:val="9"/>
              <w:spacing w:before="68"/>
              <w:ind w:left="375"/>
            </w:pPr>
            <w:r>
              <w:t>7</w:t>
            </w:r>
          </w:p>
        </w:tc>
        <w:tc>
          <w:tcPr>
            <w:tcW w:w="7621" w:type="dxa"/>
            <w:vAlign w:val="top"/>
          </w:tcPr>
          <w:p w14:paraId="2C902527">
            <w:pPr>
              <w:pStyle w:val="9"/>
              <w:spacing w:before="144" w:line="286" w:lineRule="auto"/>
              <w:ind w:left="112" w:right="107" w:hanging="2"/>
            </w:pPr>
            <w:r>
              <w:rPr>
                <w:spacing w:val="3"/>
              </w:rPr>
              <w:t>对于安全风险大的高空作业、梁板吊装，要</w:t>
            </w:r>
            <w:r>
              <w:rPr>
                <w:spacing w:val="2"/>
              </w:rPr>
              <w:t>求制订安全预案，违者违约金</w:t>
            </w:r>
            <w:r>
              <w:rPr>
                <w:spacing w:val="-47"/>
              </w:rPr>
              <w:t xml:space="preserve"> </w:t>
            </w:r>
            <w:r>
              <w:rPr>
                <w:spacing w:val="2"/>
              </w:rPr>
              <w:t>2,000</w:t>
            </w:r>
            <w:r>
              <w:rPr>
                <w:spacing w:val="-8"/>
              </w:rPr>
              <w:t>元/次。</w:t>
            </w:r>
          </w:p>
        </w:tc>
      </w:tr>
      <w:tr w14:paraId="2C68E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32" w:type="dxa"/>
            <w:vMerge w:val="continue"/>
            <w:tcBorders>
              <w:top w:val="nil"/>
              <w:bottom w:val="nil"/>
            </w:tcBorders>
            <w:vAlign w:val="top"/>
          </w:tcPr>
          <w:p w14:paraId="69387A3B">
            <w:pPr>
              <w:rPr>
                <w:rFonts w:ascii="Arial"/>
                <w:sz w:val="21"/>
              </w:rPr>
            </w:pPr>
          </w:p>
        </w:tc>
        <w:tc>
          <w:tcPr>
            <w:tcW w:w="839" w:type="dxa"/>
            <w:vAlign w:val="top"/>
          </w:tcPr>
          <w:p w14:paraId="1BEB15AC">
            <w:pPr>
              <w:spacing w:line="471" w:lineRule="auto"/>
              <w:rPr>
                <w:rFonts w:ascii="Arial"/>
                <w:sz w:val="21"/>
              </w:rPr>
            </w:pPr>
          </w:p>
          <w:p w14:paraId="5C329BF7">
            <w:pPr>
              <w:pStyle w:val="9"/>
              <w:spacing w:before="68"/>
              <w:ind w:left="370"/>
            </w:pPr>
            <w:r>
              <w:t>8</w:t>
            </w:r>
          </w:p>
        </w:tc>
        <w:tc>
          <w:tcPr>
            <w:tcW w:w="7621" w:type="dxa"/>
            <w:vAlign w:val="top"/>
          </w:tcPr>
          <w:p w14:paraId="0EFDDCA6">
            <w:pPr>
              <w:pStyle w:val="9"/>
              <w:spacing w:before="143" w:line="308" w:lineRule="auto"/>
              <w:ind w:left="111" w:right="110"/>
              <w:jc w:val="both"/>
            </w:pPr>
            <w:r>
              <w:rPr>
                <w:spacing w:val="1"/>
              </w:rPr>
              <w:t>梁板吊运安装施工方案应经过监理人审批，吊车、龙门架、架桥机要经过安全生产检测机构检验合格，并在设备上张贴“四证”公示牌才能施工作业，违者违约</w:t>
            </w:r>
            <w:r>
              <w:rPr>
                <w:spacing w:val="-5"/>
              </w:rPr>
              <w:t>金</w:t>
            </w:r>
            <w:r>
              <w:rPr>
                <w:spacing w:val="-38"/>
              </w:rPr>
              <w:t xml:space="preserve"> </w:t>
            </w:r>
            <w:r>
              <w:rPr>
                <w:spacing w:val="-5"/>
              </w:rPr>
              <w:t>5,000</w:t>
            </w:r>
            <w:r>
              <w:rPr>
                <w:spacing w:val="-41"/>
              </w:rPr>
              <w:t xml:space="preserve"> </w:t>
            </w:r>
            <w:r>
              <w:rPr>
                <w:spacing w:val="-5"/>
              </w:rPr>
              <w:t>元/次。</w:t>
            </w:r>
          </w:p>
        </w:tc>
      </w:tr>
      <w:tr w14:paraId="3F9F6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832" w:type="dxa"/>
            <w:vMerge w:val="continue"/>
            <w:tcBorders>
              <w:top w:val="nil"/>
            </w:tcBorders>
            <w:vAlign w:val="top"/>
          </w:tcPr>
          <w:p w14:paraId="381112C7">
            <w:pPr>
              <w:rPr>
                <w:rFonts w:ascii="Arial"/>
                <w:sz w:val="21"/>
              </w:rPr>
            </w:pPr>
          </w:p>
        </w:tc>
        <w:tc>
          <w:tcPr>
            <w:tcW w:w="839" w:type="dxa"/>
            <w:vAlign w:val="top"/>
          </w:tcPr>
          <w:p w14:paraId="0C5B670B">
            <w:pPr>
              <w:spacing w:line="289" w:lineRule="auto"/>
              <w:rPr>
                <w:rFonts w:ascii="Arial"/>
                <w:sz w:val="21"/>
              </w:rPr>
            </w:pPr>
          </w:p>
          <w:p w14:paraId="28A73260">
            <w:pPr>
              <w:spacing w:line="290" w:lineRule="auto"/>
              <w:rPr>
                <w:rFonts w:ascii="Arial"/>
                <w:sz w:val="21"/>
              </w:rPr>
            </w:pPr>
          </w:p>
          <w:p w14:paraId="56456A79">
            <w:pPr>
              <w:spacing w:line="290" w:lineRule="auto"/>
              <w:rPr>
                <w:rFonts w:ascii="Arial"/>
                <w:sz w:val="21"/>
              </w:rPr>
            </w:pPr>
          </w:p>
          <w:p w14:paraId="6C43867B">
            <w:pPr>
              <w:pStyle w:val="9"/>
              <w:spacing w:before="68"/>
              <w:ind w:left="370"/>
            </w:pPr>
            <w:r>
              <w:t>9</w:t>
            </w:r>
          </w:p>
        </w:tc>
        <w:tc>
          <w:tcPr>
            <w:tcW w:w="7621" w:type="dxa"/>
            <w:vAlign w:val="top"/>
          </w:tcPr>
          <w:p w14:paraId="0D61A6C5">
            <w:pPr>
              <w:pStyle w:val="9"/>
              <w:spacing w:before="142" w:line="217" w:lineRule="auto"/>
              <w:ind w:left="129"/>
            </w:pPr>
            <w:r>
              <w:rPr>
                <w:spacing w:val="-4"/>
              </w:rPr>
              <w:t>出现以下情况，违约金</w:t>
            </w:r>
            <w:r>
              <w:rPr>
                <w:spacing w:val="-43"/>
              </w:rPr>
              <w:t xml:space="preserve"> </w:t>
            </w:r>
            <w:r>
              <w:rPr>
                <w:spacing w:val="-4"/>
              </w:rPr>
              <w:t>2,000</w:t>
            </w:r>
            <w:r>
              <w:rPr>
                <w:spacing w:val="-42"/>
              </w:rPr>
              <w:t xml:space="preserve"> </w:t>
            </w:r>
            <w:r>
              <w:rPr>
                <w:spacing w:val="-4"/>
              </w:rPr>
              <w:t>元/次：</w:t>
            </w:r>
          </w:p>
          <w:p w14:paraId="15F9606D">
            <w:pPr>
              <w:pStyle w:val="9"/>
              <w:spacing w:before="154" w:line="219" w:lineRule="auto"/>
              <w:ind w:left="117"/>
            </w:pPr>
            <w:r>
              <w:rPr>
                <w:spacing w:val="-4"/>
              </w:rPr>
              <w:t>（1）施工车辆和机械设备带故障作业；</w:t>
            </w:r>
          </w:p>
          <w:p w14:paraId="5AD86830">
            <w:pPr>
              <w:pStyle w:val="9"/>
              <w:spacing w:before="150" w:line="220" w:lineRule="auto"/>
              <w:ind w:left="117"/>
            </w:pPr>
            <w:r>
              <w:rPr>
                <w:spacing w:val="-3"/>
              </w:rPr>
              <w:t>（2）发生各种事故苗头及事故未及时整改和隐瞒不报；</w:t>
            </w:r>
          </w:p>
          <w:p w14:paraId="7C8A0EA5">
            <w:pPr>
              <w:pStyle w:val="9"/>
              <w:spacing w:before="149" w:line="220" w:lineRule="auto"/>
              <w:ind w:left="117"/>
            </w:pPr>
            <w:r>
              <w:rPr>
                <w:spacing w:val="-3"/>
              </w:rPr>
              <w:t>（3）每月安全大检查，安全管理人员无故不在位；</w:t>
            </w:r>
          </w:p>
          <w:p w14:paraId="311C2AF9">
            <w:pPr>
              <w:pStyle w:val="9"/>
              <w:spacing w:before="150" w:line="219" w:lineRule="auto"/>
              <w:ind w:left="117"/>
            </w:pPr>
            <w:r>
              <w:rPr>
                <w:spacing w:val="-4"/>
              </w:rPr>
              <w:t>（4）主要施工机械设备应悬挂操作规程；</w:t>
            </w:r>
          </w:p>
        </w:tc>
      </w:tr>
    </w:tbl>
    <w:p w14:paraId="4EA6C7E9">
      <w:pPr>
        <w:pStyle w:val="2"/>
      </w:pPr>
    </w:p>
    <w:p w14:paraId="2ED88A11">
      <w:pPr>
        <w:sectPr>
          <w:footerReference r:id="rId143" w:type="default"/>
          <w:pgSz w:w="11905" w:h="16840"/>
          <w:pgMar w:top="1182" w:right="1303" w:bottom="1171" w:left="1303" w:header="849" w:footer="937" w:gutter="0"/>
          <w:pgNumType w:fmt="decimal"/>
          <w:cols w:space="720" w:num="1"/>
        </w:sectPr>
      </w:pPr>
    </w:p>
    <w:p w14:paraId="41932D39">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7C697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3E565959">
            <w:pPr>
              <w:pStyle w:val="9"/>
              <w:spacing w:before="225" w:line="220" w:lineRule="auto"/>
              <w:ind w:left="210"/>
            </w:pPr>
            <w:r>
              <w:rPr>
                <w:b/>
                <w:bCs/>
                <w:spacing w:val="-4"/>
              </w:rPr>
              <w:t>类别</w:t>
            </w:r>
          </w:p>
        </w:tc>
        <w:tc>
          <w:tcPr>
            <w:tcW w:w="839" w:type="dxa"/>
            <w:vAlign w:val="top"/>
          </w:tcPr>
          <w:p w14:paraId="06490505">
            <w:pPr>
              <w:pStyle w:val="9"/>
              <w:spacing w:before="226" w:line="221" w:lineRule="auto"/>
              <w:ind w:left="211"/>
            </w:pPr>
            <w:r>
              <w:rPr>
                <w:b/>
                <w:bCs/>
                <w:spacing w:val="-4"/>
              </w:rPr>
              <w:t>序号</w:t>
            </w:r>
          </w:p>
        </w:tc>
        <w:tc>
          <w:tcPr>
            <w:tcW w:w="7621" w:type="dxa"/>
            <w:vAlign w:val="top"/>
          </w:tcPr>
          <w:p w14:paraId="16430E72">
            <w:pPr>
              <w:pStyle w:val="9"/>
              <w:spacing w:before="226" w:line="220" w:lineRule="auto"/>
              <w:ind w:left="3393"/>
            </w:pPr>
            <w:r>
              <w:rPr>
                <w:b/>
                <w:bCs/>
                <w:spacing w:val="-4"/>
              </w:rPr>
              <w:t>违约项目</w:t>
            </w:r>
          </w:p>
        </w:tc>
      </w:tr>
      <w:tr w14:paraId="11460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2DBC7B0D">
            <w:pPr>
              <w:rPr>
                <w:rFonts w:ascii="Arial"/>
                <w:sz w:val="21"/>
              </w:rPr>
            </w:pPr>
          </w:p>
        </w:tc>
        <w:tc>
          <w:tcPr>
            <w:tcW w:w="839" w:type="dxa"/>
            <w:vAlign w:val="top"/>
          </w:tcPr>
          <w:p w14:paraId="2289D945">
            <w:pPr>
              <w:rPr>
                <w:rFonts w:ascii="Arial"/>
                <w:sz w:val="21"/>
              </w:rPr>
            </w:pPr>
          </w:p>
        </w:tc>
        <w:tc>
          <w:tcPr>
            <w:tcW w:w="7621" w:type="dxa"/>
            <w:vAlign w:val="top"/>
          </w:tcPr>
          <w:p w14:paraId="4CB99B28">
            <w:pPr>
              <w:pStyle w:val="9"/>
              <w:spacing w:before="138" w:line="220" w:lineRule="auto"/>
              <w:ind w:left="117"/>
            </w:pPr>
            <w:r>
              <w:rPr>
                <w:spacing w:val="-3"/>
              </w:rPr>
              <w:t>（5）作业人员酒后作业、作业人员无证上岗；</w:t>
            </w:r>
          </w:p>
          <w:p w14:paraId="0B9EF88E">
            <w:pPr>
              <w:pStyle w:val="9"/>
              <w:spacing w:before="149" w:line="220" w:lineRule="auto"/>
              <w:ind w:left="117"/>
            </w:pPr>
            <w:r>
              <w:rPr>
                <w:spacing w:val="-2"/>
              </w:rPr>
              <w:t>（6）施工未进行安全交底，安全交底无记录的。</w:t>
            </w:r>
          </w:p>
        </w:tc>
      </w:tr>
      <w:tr w14:paraId="1C3FB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832" w:type="dxa"/>
            <w:vMerge w:val="continue"/>
            <w:tcBorders>
              <w:top w:val="nil"/>
              <w:bottom w:val="nil"/>
            </w:tcBorders>
            <w:vAlign w:val="top"/>
          </w:tcPr>
          <w:p w14:paraId="6E085098">
            <w:pPr>
              <w:rPr>
                <w:rFonts w:ascii="Arial"/>
                <w:sz w:val="21"/>
              </w:rPr>
            </w:pPr>
          </w:p>
        </w:tc>
        <w:tc>
          <w:tcPr>
            <w:tcW w:w="839" w:type="dxa"/>
            <w:vAlign w:val="top"/>
          </w:tcPr>
          <w:p w14:paraId="706DD0F1">
            <w:pPr>
              <w:spacing w:line="243" w:lineRule="auto"/>
              <w:rPr>
                <w:rFonts w:ascii="Arial"/>
                <w:sz w:val="21"/>
              </w:rPr>
            </w:pPr>
          </w:p>
          <w:p w14:paraId="430205ED">
            <w:pPr>
              <w:spacing w:line="243" w:lineRule="auto"/>
              <w:rPr>
                <w:rFonts w:ascii="Arial"/>
                <w:sz w:val="21"/>
              </w:rPr>
            </w:pPr>
          </w:p>
          <w:p w14:paraId="0561BD27">
            <w:pPr>
              <w:spacing w:line="243" w:lineRule="auto"/>
              <w:rPr>
                <w:rFonts w:ascii="Arial"/>
                <w:sz w:val="21"/>
              </w:rPr>
            </w:pPr>
          </w:p>
          <w:p w14:paraId="7AEBBB41">
            <w:pPr>
              <w:spacing w:line="244" w:lineRule="auto"/>
              <w:rPr>
                <w:rFonts w:ascii="Arial"/>
                <w:sz w:val="21"/>
              </w:rPr>
            </w:pPr>
          </w:p>
          <w:p w14:paraId="4A5390AB">
            <w:pPr>
              <w:spacing w:line="244" w:lineRule="auto"/>
              <w:rPr>
                <w:rFonts w:ascii="Arial"/>
                <w:sz w:val="21"/>
              </w:rPr>
            </w:pPr>
          </w:p>
          <w:p w14:paraId="4938A2EF">
            <w:pPr>
              <w:spacing w:line="244" w:lineRule="auto"/>
              <w:rPr>
                <w:rFonts w:ascii="Arial"/>
                <w:sz w:val="21"/>
              </w:rPr>
            </w:pPr>
          </w:p>
          <w:p w14:paraId="0F9D3F8F">
            <w:pPr>
              <w:pStyle w:val="9"/>
              <w:spacing w:before="68"/>
              <w:ind w:left="333"/>
            </w:pPr>
            <w:r>
              <w:rPr>
                <w:spacing w:val="-6"/>
              </w:rPr>
              <w:t>10</w:t>
            </w:r>
          </w:p>
        </w:tc>
        <w:tc>
          <w:tcPr>
            <w:tcW w:w="7621" w:type="dxa"/>
            <w:vAlign w:val="top"/>
          </w:tcPr>
          <w:p w14:paraId="62C1FB1D">
            <w:pPr>
              <w:pStyle w:val="9"/>
              <w:spacing w:before="139" w:line="220" w:lineRule="auto"/>
              <w:ind w:left="110"/>
            </w:pPr>
            <w:r>
              <w:rPr>
                <w:spacing w:val="-3"/>
              </w:rPr>
              <w:t>施工现场人员出现以下情况，每人违约金</w:t>
            </w:r>
            <w:r>
              <w:rPr>
                <w:spacing w:val="-26"/>
              </w:rPr>
              <w:t xml:space="preserve"> </w:t>
            </w:r>
            <w:r>
              <w:rPr>
                <w:spacing w:val="-3"/>
              </w:rPr>
              <w:t>500</w:t>
            </w:r>
            <w:r>
              <w:rPr>
                <w:spacing w:val="-41"/>
              </w:rPr>
              <w:t xml:space="preserve"> </w:t>
            </w:r>
            <w:r>
              <w:rPr>
                <w:spacing w:val="-3"/>
              </w:rPr>
              <w:t>元/次：</w:t>
            </w:r>
          </w:p>
          <w:p w14:paraId="157A0754">
            <w:pPr>
              <w:pStyle w:val="9"/>
              <w:spacing w:before="149" w:line="219" w:lineRule="auto"/>
              <w:ind w:left="117"/>
            </w:pPr>
            <w:r>
              <w:rPr>
                <w:spacing w:val="-7"/>
              </w:rPr>
              <w:t>（1）不戴安全帽；</w:t>
            </w:r>
          </w:p>
          <w:p w14:paraId="34EB8F26">
            <w:pPr>
              <w:pStyle w:val="9"/>
              <w:spacing w:before="150" w:line="220" w:lineRule="auto"/>
              <w:ind w:left="117"/>
            </w:pPr>
            <w:r>
              <w:rPr>
                <w:spacing w:val="-5"/>
              </w:rPr>
              <w:t>（2）高空作业不系安全带；</w:t>
            </w:r>
          </w:p>
          <w:p w14:paraId="06A602AF">
            <w:pPr>
              <w:pStyle w:val="9"/>
              <w:spacing w:before="150" w:line="220" w:lineRule="auto"/>
              <w:ind w:left="117"/>
            </w:pPr>
            <w:r>
              <w:rPr>
                <w:spacing w:val="-5"/>
              </w:rPr>
              <w:t>（3）水上作业不穿救生衣；</w:t>
            </w:r>
          </w:p>
          <w:p w14:paraId="7884278B">
            <w:pPr>
              <w:pStyle w:val="9"/>
              <w:spacing w:before="149" w:line="219" w:lineRule="auto"/>
              <w:ind w:left="117"/>
            </w:pPr>
            <w:r>
              <w:rPr>
                <w:spacing w:val="-6"/>
              </w:rPr>
              <w:t>（4）赤脚或穿拖鞋；</w:t>
            </w:r>
          </w:p>
          <w:p w14:paraId="415D81B8">
            <w:pPr>
              <w:pStyle w:val="9"/>
              <w:spacing w:before="150" w:line="352" w:lineRule="auto"/>
              <w:ind w:left="112" w:right="87" w:firstLine="4"/>
            </w:pPr>
            <w:r>
              <w:rPr>
                <w:spacing w:val="-1"/>
              </w:rPr>
              <w:t>（5）爆破员、安全员、电工、装载机司机、运输车司机、电</w:t>
            </w:r>
            <w:r>
              <w:rPr>
                <w:spacing w:val="-2"/>
              </w:rPr>
              <w:t>焊工、砼工、吊车、</w:t>
            </w:r>
            <w:r>
              <w:rPr>
                <w:spacing w:val="-3"/>
              </w:rPr>
              <w:t>架桥机等特殊工种未持证上岗的。</w:t>
            </w:r>
          </w:p>
          <w:p w14:paraId="163CA785">
            <w:pPr>
              <w:pStyle w:val="9"/>
              <w:spacing w:before="1" w:line="219" w:lineRule="auto"/>
              <w:ind w:left="117"/>
            </w:pPr>
            <w:r>
              <w:rPr>
                <w:spacing w:val="-3"/>
              </w:rPr>
              <w:t>（6）其他违反劳动纪律行为。</w:t>
            </w:r>
          </w:p>
        </w:tc>
      </w:tr>
      <w:tr w14:paraId="54C93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tcBorders>
            <w:vAlign w:val="top"/>
          </w:tcPr>
          <w:p w14:paraId="7875FBFC">
            <w:pPr>
              <w:rPr>
                <w:rFonts w:ascii="Arial"/>
                <w:sz w:val="21"/>
              </w:rPr>
            </w:pPr>
          </w:p>
        </w:tc>
        <w:tc>
          <w:tcPr>
            <w:tcW w:w="839" w:type="dxa"/>
            <w:vAlign w:val="top"/>
          </w:tcPr>
          <w:p w14:paraId="43D54692">
            <w:pPr>
              <w:pStyle w:val="9"/>
              <w:spacing w:before="223" w:line="241" w:lineRule="auto"/>
              <w:ind w:left="333"/>
            </w:pPr>
            <w:r>
              <w:rPr>
                <w:spacing w:val="-6"/>
              </w:rPr>
              <w:t>11</w:t>
            </w:r>
          </w:p>
        </w:tc>
        <w:tc>
          <w:tcPr>
            <w:tcW w:w="7621" w:type="dxa"/>
            <w:vAlign w:val="top"/>
          </w:tcPr>
          <w:p w14:paraId="3C46F715">
            <w:pPr>
              <w:pStyle w:val="9"/>
              <w:spacing w:before="223" w:line="219" w:lineRule="auto"/>
              <w:ind w:left="129"/>
            </w:pPr>
            <w:r>
              <w:rPr>
                <w:spacing w:val="-3"/>
              </w:rPr>
              <w:t>出现违章指挥、违章操作的，违约金</w:t>
            </w:r>
            <w:r>
              <w:rPr>
                <w:spacing w:val="-30"/>
              </w:rPr>
              <w:t xml:space="preserve"> </w:t>
            </w:r>
            <w:r>
              <w:rPr>
                <w:spacing w:val="-3"/>
              </w:rPr>
              <w:t>10000</w:t>
            </w:r>
            <w:r>
              <w:rPr>
                <w:spacing w:val="-41"/>
              </w:rPr>
              <w:t xml:space="preserve"> </w:t>
            </w:r>
            <w:r>
              <w:rPr>
                <w:spacing w:val="-3"/>
              </w:rPr>
              <w:t>元</w:t>
            </w:r>
            <w:r>
              <w:rPr>
                <w:spacing w:val="-4"/>
              </w:rPr>
              <w:t>/次。</w:t>
            </w:r>
          </w:p>
        </w:tc>
      </w:tr>
      <w:tr w14:paraId="08760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restart"/>
            <w:tcBorders>
              <w:bottom w:val="nil"/>
            </w:tcBorders>
            <w:vAlign w:val="top"/>
          </w:tcPr>
          <w:p w14:paraId="4489A8D9">
            <w:pPr>
              <w:spacing w:line="254" w:lineRule="auto"/>
              <w:rPr>
                <w:rFonts w:ascii="Arial"/>
                <w:sz w:val="21"/>
              </w:rPr>
            </w:pPr>
          </w:p>
          <w:p w14:paraId="0B20C4D7">
            <w:pPr>
              <w:spacing w:line="255" w:lineRule="auto"/>
              <w:rPr>
                <w:rFonts w:ascii="Arial"/>
                <w:sz w:val="21"/>
              </w:rPr>
            </w:pPr>
          </w:p>
          <w:p w14:paraId="49AFBD40">
            <w:pPr>
              <w:spacing w:line="255" w:lineRule="auto"/>
              <w:rPr>
                <w:rFonts w:ascii="Arial"/>
                <w:sz w:val="21"/>
              </w:rPr>
            </w:pPr>
          </w:p>
          <w:p w14:paraId="5E6B1811">
            <w:pPr>
              <w:spacing w:line="255" w:lineRule="auto"/>
              <w:rPr>
                <w:rFonts w:ascii="Arial"/>
                <w:sz w:val="21"/>
              </w:rPr>
            </w:pPr>
          </w:p>
          <w:p w14:paraId="30453D24">
            <w:pPr>
              <w:spacing w:line="255" w:lineRule="auto"/>
              <w:rPr>
                <w:rFonts w:ascii="Arial"/>
                <w:sz w:val="21"/>
              </w:rPr>
            </w:pPr>
          </w:p>
          <w:p w14:paraId="288C5A0D">
            <w:pPr>
              <w:spacing w:line="255" w:lineRule="auto"/>
              <w:rPr>
                <w:rFonts w:ascii="Arial"/>
                <w:sz w:val="21"/>
              </w:rPr>
            </w:pPr>
          </w:p>
          <w:p w14:paraId="173E16BB">
            <w:pPr>
              <w:spacing w:line="255" w:lineRule="auto"/>
              <w:rPr>
                <w:rFonts w:ascii="Arial"/>
                <w:sz w:val="21"/>
              </w:rPr>
            </w:pPr>
          </w:p>
          <w:p w14:paraId="3F306670">
            <w:pPr>
              <w:spacing w:line="255" w:lineRule="auto"/>
              <w:rPr>
                <w:rFonts w:ascii="Arial"/>
                <w:sz w:val="21"/>
              </w:rPr>
            </w:pPr>
          </w:p>
          <w:p w14:paraId="59BD8399">
            <w:pPr>
              <w:spacing w:line="255" w:lineRule="auto"/>
              <w:rPr>
                <w:rFonts w:ascii="Arial"/>
                <w:sz w:val="21"/>
              </w:rPr>
            </w:pPr>
          </w:p>
          <w:p w14:paraId="06AF3E2A">
            <w:pPr>
              <w:spacing w:line="255" w:lineRule="auto"/>
              <w:rPr>
                <w:rFonts w:ascii="Arial"/>
                <w:sz w:val="21"/>
              </w:rPr>
            </w:pPr>
          </w:p>
          <w:p w14:paraId="66752309">
            <w:pPr>
              <w:spacing w:line="255" w:lineRule="auto"/>
              <w:rPr>
                <w:rFonts w:ascii="Arial"/>
                <w:sz w:val="21"/>
              </w:rPr>
            </w:pPr>
          </w:p>
          <w:p w14:paraId="283818CE">
            <w:pPr>
              <w:spacing w:line="255" w:lineRule="auto"/>
              <w:rPr>
                <w:rFonts w:ascii="Arial"/>
                <w:sz w:val="21"/>
              </w:rPr>
            </w:pPr>
          </w:p>
          <w:p w14:paraId="05B5946F">
            <w:pPr>
              <w:pStyle w:val="9"/>
              <w:spacing w:before="68" w:line="356" w:lineRule="auto"/>
              <w:ind w:left="209" w:right="204" w:firstLine="2"/>
            </w:pPr>
            <w:r>
              <w:rPr>
                <w:spacing w:val="-5"/>
              </w:rPr>
              <w:t>文明</w:t>
            </w:r>
            <w:r>
              <w:rPr>
                <w:spacing w:val="-4"/>
              </w:rPr>
              <w:t>施工</w:t>
            </w:r>
          </w:p>
        </w:tc>
        <w:tc>
          <w:tcPr>
            <w:tcW w:w="839" w:type="dxa"/>
            <w:vAlign w:val="top"/>
          </w:tcPr>
          <w:p w14:paraId="1BB34AC2">
            <w:pPr>
              <w:spacing w:line="270" w:lineRule="auto"/>
              <w:rPr>
                <w:rFonts w:ascii="Arial"/>
                <w:sz w:val="21"/>
              </w:rPr>
            </w:pPr>
          </w:p>
          <w:p w14:paraId="6DA37370">
            <w:pPr>
              <w:pStyle w:val="9"/>
              <w:spacing w:before="68" w:line="241" w:lineRule="auto"/>
              <w:ind w:left="385"/>
            </w:pPr>
            <w:r>
              <w:t>1</w:t>
            </w:r>
          </w:p>
        </w:tc>
        <w:tc>
          <w:tcPr>
            <w:tcW w:w="7621" w:type="dxa"/>
            <w:vAlign w:val="top"/>
          </w:tcPr>
          <w:p w14:paraId="04E694ED">
            <w:pPr>
              <w:pStyle w:val="9"/>
              <w:spacing w:before="141" w:line="287" w:lineRule="auto"/>
              <w:ind w:left="116" w:right="115" w:hanging="5"/>
            </w:pPr>
            <w:r>
              <w:rPr>
                <w:spacing w:val="1"/>
              </w:rPr>
              <w:t>承包人驻地建设应包括防护、围墙、临时便道和安全、卫生、防火设施，违者违</w:t>
            </w:r>
            <w:r>
              <w:rPr>
                <w:spacing w:val="-6"/>
              </w:rPr>
              <w:t>约金</w:t>
            </w:r>
            <w:r>
              <w:rPr>
                <w:spacing w:val="-37"/>
              </w:rPr>
              <w:t xml:space="preserve"> </w:t>
            </w:r>
            <w:r>
              <w:rPr>
                <w:spacing w:val="-6"/>
              </w:rPr>
              <w:t>5000</w:t>
            </w:r>
            <w:r>
              <w:rPr>
                <w:spacing w:val="-41"/>
              </w:rPr>
              <w:t xml:space="preserve"> </w:t>
            </w:r>
            <w:r>
              <w:rPr>
                <w:spacing w:val="-6"/>
              </w:rPr>
              <w:t>元/项。</w:t>
            </w:r>
          </w:p>
        </w:tc>
      </w:tr>
      <w:tr w14:paraId="1144B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5A63D682">
            <w:pPr>
              <w:rPr>
                <w:rFonts w:ascii="Arial"/>
                <w:sz w:val="21"/>
              </w:rPr>
            </w:pPr>
          </w:p>
        </w:tc>
        <w:tc>
          <w:tcPr>
            <w:tcW w:w="839" w:type="dxa"/>
            <w:vAlign w:val="top"/>
          </w:tcPr>
          <w:p w14:paraId="4FFE1903">
            <w:pPr>
              <w:spacing w:line="271" w:lineRule="auto"/>
              <w:rPr>
                <w:rFonts w:ascii="Arial"/>
                <w:sz w:val="21"/>
              </w:rPr>
            </w:pPr>
          </w:p>
          <w:p w14:paraId="569A5B8F">
            <w:pPr>
              <w:pStyle w:val="9"/>
              <w:spacing w:before="68" w:line="241" w:lineRule="auto"/>
              <w:ind w:left="372"/>
            </w:pPr>
            <w:r>
              <w:t>2</w:t>
            </w:r>
          </w:p>
        </w:tc>
        <w:tc>
          <w:tcPr>
            <w:tcW w:w="7621" w:type="dxa"/>
            <w:vAlign w:val="top"/>
          </w:tcPr>
          <w:p w14:paraId="634FDC8F">
            <w:pPr>
              <w:pStyle w:val="9"/>
              <w:spacing w:before="141" w:line="287" w:lineRule="auto"/>
              <w:ind w:left="110" w:right="115" w:firstLine="1"/>
            </w:pPr>
            <w:r>
              <w:rPr>
                <w:spacing w:val="1"/>
              </w:rPr>
              <w:t>承包人项目经理部应按发包人统一要求设置组织机构、质量管理、安全生产等宣</w:t>
            </w:r>
            <w:r>
              <w:rPr>
                <w:spacing w:val="-3"/>
              </w:rPr>
              <w:t>传牌，违者违约金</w:t>
            </w:r>
            <w:r>
              <w:rPr>
                <w:spacing w:val="-42"/>
              </w:rPr>
              <w:t xml:space="preserve"> </w:t>
            </w:r>
            <w:r>
              <w:rPr>
                <w:spacing w:val="-3"/>
              </w:rPr>
              <w:t>5000</w:t>
            </w:r>
            <w:r>
              <w:rPr>
                <w:spacing w:val="-41"/>
              </w:rPr>
              <w:t xml:space="preserve"> </w:t>
            </w:r>
            <w:r>
              <w:rPr>
                <w:spacing w:val="-3"/>
              </w:rPr>
              <w:t>元/项。</w:t>
            </w:r>
          </w:p>
        </w:tc>
      </w:tr>
      <w:tr w14:paraId="7A584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4AA6838C">
            <w:pPr>
              <w:rPr>
                <w:rFonts w:ascii="Arial"/>
                <w:sz w:val="21"/>
              </w:rPr>
            </w:pPr>
          </w:p>
        </w:tc>
        <w:tc>
          <w:tcPr>
            <w:tcW w:w="839" w:type="dxa"/>
            <w:vAlign w:val="top"/>
          </w:tcPr>
          <w:p w14:paraId="35EC84ED">
            <w:pPr>
              <w:spacing w:line="271" w:lineRule="auto"/>
              <w:rPr>
                <w:rFonts w:ascii="Arial"/>
                <w:sz w:val="21"/>
              </w:rPr>
            </w:pPr>
          </w:p>
          <w:p w14:paraId="71D13F5E">
            <w:pPr>
              <w:pStyle w:val="9"/>
              <w:spacing w:before="69"/>
              <w:ind w:left="374"/>
            </w:pPr>
            <w:r>
              <w:t>3</w:t>
            </w:r>
          </w:p>
        </w:tc>
        <w:tc>
          <w:tcPr>
            <w:tcW w:w="7621" w:type="dxa"/>
            <w:vAlign w:val="top"/>
          </w:tcPr>
          <w:p w14:paraId="2ED2F5F7">
            <w:pPr>
              <w:pStyle w:val="9"/>
              <w:spacing w:before="142" w:line="287" w:lineRule="auto"/>
              <w:ind w:left="115" w:right="106" w:hanging="2"/>
            </w:pPr>
            <w:r>
              <w:t>单项工程的施工现场未按要求设立标示牌的，施工点无安全员的</w:t>
            </w:r>
            <w:r>
              <w:rPr>
                <w:rFonts w:hint="eastAsia"/>
                <w:lang w:eastAsia="zh-CN"/>
              </w:rPr>
              <w:t>，</w:t>
            </w:r>
            <w:r>
              <w:t>违约金</w:t>
            </w:r>
            <w:r>
              <w:rPr>
                <w:spacing w:val="-20"/>
              </w:rPr>
              <w:t xml:space="preserve"> </w:t>
            </w:r>
            <w:r>
              <w:t>500</w:t>
            </w:r>
            <w:r>
              <w:rPr>
                <w:spacing w:val="-41"/>
              </w:rPr>
              <w:t xml:space="preserve"> </w:t>
            </w:r>
            <w:r>
              <w:t>元/</w:t>
            </w:r>
            <w:r>
              <w:rPr>
                <w:spacing w:val="-11"/>
              </w:rPr>
              <w:t>处。</w:t>
            </w:r>
          </w:p>
        </w:tc>
      </w:tr>
      <w:tr w14:paraId="62D09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272F61C">
            <w:pPr>
              <w:rPr>
                <w:rFonts w:ascii="Arial"/>
                <w:sz w:val="21"/>
              </w:rPr>
            </w:pPr>
          </w:p>
        </w:tc>
        <w:tc>
          <w:tcPr>
            <w:tcW w:w="839" w:type="dxa"/>
            <w:vAlign w:val="top"/>
          </w:tcPr>
          <w:p w14:paraId="5DC0C38F">
            <w:pPr>
              <w:pStyle w:val="9"/>
              <w:spacing w:before="225" w:line="241" w:lineRule="auto"/>
              <w:ind w:left="369"/>
            </w:pPr>
            <w:r>
              <w:t>4</w:t>
            </w:r>
          </w:p>
        </w:tc>
        <w:tc>
          <w:tcPr>
            <w:tcW w:w="7621" w:type="dxa"/>
            <w:vAlign w:val="top"/>
          </w:tcPr>
          <w:p w14:paraId="7F66ED21">
            <w:pPr>
              <w:pStyle w:val="9"/>
              <w:spacing w:before="225" w:line="217" w:lineRule="auto"/>
              <w:ind w:left="110"/>
            </w:pPr>
            <w:r>
              <w:rPr>
                <w:spacing w:val="-2"/>
              </w:rPr>
              <w:t>施工现场管理人员不佩带工作证</w:t>
            </w:r>
            <w:r>
              <w:rPr>
                <w:rFonts w:hint="eastAsia"/>
                <w:spacing w:val="-2"/>
                <w:lang w:eastAsia="zh-CN"/>
              </w:rPr>
              <w:t>，</w:t>
            </w:r>
            <w:r>
              <w:rPr>
                <w:spacing w:val="-2"/>
              </w:rPr>
              <w:t xml:space="preserve"> 每人违约金</w:t>
            </w:r>
            <w:r>
              <w:rPr>
                <w:spacing w:val="-34"/>
              </w:rPr>
              <w:t xml:space="preserve"> </w:t>
            </w:r>
            <w:r>
              <w:rPr>
                <w:spacing w:val="-2"/>
              </w:rPr>
              <w:t>200</w:t>
            </w:r>
            <w:r>
              <w:rPr>
                <w:spacing w:val="-42"/>
              </w:rPr>
              <w:t xml:space="preserve"> </w:t>
            </w:r>
            <w:r>
              <w:rPr>
                <w:spacing w:val="-2"/>
              </w:rPr>
              <w:t>元/次。</w:t>
            </w:r>
          </w:p>
        </w:tc>
      </w:tr>
      <w:tr w14:paraId="1192A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45B6D54A">
            <w:pPr>
              <w:rPr>
                <w:rFonts w:ascii="Arial"/>
                <w:sz w:val="21"/>
              </w:rPr>
            </w:pPr>
          </w:p>
        </w:tc>
        <w:tc>
          <w:tcPr>
            <w:tcW w:w="839" w:type="dxa"/>
            <w:vAlign w:val="top"/>
          </w:tcPr>
          <w:p w14:paraId="1BF9AF6F">
            <w:pPr>
              <w:pStyle w:val="9"/>
              <w:spacing w:before="225"/>
              <w:ind w:left="374"/>
            </w:pPr>
            <w:r>
              <w:t>5</w:t>
            </w:r>
          </w:p>
        </w:tc>
        <w:tc>
          <w:tcPr>
            <w:tcW w:w="7621" w:type="dxa"/>
            <w:vAlign w:val="top"/>
          </w:tcPr>
          <w:p w14:paraId="657D2AC8">
            <w:pPr>
              <w:pStyle w:val="9"/>
              <w:spacing w:before="225" w:line="217" w:lineRule="auto"/>
              <w:ind w:left="110"/>
            </w:pPr>
            <w:r>
              <w:rPr>
                <w:spacing w:val="-1"/>
              </w:rPr>
              <w:t>施工扬尘防治措施未按行业主管部门管理规定落实到位的，违</w:t>
            </w:r>
            <w:r>
              <w:rPr>
                <w:spacing w:val="-2"/>
              </w:rPr>
              <w:t>约金</w:t>
            </w:r>
            <w:r>
              <w:rPr>
                <w:spacing w:val="-41"/>
              </w:rPr>
              <w:t xml:space="preserve"> </w:t>
            </w:r>
            <w:r>
              <w:rPr>
                <w:spacing w:val="-2"/>
              </w:rPr>
              <w:t>3,000</w:t>
            </w:r>
            <w:r>
              <w:rPr>
                <w:spacing w:val="-41"/>
              </w:rPr>
              <w:t xml:space="preserve"> </w:t>
            </w:r>
            <w:r>
              <w:rPr>
                <w:spacing w:val="-2"/>
              </w:rPr>
              <w:t>元/次。</w:t>
            </w:r>
          </w:p>
        </w:tc>
      </w:tr>
      <w:tr w14:paraId="64CD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11B3BB7">
            <w:pPr>
              <w:rPr>
                <w:rFonts w:ascii="Arial"/>
                <w:sz w:val="21"/>
              </w:rPr>
            </w:pPr>
          </w:p>
        </w:tc>
        <w:tc>
          <w:tcPr>
            <w:tcW w:w="839" w:type="dxa"/>
            <w:vAlign w:val="top"/>
          </w:tcPr>
          <w:p w14:paraId="4A3150C0">
            <w:pPr>
              <w:spacing w:line="272" w:lineRule="auto"/>
              <w:rPr>
                <w:rFonts w:ascii="Arial"/>
                <w:sz w:val="21"/>
              </w:rPr>
            </w:pPr>
          </w:p>
          <w:p w14:paraId="27FB25A9">
            <w:pPr>
              <w:pStyle w:val="9"/>
              <w:spacing w:before="68"/>
              <w:ind w:left="371"/>
            </w:pPr>
            <w:r>
              <w:t>6</w:t>
            </w:r>
          </w:p>
        </w:tc>
        <w:tc>
          <w:tcPr>
            <w:tcW w:w="7621" w:type="dxa"/>
            <w:vAlign w:val="top"/>
          </w:tcPr>
          <w:p w14:paraId="2BE0D116">
            <w:pPr>
              <w:pStyle w:val="9"/>
              <w:spacing w:before="142" w:line="287" w:lineRule="auto"/>
              <w:ind w:left="110" w:right="115"/>
            </w:pPr>
            <w:r>
              <w:rPr>
                <w:spacing w:val="1"/>
              </w:rPr>
              <w:t>桥梁施工过程中的泥浆及废弃物等，须在该项工程完工时即时清除干净，符合固</w:t>
            </w:r>
            <w:r>
              <w:rPr>
                <w:spacing w:val="-3"/>
              </w:rPr>
              <w:t>废处理要求，违者违约金</w:t>
            </w:r>
            <w:r>
              <w:rPr>
                <w:spacing w:val="-24"/>
              </w:rPr>
              <w:t xml:space="preserve"> </w:t>
            </w:r>
            <w:r>
              <w:rPr>
                <w:spacing w:val="-3"/>
              </w:rPr>
              <w:t>3,0000</w:t>
            </w:r>
            <w:r>
              <w:rPr>
                <w:spacing w:val="-42"/>
              </w:rPr>
              <w:t xml:space="preserve"> </w:t>
            </w:r>
            <w:r>
              <w:rPr>
                <w:spacing w:val="-3"/>
              </w:rPr>
              <w:t>元。</w:t>
            </w:r>
          </w:p>
        </w:tc>
      </w:tr>
      <w:tr w14:paraId="4B629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F886104">
            <w:pPr>
              <w:rPr>
                <w:rFonts w:ascii="Arial"/>
                <w:sz w:val="21"/>
              </w:rPr>
            </w:pPr>
          </w:p>
        </w:tc>
        <w:tc>
          <w:tcPr>
            <w:tcW w:w="839" w:type="dxa"/>
            <w:vAlign w:val="top"/>
          </w:tcPr>
          <w:p w14:paraId="5CC6488A">
            <w:pPr>
              <w:spacing w:line="272" w:lineRule="auto"/>
              <w:rPr>
                <w:rFonts w:ascii="Arial"/>
                <w:sz w:val="21"/>
              </w:rPr>
            </w:pPr>
          </w:p>
          <w:p w14:paraId="2E4E6FAD">
            <w:pPr>
              <w:pStyle w:val="9"/>
              <w:spacing w:before="68"/>
              <w:ind w:left="375"/>
            </w:pPr>
            <w:r>
              <w:t>7</w:t>
            </w:r>
          </w:p>
        </w:tc>
        <w:tc>
          <w:tcPr>
            <w:tcW w:w="7621" w:type="dxa"/>
            <w:vAlign w:val="top"/>
          </w:tcPr>
          <w:p w14:paraId="5E75AAE2">
            <w:pPr>
              <w:pStyle w:val="9"/>
              <w:spacing w:before="142" w:line="287" w:lineRule="auto"/>
              <w:ind w:left="113" w:right="33" w:hanging="3"/>
            </w:pPr>
            <w:r>
              <w:rPr>
                <w:spacing w:val="-5"/>
              </w:rPr>
              <w:t>施工现场未采取有效措施，造成水源污染、空气污染等不良后</w:t>
            </w:r>
            <w:r>
              <w:rPr>
                <w:spacing w:val="-6"/>
              </w:rPr>
              <w:t>果， 引起群众抗议、</w:t>
            </w:r>
            <w:r>
              <w:rPr>
                <w:spacing w:val="-2"/>
              </w:rPr>
              <w:t>投诉或有关行政主管部门处理的，违约金</w:t>
            </w:r>
            <w:r>
              <w:rPr>
                <w:spacing w:val="-29"/>
              </w:rPr>
              <w:t xml:space="preserve"> </w:t>
            </w:r>
            <w:r>
              <w:rPr>
                <w:spacing w:val="-2"/>
              </w:rPr>
              <w:t>1</w:t>
            </w:r>
            <w:r>
              <w:rPr>
                <w:spacing w:val="-3"/>
              </w:rPr>
              <w:t>0，000</w:t>
            </w:r>
            <w:r>
              <w:rPr>
                <w:spacing w:val="-42"/>
              </w:rPr>
              <w:t xml:space="preserve"> </w:t>
            </w:r>
            <w:r>
              <w:rPr>
                <w:spacing w:val="-3"/>
              </w:rPr>
              <w:t>元/次。</w:t>
            </w:r>
          </w:p>
        </w:tc>
      </w:tr>
      <w:tr w14:paraId="0AEC3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2D6D2CA9">
            <w:pPr>
              <w:rPr>
                <w:rFonts w:ascii="Arial"/>
                <w:sz w:val="21"/>
              </w:rPr>
            </w:pPr>
          </w:p>
        </w:tc>
        <w:tc>
          <w:tcPr>
            <w:tcW w:w="839" w:type="dxa"/>
            <w:vAlign w:val="top"/>
          </w:tcPr>
          <w:p w14:paraId="44DCA9DC">
            <w:pPr>
              <w:spacing w:line="272" w:lineRule="auto"/>
              <w:rPr>
                <w:rFonts w:ascii="Arial"/>
                <w:sz w:val="21"/>
              </w:rPr>
            </w:pPr>
          </w:p>
          <w:p w14:paraId="5850240C">
            <w:pPr>
              <w:pStyle w:val="9"/>
              <w:spacing w:before="68"/>
              <w:ind w:left="370"/>
            </w:pPr>
            <w:r>
              <w:t>8</w:t>
            </w:r>
          </w:p>
        </w:tc>
        <w:tc>
          <w:tcPr>
            <w:tcW w:w="7621" w:type="dxa"/>
            <w:vAlign w:val="top"/>
          </w:tcPr>
          <w:p w14:paraId="17E2B294">
            <w:pPr>
              <w:pStyle w:val="9"/>
              <w:spacing w:before="142" w:line="287" w:lineRule="auto"/>
              <w:ind w:left="110" w:right="104" w:firstLine="4"/>
            </w:pPr>
            <w:r>
              <w:rPr>
                <w:spacing w:val="-2"/>
              </w:rPr>
              <w:t>弃土、弃渣堆放于陡坡桥梁桥位上，或占农田果园、堵塞水道的，</w:t>
            </w:r>
            <w:r>
              <w:rPr>
                <w:spacing w:val="-3"/>
              </w:rPr>
              <w:t>违约金</w:t>
            </w:r>
            <w:r>
              <w:rPr>
                <w:spacing w:val="-39"/>
              </w:rPr>
              <w:t xml:space="preserve"> </w:t>
            </w:r>
            <w:r>
              <w:rPr>
                <w:spacing w:val="-3"/>
              </w:rPr>
              <w:t>5000</w:t>
            </w:r>
            <w:r>
              <w:rPr>
                <w:spacing w:val="-44"/>
              </w:rPr>
              <w:t xml:space="preserve"> </w:t>
            </w:r>
            <w:r>
              <w:rPr>
                <w:spacing w:val="-3"/>
              </w:rPr>
              <w:t>元</w:t>
            </w:r>
            <w:r>
              <w:rPr>
                <w:spacing w:val="-8"/>
              </w:rPr>
              <w:t>/次。</w:t>
            </w:r>
          </w:p>
        </w:tc>
      </w:tr>
      <w:tr w14:paraId="0E247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tcBorders>
            <w:vAlign w:val="top"/>
          </w:tcPr>
          <w:p w14:paraId="340639FD">
            <w:pPr>
              <w:rPr>
                <w:rFonts w:ascii="Arial"/>
                <w:sz w:val="21"/>
              </w:rPr>
            </w:pPr>
          </w:p>
        </w:tc>
        <w:tc>
          <w:tcPr>
            <w:tcW w:w="839" w:type="dxa"/>
            <w:vAlign w:val="top"/>
          </w:tcPr>
          <w:p w14:paraId="22B62339">
            <w:pPr>
              <w:spacing w:line="272" w:lineRule="auto"/>
              <w:rPr>
                <w:rFonts w:ascii="Arial"/>
                <w:sz w:val="21"/>
              </w:rPr>
            </w:pPr>
          </w:p>
          <w:p w14:paraId="6A46CAEE">
            <w:pPr>
              <w:pStyle w:val="9"/>
              <w:spacing w:before="68"/>
              <w:ind w:left="370"/>
            </w:pPr>
            <w:r>
              <w:t>9</w:t>
            </w:r>
          </w:p>
        </w:tc>
        <w:tc>
          <w:tcPr>
            <w:tcW w:w="7621" w:type="dxa"/>
            <w:vAlign w:val="top"/>
          </w:tcPr>
          <w:p w14:paraId="4F3DE0FE">
            <w:pPr>
              <w:pStyle w:val="9"/>
              <w:spacing w:before="142" w:line="287" w:lineRule="auto"/>
              <w:ind w:left="116" w:right="115" w:hanging="2"/>
            </w:pPr>
            <w:r>
              <w:rPr>
                <w:spacing w:val="1"/>
              </w:rPr>
              <w:t>水土保持防护措施不完善，造成水土流失，污染当地农田水利或城镇农村的，违</w:t>
            </w:r>
            <w:r>
              <w:rPr>
                <w:spacing w:val="-6"/>
              </w:rPr>
              <w:t>约金</w:t>
            </w:r>
            <w:r>
              <w:rPr>
                <w:spacing w:val="-37"/>
              </w:rPr>
              <w:t xml:space="preserve"> </w:t>
            </w:r>
            <w:r>
              <w:rPr>
                <w:spacing w:val="-6"/>
              </w:rPr>
              <w:t>5000</w:t>
            </w:r>
            <w:r>
              <w:rPr>
                <w:spacing w:val="-41"/>
              </w:rPr>
              <w:t xml:space="preserve"> </w:t>
            </w:r>
            <w:r>
              <w:rPr>
                <w:spacing w:val="-6"/>
              </w:rPr>
              <w:t>元/次。</w:t>
            </w:r>
          </w:p>
        </w:tc>
      </w:tr>
      <w:tr w14:paraId="57A54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restart"/>
            <w:tcBorders>
              <w:bottom w:val="nil"/>
            </w:tcBorders>
            <w:vAlign w:val="top"/>
          </w:tcPr>
          <w:p w14:paraId="0B867656">
            <w:pPr>
              <w:spacing w:line="265" w:lineRule="auto"/>
              <w:rPr>
                <w:rFonts w:ascii="Arial"/>
                <w:sz w:val="21"/>
              </w:rPr>
            </w:pPr>
          </w:p>
          <w:p w14:paraId="77B80540">
            <w:pPr>
              <w:spacing w:line="265" w:lineRule="auto"/>
              <w:rPr>
                <w:rFonts w:ascii="Arial"/>
                <w:sz w:val="21"/>
              </w:rPr>
            </w:pPr>
          </w:p>
          <w:p w14:paraId="2ED28123">
            <w:pPr>
              <w:pStyle w:val="9"/>
              <w:spacing w:before="69" w:line="354" w:lineRule="auto"/>
              <w:ind w:left="210" w:right="204"/>
            </w:pPr>
            <w:r>
              <w:rPr>
                <w:spacing w:val="-5"/>
              </w:rPr>
              <w:t>环境保护</w:t>
            </w:r>
          </w:p>
        </w:tc>
        <w:tc>
          <w:tcPr>
            <w:tcW w:w="839" w:type="dxa"/>
            <w:vAlign w:val="top"/>
          </w:tcPr>
          <w:p w14:paraId="1AD56FDF">
            <w:pPr>
              <w:pStyle w:val="9"/>
              <w:spacing w:before="225" w:line="241" w:lineRule="auto"/>
              <w:ind w:left="385"/>
            </w:pPr>
            <w:r>
              <w:t>1</w:t>
            </w:r>
          </w:p>
        </w:tc>
        <w:tc>
          <w:tcPr>
            <w:tcW w:w="7621" w:type="dxa"/>
            <w:vAlign w:val="top"/>
          </w:tcPr>
          <w:p w14:paraId="08757A59">
            <w:pPr>
              <w:pStyle w:val="9"/>
              <w:spacing w:before="224" w:line="217" w:lineRule="auto"/>
              <w:ind w:left="115"/>
            </w:pPr>
            <w:r>
              <w:rPr>
                <w:spacing w:val="-2"/>
              </w:rPr>
              <w:t>未建立健全的环境保护管理机构，违约金</w:t>
            </w:r>
            <w:r>
              <w:rPr>
                <w:spacing w:val="-30"/>
              </w:rPr>
              <w:t xml:space="preserve"> </w:t>
            </w:r>
            <w:r>
              <w:rPr>
                <w:spacing w:val="-2"/>
              </w:rPr>
              <w:t>10,000</w:t>
            </w:r>
            <w:r>
              <w:rPr>
                <w:spacing w:val="-41"/>
              </w:rPr>
              <w:t xml:space="preserve"> </w:t>
            </w:r>
            <w:r>
              <w:rPr>
                <w:spacing w:val="-2"/>
              </w:rPr>
              <w:t>元</w:t>
            </w:r>
            <w:r>
              <w:rPr>
                <w:spacing w:val="-3"/>
              </w:rPr>
              <w:t>，并限期纠正。</w:t>
            </w:r>
          </w:p>
        </w:tc>
      </w:tr>
      <w:tr w14:paraId="42144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2FADD95">
            <w:pPr>
              <w:rPr>
                <w:rFonts w:ascii="Arial"/>
                <w:sz w:val="21"/>
              </w:rPr>
            </w:pPr>
          </w:p>
        </w:tc>
        <w:tc>
          <w:tcPr>
            <w:tcW w:w="839" w:type="dxa"/>
            <w:vAlign w:val="top"/>
          </w:tcPr>
          <w:p w14:paraId="3E4BB29F">
            <w:pPr>
              <w:pStyle w:val="9"/>
              <w:spacing w:before="226" w:line="241" w:lineRule="auto"/>
              <w:ind w:left="372"/>
            </w:pPr>
            <w:r>
              <w:t>2</w:t>
            </w:r>
          </w:p>
        </w:tc>
        <w:tc>
          <w:tcPr>
            <w:tcW w:w="7621" w:type="dxa"/>
            <w:vAlign w:val="top"/>
          </w:tcPr>
          <w:p w14:paraId="0F5F0958">
            <w:pPr>
              <w:pStyle w:val="9"/>
              <w:spacing w:before="225" w:line="217" w:lineRule="auto"/>
              <w:ind w:left="111"/>
            </w:pPr>
            <w:r>
              <w:rPr>
                <w:spacing w:val="-2"/>
              </w:rPr>
              <w:t>环境保护规章制度不齐全，违约金</w:t>
            </w:r>
            <w:r>
              <w:rPr>
                <w:spacing w:val="-42"/>
              </w:rPr>
              <w:t xml:space="preserve"> </w:t>
            </w:r>
            <w:r>
              <w:rPr>
                <w:spacing w:val="-2"/>
              </w:rPr>
              <w:t>5,000</w:t>
            </w:r>
            <w:r>
              <w:rPr>
                <w:spacing w:val="-42"/>
              </w:rPr>
              <w:t xml:space="preserve"> </w:t>
            </w:r>
            <w:r>
              <w:rPr>
                <w:spacing w:val="-2"/>
              </w:rPr>
              <w:t>元，并限期纠正。</w:t>
            </w:r>
          </w:p>
        </w:tc>
      </w:tr>
      <w:tr w14:paraId="6874A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832" w:type="dxa"/>
            <w:vMerge w:val="continue"/>
            <w:tcBorders>
              <w:top w:val="nil"/>
            </w:tcBorders>
            <w:vAlign w:val="top"/>
          </w:tcPr>
          <w:p w14:paraId="3C47D192">
            <w:pPr>
              <w:rPr>
                <w:rFonts w:ascii="Arial"/>
                <w:sz w:val="21"/>
              </w:rPr>
            </w:pPr>
          </w:p>
        </w:tc>
        <w:tc>
          <w:tcPr>
            <w:tcW w:w="839" w:type="dxa"/>
            <w:vAlign w:val="top"/>
          </w:tcPr>
          <w:p w14:paraId="7DBDFB0C">
            <w:pPr>
              <w:pStyle w:val="9"/>
              <w:spacing w:before="226"/>
              <w:ind w:left="374"/>
            </w:pPr>
            <w:r>
              <w:t>3</w:t>
            </w:r>
          </w:p>
        </w:tc>
        <w:tc>
          <w:tcPr>
            <w:tcW w:w="7621" w:type="dxa"/>
            <w:vAlign w:val="top"/>
          </w:tcPr>
          <w:p w14:paraId="7C8C7382">
            <w:pPr>
              <w:pStyle w:val="9"/>
              <w:spacing w:before="225" w:line="217" w:lineRule="auto"/>
              <w:ind w:left="110"/>
            </w:pPr>
            <w:r>
              <w:rPr>
                <w:spacing w:val="-3"/>
              </w:rPr>
              <w:t>施工方案中没有环保措施，违约金</w:t>
            </w:r>
            <w:r>
              <w:rPr>
                <w:spacing w:val="-14"/>
              </w:rPr>
              <w:t xml:space="preserve"> </w:t>
            </w:r>
            <w:r>
              <w:rPr>
                <w:spacing w:val="-3"/>
              </w:rPr>
              <w:t>1,000</w:t>
            </w:r>
            <w:r>
              <w:rPr>
                <w:spacing w:val="-41"/>
              </w:rPr>
              <w:t xml:space="preserve"> </w:t>
            </w:r>
            <w:r>
              <w:rPr>
                <w:spacing w:val="-3"/>
              </w:rPr>
              <w:t>元，并限期纠正。</w:t>
            </w:r>
          </w:p>
        </w:tc>
      </w:tr>
    </w:tbl>
    <w:p w14:paraId="0E5879D8">
      <w:pPr>
        <w:pStyle w:val="2"/>
      </w:pPr>
    </w:p>
    <w:p w14:paraId="022508C1">
      <w:pPr>
        <w:sectPr>
          <w:footerReference r:id="rId144" w:type="default"/>
          <w:pgSz w:w="11905" w:h="16840"/>
          <w:pgMar w:top="1182" w:right="1303" w:bottom="1171" w:left="1303" w:header="849" w:footer="937" w:gutter="0"/>
          <w:pgNumType w:fmt="decimal"/>
          <w:cols w:space="720" w:num="1"/>
        </w:sectPr>
      </w:pPr>
    </w:p>
    <w:p w14:paraId="34AE8FED">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0FC72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832" w:type="dxa"/>
            <w:vAlign w:val="top"/>
          </w:tcPr>
          <w:p w14:paraId="393EB799">
            <w:pPr>
              <w:pStyle w:val="9"/>
              <w:spacing w:before="225" w:line="220" w:lineRule="auto"/>
              <w:ind w:left="210"/>
            </w:pPr>
            <w:r>
              <w:rPr>
                <w:b/>
                <w:bCs/>
                <w:spacing w:val="-4"/>
              </w:rPr>
              <w:t>类别</w:t>
            </w:r>
          </w:p>
        </w:tc>
        <w:tc>
          <w:tcPr>
            <w:tcW w:w="839" w:type="dxa"/>
            <w:vAlign w:val="top"/>
          </w:tcPr>
          <w:p w14:paraId="2047340F">
            <w:pPr>
              <w:pStyle w:val="9"/>
              <w:spacing w:before="226" w:line="221" w:lineRule="auto"/>
              <w:ind w:left="211"/>
            </w:pPr>
            <w:r>
              <w:rPr>
                <w:b/>
                <w:bCs/>
                <w:spacing w:val="-4"/>
              </w:rPr>
              <w:t>序号</w:t>
            </w:r>
          </w:p>
        </w:tc>
        <w:tc>
          <w:tcPr>
            <w:tcW w:w="7621" w:type="dxa"/>
            <w:vAlign w:val="top"/>
          </w:tcPr>
          <w:p w14:paraId="74F9C920">
            <w:pPr>
              <w:pStyle w:val="9"/>
              <w:spacing w:before="226" w:line="220" w:lineRule="auto"/>
              <w:ind w:left="3393"/>
            </w:pPr>
            <w:r>
              <w:rPr>
                <w:b/>
                <w:bCs/>
                <w:spacing w:val="-4"/>
              </w:rPr>
              <w:t>违约项目</w:t>
            </w:r>
          </w:p>
        </w:tc>
      </w:tr>
      <w:tr w14:paraId="5AD64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bottom w:val="nil"/>
            </w:tcBorders>
            <w:vAlign w:val="top"/>
          </w:tcPr>
          <w:p w14:paraId="227AEABB">
            <w:pPr>
              <w:rPr>
                <w:rFonts w:ascii="Arial"/>
                <w:sz w:val="21"/>
              </w:rPr>
            </w:pPr>
          </w:p>
        </w:tc>
        <w:tc>
          <w:tcPr>
            <w:tcW w:w="839" w:type="dxa"/>
            <w:vAlign w:val="top"/>
          </w:tcPr>
          <w:p w14:paraId="40DD39A0">
            <w:pPr>
              <w:pStyle w:val="9"/>
              <w:spacing w:before="221" w:line="241" w:lineRule="auto"/>
              <w:ind w:left="369"/>
            </w:pPr>
            <w:r>
              <w:t>4</w:t>
            </w:r>
          </w:p>
        </w:tc>
        <w:tc>
          <w:tcPr>
            <w:tcW w:w="7621" w:type="dxa"/>
            <w:vAlign w:val="top"/>
          </w:tcPr>
          <w:p w14:paraId="32E71549">
            <w:pPr>
              <w:pStyle w:val="9"/>
              <w:spacing w:before="220" w:line="217" w:lineRule="auto"/>
              <w:ind w:left="115"/>
            </w:pPr>
            <w:r>
              <w:rPr>
                <w:spacing w:val="-2"/>
              </w:rPr>
              <w:t>未对可能造成环境污染的项目进行监测，违约金</w:t>
            </w:r>
            <w:r>
              <w:rPr>
                <w:spacing w:val="-30"/>
              </w:rPr>
              <w:t xml:space="preserve"> </w:t>
            </w:r>
            <w:r>
              <w:rPr>
                <w:spacing w:val="-2"/>
              </w:rPr>
              <w:t>1,000</w:t>
            </w:r>
            <w:r>
              <w:rPr>
                <w:spacing w:val="-41"/>
              </w:rPr>
              <w:t xml:space="preserve"> </w:t>
            </w:r>
            <w:r>
              <w:rPr>
                <w:spacing w:val="-2"/>
              </w:rPr>
              <w:t>元，并限</w:t>
            </w:r>
            <w:r>
              <w:rPr>
                <w:spacing w:val="-3"/>
              </w:rPr>
              <w:t>期纠正。</w:t>
            </w:r>
          </w:p>
        </w:tc>
      </w:tr>
      <w:tr w14:paraId="044CF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2021F9C">
            <w:pPr>
              <w:rPr>
                <w:rFonts w:ascii="Arial"/>
                <w:sz w:val="21"/>
              </w:rPr>
            </w:pPr>
          </w:p>
        </w:tc>
        <w:tc>
          <w:tcPr>
            <w:tcW w:w="839" w:type="dxa"/>
            <w:vAlign w:val="top"/>
          </w:tcPr>
          <w:p w14:paraId="73368EFF">
            <w:pPr>
              <w:pStyle w:val="9"/>
              <w:spacing w:before="221"/>
              <w:ind w:left="374"/>
            </w:pPr>
            <w:r>
              <w:t>5</w:t>
            </w:r>
          </w:p>
        </w:tc>
        <w:tc>
          <w:tcPr>
            <w:tcW w:w="7621" w:type="dxa"/>
            <w:vAlign w:val="top"/>
          </w:tcPr>
          <w:p w14:paraId="646BFB14">
            <w:pPr>
              <w:pStyle w:val="9"/>
              <w:spacing w:before="221" w:line="217" w:lineRule="auto"/>
              <w:ind w:left="115"/>
            </w:pPr>
            <w:r>
              <w:rPr>
                <w:spacing w:val="-2"/>
              </w:rPr>
              <w:t>未配备必要的环境保护监测仪器，违约金</w:t>
            </w:r>
            <w:r>
              <w:rPr>
                <w:spacing w:val="-30"/>
              </w:rPr>
              <w:t xml:space="preserve"> </w:t>
            </w:r>
            <w:r>
              <w:rPr>
                <w:spacing w:val="-2"/>
              </w:rPr>
              <w:t>1,0</w:t>
            </w:r>
            <w:r>
              <w:rPr>
                <w:spacing w:val="-3"/>
              </w:rPr>
              <w:t>00</w:t>
            </w:r>
            <w:r>
              <w:rPr>
                <w:spacing w:val="-41"/>
              </w:rPr>
              <w:t xml:space="preserve"> </w:t>
            </w:r>
            <w:r>
              <w:rPr>
                <w:spacing w:val="-3"/>
              </w:rPr>
              <w:t>元，并限期纠正。</w:t>
            </w:r>
          </w:p>
        </w:tc>
      </w:tr>
      <w:tr w14:paraId="4FEBF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025362FB">
            <w:pPr>
              <w:rPr>
                <w:rFonts w:ascii="Arial"/>
                <w:sz w:val="21"/>
              </w:rPr>
            </w:pPr>
          </w:p>
        </w:tc>
        <w:tc>
          <w:tcPr>
            <w:tcW w:w="839" w:type="dxa"/>
            <w:vAlign w:val="top"/>
          </w:tcPr>
          <w:p w14:paraId="2C7B9A0B">
            <w:pPr>
              <w:pStyle w:val="9"/>
              <w:spacing w:before="221"/>
              <w:ind w:left="371"/>
            </w:pPr>
            <w:r>
              <w:t>6</w:t>
            </w:r>
          </w:p>
        </w:tc>
        <w:tc>
          <w:tcPr>
            <w:tcW w:w="7621" w:type="dxa"/>
            <w:vAlign w:val="top"/>
          </w:tcPr>
          <w:p w14:paraId="7100B14B">
            <w:pPr>
              <w:pStyle w:val="9"/>
              <w:spacing w:before="221" w:line="217" w:lineRule="auto"/>
              <w:ind w:left="111"/>
            </w:pPr>
            <w:r>
              <w:rPr>
                <w:spacing w:val="-2"/>
              </w:rPr>
              <w:t>环境保护学习、宣传、教育、培训不健全，违约金</w:t>
            </w:r>
            <w:r>
              <w:rPr>
                <w:spacing w:val="-28"/>
              </w:rPr>
              <w:t xml:space="preserve"> </w:t>
            </w:r>
            <w:r>
              <w:rPr>
                <w:spacing w:val="-2"/>
              </w:rPr>
              <w:t>1,000</w:t>
            </w:r>
            <w:r>
              <w:rPr>
                <w:spacing w:val="-42"/>
              </w:rPr>
              <w:t xml:space="preserve"> </w:t>
            </w:r>
            <w:r>
              <w:rPr>
                <w:spacing w:val="-2"/>
              </w:rPr>
              <w:t>元，并限期纠正。</w:t>
            </w:r>
          </w:p>
        </w:tc>
      </w:tr>
      <w:tr w14:paraId="3BAA9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36436242">
            <w:pPr>
              <w:rPr>
                <w:rFonts w:ascii="Arial"/>
                <w:sz w:val="21"/>
              </w:rPr>
            </w:pPr>
          </w:p>
        </w:tc>
        <w:tc>
          <w:tcPr>
            <w:tcW w:w="839" w:type="dxa"/>
            <w:vAlign w:val="top"/>
          </w:tcPr>
          <w:p w14:paraId="5A9B7D90">
            <w:pPr>
              <w:pStyle w:val="9"/>
              <w:spacing w:before="220"/>
              <w:ind w:left="375"/>
            </w:pPr>
            <w:r>
              <w:t>7</w:t>
            </w:r>
          </w:p>
        </w:tc>
        <w:tc>
          <w:tcPr>
            <w:tcW w:w="7621" w:type="dxa"/>
            <w:vAlign w:val="top"/>
          </w:tcPr>
          <w:p w14:paraId="74E7CCA1">
            <w:pPr>
              <w:pStyle w:val="9"/>
              <w:spacing w:before="220" w:line="217" w:lineRule="auto"/>
              <w:ind w:left="115"/>
            </w:pPr>
            <w:r>
              <w:rPr>
                <w:spacing w:val="-2"/>
              </w:rPr>
              <w:t>未建立环境保护管理台帐，报送资料不及时，违约金</w:t>
            </w:r>
            <w:r>
              <w:rPr>
                <w:spacing w:val="-30"/>
              </w:rPr>
              <w:t xml:space="preserve"> </w:t>
            </w:r>
            <w:r>
              <w:rPr>
                <w:spacing w:val="-2"/>
              </w:rPr>
              <w:t>1,000</w:t>
            </w:r>
            <w:r>
              <w:rPr>
                <w:spacing w:val="-41"/>
              </w:rPr>
              <w:t xml:space="preserve"> </w:t>
            </w:r>
            <w:r>
              <w:rPr>
                <w:spacing w:val="-2"/>
              </w:rPr>
              <w:t>元，并限期纠正。</w:t>
            </w:r>
          </w:p>
        </w:tc>
      </w:tr>
      <w:tr w14:paraId="1505C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14396E19">
            <w:pPr>
              <w:rPr>
                <w:rFonts w:ascii="Arial"/>
                <w:sz w:val="21"/>
              </w:rPr>
            </w:pPr>
          </w:p>
        </w:tc>
        <w:tc>
          <w:tcPr>
            <w:tcW w:w="839" w:type="dxa"/>
            <w:vAlign w:val="top"/>
          </w:tcPr>
          <w:p w14:paraId="3FA9636A">
            <w:pPr>
              <w:spacing w:line="269" w:lineRule="auto"/>
              <w:rPr>
                <w:rFonts w:ascii="Arial"/>
                <w:sz w:val="21"/>
              </w:rPr>
            </w:pPr>
          </w:p>
          <w:p w14:paraId="60457ECE">
            <w:pPr>
              <w:pStyle w:val="9"/>
              <w:spacing w:before="68"/>
              <w:ind w:left="370"/>
            </w:pPr>
            <w:r>
              <w:t>8</w:t>
            </w:r>
          </w:p>
        </w:tc>
        <w:tc>
          <w:tcPr>
            <w:tcW w:w="7621" w:type="dxa"/>
            <w:vAlign w:val="top"/>
          </w:tcPr>
          <w:p w14:paraId="3FE0B9EF">
            <w:pPr>
              <w:pStyle w:val="9"/>
              <w:spacing w:before="138" w:line="288" w:lineRule="auto"/>
              <w:ind w:left="126" w:right="108" w:hanging="14"/>
            </w:pPr>
            <w:r>
              <w:rPr>
                <w:spacing w:val="21"/>
              </w:rPr>
              <w:t>驻地环保设施不完善或设施缺乏维护而造成环境污染，视严重程度违约金</w:t>
            </w:r>
            <w:r>
              <w:rPr>
                <w:spacing w:val="-3"/>
              </w:rPr>
              <w:t>1,000~10,000</w:t>
            </w:r>
            <w:r>
              <w:rPr>
                <w:spacing w:val="-44"/>
              </w:rPr>
              <w:t xml:space="preserve"> </w:t>
            </w:r>
            <w:r>
              <w:rPr>
                <w:spacing w:val="-3"/>
              </w:rPr>
              <w:t>元，并限期纠正。</w:t>
            </w:r>
          </w:p>
        </w:tc>
      </w:tr>
      <w:tr w14:paraId="6321E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A8AB9CB">
            <w:pPr>
              <w:rPr>
                <w:rFonts w:ascii="Arial"/>
                <w:sz w:val="21"/>
              </w:rPr>
            </w:pPr>
          </w:p>
        </w:tc>
        <w:tc>
          <w:tcPr>
            <w:tcW w:w="839" w:type="dxa"/>
            <w:vAlign w:val="top"/>
          </w:tcPr>
          <w:p w14:paraId="6E35D209">
            <w:pPr>
              <w:pStyle w:val="9"/>
              <w:spacing w:before="222"/>
              <w:ind w:left="370"/>
            </w:pPr>
            <w:r>
              <w:t>9</w:t>
            </w:r>
          </w:p>
        </w:tc>
        <w:tc>
          <w:tcPr>
            <w:tcW w:w="7621" w:type="dxa"/>
            <w:vAlign w:val="top"/>
          </w:tcPr>
          <w:p w14:paraId="05F77F32">
            <w:pPr>
              <w:pStyle w:val="9"/>
              <w:spacing w:before="222" w:line="217" w:lineRule="auto"/>
              <w:ind w:left="123"/>
            </w:pPr>
            <w:r>
              <w:rPr>
                <w:spacing w:val="-3"/>
              </w:rPr>
              <w:t>临近居民区施工噪声超标，违约金</w:t>
            </w:r>
            <w:r>
              <w:rPr>
                <w:spacing w:val="-26"/>
              </w:rPr>
              <w:t xml:space="preserve"> </w:t>
            </w:r>
            <w:r>
              <w:rPr>
                <w:spacing w:val="-3"/>
              </w:rPr>
              <w:t>1,000</w:t>
            </w:r>
            <w:r>
              <w:rPr>
                <w:spacing w:val="-42"/>
              </w:rPr>
              <w:t xml:space="preserve"> </w:t>
            </w:r>
            <w:r>
              <w:rPr>
                <w:spacing w:val="-3"/>
              </w:rPr>
              <w:t>元，并限期纠正。</w:t>
            </w:r>
          </w:p>
        </w:tc>
      </w:tr>
      <w:tr w14:paraId="08651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000F528D">
            <w:pPr>
              <w:rPr>
                <w:rFonts w:ascii="Arial"/>
                <w:sz w:val="21"/>
              </w:rPr>
            </w:pPr>
          </w:p>
        </w:tc>
        <w:tc>
          <w:tcPr>
            <w:tcW w:w="839" w:type="dxa"/>
            <w:vAlign w:val="top"/>
          </w:tcPr>
          <w:p w14:paraId="01AF2AA7">
            <w:pPr>
              <w:spacing w:line="270" w:lineRule="auto"/>
              <w:rPr>
                <w:rFonts w:ascii="Arial"/>
                <w:sz w:val="21"/>
              </w:rPr>
            </w:pPr>
          </w:p>
          <w:p w14:paraId="31574FEB">
            <w:pPr>
              <w:pStyle w:val="9"/>
              <w:spacing w:before="68"/>
              <w:ind w:left="333"/>
            </w:pPr>
            <w:r>
              <w:rPr>
                <w:spacing w:val="-6"/>
              </w:rPr>
              <w:t>10</w:t>
            </w:r>
          </w:p>
        </w:tc>
        <w:tc>
          <w:tcPr>
            <w:tcW w:w="7621" w:type="dxa"/>
            <w:vAlign w:val="top"/>
          </w:tcPr>
          <w:p w14:paraId="75715EDC">
            <w:pPr>
              <w:pStyle w:val="9"/>
              <w:spacing w:before="141" w:line="287" w:lineRule="auto"/>
              <w:ind w:left="110" w:right="115"/>
            </w:pPr>
            <w:r>
              <w:rPr>
                <w:spacing w:val="1"/>
              </w:rPr>
              <w:t>施工废料、废渣或弃土乱堆乱弃于施工现场而未运至弃土场，固废处理不符合行</w:t>
            </w:r>
            <w:r>
              <w:rPr>
                <w:spacing w:val="-2"/>
              </w:rPr>
              <w:t>业主管部门相关管理规定的，违约金</w:t>
            </w:r>
            <w:r>
              <w:rPr>
                <w:spacing w:val="-36"/>
              </w:rPr>
              <w:t xml:space="preserve"> </w:t>
            </w:r>
            <w:r>
              <w:rPr>
                <w:spacing w:val="-2"/>
              </w:rPr>
              <w:t>2,000</w:t>
            </w:r>
            <w:r>
              <w:rPr>
                <w:spacing w:val="-42"/>
              </w:rPr>
              <w:t xml:space="preserve"> </w:t>
            </w:r>
            <w:r>
              <w:rPr>
                <w:spacing w:val="-2"/>
              </w:rPr>
              <w:t>元/次，并限期纠正。</w:t>
            </w:r>
          </w:p>
        </w:tc>
      </w:tr>
      <w:tr w14:paraId="66845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3E60A37C">
            <w:pPr>
              <w:rPr>
                <w:rFonts w:ascii="Arial"/>
                <w:sz w:val="21"/>
              </w:rPr>
            </w:pPr>
          </w:p>
        </w:tc>
        <w:tc>
          <w:tcPr>
            <w:tcW w:w="839" w:type="dxa"/>
            <w:vAlign w:val="top"/>
          </w:tcPr>
          <w:p w14:paraId="3EABE9B7">
            <w:pPr>
              <w:pStyle w:val="9"/>
              <w:spacing w:before="224" w:line="241" w:lineRule="auto"/>
              <w:ind w:left="333"/>
            </w:pPr>
            <w:r>
              <w:rPr>
                <w:spacing w:val="-6"/>
              </w:rPr>
              <w:t>11</w:t>
            </w:r>
          </w:p>
        </w:tc>
        <w:tc>
          <w:tcPr>
            <w:tcW w:w="7621" w:type="dxa"/>
            <w:vAlign w:val="top"/>
          </w:tcPr>
          <w:p w14:paraId="5F649125">
            <w:pPr>
              <w:pStyle w:val="9"/>
              <w:spacing w:before="223" w:line="217" w:lineRule="auto"/>
              <w:ind w:left="110"/>
            </w:pPr>
            <w:r>
              <w:rPr>
                <w:spacing w:val="-2"/>
              </w:rPr>
              <w:t>施工废水排放未经处理而对周边造成污染，违约金</w:t>
            </w:r>
            <w:r>
              <w:rPr>
                <w:spacing w:val="-26"/>
              </w:rPr>
              <w:t xml:space="preserve"> </w:t>
            </w:r>
            <w:r>
              <w:rPr>
                <w:spacing w:val="-2"/>
              </w:rPr>
              <w:t>2,000</w:t>
            </w:r>
            <w:r>
              <w:rPr>
                <w:spacing w:val="-42"/>
              </w:rPr>
              <w:t xml:space="preserve"> </w:t>
            </w:r>
            <w:r>
              <w:rPr>
                <w:spacing w:val="-2"/>
              </w:rPr>
              <w:t>元，并限期纠正。</w:t>
            </w:r>
          </w:p>
        </w:tc>
      </w:tr>
      <w:tr w14:paraId="6D0BC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36C2CCF1">
            <w:pPr>
              <w:rPr>
                <w:rFonts w:ascii="Arial"/>
                <w:sz w:val="21"/>
              </w:rPr>
            </w:pPr>
          </w:p>
        </w:tc>
        <w:tc>
          <w:tcPr>
            <w:tcW w:w="839" w:type="dxa"/>
            <w:vAlign w:val="top"/>
          </w:tcPr>
          <w:p w14:paraId="5782FAD5">
            <w:pPr>
              <w:pStyle w:val="9"/>
              <w:spacing w:before="224" w:line="241" w:lineRule="auto"/>
              <w:ind w:left="333"/>
            </w:pPr>
            <w:r>
              <w:rPr>
                <w:spacing w:val="-6"/>
              </w:rPr>
              <w:t>12</w:t>
            </w:r>
          </w:p>
        </w:tc>
        <w:tc>
          <w:tcPr>
            <w:tcW w:w="7621" w:type="dxa"/>
            <w:vAlign w:val="top"/>
          </w:tcPr>
          <w:p w14:paraId="21B0E50A">
            <w:pPr>
              <w:pStyle w:val="9"/>
              <w:spacing w:before="224" w:line="217" w:lineRule="auto"/>
              <w:ind w:left="110"/>
            </w:pPr>
            <w:r>
              <w:rPr>
                <w:spacing w:val="-2"/>
              </w:rPr>
              <w:t>施工废气排放未经处理而对周边造成污染，违约金</w:t>
            </w:r>
            <w:r>
              <w:rPr>
                <w:spacing w:val="-26"/>
              </w:rPr>
              <w:t xml:space="preserve"> </w:t>
            </w:r>
            <w:r>
              <w:rPr>
                <w:spacing w:val="-2"/>
              </w:rPr>
              <w:t>2,000</w:t>
            </w:r>
            <w:r>
              <w:rPr>
                <w:spacing w:val="-42"/>
              </w:rPr>
              <w:t xml:space="preserve"> </w:t>
            </w:r>
            <w:r>
              <w:rPr>
                <w:spacing w:val="-2"/>
              </w:rPr>
              <w:t>元，并限期纠正。</w:t>
            </w:r>
          </w:p>
        </w:tc>
      </w:tr>
      <w:tr w14:paraId="4060DC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56CA1EA3">
            <w:pPr>
              <w:rPr>
                <w:rFonts w:ascii="Arial"/>
                <w:sz w:val="21"/>
              </w:rPr>
            </w:pPr>
          </w:p>
        </w:tc>
        <w:tc>
          <w:tcPr>
            <w:tcW w:w="839" w:type="dxa"/>
            <w:vAlign w:val="top"/>
          </w:tcPr>
          <w:p w14:paraId="50D2EAD1">
            <w:pPr>
              <w:pStyle w:val="9"/>
              <w:spacing w:before="224"/>
              <w:ind w:left="333"/>
            </w:pPr>
            <w:r>
              <w:rPr>
                <w:spacing w:val="-6"/>
              </w:rPr>
              <w:t>13</w:t>
            </w:r>
          </w:p>
        </w:tc>
        <w:tc>
          <w:tcPr>
            <w:tcW w:w="7621" w:type="dxa"/>
            <w:vAlign w:val="top"/>
          </w:tcPr>
          <w:p w14:paraId="2E6895DE">
            <w:pPr>
              <w:pStyle w:val="9"/>
              <w:spacing w:before="224" w:line="217" w:lineRule="auto"/>
              <w:ind w:left="110"/>
            </w:pPr>
            <w:r>
              <w:rPr>
                <w:spacing w:val="-2"/>
              </w:rPr>
              <w:t>施工粉尘未有效控制而对周边造成污染，违约金</w:t>
            </w:r>
            <w:r>
              <w:rPr>
                <w:spacing w:val="-28"/>
              </w:rPr>
              <w:t xml:space="preserve"> </w:t>
            </w:r>
            <w:r>
              <w:rPr>
                <w:spacing w:val="-2"/>
              </w:rPr>
              <w:t>2,000</w:t>
            </w:r>
            <w:r>
              <w:rPr>
                <w:spacing w:val="-42"/>
              </w:rPr>
              <w:t xml:space="preserve"> </w:t>
            </w:r>
            <w:r>
              <w:rPr>
                <w:spacing w:val="-2"/>
              </w:rPr>
              <w:t>元，并限期纠正。</w:t>
            </w:r>
          </w:p>
        </w:tc>
      </w:tr>
      <w:tr w14:paraId="02191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2EF90EED">
            <w:pPr>
              <w:rPr>
                <w:rFonts w:ascii="Arial"/>
                <w:sz w:val="21"/>
              </w:rPr>
            </w:pPr>
          </w:p>
        </w:tc>
        <w:tc>
          <w:tcPr>
            <w:tcW w:w="839" w:type="dxa"/>
            <w:vAlign w:val="top"/>
          </w:tcPr>
          <w:p w14:paraId="09718302">
            <w:pPr>
              <w:pStyle w:val="9"/>
              <w:spacing w:before="225" w:line="241" w:lineRule="auto"/>
              <w:ind w:left="333"/>
            </w:pPr>
            <w:r>
              <w:rPr>
                <w:spacing w:val="-6"/>
              </w:rPr>
              <w:t>14</w:t>
            </w:r>
          </w:p>
        </w:tc>
        <w:tc>
          <w:tcPr>
            <w:tcW w:w="7621" w:type="dxa"/>
            <w:vAlign w:val="top"/>
          </w:tcPr>
          <w:p w14:paraId="7CCADD6C">
            <w:pPr>
              <w:pStyle w:val="9"/>
              <w:spacing w:before="224" w:line="217" w:lineRule="auto"/>
              <w:ind w:left="112"/>
            </w:pPr>
            <w:r>
              <w:rPr>
                <w:spacing w:val="-2"/>
              </w:rPr>
              <w:t>生活污水没有处理直接排放而造成污染，违约金</w:t>
            </w:r>
            <w:r>
              <w:rPr>
                <w:spacing w:val="-30"/>
              </w:rPr>
              <w:t xml:space="preserve"> </w:t>
            </w:r>
            <w:r>
              <w:rPr>
                <w:spacing w:val="-2"/>
              </w:rPr>
              <w:t>1,000</w:t>
            </w:r>
            <w:r>
              <w:rPr>
                <w:spacing w:val="-42"/>
              </w:rPr>
              <w:t xml:space="preserve"> </w:t>
            </w:r>
            <w:r>
              <w:rPr>
                <w:spacing w:val="-2"/>
              </w:rPr>
              <w:t>元，并限期纠正。</w:t>
            </w:r>
          </w:p>
        </w:tc>
      </w:tr>
      <w:tr w14:paraId="04107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32" w:type="dxa"/>
            <w:vMerge w:val="continue"/>
            <w:tcBorders>
              <w:top w:val="nil"/>
              <w:bottom w:val="nil"/>
            </w:tcBorders>
            <w:vAlign w:val="top"/>
          </w:tcPr>
          <w:p w14:paraId="410292DF">
            <w:pPr>
              <w:rPr>
                <w:rFonts w:ascii="Arial"/>
                <w:sz w:val="21"/>
              </w:rPr>
            </w:pPr>
          </w:p>
        </w:tc>
        <w:tc>
          <w:tcPr>
            <w:tcW w:w="839" w:type="dxa"/>
            <w:vAlign w:val="top"/>
          </w:tcPr>
          <w:p w14:paraId="1F2108D8">
            <w:pPr>
              <w:pStyle w:val="9"/>
              <w:spacing w:before="223"/>
              <w:ind w:left="333"/>
            </w:pPr>
            <w:r>
              <w:rPr>
                <w:spacing w:val="-6"/>
              </w:rPr>
              <w:t>15</w:t>
            </w:r>
          </w:p>
        </w:tc>
        <w:tc>
          <w:tcPr>
            <w:tcW w:w="7621" w:type="dxa"/>
            <w:vAlign w:val="top"/>
          </w:tcPr>
          <w:p w14:paraId="621E468A">
            <w:pPr>
              <w:pStyle w:val="9"/>
              <w:spacing w:before="223" w:line="217" w:lineRule="auto"/>
              <w:ind w:left="112"/>
            </w:pPr>
            <w:r>
              <w:rPr>
                <w:spacing w:val="-2"/>
              </w:rPr>
              <w:t>生活垃圾没有集中且定期运走而造成污染，违约金</w:t>
            </w:r>
            <w:r>
              <w:rPr>
                <w:spacing w:val="-29"/>
              </w:rPr>
              <w:t xml:space="preserve"> </w:t>
            </w:r>
            <w:r>
              <w:rPr>
                <w:spacing w:val="-2"/>
              </w:rPr>
              <w:t>1,000</w:t>
            </w:r>
            <w:r>
              <w:rPr>
                <w:spacing w:val="-41"/>
              </w:rPr>
              <w:t xml:space="preserve"> </w:t>
            </w:r>
            <w:r>
              <w:rPr>
                <w:spacing w:val="-2"/>
              </w:rPr>
              <w:t>元，并限期纠正。</w:t>
            </w:r>
          </w:p>
        </w:tc>
      </w:tr>
      <w:tr w14:paraId="7060D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07C3BDB">
            <w:pPr>
              <w:rPr>
                <w:rFonts w:ascii="Arial"/>
                <w:sz w:val="21"/>
              </w:rPr>
            </w:pPr>
          </w:p>
        </w:tc>
        <w:tc>
          <w:tcPr>
            <w:tcW w:w="839" w:type="dxa"/>
            <w:vAlign w:val="top"/>
          </w:tcPr>
          <w:p w14:paraId="4972568A">
            <w:pPr>
              <w:pStyle w:val="9"/>
              <w:spacing w:before="224"/>
              <w:ind w:left="333"/>
            </w:pPr>
            <w:r>
              <w:rPr>
                <w:spacing w:val="-6"/>
              </w:rPr>
              <w:t>16</w:t>
            </w:r>
          </w:p>
        </w:tc>
        <w:tc>
          <w:tcPr>
            <w:tcW w:w="7621" w:type="dxa"/>
            <w:vAlign w:val="top"/>
          </w:tcPr>
          <w:p w14:paraId="790F0862">
            <w:pPr>
              <w:pStyle w:val="9"/>
              <w:spacing w:before="224" w:line="217" w:lineRule="auto"/>
              <w:ind w:left="110"/>
            </w:pPr>
            <w:r>
              <w:rPr>
                <w:spacing w:val="-2"/>
              </w:rPr>
              <w:t>施工噪音超过有关的规定，违约金</w:t>
            </w:r>
            <w:r>
              <w:rPr>
                <w:spacing w:val="-29"/>
              </w:rPr>
              <w:t xml:space="preserve"> </w:t>
            </w:r>
            <w:r>
              <w:rPr>
                <w:spacing w:val="-2"/>
              </w:rPr>
              <w:t>1,000</w:t>
            </w:r>
            <w:r>
              <w:rPr>
                <w:spacing w:val="-42"/>
              </w:rPr>
              <w:t xml:space="preserve"> </w:t>
            </w:r>
            <w:r>
              <w:rPr>
                <w:spacing w:val="-2"/>
              </w:rPr>
              <w:t>元/</w:t>
            </w:r>
            <w:r>
              <w:rPr>
                <w:spacing w:val="-3"/>
              </w:rPr>
              <w:t>次，并限期纠正。</w:t>
            </w:r>
          </w:p>
        </w:tc>
      </w:tr>
      <w:tr w14:paraId="5A1E1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70F30555">
            <w:pPr>
              <w:rPr>
                <w:rFonts w:ascii="Arial"/>
                <w:sz w:val="21"/>
              </w:rPr>
            </w:pPr>
          </w:p>
        </w:tc>
        <w:tc>
          <w:tcPr>
            <w:tcW w:w="839" w:type="dxa"/>
            <w:vAlign w:val="top"/>
          </w:tcPr>
          <w:p w14:paraId="53942097">
            <w:pPr>
              <w:spacing w:line="272" w:lineRule="auto"/>
              <w:rPr>
                <w:rFonts w:ascii="Arial"/>
                <w:sz w:val="21"/>
              </w:rPr>
            </w:pPr>
          </w:p>
          <w:p w14:paraId="5CE64526">
            <w:pPr>
              <w:pStyle w:val="9"/>
              <w:spacing w:before="68"/>
              <w:ind w:left="333"/>
            </w:pPr>
            <w:r>
              <w:rPr>
                <w:spacing w:val="-6"/>
              </w:rPr>
              <w:t>17</w:t>
            </w:r>
          </w:p>
        </w:tc>
        <w:tc>
          <w:tcPr>
            <w:tcW w:w="7621" w:type="dxa"/>
            <w:vAlign w:val="top"/>
          </w:tcPr>
          <w:p w14:paraId="3A6261D5">
            <w:pPr>
              <w:pStyle w:val="9"/>
              <w:spacing w:before="142" w:line="287" w:lineRule="auto"/>
              <w:ind w:left="115" w:right="108" w:hanging="4"/>
            </w:pPr>
            <w:r>
              <w:rPr>
                <w:spacing w:val="1"/>
              </w:rPr>
              <w:t>环境敏感点未安装颗粒物在线监测设备、施工噪音在线监测设备的，每处违约金</w:t>
            </w:r>
            <w:r>
              <w:rPr>
                <w:spacing w:val="-4"/>
              </w:rPr>
              <w:t>5000</w:t>
            </w:r>
            <w:r>
              <w:rPr>
                <w:spacing w:val="-43"/>
              </w:rPr>
              <w:t xml:space="preserve"> </w:t>
            </w:r>
            <w:r>
              <w:rPr>
                <w:spacing w:val="-4"/>
              </w:rPr>
              <w:t>元。</w:t>
            </w:r>
          </w:p>
        </w:tc>
      </w:tr>
      <w:tr w14:paraId="7B797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832" w:type="dxa"/>
            <w:vMerge w:val="continue"/>
            <w:tcBorders>
              <w:top w:val="nil"/>
            </w:tcBorders>
            <w:vAlign w:val="top"/>
          </w:tcPr>
          <w:p w14:paraId="2F7A0B91">
            <w:pPr>
              <w:rPr>
                <w:rFonts w:ascii="Arial"/>
                <w:sz w:val="21"/>
              </w:rPr>
            </w:pPr>
          </w:p>
        </w:tc>
        <w:tc>
          <w:tcPr>
            <w:tcW w:w="839" w:type="dxa"/>
            <w:vAlign w:val="top"/>
          </w:tcPr>
          <w:p w14:paraId="2E020CF9">
            <w:pPr>
              <w:spacing w:line="334" w:lineRule="auto"/>
              <w:rPr>
                <w:rFonts w:ascii="Arial"/>
                <w:sz w:val="21"/>
              </w:rPr>
            </w:pPr>
          </w:p>
          <w:p w14:paraId="785E6E17">
            <w:pPr>
              <w:spacing w:line="335" w:lineRule="auto"/>
              <w:rPr>
                <w:rFonts w:ascii="Arial"/>
                <w:sz w:val="21"/>
              </w:rPr>
            </w:pPr>
          </w:p>
          <w:p w14:paraId="366C13E4">
            <w:pPr>
              <w:pStyle w:val="9"/>
              <w:spacing w:before="69"/>
              <w:ind w:left="333"/>
            </w:pPr>
            <w:r>
              <w:rPr>
                <w:spacing w:val="-6"/>
              </w:rPr>
              <w:t>18</w:t>
            </w:r>
          </w:p>
        </w:tc>
        <w:tc>
          <w:tcPr>
            <w:tcW w:w="7621" w:type="dxa"/>
            <w:vAlign w:val="top"/>
          </w:tcPr>
          <w:p w14:paraId="1EA851A1">
            <w:pPr>
              <w:pStyle w:val="9"/>
              <w:spacing w:before="143" w:line="319" w:lineRule="auto"/>
              <w:ind w:left="110" w:right="109" w:firstLine="4"/>
              <w:jc w:val="both"/>
            </w:pPr>
            <w:r>
              <w:rPr>
                <w:spacing w:val="1"/>
              </w:rPr>
              <w:t>非道路移动机械未按规定办理编码登记、未按规定开展非道路移动机械排气烟度</w:t>
            </w:r>
            <w:r>
              <w:t>检验、无环保信息牌，违约金</w:t>
            </w:r>
            <w:r>
              <w:rPr>
                <w:spacing w:val="-20"/>
              </w:rPr>
              <w:t xml:space="preserve"> </w:t>
            </w:r>
            <w:r>
              <w:t>1000</w:t>
            </w:r>
            <w:r>
              <w:rPr>
                <w:spacing w:val="-42"/>
              </w:rPr>
              <w:t xml:space="preserve"> </w:t>
            </w:r>
            <w:r>
              <w:t>元/台；使用“冒黑烟”工程机械的，或在政府划定的禁用区内使用高排放非道路移动机械的，违约金</w:t>
            </w:r>
            <w:r>
              <w:rPr>
                <w:spacing w:val="-20"/>
              </w:rPr>
              <w:t xml:space="preserve"> </w:t>
            </w:r>
            <w:r>
              <w:t>5000</w:t>
            </w:r>
            <w:r>
              <w:rPr>
                <w:spacing w:val="-41"/>
              </w:rPr>
              <w:t xml:space="preserve"> </w:t>
            </w:r>
            <w:r>
              <w:t>元/台，并立即清</w:t>
            </w:r>
            <w:r>
              <w:rPr>
                <w:spacing w:val="-10"/>
              </w:rPr>
              <w:t>退。</w:t>
            </w:r>
          </w:p>
        </w:tc>
      </w:tr>
      <w:tr w14:paraId="46BB0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restart"/>
            <w:tcBorders>
              <w:bottom w:val="nil"/>
            </w:tcBorders>
            <w:vAlign w:val="top"/>
          </w:tcPr>
          <w:p w14:paraId="68E43289">
            <w:pPr>
              <w:spacing w:line="291" w:lineRule="auto"/>
              <w:rPr>
                <w:rFonts w:ascii="Arial"/>
                <w:sz w:val="21"/>
              </w:rPr>
            </w:pPr>
          </w:p>
          <w:p w14:paraId="189F6F03">
            <w:pPr>
              <w:spacing w:line="291" w:lineRule="auto"/>
              <w:rPr>
                <w:rFonts w:ascii="Arial"/>
                <w:sz w:val="21"/>
              </w:rPr>
            </w:pPr>
          </w:p>
          <w:p w14:paraId="279BB14F">
            <w:pPr>
              <w:spacing w:line="291" w:lineRule="auto"/>
              <w:rPr>
                <w:rFonts w:ascii="Arial"/>
                <w:sz w:val="21"/>
              </w:rPr>
            </w:pPr>
          </w:p>
          <w:p w14:paraId="247D633D">
            <w:pPr>
              <w:spacing w:line="291" w:lineRule="auto"/>
              <w:rPr>
                <w:rFonts w:ascii="Arial"/>
                <w:sz w:val="21"/>
              </w:rPr>
            </w:pPr>
          </w:p>
          <w:p w14:paraId="6D97C804">
            <w:pPr>
              <w:pStyle w:val="9"/>
              <w:spacing w:before="69" w:line="354" w:lineRule="auto"/>
              <w:ind w:left="219" w:right="204" w:firstLine="16"/>
            </w:pPr>
            <w:r>
              <w:rPr>
                <w:spacing w:val="-17"/>
              </w:rPr>
              <w:t>内业</w:t>
            </w:r>
            <w:r>
              <w:rPr>
                <w:spacing w:val="-9"/>
              </w:rPr>
              <w:t>资料</w:t>
            </w:r>
          </w:p>
        </w:tc>
        <w:tc>
          <w:tcPr>
            <w:tcW w:w="839" w:type="dxa"/>
            <w:vAlign w:val="top"/>
          </w:tcPr>
          <w:p w14:paraId="4B4D610A">
            <w:pPr>
              <w:spacing w:line="272" w:lineRule="auto"/>
              <w:rPr>
                <w:rFonts w:ascii="Arial"/>
                <w:sz w:val="21"/>
              </w:rPr>
            </w:pPr>
          </w:p>
          <w:p w14:paraId="255FE567">
            <w:pPr>
              <w:pStyle w:val="9"/>
              <w:spacing w:before="68" w:line="241" w:lineRule="auto"/>
              <w:ind w:left="385"/>
            </w:pPr>
            <w:r>
              <w:t>1</w:t>
            </w:r>
          </w:p>
        </w:tc>
        <w:tc>
          <w:tcPr>
            <w:tcW w:w="7621" w:type="dxa"/>
            <w:vAlign w:val="top"/>
          </w:tcPr>
          <w:p w14:paraId="7D7AE32B">
            <w:pPr>
              <w:pStyle w:val="9"/>
              <w:spacing w:before="142" w:line="287" w:lineRule="auto"/>
              <w:ind w:left="118" w:right="115" w:hanging="6"/>
            </w:pPr>
            <w:r>
              <w:rPr>
                <w:spacing w:val="1"/>
              </w:rPr>
              <w:t>开工前须结合工程特点进行分项、分部和单位工程划分，现场质量检查、质量验</w:t>
            </w:r>
            <w:r>
              <w:rPr>
                <w:spacing w:val="-2"/>
              </w:rPr>
              <w:t>收资料按照划分进行归纳收集，违者违约金</w:t>
            </w:r>
            <w:r>
              <w:rPr>
                <w:spacing w:val="-42"/>
              </w:rPr>
              <w:t xml:space="preserve"> </w:t>
            </w:r>
            <w:r>
              <w:rPr>
                <w:spacing w:val="-2"/>
              </w:rPr>
              <w:t>2,000</w:t>
            </w:r>
            <w:r>
              <w:rPr>
                <w:spacing w:val="-42"/>
              </w:rPr>
              <w:t xml:space="preserve"> </w:t>
            </w:r>
            <w:r>
              <w:rPr>
                <w:spacing w:val="-2"/>
              </w:rPr>
              <w:t>元/次。</w:t>
            </w:r>
          </w:p>
        </w:tc>
      </w:tr>
      <w:tr w14:paraId="6BB55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32" w:type="dxa"/>
            <w:vMerge w:val="continue"/>
            <w:tcBorders>
              <w:top w:val="nil"/>
              <w:bottom w:val="nil"/>
            </w:tcBorders>
            <w:vAlign w:val="top"/>
          </w:tcPr>
          <w:p w14:paraId="5619CC99">
            <w:pPr>
              <w:rPr>
                <w:rFonts w:ascii="Arial"/>
                <w:sz w:val="21"/>
              </w:rPr>
            </w:pPr>
          </w:p>
        </w:tc>
        <w:tc>
          <w:tcPr>
            <w:tcW w:w="839" w:type="dxa"/>
            <w:vAlign w:val="top"/>
          </w:tcPr>
          <w:p w14:paraId="650C87A5">
            <w:pPr>
              <w:spacing w:line="272" w:lineRule="auto"/>
              <w:rPr>
                <w:rFonts w:ascii="Arial"/>
                <w:sz w:val="21"/>
              </w:rPr>
            </w:pPr>
          </w:p>
          <w:p w14:paraId="0680609B">
            <w:pPr>
              <w:pStyle w:val="9"/>
              <w:spacing w:before="68" w:line="241" w:lineRule="auto"/>
              <w:ind w:left="372"/>
            </w:pPr>
            <w:r>
              <w:t>2</w:t>
            </w:r>
          </w:p>
        </w:tc>
        <w:tc>
          <w:tcPr>
            <w:tcW w:w="7621" w:type="dxa"/>
            <w:vAlign w:val="top"/>
          </w:tcPr>
          <w:p w14:paraId="258E9721">
            <w:pPr>
              <w:pStyle w:val="9"/>
              <w:spacing w:before="142" w:line="287" w:lineRule="auto"/>
              <w:ind w:left="129" w:right="105" w:firstLine="8"/>
            </w:pPr>
            <w:r>
              <w:rPr>
                <w:spacing w:val="-3"/>
              </w:rPr>
              <w:t>内业原始资料弄虚作假的，违约金</w:t>
            </w:r>
            <w:r>
              <w:rPr>
                <w:spacing w:val="-30"/>
              </w:rPr>
              <w:t xml:space="preserve"> </w:t>
            </w:r>
            <w:r>
              <w:rPr>
                <w:spacing w:val="-3"/>
              </w:rPr>
              <w:t>10000</w:t>
            </w:r>
            <w:r>
              <w:rPr>
                <w:spacing w:val="-42"/>
              </w:rPr>
              <w:t xml:space="preserve"> </w:t>
            </w:r>
            <w:r>
              <w:rPr>
                <w:spacing w:val="-3"/>
              </w:rPr>
              <w:t>元/次；不及时填写的，填写不完</w:t>
            </w:r>
            <w:r>
              <w:rPr>
                <w:spacing w:val="-4"/>
              </w:rPr>
              <w:t>整规范</w:t>
            </w:r>
            <w:r>
              <w:rPr>
                <w:spacing w:val="-6"/>
              </w:rPr>
              <w:t>的，违约金</w:t>
            </w:r>
            <w:r>
              <w:rPr>
                <w:spacing w:val="-24"/>
              </w:rPr>
              <w:t xml:space="preserve"> </w:t>
            </w:r>
            <w:r>
              <w:rPr>
                <w:spacing w:val="-6"/>
              </w:rPr>
              <w:t>1,000</w:t>
            </w:r>
            <w:r>
              <w:rPr>
                <w:spacing w:val="-42"/>
              </w:rPr>
              <w:t xml:space="preserve"> </w:t>
            </w:r>
            <w:r>
              <w:rPr>
                <w:spacing w:val="-6"/>
              </w:rPr>
              <w:t>元/次。</w:t>
            </w:r>
          </w:p>
        </w:tc>
      </w:tr>
      <w:tr w14:paraId="57D0A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1D868D95">
            <w:pPr>
              <w:rPr>
                <w:rFonts w:ascii="Arial"/>
                <w:sz w:val="21"/>
              </w:rPr>
            </w:pPr>
          </w:p>
        </w:tc>
        <w:tc>
          <w:tcPr>
            <w:tcW w:w="839" w:type="dxa"/>
            <w:vAlign w:val="top"/>
          </w:tcPr>
          <w:p w14:paraId="455ACFC4">
            <w:pPr>
              <w:pStyle w:val="9"/>
              <w:spacing w:before="225"/>
              <w:ind w:left="374"/>
            </w:pPr>
            <w:r>
              <w:t>3</w:t>
            </w:r>
          </w:p>
        </w:tc>
        <w:tc>
          <w:tcPr>
            <w:tcW w:w="7621" w:type="dxa"/>
            <w:vAlign w:val="top"/>
          </w:tcPr>
          <w:p w14:paraId="1E5AB1DC">
            <w:pPr>
              <w:pStyle w:val="9"/>
              <w:spacing w:before="225" w:line="219" w:lineRule="auto"/>
              <w:ind w:left="137"/>
            </w:pPr>
            <w:r>
              <w:rPr>
                <w:spacing w:val="-2"/>
              </w:rPr>
              <w:t>内业原始资料和整理资料未按有关要求采用文件盒及时归档，违约金</w:t>
            </w:r>
            <w:r>
              <w:rPr>
                <w:spacing w:val="-42"/>
              </w:rPr>
              <w:t xml:space="preserve"> </w:t>
            </w:r>
            <w:r>
              <w:rPr>
                <w:spacing w:val="-2"/>
              </w:rPr>
              <w:t>500</w:t>
            </w:r>
            <w:r>
              <w:rPr>
                <w:spacing w:val="-42"/>
              </w:rPr>
              <w:t xml:space="preserve"> </w:t>
            </w:r>
            <w:r>
              <w:rPr>
                <w:spacing w:val="-2"/>
              </w:rPr>
              <w:t>元/次。</w:t>
            </w:r>
          </w:p>
        </w:tc>
      </w:tr>
      <w:tr w14:paraId="3E4C2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832" w:type="dxa"/>
            <w:vMerge w:val="continue"/>
            <w:tcBorders>
              <w:top w:val="nil"/>
            </w:tcBorders>
            <w:vAlign w:val="top"/>
          </w:tcPr>
          <w:p w14:paraId="6A3416FF">
            <w:pPr>
              <w:rPr>
                <w:rFonts w:ascii="Arial"/>
                <w:sz w:val="21"/>
              </w:rPr>
            </w:pPr>
          </w:p>
        </w:tc>
        <w:tc>
          <w:tcPr>
            <w:tcW w:w="839" w:type="dxa"/>
            <w:vAlign w:val="top"/>
          </w:tcPr>
          <w:p w14:paraId="4C5029B5">
            <w:pPr>
              <w:spacing w:line="272" w:lineRule="auto"/>
              <w:rPr>
                <w:rFonts w:ascii="Arial"/>
                <w:sz w:val="21"/>
              </w:rPr>
            </w:pPr>
          </w:p>
          <w:p w14:paraId="51A8567A">
            <w:pPr>
              <w:pStyle w:val="9"/>
              <w:spacing w:before="68" w:line="241" w:lineRule="auto"/>
              <w:ind w:left="369"/>
            </w:pPr>
            <w:r>
              <w:t>4</w:t>
            </w:r>
          </w:p>
        </w:tc>
        <w:tc>
          <w:tcPr>
            <w:tcW w:w="7621" w:type="dxa"/>
            <w:vAlign w:val="top"/>
          </w:tcPr>
          <w:p w14:paraId="4587A1F4">
            <w:pPr>
              <w:pStyle w:val="9"/>
              <w:spacing w:before="142" w:line="288" w:lineRule="auto"/>
              <w:ind w:left="111" w:right="115" w:firstLine="2"/>
            </w:pPr>
            <w:r>
              <w:rPr>
                <w:spacing w:val="1"/>
              </w:rPr>
              <w:t>分部工程完成时，须将原始资料、施工记录、进度照片等资料整理归纳，装订成</w:t>
            </w:r>
            <w:r>
              <w:rPr>
                <w:spacing w:val="-3"/>
              </w:rPr>
              <w:t>册，违者违约金</w:t>
            </w:r>
            <w:r>
              <w:rPr>
                <w:spacing w:val="-43"/>
              </w:rPr>
              <w:t xml:space="preserve"> </w:t>
            </w:r>
            <w:r>
              <w:rPr>
                <w:spacing w:val="-3"/>
              </w:rPr>
              <w:t>2,000</w:t>
            </w:r>
            <w:r>
              <w:rPr>
                <w:spacing w:val="-41"/>
              </w:rPr>
              <w:t xml:space="preserve"> </w:t>
            </w:r>
            <w:r>
              <w:rPr>
                <w:spacing w:val="-3"/>
              </w:rPr>
              <w:t>元/次。</w:t>
            </w:r>
          </w:p>
        </w:tc>
      </w:tr>
    </w:tbl>
    <w:p w14:paraId="24C1FF83">
      <w:pPr>
        <w:pStyle w:val="2"/>
      </w:pPr>
    </w:p>
    <w:p w14:paraId="2CBF4403">
      <w:pPr>
        <w:sectPr>
          <w:footerReference r:id="rId145" w:type="default"/>
          <w:pgSz w:w="11905" w:h="16840"/>
          <w:pgMar w:top="1182" w:right="1303" w:bottom="1171" w:left="1303" w:header="849" w:footer="937" w:gutter="0"/>
          <w:pgNumType w:fmt="decimal"/>
          <w:cols w:space="720" w:num="1"/>
        </w:sectPr>
      </w:pPr>
    </w:p>
    <w:p w14:paraId="0CE3BFC1">
      <w:pPr>
        <w:spacing w:line="234" w:lineRule="exact"/>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839"/>
        <w:gridCol w:w="7621"/>
      </w:tblGrid>
      <w:tr w14:paraId="07E04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32" w:type="dxa"/>
            <w:vAlign w:val="top"/>
          </w:tcPr>
          <w:p w14:paraId="2764E4FB">
            <w:pPr>
              <w:pStyle w:val="9"/>
              <w:spacing w:before="225" w:line="220" w:lineRule="auto"/>
              <w:ind w:left="210"/>
            </w:pPr>
            <w:r>
              <w:rPr>
                <w:b/>
                <w:bCs/>
                <w:spacing w:val="-4"/>
              </w:rPr>
              <w:t>类别</w:t>
            </w:r>
          </w:p>
        </w:tc>
        <w:tc>
          <w:tcPr>
            <w:tcW w:w="839" w:type="dxa"/>
            <w:vAlign w:val="top"/>
          </w:tcPr>
          <w:p w14:paraId="448289A9">
            <w:pPr>
              <w:pStyle w:val="9"/>
              <w:spacing w:before="226" w:line="221" w:lineRule="auto"/>
              <w:ind w:left="211"/>
            </w:pPr>
            <w:r>
              <w:rPr>
                <w:b/>
                <w:bCs/>
                <w:spacing w:val="-4"/>
              </w:rPr>
              <w:t>序号</w:t>
            </w:r>
          </w:p>
        </w:tc>
        <w:tc>
          <w:tcPr>
            <w:tcW w:w="7621" w:type="dxa"/>
            <w:vAlign w:val="top"/>
          </w:tcPr>
          <w:p w14:paraId="0D17BCDC">
            <w:pPr>
              <w:pStyle w:val="9"/>
              <w:spacing w:before="226" w:line="220" w:lineRule="auto"/>
              <w:ind w:left="3393"/>
            </w:pPr>
            <w:r>
              <w:rPr>
                <w:b/>
                <w:bCs/>
                <w:spacing w:val="-4"/>
              </w:rPr>
              <w:t>违约项目</w:t>
            </w:r>
          </w:p>
        </w:tc>
      </w:tr>
      <w:tr w14:paraId="49894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bottom w:val="nil"/>
            </w:tcBorders>
            <w:vAlign w:val="top"/>
          </w:tcPr>
          <w:p w14:paraId="3D9DEB71">
            <w:pPr>
              <w:rPr>
                <w:rFonts w:ascii="Arial"/>
                <w:sz w:val="21"/>
              </w:rPr>
            </w:pPr>
          </w:p>
        </w:tc>
        <w:tc>
          <w:tcPr>
            <w:tcW w:w="839" w:type="dxa"/>
            <w:vAlign w:val="top"/>
          </w:tcPr>
          <w:p w14:paraId="1D9FB21E">
            <w:pPr>
              <w:pStyle w:val="9"/>
              <w:spacing w:before="222"/>
              <w:ind w:left="374"/>
            </w:pPr>
            <w:r>
              <w:t>5</w:t>
            </w:r>
          </w:p>
        </w:tc>
        <w:tc>
          <w:tcPr>
            <w:tcW w:w="7621" w:type="dxa"/>
            <w:vAlign w:val="top"/>
          </w:tcPr>
          <w:p w14:paraId="19896C50">
            <w:pPr>
              <w:pStyle w:val="9"/>
              <w:spacing w:before="221" w:line="217" w:lineRule="auto"/>
              <w:ind w:left="111"/>
            </w:pPr>
            <w:r>
              <w:rPr>
                <w:spacing w:val="-2"/>
              </w:rPr>
              <w:t>试验设备不齐全，未建立试验台帐，违约金</w:t>
            </w:r>
            <w:r>
              <w:rPr>
                <w:spacing w:val="-35"/>
              </w:rPr>
              <w:t xml:space="preserve"> </w:t>
            </w:r>
            <w:r>
              <w:rPr>
                <w:spacing w:val="-2"/>
              </w:rPr>
              <w:t>5,000</w:t>
            </w:r>
            <w:r>
              <w:rPr>
                <w:spacing w:val="-41"/>
              </w:rPr>
              <w:t xml:space="preserve"> </w:t>
            </w:r>
            <w:r>
              <w:rPr>
                <w:spacing w:val="-2"/>
              </w:rPr>
              <w:t>元/次。</w:t>
            </w:r>
          </w:p>
        </w:tc>
      </w:tr>
      <w:tr w14:paraId="7EDEF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tcBorders>
            <w:vAlign w:val="top"/>
          </w:tcPr>
          <w:p w14:paraId="19447D93">
            <w:pPr>
              <w:rPr>
                <w:rFonts w:ascii="Arial"/>
                <w:sz w:val="21"/>
              </w:rPr>
            </w:pPr>
          </w:p>
        </w:tc>
        <w:tc>
          <w:tcPr>
            <w:tcW w:w="839" w:type="dxa"/>
            <w:vAlign w:val="top"/>
          </w:tcPr>
          <w:p w14:paraId="1F513E9F">
            <w:pPr>
              <w:pStyle w:val="9"/>
              <w:spacing w:before="222"/>
              <w:ind w:left="371"/>
            </w:pPr>
            <w:r>
              <w:t>6</w:t>
            </w:r>
          </w:p>
        </w:tc>
        <w:tc>
          <w:tcPr>
            <w:tcW w:w="7621" w:type="dxa"/>
            <w:vAlign w:val="top"/>
          </w:tcPr>
          <w:p w14:paraId="77B1521F">
            <w:pPr>
              <w:pStyle w:val="9"/>
              <w:spacing w:before="222" w:line="220" w:lineRule="auto"/>
              <w:ind w:left="125"/>
            </w:pPr>
            <w:r>
              <w:rPr>
                <w:spacing w:val="-2"/>
              </w:rPr>
              <w:t>隐蔽工程的施工过程和工序验收影像资料未留存的，违约金</w:t>
            </w:r>
            <w:r>
              <w:rPr>
                <w:spacing w:val="-29"/>
              </w:rPr>
              <w:t xml:space="preserve"> </w:t>
            </w:r>
            <w:r>
              <w:rPr>
                <w:spacing w:val="-2"/>
              </w:rPr>
              <w:t>1</w:t>
            </w:r>
            <w:r>
              <w:rPr>
                <w:spacing w:val="-3"/>
              </w:rPr>
              <w:t>000</w:t>
            </w:r>
            <w:r>
              <w:rPr>
                <w:spacing w:val="-42"/>
              </w:rPr>
              <w:t xml:space="preserve"> </w:t>
            </w:r>
            <w:r>
              <w:rPr>
                <w:spacing w:val="-3"/>
              </w:rPr>
              <w:t>元/次。</w:t>
            </w:r>
          </w:p>
        </w:tc>
      </w:tr>
      <w:tr w14:paraId="45C0F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restart"/>
            <w:tcBorders>
              <w:bottom w:val="nil"/>
            </w:tcBorders>
            <w:vAlign w:val="top"/>
          </w:tcPr>
          <w:p w14:paraId="2B5A26DC">
            <w:pPr>
              <w:spacing w:line="245" w:lineRule="auto"/>
              <w:rPr>
                <w:rFonts w:ascii="Arial"/>
                <w:sz w:val="21"/>
              </w:rPr>
            </w:pPr>
          </w:p>
          <w:p w14:paraId="60FFFC56">
            <w:pPr>
              <w:spacing w:line="245" w:lineRule="auto"/>
              <w:rPr>
                <w:rFonts w:ascii="Arial"/>
                <w:sz w:val="21"/>
              </w:rPr>
            </w:pPr>
          </w:p>
          <w:p w14:paraId="5258D4DC">
            <w:pPr>
              <w:spacing w:line="245" w:lineRule="auto"/>
              <w:rPr>
                <w:rFonts w:ascii="Arial"/>
                <w:sz w:val="21"/>
              </w:rPr>
            </w:pPr>
          </w:p>
          <w:p w14:paraId="5682F321">
            <w:pPr>
              <w:spacing w:line="245" w:lineRule="auto"/>
              <w:rPr>
                <w:rFonts w:ascii="Arial"/>
                <w:sz w:val="21"/>
              </w:rPr>
            </w:pPr>
          </w:p>
          <w:p w14:paraId="7F578990">
            <w:pPr>
              <w:spacing w:line="245" w:lineRule="auto"/>
              <w:rPr>
                <w:rFonts w:ascii="Arial"/>
                <w:sz w:val="21"/>
              </w:rPr>
            </w:pPr>
          </w:p>
          <w:p w14:paraId="52E3C2A6">
            <w:pPr>
              <w:spacing w:line="245" w:lineRule="auto"/>
              <w:rPr>
                <w:rFonts w:ascii="Arial"/>
                <w:sz w:val="21"/>
              </w:rPr>
            </w:pPr>
          </w:p>
          <w:p w14:paraId="4977514C">
            <w:pPr>
              <w:spacing w:line="246" w:lineRule="auto"/>
              <w:rPr>
                <w:rFonts w:ascii="Arial"/>
                <w:sz w:val="21"/>
              </w:rPr>
            </w:pPr>
          </w:p>
          <w:p w14:paraId="5D7D2680">
            <w:pPr>
              <w:spacing w:line="246" w:lineRule="auto"/>
              <w:rPr>
                <w:rFonts w:ascii="Arial"/>
                <w:sz w:val="21"/>
              </w:rPr>
            </w:pPr>
          </w:p>
          <w:p w14:paraId="553AC2A3">
            <w:pPr>
              <w:spacing w:line="246" w:lineRule="auto"/>
              <w:rPr>
                <w:rFonts w:ascii="Arial"/>
                <w:sz w:val="21"/>
              </w:rPr>
            </w:pPr>
          </w:p>
          <w:p w14:paraId="3BBC723A">
            <w:pPr>
              <w:spacing w:line="246" w:lineRule="auto"/>
              <w:rPr>
                <w:rFonts w:ascii="Arial"/>
                <w:sz w:val="21"/>
              </w:rPr>
            </w:pPr>
          </w:p>
          <w:p w14:paraId="2CC5640F">
            <w:pPr>
              <w:spacing w:line="246" w:lineRule="auto"/>
              <w:rPr>
                <w:rFonts w:ascii="Arial"/>
                <w:sz w:val="21"/>
              </w:rPr>
            </w:pPr>
          </w:p>
          <w:p w14:paraId="601318DB">
            <w:pPr>
              <w:spacing w:line="246" w:lineRule="auto"/>
              <w:rPr>
                <w:rFonts w:ascii="Arial"/>
                <w:sz w:val="21"/>
              </w:rPr>
            </w:pPr>
          </w:p>
          <w:p w14:paraId="1CA28A7C">
            <w:pPr>
              <w:spacing w:line="246" w:lineRule="auto"/>
              <w:rPr>
                <w:rFonts w:ascii="Arial"/>
                <w:sz w:val="21"/>
              </w:rPr>
            </w:pPr>
          </w:p>
          <w:p w14:paraId="00DE0F2A">
            <w:pPr>
              <w:pStyle w:val="9"/>
              <w:spacing w:before="69" w:line="220" w:lineRule="auto"/>
              <w:ind w:left="211"/>
            </w:pPr>
            <w:r>
              <w:rPr>
                <w:spacing w:val="-3"/>
              </w:rPr>
              <w:t>其他</w:t>
            </w:r>
          </w:p>
        </w:tc>
        <w:tc>
          <w:tcPr>
            <w:tcW w:w="839" w:type="dxa"/>
            <w:vAlign w:val="top"/>
          </w:tcPr>
          <w:p w14:paraId="241DAB34">
            <w:pPr>
              <w:pStyle w:val="9"/>
              <w:spacing w:before="223" w:line="241" w:lineRule="auto"/>
              <w:ind w:left="385"/>
            </w:pPr>
            <w:r>
              <w:t>1</w:t>
            </w:r>
          </w:p>
        </w:tc>
        <w:tc>
          <w:tcPr>
            <w:tcW w:w="7621" w:type="dxa"/>
            <w:vAlign w:val="top"/>
          </w:tcPr>
          <w:p w14:paraId="0241F1CB">
            <w:pPr>
              <w:pStyle w:val="9"/>
              <w:spacing w:before="222" w:line="217" w:lineRule="auto"/>
              <w:ind w:left="115"/>
            </w:pPr>
            <w:r>
              <w:rPr>
                <w:spacing w:val="-2"/>
              </w:rPr>
              <w:t>不按照有关规定进行技术交底就进行施工作业的，违约金</w:t>
            </w:r>
            <w:r>
              <w:rPr>
                <w:spacing w:val="-26"/>
              </w:rPr>
              <w:t xml:space="preserve"> </w:t>
            </w:r>
            <w:r>
              <w:rPr>
                <w:spacing w:val="-2"/>
              </w:rPr>
              <w:t>2,000</w:t>
            </w:r>
            <w:r>
              <w:rPr>
                <w:spacing w:val="-42"/>
              </w:rPr>
              <w:t xml:space="preserve"> </w:t>
            </w:r>
            <w:r>
              <w:rPr>
                <w:spacing w:val="-2"/>
              </w:rPr>
              <w:t>元/次。</w:t>
            </w:r>
          </w:p>
        </w:tc>
      </w:tr>
      <w:tr w14:paraId="5B00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832" w:type="dxa"/>
            <w:vMerge w:val="continue"/>
            <w:tcBorders>
              <w:top w:val="nil"/>
              <w:bottom w:val="nil"/>
            </w:tcBorders>
            <w:vAlign w:val="top"/>
          </w:tcPr>
          <w:p w14:paraId="57A22636">
            <w:pPr>
              <w:rPr>
                <w:rFonts w:ascii="Arial"/>
                <w:sz w:val="21"/>
              </w:rPr>
            </w:pPr>
          </w:p>
        </w:tc>
        <w:tc>
          <w:tcPr>
            <w:tcW w:w="839" w:type="dxa"/>
            <w:vAlign w:val="top"/>
          </w:tcPr>
          <w:p w14:paraId="067119AC">
            <w:pPr>
              <w:pStyle w:val="9"/>
              <w:spacing w:before="222" w:line="241" w:lineRule="auto"/>
              <w:ind w:left="372"/>
            </w:pPr>
            <w:r>
              <w:t>2</w:t>
            </w:r>
          </w:p>
        </w:tc>
        <w:tc>
          <w:tcPr>
            <w:tcW w:w="7621" w:type="dxa"/>
            <w:vAlign w:val="top"/>
          </w:tcPr>
          <w:p w14:paraId="18FD1444">
            <w:pPr>
              <w:pStyle w:val="9"/>
              <w:spacing w:before="221" w:line="217" w:lineRule="auto"/>
              <w:ind w:left="113"/>
            </w:pPr>
            <w:r>
              <w:rPr>
                <w:spacing w:val="-1"/>
              </w:rPr>
              <w:t>上一道工序未经监理人签认就进行下一道工序施</w:t>
            </w:r>
            <w:r>
              <w:rPr>
                <w:spacing w:val="-2"/>
              </w:rPr>
              <w:t>工的，违约金</w:t>
            </w:r>
            <w:r>
              <w:rPr>
                <w:spacing w:val="-41"/>
              </w:rPr>
              <w:t xml:space="preserve"> </w:t>
            </w:r>
            <w:r>
              <w:rPr>
                <w:spacing w:val="-2"/>
              </w:rPr>
              <w:t>5,000</w:t>
            </w:r>
            <w:r>
              <w:rPr>
                <w:spacing w:val="-42"/>
              </w:rPr>
              <w:t xml:space="preserve"> </w:t>
            </w:r>
            <w:r>
              <w:rPr>
                <w:spacing w:val="-2"/>
              </w:rPr>
              <w:t>元/次。</w:t>
            </w:r>
          </w:p>
        </w:tc>
      </w:tr>
      <w:tr w14:paraId="3B052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32" w:type="dxa"/>
            <w:vMerge w:val="continue"/>
            <w:tcBorders>
              <w:top w:val="nil"/>
              <w:bottom w:val="nil"/>
            </w:tcBorders>
            <w:vAlign w:val="top"/>
          </w:tcPr>
          <w:p w14:paraId="06C61A16">
            <w:pPr>
              <w:rPr>
                <w:rFonts w:ascii="Arial"/>
                <w:sz w:val="21"/>
              </w:rPr>
            </w:pPr>
          </w:p>
        </w:tc>
        <w:tc>
          <w:tcPr>
            <w:tcW w:w="839" w:type="dxa"/>
            <w:vAlign w:val="top"/>
          </w:tcPr>
          <w:p w14:paraId="54231801">
            <w:pPr>
              <w:spacing w:line="271" w:lineRule="auto"/>
              <w:rPr>
                <w:rFonts w:ascii="Arial"/>
                <w:sz w:val="21"/>
              </w:rPr>
            </w:pPr>
          </w:p>
          <w:p w14:paraId="43C32045">
            <w:pPr>
              <w:pStyle w:val="9"/>
              <w:spacing w:before="68"/>
              <w:ind w:left="374"/>
            </w:pPr>
            <w:r>
              <w:t>3</w:t>
            </w:r>
          </w:p>
        </w:tc>
        <w:tc>
          <w:tcPr>
            <w:tcW w:w="7621" w:type="dxa"/>
            <w:vAlign w:val="top"/>
          </w:tcPr>
          <w:p w14:paraId="00101C39">
            <w:pPr>
              <w:pStyle w:val="9"/>
              <w:spacing w:before="141" w:line="287" w:lineRule="auto"/>
              <w:ind w:left="128" w:right="115" w:hanging="16"/>
            </w:pPr>
            <w:r>
              <w:rPr>
                <w:spacing w:val="1"/>
              </w:rPr>
              <w:t>要求返工的工程未在规定的时间内进行返工或要求清除出施工现场材料未在规定</w:t>
            </w:r>
            <w:r>
              <w:rPr>
                <w:spacing w:val="-3"/>
              </w:rPr>
              <w:t>的时间内清除出场的，每延误一天违约金</w:t>
            </w:r>
            <w:r>
              <w:rPr>
                <w:spacing w:val="-28"/>
              </w:rPr>
              <w:t xml:space="preserve"> </w:t>
            </w:r>
            <w:r>
              <w:rPr>
                <w:spacing w:val="-3"/>
              </w:rPr>
              <w:t>1000</w:t>
            </w:r>
            <w:r>
              <w:rPr>
                <w:spacing w:val="-41"/>
              </w:rPr>
              <w:t xml:space="preserve"> </w:t>
            </w:r>
            <w:r>
              <w:rPr>
                <w:spacing w:val="-3"/>
              </w:rPr>
              <w:t>元。</w:t>
            </w:r>
          </w:p>
        </w:tc>
      </w:tr>
      <w:tr w14:paraId="7E0B8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9212A31">
            <w:pPr>
              <w:rPr>
                <w:rFonts w:ascii="Arial"/>
                <w:sz w:val="21"/>
              </w:rPr>
            </w:pPr>
          </w:p>
        </w:tc>
        <w:tc>
          <w:tcPr>
            <w:tcW w:w="839" w:type="dxa"/>
            <w:vAlign w:val="top"/>
          </w:tcPr>
          <w:p w14:paraId="4970D466">
            <w:pPr>
              <w:pStyle w:val="9"/>
              <w:spacing w:before="225" w:line="241" w:lineRule="auto"/>
              <w:ind w:left="369"/>
            </w:pPr>
            <w:r>
              <w:t>4</w:t>
            </w:r>
          </w:p>
        </w:tc>
        <w:tc>
          <w:tcPr>
            <w:tcW w:w="7621" w:type="dxa"/>
            <w:vAlign w:val="top"/>
          </w:tcPr>
          <w:p w14:paraId="7B5C2659">
            <w:pPr>
              <w:pStyle w:val="9"/>
              <w:spacing w:before="224" w:line="217" w:lineRule="auto"/>
              <w:ind w:left="114"/>
            </w:pPr>
            <w:r>
              <w:rPr>
                <w:spacing w:val="-2"/>
              </w:rPr>
              <w:t>水泥、钢筋、钢筋笼等存放不满足要求的，违约金</w:t>
            </w:r>
            <w:r>
              <w:rPr>
                <w:spacing w:val="-31"/>
              </w:rPr>
              <w:t xml:space="preserve"> </w:t>
            </w:r>
            <w:r>
              <w:rPr>
                <w:spacing w:val="-2"/>
              </w:rPr>
              <w:t>2,000</w:t>
            </w:r>
            <w:r>
              <w:rPr>
                <w:spacing w:val="-42"/>
              </w:rPr>
              <w:t xml:space="preserve"> </w:t>
            </w:r>
            <w:r>
              <w:rPr>
                <w:spacing w:val="-2"/>
              </w:rPr>
              <w:t>元/次。</w:t>
            </w:r>
          </w:p>
        </w:tc>
      </w:tr>
      <w:tr w14:paraId="16A76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71DC1463">
            <w:pPr>
              <w:rPr>
                <w:rFonts w:ascii="Arial"/>
                <w:sz w:val="21"/>
              </w:rPr>
            </w:pPr>
          </w:p>
        </w:tc>
        <w:tc>
          <w:tcPr>
            <w:tcW w:w="839" w:type="dxa"/>
            <w:vAlign w:val="top"/>
          </w:tcPr>
          <w:p w14:paraId="10B92C07">
            <w:pPr>
              <w:pStyle w:val="9"/>
              <w:spacing w:before="224"/>
              <w:ind w:left="374"/>
            </w:pPr>
            <w:r>
              <w:t>5</w:t>
            </w:r>
          </w:p>
        </w:tc>
        <w:tc>
          <w:tcPr>
            <w:tcW w:w="7621" w:type="dxa"/>
            <w:vAlign w:val="top"/>
          </w:tcPr>
          <w:p w14:paraId="0DF3DF54">
            <w:pPr>
              <w:pStyle w:val="9"/>
              <w:spacing w:before="224" w:line="217" w:lineRule="auto"/>
              <w:ind w:left="111"/>
            </w:pPr>
            <w:r>
              <w:rPr>
                <w:spacing w:val="-1"/>
              </w:rPr>
              <w:t>所有桩标须加固保护，树立易于识别得标志，</w:t>
            </w:r>
            <w:r>
              <w:rPr>
                <w:spacing w:val="-2"/>
              </w:rPr>
              <w:t>违者违约金</w:t>
            </w:r>
            <w:r>
              <w:rPr>
                <w:spacing w:val="-43"/>
              </w:rPr>
              <w:t xml:space="preserve"> </w:t>
            </w:r>
            <w:r>
              <w:rPr>
                <w:spacing w:val="-2"/>
              </w:rPr>
              <w:t>2,000</w:t>
            </w:r>
            <w:r>
              <w:rPr>
                <w:spacing w:val="-41"/>
              </w:rPr>
              <w:t xml:space="preserve"> </w:t>
            </w:r>
            <w:r>
              <w:rPr>
                <w:spacing w:val="-2"/>
              </w:rPr>
              <w:t>元/处。</w:t>
            </w:r>
          </w:p>
        </w:tc>
      </w:tr>
      <w:tr w14:paraId="56F55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161AAB78">
            <w:pPr>
              <w:rPr>
                <w:rFonts w:ascii="Arial"/>
                <w:sz w:val="21"/>
              </w:rPr>
            </w:pPr>
          </w:p>
        </w:tc>
        <w:tc>
          <w:tcPr>
            <w:tcW w:w="839" w:type="dxa"/>
            <w:vAlign w:val="top"/>
          </w:tcPr>
          <w:p w14:paraId="5E1784FA">
            <w:pPr>
              <w:pStyle w:val="9"/>
              <w:spacing w:before="225"/>
              <w:ind w:left="371"/>
            </w:pPr>
            <w:r>
              <w:t>6</w:t>
            </w:r>
          </w:p>
        </w:tc>
        <w:tc>
          <w:tcPr>
            <w:tcW w:w="7621" w:type="dxa"/>
            <w:vAlign w:val="top"/>
          </w:tcPr>
          <w:p w14:paraId="573B2E6E">
            <w:pPr>
              <w:pStyle w:val="9"/>
              <w:spacing w:before="225" w:line="217" w:lineRule="auto"/>
              <w:ind w:left="111"/>
            </w:pPr>
            <w:r>
              <w:rPr>
                <w:spacing w:val="-2"/>
              </w:rPr>
              <w:t>试验及检测仪器未标定或标定不合格仍使用的，违约金</w:t>
            </w:r>
            <w:r>
              <w:rPr>
                <w:spacing w:val="-25"/>
              </w:rPr>
              <w:t xml:space="preserve"> </w:t>
            </w:r>
            <w:r>
              <w:rPr>
                <w:spacing w:val="-2"/>
              </w:rPr>
              <w:t>2,000</w:t>
            </w:r>
            <w:r>
              <w:rPr>
                <w:spacing w:val="-41"/>
              </w:rPr>
              <w:t xml:space="preserve"> </w:t>
            </w:r>
            <w:r>
              <w:rPr>
                <w:spacing w:val="-2"/>
              </w:rPr>
              <w:t>元/次。</w:t>
            </w:r>
          </w:p>
        </w:tc>
      </w:tr>
      <w:tr w14:paraId="611B8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2" w:type="dxa"/>
            <w:vMerge w:val="continue"/>
            <w:tcBorders>
              <w:top w:val="nil"/>
              <w:bottom w:val="nil"/>
            </w:tcBorders>
            <w:vAlign w:val="top"/>
          </w:tcPr>
          <w:p w14:paraId="6FA6A699">
            <w:pPr>
              <w:rPr>
                <w:rFonts w:ascii="Arial"/>
                <w:sz w:val="21"/>
              </w:rPr>
            </w:pPr>
          </w:p>
        </w:tc>
        <w:tc>
          <w:tcPr>
            <w:tcW w:w="839" w:type="dxa"/>
            <w:vAlign w:val="top"/>
          </w:tcPr>
          <w:p w14:paraId="3CDB157F">
            <w:pPr>
              <w:spacing w:line="470" w:lineRule="auto"/>
              <w:rPr>
                <w:rFonts w:ascii="Arial"/>
                <w:sz w:val="21"/>
              </w:rPr>
            </w:pPr>
          </w:p>
          <w:p w14:paraId="45AF2895">
            <w:pPr>
              <w:pStyle w:val="9"/>
              <w:spacing w:before="69"/>
              <w:ind w:left="375"/>
            </w:pPr>
            <w:r>
              <w:t>7</w:t>
            </w:r>
          </w:p>
        </w:tc>
        <w:tc>
          <w:tcPr>
            <w:tcW w:w="7621" w:type="dxa"/>
            <w:vAlign w:val="top"/>
          </w:tcPr>
          <w:p w14:paraId="0007783E">
            <w:pPr>
              <w:pStyle w:val="9"/>
              <w:spacing w:before="142" w:line="308" w:lineRule="auto"/>
              <w:ind w:left="112" w:right="115" w:hanging="1"/>
              <w:jc w:val="both"/>
            </w:pPr>
            <w:r>
              <w:rPr>
                <w:spacing w:val="-4"/>
              </w:rPr>
              <w:t>检验项目、方法、频率，</w:t>
            </w:r>
            <w:r>
              <w:rPr>
                <w:spacing w:val="72"/>
              </w:rPr>
              <w:t xml:space="preserve"> </w:t>
            </w:r>
            <w:r>
              <w:rPr>
                <w:spacing w:val="-4"/>
              </w:rPr>
              <w:t>没有按设计或规范要求执行；原材料送检和其他自检项</w:t>
            </w:r>
            <w:r>
              <w:t>目的试验（如钢筋焊接，</w:t>
            </w:r>
            <w:r>
              <w:rPr>
                <w:spacing w:val="-55"/>
              </w:rPr>
              <w:t xml:space="preserve"> </w:t>
            </w:r>
            <w:r>
              <w:t>土的重击实试验）不</w:t>
            </w:r>
            <w:r>
              <w:rPr>
                <w:spacing w:val="-1"/>
              </w:rPr>
              <w:t>及时，频率未达到规定要求，违约</w:t>
            </w:r>
            <w:r>
              <w:rPr>
                <w:spacing w:val="-5"/>
              </w:rPr>
              <w:t>金</w:t>
            </w:r>
            <w:r>
              <w:rPr>
                <w:spacing w:val="-39"/>
              </w:rPr>
              <w:t xml:space="preserve"> </w:t>
            </w:r>
            <w:r>
              <w:rPr>
                <w:spacing w:val="-5"/>
              </w:rPr>
              <w:t>2,000</w:t>
            </w:r>
            <w:r>
              <w:rPr>
                <w:spacing w:val="-42"/>
              </w:rPr>
              <w:t xml:space="preserve"> </w:t>
            </w:r>
            <w:r>
              <w:rPr>
                <w:spacing w:val="-5"/>
              </w:rPr>
              <w:t>元/次。</w:t>
            </w:r>
          </w:p>
        </w:tc>
      </w:tr>
      <w:tr w14:paraId="48C78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32" w:type="dxa"/>
            <w:vMerge w:val="continue"/>
            <w:tcBorders>
              <w:top w:val="nil"/>
              <w:bottom w:val="nil"/>
            </w:tcBorders>
            <w:vAlign w:val="top"/>
          </w:tcPr>
          <w:p w14:paraId="6E6F810D">
            <w:pPr>
              <w:rPr>
                <w:rFonts w:ascii="Arial"/>
                <w:sz w:val="21"/>
              </w:rPr>
            </w:pPr>
          </w:p>
        </w:tc>
        <w:tc>
          <w:tcPr>
            <w:tcW w:w="839" w:type="dxa"/>
            <w:vAlign w:val="top"/>
          </w:tcPr>
          <w:p w14:paraId="31DF7876">
            <w:pPr>
              <w:pStyle w:val="9"/>
              <w:spacing w:before="225"/>
              <w:ind w:left="370"/>
            </w:pPr>
            <w:r>
              <w:t>8</w:t>
            </w:r>
          </w:p>
        </w:tc>
        <w:tc>
          <w:tcPr>
            <w:tcW w:w="7621" w:type="dxa"/>
            <w:vAlign w:val="top"/>
          </w:tcPr>
          <w:p w14:paraId="4EDB0F51">
            <w:pPr>
              <w:pStyle w:val="9"/>
              <w:spacing w:before="225" w:line="217" w:lineRule="auto"/>
              <w:ind w:left="115"/>
            </w:pPr>
            <w:r>
              <w:rPr>
                <w:spacing w:val="-2"/>
              </w:rPr>
              <w:t>未经检验合格的材料用于施工的，违约金</w:t>
            </w:r>
            <w:r>
              <w:rPr>
                <w:spacing w:val="-40"/>
              </w:rPr>
              <w:t xml:space="preserve"> </w:t>
            </w:r>
            <w:r>
              <w:rPr>
                <w:spacing w:val="-2"/>
              </w:rPr>
              <w:t>5,000</w:t>
            </w:r>
            <w:r>
              <w:rPr>
                <w:spacing w:val="-42"/>
              </w:rPr>
              <w:t xml:space="preserve"> </w:t>
            </w:r>
            <w:r>
              <w:rPr>
                <w:spacing w:val="-2"/>
              </w:rPr>
              <w:t>元/次。</w:t>
            </w:r>
          </w:p>
        </w:tc>
      </w:tr>
      <w:tr w14:paraId="6EE20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832" w:type="dxa"/>
            <w:vMerge w:val="continue"/>
            <w:tcBorders>
              <w:top w:val="nil"/>
            </w:tcBorders>
            <w:vAlign w:val="top"/>
          </w:tcPr>
          <w:p w14:paraId="164D94BB">
            <w:pPr>
              <w:rPr>
                <w:rFonts w:ascii="Arial"/>
                <w:sz w:val="21"/>
              </w:rPr>
            </w:pPr>
          </w:p>
        </w:tc>
        <w:tc>
          <w:tcPr>
            <w:tcW w:w="839" w:type="dxa"/>
            <w:vAlign w:val="top"/>
          </w:tcPr>
          <w:p w14:paraId="641B7EAC">
            <w:pPr>
              <w:spacing w:line="471" w:lineRule="auto"/>
              <w:rPr>
                <w:rFonts w:ascii="Arial"/>
                <w:sz w:val="21"/>
              </w:rPr>
            </w:pPr>
          </w:p>
          <w:p w14:paraId="47A95680">
            <w:pPr>
              <w:pStyle w:val="9"/>
              <w:spacing w:before="69"/>
              <w:ind w:left="370"/>
            </w:pPr>
            <w:r>
              <w:t>9</w:t>
            </w:r>
          </w:p>
        </w:tc>
        <w:tc>
          <w:tcPr>
            <w:tcW w:w="7621" w:type="dxa"/>
            <w:vAlign w:val="top"/>
          </w:tcPr>
          <w:p w14:paraId="6E3AF288">
            <w:pPr>
              <w:pStyle w:val="9"/>
              <w:spacing w:before="144" w:line="309" w:lineRule="auto"/>
              <w:ind w:left="111" w:right="108"/>
              <w:jc w:val="both"/>
            </w:pPr>
            <w:r>
              <w:rPr>
                <w:spacing w:val="1"/>
              </w:rPr>
              <w:t>其他不按照《广东省公路施工标准化指南》和《广东省高速公路工程施工组织设</w:t>
            </w:r>
            <w:r>
              <w:rPr>
                <w:spacing w:val="19"/>
              </w:rPr>
              <w:t>计和施工方案标准化管理指南》有关规定进行管理或施工作业的，</w:t>
            </w:r>
            <w:r>
              <w:rPr>
                <w:spacing w:val="-38"/>
              </w:rPr>
              <w:t xml:space="preserve"> </w:t>
            </w:r>
            <w:r>
              <w:rPr>
                <w:spacing w:val="19"/>
              </w:rPr>
              <w:t>违约金</w:t>
            </w:r>
            <w:r>
              <w:rPr>
                <w:spacing w:val="-2"/>
              </w:rPr>
              <w:t>1,000--50,000</w:t>
            </w:r>
            <w:r>
              <w:rPr>
                <w:spacing w:val="-43"/>
              </w:rPr>
              <w:t xml:space="preserve"> </w:t>
            </w:r>
            <w:r>
              <w:rPr>
                <w:spacing w:val="-2"/>
              </w:rPr>
              <w:t>元/次，并限期纠正。</w:t>
            </w:r>
          </w:p>
        </w:tc>
      </w:tr>
    </w:tbl>
    <w:p w14:paraId="36C9A8AA">
      <w:pPr>
        <w:pStyle w:val="2"/>
      </w:pPr>
    </w:p>
    <w:p w14:paraId="4BD5D9CA">
      <w:pPr>
        <w:sectPr>
          <w:footerReference r:id="rId146" w:type="default"/>
          <w:pgSz w:w="11905" w:h="16840"/>
          <w:pgMar w:top="1182" w:right="1303" w:bottom="1171" w:left="1303" w:header="849" w:footer="937" w:gutter="0"/>
          <w:pgNumType w:fmt="decimal"/>
          <w:cols w:space="720" w:num="1"/>
        </w:sectPr>
      </w:pPr>
    </w:p>
    <w:p w14:paraId="70B2CBEE">
      <w:pPr>
        <w:pStyle w:val="2"/>
        <w:spacing w:line="258" w:lineRule="auto"/>
      </w:pPr>
    </w:p>
    <w:p w14:paraId="392A000A">
      <w:pPr>
        <w:pStyle w:val="2"/>
        <w:spacing w:line="267" w:lineRule="auto"/>
      </w:pPr>
    </w:p>
    <w:p w14:paraId="248B5163">
      <w:pPr>
        <w:spacing w:before="78" w:line="219" w:lineRule="auto"/>
        <w:ind w:left="28"/>
        <w:rPr>
          <w:rFonts w:ascii="宋体" w:hAnsi="宋体" w:eastAsia="宋体" w:cs="宋体"/>
          <w:sz w:val="24"/>
          <w:szCs w:val="24"/>
        </w:rPr>
      </w:pPr>
      <w:r>
        <w:rPr>
          <w:rFonts w:ascii="宋体" w:hAnsi="宋体" w:eastAsia="宋体" w:cs="宋体"/>
          <w:b/>
          <w:bCs/>
          <w:spacing w:val="-16"/>
          <w:sz w:val="24"/>
          <w:szCs w:val="24"/>
        </w:rPr>
        <w:t>附件十四：</w:t>
      </w:r>
    </w:p>
    <w:p w14:paraId="6E6EA6FC">
      <w:pPr>
        <w:spacing w:before="222" w:line="225" w:lineRule="auto"/>
        <w:ind w:left="2304"/>
        <w:rPr>
          <w:rFonts w:ascii="宋体" w:hAnsi="宋体" w:eastAsia="宋体" w:cs="宋体"/>
          <w:sz w:val="31"/>
          <w:szCs w:val="31"/>
        </w:rPr>
      </w:pPr>
      <w:r>
        <w:rPr>
          <w:rFonts w:ascii="宋体" w:hAnsi="宋体" w:eastAsia="宋体" w:cs="宋体"/>
          <w:b/>
          <w:bCs/>
          <w:spacing w:val="6"/>
          <w:sz w:val="31"/>
          <w:szCs w:val="31"/>
        </w:rPr>
        <w:t>建设工程农民工工资支付保证书</w:t>
      </w:r>
    </w:p>
    <w:p w14:paraId="0CE30EC2">
      <w:pPr>
        <w:pStyle w:val="2"/>
        <w:spacing w:line="438" w:lineRule="auto"/>
      </w:pPr>
    </w:p>
    <w:p w14:paraId="2323518C">
      <w:pPr>
        <w:spacing w:before="78" w:line="220" w:lineRule="auto"/>
        <w:ind w:left="9"/>
        <w:rPr>
          <w:rFonts w:ascii="宋体" w:hAnsi="宋体" w:eastAsia="宋体" w:cs="宋体"/>
          <w:sz w:val="24"/>
          <w:szCs w:val="24"/>
        </w:rPr>
      </w:pPr>
      <w:r>
        <w:rPr>
          <w:rFonts w:ascii="宋体" w:hAnsi="宋体" w:eastAsia="宋体" w:cs="宋体"/>
          <w:spacing w:val="-5"/>
          <w:sz w:val="24"/>
          <w:szCs w:val="24"/>
        </w:rPr>
        <w:t>致：</w:t>
      </w:r>
      <w:r>
        <w:rPr>
          <w:rFonts w:ascii="宋体" w:hAnsi="宋体" w:eastAsia="宋体" w:cs="宋体"/>
          <w:sz w:val="24"/>
          <w:szCs w:val="24"/>
          <w:u w:val="single" w:color="auto"/>
        </w:rPr>
        <w:t xml:space="preserve">                        </w:t>
      </w:r>
    </w:p>
    <w:p w14:paraId="67987DBD">
      <w:pPr>
        <w:pStyle w:val="2"/>
        <w:spacing w:line="258" w:lineRule="auto"/>
      </w:pPr>
    </w:p>
    <w:p w14:paraId="52944F49">
      <w:pPr>
        <w:spacing w:before="78" w:line="360" w:lineRule="auto"/>
        <w:ind w:left="8" w:right="85" w:firstLine="483"/>
        <w:jc w:val="both"/>
        <w:rPr>
          <w:rFonts w:ascii="宋体" w:hAnsi="宋体" w:eastAsia="宋体" w:cs="宋体"/>
          <w:sz w:val="24"/>
          <w:szCs w:val="24"/>
        </w:rPr>
      </w:pPr>
      <w:r>
        <w:rPr>
          <w:rFonts w:ascii="宋体" w:hAnsi="宋体" w:eastAsia="宋体" w:cs="宋体"/>
          <w:spacing w:val="-3"/>
          <w:sz w:val="24"/>
          <w:szCs w:val="24"/>
        </w:rPr>
        <w:t>鉴于</w:t>
      </w:r>
      <w:r>
        <w:rPr>
          <w:rFonts w:ascii="宋体" w:hAnsi="宋体" w:eastAsia="宋体" w:cs="宋体"/>
          <w:spacing w:val="-3"/>
          <w:sz w:val="24"/>
          <w:szCs w:val="24"/>
          <w:u w:val="single" w:color="auto"/>
        </w:rPr>
        <w:t xml:space="preserve">       </w:t>
      </w:r>
      <w:r>
        <w:rPr>
          <w:rFonts w:ascii="宋体" w:hAnsi="宋体" w:eastAsia="宋体" w:cs="宋体"/>
          <w:spacing w:val="-68"/>
          <w:sz w:val="24"/>
          <w:szCs w:val="24"/>
        </w:rPr>
        <w:t xml:space="preserve"> </w:t>
      </w:r>
      <w:r>
        <w:rPr>
          <w:rFonts w:hint="eastAsia" w:ascii="宋体" w:hAnsi="宋体" w:cs="宋体"/>
          <w:spacing w:val="-68"/>
          <w:sz w:val="24"/>
          <w:szCs w:val="24"/>
          <w:lang w:eastAsia="zh-CN"/>
        </w:rPr>
        <w:t>（</w:t>
      </w:r>
      <w:r>
        <w:rPr>
          <w:rFonts w:ascii="宋体" w:hAnsi="宋体" w:eastAsia="宋体" w:cs="宋体"/>
          <w:spacing w:val="-3"/>
          <w:sz w:val="24"/>
          <w:szCs w:val="24"/>
        </w:rPr>
        <w:t>以下简称“承包人”</w:t>
      </w:r>
      <w:r>
        <w:rPr>
          <w:rFonts w:hint="eastAsia" w:ascii="宋体" w:hAnsi="宋体" w:cs="宋体"/>
          <w:spacing w:val="-3"/>
          <w:sz w:val="24"/>
          <w:szCs w:val="24"/>
          <w:lang w:eastAsia="zh-CN"/>
        </w:rPr>
        <w:t>）</w:t>
      </w:r>
      <w:r>
        <w:rPr>
          <w:rFonts w:ascii="宋体" w:hAnsi="宋体" w:eastAsia="宋体" w:cs="宋体"/>
          <w:spacing w:val="-3"/>
          <w:sz w:val="24"/>
          <w:szCs w:val="24"/>
        </w:rPr>
        <w:t>拟与</w:t>
      </w:r>
      <w:r>
        <w:rPr>
          <w:rFonts w:ascii="宋体" w:hAnsi="宋体" w:eastAsia="宋体" w:cs="宋体"/>
          <w:spacing w:val="-3"/>
          <w:sz w:val="24"/>
          <w:szCs w:val="24"/>
          <w:u w:val="single" w:color="auto"/>
        </w:rPr>
        <w:t xml:space="preserve"> </w:t>
      </w:r>
      <w:r>
        <w:rPr>
          <w:rFonts w:ascii="宋体" w:hAnsi="宋体" w:eastAsia="宋体" w:cs="宋体"/>
          <w:spacing w:val="-4"/>
          <w:sz w:val="24"/>
          <w:szCs w:val="24"/>
          <w:u w:val="single" w:color="auto"/>
        </w:rPr>
        <w:t xml:space="preserve">    </w:t>
      </w:r>
      <w:r>
        <w:rPr>
          <w:rFonts w:ascii="宋体" w:hAnsi="宋体" w:eastAsia="宋体" w:cs="宋体"/>
          <w:spacing w:val="-69"/>
          <w:sz w:val="24"/>
          <w:szCs w:val="24"/>
        </w:rPr>
        <w:t xml:space="preserve"> </w:t>
      </w:r>
      <w:r>
        <w:rPr>
          <w:rFonts w:hint="eastAsia" w:ascii="宋体" w:hAnsi="宋体" w:cs="宋体"/>
          <w:spacing w:val="-69"/>
          <w:sz w:val="24"/>
          <w:szCs w:val="24"/>
          <w:lang w:eastAsia="zh-CN"/>
        </w:rPr>
        <w:t>（</w:t>
      </w:r>
      <w:r>
        <w:rPr>
          <w:rFonts w:ascii="宋体" w:hAnsi="宋体" w:eastAsia="宋体" w:cs="宋体"/>
          <w:spacing w:val="-4"/>
          <w:sz w:val="24"/>
          <w:szCs w:val="24"/>
        </w:rPr>
        <w:t>以下简称“发包人”</w:t>
      </w:r>
      <w:r>
        <w:rPr>
          <w:rFonts w:hint="eastAsia" w:ascii="宋体" w:hAnsi="宋体" w:cs="宋体"/>
          <w:spacing w:val="-4"/>
          <w:sz w:val="24"/>
          <w:szCs w:val="24"/>
          <w:lang w:eastAsia="zh-CN"/>
        </w:rPr>
        <w:t>）</w:t>
      </w:r>
      <w:r>
        <w:rPr>
          <w:rFonts w:ascii="宋体" w:hAnsi="宋体" w:eastAsia="宋体" w:cs="宋体"/>
          <w:spacing w:val="-4"/>
          <w:sz w:val="24"/>
          <w:szCs w:val="24"/>
        </w:rPr>
        <w:t>签订</w:t>
      </w:r>
      <w:r>
        <w:rPr>
          <w:rFonts w:ascii="宋体" w:hAnsi="宋体" w:eastAsia="宋体" w:cs="宋体"/>
          <w:spacing w:val="-4"/>
          <w:sz w:val="24"/>
          <w:szCs w:val="24"/>
          <w:u w:val="single" w:color="auto"/>
        </w:rPr>
        <w:t xml:space="preserve">      项</w:t>
      </w:r>
      <w:r>
        <w:rPr>
          <w:rFonts w:ascii="宋体" w:hAnsi="宋体" w:eastAsia="宋体" w:cs="宋体"/>
          <w:spacing w:val="-1"/>
          <w:sz w:val="24"/>
          <w:szCs w:val="24"/>
          <w:u w:val="single" w:color="auto"/>
        </w:rPr>
        <w:t>目名称   （标类或标段）</w:t>
      </w:r>
      <w:r>
        <w:rPr>
          <w:rFonts w:ascii="宋体" w:hAnsi="宋体" w:eastAsia="宋体" w:cs="宋体"/>
          <w:spacing w:val="-28"/>
          <w:sz w:val="24"/>
          <w:szCs w:val="24"/>
          <w:u w:val="single" w:color="auto"/>
        </w:rPr>
        <w:t xml:space="preserve"> </w:t>
      </w:r>
      <w:r>
        <w:rPr>
          <w:rFonts w:ascii="宋体" w:hAnsi="宋体" w:eastAsia="宋体" w:cs="宋体"/>
          <w:spacing w:val="-1"/>
          <w:sz w:val="24"/>
          <w:szCs w:val="24"/>
        </w:rPr>
        <w:t>的施工承包合同，为规范本项目农民工工资的支付行为，预</w:t>
      </w:r>
      <w:r>
        <w:rPr>
          <w:rFonts w:ascii="宋体" w:hAnsi="宋体" w:eastAsia="宋体" w:cs="宋体"/>
          <w:spacing w:val="-2"/>
          <w:sz w:val="24"/>
          <w:szCs w:val="24"/>
        </w:rPr>
        <w:t>防和解决施工承包人拖欠或克扣农民工工资问题，切实保障农民工的合法利益，维护社会稳定，根据《中华人民共和国劳动合同法》《中华人民共和国建筑法》《保障农民工工资支付条例》《广东省建设工程领域工人工资支付专用账户管理办法》《广东省建设工程领域用工实名制管理暂行办法》《广东省交通运输厅关于加强交通建设工程从业人员实名制管理和作业工人工资支付管理的通知》、广东省交通运输厅转发人力资源社会</w:t>
      </w:r>
      <w:r>
        <w:rPr>
          <w:rFonts w:ascii="宋体" w:hAnsi="宋体" w:eastAsia="宋体" w:cs="宋体"/>
          <w:spacing w:val="-6"/>
          <w:sz w:val="24"/>
          <w:szCs w:val="24"/>
        </w:rPr>
        <w:t>保障部等部门《工程建设领域农民工工资保证金规定》的通知等有关法</w:t>
      </w:r>
      <w:r>
        <w:rPr>
          <w:rFonts w:ascii="宋体" w:hAnsi="宋体" w:eastAsia="宋体" w:cs="宋体"/>
          <w:spacing w:val="-7"/>
          <w:sz w:val="24"/>
          <w:szCs w:val="24"/>
        </w:rPr>
        <w:t>律、法规，</w:t>
      </w:r>
      <w:r>
        <w:rPr>
          <w:rFonts w:ascii="宋体" w:hAnsi="宋体" w:eastAsia="宋体" w:cs="宋体"/>
          <w:spacing w:val="57"/>
          <w:sz w:val="24"/>
          <w:szCs w:val="24"/>
        </w:rPr>
        <w:t xml:space="preserve"> </w:t>
      </w:r>
      <w:r>
        <w:rPr>
          <w:rFonts w:ascii="宋体" w:hAnsi="宋体" w:eastAsia="宋体" w:cs="宋体"/>
          <w:spacing w:val="-7"/>
          <w:sz w:val="24"/>
          <w:szCs w:val="24"/>
        </w:rPr>
        <w:t>结合</w:t>
      </w:r>
      <w:r>
        <w:rPr>
          <w:rFonts w:ascii="宋体" w:hAnsi="宋体" w:eastAsia="宋体" w:cs="宋体"/>
          <w:spacing w:val="-3"/>
          <w:sz w:val="24"/>
          <w:szCs w:val="24"/>
        </w:rPr>
        <w:t>本项目建设管理的具体情况，承包人在此承诺：</w:t>
      </w:r>
    </w:p>
    <w:p w14:paraId="2DD38288">
      <w:pPr>
        <w:spacing w:line="360" w:lineRule="auto"/>
        <w:ind w:left="9" w:right="85" w:firstLine="483"/>
        <w:rPr>
          <w:rFonts w:ascii="宋体" w:hAnsi="宋体" w:eastAsia="宋体" w:cs="宋体"/>
          <w:sz w:val="24"/>
          <w:szCs w:val="24"/>
        </w:rPr>
      </w:pPr>
      <w:r>
        <w:rPr>
          <w:rFonts w:ascii="宋体" w:hAnsi="宋体" w:eastAsia="宋体" w:cs="宋体"/>
          <w:spacing w:val="-2"/>
          <w:sz w:val="24"/>
          <w:szCs w:val="24"/>
        </w:rPr>
        <w:t>一、承诺严格按照国家法规和相关规定与农民工或与具备用工主体资格的组织签订劳动合同，按照当地劳动保障部门要求及时进行用工备案。严格根据劳动合同约定的农民工工资标准等内容，按照依法签订的劳动合同约定的日期按月支付工资，且不低于当地最低工资标准。若因违反上述法律、法规及相关管理办法而引发的民工工资纠纷等，</w:t>
      </w:r>
      <w:r>
        <w:rPr>
          <w:rFonts w:ascii="宋体" w:hAnsi="宋体" w:eastAsia="宋体" w:cs="宋体"/>
          <w:spacing w:val="-3"/>
          <w:sz w:val="24"/>
          <w:szCs w:val="24"/>
        </w:rPr>
        <w:t>承包人承担所有的民事及刑事法律责任。</w:t>
      </w:r>
    </w:p>
    <w:p w14:paraId="7D2D1E8E">
      <w:pPr>
        <w:spacing w:line="360" w:lineRule="auto"/>
        <w:ind w:left="15" w:right="71" w:firstLine="478"/>
        <w:rPr>
          <w:rFonts w:ascii="宋体" w:hAnsi="宋体" w:eastAsia="宋体" w:cs="宋体"/>
          <w:sz w:val="24"/>
          <w:szCs w:val="24"/>
        </w:rPr>
      </w:pPr>
      <w:r>
        <w:rPr>
          <w:rFonts w:ascii="宋体" w:hAnsi="宋体" w:eastAsia="宋体" w:cs="宋体"/>
          <w:spacing w:val="-1"/>
          <w:sz w:val="24"/>
          <w:szCs w:val="24"/>
        </w:rPr>
        <w:t>二、决不违反有关规定，将工程转包、分包给不具备</w:t>
      </w:r>
      <w:r>
        <w:rPr>
          <w:rFonts w:ascii="宋体" w:hAnsi="宋体" w:eastAsia="宋体" w:cs="宋体"/>
          <w:spacing w:val="-2"/>
          <w:sz w:val="24"/>
          <w:szCs w:val="24"/>
        </w:rPr>
        <w:t>用工主体资格的组织或个人，</w:t>
      </w:r>
      <w:r>
        <w:rPr>
          <w:rFonts w:ascii="宋体" w:hAnsi="宋体" w:eastAsia="宋体" w:cs="宋体"/>
          <w:spacing w:val="-1"/>
          <w:sz w:val="24"/>
          <w:szCs w:val="24"/>
        </w:rPr>
        <w:t>并独自承担因违反上述规定而引发的民工工资纠纷等所有</w:t>
      </w:r>
      <w:r>
        <w:rPr>
          <w:rFonts w:ascii="宋体" w:hAnsi="宋体" w:eastAsia="宋体" w:cs="宋体"/>
          <w:spacing w:val="-2"/>
          <w:sz w:val="24"/>
          <w:szCs w:val="24"/>
        </w:rPr>
        <w:t>民事及刑事的法律连带责任。</w:t>
      </w:r>
    </w:p>
    <w:p w14:paraId="6A33C6AE">
      <w:pPr>
        <w:spacing w:line="360" w:lineRule="auto"/>
        <w:ind w:left="8" w:right="85" w:firstLine="480"/>
        <w:rPr>
          <w:rFonts w:ascii="宋体" w:hAnsi="宋体" w:eastAsia="宋体" w:cs="宋体"/>
          <w:sz w:val="24"/>
          <w:szCs w:val="24"/>
        </w:rPr>
      </w:pPr>
      <w:r>
        <w:rPr>
          <w:rFonts w:ascii="宋体" w:hAnsi="宋体" w:eastAsia="宋体" w:cs="宋体"/>
          <w:spacing w:val="-6"/>
          <w:sz w:val="24"/>
          <w:szCs w:val="24"/>
        </w:rPr>
        <w:t>三、承诺开展劳动法、建筑法等普法学习教育活动，</w:t>
      </w:r>
      <w:r>
        <w:rPr>
          <w:rFonts w:ascii="宋体" w:hAnsi="宋体" w:eastAsia="宋体" w:cs="宋体"/>
          <w:spacing w:val="50"/>
          <w:sz w:val="24"/>
          <w:szCs w:val="24"/>
        </w:rPr>
        <w:t xml:space="preserve"> </w:t>
      </w:r>
      <w:r>
        <w:rPr>
          <w:rFonts w:ascii="宋体" w:hAnsi="宋体" w:eastAsia="宋体" w:cs="宋体"/>
          <w:spacing w:val="-7"/>
          <w:sz w:val="24"/>
          <w:szCs w:val="24"/>
        </w:rPr>
        <w:t>建立健全承包人农民工用工制</w:t>
      </w:r>
      <w:r>
        <w:rPr>
          <w:rFonts w:ascii="宋体" w:hAnsi="宋体" w:eastAsia="宋体" w:cs="宋体"/>
          <w:spacing w:val="-2"/>
          <w:sz w:val="24"/>
          <w:szCs w:val="24"/>
        </w:rPr>
        <w:t>度，制定农民工劳动保护措施，实施劳动工资支付监控机制，建立劳动用工的举报投诉制度，设立专门的举报投诉电话，受理相关单位和个人的举报及投诉，监督并认真查处合同范围内的侵害农民工按劳取酬合法权益的行为。</w:t>
      </w:r>
    </w:p>
    <w:p w14:paraId="24D3C220">
      <w:pPr>
        <w:spacing w:line="360" w:lineRule="auto"/>
        <w:ind w:left="8" w:right="85" w:firstLine="503"/>
        <w:rPr>
          <w:rFonts w:ascii="宋体" w:hAnsi="宋体" w:eastAsia="宋体" w:cs="宋体"/>
          <w:sz w:val="24"/>
          <w:szCs w:val="24"/>
        </w:rPr>
      </w:pPr>
      <w:r>
        <w:rPr>
          <w:rFonts w:ascii="宋体" w:hAnsi="宋体" w:eastAsia="宋体" w:cs="宋体"/>
          <w:spacing w:val="-2"/>
          <w:sz w:val="24"/>
          <w:szCs w:val="24"/>
        </w:rPr>
        <w:t>四、承诺在工地现场宣传栏中公布发包人关于农民工工资管理</w:t>
      </w:r>
      <w:r>
        <w:rPr>
          <w:rFonts w:ascii="宋体" w:hAnsi="宋体" w:eastAsia="宋体" w:cs="宋体"/>
          <w:spacing w:val="-3"/>
          <w:sz w:val="24"/>
          <w:szCs w:val="24"/>
        </w:rPr>
        <w:t>的有关法律法规、制</w:t>
      </w:r>
      <w:r>
        <w:rPr>
          <w:rFonts w:ascii="宋体" w:hAnsi="宋体" w:eastAsia="宋体" w:cs="宋体"/>
          <w:spacing w:val="-4"/>
          <w:sz w:val="24"/>
          <w:szCs w:val="24"/>
        </w:rPr>
        <w:t>度，公开发包人的投诉电话。</w:t>
      </w:r>
    </w:p>
    <w:p w14:paraId="2F72E075">
      <w:pPr>
        <w:spacing w:before="1" w:line="361" w:lineRule="auto"/>
        <w:ind w:left="14" w:firstLine="479"/>
        <w:rPr>
          <w:rFonts w:ascii="宋体" w:hAnsi="宋体" w:eastAsia="宋体" w:cs="宋体"/>
          <w:sz w:val="24"/>
          <w:szCs w:val="24"/>
        </w:rPr>
      </w:pPr>
      <w:r>
        <w:rPr>
          <w:rFonts w:ascii="宋体" w:hAnsi="宋体" w:eastAsia="宋体" w:cs="宋体"/>
          <w:spacing w:val="-8"/>
          <w:sz w:val="24"/>
          <w:szCs w:val="24"/>
        </w:rPr>
        <w:t>五、承诺在本项目工程开工前承包人制定内部工资支付办法，</w:t>
      </w:r>
      <w:r>
        <w:rPr>
          <w:rFonts w:ascii="宋体" w:hAnsi="宋体" w:eastAsia="宋体" w:cs="宋体"/>
          <w:spacing w:val="-60"/>
          <w:sz w:val="24"/>
          <w:szCs w:val="24"/>
        </w:rPr>
        <w:t xml:space="preserve"> </w:t>
      </w:r>
      <w:r>
        <w:rPr>
          <w:rFonts w:ascii="宋体" w:hAnsi="宋体" w:eastAsia="宋体" w:cs="宋体"/>
          <w:spacing w:val="-8"/>
          <w:sz w:val="24"/>
          <w:szCs w:val="24"/>
        </w:rPr>
        <w:t>并抄报监理、发包人，</w:t>
      </w:r>
      <w:r>
        <w:rPr>
          <w:rFonts w:ascii="宋体" w:hAnsi="宋体" w:eastAsia="宋体" w:cs="宋体"/>
          <w:spacing w:val="-6"/>
          <w:sz w:val="24"/>
          <w:szCs w:val="24"/>
        </w:rPr>
        <w:t>同时告知全体农民工。内部工资支付办法包括以下内容：</w:t>
      </w:r>
      <w:r>
        <w:rPr>
          <w:rFonts w:ascii="宋体" w:hAnsi="宋体" w:eastAsia="宋体" w:cs="宋体"/>
          <w:spacing w:val="53"/>
          <w:sz w:val="24"/>
          <w:szCs w:val="24"/>
        </w:rPr>
        <w:t xml:space="preserve"> </w:t>
      </w:r>
      <w:r>
        <w:rPr>
          <w:rFonts w:ascii="宋体" w:hAnsi="宋体" w:eastAsia="宋体" w:cs="宋体"/>
          <w:spacing w:val="-6"/>
          <w:sz w:val="24"/>
          <w:szCs w:val="24"/>
        </w:rPr>
        <w:t>支付项目</w:t>
      </w:r>
      <w:r>
        <w:rPr>
          <w:rFonts w:ascii="宋体" w:hAnsi="宋体" w:eastAsia="宋体" w:cs="宋体"/>
          <w:spacing w:val="-7"/>
          <w:sz w:val="24"/>
          <w:szCs w:val="24"/>
        </w:rPr>
        <w:t>、支付标准、支付方</w:t>
      </w:r>
      <w:r>
        <w:rPr>
          <w:rFonts w:ascii="宋体" w:hAnsi="宋体" w:eastAsia="宋体" w:cs="宋体"/>
          <w:spacing w:val="-6"/>
          <w:sz w:val="24"/>
          <w:szCs w:val="24"/>
        </w:rPr>
        <w:t>式、支付周期和日期、加班工资计算基数、特殊情况下的工资支付以及其他工资支付等。</w:t>
      </w:r>
    </w:p>
    <w:p w14:paraId="023F8AB3">
      <w:pPr>
        <w:spacing w:line="361" w:lineRule="auto"/>
        <w:rPr>
          <w:rFonts w:ascii="宋体" w:hAnsi="宋体" w:eastAsia="宋体" w:cs="宋体"/>
          <w:sz w:val="24"/>
          <w:szCs w:val="24"/>
        </w:rPr>
        <w:sectPr>
          <w:footerReference r:id="rId147" w:type="default"/>
          <w:pgSz w:w="11905" w:h="16840"/>
          <w:pgMar w:top="1182" w:right="1331" w:bottom="1171" w:left="1416" w:header="849" w:footer="937" w:gutter="0"/>
          <w:pgNumType w:fmt="decimal"/>
          <w:cols w:space="720" w:num="1"/>
        </w:sectPr>
      </w:pPr>
    </w:p>
    <w:p w14:paraId="6AB8FB25">
      <w:pPr>
        <w:pStyle w:val="2"/>
        <w:spacing w:line="268" w:lineRule="auto"/>
      </w:pPr>
    </w:p>
    <w:p w14:paraId="4EB6ABC3">
      <w:pPr>
        <w:spacing w:before="78" w:line="360" w:lineRule="auto"/>
        <w:ind w:left="10" w:right="85"/>
        <w:rPr>
          <w:rFonts w:ascii="宋体" w:hAnsi="宋体" w:eastAsia="宋体" w:cs="宋体"/>
          <w:sz w:val="24"/>
          <w:szCs w:val="24"/>
        </w:rPr>
      </w:pPr>
      <w:r>
        <w:rPr>
          <w:rFonts w:ascii="宋体" w:hAnsi="宋体" w:eastAsia="宋体" w:cs="宋体"/>
          <w:spacing w:val="-2"/>
          <w:sz w:val="24"/>
          <w:szCs w:val="24"/>
        </w:rPr>
        <w:t>支付程序也将明文规定，且严格按章办事。工资支付管理接受监理、发包人及上级主管</w:t>
      </w:r>
      <w:r>
        <w:rPr>
          <w:rFonts w:ascii="宋体" w:hAnsi="宋体" w:eastAsia="宋体" w:cs="宋体"/>
          <w:spacing w:val="-5"/>
          <w:sz w:val="24"/>
          <w:szCs w:val="24"/>
        </w:rPr>
        <w:t>单位的监督和检查。</w:t>
      </w:r>
    </w:p>
    <w:p w14:paraId="2676ECB7">
      <w:pPr>
        <w:spacing w:before="2" w:line="359" w:lineRule="auto"/>
        <w:ind w:left="15" w:right="85" w:firstLine="476"/>
        <w:rPr>
          <w:rFonts w:ascii="宋体" w:hAnsi="宋体" w:eastAsia="宋体" w:cs="宋体"/>
          <w:sz w:val="24"/>
          <w:szCs w:val="24"/>
        </w:rPr>
      </w:pPr>
      <w:r>
        <w:rPr>
          <w:rFonts w:ascii="宋体" w:hAnsi="宋体" w:eastAsia="宋体" w:cs="宋体"/>
          <w:spacing w:val="-6"/>
          <w:sz w:val="24"/>
          <w:szCs w:val="24"/>
        </w:rPr>
        <w:t>六、承诺指定专人负责对农民工工资进行发</w:t>
      </w:r>
      <w:r>
        <w:rPr>
          <w:rFonts w:ascii="宋体" w:hAnsi="宋体" w:eastAsia="宋体" w:cs="宋体"/>
          <w:spacing w:val="-7"/>
          <w:sz w:val="24"/>
          <w:szCs w:val="24"/>
        </w:rPr>
        <w:t>放，</w:t>
      </w:r>
      <w:r>
        <w:rPr>
          <w:rFonts w:ascii="宋体" w:hAnsi="宋体" w:eastAsia="宋体" w:cs="宋体"/>
          <w:spacing w:val="52"/>
          <w:sz w:val="24"/>
          <w:szCs w:val="24"/>
        </w:rPr>
        <w:t xml:space="preserve"> </w:t>
      </w:r>
      <w:r>
        <w:rPr>
          <w:rFonts w:ascii="宋体" w:hAnsi="宋体" w:eastAsia="宋体" w:cs="宋体"/>
          <w:spacing w:val="-7"/>
          <w:sz w:val="24"/>
          <w:szCs w:val="24"/>
        </w:rPr>
        <w:t>实行专户管理，以银行转账方式按</w:t>
      </w:r>
      <w:r>
        <w:rPr>
          <w:rFonts w:ascii="宋体" w:hAnsi="宋体" w:eastAsia="宋体" w:cs="宋体"/>
          <w:spacing w:val="-2"/>
          <w:sz w:val="24"/>
          <w:szCs w:val="24"/>
        </w:rPr>
        <w:t>月直接支付工资（原则上是当月支付，最多不超过拖欠两个月）。</w:t>
      </w:r>
    </w:p>
    <w:p w14:paraId="513C0FD7">
      <w:pPr>
        <w:spacing w:line="360" w:lineRule="auto"/>
        <w:ind w:left="8" w:firstLine="480"/>
        <w:rPr>
          <w:rFonts w:ascii="宋体" w:hAnsi="宋体" w:eastAsia="宋体" w:cs="宋体"/>
          <w:sz w:val="24"/>
          <w:szCs w:val="24"/>
        </w:rPr>
      </w:pPr>
      <w:r>
        <w:rPr>
          <w:rFonts w:ascii="宋体" w:hAnsi="宋体" w:eastAsia="宋体" w:cs="宋体"/>
          <w:spacing w:val="-6"/>
          <w:sz w:val="24"/>
          <w:szCs w:val="24"/>
        </w:rPr>
        <w:t>七、在合同工程范围内，</w:t>
      </w:r>
      <w:r>
        <w:rPr>
          <w:rFonts w:ascii="宋体" w:hAnsi="宋体" w:eastAsia="宋体" w:cs="宋体"/>
          <w:spacing w:val="55"/>
          <w:sz w:val="24"/>
          <w:szCs w:val="24"/>
        </w:rPr>
        <w:t xml:space="preserve"> </w:t>
      </w:r>
      <w:r>
        <w:rPr>
          <w:rFonts w:ascii="宋体" w:hAnsi="宋体" w:eastAsia="宋体" w:cs="宋体"/>
          <w:spacing w:val="-6"/>
          <w:sz w:val="24"/>
          <w:szCs w:val="24"/>
        </w:rPr>
        <w:t>一旦承包人发现任</w:t>
      </w:r>
      <w:r>
        <w:rPr>
          <w:rFonts w:ascii="宋体" w:hAnsi="宋体" w:eastAsia="宋体" w:cs="宋体"/>
          <w:spacing w:val="-7"/>
          <w:sz w:val="24"/>
          <w:szCs w:val="24"/>
        </w:rPr>
        <w:t>何下属单位、分包单位、施工班组等在</w:t>
      </w:r>
      <w:r>
        <w:rPr>
          <w:rFonts w:ascii="宋体" w:hAnsi="宋体" w:eastAsia="宋体" w:cs="宋体"/>
          <w:spacing w:val="-2"/>
          <w:sz w:val="24"/>
          <w:szCs w:val="24"/>
        </w:rPr>
        <w:t>劳动用工与工资结算支付活动中存在有违反法律法规规定的行为，承包人将以最快的速</w:t>
      </w:r>
      <w:r>
        <w:rPr>
          <w:rFonts w:ascii="宋体" w:hAnsi="宋体" w:eastAsia="宋体" w:cs="宋体"/>
          <w:spacing w:val="-7"/>
          <w:sz w:val="24"/>
          <w:szCs w:val="24"/>
        </w:rPr>
        <w:t>度、采取最得力的措施就地予以纠正，</w:t>
      </w:r>
      <w:r>
        <w:rPr>
          <w:rFonts w:ascii="宋体" w:hAnsi="宋体" w:eastAsia="宋体" w:cs="宋体"/>
          <w:spacing w:val="-44"/>
          <w:sz w:val="24"/>
          <w:szCs w:val="24"/>
        </w:rPr>
        <w:t xml:space="preserve"> </w:t>
      </w:r>
      <w:r>
        <w:rPr>
          <w:rFonts w:ascii="宋体" w:hAnsi="宋体" w:eastAsia="宋体" w:cs="宋体"/>
          <w:spacing w:val="-7"/>
          <w:sz w:val="24"/>
          <w:szCs w:val="24"/>
        </w:rPr>
        <w:t>同时将有关问</w:t>
      </w:r>
      <w:r>
        <w:rPr>
          <w:rFonts w:ascii="宋体" w:hAnsi="宋体" w:eastAsia="宋体" w:cs="宋体"/>
          <w:spacing w:val="-8"/>
          <w:sz w:val="24"/>
          <w:szCs w:val="24"/>
        </w:rPr>
        <w:t>题抄报监理人及发包人，在监理人、</w:t>
      </w:r>
      <w:r>
        <w:rPr>
          <w:rFonts w:ascii="宋体" w:hAnsi="宋体" w:eastAsia="宋体" w:cs="宋体"/>
          <w:spacing w:val="-2"/>
          <w:sz w:val="24"/>
          <w:szCs w:val="24"/>
        </w:rPr>
        <w:t>发包人或劳动监察部门有要求或规定时，将处理结果上报备案。</w:t>
      </w:r>
    </w:p>
    <w:p w14:paraId="4B1CE370">
      <w:pPr>
        <w:spacing w:before="6" w:line="359" w:lineRule="auto"/>
        <w:ind w:left="8" w:right="85" w:firstLine="484"/>
        <w:rPr>
          <w:rFonts w:ascii="宋体" w:hAnsi="宋体" w:eastAsia="宋体" w:cs="宋体"/>
          <w:sz w:val="24"/>
          <w:szCs w:val="24"/>
        </w:rPr>
      </w:pPr>
      <w:r>
        <w:rPr>
          <w:rFonts w:ascii="宋体" w:hAnsi="宋体" w:eastAsia="宋体" w:cs="宋体"/>
          <w:sz w:val="24"/>
          <w:szCs w:val="24"/>
        </w:rPr>
        <w:t>八、承诺自工程取得施工许可证（开工报告批复）之日起</w:t>
      </w:r>
      <w:r>
        <w:rPr>
          <w:rFonts w:ascii="宋体" w:hAnsi="宋体" w:eastAsia="宋体" w:cs="宋体"/>
          <w:spacing w:val="-20"/>
          <w:sz w:val="24"/>
          <w:szCs w:val="24"/>
        </w:rPr>
        <w:t xml:space="preserve"> </w:t>
      </w:r>
      <w:r>
        <w:rPr>
          <w:rFonts w:ascii="宋体" w:hAnsi="宋体" w:eastAsia="宋体" w:cs="宋体"/>
          <w:sz w:val="24"/>
          <w:szCs w:val="24"/>
        </w:rPr>
        <w:t>20</w:t>
      </w:r>
      <w:r>
        <w:rPr>
          <w:rFonts w:ascii="宋体" w:hAnsi="宋体" w:eastAsia="宋体" w:cs="宋体"/>
          <w:spacing w:val="-47"/>
          <w:sz w:val="24"/>
          <w:szCs w:val="24"/>
        </w:rPr>
        <w:t xml:space="preserve"> </w:t>
      </w:r>
      <w:r>
        <w:rPr>
          <w:rFonts w:ascii="宋体" w:hAnsi="宋体" w:eastAsia="宋体" w:cs="宋体"/>
          <w:sz w:val="24"/>
          <w:szCs w:val="24"/>
        </w:rPr>
        <w:t>个工作日内（依法不</w:t>
      </w:r>
      <w:r>
        <w:rPr>
          <w:rFonts w:ascii="宋体" w:hAnsi="宋体" w:eastAsia="宋体" w:cs="宋体"/>
          <w:spacing w:val="-1"/>
          <w:sz w:val="24"/>
          <w:szCs w:val="24"/>
        </w:rPr>
        <w:t>需要办理施工许可证或批准开工报告的工程自签订施工合同之日起</w:t>
      </w:r>
      <w:r>
        <w:rPr>
          <w:rFonts w:ascii="宋体" w:hAnsi="宋体" w:eastAsia="宋体" w:cs="宋体"/>
          <w:spacing w:val="-41"/>
          <w:sz w:val="24"/>
          <w:szCs w:val="24"/>
        </w:rPr>
        <w:t xml:space="preserve"> </w:t>
      </w:r>
      <w:r>
        <w:rPr>
          <w:rFonts w:ascii="宋体" w:hAnsi="宋体" w:eastAsia="宋体" w:cs="宋体"/>
          <w:spacing w:val="-1"/>
          <w:sz w:val="24"/>
          <w:szCs w:val="24"/>
        </w:rPr>
        <w:t>20</w:t>
      </w:r>
      <w:r>
        <w:rPr>
          <w:rFonts w:ascii="宋体" w:hAnsi="宋体" w:eastAsia="宋体" w:cs="宋体"/>
          <w:spacing w:val="-51"/>
          <w:sz w:val="24"/>
          <w:szCs w:val="24"/>
        </w:rPr>
        <w:t xml:space="preserve"> </w:t>
      </w:r>
      <w:r>
        <w:rPr>
          <w:rFonts w:ascii="宋体" w:hAnsi="宋体" w:eastAsia="宋体" w:cs="宋体"/>
          <w:spacing w:val="-1"/>
          <w:sz w:val="24"/>
          <w:szCs w:val="24"/>
        </w:rPr>
        <w:t>个工作日之内</w:t>
      </w:r>
      <w:r>
        <w:rPr>
          <w:rFonts w:hint="eastAsia" w:ascii="宋体" w:hAnsi="宋体" w:cs="宋体"/>
          <w:spacing w:val="-1"/>
          <w:sz w:val="24"/>
          <w:szCs w:val="24"/>
          <w:lang w:eastAsia="zh-CN"/>
        </w:rPr>
        <w:t>）</w:t>
      </w:r>
      <w:r>
        <w:rPr>
          <w:rFonts w:ascii="宋体" w:hAnsi="宋体" w:eastAsia="宋体" w:cs="宋体"/>
          <w:spacing w:val="-1"/>
          <w:sz w:val="24"/>
          <w:szCs w:val="24"/>
        </w:rPr>
        <w:t>在工程所在地的银行存储工资保证金或申请开立银行保函，</w:t>
      </w:r>
      <w:r>
        <w:rPr>
          <w:rFonts w:ascii="宋体" w:hAnsi="宋体" w:eastAsia="宋体" w:cs="宋体"/>
          <w:b/>
          <w:bCs/>
          <w:spacing w:val="-1"/>
          <w:sz w:val="24"/>
          <w:szCs w:val="24"/>
          <w:u w:val="single" w:color="auto"/>
        </w:rPr>
        <w:t>金额为</w:t>
      </w:r>
      <w:r>
        <w:rPr>
          <w:rFonts w:ascii="宋体" w:hAnsi="宋体" w:eastAsia="宋体" w:cs="宋体"/>
          <w:spacing w:val="-1"/>
          <w:sz w:val="24"/>
          <w:szCs w:val="24"/>
          <w:u w:val="single" w:color="auto"/>
        </w:rPr>
        <w:t xml:space="preserve">      </w:t>
      </w:r>
      <w:r>
        <w:rPr>
          <w:rFonts w:ascii="宋体" w:hAnsi="宋体" w:eastAsia="宋体" w:cs="宋体"/>
          <w:b/>
          <w:bCs/>
          <w:spacing w:val="-1"/>
          <w:sz w:val="24"/>
          <w:szCs w:val="24"/>
          <w:u w:val="single" w:color="auto"/>
        </w:rPr>
        <w:t>元人民币</w:t>
      </w:r>
      <w:r>
        <w:rPr>
          <w:rFonts w:ascii="宋体" w:hAnsi="宋体" w:eastAsia="宋体" w:cs="宋体"/>
          <w:spacing w:val="-20"/>
          <w:position w:val="12"/>
          <w:sz w:val="12"/>
          <w:szCs w:val="12"/>
        </w:rPr>
        <w:t xml:space="preserve"> </w:t>
      </w:r>
      <w:r>
        <w:rPr>
          <w:rFonts w:hint="eastAsia" w:ascii="宋体" w:hAnsi="宋体" w:cs="宋体"/>
          <w:spacing w:val="-20"/>
          <w:position w:val="12"/>
          <w:sz w:val="12"/>
          <w:szCs w:val="12"/>
          <w:lang w:eastAsia="zh-CN"/>
        </w:rPr>
        <w:t>，</w:t>
      </w:r>
      <w:r>
        <w:rPr>
          <w:rFonts w:ascii="宋体" w:hAnsi="宋体" w:eastAsia="宋体" w:cs="宋体"/>
          <w:spacing w:val="-2"/>
          <w:sz w:val="24"/>
          <w:szCs w:val="24"/>
        </w:rPr>
        <w:t>用于支付拖欠的农民工工资，如工资保障金不足，发包人有权利在应支付给承包人的工</w:t>
      </w:r>
      <w:r>
        <w:rPr>
          <w:rFonts w:ascii="宋体" w:hAnsi="宋体" w:eastAsia="宋体" w:cs="宋体"/>
          <w:spacing w:val="-5"/>
          <w:sz w:val="24"/>
          <w:szCs w:val="24"/>
        </w:rPr>
        <w:t>程款或是履约保证金中划扣支付。该保障金余额发包人将于本项目施工完毕， 并交工验</w:t>
      </w:r>
      <w:r>
        <w:rPr>
          <w:rFonts w:ascii="宋体" w:hAnsi="宋体" w:eastAsia="宋体" w:cs="宋体"/>
          <w:spacing w:val="-6"/>
          <w:sz w:val="24"/>
          <w:szCs w:val="24"/>
        </w:rPr>
        <w:t>收合格后退还。</w:t>
      </w:r>
    </w:p>
    <w:p w14:paraId="55F6D150">
      <w:pPr>
        <w:spacing w:before="1" w:line="360" w:lineRule="auto"/>
        <w:ind w:left="11" w:right="81" w:firstLine="483"/>
        <w:rPr>
          <w:rFonts w:ascii="宋体" w:hAnsi="宋体" w:eastAsia="宋体" w:cs="宋体"/>
          <w:sz w:val="24"/>
          <w:szCs w:val="24"/>
        </w:rPr>
      </w:pPr>
      <w:r>
        <w:rPr>
          <w:rFonts w:ascii="宋体" w:hAnsi="宋体" w:eastAsia="宋体" w:cs="宋体"/>
          <w:spacing w:val="-7"/>
          <w:sz w:val="24"/>
          <w:szCs w:val="24"/>
        </w:rPr>
        <w:t>九、承诺建立农民工工资支付台帐，</w:t>
      </w:r>
      <w:r>
        <w:rPr>
          <w:rFonts w:ascii="宋体" w:hAnsi="宋体" w:eastAsia="宋体" w:cs="宋体"/>
          <w:spacing w:val="67"/>
          <w:sz w:val="24"/>
          <w:szCs w:val="24"/>
        </w:rPr>
        <w:t xml:space="preserve"> </w:t>
      </w:r>
      <w:r>
        <w:rPr>
          <w:rFonts w:ascii="宋体" w:hAnsi="宋体" w:eastAsia="宋体" w:cs="宋体"/>
          <w:spacing w:val="-7"/>
          <w:sz w:val="24"/>
          <w:szCs w:val="24"/>
        </w:rPr>
        <w:t>如实记录支付时间、支付对象、支付数额等工</w:t>
      </w:r>
      <w:r>
        <w:rPr>
          <w:rFonts w:ascii="宋体" w:hAnsi="宋体" w:eastAsia="宋体" w:cs="宋体"/>
          <w:spacing w:val="-2"/>
          <w:sz w:val="24"/>
          <w:szCs w:val="24"/>
        </w:rPr>
        <w:t>资支付情况，并于每月申请支付计量款时将上期工资表及工资支付台帐上报监理和发包人。若承包人拖欠民工工资两个月以上且一直未得到解决的，发包人有权利不给予承包人当月计量的工程款，直至拖欠的民工工资得到支付，或者发包人有权利直接从承包人</w:t>
      </w:r>
      <w:r>
        <w:rPr>
          <w:rFonts w:ascii="宋体" w:hAnsi="宋体" w:eastAsia="宋体" w:cs="宋体"/>
          <w:spacing w:val="5"/>
          <w:sz w:val="24"/>
          <w:szCs w:val="24"/>
        </w:rPr>
        <w:t>按规定缴纳的工资保障金或应支付给承包人的工程款或是履约保证金中直接扣除</w:t>
      </w:r>
      <w:r>
        <w:rPr>
          <w:rFonts w:ascii="宋体" w:hAnsi="宋体" w:eastAsia="宋体" w:cs="宋体"/>
          <w:spacing w:val="4"/>
          <w:sz w:val="24"/>
          <w:szCs w:val="24"/>
        </w:rPr>
        <w:t>相应</w:t>
      </w:r>
      <w:r>
        <w:rPr>
          <w:rFonts w:ascii="宋体" w:hAnsi="宋体" w:eastAsia="宋体" w:cs="宋体"/>
          <w:spacing w:val="-3"/>
          <w:sz w:val="24"/>
          <w:szCs w:val="24"/>
        </w:rPr>
        <w:t>费用后向民工进行支付，承包人均无异议。</w:t>
      </w:r>
    </w:p>
    <w:p w14:paraId="09F32FBE">
      <w:pPr>
        <w:spacing w:line="220" w:lineRule="auto"/>
        <w:ind w:left="490"/>
        <w:rPr>
          <w:rFonts w:ascii="宋体" w:hAnsi="宋体" w:eastAsia="宋体" w:cs="宋体"/>
          <w:sz w:val="24"/>
          <w:szCs w:val="24"/>
        </w:rPr>
      </w:pPr>
      <w:r>
        <w:rPr>
          <w:rFonts w:ascii="宋体" w:hAnsi="宋体" w:eastAsia="宋体" w:cs="宋体"/>
          <w:spacing w:val="-1"/>
          <w:sz w:val="24"/>
          <w:szCs w:val="24"/>
        </w:rPr>
        <w:t>十、在合同工程实施过程中如有发生</w:t>
      </w:r>
    </w:p>
    <w:p w14:paraId="6A8B30B2">
      <w:pPr>
        <w:spacing w:before="181" w:line="220" w:lineRule="auto"/>
        <w:ind w:left="531"/>
        <w:rPr>
          <w:rFonts w:ascii="宋体" w:hAnsi="宋体" w:eastAsia="宋体" w:cs="宋体"/>
          <w:sz w:val="24"/>
          <w:szCs w:val="24"/>
        </w:rPr>
      </w:pPr>
      <w:r>
        <w:rPr>
          <w:rFonts w:ascii="宋体" w:hAnsi="宋体" w:eastAsia="宋体" w:cs="宋体"/>
          <w:spacing w:val="-2"/>
          <w:sz w:val="24"/>
          <w:szCs w:val="24"/>
        </w:rPr>
        <w:t>(1)不按规定签订劳动合同或签订劳动合同不规范情况；或</w:t>
      </w:r>
    </w:p>
    <w:p w14:paraId="4D43B388">
      <w:pPr>
        <w:spacing w:before="182" w:line="220" w:lineRule="auto"/>
        <w:ind w:left="531"/>
        <w:rPr>
          <w:rFonts w:ascii="宋体" w:hAnsi="宋体" w:eastAsia="宋体" w:cs="宋体"/>
          <w:sz w:val="24"/>
          <w:szCs w:val="24"/>
        </w:rPr>
      </w:pPr>
      <w:r>
        <w:rPr>
          <w:rFonts w:ascii="宋体" w:hAnsi="宋体" w:eastAsia="宋体" w:cs="宋体"/>
          <w:spacing w:val="-1"/>
          <w:sz w:val="24"/>
          <w:szCs w:val="24"/>
        </w:rPr>
        <w:t>(2)拖欠农民工工资、侵害农民工合法权益、农</w:t>
      </w:r>
      <w:r>
        <w:rPr>
          <w:rFonts w:ascii="宋体" w:hAnsi="宋体" w:eastAsia="宋体" w:cs="宋体"/>
          <w:spacing w:val="-2"/>
          <w:sz w:val="24"/>
          <w:szCs w:val="24"/>
        </w:rPr>
        <w:t>民工劳动安全保护欠缺的情况；或</w:t>
      </w:r>
    </w:p>
    <w:p w14:paraId="4C015247">
      <w:pPr>
        <w:spacing w:before="182" w:line="220" w:lineRule="auto"/>
        <w:ind w:left="531"/>
        <w:rPr>
          <w:rFonts w:ascii="宋体" w:hAnsi="宋体" w:eastAsia="宋体" w:cs="宋体"/>
          <w:sz w:val="24"/>
          <w:szCs w:val="24"/>
        </w:rPr>
      </w:pPr>
      <w:r>
        <w:rPr>
          <w:rFonts w:ascii="宋体" w:hAnsi="宋体" w:eastAsia="宋体" w:cs="宋体"/>
          <w:spacing w:val="-5"/>
          <w:sz w:val="24"/>
          <w:szCs w:val="24"/>
        </w:rPr>
        <w:t>(3)因欠薪导致的闹事、打斗、死伤、上访事件，</w:t>
      </w:r>
    </w:p>
    <w:p w14:paraId="3A1D1A13">
      <w:pPr>
        <w:spacing w:before="182" w:line="361" w:lineRule="auto"/>
        <w:ind w:left="11" w:right="85" w:firstLine="478"/>
        <w:jc w:val="both"/>
        <w:rPr>
          <w:rFonts w:ascii="宋体" w:hAnsi="宋体" w:eastAsia="宋体" w:cs="宋体"/>
          <w:sz w:val="24"/>
          <w:szCs w:val="24"/>
        </w:rPr>
      </w:pPr>
      <w:r>
        <w:rPr>
          <w:rFonts w:ascii="宋体" w:hAnsi="宋体" w:eastAsia="宋体" w:cs="宋体"/>
          <w:spacing w:val="1"/>
          <w:sz w:val="24"/>
          <w:szCs w:val="24"/>
        </w:rPr>
        <w:t>承包人愿接受监理人和/或发包人按合同或下发的管理办法规定的违约金。如果发</w:t>
      </w:r>
      <w:r>
        <w:rPr>
          <w:rFonts w:ascii="宋体" w:hAnsi="宋体" w:eastAsia="宋体" w:cs="宋体"/>
          <w:spacing w:val="-6"/>
          <w:sz w:val="24"/>
          <w:szCs w:val="24"/>
        </w:rPr>
        <w:t>生上述情况是因为我方违法分包、转包或出让资质、挂靠投标造成的，</w:t>
      </w:r>
      <w:r>
        <w:rPr>
          <w:rFonts w:ascii="宋体" w:hAnsi="宋体" w:eastAsia="宋体" w:cs="宋体"/>
          <w:spacing w:val="47"/>
          <w:sz w:val="24"/>
          <w:szCs w:val="24"/>
        </w:rPr>
        <w:t xml:space="preserve"> </w:t>
      </w:r>
      <w:r>
        <w:rPr>
          <w:rFonts w:ascii="宋体" w:hAnsi="宋体" w:eastAsia="宋体" w:cs="宋体"/>
          <w:spacing w:val="-6"/>
          <w:sz w:val="24"/>
          <w:szCs w:val="24"/>
        </w:rPr>
        <w:t>承包人对发包人</w:t>
      </w:r>
      <w:r>
        <w:rPr>
          <w:rFonts w:ascii="宋体" w:hAnsi="宋体" w:eastAsia="宋体" w:cs="宋体"/>
          <w:spacing w:val="-2"/>
          <w:sz w:val="24"/>
          <w:szCs w:val="24"/>
        </w:rPr>
        <w:t>或发包人的上级主管部门、政府机构提出的取消中标资格、终止合同、行政处罚等违约</w:t>
      </w:r>
      <w:r>
        <w:rPr>
          <w:rFonts w:ascii="宋体" w:hAnsi="宋体" w:eastAsia="宋体" w:cs="宋体"/>
          <w:spacing w:val="-4"/>
          <w:sz w:val="24"/>
          <w:szCs w:val="24"/>
        </w:rPr>
        <w:t>金表示理解并无条件接受。</w:t>
      </w:r>
    </w:p>
    <w:p w14:paraId="4E655C9E">
      <w:pPr>
        <w:pStyle w:val="2"/>
        <w:spacing w:line="280" w:lineRule="auto"/>
      </w:pPr>
    </w:p>
    <w:p w14:paraId="4868AA07">
      <w:pPr>
        <w:spacing w:line="242" w:lineRule="auto"/>
        <w:rPr>
          <w:rFonts w:ascii="宋体" w:hAnsi="宋体" w:eastAsia="宋体" w:cs="宋体"/>
          <w:sz w:val="18"/>
          <w:szCs w:val="18"/>
        </w:rPr>
        <w:sectPr>
          <w:footerReference r:id="rId148" w:type="default"/>
          <w:pgSz w:w="11905" w:h="16840"/>
          <w:pgMar w:top="1182" w:right="1331" w:bottom="1171" w:left="1416" w:header="849" w:footer="937" w:gutter="0"/>
          <w:pgNumType w:fmt="decimal"/>
          <w:cols w:space="720" w:num="1"/>
        </w:sectPr>
      </w:pPr>
    </w:p>
    <w:p w14:paraId="6DA20ADA">
      <w:pPr>
        <w:pStyle w:val="2"/>
        <w:spacing w:line="269" w:lineRule="auto"/>
      </w:pPr>
    </w:p>
    <w:p w14:paraId="24E5B2CF">
      <w:pPr>
        <w:spacing w:before="78" w:line="361" w:lineRule="auto"/>
        <w:ind w:left="9" w:firstLine="480"/>
        <w:jc w:val="both"/>
        <w:rPr>
          <w:rFonts w:ascii="宋体" w:hAnsi="宋体" w:eastAsia="宋体" w:cs="宋体"/>
          <w:sz w:val="24"/>
          <w:szCs w:val="24"/>
        </w:rPr>
      </w:pPr>
      <w:bookmarkStart w:id="47" w:name="bookmark21"/>
      <w:bookmarkEnd w:id="47"/>
      <w:r>
        <w:rPr>
          <w:rFonts w:ascii="宋体" w:hAnsi="宋体" w:eastAsia="宋体" w:cs="宋体"/>
          <w:spacing w:val="-6"/>
          <w:sz w:val="24"/>
          <w:szCs w:val="24"/>
        </w:rPr>
        <w:t>十一、本保证书作为本项目施工承包合同的有效组成部</w:t>
      </w:r>
      <w:r>
        <w:rPr>
          <w:rFonts w:ascii="宋体" w:hAnsi="宋体" w:eastAsia="宋体" w:cs="宋体"/>
          <w:spacing w:val="-7"/>
          <w:sz w:val="24"/>
          <w:szCs w:val="24"/>
        </w:rPr>
        <w:t>分，</w:t>
      </w:r>
      <w:r>
        <w:rPr>
          <w:rFonts w:ascii="宋体" w:hAnsi="宋体" w:eastAsia="宋体" w:cs="宋体"/>
          <w:spacing w:val="48"/>
          <w:sz w:val="24"/>
          <w:szCs w:val="24"/>
        </w:rPr>
        <w:t xml:space="preserve"> </w:t>
      </w:r>
      <w:r>
        <w:rPr>
          <w:rFonts w:ascii="宋体" w:hAnsi="宋体" w:eastAsia="宋体" w:cs="宋体"/>
          <w:spacing w:val="-7"/>
          <w:sz w:val="24"/>
          <w:szCs w:val="24"/>
        </w:rPr>
        <w:t>纳入合同一并签署，在</w:t>
      </w:r>
      <w:r>
        <w:rPr>
          <w:rFonts w:ascii="宋体" w:hAnsi="宋体" w:eastAsia="宋体" w:cs="宋体"/>
          <w:spacing w:val="-2"/>
          <w:sz w:val="24"/>
          <w:szCs w:val="24"/>
        </w:rPr>
        <w:t>承包人法定代表人或委托代理人签署并加盖公章后生效，并保证在施工承包合同有效期</w:t>
      </w:r>
      <w:r>
        <w:rPr>
          <w:rFonts w:ascii="宋体" w:hAnsi="宋体" w:eastAsia="宋体" w:cs="宋体"/>
          <w:spacing w:val="-5"/>
          <w:sz w:val="24"/>
          <w:szCs w:val="24"/>
        </w:rPr>
        <w:t>内一直保持有效。</w:t>
      </w:r>
    </w:p>
    <w:p w14:paraId="42AB8134">
      <w:pPr>
        <w:pStyle w:val="2"/>
        <w:spacing w:line="382" w:lineRule="auto"/>
      </w:pPr>
    </w:p>
    <w:p w14:paraId="720E35CA">
      <w:pPr>
        <w:spacing w:before="78" w:line="219" w:lineRule="auto"/>
        <w:ind w:left="3129"/>
        <w:rPr>
          <w:rFonts w:ascii="宋体" w:hAnsi="宋体" w:eastAsia="宋体" w:cs="宋体"/>
          <w:sz w:val="24"/>
          <w:szCs w:val="24"/>
        </w:rPr>
      </w:pPr>
      <w:r>
        <w:rPr>
          <w:rFonts w:ascii="宋体" w:hAnsi="宋体" w:eastAsia="宋体" w:cs="宋体"/>
          <w:spacing w:val="-3"/>
          <w:sz w:val="24"/>
          <w:szCs w:val="24"/>
        </w:rPr>
        <w:t>承 包</w:t>
      </w:r>
      <w:r>
        <w:rPr>
          <w:rFonts w:ascii="宋体" w:hAnsi="宋体" w:eastAsia="宋体" w:cs="宋体"/>
          <w:spacing w:val="12"/>
          <w:sz w:val="24"/>
          <w:szCs w:val="24"/>
        </w:rPr>
        <w:t xml:space="preserve"> </w:t>
      </w:r>
      <w:r>
        <w:rPr>
          <w:rFonts w:ascii="宋体" w:hAnsi="宋体" w:eastAsia="宋体" w:cs="宋体"/>
          <w:spacing w:val="-3"/>
          <w:sz w:val="24"/>
          <w:szCs w:val="24"/>
        </w:rPr>
        <w:t>人（盖章</w:t>
      </w:r>
      <w:r>
        <w:rPr>
          <w:rFonts w:ascii="宋体" w:hAnsi="宋体" w:eastAsia="宋体" w:cs="宋体"/>
          <w:spacing w:val="-1"/>
          <w:sz w:val="24"/>
          <w:szCs w:val="24"/>
        </w:rPr>
        <w:t>）：</w:t>
      </w:r>
      <w:r>
        <w:rPr>
          <w:rFonts w:ascii="宋体" w:hAnsi="宋体" w:eastAsia="宋体" w:cs="宋体"/>
          <w:sz w:val="24"/>
          <w:szCs w:val="24"/>
          <w:u w:val="single" w:color="auto"/>
        </w:rPr>
        <w:t xml:space="preserve">                 </w:t>
      </w:r>
    </w:p>
    <w:p w14:paraId="12FE14E2">
      <w:pPr>
        <w:tabs>
          <w:tab w:val="left" w:pos="6599"/>
        </w:tabs>
        <w:spacing w:before="183" w:line="362" w:lineRule="auto"/>
        <w:ind w:left="5999" w:right="552" w:hanging="2869"/>
        <w:rPr>
          <w:rFonts w:ascii="宋体" w:hAnsi="宋体" w:eastAsia="宋体" w:cs="宋体"/>
          <w:sz w:val="24"/>
          <w:szCs w:val="24"/>
        </w:rPr>
      </w:pPr>
      <w:r>
        <w:rPr>
          <w:rFonts w:ascii="宋体" w:hAnsi="宋体" w:eastAsia="宋体" w:cs="宋体"/>
          <w:spacing w:val="-1"/>
          <w:sz w:val="24"/>
          <w:szCs w:val="24"/>
        </w:rPr>
        <w:t>法定代表人或其委托代理人</w:t>
      </w:r>
      <w:r>
        <w:rPr>
          <w:rFonts w:ascii="宋体" w:hAnsi="宋体" w:eastAsia="宋体" w:cs="宋体"/>
          <w:spacing w:val="7"/>
          <w:sz w:val="24"/>
          <w:szCs w:val="24"/>
        </w:rPr>
        <w:t>：（</w:t>
      </w:r>
      <w:r>
        <w:rPr>
          <w:rFonts w:ascii="宋体" w:hAnsi="宋体" w:eastAsia="宋体" w:cs="宋体"/>
          <w:spacing w:val="-1"/>
          <w:sz w:val="24"/>
          <w:szCs w:val="24"/>
        </w:rPr>
        <w:t>签字）</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ab/>
      </w:r>
      <w:r>
        <w:rPr>
          <w:rFonts w:ascii="宋体" w:hAnsi="宋体" w:eastAsia="宋体" w:cs="宋体"/>
          <w:spacing w:val="-108"/>
          <w:sz w:val="24"/>
          <w:szCs w:val="24"/>
        </w:rPr>
        <w:t xml:space="preserve"> </w:t>
      </w:r>
      <w:r>
        <w:rPr>
          <w:rFonts w:ascii="宋体" w:hAnsi="宋体" w:eastAsia="宋体" w:cs="宋体"/>
          <w:spacing w:val="-26"/>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6"/>
          <w:sz w:val="24"/>
          <w:szCs w:val="24"/>
        </w:rPr>
        <w:t>月</w:t>
      </w:r>
      <w:r>
        <w:rPr>
          <w:rFonts w:ascii="宋体" w:hAnsi="宋体" w:eastAsia="宋体" w:cs="宋体"/>
          <w:sz w:val="24"/>
          <w:szCs w:val="24"/>
          <w:u w:val="single" w:color="auto"/>
        </w:rPr>
        <w:t xml:space="preserve">     </w:t>
      </w:r>
      <w:r>
        <w:rPr>
          <w:rFonts w:ascii="宋体" w:hAnsi="宋体" w:eastAsia="宋体" w:cs="宋体"/>
          <w:spacing w:val="-70"/>
          <w:sz w:val="24"/>
          <w:szCs w:val="24"/>
        </w:rPr>
        <w:t xml:space="preserve"> </w:t>
      </w:r>
      <w:r>
        <w:rPr>
          <w:rFonts w:ascii="宋体" w:hAnsi="宋体" w:eastAsia="宋体" w:cs="宋体"/>
          <w:spacing w:val="-26"/>
          <w:sz w:val="24"/>
          <w:szCs w:val="24"/>
        </w:rPr>
        <w:t>日</w:t>
      </w:r>
    </w:p>
    <w:p w14:paraId="7D870CE8">
      <w:pPr>
        <w:spacing w:line="362" w:lineRule="auto"/>
        <w:rPr>
          <w:rFonts w:ascii="宋体" w:hAnsi="宋体" w:eastAsia="宋体" w:cs="宋体"/>
          <w:sz w:val="24"/>
          <w:szCs w:val="24"/>
        </w:rPr>
        <w:sectPr>
          <w:footerReference r:id="rId149" w:type="default"/>
          <w:pgSz w:w="11905" w:h="16840"/>
          <w:pgMar w:top="1182" w:right="1416" w:bottom="1171" w:left="1416" w:header="849" w:footer="937" w:gutter="0"/>
          <w:pgNumType w:fmt="decimal"/>
          <w:cols w:space="720" w:num="1"/>
        </w:sectPr>
      </w:pPr>
    </w:p>
    <w:p w14:paraId="41EDBAC1">
      <w:pPr>
        <w:pStyle w:val="2"/>
        <w:spacing w:line="267" w:lineRule="auto"/>
      </w:pPr>
    </w:p>
    <w:p w14:paraId="59587E9E">
      <w:pPr>
        <w:spacing w:before="78" w:line="219" w:lineRule="auto"/>
        <w:ind w:left="28"/>
        <w:rPr>
          <w:rFonts w:ascii="宋体" w:hAnsi="宋体" w:eastAsia="宋体" w:cs="宋体"/>
          <w:sz w:val="24"/>
          <w:szCs w:val="24"/>
        </w:rPr>
      </w:pPr>
      <w:r>
        <w:rPr>
          <w:rFonts w:ascii="宋体" w:hAnsi="宋体" w:eastAsia="宋体" w:cs="宋体"/>
          <w:b/>
          <w:bCs/>
          <w:spacing w:val="-16"/>
          <w:sz w:val="24"/>
          <w:szCs w:val="24"/>
        </w:rPr>
        <w:t>附件十五：</w:t>
      </w:r>
    </w:p>
    <w:p w14:paraId="787846F7">
      <w:pPr>
        <w:spacing w:before="222" w:line="225" w:lineRule="auto"/>
        <w:ind w:left="2783"/>
        <w:rPr>
          <w:rFonts w:ascii="宋体" w:hAnsi="宋体" w:eastAsia="宋体" w:cs="宋体"/>
          <w:sz w:val="31"/>
          <w:szCs w:val="31"/>
        </w:rPr>
      </w:pPr>
      <w:r>
        <w:rPr>
          <w:rFonts w:ascii="宋体" w:hAnsi="宋体" w:eastAsia="宋体" w:cs="宋体"/>
          <w:b/>
          <w:bCs/>
          <w:spacing w:val="6"/>
          <w:sz w:val="31"/>
          <w:szCs w:val="31"/>
        </w:rPr>
        <w:t>房屋建筑工程质量保修书</w:t>
      </w:r>
    </w:p>
    <w:p w14:paraId="50B026C9">
      <w:pPr>
        <w:spacing w:before="246" w:line="225" w:lineRule="auto"/>
        <w:ind w:left="2475"/>
        <w:rPr>
          <w:rFonts w:ascii="宋体" w:hAnsi="宋体" w:eastAsia="宋体" w:cs="宋体"/>
          <w:sz w:val="31"/>
          <w:szCs w:val="31"/>
        </w:rPr>
      </w:pPr>
      <w:r>
        <w:rPr>
          <w:rFonts w:ascii="宋体" w:hAnsi="宋体" w:eastAsia="宋体" w:cs="宋体"/>
          <w:b/>
          <w:bCs/>
          <w:spacing w:val="4"/>
          <w:sz w:val="31"/>
          <w:szCs w:val="31"/>
        </w:rPr>
        <w:t>（仅适用于附属区房建工程）</w:t>
      </w:r>
    </w:p>
    <w:p w14:paraId="723C38A5">
      <w:pPr>
        <w:pStyle w:val="2"/>
        <w:spacing w:line="438" w:lineRule="auto"/>
      </w:pPr>
    </w:p>
    <w:p w14:paraId="4BDF9829">
      <w:pPr>
        <w:spacing w:before="78" w:line="220" w:lineRule="auto"/>
        <w:ind w:left="13"/>
        <w:rPr>
          <w:rFonts w:ascii="宋体" w:hAnsi="宋体" w:eastAsia="宋体" w:cs="宋体"/>
          <w:sz w:val="24"/>
          <w:szCs w:val="24"/>
        </w:rPr>
      </w:pPr>
      <w:r>
        <w:rPr>
          <w:rFonts w:ascii="宋体" w:hAnsi="宋体" w:eastAsia="宋体" w:cs="宋体"/>
          <w:spacing w:val="-2"/>
          <w:sz w:val="24"/>
          <w:szCs w:val="24"/>
        </w:rPr>
        <w:t>发包人（全称）：</w:t>
      </w:r>
      <w:r>
        <w:rPr>
          <w:rFonts w:ascii="宋体" w:hAnsi="宋体" w:eastAsia="宋体" w:cs="宋体"/>
          <w:sz w:val="24"/>
          <w:szCs w:val="24"/>
          <w:u w:val="single" w:color="auto"/>
        </w:rPr>
        <w:t xml:space="preserve">                             </w:t>
      </w:r>
    </w:p>
    <w:p w14:paraId="42444744">
      <w:pPr>
        <w:spacing w:before="181" w:line="220" w:lineRule="auto"/>
        <w:ind w:left="9"/>
        <w:rPr>
          <w:rFonts w:ascii="宋体" w:hAnsi="宋体" w:eastAsia="宋体" w:cs="宋体"/>
          <w:sz w:val="24"/>
          <w:szCs w:val="24"/>
        </w:rPr>
      </w:pPr>
      <w:r>
        <w:rPr>
          <w:rFonts w:ascii="宋体" w:hAnsi="宋体" w:eastAsia="宋体" w:cs="宋体"/>
          <w:spacing w:val="-2"/>
          <w:sz w:val="24"/>
          <w:szCs w:val="24"/>
        </w:rPr>
        <w:t>承包人（全称</w:t>
      </w:r>
      <w:r>
        <w:rPr>
          <w:rFonts w:ascii="宋体" w:hAnsi="宋体" w:eastAsia="宋体" w:cs="宋体"/>
          <w:sz w:val="24"/>
          <w:szCs w:val="24"/>
        </w:rPr>
        <w:t>）：</w:t>
      </w:r>
      <w:r>
        <w:rPr>
          <w:rFonts w:ascii="宋体" w:hAnsi="宋体" w:eastAsia="宋体" w:cs="宋体"/>
          <w:sz w:val="24"/>
          <w:szCs w:val="24"/>
          <w:u w:val="single" w:color="auto"/>
        </w:rPr>
        <w:t xml:space="preserve">                             </w:t>
      </w:r>
    </w:p>
    <w:p w14:paraId="3C5189F3">
      <w:pPr>
        <w:spacing w:before="183" w:line="360" w:lineRule="auto"/>
        <w:ind w:left="10" w:right="1" w:firstLine="482"/>
        <w:jc w:val="both"/>
        <w:rPr>
          <w:rFonts w:ascii="宋体" w:hAnsi="宋体" w:eastAsia="宋体" w:cs="宋体"/>
          <w:sz w:val="24"/>
          <w:szCs w:val="24"/>
        </w:rPr>
      </w:pPr>
      <w:r>
        <w:rPr>
          <w:rFonts w:ascii="宋体" w:hAnsi="宋体" w:eastAsia="宋体" w:cs="宋体"/>
          <w:spacing w:val="-2"/>
          <w:sz w:val="24"/>
          <w:szCs w:val="24"/>
        </w:rPr>
        <w:t>发包人、承包人根据《中华人民共和国建筑法》《建设工程质量管理条例》和《房</w:t>
      </w:r>
      <w:r>
        <w:rPr>
          <w:rFonts w:ascii="宋体" w:hAnsi="宋体" w:eastAsia="宋体" w:cs="宋体"/>
          <w:spacing w:val="-1"/>
          <w:sz w:val="24"/>
          <w:szCs w:val="24"/>
        </w:rPr>
        <w:t>屋建筑工程质量保修办法》， 经协商一致，</w:t>
      </w:r>
      <w:r>
        <w:rPr>
          <w:rFonts w:ascii="宋体" w:hAnsi="宋体" w:eastAsia="宋体" w:cs="宋体"/>
          <w:spacing w:val="-2"/>
          <w:sz w:val="24"/>
          <w:szCs w:val="24"/>
        </w:rPr>
        <w:t>对</w:t>
      </w:r>
      <w:r>
        <w:rPr>
          <w:rFonts w:ascii="宋体" w:hAnsi="宋体" w:eastAsia="宋体" w:cs="宋体"/>
          <w:spacing w:val="-112"/>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（工程全称）签定工程</w:t>
      </w:r>
      <w:r>
        <w:rPr>
          <w:rFonts w:ascii="宋体" w:hAnsi="宋体" w:eastAsia="宋体" w:cs="宋体"/>
          <w:spacing w:val="-7"/>
          <w:sz w:val="24"/>
          <w:szCs w:val="24"/>
        </w:rPr>
        <w:t>质量保修书。</w:t>
      </w:r>
    </w:p>
    <w:p w14:paraId="2D8DF918">
      <w:pPr>
        <w:spacing w:line="219" w:lineRule="auto"/>
        <w:ind w:left="489"/>
        <w:rPr>
          <w:rFonts w:ascii="宋体" w:hAnsi="宋体" w:eastAsia="宋体" w:cs="宋体"/>
          <w:sz w:val="24"/>
          <w:szCs w:val="24"/>
        </w:rPr>
      </w:pPr>
      <w:r>
        <w:rPr>
          <w:rFonts w:ascii="宋体" w:hAnsi="宋体" w:eastAsia="宋体" w:cs="宋体"/>
          <w:spacing w:val="-1"/>
          <w:sz w:val="24"/>
          <w:szCs w:val="24"/>
        </w:rPr>
        <w:t>第一条  工程质量保修范围和内容</w:t>
      </w:r>
    </w:p>
    <w:p w14:paraId="61804E7A">
      <w:pPr>
        <w:spacing w:before="183" w:line="360" w:lineRule="auto"/>
        <w:ind w:left="10" w:right="1" w:firstLine="479"/>
        <w:rPr>
          <w:rFonts w:ascii="宋体" w:hAnsi="宋体" w:eastAsia="宋体" w:cs="宋体"/>
          <w:sz w:val="24"/>
          <w:szCs w:val="24"/>
        </w:rPr>
      </w:pPr>
      <w:r>
        <w:rPr>
          <w:rFonts w:ascii="宋体" w:hAnsi="宋体" w:eastAsia="宋体" w:cs="宋体"/>
          <w:spacing w:val="-6"/>
          <w:sz w:val="24"/>
          <w:szCs w:val="24"/>
        </w:rPr>
        <w:t>承包人在质量保修期内，按照有关法律、法规、规</w:t>
      </w:r>
      <w:r>
        <w:rPr>
          <w:rFonts w:ascii="宋体" w:hAnsi="宋体" w:eastAsia="宋体" w:cs="宋体"/>
          <w:spacing w:val="-7"/>
          <w:sz w:val="24"/>
          <w:szCs w:val="24"/>
        </w:rPr>
        <w:t>章的管理规定和双方约定，</w:t>
      </w:r>
      <w:r>
        <w:rPr>
          <w:rFonts w:ascii="宋体" w:hAnsi="宋体" w:eastAsia="宋体" w:cs="宋体"/>
          <w:spacing w:val="51"/>
          <w:sz w:val="24"/>
          <w:szCs w:val="24"/>
        </w:rPr>
        <w:t xml:space="preserve"> </w:t>
      </w:r>
      <w:r>
        <w:rPr>
          <w:rFonts w:ascii="宋体" w:hAnsi="宋体" w:eastAsia="宋体" w:cs="宋体"/>
          <w:spacing w:val="-7"/>
          <w:sz w:val="24"/>
          <w:szCs w:val="24"/>
        </w:rPr>
        <w:t>承担</w:t>
      </w:r>
      <w:r>
        <w:rPr>
          <w:rFonts w:ascii="宋体" w:hAnsi="宋体" w:eastAsia="宋体" w:cs="宋体"/>
          <w:spacing w:val="-5"/>
          <w:sz w:val="24"/>
          <w:szCs w:val="24"/>
        </w:rPr>
        <w:t>本工程质量保修责任。</w:t>
      </w:r>
    </w:p>
    <w:p w14:paraId="68C84C30">
      <w:pPr>
        <w:spacing w:before="1" w:line="361" w:lineRule="auto"/>
        <w:ind w:left="9" w:firstLine="480"/>
        <w:jc w:val="both"/>
        <w:rPr>
          <w:rFonts w:ascii="宋体" w:hAnsi="宋体" w:eastAsia="宋体" w:cs="宋体"/>
          <w:sz w:val="24"/>
          <w:szCs w:val="24"/>
        </w:rPr>
      </w:pPr>
      <w:r>
        <w:rPr>
          <w:rFonts w:ascii="宋体" w:hAnsi="宋体" w:eastAsia="宋体" w:cs="宋体"/>
          <w:spacing w:val="-6"/>
          <w:sz w:val="24"/>
          <w:szCs w:val="24"/>
        </w:rPr>
        <w:t>质量保修范围包括地基基础工程、主体结构工程，</w:t>
      </w:r>
      <w:r>
        <w:rPr>
          <w:rFonts w:ascii="宋体" w:hAnsi="宋体" w:eastAsia="宋体" w:cs="宋体"/>
          <w:spacing w:val="48"/>
          <w:sz w:val="24"/>
          <w:szCs w:val="24"/>
        </w:rPr>
        <w:t xml:space="preserve"> </w:t>
      </w:r>
      <w:r>
        <w:rPr>
          <w:rFonts w:ascii="宋体" w:hAnsi="宋体" w:eastAsia="宋体" w:cs="宋体"/>
          <w:spacing w:val="-6"/>
          <w:sz w:val="24"/>
          <w:szCs w:val="24"/>
        </w:rPr>
        <w:t>屋面</w:t>
      </w:r>
      <w:r>
        <w:rPr>
          <w:rFonts w:ascii="宋体" w:hAnsi="宋体" w:eastAsia="宋体" w:cs="宋体"/>
          <w:spacing w:val="-7"/>
          <w:sz w:val="24"/>
          <w:szCs w:val="24"/>
        </w:rPr>
        <w:t>防水工程、有防水要求的卫</w:t>
      </w:r>
      <w:r>
        <w:rPr>
          <w:rFonts w:ascii="宋体" w:hAnsi="宋体" w:eastAsia="宋体" w:cs="宋体"/>
          <w:spacing w:val="-6"/>
          <w:sz w:val="24"/>
          <w:szCs w:val="24"/>
        </w:rPr>
        <w:t>生间、房间和外墙面的防渗漏，</w:t>
      </w:r>
      <w:r>
        <w:rPr>
          <w:rFonts w:ascii="宋体" w:hAnsi="宋体" w:eastAsia="宋体" w:cs="宋体"/>
          <w:spacing w:val="53"/>
          <w:sz w:val="24"/>
          <w:szCs w:val="24"/>
        </w:rPr>
        <w:t xml:space="preserve"> </w:t>
      </w:r>
      <w:r>
        <w:rPr>
          <w:rFonts w:ascii="宋体" w:hAnsi="宋体" w:eastAsia="宋体" w:cs="宋体"/>
          <w:spacing w:val="-6"/>
          <w:sz w:val="24"/>
          <w:szCs w:val="24"/>
        </w:rPr>
        <w:t>供热与供冷系统，电气管线、给排水管道、设备</w:t>
      </w:r>
      <w:r>
        <w:rPr>
          <w:rFonts w:ascii="宋体" w:hAnsi="宋体" w:eastAsia="宋体" w:cs="宋体"/>
          <w:spacing w:val="-7"/>
          <w:sz w:val="24"/>
          <w:szCs w:val="24"/>
        </w:rPr>
        <w:t>安装和</w:t>
      </w:r>
      <w:r>
        <w:rPr>
          <w:rFonts w:ascii="宋体" w:hAnsi="宋体" w:eastAsia="宋体" w:cs="宋体"/>
          <w:spacing w:val="-2"/>
          <w:sz w:val="24"/>
          <w:szCs w:val="24"/>
        </w:rPr>
        <w:t>装修工程，以及双方约定的其他项目。具体保修的内容，双方约定如下：</w:t>
      </w:r>
    </w:p>
    <w:p w14:paraId="77765A20">
      <w:pPr>
        <w:tabs>
          <w:tab w:val="left" w:pos="8399"/>
        </w:tabs>
        <w:spacing w:before="150" w:line="173" w:lineRule="auto"/>
        <w:ind w:left="480"/>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7"/>
          <w:sz w:val="8"/>
          <w:szCs w:val="8"/>
        </w:rPr>
        <w:t xml:space="preserve"> </w:t>
      </w:r>
      <w:r>
        <w:rPr>
          <w:rFonts w:ascii="宋体" w:hAnsi="宋体" w:eastAsia="宋体" w:cs="宋体"/>
          <w:spacing w:val="12"/>
          <w:sz w:val="8"/>
          <w:szCs w:val="8"/>
        </w:rPr>
        <w:t>。</w:t>
      </w:r>
    </w:p>
    <w:p w14:paraId="67BD92FC">
      <w:pPr>
        <w:spacing w:before="237" w:line="220" w:lineRule="auto"/>
        <w:ind w:left="489"/>
        <w:rPr>
          <w:rFonts w:ascii="宋体" w:hAnsi="宋体" w:eastAsia="宋体" w:cs="宋体"/>
          <w:sz w:val="24"/>
          <w:szCs w:val="24"/>
        </w:rPr>
      </w:pPr>
      <w:r>
        <w:rPr>
          <w:rFonts w:ascii="宋体" w:hAnsi="宋体" w:eastAsia="宋体" w:cs="宋体"/>
          <w:spacing w:val="-1"/>
          <w:sz w:val="24"/>
          <w:szCs w:val="24"/>
        </w:rPr>
        <w:t>第二条  质量保修期</w:t>
      </w:r>
    </w:p>
    <w:p w14:paraId="7A95BEC9">
      <w:pPr>
        <w:spacing w:before="183" w:line="219" w:lineRule="auto"/>
        <w:ind w:right="6"/>
        <w:jc w:val="right"/>
        <w:rPr>
          <w:rFonts w:ascii="宋体" w:hAnsi="宋体" w:eastAsia="宋体" w:cs="宋体"/>
          <w:sz w:val="24"/>
          <w:szCs w:val="24"/>
        </w:rPr>
      </w:pPr>
      <w:r>
        <w:rPr>
          <w:rFonts w:ascii="宋体" w:hAnsi="宋体" w:eastAsia="宋体" w:cs="宋体"/>
          <w:spacing w:val="-2"/>
          <w:sz w:val="24"/>
          <w:szCs w:val="24"/>
        </w:rPr>
        <w:t>双方根据《建设工程质量管理条例》及有关规定，约定本工程的质量保修期如下：</w:t>
      </w:r>
    </w:p>
    <w:p w14:paraId="6D4D7A67">
      <w:pPr>
        <w:spacing w:before="183" w:line="220" w:lineRule="auto"/>
        <w:ind w:left="570"/>
        <w:rPr>
          <w:rFonts w:ascii="宋体" w:hAnsi="宋体" w:eastAsia="宋体" w:cs="宋体"/>
          <w:sz w:val="24"/>
          <w:szCs w:val="24"/>
        </w:rPr>
      </w:pPr>
      <w:r>
        <w:rPr>
          <w:rFonts w:ascii="宋体" w:hAnsi="宋体" w:eastAsia="宋体" w:cs="宋体"/>
          <w:spacing w:val="-4"/>
          <w:sz w:val="24"/>
          <w:szCs w:val="24"/>
        </w:rPr>
        <w:t>⒈ 地基基础工程和主体结构工程为设计文</w:t>
      </w:r>
      <w:r>
        <w:rPr>
          <w:rFonts w:ascii="宋体" w:hAnsi="宋体" w:eastAsia="宋体" w:cs="宋体"/>
          <w:spacing w:val="-5"/>
          <w:sz w:val="24"/>
          <w:szCs w:val="24"/>
        </w:rPr>
        <w:t>件规定的该工程合理使用年限；</w:t>
      </w:r>
    </w:p>
    <w:p w14:paraId="25C08E3B">
      <w:pPr>
        <w:spacing w:before="182" w:line="220" w:lineRule="auto"/>
        <w:ind w:left="556"/>
        <w:rPr>
          <w:rFonts w:ascii="宋体" w:hAnsi="宋体" w:eastAsia="宋体" w:cs="宋体"/>
          <w:sz w:val="24"/>
          <w:szCs w:val="24"/>
        </w:rPr>
      </w:pPr>
      <w:r>
        <w:rPr>
          <w:rFonts w:ascii="宋体" w:hAnsi="宋体" w:eastAsia="宋体" w:cs="宋体"/>
          <w:spacing w:val="-3"/>
          <w:sz w:val="24"/>
          <w:szCs w:val="24"/>
        </w:rPr>
        <w:t>⒉ 屋面防水工程、有防水要求的卫生间、房间和外墙面的防渗漏为</w:t>
      </w:r>
      <w:r>
        <w:rPr>
          <w:rFonts w:ascii="宋体" w:hAnsi="宋体" w:eastAsia="宋体" w:cs="宋体"/>
          <w:spacing w:val="-3"/>
          <w:sz w:val="24"/>
          <w:szCs w:val="24"/>
          <w:u w:val="single" w:color="auto"/>
        </w:rPr>
        <w:t xml:space="preserve">  5  </w:t>
      </w:r>
      <w:r>
        <w:rPr>
          <w:rFonts w:ascii="宋体" w:hAnsi="宋体" w:eastAsia="宋体" w:cs="宋体"/>
          <w:spacing w:val="-110"/>
          <w:sz w:val="24"/>
          <w:szCs w:val="24"/>
        </w:rPr>
        <w:t xml:space="preserve"> </w:t>
      </w:r>
      <w:r>
        <w:rPr>
          <w:rFonts w:ascii="宋体" w:hAnsi="宋体" w:eastAsia="宋体" w:cs="宋体"/>
          <w:spacing w:val="-3"/>
          <w:sz w:val="24"/>
          <w:szCs w:val="24"/>
        </w:rPr>
        <w:t>年；</w:t>
      </w:r>
    </w:p>
    <w:p w14:paraId="67B8278B">
      <w:pPr>
        <w:spacing w:before="182" w:line="220" w:lineRule="auto"/>
        <w:ind w:left="558"/>
        <w:rPr>
          <w:rFonts w:ascii="宋体" w:hAnsi="宋体" w:eastAsia="宋体" w:cs="宋体"/>
          <w:sz w:val="24"/>
          <w:szCs w:val="24"/>
        </w:rPr>
      </w:pPr>
      <w:r>
        <w:rPr>
          <w:rFonts w:ascii="宋体" w:hAnsi="宋体" w:eastAsia="宋体" w:cs="宋体"/>
          <w:spacing w:val="-13"/>
          <w:sz w:val="24"/>
          <w:szCs w:val="24"/>
        </w:rPr>
        <w:t>⒊ 装修工程为</w:t>
      </w:r>
      <w:r>
        <w:rPr>
          <w:rFonts w:ascii="宋体" w:hAnsi="宋体" w:eastAsia="宋体" w:cs="宋体"/>
          <w:spacing w:val="8"/>
          <w:sz w:val="24"/>
          <w:szCs w:val="24"/>
          <w:u w:val="single" w:color="auto"/>
        </w:rPr>
        <w:t xml:space="preserve">  </w:t>
      </w:r>
      <w:r>
        <w:rPr>
          <w:rFonts w:ascii="宋体" w:hAnsi="宋体" w:eastAsia="宋体" w:cs="宋体"/>
          <w:spacing w:val="-13"/>
          <w:sz w:val="24"/>
          <w:szCs w:val="24"/>
          <w:u w:val="single" w:color="auto"/>
        </w:rPr>
        <w:t>2</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3"/>
          <w:sz w:val="24"/>
          <w:szCs w:val="24"/>
        </w:rPr>
        <w:t>年；</w:t>
      </w:r>
    </w:p>
    <w:p w14:paraId="3EAF5C20">
      <w:pPr>
        <w:spacing w:before="182" w:line="220" w:lineRule="auto"/>
        <w:ind w:left="549"/>
        <w:rPr>
          <w:rFonts w:ascii="宋体" w:hAnsi="宋体" w:eastAsia="宋体" w:cs="宋体"/>
          <w:sz w:val="24"/>
          <w:szCs w:val="24"/>
        </w:rPr>
      </w:pPr>
      <w:r>
        <w:rPr>
          <w:rFonts w:ascii="宋体" w:hAnsi="宋体" w:eastAsia="宋体" w:cs="宋体"/>
          <w:spacing w:val="-6"/>
          <w:sz w:val="24"/>
          <w:szCs w:val="24"/>
        </w:rPr>
        <w:t>⒋</w:t>
      </w:r>
      <w:r>
        <w:rPr>
          <w:rFonts w:ascii="宋体" w:hAnsi="宋体" w:eastAsia="宋体" w:cs="宋体"/>
          <w:spacing w:val="52"/>
          <w:sz w:val="24"/>
          <w:szCs w:val="24"/>
        </w:rPr>
        <w:t xml:space="preserve"> </w:t>
      </w:r>
      <w:r>
        <w:rPr>
          <w:rFonts w:ascii="宋体" w:hAnsi="宋体" w:eastAsia="宋体" w:cs="宋体"/>
          <w:spacing w:val="-6"/>
          <w:sz w:val="24"/>
          <w:szCs w:val="24"/>
        </w:rPr>
        <w:t>电气管线、给排水管道、设备安装工程为</w:t>
      </w:r>
      <w:r>
        <w:rPr>
          <w:rFonts w:ascii="宋体" w:hAnsi="宋体" w:eastAsia="宋体" w:cs="宋体"/>
          <w:spacing w:val="-6"/>
          <w:sz w:val="24"/>
          <w:szCs w:val="24"/>
          <w:u w:val="single" w:color="auto"/>
        </w:rPr>
        <w:t xml:space="preserve">  2  </w:t>
      </w:r>
      <w:r>
        <w:rPr>
          <w:rFonts w:ascii="宋体" w:hAnsi="宋体" w:eastAsia="宋体" w:cs="宋体"/>
          <w:spacing w:val="-110"/>
          <w:sz w:val="24"/>
          <w:szCs w:val="24"/>
        </w:rPr>
        <w:t xml:space="preserve"> </w:t>
      </w:r>
      <w:r>
        <w:rPr>
          <w:rFonts w:ascii="宋体" w:hAnsi="宋体" w:eastAsia="宋体" w:cs="宋体"/>
          <w:spacing w:val="-6"/>
          <w:sz w:val="24"/>
          <w:szCs w:val="24"/>
        </w:rPr>
        <w:t>年；</w:t>
      </w:r>
    </w:p>
    <w:p w14:paraId="73F366BC">
      <w:pPr>
        <w:spacing w:before="182" w:line="219" w:lineRule="auto"/>
        <w:ind w:left="555"/>
        <w:rPr>
          <w:rFonts w:ascii="宋体" w:hAnsi="宋体" w:eastAsia="宋体" w:cs="宋体"/>
          <w:sz w:val="24"/>
          <w:szCs w:val="24"/>
        </w:rPr>
      </w:pPr>
      <w:r>
        <w:rPr>
          <w:rFonts w:ascii="宋体" w:hAnsi="宋体" w:eastAsia="宋体" w:cs="宋体"/>
          <w:spacing w:val="-6"/>
          <w:sz w:val="24"/>
          <w:szCs w:val="24"/>
        </w:rPr>
        <w:t>⒌ 供热与供冷系统为</w:t>
      </w:r>
      <w:r>
        <w:rPr>
          <w:rFonts w:ascii="宋体" w:hAnsi="宋体" w:eastAsia="宋体" w:cs="宋体"/>
          <w:spacing w:val="-6"/>
          <w:sz w:val="24"/>
          <w:szCs w:val="24"/>
          <w:u w:val="single" w:color="auto"/>
        </w:rPr>
        <w:t xml:space="preserve">  2  </w:t>
      </w:r>
      <w:r>
        <w:rPr>
          <w:rFonts w:ascii="宋体" w:hAnsi="宋体" w:eastAsia="宋体" w:cs="宋体"/>
          <w:spacing w:val="-102"/>
          <w:sz w:val="24"/>
          <w:szCs w:val="24"/>
        </w:rPr>
        <w:t xml:space="preserve"> </w:t>
      </w:r>
      <w:r>
        <w:rPr>
          <w:rFonts w:ascii="宋体" w:hAnsi="宋体" w:eastAsia="宋体" w:cs="宋体"/>
          <w:spacing w:val="-6"/>
          <w:sz w:val="24"/>
          <w:szCs w:val="24"/>
        </w:rPr>
        <w:t>个采暖期、供冷期；</w:t>
      </w:r>
    </w:p>
    <w:p w14:paraId="64391942">
      <w:pPr>
        <w:spacing w:before="183" w:line="220" w:lineRule="auto"/>
        <w:ind w:left="558"/>
        <w:rPr>
          <w:rFonts w:ascii="宋体" w:hAnsi="宋体" w:eastAsia="宋体" w:cs="宋体"/>
          <w:sz w:val="24"/>
          <w:szCs w:val="24"/>
        </w:rPr>
      </w:pPr>
      <w:r>
        <w:rPr>
          <w:rFonts w:ascii="宋体" w:hAnsi="宋体" w:eastAsia="宋体" w:cs="宋体"/>
          <w:spacing w:val="-4"/>
          <w:sz w:val="24"/>
          <w:szCs w:val="24"/>
        </w:rPr>
        <w:t>⒍ 住宅小区内的给排水设施、道路、电力等配套工程为</w:t>
      </w:r>
      <w:r>
        <w:rPr>
          <w:rFonts w:ascii="宋体" w:hAnsi="宋体" w:eastAsia="宋体" w:cs="宋体"/>
          <w:spacing w:val="-4"/>
          <w:sz w:val="24"/>
          <w:szCs w:val="24"/>
          <w:u w:val="single" w:color="auto"/>
        </w:rPr>
        <w:t xml:space="preserve">  2  </w:t>
      </w:r>
      <w:r>
        <w:rPr>
          <w:rFonts w:ascii="宋体" w:hAnsi="宋体" w:eastAsia="宋体" w:cs="宋体"/>
          <w:spacing w:val="-95"/>
          <w:sz w:val="24"/>
          <w:szCs w:val="24"/>
        </w:rPr>
        <w:t xml:space="preserve"> </w:t>
      </w:r>
      <w:r>
        <w:rPr>
          <w:rFonts w:ascii="宋体" w:hAnsi="宋体" w:eastAsia="宋体" w:cs="宋体"/>
          <w:spacing w:val="-4"/>
          <w:sz w:val="24"/>
          <w:szCs w:val="24"/>
        </w:rPr>
        <w:t>年；</w:t>
      </w:r>
    </w:p>
    <w:p w14:paraId="5E11B0A9">
      <w:pPr>
        <w:spacing w:before="182" w:line="220" w:lineRule="auto"/>
        <w:ind w:left="552"/>
        <w:rPr>
          <w:rFonts w:ascii="宋体" w:hAnsi="宋体" w:eastAsia="宋体" w:cs="宋体"/>
          <w:sz w:val="24"/>
          <w:szCs w:val="24"/>
        </w:rPr>
      </w:pPr>
      <w:r>
        <w:rPr>
          <w:rFonts w:ascii="宋体" w:hAnsi="宋体" w:eastAsia="宋体" w:cs="宋体"/>
          <w:spacing w:val="-9"/>
          <w:sz w:val="24"/>
          <w:szCs w:val="24"/>
        </w:rPr>
        <w:t>⒎ 其他项目保修期限约定如下：</w:t>
      </w:r>
    </w:p>
    <w:p w14:paraId="62254BB7">
      <w:pPr>
        <w:pStyle w:val="2"/>
        <w:spacing w:line="309" w:lineRule="auto"/>
      </w:pPr>
    </w:p>
    <w:p w14:paraId="47AAA861">
      <w:pPr>
        <w:tabs>
          <w:tab w:val="left" w:pos="7439"/>
        </w:tabs>
        <w:spacing w:before="27" w:line="173" w:lineRule="auto"/>
        <w:ind w:left="479"/>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7"/>
          <w:sz w:val="8"/>
          <w:szCs w:val="8"/>
        </w:rPr>
        <w:t xml:space="preserve"> </w:t>
      </w:r>
      <w:r>
        <w:rPr>
          <w:rFonts w:ascii="宋体" w:hAnsi="宋体" w:eastAsia="宋体" w:cs="宋体"/>
          <w:spacing w:val="12"/>
          <w:sz w:val="8"/>
          <w:szCs w:val="8"/>
        </w:rPr>
        <w:t>。</w:t>
      </w:r>
    </w:p>
    <w:p w14:paraId="50708462">
      <w:pPr>
        <w:spacing w:before="237" w:line="220" w:lineRule="auto"/>
        <w:ind w:left="490"/>
        <w:rPr>
          <w:rFonts w:ascii="宋体" w:hAnsi="宋体" w:eastAsia="宋体" w:cs="宋体"/>
          <w:sz w:val="24"/>
          <w:szCs w:val="24"/>
        </w:rPr>
      </w:pPr>
      <w:r>
        <w:rPr>
          <w:rFonts w:ascii="宋体" w:hAnsi="宋体" w:eastAsia="宋体" w:cs="宋体"/>
          <w:spacing w:val="-3"/>
          <w:sz w:val="24"/>
          <w:szCs w:val="24"/>
        </w:rPr>
        <w:t>质量保修期自工程竣工验收合格之日起计算。</w:t>
      </w:r>
    </w:p>
    <w:p w14:paraId="4625EBD9">
      <w:pPr>
        <w:spacing w:before="182" w:line="220" w:lineRule="auto"/>
        <w:ind w:left="489"/>
        <w:rPr>
          <w:rFonts w:ascii="宋体" w:hAnsi="宋体" w:eastAsia="宋体" w:cs="宋体"/>
          <w:sz w:val="24"/>
          <w:szCs w:val="24"/>
        </w:rPr>
      </w:pPr>
      <w:r>
        <w:rPr>
          <w:rFonts w:ascii="宋体" w:hAnsi="宋体" w:eastAsia="宋体" w:cs="宋体"/>
          <w:spacing w:val="-1"/>
          <w:sz w:val="24"/>
          <w:szCs w:val="24"/>
        </w:rPr>
        <w:t>第三条  质量保修责任</w:t>
      </w:r>
    </w:p>
    <w:p w14:paraId="30576634">
      <w:pPr>
        <w:spacing w:before="182" w:line="220" w:lineRule="auto"/>
        <w:ind w:right="1"/>
        <w:jc w:val="right"/>
        <w:rPr>
          <w:rFonts w:ascii="宋体" w:hAnsi="宋体" w:eastAsia="宋体" w:cs="宋体"/>
          <w:sz w:val="24"/>
          <w:szCs w:val="24"/>
        </w:rPr>
      </w:pPr>
      <w:r>
        <w:rPr>
          <w:rFonts w:ascii="宋体" w:hAnsi="宋体" w:eastAsia="宋体" w:cs="宋体"/>
          <w:spacing w:val="-2"/>
          <w:sz w:val="24"/>
          <w:szCs w:val="24"/>
        </w:rPr>
        <w:t>⒈ 属于保修范围、内容的项目，承包人应当在接到保修通知之日起</w:t>
      </w:r>
      <w:r>
        <w:rPr>
          <w:rFonts w:ascii="宋体" w:hAnsi="宋体" w:eastAsia="宋体" w:cs="宋体"/>
          <w:spacing w:val="-24"/>
          <w:sz w:val="24"/>
          <w:szCs w:val="24"/>
        </w:rPr>
        <w:t xml:space="preserve"> </w:t>
      </w:r>
      <w:r>
        <w:rPr>
          <w:rFonts w:ascii="宋体" w:hAnsi="宋体" w:eastAsia="宋体" w:cs="宋体"/>
          <w:spacing w:val="-2"/>
          <w:sz w:val="24"/>
          <w:szCs w:val="24"/>
        </w:rPr>
        <w:t>7</w:t>
      </w:r>
      <w:r>
        <w:rPr>
          <w:rFonts w:ascii="宋体" w:hAnsi="宋体" w:eastAsia="宋体" w:cs="宋体"/>
          <w:spacing w:val="-44"/>
          <w:sz w:val="24"/>
          <w:szCs w:val="24"/>
        </w:rPr>
        <w:t xml:space="preserve"> </w:t>
      </w:r>
      <w:r>
        <w:rPr>
          <w:rFonts w:ascii="宋体" w:hAnsi="宋体" w:eastAsia="宋体" w:cs="宋体"/>
          <w:spacing w:val="-2"/>
          <w:sz w:val="24"/>
          <w:szCs w:val="24"/>
        </w:rPr>
        <w:t>天内派人保</w:t>
      </w:r>
    </w:p>
    <w:p w14:paraId="72A42FE5">
      <w:pPr>
        <w:spacing w:line="220" w:lineRule="auto"/>
        <w:rPr>
          <w:rFonts w:ascii="宋体" w:hAnsi="宋体" w:eastAsia="宋体" w:cs="宋体"/>
          <w:sz w:val="24"/>
          <w:szCs w:val="24"/>
        </w:rPr>
        <w:sectPr>
          <w:headerReference r:id="rId150" w:type="default"/>
          <w:footerReference r:id="rId151" w:type="default"/>
          <w:pgSz w:w="11905" w:h="16840"/>
          <w:pgMar w:top="1182" w:right="1415" w:bottom="1171" w:left="1416" w:header="849" w:footer="937" w:gutter="0"/>
          <w:pgNumType w:fmt="decimal"/>
          <w:cols w:space="720" w:num="1"/>
        </w:sectPr>
      </w:pPr>
    </w:p>
    <w:p w14:paraId="79C64133">
      <w:pPr>
        <w:pStyle w:val="2"/>
        <w:spacing w:line="267" w:lineRule="auto"/>
      </w:pPr>
    </w:p>
    <w:p w14:paraId="6D152B34">
      <w:pPr>
        <w:spacing w:before="78" w:line="220" w:lineRule="auto"/>
        <w:ind w:left="9"/>
        <w:rPr>
          <w:rFonts w:ascii="宋体" w:hAnsi="宋体" w:eastAsia="宋体" w:cs="宋体"/>
          <w:sz w:val="24"/>
          <w:szCs w:val="24"/>
        </w:rPr>
      </w:pPr>
      <w:r>
        <w:rPr>
          <w:rFonts w:ascii="宋体" w:hAnsi="宋体" w:eastAsia="宋体" w:cs="宋体"/>
          <w:spacing w:val="-2"/>
          <w:sz w:val="24"/>
          <w:szCs w:val="24"/>
        </w:rPr>
        <w:t>修。承包人不在约定期限内派人保修的，发包人可以委托他人修理。</w:t>
      </w:r>
    </w:p>
    <w:p w14:paraId="037059FA">
      <w:pPr>
        <w:spacing w:before="182" w:line="220" w:lineRule="auto"/>
        <w:jc w:val="right"/>
        <w:rPr>
          <w:rFonts w:ascii="宋体" w:hAnsi="宋体" w:eastAsia="宋体" w:cs="宋体"/>
          <w:sz w:val="24"/>
          <w:szCs w:val="24"/>
        </w:rPr>
      </w:pPr>
      <w:r>
        <w:rPr>
          <w:rFonts w:ascii="宋体" w:hAnsi="宋体" w:eastAsia="宋体" w:cs="宋体"/>
          <w:spacing w:val="-4"/>
          <w:sz w:val="24"/>
          <w:szCs w:val="24"/>
        </w:rPr>
        <w:t>⒉ 发生紧急抢修事故的，承包人在接到事故通知后，</w:t>
      </w:r>
      <w:r>
        <w:rPr>
          <w:rFonts w:ascii="宋体" w:hAnsi="宋体" w:eastAsia="宋体" w:cs="宋体"/>
          <w:spacing w:val="-5"/>
          <w:sz w:val="24"/>
          <w:szCs w:val="24"/>
        </w:rPr>
        <w:t>应当立即到达事故现场抢修。</w:t>
      </w:r>
    </w:p>
    <w:p w14:paraId="43228C96">
      <w:pPr>
        <w:spacing w:before="182" w:line="360" w:lineRule="auto"/>
        <w:ind w:left="9" w:right="85" w:firstLine="549"/>
        <w:rPr>
          <w:rFonts w:ascii="宋体" w:hAnsi="宋体" w:eastAsia="宋体" w:cs="宋体"/>
          <w:sz w:val="24"/>
          <w:szCs w:val="24"/>
        </w:rPr>
      </w:pPr>
      <w:r>
        <w:rPr>
          <w:rFonts w:ascii="宋体" w:hAnsi="宋体" w:eastAsia="宋体" w:cs="宋体"/>
          <w:spacing w:val="-1"/>
          <w:sz w:val="24"/>
          <w:szCs w:val="24"/>
        </w:rPr>
        <w:t>⒊ 对于涉及结构安全的质量问题，应当按照《房屋建筑工程质量保修办法》的规</w:t>
      </w:r>
      <w:r>
        <w:rPr>
          <w:rFonts w:ascii="宋体" w:hAnsi="宋体" w:eastAsia="宋体" w:cs="宋体"/>
          <w:spacing w:val="-2"/>
          <w:sz w:val="24"/>
          <w:szCs w:val="24"/>
        </w:rPr>
        <w:t>定，立即向当地建设行政主管部门报告，采取安全防范措施；由原设计单位或者具有相应资质等级的设计单位提出保修方案，承包人实施保修。</w:t>
      </w:r>
    </w:p>
    <w:p w14:paraId="2144EC01">
      <w:pPr>
        <w:spacing w:line="219" w:lineRule="auto"/>
        <w:ind w:left="549"/>
        <w:rPr>
          <w:rFonts w:ascii="宋体" w:hAnsi="宋体" w:eastAsia="宋体" w:cs="宋体"/>
          <w:sz w:val="24"/>
          <w:szCs w:val="24"/>
        </w:rPr>
      </w:pPr>
      <w:r>
        <w:rPr>
          <w:rFonts w:ascii="宋体" w:hAnsi="宋体" w:eastAsia="宋体" w:cs="宋体"/>
          <w:spacing w:val="-6"/>
          <w:sz w:val="24"/>
          <w:szCs w:val="24"/>
        </w:rPr>
        <w:t>⒋ 质量保修完成后，由发包人组织验收。</w:t>
      </w:r>
    </w:p>
    <w:p w14:paraId="6AFD049A">
      <w:pPr>
        <w:spacing w:before="182" w:line="220" w:lineRule="auto"/>
        <w:ind w:left="489"/>
        <w:rPr>
          <w:rFonts w:ascii="宋体" w:hAnsi="宋体" w:eastAsia="宋体" w:cs="宋体"/>
          <w:sz w:val="24"/>
          <w:szCs w:val="24"/>
        </w:rPr>
      </w:pPr>
      <w:r>
        <w:rPr>
          <w:rFonts w:ascii="宋体" w:hAnsi="宋体" w:eastAsia="宋体" w:cs="宋体"/>
          <w:spacing w:val="-1"/>
          <w:sz w:val="24"/>
          <w:szCs w:val="24"/>
        </w:rPr>
        <w:t>第四条  保修费用</w:t>
      </w:r>
    </w:p>
    <w:p w14:paraId="184ABD68">
      <w:pPr>
        <w:spacing w:before="181" w:line="220" w:lineRule="auto"/>
        <w:ind w:left="490"/>
        <w:rPr>
          <w:rFonts w:ascii="宋体" w:hAnsi="宋体" w:eastAsia="宋体" w:cs="宋体"/>
          <w:sz w:val="24"/>
          <w:szCs w:val="24"/>
        </w:rPr>
      </w:pPr>
      <w:r>
        <w:rPr>
          <w:rFonts w:ascii="宋体" w:hAnsi="宋体" w:eastAsia="宋体" w:cs="宋体"/>
          <w:spacing w:val="-3"/>
          <w:sz w:val="24"/>
          <w:szCs w:val="24"/>
        </w:rPr>
        <w:t>保修费用由造成质量缺陷的责任方承担。</w:t>
      </w:r>
    </w:p>
    <w:p w14:paraId="2C20757A">
      <w:pPr>
        <w:spacing w:before="182" w:line="220" w:lineRule="auto"/>
        <w:ind w:left="489"/>
        <w:rPr>
          <w:rFonts w:ascii="宋体" w:hAnsi="宋体" w:eastAsia="宋体" w:cs="宋体"/>
          <w:sz w:val="24"/>
          <w:szCs w:val="24"/>
        </w:rPr>
      </w:pPr>
      <w:r>
        <w:rPr>
          <w:rFonts w:ascii="宋体" w:hAnsi="宋体" w:eastAsia="宋体" w:cs="宋体"/>
          <w:spacing w:val="-3"/>
          <w:sz w:val="24"/>
          <w:szCs w:val="24"/>
        </w:rPr>
        <w:t>第五条</w:t>
      </w:r>
      <w:r>
        <w:rPr>
          <w:rFonts w:ascii="宋体" w:hAnsi="宋体" w:eastAsia="宋体" w:cs="宋体"/>
          <w:spacing w:val="5"/>
          <w:sz w:val="24"/>
          <w:szCs w:val="24"/>
        </w:rPr>
        <w:t xml:space="preserve">  </w:t>
      </w:r>
      <w:r>
        <w:rPr>
          <w:rFonts w:ascii="宋体" w:hAnsi="宋体" w:eastAsia="宋体" w:cs="宋体"/>
          <w:spacing w:val="-3"/>
          <w:sz w:val="24"/>
          <w:szCs w:val="24"/>
        </w:rPr>
        <w:t>其他</w:t>
      </w:r>
    </w:p>
    <w:p w14:paraId="6FF0B9E0">
      <w:pPr>
        <w:spacing w:before="182" w:line="220" w:lineRule="auto"/>
        <w:ind w:left="489"/>
        <w:rPr>
          <w:rFonts w:ascii="宋体" w:hAnsi="宋体" w:eastAsia="宋体" w:cs="宋体"/>
          <w:sz w:val="24"/>
          <w:szCs w:val="24"/>
        </w:rPr>
      </w:pPr>
      <w:r>
        <w:rPr>
          <w:rFonts w:ascii="宋体" w:hAnsi="宋体" w:eastAsia="宋体" w:cs="宋体"/>
          <w:sz w:val="24"/>
          <w:szCs w:val="24"/>
        </w:rPr>
        <w:t>双方约定的其他工程质量保修事项：</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20434C58">
      <w:pPr>
        <w:spacing w:before="182" w:line="362" w:lineRule="auto"/>
        <w:ind w:left="8" w:right="85" w:firstLine="481"/>
        <w:rPr>
          <w:rFonts w:ascii="宋体" w:hAnsi="宋体" w:eastAsia="宋体" w:cs="宋体"/>
          <w:sz w:val="24"/>
          <w:szCs w:val="24"/>
        </w:rPr>
      </w:pPr>
      <w:r>
        <w:rPr>
          <w:rFonts w:ascii="宋体" w:hAnsi="宋体" w:eastAsia="宋体" w:cs="宋体"/>
          <w:spacing w:val="-6"/>
          <w:sz w:val="24"/>
          <w:szCs w:val="24"/>
        </w:rPr>
        <w:t>本工程质量保修书，由施工合同发包人、承包人双方在</w:t>
      </w:r>
      <w:r>
        <w:rPr>
          <w:rFonts w:ascii="宋体" w:hAnsi="宋体" w:eastAsia="宋体" w:cs="宋体"/>
          <w:spacing w:val="-7"/>
          <w:sz w:val="24"/>
          <w:szCs w:val="24"/>
        </w:rPr>
        <w:t>竣工验收前共同签署，</w:t>
      </w:r>
      <w:r>
        <w:rPr>
          <w:rFonts w:ascii="宋体" w:hAnsi="宋体" w:eastAsia="宋体" w:cs="宋体"/>
          <w:spacing w:val="48"/>
          <w:sz w:val="24"/>
          <w:szCs w:val="24"/>
        </w:rPr>
        <w:t xml:space="preserve"> </w:t>
      </w:r>
      <w:r>
        <w:rPr>
          <w:rFonts w:ascii="宋体" w:hAnsi="宋体" w:eastAsia="宋体" w:cs="宋体"/>
          <w:spacing w:val="-7"/>
          <w:sz w:val="24"/>
          <w:szCs w:val="24"/>
        </w:rPr>
        <w:t>作为</w:t>
      </w:r>
      <w:r>
        <w:rPr>
          <w:rFonts w:ascii="宋体" w:hAnsi="宋体" w:eastAsia="宋体" w:cs="宋体"/>
          <w:spacing w:val="-3"/>
          <w:sz w:val="24"/>
          <w:szCs w:val="24"/>
        </w:rPr>
        <w:t>施工合同附件，其有效期限至保修期满。</w:t>
      </w:r>
    </w:p>
    <w:p w14:paraId="49E5B44A">
      <w:pPr>
        <w:spacing w:before="174"/>
      </w:pPr>
    </w:p>
    <w:p w14:paraId="3DE596C9">
      <w:pPr>
        <w:sectPr>
          <w:footerReference r:id="rId152" w:type="default"/>
          <w:pgSz w:w="11905" w:h="16840"/>
          <w:pgMar w:top="1182" w:right="1331" w:bottom="1171" w:left="1416" w:header="849" w:footer="937" w:gutter="0"/>
          <w:pgNumType w:fmt="decimal"/>
          <w:cols w:equalWidth="0" w:num="1">
            <w:col w:w="9158"/>
          </w:cols>
        </w:sectPr>
      </w:pPr>
    </w:p>
    <w:p w14:paraId="50098948">
      <w:pPr>
        <w:spacing w:before="48" w:line="219" w:lineRule="auto"/>
        <w:ind w:left="13"/>
        <w:rPr>
          <w:rFonts w:ascii="宋体" w:hAnsi="宋体" w:eastAsia="宋体" w:cs="宋体"/>
          <w:sz w:val="24"/>
          <w:szCs w:val="24"/>
        </w:rPr>
      </w:pPr>
      <w:r>
        <w:rPr>
          <w:rFonts w:ascii="宋体" w:hAnsi="宋体" w:eastAsia="宋体" w:cs="宋体"/>
          <w:spacing w:val="-12"/>
          <w:sz w:val="24"/>
          <w:szCs w:val="24"/>
        </w:rPr>
        <w:t>发</w:t>
      </w:r>
      <w:r>
        <w:rPr>
          <w:rFonts w:ascii="宋体" w:hAnsi="宋体" w:eastAsia="宋体" w:cs="宋体"/>
          <w:spacing w:val="10"/>
          <w:sz w:val="24"/>
          <w:szCs w:val="24"/>
        </w:rPr>
        <w:t xml:space="preserve"> </w:t>
      </w:r>
      <w:r>
        <w:rPr>
          <w:rFonts w:ascii="宋体" w:hAnsi="宋体" w:eastAsia="宋体" w:cs="宋体"/>
          <w:spacing w:val="-12"/>
          <w:sz w:val="24"/>
          <w:szCs w:val="24"/>
        </w:rPr>
        <w:t>包</w:t>
      </w:r>
      <w:r>
        <w:rPr>
          <w:rFonts w:ascii="宋体" w:hAnsi="宋体" w:eastAsia="宋体" w:cs="宋体"/>
          <w:spacing w:val="11"/>
          <w:sz w:val="24"/>
          <w:szCs w:val="24"/>
        </w:rPr>
        <w:t xml:space="preserve"> </w:t>
      </w:r>
      <w:r>
        <w:rPr>
          <w:rFonts w:ascii="宋体" w:hAnsi="宋体" w:eastAsia="宋体" w:cs="宋体"/>
          <w:spacing w:val="-12"/>
          <w:sz w:val="24"/>
          <w:szCs w:val="24"/>
        </w:rPr>
        <w:t>人（公章</w:t>
      </w:r>
      <w:r>
        <w:rPr>
          <w:rFonts w:ascii="宋体" w:hAnsi="宋体" w:eastAsia="宋体" w:cs="宋体"/>
          <w:spacing w:val="-4"/>
          <w:sz w:val="24"/>
          <w:szCs w:val="24"/>
        </w:rPr>
        <w:t>）：</w:t>
      </w:r>
    </w:p>
    <w:p w14:paraId="0AEA45F5">
      <w:pPr>
        <w:spacing w:before="183" w:line="220" w:lineRule="auto"/>
        <w:ind w:left="10"/>
        <w:rPr>
          <w:rFonts w:ascii="宋体" w:hAnsi="宋体" w:eastAsia="宋体" w:cs="宋体"/>
          <w:sz w:val="24"/>
          <w:szCs w:val="24"/>
        </w:rPr>
      </w:pPr>
      <w:r>
        <w:rPr>
          <w:rFonts w:ascii="宋体" w:hAnsi="宋体" w:eastAsia="宋体" w:cs="宋体"/>
          <w:spacing w:val="-2"/>
          <w:sz w:val="24"/>
          <w:szCs w:val="24"/>
        </w:rPr>
        <w:t>法定代表人</w:t>
      </w:r>
    </w:p>
    <w:p w14:paraId="559A65E6">
      <w:pPr>
        <w:spacing w:before="183" w:line="223" w:lineRule="auto"/>
        <w:ind w:left="12"/>
        <w:rPr>
          <w:rFonts w:ascii="宋体" w:hAnsi="宋体" w:eastAsia="宋体" w:cs="宋体"/>
          <w:sz w:val="24"/>
          <w:szCs w:val="24"/>
        </w:rPr>
      </w:pPr>
      <w:r>
        <w:rPr>
          <w:rFonts w:ascii="宋体" w:hAnsi="宋体" w:eastAsia="宋体" w:cs="宋体"/>
          <w:sz w:val="24"/>
          <w:szCs w:val="24"/>
        </w:rPr>
        <w:t>或</w:t>
      </w:r>
    </w:p>
    <w:p w14:paraId="1989A2A7">
      <w:pPr>
        <w:spacing w:before="177" w:line="220" w:lineRule="auto"/>
        <w:ind w:left="10"/>
        <w:rPr>
          <w:rFonts w:ascii="宋体" w:hAnsi="宋体" w:eastAsia="宋体" w:cs="宋体"/>
          <w:sz w:val="24"/>
          <w:szCs w:val="24"/>
        </w:rPr>
      </w:pPr>
      <w:r>
        <w:rPr>
          <w:rFonts w:ascii="宋体" w:hAnsi="宋体" w:eastAsia="宋体" w:cs="宋体"/>
          <w:spacing w:val="-2"/>
          <w:sz w:val="24"/>
          <w:szCs w:val="24"/>
        </w:rPr>
        <w:t>其委托代理人：</w:t>
      </w:r>
      <w:r>
        <w:rPr>
          <w:rFonts w:ascii="宋体" w:hAnsi="宋体" w:eastAsia="宋体" w:cs="宋体"/>
          <w:sz w:val="24"/>
          <w:szCs w:val="24"/>
          <w:u w:val="single" w:color="auto"/>
        </w:rPr>
        <w:t xml:space="preserve">              </w:t>
      </w:r>
    </w:p>
    <w:p w14:paraId="30B724B0">
      <w:pPr>
        <w:spacing w:before="182" w:line="185" w:lineRule="auto"/>
        <w:ind w:left="5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5"/>
          <w:sz w:val="24"/>
          <w:szCs w:val="24"/>
        </w:rPr>
        <w:t xml:space="preserve">  </w:t>
      </w:r>
      <w:r>
        <w:rPr>
          <w:rFonts w:ascii="宋体" w:hAnsi="宋体" w:eastAsia="宋体" w:cs="宋体"/>
          <w:spacing w:val="-13"/>
          <w:sz w:val="24"/>
          <w:szCs w:val="24"/>
        </w:rPr>
        <w:t>年</w:t>
      </w:r>
      <w:r>
        <w:rPr>
          <w:rFonts w:ascii="宋体" w:hAnsi="宋体" w:eastAsia="宋体" w:cs="宋体"/>
          <w:spacing w:val="8"/>
          <w:sz w:val="24"/>
          <w:szCs w:val="24"/>
        </w:rPr>
        <w:t xml:space="preserve">  </w:t>
      </w:r>
      <w:r>
        <w:rPr>
          <w:rFonts w:ascii="宋体" w:hAnsi="宋体" w:eastAsia="宋体" w:cs="宋体"/>
          <w:spacing w:val="-13"/>
          <w:sz w:val="24"/>
          <w:szCs w:val="24"/>
        </w:rPr>
        <w:t>月</w:t>
      </w:r>
      <w:r>
        <w:rPr>
          <w:rFonts w:ascii="宋体" w:hAnsi="宋体" w:eastAsia="宋体" w:cs="宋体"/>
          <w:spacing w:val="25"/>
          <w:sz w:val="24"/>
          <w:szCs w:val="24"/>
        </w:rPr>
        <w:t xml:space="preserve">  </w:t>
      </w:r>
      <w:r>
        <w:rPr>
          <w:rFonts w:ascii="宋体" w:hAnsi="宋体" w:eastAsia="宋体" w:cs="宋体"/>
          <w:spacing w:val="-13"/>
          <w:sz w:val="24"/>
          <w:szCs w:val="24"/>
        </w:rPr>
        <w:t>日</w:t>
      </w:r>
    </w:p>
    <w:p w14:paraId="1F245FD1">
      <w:pPr>
        <w:pStyle w:val="2"/>
        <w:spacing w:line="14" w:lineRule="auto"/>
        <w:rPr>
          <w:sz w:val="2"/>
        </w:rPr>
      </w:pPr>
      <w:r>
        <w:rPr>
          <w:sz w:val="2"/>
          <w:szCs w:val="2"/>
        </w:rPr>
        <w:br w:type="column"/>
      </w:r>
    </w:p>
    <w:p w14:paraId="60BC4163">
      <w:pPr>
        <w:spacing w:before="47" w:line="219" w:lineRule="auto"/>
        <w:ind w:left="119"/>
        <w:rPr>
          <w:rFonts w:ascii="宋体" w:hAnsi="宋体" w:eastAsia="宋体" w:cs="宋体"/>
          <w:sz w:val="24"/>
          <w:szCs w:val="24"/>
        </w:rPr>
      </w:pPr>
      <w:r>
        <w:rPr>
          <w:rFonts w:ascii="宋体" w:hAnsi="宋体" w:eastAsia="宋体" w:cs="宋体"/>
          <w:spacing w:val="-11"/>
          <w:sz w:val="24"/>
          <w:szCs w:val="24"/>
        </w:rPr>
        <w:t>承</w:t>
      </w:r>
      <w:r>
        <w:rPr>
          <w:rFonts w:ascii="宋体" w:hAnsi="宋体" w:eastAsia="宋体" w:cs="宋体"/>
          <w:spacing w:val="10"/>
          <w:sz w:val="24"/>
          <w:szCs w:val="24"/>
        </w:rPr>
        <w:t xml:space="preserve"> </w:t>
      </w:r>
      <w:r>
        <w:rPr>
          <w:rFonts w:ascii="宋体" w:hAnsi="宋体" w:eastAsia="宋体" w:cs="宋体"/>
          <w:spacing w:val="-11"/>
          <w:sz w:val="24"/>
          <w:szCs w:val="24"/>
        </w:rPr>
        <w:t>包</w:t>
      </w:r>
      <w:r>
        <w:rPr>
          <w:rFonts w:ascii="宋体" w:hAnsi="宋体" w:eastAsia="宋体" w:cs="宋体"/>
          <w:spacing w:val="11"/>
          <w:sz w:val="24"/>
          <w:szCs w:val="24"/>
        </w:rPr>
        <w:t xml:space="preserve"> </w:t>
      </w:r>
      <w:r>
        <w:rPr>
          <w:rFonts w:ascii="宋体" w:hAnsi="宋体" w:eastAsia="宋体" w:cs="宋体"/>
          <w:spacing w:val="-11"/>
          <w:sz w:val="24"/>
          <w:szCs w:val="24"/>
        </w:rPr>
        <w:t>人（公章</w:t>
      </w:r>
      <w:r>
        <w:rPr>
          <w:rFonts w:ascii="宋体" w:hAnsi="宋体" w:eastAsia="宋体" w:cs="宋体"/>
          <w:spacing w:val="-5"/>
          <w:sz w:val="24"/>
          <w:szCs w:val="24"/>
        </w:rPr>
        <w:t>）：</w:t>
      </w:r>
    </w:p>
    <w:p w14:paraId="1D080487">
      <w:pPr>
        <w:spacing w:before="183" w:line="220" w:lineRule="auto"/>
        <w:rPr>
          <w:rFonts w:ascii="宋体" w:hAnsi="宋体" w:eastAsia="宋体" w:cs="宋体"/>
          <w:sz w:val="24"/>
          <w:szCs w:val="24"/>
        </w:rPr>
      </w:pPr>
      <w:r>
        <w:rPr>
          <w:rFonts w:ascii="宋体" w:hAnsi="宋体" w:eastAsia="宋体" w:cs="宋体"/>
          <w:spacing w:val="-2"/>
          <w:sz w:val="24"/>
          <w:szCs w:val="24"/>
        </w:rPr>
        <w:t>法定代表人</w:t>
      </w:r>
    </w:p>
    <w:p w14:paraId="3F61B731">
      <w:pPr>
        <w:spacing w:before="182" w:line="223" w:lineRule="auto"/>
        <w:ind w:left="1"/>
        <w:rPr>
          <w:rFonts w:ascii="宋体" w:hAnsi="宋体" w:eastAsia="宋体" w:cs="宋体"/>
          <w:sz w:val="24"/>
          <w:szCs w:val="24"/>
        </w:rPr>
      </w:pPr>
      <w:r>
        <w:rPr>
          <w:rFonts w:ascii="宋体" w:hAnsi="宋体" w:eastAsia="宋体" w:cs="宋体"/>
          <w:sz w:val="24"/>
          <w:szCs w:val="24"/>
        </w:rPr>
        <w:t>或</w:t>
      </w:r>
    </w:p>
    <w:p w14:paraId="121FA83E">
      <w:pPr>
        <w:spacing w:before="178" w:line="220" w:lineRule="auto"/>
        <w:rPr>
          <w:rFonts w:ascii="宋体" w:hAnsi="宋体" w:eastAsia="宋体" w:cs="宋体"/>
          <w:sz w:val="24"/>
          <w:szCs w:val="24"/>
        </w:rPr>
      </w:pPr>
      <w:r>
        <w:rPr>
          <w:rFonts w:ascii="宋体" w:hAnsi="宋体" w:eastAsia="宋体" w:cs="宋体"/>
          <w:spacing w:val="-2"/>
          <w:sz w:val="24"/>
          <w:szCs w:val="24"/>
        </w:rPr>
        <w:t>其委托代理人：</w:t>
      </w:r>
      <w:r>
        <w:rPr>
          <w:rFonts w:ascii="宋体" w:hAnsi="宋体" w:eastAsia="宋体" w:cs="宋体"/>
          <w:sz w:val="24"/>
          <w:szCs w:val="24"/>
          <w:u w:val="single" w:color="auto"/>
        </w:rPr>
        <w:t xml:space="preserve">             </w:t>
      </w:r>
    </w:p>
    <w:p w14:paraId="19E474FB">
      <w:pPr>
        <w:spacing w:before="182" w:line="185" w:lineRule="auto"/>
        <w:ind w:left="4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5"/>
          <w:sz w:val="24"/>
          <w:szCs w:val="24"/>
        </w:rPr>
        <w:t xml:space="preserve">  </w:t>
      </w:r>
      <w:r>
        <w:rPr>
          <w:rFonts w:ascii="宋体" w:hAnsi="宋体" w:eastAsia="宋体" w:cs="宋体"/>
          <w:spacing w:val="-13"/>
          <w:sz w:val="24"/>
          <w:szCs w:val="24"/>
        </w:rPr>
        <w:t>年</w:t>
      </w:r>
      <w:r>
        <w:rPr>
          <w:rFonts w:ascii="宋体" w:hAnsi="宋体" w:eastAsia="宋体" w:cs="宋体"/>
          <w:spacing w:val="8"/>
          <w:sz w:val="24"/>
          <w:szCs w:val="24"/>
        </w:rPr>
        <w:t xml:space="preserve">  </w:t>
      </w:r>
      <w:r>
        <w:rPr>
          <w:rFonts w:ascii="宋体" w:hAnsi="宋体" w:eastAsia="宋体" w:cs="宋体"/>
          <w:spacing w:val="-13"/>
          <w:sz w:val="24"/>
          <w:szCs w:val="24"/>
        </w:rPr>
        <w:t>月</w:t>
      </w:r>
      <w:r>
        <w:rPr>
          <w:rFonts w:ascii="宋体" w:hAnsi="宋体" w:eastAsia="宋体" w:cs="宋体"/>
          <w:spacing w:val="25"/>
          <w:sz w:val="24"/>
          <w:szCs w:val="24"/>
        </w:rPr>
        <w:t xml:space="preserve">  </w:t>
      </w:r>
      <w:r>
        <w:rPr>
          <w:rFonts w:ascii="宋体" w:hAnsi="宋体" w:eastAsia="宋体" w:cs="宋体"/>
          <w:spacing w:val="-13"/>
          <w:sz w:val="24"/>
          <w:szCs w:val="24"/>
        </w:rPr>
        <w:t>日</w:t>
      </w:r>
    </w:p>
    <w:p w14:paraId="2CABD1E8">
      <w:pPr>
        <w:spacing w:line="185" w:lineRule="auto"/>
        <w:rPr>
          <w:rFonts w:ascii="宋体" w:hAnsi="宋体" w:eastAsia="宋体" w:cs="宋体"/>
          <w:sz w:val="24"/>
          <w:szCs w:val="24"/>
        </w:rPr>
        <w:sectPr>
          <w:type w:val="continuous"/>
          <w:pgSz w:w="11905" w:h="16840"/>
          <w:pgMar w:top="1182" w:right="1331" w:bottom="1171" w:left="1416" w:header="849" w:footer="937" w:gutter="0"/>
          <w:pgNumType w:fmt="decimal"/>
          <w:cols w:equalWidth="0" w:num="2">
            <w:col w:w="4711" w:space="100"/>
            <w:col w:w="4347"/>
          </w:cols>
        </w:sectPr>
      </w:pPr>
    </w:p>
    <w:p w14:paraId="54066BD0">
      <w:pPr>
        <w:pStyle w:val="2"/>
        <w:spacing w:line="267" w:lineRule="auto"/>
      </w:pPr>
    </w:p>
    <w:p w14:paraId="7D5C7AA6">
      <w:pPr>
        <w:spacing w:before="78" w:line="219" w:lineRule="auto"/>
        <w:ind w:left="28"/>
        <w:rPr>
          <w:rFonts w:ascii="宋体" w:hAnsi="宋体" w:eastAsia="宋体" w:cs="宋体"/>
          <w:sz w:val="24"/>
          <w:szCs w:val="24"/>
        </w:rPr>
      </w:pPr>
      <w:r>
        <w:rPr>
          <w:rFonts w:ascii="宋体" w:hAnsi="宋体" w:eastAsia="宋体" w:cs="宋体"/>
          <w:b/>
          <w:bCs/>
          <w:spacing w:val="-16"/>
          <w:sz w:val="24"/>
          <w:szCs w:val="24"/>
        </w:rPr>
        <w:t>附件十六：</w:t>
      </w:r>
    </w:p>
    <w:p w14:paraId="0EC362EC">
      <w:pPr>
        <w:spacing w:before="196" w:line="241" w:lineRule="auto"/>
        <w:ind w:left="3509"/>
        <w:rPr>
          <w:rFonts w:ascii="宋体" w:hAnsi="宋体" w:eastAsia="宋体" w:cs="宋体"/>
          <w:sz w:val="15"/>
          <w:szCs w:val="15"/>
        </w:rPr>
      </w:pPr>
      <w:r>
        <w:rPr>
          <w:rFonts w:ascii="宋体" w:hAnsi="宋体" w:eastAsia="宋体" w:cs="宋体"/>
          <w:b/>
          <w:bCs/>
          <w:spacing w:val="5"/>
          <w:sz w:val="31"/>
          <w:szCs w:val="31"/>
        </w:rPr>
        <w:t>工程结算协议</w:t>
      </w:r>
    </w:p>
    <w:p w14:paraId="1D2B0780">
      <w:pPr>
        <w:pStyle w:val="2"/>
        <w:spacing w:line="437" w:lineRule="auto"/>
      </w:pPr>
    </w:p>
    <w:p w14:paraId="16198C37">
      <w:pPr>
        <w:spacing w:before="78" w:line="220" w:lineRule="auto"/>
        <w:ind w:left="40"/>
        <w:rPr>
          <w:rFonts w:ascii="宋体" w:hAnsi="宋体" w:eastAsia="宋体" w:cs="宋体"/>
          <w:sz w:val="24"/>
          <w:szCs w:val="24"/>
        </w:rPr>
      </w:pPr>
      <w:r>
        <w:rPr>
          <w:rFonts w:ascii="宋体" w:hAnsi="宋体" w:eastAsia="宋体" w:cs="宋体"/>
          <w:spacing w:val="-6"/>
          <w:sz w:val="24"/>
          <w:szCs w:val="24"/>
        </w:rPr>
        <w:t>甲方（发包人</w:t>
      </w:r>
      <w:r>
        <w:rPr>
          <w:rFonts w:ascii="宋体" w:hAnsi="宋体" w:eastAsia="宋体" w:cs="宋体"/>
          <w:spacing w:val="-3"/>
          <w:sz w:val="24"/>
          <w:szCs w:val="24"/>
        </w:rPr>
        <w:t>）：</w:t>
      </w:r>
      <w:r>
        <w:rPr>
          <w:rFonts w:ascii="宋体" w:hAnsi="宋体" w:eastAsia="宋体" w:cs="宋体"/>
          <w:sz w:val="24"/>
          <w:szCs w:val="24"/>
          <w:u w:val="single" w:color="auto"/>
        </w:rPr>
        <w:t xml:space="preserve">                      </w:t>
      </w:r>
    </w:p>
    <w:p w14:paraId="45010D5D">
      <w:pPr>
        <w:spacing w:before="181" w:line="220" w:lineRule="auto"/>
        <w:ind w:left="9"/>
        <w:rPr>
          <w:rFonts w:ascii="宋体" w:hAnsi="宋体" w:eastAsia="宋体" w:cs="宋体"/>
          <w:sz w:val="24"/>
          <w:szCs w:val="24"/>
        </w:rPr>
      </w:pPr>
      <w:r>
        <w:rPr>
          <w:rFonts w:ascii="宋体" w:hAnsi="宋体" w:eastAsia="宋体" w:cs="宋体"/>
          <w:spacing w:val="-2"/>
          <w:sz w:val="24"/>
          <w:szCs w:val="24"/>
        </w:rPr>
        <w:t>地址：</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 xml:space="preserve">                法定代表人：</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p>
    <w:p w14:paraId="6FA0826B">
      <w:pPr>
        <w:spacing w:before="182" w:line="220" w:lineRule="auto"/>
        <w:ind w:left="32"/>
        <w:rPr>
          <w:rFonts w:ascii="宋体" w:hAnsi="宋体" w:eastAsia="宋体" w:cs="宋体"/>
          <w:sz w:val="24"/>
          <w:szCs w:val="24"/>
        </w:rPr>
      </w:pPr>
      <w:r>
        <w:rPr>
          <w:rFonts w:ascii="宋体" w:hAnsi="宋体" w:eastAsia="宋体" w:cs="宋体"/>
          <w:spacing w:val="-5"/>
          <w:sz w:val="24"/>
          <w:szCs w:val="24"/>
        </w:rPr>
        <w:t>乙方（承包人</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14:paraId="69DFDAD8">
      <w:pPr>
        <w:spacing w:before="182" w:line="220" w:lineRule="auto"/>
        <w:ind w:left="9"/>
        <w:rPr>
          <w:rFonts w:ascii="宋体" w:hAnsi="宋体" w:eastAsia="宋体" w:cs="宋体"/>
          <w:sz w:val="24"/>
          <w:szCs w:val="24"/>
        </w:rPr>
      </w:pPr>
      <w:r>
        <w:rPr>
          <w:rFonts w:ascii="宋体" w:hAnsi="宋体" w:eastAsia="宋体" w:cs="宋体"/>
          <w:spacing w:val="-2"/>
          <w:sz w:val="24"/>
          <w:szCs w:val="24"/>
        </w:rPr>
        <w:t>地址：</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 xml:space="preserve">                法定代表人：</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p>
    <w:p w14:paraId="60E9EF20">
      <w:pPr>
        <w:spacing w:before="183" w:line="223" w:lineRule="auto"/>
        <w:ind w:left="12"/>
        <w:rPr>
          <w:rFonts w:ascii="宋体" w:hAnsi="宋体" w:eastAsia="宋体" w:cs="宋体"/>
          <w:sz w:val="24"/>
          <w:szCs w:val="24"/>
        </w:rPr>
      </w:pPr>
      <w:r>
        <w:rPr>
          <w:rFonts w:ascii="宋体" w:hAnsi="宋体" w:eastAsia="宋体" w:cs="宋体"/>
          <w:spacing w:val="-15"/>
          <w:sz w:val="24"/>
          <w:szCs w:val="24"/>
        </w:rPr>
        <w:t>鉴于：</w:t>
      </w:r>
    </w:p>
    <w:p w14:paraId="5D196080">
      <w:pPr>
        <w:spacing w:before="178" w:line="360" w:lineRule="auto"/>
        <w:ind w:left="11" w:right="135" w:firstLine="495"/>
        <w:rPr>
          <w:rFonts w:ascii="宋体" w:hAnsi="宋体" w:eastAsia="宋体" w:cs="宋体"/>
          <w:sz w:val="24"/>
          <w:szCs w:val="24"/>
        </w:rPr>
      </w:pPr>
      <w:r>
        <w:rPr>
          <w:rFonts w:ascii="宋体" w:hAnsi="宋体" w:eastAsia="宋体" w:cs="宋体"/>
          <w:spacing w:val="-23"/>
          <w:sz w:val="24"/>
          <w:szCs w:val="24"/>
        </w:rPr>
        <w:t>1、</w:t>
      </w:r>
      <w:r>
        <w:rPr>
          <w:rFonts w:ascii="宋体" w:hAnsi="宋体" w:eastAsia="宋体" w:cs="宋体"/>
          <w:spacing w:val="-23"/>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3"/>
          <w:sz w:val="24"/>
          <w:szCs w:val="24"/>
        </w:rPr>
        <w:t>日，甲方与乙方签订了《</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23"/>
          <w:sz w:val="24"/>
          <w:szCs w:val="24"/>
        </w:rPr>
        <w:t>合同</w:t>
      </w:r>
      <w:r>
        <w:rPr>
          <w:rFonts w:ascii="宋体" w:hAnsi="宋体" w:eastAsia="宋体" w:cs="宋体"/>
          <w:spacing w:val="-24"/>
          <w:sz w:val="24"/>
          <w:szCs w:val="24"/>
        </w:rPr>
        <w:t>》（下简称“合同”</w:t>
      </w:r>
      <w:r>
        <w:rPr>
          <w:rFonts w:ascii="宋体" w:hAnsi="宋体" w:eastAsia="宋体" w:cs="宋体"/>
          <w:spacing w:val="-39"/>
          <w:w w:val="62"/>
          <w:sz w:val="24"/>
          <w:szCs w:val="24"/>
        </w:rPr>
        <w:t>），</w:t>
      </w:r>
      <w:r>
        <w:rPr>
          <w:rFonts w:ascii="宋体" w:hAnsi="宋体" w:eastAsia="宋体" w:cs="宋体"/>
          <w:spacing w:val="-24"/>
          <w:sz w:val="24"/>
          <w:szCs w:val="24"/>
        </w:rPr>
        <w:t>约定</w:t>
      </w:r>
      <w:r>
        <w:rPr>
          <w:rFonts w:ascii="宋体" w:hAnsi="宋体" w:eastAsia="宋体" w:cs="宋体"/>
          <w:sz w:val="24"/>
          <w:szCs w:val="24"/>
          <w:u w:val="single" w:color="auto"/>
        </w:rPr>
        <w:t xml:space="preserve">   </w:t>
      </w:r>
      <w:r>
        <w:rPr>
          <w:rFonts w:ascii="宋体" w:hAnsi="宋体" w:eastAsia="宋体" w:cs="宋体"/>
          <w:spacing w:val="-24"/>
          <w:sz w:val="24"/>
          <w:szCs w:val="24"/>
        </w:rPr>
        <w:t>（注：</w:t>
      </w:r>
      <w:r>
        <w:rPr>
          <w:rFonts w:ascii="宋体" w:hAnsi="宋体" w:eastAsia="宋体" w:cs="宋体"/>
          <w:spacing w:val="-3"/>
          <w:sz w:val="24"/>
          <w:szCs w:val="24"/>
        </w:rPr>
        <w:t>填写乙方负责承包的工程内容）。</w:t>
      </w:r>
    </w:p>
    <w:p w14:paraId="62C81572">
      <w:pPr>
        <w:spacing w:line="360" w:lineRule="auto"/>
        <w:ind w:left="8" w:right="211" w:firstLine="483"/>
        <w:rPr>
          <w:rFonts w:ascii="宋体" w:hAnsi="宋体" w:eastAsia="宋体" w:cs="宋体"/>
          <w:sz w:val="24"/>
          <w:szCs w:val="24"/>
        </w:rPr>
      </w:pPr>
      <w:r>
        <w:rPr>
          <w:rFonts w:ascii="宋体" w:hAnsi="宋体" w:eastAsia="宋体" w:cs="宋体"/>
          <w:spacing w:val="-2"/>
          <w:sz w:val="24"/>
          <w:szCs w:val="24"/>
        </w:rPr>
        <w:t>2、</w:t>
      </w:r>
      <w:r>
        <w:rPr>
          <w:rFonts w:ascii="宋体" w:hAnsi="宋体" w:eastAsia="宋体" w:cs="宋体"/>
          <w:spacing w:val="-2"/>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pacing w:val="-2"/>
          <w:sz w:val="24"/>
          <w:szCs w:val="24"/>
        </w:rPr>
        <w:t>年</w:t>
      </w:r>
      <w:r>
        <w:rPr>
          <w:rFonts w:ascii="宋体" w:hAnsi="宋体" w:eastAsia="宋体" w:cs="宋体"/>
          <w:spacing w:val="-119"/>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2"/>
          <w:sz w:val="24"/>
          <w:szCs w:val="24"/>
        </w:rPr>
        <w:t>月</w:t>
      </w:r>
      <w:r>
        <w:rPr>
          <w:rFonts w:ascii="宋体" w:hAnsi="宋体" w:eastAsia="宋体" w:cs="宋体"/>
          <w:spacing w:val="-118"/>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67"/>
          <w:sz w:val="24"/>
          <w:szCs w:val="24"/>
        </w:rPr>
        <w:t xml:space="preserve"> </w:t>
      </w:r>
      <w:r>
        <w:rPr>
          <w:rFonts w:ascii="宋体" w:hAnsi="宋体" w:eastAsia="宋体" w:cs="宋体"/>
          <w:spacing w:val="-2"/>
          <w:sz w:val="24"/>
          <w:szCs w:val="24"/>
        </w:rPr>
        <w:t>日，乙方承包的</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2"/>
          <w:sz w:val="24"/>
          <w:szCs w:val="24"/>
        </w:rPr>
        <w:t>工程已完成交工验收，且乙方已取得上述工</w:t>
      </w:r>
      <w:r>
        <w:rPr>
          <w:rFonts w:ascii="宋体" w:hAnsi="宋体" w:eastAsia="宋体" w:cs="宋体"/>
          <w:spacing w:val="-6"/>
          <w:sz w:val="24"/>
          <w:szCs w:val="24"/>
        </w:rPr>
        <w:t>程交工证书。</w:t>
      </w:r>
    </w:p>
    <w:p w14:paraId="2A7522F0">
      <w:pPr>
        <w:spacing w:line="360" w:lineRule="auto"/>
        <w:ind w:left="11" w:right="207" w:firstLine="478"/>
        <w:rPr>
          <w:rFonts w:ascii="宋体" w:hAnsi="宋体" w:eastAsia="宋体" w:cs="宋体"/>
          <w:sz w:val="24"/>
          <w:szCs w:val="24"/>
        </w:rPr>
      </w:pPr>
      <w:r>
        <w:rPr>
          <w:rFonts w:ascii="宋体" w:hAnsi="宋体" w:eastAsia="宋体" w:cs="宋体"/>
          <w:spacing w:val="1"/>
          <w:sz w:val="24"/>
          <w:szCs w:val="24"/>
        </w:rPr>
        <w:t>基于上述，甲、乙双方经协商一致，特就乙方承包的</w:t>
      </w:r>
      <w:r>
        <w:rPr>
          <w:rFonts w:ascii="宋体" w:hAnsi="宋体" w:eastAsia="宋体" w:cs="宋体"/>
          <w:spacing w:val="-113"/>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1"/>
          <w:sz w:val="24"/>
          <w:szCs w:val="24"/>
        </w:rPr>
        <w:t>工程的结算事宜订立本协</w:t>
      </w:r>
      <w:r>
        <w:rPr>
          <w:rFonts w:ascii="宋体" w:hAnsi="宋体" w:eastAsia="宋体" w:cs="宋体"/>
          <w:spacing w:val="-6"/>
          <w:sz w:val="24"/>
          <w:szCs w:val="24"/>
        </w:rPr>
        <w:t>议，以共同遵守。</w:t>
      </w:r>
    </w:p>
    <w:p w14:paraId="7DB0B944">
      <w:pPr>
        <w:spacing w:line="218" w:lineRule="auto"/>
        <w:jc w:val="right"/>
        <w:rPr>
          <w:rFonts w:ascii="宋体" w:hAnsi="宋体" w:eastAsia="宋体" w:cs="宋体"/>
          <w:sz w:val="24"/>
          <w:szCs w:val="24"/>
        </w:rPr>
      </w:pPr>
      <w:r>
        <w:rPr>
          <w:rFonts w:ascii="宋体" w:hAnsi="宋体" w:eastAsia="宋体" w:cs="宋体"/>
          <w:spacing w:val="-22"/>
          <w:sz w:val="24"/>
          <w:szCs w:val="24"/>
        </w:rPr>
        <w:t>一、乙方承包的</w:t>
      </w:r>
      <w:r>
        <w:rPr>
          <w:rFonts w:ascii="宋体" w:hAnsi="宋体" w:eastAsia="宋体" w:cs="宋体"/>
          <w:spacing w:val="-11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2"/>
          <w:sz w:val="24"/>
          <w:szCs w:val="24"/>
        </w:rPr>
        <w:t>工程（以下简称“本工程”）结算价暂定为人民币</w:t>
      </w:r>
      <w:r>
        <w:rPr>
          <w:rFonts w:ascii="宋体" w:hAnsi="宋体" w:eastAsia="宋体" w:cs="宋体"/>
          <w:spacing w:val="-2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2"/>
          <w:sz w:val="24"/>
          <w:szCs w:val="24"/>
        </w:rPr>
        <w:t>元（</w:t>
      </w:r>
      <w:r>
        <w:rPr>
          <w:rFonts w:ascii="宋体" w:hAnsi="宋体" w:eastAsia="宋体" w:cs="宋体"/>
          <w:spacing w:val="-23"/>
          <w:sz w:val="24"/>
          <w:szCs w:val="24"/>
        </w:rPr>
        <w:t>大写</w:t>
      </w:r>
      <w:r>
        <w:rPr>
          <w:rFonts w:ascii="宋体" w:hAnsi="宋体" w:eastAsia="宋体" w:cs="宋体"/>
          <w:spacing w:val="-61"/>
          <w:w w:val="95"/>
          <w:sz w:val="24"/>
          <w:szCs w:val="24"/>
        </w:rPr>
        <w:t>：</w:t>
      </w:r>
      <w:r>
        <w:rPr>
          <w:rFonts w:ascii="宋体" w:hAnsi="宋体" w:eastAsia="宋体" w:cs="宋体"/>
          <w:sz w:val="24"/>
          <w:szCs w:val="24"/>
          <w:u w:val="single" w:color="auto"/>
        </w:rPr>
        <w:t xml:space="preserve">   </w:t>
      </w:r>
      <w:r>
        <w:rPr>
          <w:rFonts w:ascii="宋体" w:hAnsi="宋体" w:eastAsia="宋体" w:cs="宋体"/>
          <w:spacing w:val="-61"/>
          <w:w w:val="95"/>
          <w:sz w:val="24"/>
          <w:szCs w:val="24"/>
        </w:rPr>
        <w:t>）</w:t>
      </w:r>
      <w:r>
        <w:rPr>
          <w:rFonts w:ascii="宋体" w:hAnsi="宋体" w:eastAsia="宋体" w:cs="宋体"/>
          <w:spacing w:val="-23"/>
          <w:sz w:val="24"/>
          <w:szCs w:val="24"/>
        </w:rPr>
        <w:t>。</w:t>
      </w:r>
    </w:p>
    <w:p w14:paraId="3F49A12B">
      <w:pPr>
        <w:spacing w:before="184" w:line="360" w:lineRule="auto"/>
        <w:ind w:left="13" w:right="205" w:firstLine="477"/>
        <w:rPr>
          <w:rFonts w:ascii="宋体" w:hAnsi="宋体" w:eastAsia="宋体" w:cs="宋体"/>
          <w:sz w:val="24"/>
          <w:szCs w:val="24"/>
        </w:rPr>
      </w:pPr>
      <w:r>
        <w:rPr>
          <w:rFonts w:ascii="宋体" w:hAnsi="宋体" w:eastAsia="宋体" w:cs="宋体"/>
          <w:spacing w:val="-2"/>
          <w:sz w:val="24"/>
          <w:szCs w:val="24"/>
        </w:rPr>
        <w:t>若政府审计部门之后进行审计，且作出的审计决定和行业主管部门造价审查结果不</w:t>
      </w:r>
      <w:r>
        <w:rPr>
          <w:rFonts w:ascii="宋体" w:hAnsi="宋体" w:eastAsia="宋体" w:cs="宋体"/>
          <w:spacing w:val="-5"/>
          <w:sz w:val="24"/>
          <w:szCs w:val="24"/>
        </w:rPr>
        <w:t>一致，双方同意按以下原则处理：</w:t>
      </w:r>
    </w:p>
    <w:p w14:paraId="1781E589">
      <w:pPr>
        <w:spacing w:before="3" w:line="359" w:lineRule="auto"/>
        <w:ind w:left="15" w:right="205" w:firstLine="477"/>
        <w:rPr>
          <w:rFonts w:ascii="宋体" w:hAnsi="宋体" w:eastAsia="宋体" w:cs="宋体"/>
          <w:sz w:val="24"/>
          <w:szCs w:val="24"/>
        </w:rPr>
      </w:pPr>
      <w:r>
        <w:rPr>
          <w:rFonts w:ascii="宋体" w:hAnsi="宋体" w:eastAsia="宋体" w:cs="宋体"/>
          <w:spacing w:val="-2"/>
          <w:sz w:val="24"/>
          <w:szCs w:val="24"/>
        </w:rPr>
        <w:t>行业主管部门和审计部门对不同内容进行核减的，综合行业主管部门和审计部门的</w:t>
      </w:r>
      <w:r>
        <w:rPr>
          <w:rFonts w:ascii="宋体" w:hAnsi="宋体" w:eastAsia="宋体" w:cs="宋体"/>
          <w:spacing w:val="-7"/>
          <w:sz w:val="24"/>
          <w:szCs w:val="24"/>
        </w:rPr>
        <w:t>意见进行调整。</w:t>
      </w:r>
    </w:p>
    <w:p w14:paraId="33498247">
      <w:pPr>
        <w:spacing w:line="353" w:lineRule="auto"/>
        <w:ind w:left="9" w:right="209" w:firstLine="483"/>
        <w:rPr>
          <w:rFonts w:ascii="宋体" w:hAnsi="宋体" w:eastAsia="宋体" w:cs="宋体"/>
          <w:sz w:val="24"/>
          <w:szCs w:val="24"/>
        </w:rPr>
      </w:pPr>
      <w:r>
        <w:rPr>
          <w:rFonts w:ascii="宋体" w:hAnsi="宋体" w:eastAsia="宋体" w:cs="宋体"/>
          <w:spacing w:val="-2"/>
          <w:sz w:val="24"/>
          <w:szCs w:val="24"/>
        </w:rPr>
        <w:t>二、甲、乙双方确认，截至</w:t>
      </w:r>
      <w:r>
        <w:rPr>
          <w:rFonts w:ascii="宋体" w:hAnsi="宋体" w:eastAsia="宋体" w:cs="宋体"/>
          <w:spacing w:val="-102"/>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年</w:t>
      </w:r>
      <w:r>
        <w:rPr>
          <w:rFonts w:ascii="宋体" w:hAnsi="宋体" w:eastAsia="宋体" w:cs="宋体"/>
          <w:spacing w:val="-117"/>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119"/>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
          <w:sz w:val="24"/>
          <w:szCs w:val="24"/>
        </w:rPr>
        <w:t>日，甲方就本工程已向乙方支付款项累</w:t>
      </w:r>
      <w:r>
        <w:rPr>
          <w:rFonts w:ascii="宋体" w:hAnsi="宋体" w:eastAsia="宋体" w:cs="宋体"/>
          <w:spacing w:val="-4"/>
          <w:sz w:val="24"/>
          <w:szCs w:val="24"/>
        </w:rPr>
        <w:t>计人民币</w:t>
      </w:r>
      <w:r>
        <w:rPr>
          <w:rFonts w:ascii="宋体" w:hAnsi="宋体" w:eastAsia="宋体" w:cs="宋体"/>
          <w:spacing w:val="-4"/>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4"/>
          <w:sz w:val="24"/>
          <w:szCs w:val="24"/>
        </w:rPr>
        <w:t>元。</w:t>
      </w:r>
    </w:p>
    <w:p w14:paraId="29681E28">
      <w:pPr>
        <w:spacing w:before="2" w:line="363" w:lineRule="auto"/>
        <w:ind w:left="11" w:right="206" w:firstLine="509"/>
        <w:jc w:val="both"/>
        <w:rPr>
          <w:rFonts w:ascii="宋体" w:hAnsi="宋体" w:eastAsia="宋体" w:cs="宋体"/>
          <w:sz w:val="24"/>
          <w:szCs w:val="24"/>
        </w:rPr>
      </w:pPr>
      <w:r>
        <w:rPr>
          <w:rFonts w:ascii="宋体" w:hAnsi="宋体" w:eastAsia="宋体" w:cs="宋体"/>
          <w:sz w:val="24"/>
          <w:szCs w:val="24"/>
        </w:rPr>
        <w:t>甲方将在本结算书生效后</w:t>
      </w:r>
      <w:r>
        <w:rPr>
          <w:rFonts w:ascii="宋体" w:hAnsi="宋体" w:eastAsia="宋体" w:cs="宋体"/>
          <w:spacing w:val="-20"/>
          <w:sz w:val="24"/>
          <w:szCs w:val="24"/>
        </w:rPr>
        <w:t xml:space="preserve"> </w:t>
      </w:r>
      <w:r>
        <w:rPr>
          <w:rFonts w:ascii="宋体" w:hAnsi="宋体" w:eastAsia="宋体" w:cs="宋体"/>
          <w:sz w:val="24"/>
          <w:szCs w:val="24"/>
        </w:rPr>
        <w:t>15 个工作日内向乙方支付至结算金额的</w:t>
      </w:r>
      <w:r>
        <w:rPr>
          <w:rFonts w:ascii="宋体" w:hAnsi="宋体" w:eastAsia="宋体" w:cs="宋体"/>
          <w:spacing w:val="-11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6"/>
          <w:sz w:val="24"/>
          <w:szCs w:val="24"/>
        </w:rPr>
        <w:t xml:space="preserve"> </w:t>
      </w:r>
      <w:r>
        <w:rPr>
          <w:rFonts w:ascii="宋体" w:hAnsi="宋体" w:eastAsia="宋体" w:cs="宋体"/>
          <w:sz w:val="24"/>
          <w:szCs w:val="24"/>
        </w:rPr>
        <w:t>%</w:t>
      </w:r>
      <w:r>
        <w:rPr>
          <w:rFonts w:ascii="宋体" w:hAnsi="宋体" w:eastAsia="宋体" w:cs="宋体"/>
          <w:spacing w:val="-30"/>
          <w:position w:val="12"/>
          <w:sz w:val="12"/>
          <w:szCs w:val="12"/>
        </w:rPr>
        <w:t xml:space="preserve"> </w:t>
      </w:r>
      <w:r>
        <w:rPr>
          <w:rFonts w:hint="eastAsia" w:ascii="宋体" w:hAnsi="宋体" w:cs="宋体"/>
          <w:spacing w:val="-30"/>
          <w:position w:val="12"/>
          <w:sz w:val="12"/>
          <w:szCs w:val="12"/>
          <w:lang w:eastAsia="zh-CN"/>
        </w:rPr>
        <w:t>，</w:t>
      </w:r>
      <w:r>
        <w:rPr>
          <w:rFonts w:ascii="宋体" w:hAnsi="宋体" w:eastAsia="宋体" w:cs="宋体"/>
          <w:sz w:val="24"/>
          <w:szCs w:val="24"/>
        </w:rPr>
        <w:t>即人民</w:t>
      </w:r>
      <w:r>
        <w:rPr>
          <w:rFonts w:ascii="宋体" w:hAnsi="宋体" w:eastAsia="宋体" w:cs="宋体"/>
          <w:spacing w:val="1"/>
          <w:sz w:val="24"/>
          <w:szCs w:val="24"/>
        </w:rPr>
        <w:t>币</w:t>
      </w:r>
      <w:r>
        <w:rPr>
          <w:rFonts w:ascii="宋体" w:hAnsi="宋体" w:eastAsia="宋体" w:cs="宋体"/>
          <w:spacing w:val="-119"/>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1"/>
          <w:sz w:val="24"/>
          <w:szCs w:val="24"/>
        </w:rPr>
        <w:t>元。项目完成竣工决算审查备案和竣工决算审计，且发包人和承包</w:t>
      </w:r>
      <w:r>
        <w:rPr>
          <w:rFonts w:ascii="宋体" w:hAnsi="宋体" w:eastAsia="宋体" w:cs="宋体"/>
          <w:sz w:val="24"/>
          <w:szCs w:val="24"/>
        </w:rPr>
        <w:t>人最终确定结</w:t>
      </w:r>
      <w:r>
        <w:rPr>
          <w:rFonts w:ascii="宋体" w:hAnsi="宋体" w:eastAsia="宋体" w:cs="宋体"/>
          <w:spacing w:val="-2"/>
          <w:sz w:val="24"/>
          <w:szCs w:val="24"/>
        </w:rPr>
        <w:t>算金额后</w:t>
      </w:r>
      <w:r>
        <w:rPr>
          <w:rFonts w:ascii="宋体" w:hAnsi="宋体" w:eastAsia="宋体" w:cs="宋体"/>
          <w:spacing w:val="-39"/>
          <w:sz w:val="24"/>
          <w:szCs w:val="24"/>
        </w:rPr>
        <w:t xml:space="preserve"> </w:t>
      </w:r>
      <w:r>
        <w:rPr>
          <w:rFonts w:ascii="宋体" w:hAnsi="宋体" w:eastAsia="宋体" w:cs="宋体"/>
          <w:spacing w:val="-2"/>
          <w:sz w:val="24"/>
          <w:szCs w:val="24"/>
        </w:rPr>
        <w:t>30</w:t>
      </w:r>
      <w:r>
        <w:rPr>
          <w:rFonts w:ascii="宋体" w:hAnsi="宋体" w:eastAsia="宋体" w:cs="宋体"/>
          <w:spacing w:val="-46"/>
          <w:sz w:val="24"/>
          <w:szCs w:val="24"/>
        </w:rPr>
        <w:t xml:space="preserve"> </w:t>
      </w:r>
      <w:r>
        <w:rPr>
          <w:rFonts w:ascii="宋体" w:hAnsi="宋体" w:eastAsia="宋体" w:cs="宋体"/>
          <w:spacing w:val="-2"/>
          <w:sz w:val="24"/>
          <w:szCs w:val="24"/>
        </w:rPr>
        <w:t>天内，发包人退还剩余质量保证金的</w:t>
      </w:r>
      <w:r>
        <w:rPr>
          <w:rFonts w:ascii="宋体" w:hAnsi="宋体" w:eastAsia="宋体" w:cs="宋体"/>
          <w:spacing w:val="-47"/>
          <w:sz w:val="24"/>
          <w:szCs w:val="24"/>
        </w:rPr>
        <w:t xml:space="preserve"> </w:t>
      </w:r>
      <w:r>
        <w:rPr>
          <w:rFonts w:ascii="宋体" w:hAnsi="宋体" w:eastAsia="宋体" w:cs="宋体"/>
          <w:spacing w:val="-2"/>
          <w:sz w:val="24"/>
          <w:szCs w:val="24"/>
        </w:rPr>
        <w:t>80%给承包人。通过竣工验收后</w:t>
      </w:r>
      <w:r>
        <w:rPr>
          <w:rFonts w:ascii="宋体" w:hAnsi="宋体" w:eastAsia="宋体" w:cs="宋体"/>
          <w:spacing w:val="-44"/>
          <w:sz w:val="24"/>
          <w:szCs w:val="24"/>
        </w:rPr>
        <w:t xml:space="preserve"> </w:t>
      </w:r>
      <w:r>
        <w:rPr>
          <w:rFonts w:ascii="宋体" w:hAnsi="宋体" w:eastAsia="宋体" w:cs="宋体"/>
          <w:spacing w:val="-2"/>
          <w:sz w:val="24"/>
          <w:szCs w:val="24"/>
        </w:rPr>
        <w:t>30</w:t>
      </w:r>
      <w:r>
        <w:rPr>
          <w:rFonts w:ascii="宋体" w:hAnsi="宋体" w:eastAsia="宋体" w:cs="宋体"/>
          <w:spacing w:val="-46"/>
          <w:sz w:val="24"/>
          <w:szCs w:val="24"/>
        </w:rPr>
        <w:t xml:space="preserve"> </w:t>
      </w:r>
      <w:r>
        <w:rPr>
          <w:rFonts w:ascii="宋体" w:hAnsi="宋体" w:eastAsia="宋体" w:cs="宋体"/>
          <w:spacing w:val="-2"/>
          <w:sz w:val="24"/>
          <w:szCs w:val="24"/>
        </w:rPr>
        <w:t>天内，发包人将质量保证金的余额一次性退还给承包人。</w:t>
      </w:r>
    </w:p>
    <w:p w14:paraId="72179571">
      <w:pPr>
        <w:spacing w:before="1" w:line="219" w:lineRule="auto"/>
        <w:ind w:left="489"/>
        <w:rPr>
          <w:rFonts w:ascii="宋体" w:hAnsi="宋体" w:eastAsia="宋体" w:cs="宋体"/>
          <w:sz w:val="24"/>
          <w:szCs w:val="24"/>
        </w:rPr>
      </w:pPr>
      <w:r>
        <w:rPr>
          <w:rFonts w:ascii="宋体" w:hAnsi="宋体" w:eastAsia="宋体" w:cs="宋体"/>
          <w:spacing w:val="-3"/>
          <w:sz w:val="24"/>
          <w:szCs w:val="24"/>
        </w:rPr>
        <w:t>三、甲方向乙方退还全部质量保证金需同时满足以下条件：</w:t>
      </w:r>
    </w:p>
    <w:p w14:paraId="1C735F00">
      <w:pPr>
        <w:spacing w:before="183" w:line="362" w:lineRule="auto"/>
        <w:ind w:left="13" w:right="205" w:firstLine="493"/>
        <w:rPr>
          <w:rFonts w:ascii="宋体" w:hAnsi="宋体" w:eastAsia="宋体" w:cs="宋体"/>
          <w:sz w:val="24"/>
          <w:szCs w:val="24"/>
        </w:rPr>
      </w:pPr>
      <w:r>
        <w:rPr>
          <w:rFonts w:ascii="宋体" w:hAnsi="宋体" w:eastAsia="宋体" w:cs="宋体"/>
          <w:spacing w:val="-3"/>
          <w:sz w:val="24"/>
          <w:szCs w:val="24"/>
        </w:rPr>
        <w:t>1、乙方承包的</w:t>
      </w:r>
      <w:r>
        <w:rPr>
          <w:rFonts w:ascii="宋体" w:hAnsi="宋体" w:eastAsia="宋体" w:cs="宋体"/>
          <w:spacing w:val="-104"/>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3"/>
          <w:sz w:val="24"/>
          <w:szCs w:val="24"/>
        </w:rPr>
        <w:t>工程的缺陷责任期已届满，并由监理人出具了该工程缺陷责任期</w:t>
      </w:r>
      <w:r>
        <w:rPr>
          <w:rFonts w:ascii="宋体" w:hAnsi="宋体" w:eastAsia="宋体" w:cs="宋体"/>
          <w:spacing w:val="-10"/>
          <w:sz w:val="24"/>
          <w:szCs w:val="24"/>
        </w:rPr>
        <w:t>届满的证明；</w:t>
      </w:r>
    </w:p>
    <w:p w14:paraId="2482D099">
      <w:pPr>
        <w:pStyle w:val="2"/>
        <w:spacing w:line="279" w:lineRule="auto"/>
      </w:pPr>
    </w:p>
    <w:p w14:paraId="327B1129">
      <w:pPr>
        <w:spacing w:before="21" w:line="217" w:lineRule="auto"/>
        <w:ind w:left="5"/>
        <w:rPr>
          <w:rFonts w:ascii="宋体" w:hAnsi="宋体" w:eastAsia="宋体" w:cs="宋体"/>
          <w:sz w:val="18"/>
          <w:szCs w:val="18"/>
        </w:rPr>
      </w:pPr>
    </w:p>
    <w:p w14:paraId="68A9AA4E">
      <w:pPr>
        <w:spacing w:line="217" w:lineRule="auto"/>
        <w:rPr>
          <w:rFonts w:ascii="宋体" w:hAnsi="宋体" w:eastAsia="宋体" w:cs="宋体"/>
          <w:sz w:val="18"/>
          <w:szCs w:val="18"/>
        </w:rPr>
        <w:sectPr>
          <w:headerReference r:id="rId153" w:type="default"/>
          <w:footerReference r:id="rId154" w:type="default"/>
          <w:pgSz w:w="11905" w:h="16840"/>
          <w:pgMar w:top="1182" w:right="1211" w:bottom="1171" w:left="1416" w:header="849" w:footer="937" w:gutter="0"/>
          <w:pgNumType w:fmt="decimal"/>
          <w:cols w:space="720" w:num="1"/>
        </w:sectPr>
      </w:pPr>
    </w:p>
    <w:p w14:paraId="0BEFB210">
      <w:pPr>
        <w:pStyle w:val="2"/>
        <w:spacing w:line="267" w:lineRule="auto"/>
      </w:pPr>
    </w:p>
    <w:p w14:paraId="631418D5">
      <w:pPr>
        <w:spacing w:before="78" w:line="220" w:lineRule="auto"/>
        <w:ind w:left="492"/>
        <w:rPr>
          <w:rFonts w:ascii="宋体" w:hAnsi="宋体" w:eastAsia="宋体" w:cs="宋体"/>
          <w:sz w:val="24"/>
          <w:szCs w:val="24"/>
        </w:rPr>
      </w:pPr>
      <w:r>
        <w:rPr>
          <w:rFonts w:ascii="宋体" w:hAnsi="宋体" w:eastAsia="宋体" w:cs="宋体"/>
          <w:spacing w:val="-1"/>
          <w:sz w:val="24"/>
          <w:szCs w:val="24"/>
        </w:rPr>
        <w:t>2、在缺陷责任期内按合同约定进行了缺陷工程</w:t>
      </w:r>
      <w:r>
        <w:rPr>
          <w:rFonts w:ascii="宋体" w:hAnsi="宋体" w:eastAsia="宋体" w:cs="宋体"/>
          <w:spacing w:val="-2"/>
          <w:sz w:val="24"/>
          <w:szCs w:val="24"/>
        </w:rPr>
        <w:t>的修复且项目完成竣工验收。</w:t>
      </w:r>
    </w:p>
    <w:p w14:paraId="0D2925CF">
      <w:pPr>
        <w:spacing w:before="182" w:line="360" w:lineRule="auto"/>
        <w:ind w:left="11" w:firstLine="481"/>
        <w:rPr>
          <w:rFonts w:ascii="宋体" w:hAnsi="宋体" w:eastAsia="宋体" w:cs="宋体"/>
          <w:sz w:val="24"/>
          <w:szCs w:val="24"/>
        </w:rPr>
      </w:pPr>
      <w:r>
        <w:rPr>
          <w:rFonts w:ascii="宋体" w:hAnsi="宋体" w:eastAsia="宋体" w:cs="宋体"/>
          <w:spacing w:val="-2"/>
          <w:sz w:val="24"/>
          <w:szCs w:val="24"/>
        </w:rPr>
        <w:t>如甲方已付款项少于本协议第一条的核准的金额，则甲方应在乙方满足了质量保证金退还的全部条件后</w:t>
      </w:r>
      <w:r>
        <w:rPr>
          <w:rFonts w:ascii="宋体" w:hAnsi="宋体" w:eastAsia="宋体" w:cs="宋体"/>
          <w:spacing w:val="-2"/>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2"/>
          <w:sz w:val="24"/>
          <w:szCs w:val="24"/>
        </w:rPr>
        <w:t>天内将少付工程款（含质量保证金）支付予乙方。</w:t>
      </w:r>
    </w:p>
    <w:p w14:paraId="185F5678">
      <w:pPr>
        <w:spacing w:before="3" w:line="359" w:lineRule="auto"/>
        <w:ind w:left="9" w:firstLine="483"/>
        <w:jc w:val="both"/>
        <w:rPr>
          <w:rFonts w:ascii="宋体" w:hAnsi="宋体" w:eastAsia="宋体" w:cs="宋体"/>
          <w:sz w:val="24"/>
          <w:szCs w:val="24"/>
        </w:rPr>
      </w:pPr>
      <w:r>
        <w:rPr>
          <w:rFonts w:ascii="宋体" w:hAnsi="宋体" w:eastAsia="宋体" w:cs="宋体"/>
          <w:spacing w:val="-2"/>
          <w:sz w:val="24"/>
          <w:szCs w:val="24"/>
        </w:rPr>
        <w:t>如甲方已付款项超过本协议第一条的核准的金额，则乙方应在收到甲方发出的还款</w:t>
      </w:r>
      <w:r>
        <w:rPr>
          <w:rFonts w:ascii="宋体" w:hAnsi="宋体" w:eastAsia="宋体" w:cs="宋体"/>
          <w:spacing w:val="1"/>
          <w:sz w:val="24"/>
          <w:szCs w:val="24"/>
        </w:rPr>
        <w:t>通知后</w:t>
      </w:r>
      <w:r>
        <w:rPr>
          <w:rFonts w:ascii="宋体" w:hAnsi="宋体" w:eastAsia="宋体" w:cs="宋体"/>
          <w:spacing w:val="-119"/>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1"/>
          <w:sz w:val="24"/>
          <w:szCs w:val="24"/>
        </w:rPr>
        <w:t>天内将超出核准金额的工程款返还给甲方，且甲方无需将质量保</w:t>
      </w:r>
      <w:r>
        <w:rPr>
          <w:rFonts w:ascii="宋体" w:hAnsi="宋体" w:eastAsia="宋体" w:cs="宋体"/>
          <w:sz w:val="24"/>
          <w:szCs w:val="24"/>
        </w:rPr>
        <w:t>证金退还给</w:t>
      </w:r>
      <w:r>
        <w:rPr>
          <w:rFonts w:ascii="宋体" w:hAnsi="宋体" w:eastAsia="宋体" w:cs="宋体"/>
          <w:spacing w:val="-10"/>
          <w:sz w:val="24"/>
          <w:szCs w:val="24"/>
        </w:rPr>
        <w:t>乙方。</w:t>
      </w:r>
    </w:p>
    <w:p w14:paraId="0733F9AA">
      <w:pPr>
        <w:spacing w:line="360" w:lineRule="auto"/>
        <w:ind w:left="10" w:firstLine="501"/>
        <w:rPr>
          <w:rFonts w:ascii="宋体" w:hAnsi="宋体" w:eastAsia="宋体" w:cs="宋体"/>
          <w:sz w:val="24"/>
          <w:szCs w:val="24"/>
        </w:rPr>
      </w:pPr>
      <w:r>
        <w:rPr>
          <w:rFonts w:ascii="宋体" w:hAnsi="宋体" w:eastAsia="宋体" w:cs="宋体"/>
          <w:spacing w:val="-7"/>
          <w:sz w:val="24"/>
          <w:szCs w:val="24"/>
        </w:rPr>
        <w:t>四、如甲方或乙方未按本协议约定履行付款义务，</w:t>
      </w:r>
      <w:r>
        <w:rPr>
          <w:rFonts w:ascii="宋体" w:hAnsi="宋体" w:eastAsia="宋体" w:cs="宋体"/>
          <w:spacing w:val="51"/>
          <w:sz w:val="24"/>
          <w:szCs w:val="24"/>
        </w:rPr>
        <w:t xml:space="preserve"> </w:t>
      </w:r>
      <w:r>
        <w:rPr>
          <w:rFonts w:ascii="宋体" w:hAnsi="宋体" w:eastAsia="宋体" w:cs="宋体"/>
          <w:spacing w:val="-7"/>
          <w:sz w:val="24"/>
          <w:szCs w:val="24"/>
        </w:rPr>
        <w:t>则每延迟一天，违约方需向对方</w:t>
      </w:r>
      <w:r>
        <w:rPr>
          <w:rFonts w:ascii="宋体" w:hAnsi="宋体" w:eastAsia="宋体" w:cs="宋体"/>
          <w:spacing w:val="-3"/>
          <w:sz w:val="24"/>
          <w:szCs w:val="24"/>
        </w:rPr>
        <w:t>支付相当于未付款项的</w:t>
      </w:r>
      <w:r>
        <w:rPr>
          <w:rFonts w:ascii="宋体" w:hAnsi="宋体" w:eastAsia="宋体" w:cs="宋体"/>
          <w:spacing w:val="-3"/>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pacing w:val="-3"/>
          <w:sz w:val="24"/>
          <w:szCs w:val="24"/>
        </w:rPr>
        <w:t>%作为违约金。</w:t>
      </w:r>
    </w:p>
    <w:p w14:paraId="6C0662C2">
      <w:pPr>
        <w:spacing w:before="1" w:line="218" w:lineRule="auto"/>
        <w:ind w:left="493"/>
        <w:rPr>
          <w:rFonts w:ascii="宋体" w:hAnsi="宋体" w:eastAsia="宋体" w:cs="宋体"/>
          <w:sz w:val="24"/>
          <w:szCs w:val="24"/>
        </w:rPr>
      </w:pPr>
      <w:r>
        <w:rPr>
          <w:rFonts w:ascii="宋体" w:hAnsi="宋体" w:eastAsia="宋体" w:cs="宋体"/>
          <w:spacing w:val="-2"/>
          <w:sz w:val="24"/>
          <w:szCs w:val="24"/>
        </w:rPr>
        <w:t>五、本协议条款与合同如有冲突，以本协议</w:t>
      </w:r>
      <w:r>
        <w:rPr>
          <w:rFonts w:ascii="宋体" w:hAnsi="宋体" w:eastAsia="宋体" w:cs="宋体"/>
          <w:spacing w:val="-3"/>
          <w:sz w:val="24"/>
          <w:szCs w:val="24"/>
        </w:rPr>
        <w:t>为准。</w:t>
      </w:r>
    </w:p>
    <w:p w14:paraId="46CEDB7C">
      <w:pPr>
        <w:spacing w:before="183" w:line="219" w:lineRule="auto"/>
        <w:ind w:left="491"/>
        <w:rPr>
          <w:rFonts w:ascii="宋体" w:hAnsi="宋体" w:eastAsia="宋体" w:cs="宋体"/>
          <w:sz w:val="24"/>
          <w:szCs w:val="24"/>
        </w:rPr>
      </w:pPr>
      <w:r>
        <w:rPr>
          <w:rFonts w:ascii="宋体" w:hAnsi="宋体" w:eastAsia="宋体" w:cs="宋体"/>
          <w:spacing w:val="-1"/>
          <w:sz w:val="24"/>
          <w:szCs w:val="24"/>
        </w:rPr>
        <w:t>六、本协议经双方法定代表人（负责人）或授权代</w:t>
      </w:r>
      <w:r>
        <w:rPr>
          <w:rFonts w:ascii="宋体" w:hAnsi="宋体" w:eastAsia="宋体" w:cs="宋体"/>
          <w:spacing w:val="-2"/>
          <w:sz w:val="24"/>
          <w:szCs w:val="24"/>
        </w:rPr>
        <w:t>表签字并加盖公章后生效。</w:t>
      </w:r>
    </w:p>
    <w:p w14:paraId="11C511C4">
      <w:pPr>
        <w:spacing w:before="183" w:line="219" w:lineRule="auto"/>
        <w:ind w:left="488"/>
        <w:rPr>
          <w:rFonts w:ascii="宋体" w:hAnsi="宋体" w:eastAsia="宋体" w:cs="宋体"/>
          <w:sz w:val="24"/>
          <w:szCs w:val="24"/>
        </w:rPr>
      </w:pPr>
      <w:r>
        <w:rPr>
          <w:rFonts w:ascii="宋体" w:hAnsi="宋体" w:eastAsia="宋体" w:cs="宋体"/>
          <w:spacing w:val="-2"/>
          <w:sz w:val="24"/>
          <w:szCs w:val="24"/>
        </w:rPr>
        <w:t>七、本协议一式</w:t>
      </w:r>
      <w:r>
        <w:rPr>
          <w:rFonts w:ascii="宋体" w:hAnsi="宋体" w:eastAsia="宋体" w:cs="宋体"/>
          <w:spacing w:val="-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2"/>
          <w:sz w:val="24"/>
          <w:szCs w:val="24"/>
        </w:rPr>
        <w:t>份，甲、乙双方各执</w:t>
      </w:r>
      <w:r>
        <w:rPr>
          <w:rFonts w:ascii="宋体" w:hAnsi="宋体" w:eastAsia="宋体" w:cs="宋体"/>
          <w:spacing w:val="-2"/>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份。</w:t>
      </w:r>
    </w:p>
    <w:p w14:paraId="16A6F5DA">
      <w:pPr>
        <w:pStyle w:val="2"/>
        <w:spacing w:line="284" w:lineRule="auto"/>
      </w:pPr>
    </w:p>
    <w:p w14:paraId="6115D48E">
      <w:pPr>
        <w:pStyle w:val="2"/>
        <w:spacing w:line="285" w:lineRule="auto"/>
      </w:pPr>
    </w:p>
    <w:p w14:paraId="27C32546">
      <w:pPr>
        <w:spacing w:before="79" w:line="219" w:lineRule="auto"/>
        <w:ind w:left="40"/>
        <w:rPr>
          <w:rFonts w:ascii="宋体" w:hAnsi="宋体" w:eastAsia="宋体" w:cs="宋体"/>
          <w:sz w:val="24"/>
          <w:szCs w:val="24"/>
        </w:rPr>
      </w:pPr>
      <w:r>
        <w:rPr>
          <w:rFonts w:ascii="宋体" w:hAnsi="宋体" w:eastAsia="宋体" w:cs="宋体"/>
          <w:spacing w:val="-9"/>
          <w:sz w:val="24"/>
          <w:szCs w:val="24"/>
        </w:rPr>
        <w:t>甲 方</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9"/>
          <w:sz w:val="24"/>
          <w:szCs w:val="24"/>
        </w:rPr>
        <w:t>盖章）</w:t>
      </w:r>
      <w:r>
        <w:rPr>
          <w:rFonts w:ascii="宋体" w:hAnsi="宋体" w:eastAsia="宋体" w:cs="宋体"/>
          <w:spacing w:val="7"/>
          <w:sz w:val="24"/>
          <w:szCs w:val="24"/>
        </w:rPr>
        <w:t xml:space="preserve">     </w:t>
      </w:r>
      <w:r>
        <w:rPr>
          <w:rFonts w:ascii="宋体" w:hAnsi="宋体" w:eastAsia="宋体" w:cs="宋体"/>
          <w:spacing w:val="-9"/>
          <w:sz w:val="24"/>
          <w:szCs w:val="24"/>
        </w:rPr>
        <w:t>乙</w:t>
      </w:r>
      <w:r>
        <w:rPr>
          <w:rFonts w:ascii="宋体" w:hAnsi="宋体" w:eastAsia="宋体" w:cs="宋体"/>
          <w:spacing w:val="10"/>
          <w:sz w:val="24"/>
          <w:szCs w:val="24"/>
        </w:rPr>
        <w:t xml:space="preserve"> </w:t>
      </w:r>
      <w:r>
        <w:rPr>
          <w:rFonts w:ascii="宋体" w:hAnsi="宋体" w:eastAsia="宋体" w:cs="宋体"/>
          <w:spacing w:val="-9"/>
          <w:sz w:val="24"/>
          <w:szCs w:val="24"/>
        </w:rPr>
        <w:t>方</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9"/>
          <w:sz w:val="24"/>
          <w:szCs w:val="24"/>
        </w:rPr>
        <w:t>盖章）</w:t>
      </w:r>
    </w:p>
    <w:p w14:paraId="2148307B">
      <w:pPr>
        <w:spacing w:before="183" w:line="220" w:lineRule="auto"/>
        <w:ind w:left="9"/>
        <w:rPr>
          <w:rFonts w:ascii="宋体" w:hAnsi="宋体" w:eastAsia="宋体" w:cs="宋体"/>
          <w:sz w:val="24"/>
          <w:szCs w:val="24"/>
        </w:rPr>
      </w:pPr>
      <w:r>
        <w:rPr>
          <w:rFonts w:ascii="宋体" w:hAnsi="宋体" w:eastAsia="宋体" w:cs="宋体"/>
          <w:spacing w:val="-2"/>
          <w:sz w:val="24"/>
          <w:szCs w:val="24"/>
        </w:rPr>
        <w:t>签署代表：</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 xml:space="preserve">         签署代表：</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p>
    <w:p w14:paraId="4207ACB9">
      <w:pPr>
        <w:spacing w:before="183" w:line="220" w:lineRule="auto"/>
        <w:ind w:left="9"/>
        <w:rPr>
          <w:rFonts w:ascii="宋体" w:hAnsi="宋体" w:eastAsia="宋体" w:cs="宋体"/>
          <w:sz w:val="24"/>
          <w:szCs w:val="24"/>
        </w:rPr>
      </w:pPr>
      <w:r>
        <w:rPr>
          <w:rFonts w:ascii="宋体" w:hAnsi="宋体" w:eastAsia="宋体" w:cs="宋体"/>
          <w:spacing w:val="-2"/>
          <w:sz w:val="24"/>
          <w:szCs w:val="24"/>
        </w:rPr>
        <w:t>签署日期：</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 xml:space="preserve">         签署日期：</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p>
    <w:p w14:paraId="3A3569F8">
      <w:pPr>
        <w:spacing w:line="220" w:lineRule="auto"/>
        <w:rPr>
          <w:rFonts w:ascii="宋体" w:hAnsi="宋体" w:eastAsia="宋体" w:cs="宋体"/>
          <w:sz w:val="24"/>
          <w:szCs w:val="24"/>
        </w:rPr>
        <w:sectPr>
          <w:footerReference r:id="rId155" w:type="default"/>
          <w:pgSz w:w="11905" w:h="16840"/>
          <w:pgMar w:top="1182" w:right="1416" w:bottom="1171" w:left="1416" w:header="849" w:footer="937" w:gutter="0"/>
          <w:pgNumType w:fmt="decimal"/>
          <w:cols w:space="720" w:num="1"/>
        </w:sectPr>
      </w:pPr>
    </w:p>
    <w:p w14:paraId="403D2B32">
      <w:pPr>
        <w:pStyle w:val="2"/>
      </w:pPr>
    </w:p>
    <w:p w14:paraId="65634F7B">
      <w:pPr>
        <w:pStyle w:val="2"/>
      </w:pPr>
    </w:p>
    <w:p w14:paraId="14B3C9FE">
      <w:pPr>
        <w:pStyle w:val="2"/>
      </w:pPr>
    </w:p>
    <w:p w14:paraId="60F4AB6D">
      <w:pPr>
        <w:pStyle w:val="2"/>
      </w:pPr>
    </w:p>
    <w:p w14:paraId="4E80A669">
      <w:pPr>
        <w:pStyle w:val="2"/>
      </w:pPr>
    </w:p>
    <w:p w14:paraId="2469049D">
      <w:pPr>
        <w:pStyle w:val="2"/>
      </w:pPr>
    </w:p>
    <w:p w14:paraId="6D491885">
      <w:pPr>
        <w:pStyle w:val="2"/>
      </w:pPr>
    </w:p>
    <w:p w14:paraId="59F4B6A8">
      <w:pPr>
        <w:pStyle w:val="2"/>
      </w:pPr>
    </w:p>
    <w:p w14:paraId="3FCDA73F">
      <w:pPr>
        <w:pStyle w:val="2"/>
      </w:pPr>
    </w:p>
    <w:p w14:paraId="620C32E5">
      <w:pPr>
        <w:pStyle w:val="2"/>
      </w:pPr>
    </w:p>
    <w:p w14:paraId="51E7ABCE">
      <w:pPr>
        <w:pStyle w:val="2"/>
      </w:pPr>
    </w:p>
    <w:p w14:paraId="5173A137">
      <w:pPr>
        <w:pStyle w:val="2"/>
      </w:pPr>
    </w:p>
    <w:p w14:paraId="020FC393">
      <w:pPr>
        <w:pStyle w:val="2"/>
      </w:pPr>
    </w:p>
    <w:p w14:paraId="338378A6">
      <w:pPr>
        <w:pStyle w:val="2"/>
      </w:pPr>
    </w:p>
    <w:p w14:paraId="0BA55AC1">
      <w:pPr>
        <w:pStyle w:val="2"/>
      </w:pPr>
    </w:p>
    <w:p w14:paraId="77E517BF">
      <w:pPr>
        <w:pStyle w:val="2"/>
      </w:pPr>
    </w:p>
    <w:p w14:paraId="50BE5CB7">
      <w:pPr>
        <w:pStyle w:val="2"/>
      </w:pPr>
    </w:p>
    <w:p w14:paraId="1792F720">
      <w:pPr>
        <w:pStyle w:val="2"/>
      </w:pPr>
    </w:p>
    <w:p w14:paraId="4A869349">
      <w:pPr>
        <w:pStyle w:val="2"/>
        <w:spacing w:line="241" w:lineRule="auto"/>
      </w:pPr>
    </w:p>
    <w:p w14:paraId="64DC9A7D">
      <w:pPr>
        <w:pStyle w:val="2"/>
        <w:spacing w:line="241" w:lineRule="auto"/>
      </w:pPr>
    </w:p>
    <w:p w14:paraId="324A18A7">
      <w:pPr>
        <w:pStyle w:val="2"/>
        <w:spacing w:line="241" w:lineRule="auto"/>
      </w:pPr>
    </w:p>
    <w:p w14:paraId="5ECD9255">
      <w:pPr>
        <w:pStyle w:val="2"/>
        <w:spacing w:line="241" w:lineRule="auto"/>
      </w:pPr>
    </w:p>
    <w:p w14:paraId="043D0362">
      <w:pPr>
        <w:pStyle w:val="2"/>
        <w:spacing w:line="241" w:lineRule="auto"/>
      </w:pPr>
    </w:p>
    <w:p w14:paraId="3D9564F7">
      <w:pPr>
        <w:pStyle w:val="2"/>
        <w:spacing w:line="241" w:lineRule="auto"/>
      </w:pPr>
    </w:p>
    <w:p w14:paraId="67AF7BE1">
      <w:pPr>
        <w:spacing w:before="140" w:line="223" w:lineRule="auto"/>
        <w:ind w:left="2678"/>
        <w:outlineLvl w:val="0"/>
        <w:rPr>
          <w:rFonts w:ascii="宋体" w:hAnsi="宋体" w:eastAsia="宋体" w:cs="宋体"/>
          <w:sz w:val="43"/>
          <w:szCs w:val="43"/>
        </w:rPr>
      </w:pPr>
      <w:bookmarkStart w:id="48" w:name="bookmark10"/>
      <w:bookmarkEnd w:id="48"/>
      <w:bookmarkStart w:id="49" w:name="bookmark22"/>
      <w:bookmarkEnd w:id="49"/>
      <w:r>
        <w:rPr>
          <w:rFonts w:ascii="宋体" w:hAnsi="宋体" w:eastAsia="宋体" w:cs="宋体"/>
          <w:b/>
          <w:bCs/>
          <w:spacing w:val="5"/>
          <w:sz w:val="43"/>
          <w:szCs w:val="43"/>
        </w:rPr>
        <w:t>第五章</w:t>
      </w:r>
      <w:r>
        <w:rPr>
          <w:rFonts w:ascii="宋体" w:hAnsi="宋体" w:eastAsia="宋体" w:cs="宋体"/>
          <w:spacing w:val="5"/>
          <w:sz w:val="43"/>
          <w:szCs w:val="43"/>
        </w:rPr>
        <w:t xml:space="preserve"> </w:t>
      </w:r>
      <w:r>
        <w:rPr>
          <w:rFonts w:ascii="宋体" w:hAnsi="宋体" w:eastAsia="宋体" w:cs="宋体"/>
          <w:b/>
          <w:bCs/>
          <w:spacing w:val="5"/>
          <w:sz w:val="43"/>
          <w:szCs w:val="43"/>
        </w:rPr>
        <w:t>工程量清单</w:t>
      </w:r>
    </w:p>
    <w:p w14:paraId="424CE388">
      <w:pPr>
        <w:spacing w:line="223" w:lineRule="auto"/>
        <w:rPr>
          <w:rFonts w:hint="eastAsia" w:ascii="宋体" w:hAnsi="宋体" w:eastAsia="宋体" w:cs="宋体"/>
          <w:sz w:val="43"/>
          <w:szCs w:val="43"/>
        </w:rPr>
      </w:pPr>
    </w:p>
    <w:p w14:paraId="4175851D">
      <w:pPr>
        <w:spacing w:line="223" w:lineRule="auto"/>
        <w:jc w:val="center"/>
        <w:rPr>
          <w:rFonts w:hint="eastAsia" w:ascii="宋体" w:hAnsi="宋体" w:eastAsia="宋体" w:cs="宋体"/>
          <w:sz w:val="43"/>
          <w:szCs w:val="43"/>
        </w:rPr>
        <w:sectPr>
          <w:footerReference r:id="rId156" w:type="default"/>
          <w:pgSz w:w="11905" w:h="16840"/>
          <w:pgMar w:top="1182" w:right="1416" w:bottom="1171" w:left="1416" w:header="849" w:footer="937" w:gutter="0"/>
          <w:pgNumType w:fmt="decimal"/>
          <w:cols w:space="720" w:num="1"/>
        </w:sectPr>
      </w:pPr>
      <w:r>
        <w:rPr>
          <w:rFonts w:hint="eastAsia" w:ascii="宋体" w:hAnsi="宋体" w:eastAsia="宋体" w:cs="宋体"/>
          <w:sz w:val="43"/>
          <w:szCs w:val="43"/>
        </w:rPr>
        <w:t>（另册）</w:t>
      </w:r>
    </w:p>
    <w:p w14:paraId="4360B433">
      <w:pPr>
        <w:pStyle w:val="2"/>
        <w:spacing w:line="252" w:lineRule="auto"/>
      </w:pPr>
    </w:p>
    <w:p w14:paraId="22ECD0DD">
      <w:pPr>
        <w:pStyle w:val="2"/>
        <w:spacing w:line="252" w:lineRule="auto"/>
      </w:pPr>
    </w:p>
    <w:p w14:paraId="7DBB5B64">
      <w:pPr>
        <w:pStyle w:val="2"/>
        <w:spacing w:line="252" w:lineRule="auto"/>
      </w:pPr>
    </w:p>
    <w:p w14:paraId="2A38E346">
      <w:pPr>
        <w:pStyle w:val="2"/>
        <w:spacing w:line="252" w:lineRule="auto"/>
      </w:pPr>
    </w:p>
    <w:p w14:paraId="019ABA29">
      <w:pPr>
        <w:pStyle w:val="2"/>
        <w:spacing w:line="252" w:lineRule="auto"/>
      </w:pPr>
    </w:p>
    <w:p w14:paraId="7FE5849E">
      <w:pPr>
        <w:pStyle w:val="2"/>
        <w:spacing w:line="252" w:lineRule="auto"/>
      </w:pPr>
    </w:p>
    <w:p w14:paraId="5943B264">
      <w:pPr>
        <w:pStyle w:val="2"/>
        <w:spacing w:line="252" w:lineRule="auto"/>
      </w:pPr>
    </w:p>
    <w:p w14:paraId="6E72CEC4">
      <w:pPr>
        <w:pStyle w:val="2"/>
        <w:spacing w:line="252" w:lineRule="auto"/>
      </w:pPr>
    </w:p>
    <w:p w14:paraId="75B69430">
      <w:pPr>
        <w:pStyle w:val="2"/>
        <w:spacing w:line="252" w:lineRule="auto"/>
      </w:pPr>
    </w:p>
    <w:p w14:paraId="612ECAAB">
      <w:pPr>
        <w:pStyle w:val="2"/>
        <w:spacing w:line="253" w:lineRule="auto"/>
      </w:pPr>
    </w:p>
    <w:p w14:paraId="13E90068">
      <w:pPr>
        <w:pStyle w:val="2"/>
        <w:spacing w:line="253" w:lineRule="auto"/>
      </w:pPr>
    </w:p>
    <w:p w14:paraId="2A808E72">
      <w:pPr>
        <w:pStyle w:val="2"/>
        <w:spacing w:line="253" w:lineRule="auto"/>
      </w:pPr>
    </w:p>
    <w:p w14:paraId="414FCAD2">
      <w:pPr>
        <w:pStyle w:val="2"/>
        <w:spacing w:line="253" w:lineRule="auto"/>
      </w:pPr>
    </w:p>
    <w:p w14:paraId="67AFE851">
      <w:pPr>
        <w:pStyle w:val="2"/>
        <w:spacing w:line="253" w:lineRule="auto"/>
      </w:pPr>
    </w:p>
    <w:p w14:paraId="3892CEB9">
      <w:pPr>
        <w:pStyle w:val="2"/>
        <w:spacing w:line="253" w:lineRule="auto"/>
      </w:pPr>
    </w:p>
    <w:p w14:paraId="43D1928B">
      <w:pPr>
        <w:pStyle w:val="2"/>
        <w:spacing w:line="253" w:lineRule="auto"/>
      </w:pPr>
    </w:p>
    <w:p w14:paraId="76AC66F9">
      <w:pPr>
        <w:pStyle w:val="2"/>
        <w:spacing w:line="253" w:lineRule="auto"/>
      </w:pPr>
    </w:p>
    <w:p w14:paraId="70A26A33">
      <w:pPr>
        <w:spacing w:before="234" w:line="222" w:lineRule="auto"/>
        <w:ind w:left="3124"/>
        <w:rPr>
          <w:rFonts w:ascii="黑体" w:hAnsi="黑体" w:eastAsia="黑体" w:cs="黑体"/>
          <w:sz w:val="72"/>
          <w:szCs w:val="72"/>
        </w:rPr>
      </w:pPr>
      <w:r>
        <w:rPr>
          <w:rFonts w:ascii="黑体" w:hAnsi="黑体" w:eastAsia="黑体" w:cs="黑体"/>
          <w:spacing w:val="-23"/>
          <w:sz w:val="72"/>
          <w:szCs w:val="72"/>
        </w:rPr>
        <w:t>第</w:t>
      </w:r>
      <w:r>
        <w:rPr>
          <w:rFonts w:ascii="黑体" w:hAnsi="黑体" w:eastAsia="黑体" w:cs="黑体"/>
          <w:spacing w:val="39"/>
          <w:sz w:val="72"/>
          <w:szCs w:val="72"/>
        </w:rPr>
        <w:t xml:space="preserve"> </w:t>
      </w:r>
      <w:r>
        <w:rPr>
          <w:rFonts w:ascii="黑体" w:hAnsi="黑体" w:eastAsia="黑体" w:cs="黑体"/>
          <w:spacing w:val="-23"/>
          <w:sz w:val="72"/>
          <w:szCs w:val="72"/>
        </w:rPr>
        <w:t>二</w:t>
      </w:r>
      <w:r>
        <w:rPr>
          <w:rFonts w:ascii="黑体" w:hAnsi="黑体" w:eastAsia="黑体" w:cs="黑体"/>
          <w:spacing w:val="40"/>
          <w:sz w:val="72"/>
          <w:szCs w:val="72"/>
        </w:rPr>
        <w:t xml:space="preserve"> </w:t>
      </w:r>
      <w:r>
        <w:rPr>
          <w:rFonts w:ascii="黑体" w:hAnsi="黑体" w:eastAsia="黑体" w:cs="黑体"/>
          <w:spacing w:val="-23"/>
          <w:sz w:val="72"/>
          <w:szCs w:val="72"/>
        </w:rPr>
        <w:t>卷</w:t>
      </w:r>
    </w:p>
    <w:p w14:paraId="33395816">
      <w:pPr>
        <w:spacing w:line="222" w:lineRule="auto"/>
        <w:rPr>
          <w:rFonts w:ascii="黑体" w:hAnsi="黑体" w:eastAsia="黑体" w:cs="黑体"/>
          <w:sz w:val="72"/>
          <w:szCs w:val="72"/>
        </w:rPr>
        <w:sectPr>
          <w:footerReference r:id="rId157" w:type="default"/>
          <w:pgSz w:w="11905" w:h="16840"/>
          <w:pgMar w:top="1182" w:right="1416" w:bottom="1171" w:left="1416" w:header="849" w:footer="937" w:gutter="0"/>
          <w:pgNumType w:fmt="decimal"/>
          <w:cols w:space="720" w:num="1"/>
        </w:sectPr>
      </w:pPr>
    </w:p>
    <w:p w14:paraId="6BAB87DD">
      <w:pPr>
        <w:pStyle w:val="2"/>
      </w:pPr>
    </w:p>
    <w:p w14:paraId="139104C0">
      <w:pPr>
        <w:pStyle w:val="2"/>
        <w:spacing w:line="241" w:lineRule="auto"/>
      </w:pPr>
    </w:p>
    <w:p w14:paraId="0F76580B">
      <w:pPr>
        <w:pStyle w:val="2"/>
        <w:spacing w:line="241" w:lineRule="auto"/>
      </w:pPr>
    </w:p>
    <w:p w14:paraId="33426ED9">
      <w:pPr>
        <w:pStyle w:val="2"/>
        <w:spacing w:line="241" w:lineRule="auto"/>
      </w:pPr>
    </w:p>
    <w:p w14:paraId="378EF1A5">
      <w:pPr>
        <w:pStyle w:val="2"/>
        <w:spacing w:line="241" w:lineRule="auto"/>
      </w:pPr>
    </w:p>
    <w:p w14:paraId="1FAE8C38">
      <w:pPr>
        <w:pStyle w:val="2"/>
        <w:spacing w:line="241" w:lineRule="auto"/>
      </w:pPr>
    </w:p>
    <w:p w14:paraId="0B71A059">
      <w:pPr>
        <w:pStyle w:val="2"/>
        <w:spacing w:line="241" w:lineRule="auto"/>
      </w:pPr>
    </w:p>
    <w:p w14:paraId="38389CDA">
      <w:pPr>
        <w:pStyle w:val="2"/>
        <w:spacing w:line="241" w:lineRule="auto"/>
      </w:pPr>
    </w:p>
    <w:p w14:paraId="7D732A5C">
      <w:pPr>
        <w:pStyle w:val="2"/>
        <w:spacing w:line="241" w:lineRule="auto"/>
      </w:pPr>
    </w:p>
    <w:p w14:paraId="12DF2C67">
      <w:pPr>
        <w:pStyle w:val="2"/>
        <w:spacing w:line="241" w:lineRule="auto"/>
      </w:pPr>
    </w:p>
    <w:p w14:paraId="76FC4FA7">
      <w:pPr>
        <w:pStyle w:val="2"/>
        <w:spacing w:line="241" w:lineRule="auto"/>
      </w:pPr>
    </w:p>
    <w:p w14:paraId="6477DB30">
      <w:pPr>
        <w:pStyle w:val="2"/>
        <w:spacing w:line="241" w:lineRule="auto"/>
      </w:pPr>
    </w:p>
    <w:p w14:paraId="11955108">
      <w:pPr>
        <w:pStyle w:val="2"/>
        <w:spacing w:line="241" w:lineRule="auto"/>
      </w:pPr>
    </w:p>
    <w:p w14:paraId="193E1BBB">
      <w:pPr>
        <w:pStyle w:val="2"/>
        <w:spacing w:line="241" w:lineRule="auto"/>
      </w:pPr>
    </w:p>
    <w:p w14:paraId="440C914E">
      <w:pPr>
        <w:pStyle w:val="2"/>
        <w:spacing w:line="241" w:lineRule="auto"/>
      </w:pPr>
    </w:p>
    <w:p w14:paraId="0AEE7456">
      <w:pPr>
        <w:pStyle w:val="2"/>
        <w:spacing w:line="241" w:lineRule="auto"/>
      </w:pPr>
    </w:p>
    <w:p w14:paraId="38B19C9F">
      <w:pPr>
        <w:pStyle w:val="2"/>
        <w:spacing w:line="241" w:lineRule="auto"/>
      </w:pPr>
    </w:p>
    <w:p w14:paraId="0A365E2B">
      <w:pPr>
        <w:pStyle w:val="2"/>
        <w:spacing w:line="241" w:lineRule="auto"/>
      </w:pPr>
    </w:p>
    <w:p w14:paraId="0A4A361A">
      <w:pPr>
        <w:pStyle w:val="2"/>
        <w:spacing w:line="241" w:lineRule="auto"/>
      </w:pPr>
    </w:p>
    <w:p w14:paraId="417DEB40">
      <w:pPr>
        <w:pStyle w:val="2"/>
        <w:spacing w:line="241" w:lineRule="auto"/>
      </w:pPr>
    </w:p>
    <w:p w14:paraId="193C2C8B">
      <w:pPr>
        <w:pStyle w:val="2"/>
        <w:spacing w:line="241" w:lineRule="auto"/>
      </w:pPr>
    </w:p>
    <w:p w14:paraId="4FF46483">
      <w:pPr>
        <w:pStyle w:val="2"/>
        <w:spacing w:line="241" w:lineRule="auto"/>
      </w:pPr>
    </w:p>
    <w:p w14:paraId="598C4565">
      <w:pPr>
        <w:spacing w:before="140" w:line="223" w:lineRule="auto"/>
        <w:ind w:left="2568"/>
        <w:rPr>
          <w:rFonts w:ascii="宋体" w:hAnsi="宋体" w:eastAsia="宋体" w:cs="宋体"/>
          <w:sz w:val="43"/>
          <w:szCs w:val="43"/>
        </w:rPr>
      </w:pPr>
      <w:r>
        <w:rPr>
          <w:rFonts w:ascii="宋体" w:hAnsi="宋体" w:eastAsia="宋体" w:cs="宋体"/>
          <w:b/>
          <w:bCs/>
          <w:spacing w:val="-3"/>
          <w:sz w:val="43"/>
          <w:szCs w:val="43"/>
        </w:rPr>
        <w:t>第六章</w:t>
      </w:r>
      <w:r>
        <w:rPr>
          <w:rFonts w:ascii="宋体" w:hAnsi="宋体" w:eastAsia="宋体" w:cs="宋体"/>
          <w:spacing w:val="71"/>
          <w:sz w:val="43"/>
          <w:szCs w:val="43"/>
        </w:rPr>
        <w:t xml:space="preserve"> </w:t>
      </w:r>
      <w:r>
        <w:rPr>
          <w:rFonts w:ascii="宋体" w:hAnsi="宋体" w:eastAsia="宋体" w:cs="宋体"/>
          <w:b/>
          <w:bCs/>
          <w:spacing w:val="-3"/>
          <w:sz w:val="43"/>
          <w:szCs w:val="43"/>
        </w:rPr>
        <w:t>图纸（另册</w:t>
      </w:r>
      <w:r>
        <w:rPr>
          <w:rFonts w:hint="eastAsia" w:ascii="宋体" w:hAnsi="宋体" w:cs="宋体"/>
          <w:b/>
          <w:bCs/>
          <w:spacing w:val="-3"/>
          <w:sz w:val="43"/>
          <w:szCs w:val="43"/>
          <w:lang w:eastAsia="zh-CN"/>
        </w:rPr>
        <w:t>）</w:t>
      </w:r>
    </w:p>
    <w:p w14:paraId="368A76E3">
      <w:pPr>
        <w:spacing w:line="223" w:lineRule="auto"/>
        <w:rPr>
          <w:rFonts w:ascii="宋体" w:hAnsi="宋体" w:eastAsia="宋体" w:cs="宋体"/>
          <w:sz w:val="43"/>
          <w:szCs w:val="43"/>
        </w:rPr>
        <w:sectPr>
          <w:footerReference r:id="rId158" w:type="default"/>
          <w:pgSz w:w="11905" w:h="16840"/>
          <w:pgMar w:top="1182" w:right="1416" w:bottom="1171" w:left="1416" w:header="849" w:footer="937" w:gutter="0"/>
          <w:pgNumType w:fmt="decimal"/>
          <w:cols w:space="720" w:num="1"/>
        </w:sectPr>
      </w:pPr>
    </w:p>
    <w:p w14:paraId="221AA592">
      <w:pPr>
        <w:pStyle w:val="2"/>
        <w:spacing w:line="250" w:lineRule="auto"/>
      </w:pPr>
    </w:p>
    <w:p w14:paraId="61BE89A1">
      <w:pPr>
        <w:pStyle w:val="2"/>
        <w:spacing w:line="250" w:lineRule="auto"/>
      </w:pPr>
    </w:p>
    <w:p w14:paraId="699EAA87">
      <w:pPr>
        <w:pStyle w:val="2"/>
        <w:spacing w:line="250" w:lineRule="auto"/>
      </w:pPr>
    </w:p>
    <w:p w14:paraId="6FAF7E70">
      <w:pPr>
        <w:pStyle w:val="2"/>
        <w:spacing w:line="250" w:lineRule="auto"/>
      </w:pPr>
    </w:p>
    <w:p w14:paraId="0324DEB4">
      <w:pPr>
        <w:pStyle w:val="2"/>
        <w:spacing w:line="250" w:lineRule="auto"/>
      </w:pPr>
    </w:p>
    <w:p w14:paraId="640B968B">
      <w:pPr>
        <w:pStyle w:val="2"/>
        <w:spacing w:line="250" w:lineRule="auto"/>
      </w:pPr>
    </w:p>
    <w:p w14:paraId="5BCDE8CB">
      <w:pPr>
        <w:pStyle w:val="2"/>
        <w:spacing w:line="250" w:lineRule="auto"/>
      </w:pPr>
    </w:p>
    <w:p w14:paraId="4D003B68">
      <w:pPr>
        <w:pStyle w:val="2"/>
        <w:spacing w:line="250" w:lineRule="auto"/>
      </w:pPr>
    </w:p>
    <w:p w14:paraId="3020DC1A">
      <w:pPr>
        <w:pStyle w:val="2"/>
        <w:spacing w:line="250" w:lineRule="auto"/>
      </w:pPr>
    </w:p>
    <w:p w14:paraId="74007060">
      <w:pPr>
        <w:pStyle w:val="2"/>
        <w:spacing w:line="250" w:lineRule="auto"/>
      </w:pPr>
    </w:p>
    <w:p w14:paraId="7666299F">
      <w:pPr>
        <w:pStyle w:val="2"/>
        <w:spacing w:line="250" w:lineRule="auto"/>
      </w:pPr>
    </w:p>
    <w:p w14:paraId="34FF9A14">
      <w:pPr>
        <w:pStyle w:val="2"/>
        <w:spacing w:line="250" w:lineRule="auto"/>
      </w:pPr>
    </w:p>
    <w:p w14:paraId="7E7A8AAB">
      <w:pPr>
        <w:pStyle w:val="2"/>
        <w:spacing w:line="251" w:lineRule="auto"/>
      </w:pPr>
    </w:p>
    <w:p w14:paraId="6B51A88B">
      <w:pPr>
        <w:pStyle w:val="2"/>
        <w:spacing w:line="251" w:lineRule="auto"/>
      </w:pPr>
    </w:p>
    <w:p w14:paraId="29129F7B">
      <w:pPr>
        <w:pStyle w:val="2"/>
        <w:spacing w:line="251" w:lineRule="auto"/>
      </w:pPr>
    </w:p>
    <w:p w14:paraId="5ECFFB3E">
      <w:pPr>
        <w:pStyle w:val="2"/>
        <w:spacing w:line="251" w:lineRule="auto"/>
      </w:pPr>
    </w:p>
    <w:p w14:paraId="33881FBB">
      <w:pPr>
        <w:pStyle w:val="2"/>
        <w:spacing w:line="251" w:lineRule="auto"/>
      </w:pPr>
    </w:p>
    <w:p w14:paraId="4A2BBAC8">
      <w:pPr>
        <w:pStyle w:val="2"/>
        <w:spacing w:line="251" w:lineRule="auto"/>
      </w:pPr>
    </w:p>
    <w:p w14:paraId="274A26F2">
      <w:pPr>
        <w:pStyle w:val="2"/>
        <w:spacing w:line="251" w:lineRule="auto"/>
      </w:pPr>
    </w:p>
    <w:p w14:paraId="72C9F1AB">
      <w:pPr>
        <w:spacing w:before="234" w:line="222" w:lineRule="auto"/>
        <w:ind w:left="3124"/>
        <w:rPr>
          <w:rFonts w:ascii="黑体" w:hAnsi="黑体" w:eastAsia="黑体" w:cs="黑体"/>
          <w:sz w:val="72"/>
          <w:szCs w:val="72"/>
        </w:rPr>
      </w:pPr>
      <w:r>
        <w:rPr>
          <w:rFonts w:ascii="黑体" w:hAnsi="黑体" w:eastAsia="黑体" w:cs="黑体"/>
          <w:spacing w:val="-24"/>
          <w:sz w:val="72"/>
          <w:szCs w:val="72"/>
        </w:rPr>
        <w:t>第</w:t>
      </w:r>
      <w:r>
        <w:rPr>
          <w:rFonts w:ascii="黑体" w:hAnsi="黑体" w:eastAsia="黑体" w:cs="黑体"/>
          <w:spacing w:val="42"/>
          <w:sz w:val="72"/>
          <w:szCs w:val="72"/>
        </w:rPr>
        <w:t xml:space="preserve"> </w:t>
      </w:r>
      <w:r>
        <w:rPr>
          <w:rFonts w:ascii="黑体" w:hAnsi="黑体" w:eastAsia="黑体" w:cs="黑体"/>
          <w:spacing w:val="-24"/>
          <w:sz w:val="72"/>
          <w:szCs w:val="72"/>
        </w:rPr>
        <w:t>三</w:t>
      </w:r>
      <w:r>
        <w:rPr>
          <w:rFonts w:ascii="黑体" w:hAnsi="黑体" w:eastAsia="黑体" w:cs="黑体"/>
          <w:spacing w:val="40"/>
          <w:sz w:val="72"/>
          <w:szCs w:val="72"/>
        </w:rPr>
        <w:t xml:space="preserve"> </w:t>
      </w:r>
      <w:r>
        <w:rPr>
          <w:rFonts w:ascii="黑体" w:hAnsi="黑体" w:eastAsia="黑体" w:cs="黑体"/>
          <w:spacing w:val="-24"/>
          <w:sz w:val="72"/>
          <w:szCs w:val="72"/>
        </w:rPr>
        <w:t>卷</w:t>
      </w:r>
    </w:p>
    <w:p w14:paraId="347ED206">
      <w:pPr>
        <w:spacing w:line="222" w:lineRule="auto"/>
        <w:rPr>
          <w:rFonts w:ascii="黑体" w:hAnsi="黑体" w:eastAsia="黑体" w:cs="黑体"/>
          <w:sz w:val="72"/>
          <w:szCs w:val="72"/>
        </w:rPr>
        <w:sectPr>
          <w:footerReference r:id="rId159" w:type="default"/>
          <w:pgSz w:w="11905" w:h="16840"/>
          <w:pgMar w:top="1182" w:right="1416" w:bottom="1171" w:left="1416" w:header="849" w:footer="937" w:gutter="0"/>
          <w:pgNumType w:fmt="decimal"/>
          <w:cols w:space="720" w:num="1"/>
        </w:sectPr>
      </w:pPr>
    </w:p>
    <w:p w14:paraId="4B04B09E">
      <w:pPr>
        <w:pStyle w:val="2"/>
        <w:spacing w:line="241" w:lineRule="auto"/>
      </w:pPr>
    </w:p>
    <w:p w14:paraId="1E9441BE">
      <w:pPr>
        <w:pStyle w:val="2"/>
        <w:spacing w:line="241" w:lineRule="auto"/>
      </w:pPr>
    </w:p>
    <w:p w14:paraId="6B36B14B">
      <w:pPr>
        <w:pStyle w:val="2"/>
        <w:spacing w:line="241" w:lineRule="auto"/>
      </w:pPr>
    </w:p>
    <w:p w14:paraId="68537759">
      <w:pPr>
        <w:pStyle w:val="2"/>
        <w:spacing w:line="241" w:lineRule="auto"/>
      </w:pPr>
    </w:p>
    <w:p w14:paraId="0CECA779">
      <w:pPr>
        <w:pStyle w:val="2"/>
        <w:spacing w:line="242" w:lineRule="auto"/>
      </w:pPr>
    </w:p>
    <w:p w14:paraId="1AE60D76">
      <w:pPr>
        <w:pStyle w:val="2"/>
        <w:spacing w:line="242" w:lineRule="auto"/>
      </w:pPr>
    </w:p>
    <w:p w14:paraId="56721296">
      <w:pPr>
        <w:pStyle w:val="2"/>
        <w:spacing w:line="242" w:lineRule="auto"/>
      </w:pPr>
    </w:p>
    <w:p w14:paraId="382B9B34">
      <w:pPr>
        <w:pStyle w:val="2"/>
        <w:spacing w:line="242" w:lineRule="auto"/>
      </w:pPr>
    </w:p>
    <w:p w14:paraId="230509C0">
      <w:pPr>
        <w:pStyle w:val="2"/>
        <w:spacing w:line="242" w:lineRule="auto"/>
      </w:pPr>
    </w:p>
    <w:p w14:paraId="374BA292">
      <w:pPr>
        <w:pStyle w:val="2"/>
        <w:spacing w:line="242" w:lineRule="auto"/>
      </w:pPr>
    </w:p>
    <w:p w14:paraId="1FEB8995">
      <w:pPr>
        <w:pStyle w:val="2"/>
        <w:spacing w:line="242" w:lineRule="auto"/>
      </w:pPr>
    </w:p>
    <w:p w14:paraId="177444B7">
      <w:pPr>
        <w:pStyle w:val="2"/>
        <w:spacing w:line="242" w:lineRule="auto"/>
      </w:pPr>
    </w:p>
    <w:p w14:paraId="78637BBF">
      <w:pPr>
        <w:pStyle w:val="2"/>
        <w:spacing w:line="242" w:lineRule="auto"/>
      </w:pPr>
    </w:p>
    <w:p w14:paraId="0EE79696">
      <w:pPr>
        <w:pStyle w:val="2"/>
        <w:spacing w:line="242" w:lineRule="auto"/>
      </w:pPr>
    </w:p>
    <w:p w14:paraId="1867DFC3">
      <w:pPr>
        <w:pStyle w:val="2"/>
        <w:spacing w:line="242" w:lineRule="auto"/>
      </w:pPr>
    </w:p>
    <w:p w14:paraId="419BC30F">
      <w:pPr>
        <w:pStyle w:val="2"/>
        <w:spacing w:line="242" w:lineRule="auto"/>
      </w:pPr>
    </w:p>
    <w:p w14:paraId="27D11574">
      <w:pPr>
        <w:pStyle w:val="2"/>
        <w:spacing w:line="242" w:lineRule="auto"/>
      </w:pPr>
    </w:p>
    <w:p w14:paraId="52E833CB">
      <w:pPr>
        <w:pStyle w:val="2"/>
        <w:spacing w:line="242" w:lineRule="auto"/>
      </w:pPr>
    </w:p>
    <w:p w14:paraId="31DFC7D9">
      <w:pPr>
        <w:pStyle w:val="2"/>
        <w:spacing w:line="242" w:lineRule="auto"/>
      </w:pPr>
    </w:p>
    <w:p w14:paraId="0ABB9E0F">
      <w:pPr>
        <w:pStyle w:val="2"/>
        <w:spacing w:line="242" w:lineRule="auto"/>
      </w:pPr>
    </w:p>
    <w:p w14:paraId="23B35B03">
      <w:pPr>
        <w:spacing w:before="140" w:line="223" w:lineRule="auto"/>
        <w:ind w:left="2126"/>
        <w:outlineLvl w:val="0"/>
        <w:rPr>
          <w:rFonts w:ascii="宋体" w:hAnsi="宋体" w:eastAsia="宋体" w:cs="宋体"/>
          <w:sz w:val="43"/>
          <w:szCs w:val="43"/>
        </w:rPr>
      </w:pPr>
      <w:bookmarkStart w:id="50" w:name="bookmark11"/>
      <w:bookmarkEnd w:id="50"/>
      <w:r>
        <w:rPr>
          <w:rFonts w:ascii="宋体" w:hAnsi="宋体" w:eastAsia="宋体" w:cs="宋体"/>
          <w:b/>
          <w:bCs/>
          <w:spacing w:val="5"/>
          <w:sz w:val="43"/>
          <w:szCs w:val="43"/>
        </w:rPr>
        <w:t>第七章</w:t>
      </w:r>
      <w:r>
        <w:rPr>
          <w:rFonts w:ascii="宋体" w:hAnsi="宋体" w:eastAsia="宋体" w:cs="宋体"/>
          <w:spacing w:val="5"/>
          <w:sz w:val="43"/>
          <w:szCs w:val="43"/>
        </w:rPr>
        <w:t xml:space="preserve"> </w:t>
      </w:r>
      <w:r>
        <w:rPr>
          <w:rFonts w:ascii="宋体" w:hAnsi="宋体" w:eastAsia="宋体" w:cs="宋体"/>
          <w:b/>
          <w:bCs/>
          <w:spacing w:val="5"/>
          <w:sz w:val="43"/>
          <w:szCs w:val="43"/>
        </w:rPr>
        <w:t>技术规范（另册</w:t>
      </w:r>
      <w:r>
        <w:rPr>
          <w:rFonts w:hint="eastAsia" w:ascii="宋体" w:hAnsi="宋体" w:cs="宋体"/>
          <w:b/>
          <w:bCs/>
          <w:spacing w:val="5"/>
          <w:sz w:val="43"/>
          <w:szCs w:val="43"/>
          <w:lang w:eastAsia="zh-CN"/>
        </w:rPr>
        <w:t>）</w:t>
      </w:r>
    </w:p>
    <w:p w14:paraId="6B14C62D">
      <w:pPr>
        <w:spacing w:line="223" w:lineRule="auto"/>
        <w:rPr>
          <w:rFonts w:ascii="宋体" w:hAnsi="宋体" w:eastAsia="宋体" w:cs="宋体"/>
          <w:sz w:val="43"/>
          <w:szCs w:val="43"/>
        </w:rPr>
        <w:sectPr>
          <w:footerReference r:id="rId160" w:type="default"/>
          <w:pgSz w:w="11905" w:h="16840"/>
          <w:pgMar w:top="1182" w:right="1416" w:bottom="1171" w:left="1416" w:header="849" w:footer="937" w:gutter="0"/>
          <w:pgNumType w:fmt="decimal"/>
          <w:cols w:space="720" w:num="1"/>
        </w:sectPr>
      </w:pPr>
    </w:p>
    <w:p w14:paraId="55F3FA3C">
      <w:pPr>
        <w:pStyle w:val="2"/>
      </w:pPr>
    </w:p>
    <w:p w14:paraId="76A499C9">
      <w:pPr>
        <w:pStyle w:val="2"/>
        <w:spacing w:line="241" w:lineRule="auto"/>
      </w:pPr>
    </w:p>
    <w:p w14:paraId="7B574CBE">
      <w:pPr>
        <w:pStyle w:val="2"/>
        <w:spacing w:line="241" w:lineRule="auto"/>
      </w:pPr>
    </w:p>
    <w:p w14:paraId="11BE5E54">
      <w:pPr>
        <w:pStyle w:val="2"/>
        <w:spacing w:line="241" w:lineRule="auto"/>
      </w:pPr>
    </w:p>
    <w:p w14:paraId="43B01653">
      <w:pPr>
        <w:pStyle w:val="2"/>
        <w:spacing w:line="241" w:lineRule="auto"/>
      </w:pPr>
    </w:p>
    <w:p w14:paraId="17B38CE0">
      <w:pPr>
        <w:pStyle w:val="2"/>
        <w:spacing w:line="241" w:lineRule="auto"/>
      </w:pPr>
    </w:p>
    <w:p w14:paraId="251EF727">
      <w:pPr>
        <w:pStyle w:val="2"/>
        <w:spacing w:line="241" w:lineRule="auto"/>
      </w:pPr>
    </w:p>
    <w:p w14:paraId="2A9DFE16">
      <w:pPr>
        <w:pStyle w:val="2"/>
        <w:spacing w:line="241" w:lineRule="auto"/>
      </w:pPr>
    </w:p>
    <w:p w14:paraId="4057D697">
      <w:pPr>
        <w:pStyle w:val="2"/>
        <w:spacing w:line="241" w:lineRule="auto"/>
      </w:pPr>
    </w:p>
    <w:p w14:paraId="559071BC">
      <w:pPr>
        <w:pStyle w:val="2"/>
        <w:spacing w:line="241" w:lineRule="auto"/>
      </w:pPr>
    </w:p>
    <w:p w14:paraId="7405754E">
      <w:pPr>
        <w:pStyle w:val="2"/>
        <w:spacing w:line="241" w:lineRule="auto"/>
      </w:pPr>
    </w:p>
    <w:p w14:paraId="662DBEFD">
      <w:pPr>
        <w:pStyle w:val="2"/>
        <w:spacing w:line="241" w:lineRule="auto"/>
      </w:pPr>
    </w:p>
    <w:p w14:paraId="50B5A3AF">
      <w:pPr>
        <w:pStyle w:val="2"/>
        <w:spacing w:line="241" w:lineRule="auto"/>
      </w:pPr>
    </w:p>
    <w:p w14:paraId="720D90CC">
      <w:pPr>
        <w:pStyle w:val="2"/>
        <w:spacing w:line="241" w:lineRule="auto"/>
      </w:pPr>
    </w:p>
    <w:p w14:paraId="3304E44B">
      <w:pPr>
        <w:pStyle w:val="2"/>
        <w:spacing w:line="241" w:lineRule="auto"/>
      </w:pPr>
    </w:p>
    <w:p w14:paraId="205C1F29">
      <w:pPr>
        <w:pStyle w:val="2"/>
        <w:spacing w:line="241" w:lineRule="auto"/>
      </w:pPr>
    </w:p>
    <w:p w14:paraId="63CB10F7">
      <w:pPr>
        <w:pStyle w:val="2"/>
        <w:spacing w:line="241" w:lineRule="auto"/>
      </w:pPr>
    </w:p>
    <w:p w14:paraId="1646700B">
      <w:pPr>
        <w:pStyle w:val="2"/>
        <w:spacing w:line="241" w:lineRule="auto"/>
      </w:pPr>
    </w:p>
    <w:p w14:paraId="3186DF2D">
      <w:pPr>
        <w:pStyle w:val="2"/>
        <w:spacing w:line="241" w:lineRule="auto"/>
      </w:pPr>
    </w:p>
    <w:p w14:paraId="3E774E7F">
      <w:pPr>
        <w:pStyle w:val="2"/>
        <w:spacing w:line="241" w:lineRule="auto"/>
      </w:pPr>
    </w:p>
    <w:p w14:paraId="434BD8D2">
      <w:pPr>
        <w:pStyle w:val="2"/>
        <w:spacing w:line="241" w:lineRule="auto"/>
      </w:pPr>
    </w:p>
    <w:p w14:paraId="06F582D3">
      <w:pPr>
        <w:pStyle w:val="2"/>
        <w:spacing w:line="241" w:lineRule="auto"/>
      </w:pPr>
    </w:p>
    <w:p w14:paraId="2ACBE19E">
      <w:pPr>
        <w:spacing w:before="140" w:line="223" w:lineRule="auto"/>
        <w:ind w:left="1796"/>
        <w:outlineLvl w:val="0"/>
        <w:rPr>
          <w:rFonts w:ascii="宋体" w:hAnsi="宋体" w:eastAsia="宋体" w:cs="宋体"/>
          <w:sz w:val="43"/>
          <w:szCs w:val="43"/>
        </w:rPr>
      </w:pPr>
      <w:bookmarkStart w:id="51" w:name="bookmark12"/>
      <w:bookmarkEnd w:id="51"/>
      <w:r>
        <w:rPr>
          <w:rFonts w:ascii="宋体" w:hAnsi="宋体" w:eastAsia="宋体" w:cs="宋体"/>
          <w:b/>
          <w:bCs/>
          <w:spacing w:val="5"/>
          <w:sz w:val="43"/>
          <w:szCs w:val="43"/>
        </w:rPr>
        <w:t>第八章</w:t>
      </w:r>
      <w:r>
        <w:rPr>
          <w:rFonts w:ascii="宋体" w:hAnsi="宋体" w:eastAsia="宋体" w:cs="宋体"/>
          <w:spacing w:val="5"/>
          <w:sz w:val="43"/>
          <w:szCs w:val="43"/>
        </w:rPr>
        <w:t xml:space="preserve"> </w:t>
      </w:r>
      <w:r>
        <w:rPr>
          <w:rFonts w:ascii="宋体" w:hAnsi="宋体" w:eastAsia="宋体" w:cs="宋体"/>
          <w:b/>
          <w:bCs/>
          <w:spacing w:val="5"/>
          <w:sz w:val="43"/>
          <w:szCs w:val="43"/>
        </w:rPr>
        <w:t>工程量清单计量规则</w:t>
      </w:r>
    </w:p>
    <w:p w14:paraId="765D4B98">
      <w:pPr>
        <w:pStyle w:val="2"/>
        <w:spacing w:line="280" w:lineRule="auto"/>
      </w:pPr>
    </w:p>
    <w:p w14:paraId="394B6DD4">
      <w:pPr>
        <w:pStyle w:val="2"/>
        <w:spacing w:line="280" w:lineRule="auto"/>
      </w:pPr>
    </w:p>
    <w:p w14:paraId="7ABBEA59">
      <w:pPr>
        <w:spacing w:before="88" w:line="225" w:lineRule="auto"/>
        <w:jc w:val="right"/>
        <w:rPr>
          <w:rFonts w:ascii="宋体" w:hAnsi="宋体" w:eastAsia="宋体" w:cs="宋体"/>
          <w:sz w:val="27"/>
          <w:szCs w:val="27"/>
        </w:rPr>
      </w:pPr>
      <w:r>
        <w:rPr>
          <w:rFonts w:ascii="宋体" w:hAnsi="宋体" w:eastAsia="宋体" w:cs="宋体"/>
          <w:b/>
          <w:bCs/>
          <w:spacing w:val="4"/>
          <w:sz w:val="27"/>
          <w:szCs w:val="27"/>
        </w:rPr>
        <w:t>工程量清单计算规则具体应执行《广东省公路工程造价标准化管理指南》、</w:t>
      </w:r>
    </w:p>
    <w:p w14:paraId="2E315494">
      <w:pPr>
        <w:spacing w:before="294" w:line="225" w:lineRule="auto"/>
        <w:ind w:left="1033"/>
        <w:rPr>
          <w:rFonts w:ascii="宋体" w:hAnsi="宋体" w:eastAsia="宋体" w:cs="宋体"/>
          <w:sz w:val="27"/>
          <w:szCs w:val="27"/>
        </w:rPr>
      </w:pPr>
      <w:r>
        <w:rPr>
          <w:rFonts w:ascii="宋体" w:hAnsi="宋体" w:eastAsia="宋体" w:cs="宋体"/>
          <w:b/>
          <w:bCs/>
          <w:spacing w:val="8"/>
          <w:sz w:val="27"/>
          <w:szCs w:val="27"/>
        </w:rPr>
        <w:t>广东省《公路工程造价管理指南》及现行的相关补</w:t>
      </w:r>
      <w:r>
        <w:rPr>
          <w:rFonts w:ascii="宋体" w:hAnsi="宋体" w:eastAsia="宋体" w:cs="宋体"/>
          <w:b/>
          <w:bCs/>
          <w:spacing w:val="7"/>
          <w:sz w:val="27"/>
          <w:szCs w:val="27"/>
        </w:rPr>
        <w:t>充规定</w:t>
      </w:r>
    </w:p>
    <w:p w14:paraId="273282EB">
      <w:pPr>
        <w:spacing w:line="225" w:lineRule="auto"/>
        <w:rPr>
          <w:rFonts w:ascii="宋体" w:hAnsi="宋体" w:eastAsia="宋体" w:cs="宋体"/>
          <w:sz w:val="27"/>
          <w:szCs w:val="27"/>
        </w:rPr>
        <w:sectPr>
          <w:headerReference r:id="rId161" w:type="default"/>
          <w:footerReference r:id="rId162" w:type="default"/>
          <w:pgSz w:w="11905" w:h="16840"/>
          <w:pgMar w:top="1182" w:right="1322" w:bottom="1171" w:left="1416" w:header="849" w:footer="937" w:gutter="0"/>
          <w:pgNumType w:fmt="decimal"/>
          <w:cols w:space="720" w:num="1"/>
        </w:sectPr>
      </w:pPr>
    </w:p>
    <w:p w14:paraId="3A27EAC8">
      <w:pPr>
        <w:pStyle w:val="2"/>
        <w:spacing w:line="248" w:lineRule="auto"/>
      </w:pPr>
    </w:p>
    <w:p w14:paraId="7F02223B">
      <w:pPr>
        <w:pStyle w:val="2"/>
        <w:spacing w:line="248" w:lineRule="auto"/>
      </w:pPr>
    </w:p>
    <w:p w14:paraId="60019959">
      <w:pPr>
        <w:pStyle w:val="2"/>
        <w:spacing w:line="248" w:lineRule="auto"/>
      </w:pPr>
    </w:p>
    <w:p w14:paraId="0BF68ACF">
      <w:pPr>
        <w:pStyle w:val="2"/>
        <w:spacing w:line="248" w:lineRule="auto"/>
      </w:pPr>
    </w:p>
    <w:p w14:paraId="2F729C7E">
      <w:pPr>
        <w:pStyle w:val="2"/>
        <w:spacing w:line="248" w:lineRule="auto"/>
      </w:pPr>
    </w:p>
    <w:p w14:paraId="24A5E67B">
      <w:pPr>
        <w:pStyle w:val="2"/>
        <w:spacing w:line="248" w:lineRule="auto"/>
      </w:pPr>
    </w:p>
    <w:p w14:paraId="612F939F">
      <w:pPr>
        <w:pStyle w:val="2"/>
        <w:spacing w:line="248" w:lineRule="auto"/>
      </w:pPr>
    </w:p>
    <w:p w14:paraId="44E1C17D">
      <w:pPr>
        <w:pStyle w:val="2"/>
        <w:spacing w:line="249" w:lineRule="auto"/>
      </w:pPr>
    </w:p>
    <w:p w14:paraId="3C4E016A">
      <w:pPr>
        <w:pStyle w:val="2"/>
        <w:spacing w:line="249" w:lineRule="auto"/>
      </w:pPr>
    </w:p>
    <w:p w14:paraId="793C5283">
      <w:pPr>
        <w:pStyle w:val="2"/>
        <w:spacing w:line="249" w:lineRule="auto"/>
      </w:pPr>
    </w:p>
    <w:p w14:paraId="1B1C76F7">
      <w:pPr>
        <w:pStyle w:val="2"/>
        <w:spacing w:line="249" w:lineRule="auto"/>
      </w:pPr>
    </w:p>
    <w:p w14:paraId="5AC43FED">
      <w:pPr>
        <w:pStyle w:val="2"/>
        <w:spacing w:line="249" w:lineRule="auto"/>
      </w:pPr>
    </w:p>
    <w:p w14:paraId="14D537A2">
      <w:pPr>
        <w:pStyle w:val="2"/>
        <w:spacing w:line="249" w:lineRule="auto"/>
      </w:pPr>
    </w:p>
    <w:p w14:paraId="2E14E19F">
      <w:pPr>
        <w:pStyle w:val="2"/>
        <w:spacing w:line="249" w:lineRule="auto"/>
      </w:pPr>
    </w:p>
    <w:p w14:paraId="052A5188">
      <w:pPr>
        <w:pStyle w:val="2"/>
        <w:spacing w:line="249" w:lineRule="auto"/>
      </w:pPr>
    </w:p>
    <w:p w14:paraId="70AED800">
      <w:pPr>
        <w:pStyle w:val="2"/>
        <w:spacing w:line="249" w:lineRule="auto"/>
      </w:pPr>
    </w:p>
    <w:p w14:paraId="3769ADDF">
      <w:pPr>
        <w:pStyle w:val="2"/>
        <w:spacing w:line="249" w:lineRule="auto"/>
      </w:pPr>
    </w:p>
    <w:p w14:paraId="78389763">
      <w:pPr>
        <w:pStyle w:val="2"/>
        <w:spacing w:line="249" w:lineRule="auto"/>
      </w:pPr>
    </w:p>
    <w:p w14:paraId="4A2CD0AC">
      <w:pPr>
        <w:pStyle w:val="2"/>
        <w:spacing w:line="249" w:lineRule="auto"/>
      </w:pPr>
    </w:p>
    <w:p w14:paraId="76406920">
      <w:pPr>
        <w:pStyle w:val="2"/>
        <w:spacing w:line="249" w:lineRule="auto"/>
      </w:pPr>
    </w:p>
    <w:p w14:paraId="6C39FCAD">
      <w:pPr>
        <w:pStyle w:val="2"/>
        <w:spacing w:line="249" w:lineRule="auto"/>
      </w:pPr>
    </w:p>
    <w:p w14:paraId="2A0C6CD1">
      <w:pPr>
        <w:spacing w:before="234" w:line="222" w:lineRule="auto"/>
        <w:ind w:left="3124"/>
        <w:rPr>
          <w:rFonts w:ascii="黑体" w:hAnsi="黑体" w:eastAsia="黑体" w:cs="黑体"/>
          <w:sz w:val="72"/>
          <w:szCs w:val="72"/>
        </w:rPr>
      </w:pPr>
      <w:r>
        <w:rPr>
          <w:rFonts w:ascii="黑体" w:hAnsi="黑体" w:eastAsia="黑体" w:cs="黑体"/>
          <w:spacing w:val="-33"/>
          <w:sz w:val="72"/>
          <w:szCs w:val="72"/>
        </w:rPr>
        <w:t>第</w:t>
      </w:r>
      <w:r>
        <w:rPr>
          <w:rFonts w:ascii="黑体" w:hAnsi="黑体" w:eastAsia="黑体" w:cs="黑体"/>
          <w:spacing w:val="70"/>
          <w:sz w:val="72"/>
          <w:szCs w:val="72"/>
        </w:rPr>
        <w:t xml:space="preserve"> </w:t>
      </w:r>
      <w:r>
        <w:rPr>
          <w:rFonts w:ascii="黑体" w:hAnsi="黑体" w:eastAsia="黑体" w:cs="黑体"/>
          <w:spacing w:val="-33"/>
          <w:sz w:val="72"/>
          <w:szCs w:val="72"/>
        </w:rPr>
        <w:t>四</w:t>
      </w:r>
      <w:r>
        <w:rPr>
          <w:rFonts w:ascii="黑体" w:hAnsi="黑体" w:eastAsia="黑体" w:cs="黑体"/>
          <w:spacing w:val="39"/>
          <w:sz w:val="72"/>
          <w:szCs w:val="72"/>
        </w:rPr>
        <w:t xml:space="preserve"> </w:t>
      </w:r>
      <w:r>
        <w:rPr>
          <w:rFonts w:ascii="黑体" w:hAnsi="黑体" w:eastAsia="黑体" w:cs="黑体"/>
          <w:spacing w:val="-33"/>
          <w:sz w:val="72"/>
          <w:szCs w:val="72"/>
        </w:rPr>
        <w:t>卷</w:t>
      </w:r>
    </w:p>
    <w:p w14:paraId="18115E96">
      <w:pPr>
        <w:spacing w:line="222" w:lineRule="auto"/>
        <w:rPr>
          <w:rFonts w:ascii="黑体" w:hAnsi="黑体" w:eastAsia="黑体" w:cs="黑体"/>
          <w:sz w:val="72"/>
          <w:szCs w:val="72"/>
        </w:rPr>
        <w:sectPr>
          <w:footerReference r:id="rId163" w:type="default"/>
          <w:pgSz w:w="11905" w:h="16840"/>
          <w:pgMar w:top="1182" w:right="1416" w:bottom="1171" w:left="1416" w:header="849" w:footer="937" w:gutter="0"/>
          <w:pgNumType w:fmt="decimal"/>
          <w:cols w:space="720" w:num="1"/>
        </w:sectPr>
      </w:pPr>
    </w:p>
    <w:p w14:paraId="51CE23F6">
      <w:pPr>
        <w:pStyle w:val="2"/>
        <w:spacing w:line="241" w:lineRule="auto"/>
      </w:pPr>
    </w:p>
    <w:p w14:paraId="16FC147E">
      <w:pPr>
        <w:pStyle w:val="2"/>
        <w:spacing w:line="241" w:lineRule="auto"/>
      </w:pPr>
    </w:p>
    <w:p w14:paraId="77873245">
      <w:pPr>
        <w:pStyle w:val="2"/>
        <w:spacing w:line="241" w:lineRule="auto"/>
      </w:pPr>
    </w:p>
    <w:p w14:paraId="1371D922">
      <w:pPr>
        <w:pStyle w:val="2"/>
        <w:spacing w:line="241" w:lineRule="auto"/>
      </w:pPr>
    </w:p>
    <w:p w14:paraId="2FA7E9E2">
      <w:pPr>
        <w:pStyle w:val="2"/>
        <w:spacing w:line="241" w:lineRule="auto"/>
      </w:pPr>
    </w:p>
    <w:p w14:paraId="4DBE6D84">
      <w:pPr>
        <w:pStyle w:val="2"/>
        <w:spacing w:line="241" w:lineRule="auto"/>
      </w:pPr>
    </w:p>
    <w:p w14:paraId="1B8924D0">
      <w:pPr>
        <w:pStyle w:val="2"/>
        <w:spacing w:line="241" w:lineRule="auto"/>
      </w:pPr>
    </w:p>
    <w:p w14:paraId="5D872EFD">
      <w:pPr>
        <w:pStyle w:val="2"/>
        <w:spacing w:line="241" w:lineRule="auto"/>
      </w:pPr>
    </w:p>
    <w:p w14:paraId="1DCCFFDE">
      <w:pPr>
        <w:pStyle w:val="2"/>
        <w:spacing w:line="241" w:lineRule="auto"/>
      </w:pPr>
    </w:p>
    <w:p w14:paraId="0AD1CC1E">
      <w:pPr>
        <w:pStyle w:val="2"/>
        <w:spacing w:line="241" w:lineRule="auto"/>
      </w:pPr>
    </w:p>
    <w:p w14:paraId="13F0ED13">
      <w:pPr>
        <w:pStyle w:val="2"/>
        <w:spacing w:line="241" w:lineRule="auto"/>
      </w:pPr>
    </w:p>
    <w:p w14:paraId="2A33008E">
      <w:pPr>
        <w:pStyle w:val="2"/>
        <w:spacing w:line="241" w:lineRule="auto"/>
      </w:pPr>
    </w:p>
    <w:p w14:paraId="7F53F5F5">
      <w:pPr>
        <w:pStyle w:val="2"/>
        <w:spacing w:line="241" w:lineRule="auto"/>
      </w:pPr>
    </w:p>
    <w:p w14:paraId="5796D29B">
      <w:pPr>
        <w:pStyle w:val="2"/>
        <w:spacing w:line="241" w:lineRule="auto"/>
      </w:pPr>
    </w:p>
    <w:p w14:paraId="16CDA019">
      <w:pPr>
        <w:pStyle w:val="2"/>
        <w:spacing w:line="241" w:lineRule="auto"/>
      </w:pPr>
    </w:p>
    <w:p w14:paraId="633E94DA">
      <w:pPr>
        <w:pStyle w:val="2"/>
        <w:spacing w:line="241" w:lineRule="auto"/>
      </w:pPr>
    </w:p>
    <w:p w14:paraId="6F8F2FF1">
      <w:pPr>
        <w:pStyle w:val="2"/>
        <w:spacing w:line="241" w:lineRule="auto"/>
      </w:pPr>
    </w:p>
    <w:p w14:paraId="30EB3298">
      <w:pPr>
        <w:pStyle w:val="2"/>
        <w:spacing w:line="242" w:lineRule="auto"/>
      </w:pPr>
    </w:p>
    <w:p w14:paraId="4A574DBC">
      <w:pPr>
        <w:spacing w:before="139" w:line="237" w:lineRule="auto"/>
        <w:ind w:left="2347"/>
        <w:rPr>
          <w:rFonts w:ascii="宋体" w:hAnsi="宋体" w:eastAsia="宋体" w:cs="宋体"/>
          <w:sz w:val="21"/>
          <w:szCs w:val="21"/>
        </w:rPr>
      </w:pPr>
      <w:r>
        <w:rPr>
          <w:rFonts w:ascii="宋体" w:hAnsi="宋体" w:eastAsia="宋体" w:cs="宋体"/>
          <w:b/>
          <w:bCs/>
          <w:spacing w:val="5"/>
          <w:sz w:val="43"/>
          <w:szCs w:val="43"/>
        </w:rPr>
        <w:t>第九章</w:t>
      </w:r>
      <w:r>
        <w:rPr>
          <w:rFonts w:ascii="宋体" w:hAnsi="宋体" w:eastAsia="宋体" w:cs="宋体"/>
          <w:spacing w:val="5"/>
          <w:sz w:val="43"/>
          <w:szCs w:val="43"/>
        </w:rPr>
        <w:t xml:space="preserve"> </w:t>
      </w:r>
      <w:r>
        <w:rPr>
          <w:rFonts w:ascii="宋体" w:hAnsi="宋体" w:eastAsia="宋体" w:cs="宋体"/>
          <w:b/>
          <w:bCs/>
          <w:spacing w:val="5"/>
          <w:sz w:val="43"/>
          <w:szCs w:val="43"/>
        </w:rPr>
        <w:t>投标文件格式</w:t>
      </w:r>
    </w:p>
    <w:p w14:paraId="7AC6CE0A">
      <w:pPr>
        <w:pStyle w:val="2"/>
        <w:spacing w:line="246" w:lineRule="auto"/>
      </w:pPr>
    </w:p>
    <w:p w14:paraId="480332CA">
      <w:pPr>
        <w:pStyle w:val="2"/>
        <w:spacing w:line="246" w:lineRule="auto"/>
      </w:pPr>
    </w:p>
    <w:p w14:paraId="10146D23">
      <w:pPr>
        <w:pStyle w:val="2"/>
        <w:spacing w:line="246" w:lineRule="auto"/>
      </w:pPr>
    </w:p>
    <w:p w14:paraId="64D2301B">
      <w:pPr>
        <w:pStyle w:val="2"/>
        <w:spacing w:line="246" w:lineRule="auto"/>
      </w:pPr>
    </w:p>
    <w:p w14:paraId="5C3C67C1">
      <w:pPr>
        <w:pStyle w:val="2"/>
        <w:spacing w:line="246" w:lineRule="auto"/>
      </w:pPr>
    </w:p>
    <w:p w14:paraId="721516D0">
      <w:pPr>
        <w:pStyle w:val="2"/>
        <w:spacing w:line="246" w:lineRule="auto"/>
      </w:pPr>
    </w:p>
    <w:p w14:paraId="3E1514E0">
      <w:pPr>
        <w:pStyle w:val="2"/>
        <w:spacing w:line="246" w:lineRule="auto"/>
      </w:pPr>
    </w:p>
    <w:p w14:paraId="5D203346">
      <w:pPr>
        <w:pStyle w:val="2"/>
        <w:spacing w:line="246" w:lineRule="auto"/>
      </w:pPr>
    </w:p>
    <w:p w14:paraId="4D821E21">
      <w:pPr>
        <w:pStyle w:val="2"/>
        <w:spacing w:line="246" w:lineRule="auto"/>
      </w:pPr>
    </w:p>
    <w:p w14:paraId="2046A314">
      <w:pPr>
        <w:pStyle w:val="2"/>
        <w:spacing w:line="246" w:lineRule="auto"/>
      </w:pPr>
    </w:p>
    <w:p w14:paraId="2AEC8E8A">
      <w:pPr>
        <w:pStyle w:val="2"/>
        <w:spacing w:line="246" w:lineRule="auto"/>
      </w:pPr>
    </w:p>
    <w:p w14:paraId="7A20C8CD">
      <w:pPr>
        <w:pStyle w:val="2"/>
        <w:spacing w:line="246" w:lineRule="auto"/>
      </w:pPr>
    </w:p>
    <w:p w14:paraId="2AAAFF10">
      <w:pPr>
        <w:pStyle w:val="2"/>
        <w:spacing w:line="246" w:lineRule="auto"/>
      </w:pPr>
    </w:p>
    <w:p w14:paraId="40AF20B0">
      <w:pPr>
        <w:pStyle w:val="2"/>
        <w:spacing w:line="246" w:lineRule="auto"/>
      </w:pPr>
    </w:p>
    <w:p w14:paraId="06636770">
      <w:pPr>
        <w:pStyle w:val="2"/>
        <w:spacing w:line="246" w:lineRule="auto"/>
      </w:pPr>
    </w:p>
    <w:p w14:paraId="2D27E019">
      <w:pPr>
        <w:pStyle w:val="2"/>
        <w:spacing w:line="246" w:lineRule="auto"/>
      </w:pPr>
    </w:p>
    <w:p w14:paraId="098B2057">
      <w:pPr>
        <w:pStyle w:val="2"/>
        <w:spacing w:line="246" w:lineRule="auto"/>
      </w:pPr>
    </w:p>
    <w:p w14:paraId="4B779780">
      <w:pPr>
        <w:pStyle w:val="2"/>
        <w:spacing w:line="246" w:lineRule="auto"/>
      </w:pPr>
    </w:p>
    <w:p w14:paraId="76F32557">
      <w:pPr>
        <w:pStyle w:val="2"/>
        <w:spacing w:line="246" w:lineRule="auto"/>
      </w:pPr>
    </w:p>
    <w:p w14:paraId="70E8A027">
      <w:pPr>
        <w:pStyle w:val="2"/>
        <w:spacing w:line="246" w:lineRule="auto"/>
      </w:pPr>
    </w:p>
    <w:p w14:paraId="189DC07B">
      <w:pPr>
        <w:pStyle w:val="2"/>
        <w:spacing w:line="246" w:lineRule="auto"/>
      </w:pPr>
    </w:p>
    <w:p w14:paraId="3A766C8E">
      <w:pPr>
        <w:pStyle w:val="2"/>
        <w:spacing w:line="246" w:lineRule="auto"/>
      </w:pPr>
    </w:p>
    <w:p w14:paraId="64391E88">
      <w:pPr>
        <w:pStyle w:val="2"/>
        <w:spacing w:line="246" w:lineRule="auto"/>
      </w:pPr>
    </w:p>
    <w:p w14:paraId="40EDE4C5">
      <w:pPr>
        <w:pStyle w:val="2"/>
        <w:spacing w:line="246" w:lineRule="auto"/>
      </w:pPr>
    </w:p>
    <w:p w14:paraId="21B27AB4">
      <w:pPr>
        <w:pStyle w:val="2"/>
        <w:spacing w:line="246" w:lineRule="auto"/>
      </w:pPr>
    </w:p>
    <w:p w14:paraId="77BA8B7C">
      <w:pPr>
        <w:pStyle w:val="2"/>
        <w:spacing w:line="246" w:lineRule="auto"/>
      </w:pPr>
    </w:p>
    <w:p w14:paraId="7D9AD1E6">
      <w:pPr>
        <w:pStyle w:val="2"/>
        <w:spacing w:line="246" w:lineRule="auto"/>
      </w:pPr>
    </w:p>
    <w:p w14:paraId="195ED133">
      <w:pPr>
        <w:pStyle w:val="2"/>
        <w:spacing w:line="246" w:lineRule="auto"/>
      </w:pPr>
    </w:p>
    <w:p w14:paraId="079E1BFF">
      <w:pPr>
        <w:pStyle w:val="2"/>
        <w:spacing w:line="246" w:lineRule="auto"/>
      </w:pPr>
    </w:p>
    <w:p w14:paraId="6822CD1B">
      <w:pPr>
        <w:pStyle w:val="2"/>
        <w:spacing w:line="246" w:lineRule="auto"/>
      </w:pPr>
    </w:p>
    <w:p w14:paraId="21720290">
      <w:pPr>
        <w:pStyle w:val="2"/>
        <w:spacing w:line="246" w:lineRule="auto"/>
      </w:pPr>
    </w:p>
    <w:p w14:paraId="4E557506">
      <w:pPr>
        <w:pStyle w:val="2"/>
        <w:spacing w:line="246" w:lineRule="auto"/>
      </w:pPr>
    </w:p>
    <w:p w14:paraId="4A8E3344">
      <w:pPr>
        <w:pStyle w:val="2"/>
        <w:spacing w:line="247" w:lineRule="auto"/>
      </w:pPr>
    </w:p>
    <w:p w14:paraId="4AB71239">
      <w:pPr>
        <w:pStyle w:val="2"/>
        <w:spacing w:line="247" w:lineRule="auto"/>
      </w:pPr>
    </w:p>
    <w:p w14:paraId="7EBDB505">
      <w:pPr>
        <w:pStyle w:val="2"/>
        <w:spacing w:line="247" w:lineRule="auto"/>
      </w:pPr>
    </w:p>
    <w:p w14:paraId="1E8DF3C3">
      <w:pPr>
        <w:pStyle w:val="2"/>
        <w:spacing w:line="247" w:lineRule="auto"/>
      </w:pPr>
    </w:p>
    <w:p w14:paraId="0D4714FE">
      <w:pPr>
        <w:spacing w:line="217" w:lineRule="auto"/>
        <w:rPr>
          <w:rFonts w:ascii="宋体" w:hAnsi="宋体" w:eastAsia="宋体" w:cs="宋体"/>
          <w:sz w:val="18"/>
          <w:szCs w:val="18"/>
        </w:rPr>
        <w:sectPr>
          <w:footerReference r:id="rId164" w:type="default"/>
          <w:pgSz w:w="11905" w:h="16840"/>
          <w:pgMar w:top="1182" w:right="1416" w:bottom="1171" w:left="1416" w:header="849" w:footer="937" w:gutter="0"/>
          <w:pgNumType w:fmt="decimal"/>
          <w:cols w:space="720" w:num="1"/>
        </w:sectPr>
      </w:pPr>
    </w:p>
    <w:p w14:paraId="43095866">
      <w:pPr>
        <w:pStyle w:val="2"/>
        <w:spacing w:line="278" w:lineRule="auto"/>
      </w:pPr>
    </w:p>
    <w:p w14:paraId="1F843B5D">
      <w:pPr>
        <w:pStyle w:val="2"/>
        <w:spacing w:line="278" w:lineRule="auto"/>
      </w:pPr>
    </w:p>
    <w:p w14:paraId="2CB0AB77">
      <w:pPr>
        <w:pStyle w:val="2"/>
        <w:spacing w:line="279" w:lineRule="auto"/>
      </w:pPr>
    </w:p>
    <w:p w14:paraId="16395D79">
      <w:pPr>
        <w:pStyle w:val="2"/>
        <w:spacing w:line="279" w:lineRule="auto"/>
      </w:pPr>
    </w:p>
    <w:p w14:paraId="6B545952">
      <w:pPr>
        <w:spacing w:before="140" w:line="224" w:lineRule="auto"/>
        <w:ind w:left="3673"/>
        <w:rPr>
          <w:rFonts w:ascii="宋体" w:hAnsi="宋体" w:eastAsia="宋体" w:cs="宋体"/>
          <w:sz w:val="43"/>
          <w:szCs w:val="43"/>
        </w:rPr>
      </w:pPr>
      <w:r>
        <w:rPr>
          <w:rFonts w:ascii="宋体" w:hAnsi="宋体" w:eastAsia="宋体" w:cs="宋体"/>
          <w:spacing w:val="-10"/>
          <w:sz w:val="43"/>
          <w:szCs w:val="43"/>
        </w:rPr>
        <w:t>广</w:t>
      </w:r>
      <w:r>
        <w:rPr>
          <w:rFonts w:ascii="宋体" w:hAnsi="宋体" w:eastAsia="宋体" w:cs="宋体"/>
          <w:spacing w:val="37"/>
          <w:sz w:val="43"/>
          <w:szCs w:val="43"/>
        </w:rPr>
        <w:t xml:space="preserve"> </w:t>
      </w:r>
      <w:r>
        <w:rPr>
          <w:rFonts w:ascii="宋体" w:hAnsi="宋体" w:eastAsia="宋体" w:cs="宋体"/>
          <w:spacing w:val="-10"/>
          <w:sz w:val="43"/>
          <w:szCs w:val="43"/>
        </w:rPr>
        <w:t>东</w:t>
      </w:r>
      <w:r>
        <w:rPr>
          <w:rFonts w:ascii="宋体" w:hAnsi="宋体" w:eastAsia="宋体" w:cs="宋体"/>
          <w:spacing w:val="29"/>
          <w:sz w:val="43"/>
          <w:szCs w:val="43"/>
        </w:rPr>
        <w:t xml:space="preserve"> </w:t>
      </w:r>
      <w:r>
        <w:rPr>
          <w:rFonts w:ascii="宋体" w:hAnsi="宋体" w:eastAsia="宋体" w:cs="宋体"/>
          <w:spacing w:val="-10"/>
          <w:sz w:val="43"/>
          <w:szCs w:val="43"/>
        </w:rPr>
        <w:t>省</w:t>
      </w:r>
    </w:p>
    <w:p w14:paraId="1C8ED639">
      <w:pPr>
        <w:pStyle w:val="2"/>
        <w:spacing w:line="291" w:lineRule="auto"/>
      </w:pPr>
    </w:p>
    <w:p w14:paraId="34C42439">
      <w:pPr>
        <w:spacing w:before="140" w:line="224" w:lineRule="auto"/>
        <w:jc w:val="center"/>
        <w:rPr>
          <w:rFonts w:ascii="宋体" w:hAnsi="宋体" w:eastAsia="宋体" w:cs="宋体"/>
          <w:sz w:val="43"/>
          <w:szCs w:val="43"/>
          <w:u w:val="single"/>
        </w:rPr>
      </w:pPr>
      <w:r>
        <w:rPr>
          <w:rFonts w:hint="eastAsia" w:ascii="宋体" w:hAnsi="宋体" w:eastAsia="宋体" w:cs="宋体"/>
          <w:sz w:val="43"/>
          <w:szCs w:val="43"/>
          <w:u w:val="single"/>
        </w:rPr>
        <w:t>云安区白石镇X491线白石街至东星四升三改建工程施工</w:t>
      </w:r>
    </w:p>
    <w:p w14:paraId="4ACF6259">
      <w:pPr>
        <w:spacing w:before="257" w:line="225" w:lineRule="auto"/>
        <w:ind w:left="3671"/>
        <w:rPr>
          <w:rFonts w:ascii="宋体" w:hAnsi="宋体" w:eastAsia="宋体" w:cs="宋体"/>
          <w:sz w:val="43"/>
          <w:szCs w:val="43"/>
        </w:rPr>
      </w:pPr>
      <w:r>
        <w:rPr>
          <w:rFonts w:ascii="宋体" w:hAnsi="宋体" w:eastAsia="宋体" w:cs="宋体"/>
          <w:spacing w:val="5"/>
          <w:sz w:val="43"/>
          <w:szCs w:val="43"/>
        </w:rPr>
        <w:t>施工招标</w:t>
      </w:r>
    </w:p>
    <w:p w14:paraId="3900CD2E">
      <w:pPr>
        <w:pStyle w:val="2"/>
        <w:spacing w:line="271" w:lineRule="auto"/>
      </w:pPr>
    </w:p>
    <w:p w14:paraId="73D08DDF">
      <w:pPr>
        <w:pStyle w:val="2"/>
        <w:spacing w:line="271" w:lineRule="auto"/>
      </w:pPr>
    </w:p>
    <w:p w14:paraId="54821E36">
      <w:pPr>
        <w:pStyle w:val="2"/>
        <w:spacing w:line="271" w:lineRule="auto"/>
      </w:pPr>
    </w:p>
    <w:p w14:paraId="2200955F">
      <w:pPr>
        <w:pStyle w:val="2"/>
        <w:spacing w:line="271" w:lineRule="auto"/>
      </w:pPr>
    </w:p>
    <w:p w14:paraId="79612BB7">
      <w:pPr>
        <w:pStyle w:val="2"/>
        <w:spacing w:line="271" w:lineRule="auto"/>
      </w:pPr>
    </w:p>
    <w:p w14:paraId="25A52B2B">
      <w:pPr>
        <w:pStyle w:val="2"/>
        <w:spacing w:line="271" w:lineRule="auto"/>
      </w:pPr>
    </w:p>
    <w:p w14:paraId="42DB28AF">
      <w:pPr>
        <w:pStyle w:val="2"/>
        <w:spacing w:line="271" w:lineRule="auto"/>
      </w:pPr>
    </w:p>
    <w:p w14:paraId="0023968B">
      <w:pPr>
        <w:spacing w:before="234" w:line="220" w:lineRule="auto"/>
        <w:ind w:left="3132"/>
        <w:rPr>
          <w:rFonts w:ascii="宋体" w:hAnsi="宋体" w:eastAsia="宋体" w:cs="宋体"/>
          <w:sz w:val="72"/>
          <w:szCs w:val="72"/>
        </w:rPr>
      </w:pPr>
      <w:r>
        <w:rPr>
          <w:rFonts w:ascii="宋体" w:hAnsi="宋体" w:eastAsia="宋体" w:cs="宋体"/>
          <w:spacing w:val="-7"/>
          <w:sz w:val="72"/>
          <w:szCs w:val="72"/>
        </w:rPr>
        <w:t>投标文件</w:t>
      </w:r>
    </w:p>
    <w:p w14:paraId="1961E671">
      <w:pPr>
        <w:spacing w:before="375" w:line="224" w:lineRule="auto"/>
        <w:ind w:left="1270"/>
        <w:rPr>
          <w:rFonts w:ascii="宋体" w:hAnsi="宋体" w:eastAsia="宋体" w:cs="宋体"/>
          <w:sz w:val="43"/>
          <w:szCs w:val="43"/>
        </w:rPr>
      </w:pPr>
      <w:r>
        <w:rPr>
          <w:rFonts w:ascii="宋体" w:hAnsi="宋体" w:eastAsia="宋体" w:cs="宋体"/>
          <w:spacing w:val="5"/>
          <w:sz w:val="43"/>
          <w:szCs w:val="43"/>
        </w:rPr>
        <w:t>（第一个信封：商务及技术文件）</w:t>
      </w:r>
    </w:p>
    <w:p w14:paraId="1578E00D">
      <w:pPr>
        <w:pStyle w:val="2"/>
        <w:spacing w:line="248" w:lineRule="auto"/>
      </w:pPr>
    </w:p>
    <w:p w14:paraId="000E5DCE">
      <w:pPr>
        <w:pStyle w:val="2"/>
        <w:spacing w:line="248" w:lineRule="auto"/>
      </w:pPr>
    </w:p>
    <w:p w14:paraId="528C19AC">
      <w:pPr>
        <w:pStyle w:val="2"/>
        <w:spacing w:line="248" w:lineRule="auto"/>
      </w:pPr>
    </w:p>
    <w:p w14:paraId="025733C3">
      <w:pPr>
        <w:pStyle w:val="2"/>
        <w:spacing w:line="248" w:lineRule="auto"/>
      </w:pPr>
    </w:p>
    <w:p w14:paraId="7378C045">
      <w:pPr>
        <w:pStyle w:val="2"/>
        <w:spacing w:line="248" w:lineRule="auto"/>
      </w:pPr>
    </w:p>
    <w:p w14:paraId="76349DD3">
      <w:pPr>
        <w:pStyle w:val="2"/>
        <w:spacing w:line="248" w:lineRule="auto"/>
      </w:pPr>
    </w:p>
    <w:p w14:paraId="112EA2AF">
      <w:pPr>
        <w:pStyle w:val="2"/>
        <w:spacing w:line="249" w:lineRule="auto"/>
      </w:pPr>
    </w:p>
    <w:p w14:paraId="4BE7AB6B">
      <w:pPr>
        <w:pStyle w:val="2"/>
        <w:spacing w:line="249" w:lineRule="auto"/>
      </w:pPr>
    </w:p>
    <w:p w14:paraId="6A914CB3">
      <w:pPr>
        <w:pStyle w:val="2"/>
        <w:spacing w:line="249" w:lineRule="auto"/>
      </w:pPr>
    </w:p>
    <w:p w14:paraId="49CADA88">
      <w:pPr>
        <w:pStyle w:val="2"/>
        <w:spacing w:line="249" w:lineRule="auto"/>
      </w:pPr>
    </w:p>
    <w:p w14:paraId="6F61489F">
      <w:pPr>
        <w:pStyle w:val="2"/>
        <w:spacing w:line="249" w:lineRule="auto"/>
      </w:pPr>
    </w:p>
    <w:p w14:paraId="549488FF">
      <w:pPr>
        <w:pStyle w:val="2"/>
        <w:spacing w:line="249" w:lineRule="auto"/>
      </w:pPr>
    </w:p>
    <w:p w14:paraId="2F4D0F6F">
      <w:pPr>
        <w:pStyle w:val="2"/>
        <w:spacing w:line="249" w:lineRule="auto"/>
      </w:pPr>
    </w:p>
    <w:p w14:paraId="03AD1F3E">
      <w:pPr>
        <w:pStyle w:val="2"/>
        <w:spacing w:line="249" w:lineRule="auto"/>
      </w:pPr>
    </w:p>
    <w:p w14:paraId="401D88EA">
      <w:pPr>
        <w:pStyle w:val="2"/>
        <w:spacing w:line="249" w:lineRule="auto"/>
      </w:pPr>
    </w:p>
    <w:p w14:paraId="2003CA4F">
      <w:pPr>
        <w:pStyle w:val="2"/>
        <w:spacing w:line="249" w:lineRule="auto"/>
      </w:pPr>
    </w:p>
    <w:p w14:paraId="1E1863BF">
      <w:pPr>
        <w:pStyle w:val="2"/>
        <w:spacing w:line="249" w:lineRule="auto"/>
      </w:pPr>
    </w:p>
    <w:p w14:paraId="15AD77E1">
      <w:pPr>
        <w:pStyle w:val="2"/>
        <w:spacing w:line="249" w:lineRule="auto"/>
      </w:pPr>
    </w:p>
    <w:p w14:paraId="24D03FBF">
      <w:pPr>
        <w:pStyle w:val="2"/>
        <w:spacing w:line="249" w:lineRule="auto"/>
      </w:pPr>
    </w:p>
    <w:p w14:paraId="34AD372D">
      <w:pPr>
        <w:spacing w:before="98" w:line="219" w:lineRule="auto"/>
        <w:ind w:left="1401"/>
        <w:rPr>
          <w:rFonts w:ascii="宋体" w:hAnsi="宋体" w:eastAsia="宋体" w:cs="宋体"/>
          <w:sz w:val="30"/>
          <w:szCs w:val="30"/>
        </w:rPr>
      </w:pPr>
      <w:r>
        <w:rPr>
          <w:rFonts w:ascii="宋体" w:hAnsi="宋体" w:eastAsia="宋体" w:cs="宋体"/>
          <w:spacing w:val="-4"/>
          <w:sz w:val="30"/>
          <w:szCs w:val="30"/>
        </w:rPr>
        <w:t>投标人</w:t>
      </w:r>
      <w:r>
        <w:rPr>
          <w:rFonts w:ascii="宋体" w:hAnsi="宋体" w:eastAsia="宋体" w:cs="宋体"/>
          <w:spacing w:val="-1"/>
          <w:sz w:val="30"/>
          <w:szCs w:val="30"/>
        </w:rPr>
        <w:t>：</w:t>
      </w:r>
      <w:r>
        <w:rPr>
          <w:rFonts w:ascii="宋体" w:hAnsi="宋体" w:eastAsia="宋体" w:cs="宋体"/>
          <w:sz w:val="30"/>
          <w:szCs w:val="30"/>
          <w:u w:val="single" w:color="auto"/>
        </w:rPr>
        <w:t xml:space="preserve">                      </w:t>
      </w:r>
      <w:r>
        <w:rPr>
          <w:rFonts w:ascii="宋体" w:hAnsi="宋体" w:eastAsia="宋体" w:cs="宋体"/>
          <w:spacing w:val="-1"/>
          <w:sz w:val="30"/>
          <w:szCs w:val="30"/>
        </w:rPr>
        <w:t>（</w:t>
      </w:r>
      <w:r>
        <w:rPr>
          <w:rFonts w:ascii="宋体" w:hAnsi="宋体" w:eastAsia="宋体" w:cs="宋体"/>
          <w:spacing w:val="-4"/>
          <w:sz w:val="30"/>
          <w:szCs w:val="30"/>
        </w:rPr>
        <w:t>盖单位章）</w:t>
      </w:r>
    </w:p>
    <w:p w14:paraId="55DCA7C8">
      <w:pPr>
        <w:tabs>
          <w:tab w:val="left" w:pos="3786"/>
        </w:tabs>
        <w:spacing w:before="268" w:line="220" w:lineRule="auto"/>
        <w:ind w:left="3186"/>
        <w:rPr>
          <w:rFonts w:ascii="宋体" w:hAnsi="宋体" w:eastAsia="宋体" w:cs="宋体"/>
          <w:sz w:val="30"/>
          <w:szCs w:val="30"/>
        </w:rPr>
      </w:pPr>
      <w:r>
        <w:rPr>
          <w:rFonts w:ascii="宋体" w:hAnsi="宋体" w:eastAsia="宋体" w:cs="宋体"/>
          <w:sz w:val="30"/>
          <w:szCs w:val="30"/>
          <w:u w:val="single" w:color="auto"/>
        </w:rPr>
        <w:tab/>
      </w:r>
      <w:r>
        <w:rPr>
          <w:rFonts w:ascii="宋体" w:hAnsi="宋体" w:eastAsia="宋体" w:cs="宋体"/>
          <w:spacing w:val="-137"/>
          <w:sz w:val="30"/>
          <w:szCs w:val="30"/>
        </w:rPr>
        <w:t xml:space="preserve"> </w:t>
      </w:r>
      <w:r>
        <w:rPr>
          <w:rFonts w:ascii="宋体" w:hAnsi="宋体" w:eastAsia="宋体" w:cs="宋体"/>
          <w:spacing w:val="-11"/>
          <w:sz w:val="30"/>
          <w:szCs w:val="30"/>
        </w:rPr>
        <w:t>年</w:t>
      </w:r>
      <w:r>
        <w:rPr>
          <w:rFonts w:ascii="宋体" w:hAnsi="宋体" w:eastAsia="宋体" w:cs="宋体"/>
          <w:sz w:val="30"/>
          <w:szCs w:val="30"/>
          <w:u w:val="single" w:color="auto"/>
        </w:rPr>
        <w:t xml:space="preserve">    </w:t>
      </w:r>
      <w:r>
        <w:rPr>
          <w:rFonts w:ascii="宋体" w:hAnsi="宋体" w:eastAsia="宋体" w:cs="宋体"/>
          <w:spacing w:val="-131"/>
          <w:sz w:val="30"/>
          <w:szCs w:val="30"/>
        </w:rPr>
        <w:t xml:space="preserve"> </w:t>
      </w:r>
      <w:r>
        <w:rPr>
          <w:rFonts w:ascii="宋体" w:hAnsi="宋体" w:eastAsia="宋体" w:cs="宋体"/>
          <w:spacing w:val="-11"/>
          <w:sz w:val="30"/>
          <w:szCs w:val="30"/>
        </w:rPr>
        <w:t>月</w:t>
      </w:r>
      <w:r>
        <w:rPr>
          <w:rFonts w:ascii="宋体" w:hAnsi="宋体" w:eastAsia="宋体" w:cs="宋体"/>
          <w:sz w:val="30"/>
          <w:szCs w:val="30"/>
          <w:u w:val="single" w:color="auto"/>
        </w:rPr>
        <w:t xml:space="preserve">    </w:t>
      </w:r>
      <w:r>
        <w:rPr>
          <w:rFonts w:ascii="宋体" w:hAnsi="宋体" w:eastAsia="宋体" w:cs="宋体"/>
          <w:spacing w:val="-87"/>
          <w:sz w:val="30"/>
          <w:szCs w:val="30"/>
        </w:rPr>
        <w:t xml:space="preserve"> </w:t>
      </w:r>
      <w:r>
        <w:rPr>
          <w:rFonts w:ascii="宋体" w:hAnsi="宋体" w:eastAsia="宋体" w:cs="宋体"/>
          <w:spacing w:val="-11"/>
          <w:sz w:val="30"/>
          <w:szCs w:val="30"/>
        </w:rPr>
        <w:t>日</w:t>
      </w:r>
    </w:p>
    <w:p w14:paraId="29C526E8">
      <w:pPr>
        <w:spacing w:line="220" w:lineRule="auto"/>
        <w:rPr>
          <w:rFonts w:ascii="宋体" w:hAnsi="宋体" w:eastAsia="宋体" w:cs="宋体"/>
          <w:sz w:val="30"/>
          <w:szCs w:val="30"/>
        </w:rPr>
        <w:sectPr>
          <w:footerReference r:id="rId165" w:type="default"/>
          <w:pgSz w:w="11905" w:h="16840"/>
          <w:pgMar w:top="1182" w:right="1416" w:bottom="1171" w:left="1416" w:header="849" w:footer="937" w:gutter="0"/>
          <w:pgNumType w:fmt="decimal"/>
          <w:cols w:space="720" w:num="1"/>
        </w:sectPr>
      </w:pPr>
    </w:p>
    <w:p w14:paraId="083345A1">
      <w:pPr>
        <w:pStyle w:val="2"/>
        <w:spacing w:line="283" w:lineRule="auto"/>
      </w:pPr>
    </w:p>
    <w:p w14:paraId="53C78C36">
      <w:pPr>
        <w:spacing w:before="101" w:line="228" w:lineRule="auto"/>
        <w:ind w:left="4128"/>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3"/>
          <w:sz w:val="31"/>
          <w:szCs w:val="31"/>
        </w:rPr>
        <w:t xml:space="preserve">  </w:t>
      </w:r>
      <w:r>
        <w:rPr>
          <w:rFonts w:ascii="宋体" w:hAnsi="宋体" w:eastAsia="宋体" w:cs="宋体"/>
          <w:b/>
          <w:bCs/>
          <w:spacing w:val="-36"/>
          <w:sz w:val="31"/>
          <w:szCs w:val="31"/>
        </w:rPr>
        <w:t>录</w:t>
      </w:r>
    </w:p>
    <w:p w14:paraId="036FA111">
      <w:pPr>
        <w:pStyle w:val="2"/>
      </w:pPr>
    </w:p>
    <w:p w14:paraId="7DA74D3F">
      <w:pPr>
        <w:pStyle w:val="2"/>
        <w:spacing w:line="241" w:lineRule="auto"/>
      </w:pPr>
    </w:p>
    <w:p w14:paraId="7F9B7B25">
      <w:pPr>
        <w:pStyle w:val="2"/>
        <w:spacing w:line="256" w:lineRule="auto"/>
      </w:pPr>
    </w:p>
    <w:p w14:paraId="6975F769">
      <w:pPr>
        <w:pStyle w:val="2"/>
        <w:spacing w:line="257" w:lineRule="auto"/>
      </w:pPr>
    </w:p>
    <w:p w14:paraId="005B979A">
      <w:pPr>
        <w:spacing w:before="88" w:line="226" w:lineRule="auto"/>
        <w:ind w:left="10"/>
        <w:rPr>
          <w:rFonts w:ascii="宋体" w:hAnsi="宋体" w:eastAsia="宋体" w:cs="宋体"/>
          <w:sz w:val="27"/>
          <w:szCs w:val="27"/>
        </w:rPr>
      </w:pPr>
      <w:r>
        <w:rPr>
          <w:rFonts w:ascii="宋体" w:hAnsi="宋体" w:eastAsia="宋体" w:cs="宋体"/>
          <w:spacing w:val="8"/>
          <w:sz w:val="27"/>
          <w:szCs w:val="27"/>
        </w:rPr>
        <w:t>第一个信封</w:t>
      </w:r>
      <w:r>
        <w:rPr>
          <w:rFonts w:hint="eastAsia" w:ascii="宋体" w:hAnsi="宋体" w:cs="宋体"/>
          <w:spacing w:val="8"/>
          <w:sz w:val="27"/>
          <w:szCs w:val="27"/>
          <w:lang w:eastAsia="zh-CN"/>
        </w:rPr>
        <w:t>（</w:t>
      </w:r>
      <w:r>
        <w:rPr>
          <w:rFonts w:ascii="宋体" w:hAnsi="宋体" w:eastAsia="宋体" w:cs="宋体"/>
          <w:spacing w:val="8"/>
          <w:sz w:val="27"/>
          <w:szCs w:val="27"/>
        </w:rPr>
        <w:t>商务及技术文件</w:t>
      </w:r>
      <w:r>
        <w:rPr>
          <w:rFonts w:hint="eastAsia" w:ascii="宋体" w:hAnsi="宋体" w:cs="宋体"/>
          <w:spacing w:val="8"/>
          <w:sz w:val="27"/>
          <w:szCs w:val="27"/>
          <w:lang w:eastAsia="zh-CN"/>
        </w:rPr>
        <w:t>）</w:t>
      </w:r>
    </w:p>
    <w:sdt>
      <w:sdtPr>
        <w:rPr>
          <w:rFonts w:ascii="Arial" w:hAnsi="Arial" w:eastAsia="Arial" w:cs="Arial"/>
          <w:sz w:val="21"/>
          <w:szCs w:val="21"/>
        </w:rPr>
        <w:id w:val="147481944"/>
        <w:docPartObj>
          <w:docPartGallery w:val="Table of Contents"/>
          <w:docPartUnique/>
        </w:docPartObj>
      </w:sdtPr>
      <w:sdtEndPr>
        <w:rPr>
          <w:rFonts w:ascii="宋体" w:hAnsi="宋体" w:eastAsia="宋体" w:cs="宋体"/>
          <w:sz w:val="27"/>
          <w:szCs w:val="27"/>
        </w:rPr>
      </w:sdtEndPr>
      <w:sdtContent>
        <w:p w14:paraId="375812FC">
          <w:pPr>
            <w:spacing w:before="292" w:line="226" w:lineRule="auto"/>
            <w:ind w:left="15"/>
            <w:rPr>
              <w:rFonts w:ascii="宋体" w:hAnsi="宋体" w:eastAsia="宋体" w:cs="宋体"/>
              <w:sz w:val="27"/>
              <w:szCs w:val="27"/>
            </w:rPr>
          </w:pPr>
          <w:r>
            <w:rPr>
              <w:rFonts w:ascii="宋体" w:hAnsi="宋体" w:eastAsia="宋体" w:cs="宋体"/>
              <w:spacing w:val="7"/>
              <w:sz w:val="27"/>
              <w:szCs w:val="27"/>
            </w:rPr>
            <w:t>一、投标函及投标函附录</w:t>
          </w:r>
        </w:p>
        <w:p w14:paraId="319696A0">
          <w:pPr>
            <w:spacing w:before="293" w:line="226" w:lineRule="auto"/>
            <w:ind w:left="15"/>
            <w:rPr>
              <w:rFonts w:ascii="宋体" w:hAnsi="宋体" w:eastAsia="宋体" w:cs="宋体"/>
              <w:sz w:val="27"/>
              <w:szCs w:val="27"/>
            </w:rPr>
          </w:pPr>
          <w:r>
            <w:rPr>
              <w:rFonts w:ascii="宋体" w:hAnsi="宋体" w:eastAsia="宋体" w:cs="宋体"/>
              <w:spacing w:val="9"/>
              <w:sz w:val="27"/>
              <w:szCs w:val="27"/>
            </w:rPr>
            <w:t>二、授权委托书或法定代表人身份证明</w:t>
          </w:r>
        </w:p>
        <w:p w14:paraId="41DF5098">
          <w:pPr>
            <w:spacing w:before="293" w:line="226" w:lineRule="auto"/>
            <w:ind w:left="10"/>
            <w:rPr>
              <w:rFonts w:ascii="宋体" w:hAnsi="宋体" w:eastAsia="宋体" w:cs="宋体"/>
              <w:sz w:val="27"/>
              <w:szCs w:val="27"/>
            </w:rPr>
          </w:pPr>
          <w:r>
            <w:rPr>
              <w:rFonts w:ascii="宋体" w:hAnsi="宋体" w:eastAsia="宋体" w:cs="宋体"/>
              <w:spacing w:val="7"/>
              <w:sz w:val="27"/>
              <w:szCs w:val="27"/>
            </w:rPr>
            <w:t>三、联合体协议书（如有）</w:t>
          </w:r>
        </w:p>
        <w:p w14:paraId="5F85C773">
          <w:pPr>
            <w:spacing w:before="295" w:line="227" w:lineRule="auto"/>
            <w:ind w:left="37"/>
            <w:rPr>
              <w:rFonts w:ascii="宋体" w:hAnsi="宋体" w:eastAsia="宋体" w:cs="宋体"/>
              <w:sz w:val="27"/>
              <w:szCs w:val="27"/>
            </w:rPr>
          </w:pPr>
          <w:r>
            <w:rPr>
              <w:rFonts w:ascii="宋体" w:hAnsi="宋体" w:eastAsia="宋体" w:cs="宋体"/>
              <w:spacing w:val="5"/>
              <w:sz w:val="27"/>
              <w:szCs w:val="27"/>
            </w:rPr>
            <w:t>四、投标保证金</w:t>
          </w:r>
        </w:p>
        <w:p w14:paraId="664CFDF6">
          <w:pPr>
            <w:spacing w:before="292" w:line="226" w:lineRule="auto"/>
            <w:ind w:left="15"/>
            <w:rPr>
              <w:rFonts w:hint="eastAsia" w:ascii="宋体" w:hAnsi="宋体" w:eastAsia="宋体" w:cs="宋体"/>
              <w:sz w:val="27"/>
              <w:szCs w:val="27"/>
              <w:lang w:eastAsia="zh-CN"/>
            </w:rPr>
          </w:pPr>
          <w:r>
            <w:rPr>
              <w:rFonts w:ascii="宋体" w:hAnsi="宋体" w:eastAsia="宋体" w:cs="宋体"/>
              <w:spacing w:val="9"/>
              <w:sz w:val="27"/>
              <w:szCs w:val="27"/>
            </w:rPr>
            <w:t>五、施工组织设计</w:t>
          </w:r>
          <w:r>
            <w:rPr>
              <w:rFonts w:hint="eastAsia" w:ascii="宋体" w:hAnsi="宋体" w:cs="宋体"/>
              <w:spacing w:val="9"/>
              <w:sz w:val="27"/>
              <w:szCs w:val="27"/>
              <w:lang w:val="en-US" w:eastAsia="zh-CN"/>
            </w:rPr>
            <w:t>及</w:t>
          </w:r>
          <w:r>
            <w:rPr>
              <w:rFonts w:hint="eastAsia" w:ascii="宋体" w:hAnsi="宋体" w:eastAsia="宋体" w:cs="宋体"/>
              <w:spacing w:val="9"/>
              <w:sz w:val="27"/>
              <w:szCs w:val="27"/>
            </w:rPr>
            <w:t>承包人项目管理方案</w:t>
          </w:r>
        </w:p>
        <w:p w14:paraId="2C6A5851">
          <w:pPr>
            <w:spacing w:before="290" w:line="226" w:lineRule="auto"/>
            <w:ind w:left="13"/>
            <w:rPr>
              <w:rFonts w:ascii="宋体" w:hAnsi="宋体" w:eastAsia="宋体" w:cs="宋体"/>
              <w:spacing w:val="8"/>
              <w:sz w:val="27"/>
              <w:szCs w:val="27"/>
            </w:rPr>
          </w:pPr>
          <w:r>
            <w:rPr>
              <w:rFonts w:ascii="宋体" w:hAnsi="宋体" w:eastAsia="宋体" w:cs="宋体"/>
              <w:spacing w:val="8"/>
              <w:sz w:val="27"/>
              <w:szCs w:val="27"/>
            </w:rPr>
            <w:t>六、项目管理机构</w:t>
          </w:r>
        </w:p>
        <w:p w14:paraId="146E448A">
          <w:pPr>
            <w:spacing w:before="290" w:line="226" w:lineRule="auto"/>
            <w:ind w:left="13"/>
            <w:rPr>
              <w:rFonts w:hint="eastAsia" w:ascii="宋体" w:hAnsi="宋体" w:eastAsia="宋体" w:cs="宋体"/>
              <w:spacing w:val="8"/>
              <w:sz w:val="27"/>
              <w:szCs w:val="27"/>
              <w:lang w:val="en-US" w:eastAsia="zh-CN"/>
            </w:rPr>
          </w:pPr>
          <w:r>
            <w:rPr>
              <w:rFonts w:hint="eastAsia" w:ascii="宋体" w:hAnsi="宋体" w:cs="宋体"/>
              <w:spacing w:val="8"/>
              <w:sz w:val="27"/>
              <w:szCs w:val="27"/>
              <w:lang w:val="en-US" w:eastAsia="zh-CN"/>
            </w:rPr>
            <w:t>七、</w:t>
          </w:r>
          <w:r>
            <w:rPr>
              <w:rFonts w:hint="eastAsia" w:ascii="宋体" w:hAnsi="宋体" w:eastAsia="宋体" w:cs="宋体"/>
              <w:spacing w:val="8"/>
              <w:sz w:val="27"/>
              <w:szCs w:val="27"/>
            </w:rPr>
            <w:t>拟分包项目情况表</w:t>
          </w:r>
        </w:p>
        <w:p w14:paraId="7C9C329A">
          <w:pPr>
            <w:spacing w:before="294" w:line="226" w:lineRule="auto"/>
            <w:ind w:left="9"/>
            <w:rPr>
              <w:rFonts w:ascii="宋体" w:hAnsi="宋体" w:eastAsia="宋体" w:cs="宋体"/>
              <w:sz w:val="27"/>
              <w:szCs w:val="27"/>
            </w:rPr>
          </w:pPr>
          <w:r>
            <w:rPr>
              <w:rFonts w:hint="eastAsia" w:ascii="宋体" w:hAnsi="宋体" w:cs="宋体"/>
              <w:spacing w:val="9"/>
              <w:sz w:val="27"/>
              <w:szCs w:val="27"/>
              <w:lang w:val="en-US" w:eastAsia="zh-CN"/>
            </w:rPr>
            <w:t>八</w:t>
          </w:r>
          <w:r>
            <w:rPr>
              <w:rFonts w:ascii="宋体" w:hAnsi="宋体" w:eastAsia="宋体" w:cs="宋体"/>
              <w:spacing w:val="9"/>
              <w:sz w:val="27"/>
              <w:szCs w:val="27"/>
            </w:rPr>
            <w:t>、资格审查资料</w:t>
          </w:r>
        </w:p>
        <w:p w14:paraId="4FB648A3">
          <w:pPr>
            <w:spacing w:before="293" w:line="227" w:lineRule="auto"/>
            <w:ind w:left="15"/>
            <w:rPr>
              <w:rFonts w:ascii="宋体" w:hAnsi="宋体" w:eastAsia="宋体" w:cs="宋体"/>
              <w:sz w:val="27"/>
              <w:szCs w:val="27"/>
            </w:rPr>
          </w:pPr>
          <w:r>
            <w:rPr>
              <w:rFonts w:hint="eastAsia" w:ascii="宋体" w:hAnsi="宋体" w:cs="宋体"/>
              <w:spacing w:val="7"/>
              <w:sz w:val="27"/>
              <w:szCs w:val="27"/>
              <w:lang w:val="en-US" w:eastAsia="zh-CN"/>
            </w:rPr>
            <w:t>九</w:t>
          </w:r>
          <w:r>
            <w:rPr>
              <w:rFonts w:ascii="宋体" w:hAnsi="宋体" w:eastAsia="宋体" w:cs="宋体"/>
              <w:spacing w:val="7"/>
              <w:sz w:val="27"/>
              <w:szCs w:val="27"/>
            </w:rPr>
            <w:t>、</w:t>
          </w:r>
          <w:r>
            <w:rPr>
              <w:rFonts w:hint="eastAsia" w:ascii="宋体" w:hAnsi="宋体" w:eastAsia="宋体" w:cs="宋体"/>
              <w:spacing w:val="7"/>
              <w:sz w:val="27"/>
              <w:szCs w:val="27"/>
            </w:rPr>
            <w:t>投标人须知前附表规定的其他资料</w:t>
          </w:r>
        </w:p>
      </w:sdtContent>
    </w:sdt>
    <w:p w14:paraId="42DECDBA">
      <w:pPr>
        <w:pStyle w:val="2"/>
        <w:spacing w:line="333" w:lineRule="auto"/>
      </w:pPr>
    </w:p>
    <w:p w14:paraId="2EA06A90">
      <w:pPr>
        <w:pStyle w:val="2"/>
        <w:spacing w:line="334" w:lineRule="auto"/>
      </w:pPr>
    </w:p>
    <w:p w14:paraId="5A65D3FD">
      <w:pPr>
        <w:spacing w:before="88" w:line="226" w:lineRule="auto"/>
        <w:ind w:left="10"/>
        <w:rPr>
          <w:rFonts w:ascii="宋体" w:hAnsi="宋体" w:eastAsia="宋体" w:cs="宋体"/>
          <w:sz w:val="27"/>
          <w:szCs w:val="27"/>
        </w:rPr>
      </w:pPr>
    </w:p>
    <w:p w14:paraId="705BBE0B">
      <w:pPr>
        <w:spacing w:line="226" w:lineRule="auto"/>
        <w:rPr>
          <w:rFonts w:ascii="宋体" w:hAnsi="宋体" w:eastAsia="宋体" w:cs="宋体"/>
          <w:sz w:val="27"/>
          <w:szCs w:val="27"/>
        </w:rPr>
        <w:sectPr>
          <w:footerReference r:id="rId166" w:type="default"/>
          <w:pgSz w:w="11905" w:h="16840"/>
          <w:pgMar w:top="1182" w:right="1416" w:bottom="1171" w:left="1416" w:header="849" w:footer="937" w:gutter="0"/>
          <w:pgNumType w:fmt="decimal"/>
          <w:cols w:space="720" w:num="1"/>
        </w:sectPr>
      </w:pPr>
    </w:p>
    <w:p w14:paraId="4F106418">
      <w:pPr>
        <w:pStyle w:val="2"/>
        <w:spacing w:line="315" w:lineRule="auto"/>
      </w:pPr>
    </w:p>
    <w:p w14:paraId="4B202C97">
      <w:pPr>
        <w:spacing w:before="88" w:line="226" w:lineRule="auto"/>
        <w:ind w:left="3005"/>
        <w:rPr>
          <w:rFonts w:ascii="宋体" w:hAnsi="宋体" w:eastAsia="宋体" w:cs="宋体"/>
          <w:sz w:val="27"/>
          <w:szCs w:val="27"/>
        </w:rPr>
      </w:pPr>
      <w:r>
        <w:rPr>
          <w:rFonts w:ascii="宋体" w:hAnsi="宋体" w:eastAsia="宋体" w:cs="宋体"/>
          <w:b/>
          <w:bCs/>
          <w:spacing w:val="5"/>
          <w:sz w:val="27"/>
          <w:szCs w:val="27"/>
        </w:rPr>
        <w:t>一、投标函及投标函附录</w:t>
      </w:r>
    </w:p>
    <w:p w14:paraId="04548F70">
      <w:pPr>
        <w:spacing w:before="294" w:line="227" w:lineRule="auto"/>
        <w:ind w:left="3715"/>
        <w:rPr>
          <w:rFonts w:ascii="宋体" w:hAnsi="宋体" w:eastAsia="宋体" w:cs="宋体"/>
          <w:sz w:val="27"/>
          <w:szCs w:val="27"/>
        </w:rPr>
      </w:pPr>
      <w:r>
        <w:rPr>
          <w:rFonts w:ascii="宋体" w:hAnsi="宋体" w:eastAsia="宋体" w:cs="宋体"/>
          <w:b/>
          <w:bCs/>
          <w:spacing w:val="-1"/>
          <w:sz w:val="27"/>
          <w:szCs w:val="27"/>
        </w:rPr>
        <w:t>（一）投标函</w:t>
      </w:r>
    </w:p>
    <w:p w14:paraId="260A9909">
      <w:pPr>
        <w:tabs>
          <w:tab w:val="left" w:pos="2520"/>
        </w:tabs>
        <w:spacing w:before="234" w:line="220"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7"/>
          <w:sz w:val="24"/>
          <w:szCs w:val="24"/>
        </w:rPr>
        <w:t>（招标人名称</w:t>
      </w:r>
      <w:r>
        <w:rPr>
          <w:rFonts w:ascii="宋体" w:hAnsi="宋体" w:eastAsia="宋体" w:cs="宋体"/>
          <w:spacing w:val="-4"/>
          <w:sz w:val="24"/>
          <w:szCs w:val="24"/>
        </w:rPr>
        <w:t>）：</w:t>
      </w:r>
    </w:p>
    <w:p w14:paraId="0B3FFFC2">
      <w:pPr>
        <w:spacing w:before="181" w:line="360" w:lineRule="auto"/>
        <w:ind w:left="10" w:firstLine="496"/>
        <w:rPr>
          <w:rFonts w:ascii="宋体" w:hAnsi="宋体" w:eastAsia="宋体" w:cs="宋体"/>
          <w:sz w:val="24"/>
          <w:szCs w:val="24"/>
        </w:rPr>
      </w:pPr>
      <w:r>
        <w:rPr>
          <w:rFonts w:ascii="宋体" w:hAnsi="宋体" w:eastAsia="宋体" w:cs="宋体"/>
          <w:spacing w:val="-2"/>
          <w:sz w:val="24"/>
          <w:szCs w:val="24"/>
        </w:rPr>
        <w:t>1.我方已仔细研究</w:t>
      </w:r>
      <w:r>
        <w:rPr>
          <w:rFonts w:ascii="宋体" w:hAnsi="宋体" w:eastAsia="宋体" w:cs="宋体"/>
          <w:spacing w:val="9"/>
          <w:sz w:val="24"/>
          <w:szCs w:val="24"/>
          <w:u w:val="single" w:color="auto"/>
        </w:rPr>
        <w:t xml:space="preserve">           </w:t>
      </w:r>
      <w:r>
        <w:rPr>
          <w:rFonts w:ascii="宋体" w:hAnsi="宋体" w:eastAsia="宋体" w:cs="宋体"/>
          <w:spacing w:val="-2"/>
          <w:sz w:val="24"/>
          <w:szCs w:val="24"/>
          <w:u w:val="single" w:color="auto"/>
        </w:rPr>
        <w:t>（项目名称</w:t>
      </w:r>
      <w:r>
        <w:rPr>
          <w:rFonts w:ascii="宋体" w:hAnsi="宋体" w:eastAsia="宋体" w:cs="宋体"/>
          <w:spacing w:val="5"/>
          <w:sz w:val="24"/>
          <w:szCs w:val="24"/>
          <w:u w:val="single" w:color="auto"/>
        </w:rPr>
        <w:t>）</w:t>
      </w:r>
      <w:r>
        <w:rPr>
          <w:rFonts w:ascii="宋体" w:hAnsi="宋体" w:eastAsia="宋体" w:cs="宋体"/>
          <w:spacing w:val="2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pacing w:val="-2"/>
          <w:sz w:val="24"/>
          <w:szCs w:val="24"/>
          <w:u w:val="single" w:color="auto"/>
        </w:rPr>
        <w:t>标类或标段）</w:t>
      </w:r>
      <w:r>
        <w:rPr>
          <w:rFonts w:ascii="宋体" w:hAnsi="宋体" w:eastAsia="宋体" w:cs="宋体"/>
          <w:spacing w:val="-2"/>
          <w:sz w:val="24"/>
          <w:szCs w:val="24"/>
        </w:rPr>
        <w:t>施工招标文件的全部内容（含补遗书，如有</w:t>
      </w:r>
      <w:r>
        <w:rPr>
          <w:rFonts w:ascii="宋体" w:hAnsi="宋体" w:eastAsia="宋体" w:cs="宋体"/>
          <w:spacing w:val="-1"/>
          <w:sz w:val="24"/>
          <w:szCs w:val="24"/>
        </w:rPr>
        <w:t>），</w:t>
      </w:r>
      <w:r>
        <w:rPr>
          <w:rFonts w:ascii="宋体" w:hAnsi="宋体" w:eastAsia="宋体" w:cs="宋体"/>
          <w:spacing w:val="-2"/>
          <w:sz w:val="24"/>
          <w:szCs w:val="24"/>
          <w:u w:val="single" w:color="auto"/>
        </w:rPr>
        <w:t>在考察工程现场后（如有</w:t>
      </w:r>
      <w:r>
        <w:rPr>
          <w:rFonts w:ascii="宋体" w:hAnsi="宋体" w:eastAsia="宋体" w:cs="宋体"/>
          <w:spacing w:val="-1"/>
          <w:sz w:val="24"/>
          <w:szCs w:val="24"/>
          <w:u w:val="single" w:color="auto"/>
        </w:rPr>
        <w:t>）</w:t>
      </w:r>
      <w:r>
        <w:rPr>
          <w:rFonts w:ascii="宋体" w:hAnsi="宋体" w:eastAsia="宋体" w:cs="宋体"/>
          <w:spacing w:val="-1"/>
          <w:sz w:val="24"/>
          <w:szCs w:val="24"/>
        </w:rPr>
        <w:t>，</w:t>
      </w:r>
      <w:r>
        <w:rPr>
          <w:rFonts w:ascii="宋体" w:hAnsi="宋体" w:eastAsia="宋体" w:cs="宋体"/>
          <w:spacing w:val="-2"/>
          <w:sz w:val="24"/>
          <w:szCs w:val="24"/>
        </w:rPr>
        <w:t>愿意以第二个信封（报</w:t>
      </w:r>
      <w:r>
        <w:rPr>
          <w:rFonts w:ascii="宋体" w:hAnsi="宋体" w:eastAsia="宋体" w:cs="宋体"/>
          <w:spacing w:val="-1"/>
          <w:sz w:val="24"/>
          <w:szCs w:val="24"/>
        </w:rPr>
        <w:t>价文件）中的投标总报价（或根据招标文件规定修正核实后确定的另一金额</w:t>
      </w:r>
      <w:r>
        <w:rPr>
          <w:rFonts w:ascii="宋体" w:hAnsi="宋体" w:eastAsia="宋体" w:cs="宋体"/>
          <w:spacing w:val="-12"/>
          <w:sz w:val="24"/>
          <w:szCs w:val="24"/>
        </w:rPr>
        <w:t>），</w:t>
      </w:r>
      <w:r>
        <w:rPr>
          <w:rFonts w:ascii="宋体" w:hAnsi="宋体" w:eastAsia="宋体" w:cs="宋体"/>
          <w:spacing w:val="-1"/>
          <w:sz w:val="24"/>
          <w:szCs w:val="24"/>
        </w:rPr>
        <w:t>按合同</w:t>
      </w:r>
      <w:r>
        <w:rPr>
          <w:rFonts w:ascii="宋体" w:hAnsi="宋体" w:eastAsia="宋体" w:cs="宋体"/>
          <w:spacing w:val="-2"/>
          <w:sz w:val="24"/>
          <w:szCs w:val="24"/>
        </w:rPr>
        <w:t>约定实施和完成承包工程，修补工程中的任何缺陷。</w:t>
      </w:r>
    </w:p>
    <w:p w14:paraId="60716BC8">
      <w:pPr>
        <w:spacing w:line="219" w:lineRule="auto"/>
        <w:ind w:left="492"/>
        <w:rPr>
          <w:rFonts w:ascii="宋体" w:hAnsi="宋体" w:eastAsia="宋体" w:cs="宋体"/>
          <w:sz w:val="24"/>
          <w:szCs w:val="24"/>
        </w:rPr>
      </w:pPr>
      <w:r>
        <w:rPr>
          <w:rFonts w:ascii="宋体" w:hAnsi="宋体" w:eastAsia="宋体" w:cs="宋体"/>
          <w:spacing w:val="-2"/>
          <w:sz w:val="24"/>
          <w:szCs w:val="24"/>
        </w:rPr>
        <w:t>2.我方承诺在招标文件规定的投标有效期内不撤销投标文件。</w:t>
      </w:r>
    </w:p>
    <w:p w14:paraId="441B3749">
      <w:pPr>
        <w:spacing w:before="164" w:line="234" w:lineRule="auto"/>
        <w:ind w:left="494"/>
        <w:rPr>
          <w:rFonts w:hint="eastAsia" w:ascii="宋体" w:hAnsi="宋体" w:eastAsia="宋体" w:cs="宋体"/>
          <w:sz w:val="12"/>
          <w:szCs w:val="12"/>
          <w:lang w:eastAsia="zh-CN"/>
        </w:rPr>
      </w:pPr>
      <w:r>
        <w:rPr>
          <w:rFonts w:ascii="宋体" w:hAnsi="宋体" w:eastAsia="宋体" w:cs="宋体"/>
          <w:spacing w:val="-5"/>
          <w:sz w:val="24"/>
          <w:szCs w:val="24"/>
        </w:rPr>
        <w:t>3.工程质量</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5"/>
          <w:sz w:val="24"/>
          <w:szCs w:val="24"/>
        </w:rPr>
        <w:t>安全目标</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r>
        <w:rPr>
          <w:rFonts w:ascii="宋体" w:hAnsi="宋体" w:eastAsia="宋体" w:cs="宋体"/>
          <w:spacing w:val="-5"/>
          <w:sz w:val="24"/>
          <w:szCs w:val="24"/>
        </w:rPr>
        <w:t>工期</w:t>
      </w:r>
      <w:r>
        <w:rPr>
          <w:rFonts w:ascii="宋体" w:hAnsi="宋体" w:eastAsia="宋体" w:cs="宋体"/>
          <w:spacing w:val="-101"/>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5"/>
          <w:sz w:val="24"/>
          <w:szCs w:val="24"/>
        </w:rPr>
        <w:t>日历天。</w:t>
      </w:r>
    </w:p>
    <w:p w14:paraId="4DB41C95">
      <w:pPr>
        <w:spacing w:before="181" w:line="220" w:lineRule="auto"/>
        <w:ind w:left="488"/>
        <w:rPr>
          <w:rFonts w:ascii="宋体" w:hAnsi="宋体" w:eastAsia="宋体" w:cs="宋体"/>
          <w:sz w:val="24"/>
          <w:szCs w:val="24"/>
        </w:rPr>
      </w:pPr>
      <w:r>
        <w:rPr>
          <w:rFonts w:ascii="宋体" w:hAnsi="宋体" w:eastAsia="宋体" w:cs="宋体"/>
          <w:spacing w:val="-5"/>
          <w:sz w:val="24"/>
          <w:szCs w:val="24"/>
        </w:rPr>
        <w:t>4.如我方中标，我方承诺：</w:t>
      </w:r>
    </w:p>
    <w:p w14:paraId="55AA90FD">
      <w:pPr>
        <w:spacing w:before="183" w:line="219" w:lineRule="auto"/>
        <w:ind w:left="495"/>
        <w:rPr>
          <w:rFonts w:ascii="宋体" w:hAnsi="宋体" w:eastAsia="宋体" w:cs="宋体"/>
          <w:sz w:val="24"/>
          <w:szCs w:val="24"/>
        </w:rPr>
      </w:pPr>
      <w:r>
        <w:rPr>
          <w:rFonts w:ascii="宋体" w:hAnsi="宋体" w:eastAsia="宋体" w:cs="宋体"/>
          <w:spacing w:val="-3"/>
          <w:sz w:val="24"/>
          <w:szCs w:val="24"/>
        </w:rPr>
        <w:t>（1）在收到中标通知书后，在规定的期限内与你方签订合同；</w:t>
      </w:r>
    </w:p>
    <w:p w14:paraId="65FEDAED">
      <w:pPr>
        <w:spacing w:before="183" w:line="219" w:lineRule="auto"/>
        <w:ind w:left="495"/>
        <w:rPr>
          <w:rFonts w:ascii="宋体" w:hAnsi="宋体" w:eastAsia="宋体" w:cs="宋体"/>
          <w:sz w:val="24"/>
          <w:szCs w:val="24"/>
        </w:rPr>
      </w:pPr>
      <w:r>
        <w:rPr>
          <w:rFonts w:ascii="宋体" w:hAnsi="宋体" w:eastAsia="宋体" w:cs="宋体"/>
          <w:spacing w:val="-4"/>
          <w:sz w:val="24"/>
          <w:szCs w:val="24"/>
        </w:rPr>
        <w:t>（2）在签订合同时不向你方提出附件条件；</w:t>
      </w:r>
    </w:p>
    <w:p w14:paraId="02C9DB57">
      <w:pPr>
        <w:spacing w:before="183" w:line="220" w:lineRule="auto"/>
        <w:ind w:left="495"/>
        <w:rPr>
          <w:rFonts w:ascii="宋体" w:hAnsi="宋体" w:eastAsia="宋体" w:cs="宋体"/>
          <w:sz w:val="24"/>
          <w:szCs w:val="24"/>
        </w:rPr>
      </w:pPr>
      <w:r>
        <w:rPr>
          <w:rFonts w:ascii="宋体" w:hAnsi="宋体" w:eastAsia="宋体" w:cs="宋体"/>
          <w:spacing w:val="-4"/>
          <w:sz w:val="24"/>
          <w:szCs w:val="24"/>
        </w:rPr>
        <w:t>（3）按照招标文件要求提交履约保证金；</w:t>
      </w:r>
    </w:p>
    <w:p w14:paraId="3A7A2E95">
      <w:pPr>
        <w:spacing w:before="182" w:line="220" w:lineRule="auto"/>
        <w:ind w:left="495"/>
        <w:rPr>
          <w:rFonts w:ascii="宋体" w:hAnsi="宋体" w:eastAsia="宋体" w:cs="宋体"/>
          <w:sz w:val="24"/>
          <w:szCs w:val="24"/>
        </w:rPr>
      </w:pPr>
      <w:r>
        <w:rPr>
          <w:rFonts w:ascii="宋体" w:hAnsi="宋体" w:eastAsia="宋体" w:cs="宋体"/>
          <w:spacing w:val="-3"/>
          <w:sz w:val="24"/>
          <w:szCs w:val="24"/>
        </w:rPr>
        <w:t>（4）在合同约定的期限内完成合同规定的全部义务；</w:t>
      </w:r>
    </w:p>
    <w:p w14:paraId="3E46444C">
      <w:pPr>
        <w:spacing w:before="183" w:line="360" w:lineRule="auto"/>
        <w:ind w:left="11" w:firstLine="484"/>
        <w:rPr>
          <w:rFonts w:hint="eastAsia" w:ascii="宋体" w:hAnsi="宋体" w:eastAsia="宋体" w:cs="宋体"/>
          <w:sz w:val="12"/>
          <w:szCs w:val="12"/>
          <w:lang w:eastAsia="zh-CN"/>
        </w:rPr>
      </w:pPr>
      <w:r>
        <w:rPr>
          <w:rFonts w:ascii="宋体" w:hAnsi="宋体" w:eastAsia="宋体" w:cs="宋体"/>
          <w:spacing w:val="1"/>
          <w:sz w:val="24"/>
          <w:szCs w:val="24"/>
        </w:rPr>
        <w:t>（5）在你方和我方进行合同谈判之前，我方将按照合同附件提出的最低要求填报</w:t>
      </w:r>
      <w:r>
        <w:rPr>
          <w:rFonts w:ascii="宋体" w:hAnsi="宋体" w:eastAsia="宋体" w:cs="宋体"/>
          <w:spacing w:val="-2"/>
          <w:sz w:val="24"/>
          <w:szCs w:val="24"/>
        </w:rPr>
        <w:t>派驻本标段的其他管理和技术人员及主要设备，经你方审批后作为派驻本标段的项目管理机构主要人员和主要设备且不进行更换。如我方拟派的人员和设备不满足合同附件要</w:t>
      </w:r>
      <w:r>
        <w:rPr>
          <w:rFonts w:ascii="宋体" w:hAnsi="宋体" w:eastAsia="宋体" w:cs="宋体"/>
          <w:spacing w:val="-1"/>
          <w:sz w:val="24"/>
          <w:szCs w:val="24"/>
        </w:rPr>
        <w:t>求，你方有权取消我方中标资格。</w:t>
      </w:r>
    </w:p>
    <w:p w14:paraId="4A935401">
      <w:pPr>
        <w:spacing w:before="2" w:line="359" w:lineRule="auto"/>
        <w:ind w:left="10" w:firstLine="483"/>
        <w:rPr>
          <w:rFonts w:ascii="宋体" w:hAnsi="宋体" w:eastAsia="宋体" w:cs="宋体"/>
          <w:sz w:val="24"/>
          <w:szCs w:val="24"/>
        </w:rPr>
      </w:pPr>
      <w:r>
        <w:rPr>
          <w:rFonts w:ascii="宋体" w:hAnsi="宋体" w:eastAsia="宋体" w:cs="宋体"/>
          <w:spacing w:val="-6"/>
          <w:sz w:val="24"/>
          <w:szCs w:val="24"/>
        </w:rPr>
        <w:t>5.我方在此声明，所递交的投标文件及有关资料内容完整、真</w:t>
      </w:r>
      <w:r>
        <w:rPr>
          <w:rFonts w:ascii="宋体" w:hAnsi="宋体" w:eastAsia="宋体" w:cs="宋体"/>
          <w:spacing w:val="-7"/>
          <w:sz w:val="24"/>
          <w:szCs w:val="24"/>
        </w:rPr>
        <w:t>实和准确，</w:t>
      </w:r>
      <w:r>
        <w:rPr>
          <w:rFonts w:ascii="宋体" w:hAnsi="宋体" w:eastAsia="宋体" w:cs="宋体"/>
          <w:spacing w:val="47"/>
          <w:sz w:val="24"/>
          <w:szCs w:val="24"/>
        </w:rPr>
        <w:t xml:space="preserve"> </w:t>
      </w:r>
      <w:r>
        <w:rPr>
          <w:rFonts w:ascii="宋体" w:hAnsi="宋体" w:eastAsia="宋体" w:cs="宋体"/>
          <w:spacing w:val="-7"/>
          <w:sz w:val="24"/>
          <w:szCs w:val="24"/>
        </w:rPr>
        <w:t>且不存在</w:t>
      </w:r>
      <w:r>
        <w:rPr>
          <w:rFonts w:ascii="宋体" w:hAnsi="宋体" w:eastAsia="宋体" w:cs="宋体"/>
          <w:spacing w:val="-3"/>
          <w:sz w:val="24"/>
          <w:szCs w:val="24"/>
        </w:rPr>
        <w:t>招标文件第二章“投标人须知”第</w:t>
      </w:r>
      <w:r>
        <w:rPr>
          <w:rFonts w:ascii="宋体" w:hAnsi="宋体" w:eastAsia="宋体" w:cs="宋体"/>
          <w:spacing w:val="-32"/>
          <w:sz w:val="24"/>
          <w:szCs w:val="24"/>
        </w:rPr>
        <w:t xml:space="preserve"> </w:t>
      </w:r>
      <w:r>
        <w:rPr>
          <w:rFonts w:ascii="宋体" w:hAnsi="宋体" w:eastAsia="宋体" w:cs="宋体"/>
          <w:spacing w:val="-3"/>
          <w:sz w:val="24"/>
          <w:szCs w:val="24"/>
        </w:rPr>
        <w:t>1.4.3</w:t>
      </w:r>
      <w:r>
        <w:rPr>
          <w:rFonts w:ascii="宋体" w:hAnsi="宋体" w:eastAsia="宋体" w:cs="宋体"/>
          <w:spacing w:val="-47"/>
          <w:sz w:val="24"/>
          <w:szCs w:val="24"/>
        </w:rPr>
        <w:t xml:space="preserve"> </w:t>
      </w:r>
      <w:r>
        <w:rPr>
          <w:rFonts w:ascii="宋体" w:hAnsi="宋体" w:eastAsia="宋体" w:cs="宋体"/>
          <w:spacing w:val="-3"/>
          <w:sz w:val="24"/>
          <w:szCs w:val="24"/>
        </w:rPr>
        <w:t>项和第</w:t>
      </w:r>
      <w:r>
        <w:rPr>
          <w:rFonts w:ascii="宋体" w:hAnsi="宋体" w:eastAsia="宋体" w:cs="宋体"/>
          <w:spacing w:val="-33"/>
          <w:sz w:val="24"/>
          <w:szCs w:val="24"/>
        </w:rPr>
        <w:t xml:space="preserve"> </w:t>
      </w:r>
      <w:r>
        <w:rPr>
          <w:rFonts w:ascii="宋体" w:hAnsi="宋体" w:eastAsia="宋体" w:cs="宋体"/>
          <w:spacing w:val="-3"/>
          <w:sz w:val="24"/>
          <w:szCs w:val="24"/>
        </w:rPr>
        <w:t>1.4.4</w:t>
      </w:r>
      <w:r>
        <w:rPr>
          <w:rFonts w:ascii="宋体" w:hAnsi="宋体" w:eastAsia="宋体" w:cs="宋体"/>
          <w:spacing w:val="-47"/>
          <w:sz w:val="24"/>
          <w:szCs w:val="24"/>
        </w:rPr>
        <w:t xml:space="preserve"> </w:t>
      </w:r>
      <w:r>
        <w:rPr>
          <w:rFonts w:ascii="宋体" w:hAnsi="宋体" w:eastAsia="宋体" w:cs="宋体"/>
          <w:spacing w:val="-3"/>
          <w:sz w:val="24"/>
          <w:szCs w:val="24"/>
        </w:rPr>
        <w:t>项规定的任何一种情</w:t>
      </w:r>
      <w:r>
        <w:rPr>
          <w:rFonts w:ascii="宋体" w:hAnsi="宋体" w:eastAsia="宋体" w:cs="宋体"/>
          <w:spacing w:val="-4"/>
          <w:sz w:val="24"/>
          <w:szCs w:val="24"/>
        </w:rPr>
        <w:t>形。</w:t>
      </w:r>
    </w:p>
    <w:p w14:paraId="2EC7AAB7">
      <w:pPr>
        <w:spacing w:line="360" w:lineRule="auto"/>
        <w:ind w:left="8" w:firstLine="482"/>
        <w:rPr>
          <w:rFonts w:ascii="宋体" w:hAnsi="宋体" w:eastAsia="宋体" w:cs="宋体"/>
          <w:sz w:val="24"/>
          <w:szCs w:val="24"/>
        </w:rPr>
      </w:pPr>
      <w:r>
        <w:rPr>
          <w:rFonts w:ascii="宋体" w:hAnsi="宋体" w:eastAsia="宋体" w:cs="宋体"/>
          <w:spacing w:val="-2"/>
          <w:sz w:val="24"/>
          <w:szCs w:val="24"/>
        </w:rPr>
        <w:t>6.我方在此承诺：拟投入本项目的项目经理</w:t>
      </w:r>
      <w:r>
        <w:rPr>
          <w:rFonts w:ascii="宋体" w:hAnsi="宋体" w:eastAsia="宋体" w:cs="宋体"/>
          <w:spacing w:val="-2"/>
          <w:sz w:val="24"/>
          <w:szCs w:val="24"/>
          <w:u w:val="single" w:color="auto"/>
        </w:rPr>
        <w:t>（以及备选人，如有）</w:t>
      </w:r>
      <w:r>
        <w:rPr>
          <w:rFonts w:ascii="宋体" w:hAnsi="宋体" w:eastAsia="宋体" w:cs="宋体"/>
          <w:spacing w:val="-2"/>
          <w:sz w:val="24"/>
          <w:szCs w:val="24"/>
        </w:rPr>
        <w:t>及</w:t>
      </w:r>
      <w:r>
        <w:rPr>
          <w:rFonts w:ascii="宋体" w:hAnsi="宋体" w:eastAsia="宋体" w:cs="宋体"/>
          <w:spacing w:val="-3"/>
          <w:sz w:val="24"/>
          <w:szCs w:val="24"/>
        </w:rPr>
        <w:t>项目总工</w:t>
      </w:r>
      <w:r>
        <w:rPr>
          <w:rFonts w:ascii="宋体" w:hAnsi="宋体" w:eastAsia="宋体" w:cs="宋体"/>
          <w:spacing w:val="-3"/>
          <w:sz w:val="24"/>
          <w:szCs w:val="24"/>
          <w:u w:val="single" w:color="auto"/>
        </w:rPr>
        <w:t>（以</w:t>
      </w:r>
      <w:r>
        <w:rPr>
          <w:rFonts w:ascii="宋体" w:hAnsi="宋体" w:eastAsia="宋体" w:cs="宋体"/>
          <w:spacing w:val="-1"/>
          <w:sz w:val="24"/>
          <w:szCs w:val="24"/>
          <w:u w:val="single" w:color="auto"/>
        </w:rPr>
        <w:t>及备选人，如有）</w:t>
      </w:r>
      <w:r>
        <w:rPr>
          <w:rFonts w:ascii="宋体" w:hAnsi="宋体" w:eastAsia="宋体" w:cs="宋体"/>
          <w:spacing w:val="-1"/>
          <w:sz w:val="24"/>
          <w:szCs w:val="24"/>
        </w:rPr>
        <w:t>无在岗项目</w:t>
      </w:r>
      <w:r>
        <w:rPr>
          <w:rFonts w:hint="eastAsia" w:ascii="宋体" w:hAnsi="宋体" w:cs="宋体"/>
          <w:spacing w:val="-1"/>
          <w:sz w:val="24"/>
          <w:szCs w:val="24"/>
          <w:lang w:eastAsia="zh-CN"/>
        </w:rPr>
        <w:t>（</w:t>
      </w:r>
      <w:r>
        <w:rPr>
          <w:rFonts w:ascii="宋体" w:hAnsi="宋体" w:eastAsia="宋体" w:cs="宋体"/>
          <w:spacing w:val="-1"/>
          <w:sz w:val="24"/>
          <w:szCs w:val="24"/>
        </w:rPr>
        <w:t>□目前未在其</w:t>
      </w:r>
      <w:r>
        <w:rPr>
          <w:rFonts w:ascii="宋体" w:hAnsi="宋体" w:eastAsia="宋体" w:cs="宋体"/>
          <w:spacing w:val="-2"/>
          <w:sz w:val="24"/>
          <w:szCs w:val="24"/>
        </w:rPr>
        <w:t>他项目上任职， □虽在其他项目上任职但</w:t>
      </w:r>
      <w:r>
        <w:rPr>
          <w:rFonts w:ascii="宋体" w:hAnsi="宋体" w:eastAsia="宋体" w:cs="宋体"/>
          <w:spacing w:val="-1"/>
          <w:sz w:val="24"/>
          <w:szCs w:val="24"/>
        </w:rPr>
        <w:t>本项目中标后能够从该项目撤离）</w:t>
      </w:r>
      <w:r>
        <w:rPr>
          <w:rFonts w:hint="eastAsia" w:ascii="宋体" w:hAnsi="宋体" w:cs="宋体"/>
          <w:spacing w:val="-1"/>
          <w:sz w:val="24"/>
          <w:szCs w:val="24"/>
          <w:lang w:eastAsia="zh-CN"/>
        </w:rPr>
        <w:t>，</w:t>
      </w:r>
      <w:r>
        <w:rPr>
          <w:rFonts w:ascii="宋体" w:hAnsi="宋体" w:eastAsia="宋体" w:cs="宋体"/>
          <w:spacing w:val="-1"/>
          <w:sz w:val="24"/>
          <w:szCs w:val="24"/>
        </w:rPr>
        <w:t>否则自愿按照招标人的有</w:t>
      </w:r>
      <w:r>
        <w:rPr>
          <w:rFonts w:ascii="宋体" w:hAnsi="宋体" w:eastAsia="宋体" w:cs="宋体"/>
          <w:spacing w:val="-2"/>
          <w:sz w:val="24"/>
          <w:szCs w:val="24"/>
        </w:rPr>
        <w:t>关规定接受处理。</w:t>
      </w:r>
    </w:p>
    <w:p w14:paraId="452FC6F4">
      <w:pPr>
        <w:spacing w:before="1" w:line="219" w:lineRule="auto"/>
        <w:ind w:left="495"/>
        <w:rPr>
          <w:rFonts w:ascii="宋体" w:hAnsi="宋体" w:eastAsia="宋体" w:cs="宋体"/>
          <w:sz w:val="24"/>
          <w:szCs w:val="24"/>
        </w:rPr>
      </w:pPr>
      <w:r>
        <w:rPr>
          <w:rFonts w:ascii="宋体" w:hAnsi="宋体" w:eastAsia="宋体" w:cs="宋体"/>
          <w:spacing w:val="-3"/>
          <w:sz w:val="24"/>
          <w:szCs w:val="24"/>
        </w:rPr>
        <w:t>7.我方在此承诺：权利义务满足招标文件规定。</w:t>
      </w:r>
    </w:p>
    <w:p w14:paraId="79D8307E">
      <w:pPr>
        <w:spacing w:before="182" w:line="360" w:lineRule="auto"/>
        <w:ind w:left="10" w:firstLine="480"/>
        <w:rPr>
          <w:rFonts w:ascii="宋体" w:hAnsi="宋体" w:eastAsia="宋体" w:cs="宋体"/>
          <w:sz w:val="24"/>
          <w:szCs w:val="24"/>
        </w:rPr>
      </w:pPr>
      <w:r>
        <w:rPr>
          <w:rFonts w:ascii="宋体" w:hAnsi="宋体" w:eastAsia="宋体" w:cs="宋体"/>
          <w:spacing w:val="-2"/>
          <w:sz w:val="24"/>
          <w:szCs w:val="24"/>
        </w:rPr>
        <w:t>8.在合同协议书正式签署生效之前，本投标函连同你方的中标通知书将构成我们双</w:t>
      </w:r>
      <w:r>
        <w:rPr>
          <w:rFonts w:ascii="宋体" w:hAnsi="宋体" w:eastAsia="宋体" w:cs="宋体"/>
          <w:spacing w:val="-3"/>
          <w:sz w:val="24"/>
          <w:szCs w:val="24"/>
        </w:rPr>
        <w:t>方之间共同遵守的文件，对双方具有约束力。</w:t>
      </w:r>
    </w:p>
    <w:p w14:paraId="4A4D698D">
      <w:pPr>
        <w:spacing w:before="1" w:line="219" w:lineRule="auto"/>
        <w:ind w:left="490"/>
        <w:rPr>
          <w:rFonts w:ascii="宋体" w:hAnsi="宋体" w:eastAsia="宋体" w:cs="宋体"/>
          <w:sz w:val="24"/>
          <w:szCs w:val="24"/>
        </w:rPr>
      </w:pPr>
      <w:r>
        <w:rPr>
          <w:rFonts w:ascii="宋体" w:hAnsi="宋体" w:eastAsia="宋体" w:cs="宋体"/>
          <w:spacing w:val="-4"/>
          <w:sz w:val="24"/>
          <w:szCs w:val="24"/>
        </w:rPr>
        <w:t>9.</w:t>
      </w:r>
      <w:r>
        <w:rPr>
          <w:rFonts w:ascii="宋体" w:hAnsi="宋体" w:eastAsia="宋体" w:cs="宋体"/>
          <w:spacing w:val="3"/>
          <w:sz w:val="24"/>
          <w:szCs w:val="24"/>
          <w:u w:val="single" w:color="auto"/>
        </w:rPr>
        <w:t xml:space="preserve">                                        </w:t>
      </w:r>
      <w:r>
        <w:rPr>
          <w:rFonts w:ascii="宋体" w:hAnsi="宋体" w:eastAsia="宋体" w:cs="宋体"/>
          <w:spacing w:val="-4"/>
          <w:sz w:val="24"/>
          <w:szCs w:val="24"/>
        </w:rPr>
        <w:t>（其他补充说明）。</w:t>
      </w:r>
    </w:p>
    <w:p w14:paraId="6CF0446A">
      <w:pPr>
        <w:pStyle w:val="2"/>
        <w:spacing w:line="310" w:lineRule="auto"/>
      </w:pPr>
    </w:p>
    <w:p w14:paraId="4D57F456">
      <w:pPr>
        <w:pStyle w:val="2"/>
        <w:spacing w:line="311" w:lineRule="auto"/>
      </w:pPr>
    </w:p>
    <w:p w14:paraId="05B2E975">
      <w:pPr>
        <w:spacing w:line="217" w:lineRule="auto"/>
        <w:rPr>
          <w:rFonts w:ascii="宋体" w:hAnsi="宋体" w:eastAsia="宋体" w:cs="宋体"/>
          <w:sz w:val="18"/>
          <w:szCs w:val="18"/>
        </w:rPr>
        <w:sectPr>
          <w:footerReference r:id="rId167" w:type="default"/>
          <w:pgSz w:w="11905" w:h="16840"/>
          <w:pgMar w:top="1182" w:right="1416" w:bottom="1171" w:left="1416" w:header="849" w:footer="937" w:gutter="0"/>
          <w:pgNumType w:fmt="decimal"/>
          <w:cols w:space="720" w:num="1"/>
        </w:sectPr>
      </w:pPr>
    </w:p>
    <w:p w14:paraId="71EECB68">
      <w:pPr>
        <w:pStyle w:val="2"/>
        <w:spacing w:line="249" w:lineRule="auto"/>
      </w:pPr>
    </w:p>
    <w:p w14:paraId="4D482353">
      <w:pPr>
        <w:spacing w:before="78" w:line="233" w:lineRule="auto"/>
        <w:ind w:left="3132"/>
        <w:rPr>
          <w:rFonts w:hint="eastAsia" w:ascii="宋体" w:hAnsi="宋体" w:eastAsia="宋体" w:cs="宋体"/>
          <w:sz w:val="12"/>
          <w:szCs w:val="12"/>
          <w:lang w:eastAsia="zh-CN"/>
        </w:rPr>
      </w:pPr>
      <w:r>
        <w:rPr>
          <w:rFonts w:ascii="宋体" w:hAnsi="宋体" w:eastAsia="宋体" w:cs="宋体"/>
          <w:spacing w:val="-1"/>
          <w:sz w:val="24"/>
          <w:szCs w:val="24"/>
        </w:rPr>
        <w:t>投标人：</w:t>
      </w:r>
      <w:r>
        <w:rPr>
          <w:rFonts w:ascii="宋体" w:hAnsi="宋体" w:eastAsia="宋体" w:cs="宋体"/>
          <w:sz w:val="24"/>
          <w:szCs w:val="24"/>
          <w:u w:val="single" w:color="auto"/>
        </w:rPr>
        <w:t xml:space="preserve">                       </w:t>
      </w:r>
      <w:r>
        <w:rPr>
          <w:rFonts w:ascii="宋体" w:hAnsi="宋体" w:eastAsia="宋体" w:cs="宋体"/>
          <w:spacing w:val="-1"/>
          <w:sz w:val="24"/>
          <w:szCs w:val="24"/>
        </w:rPr>
        <w:t>（盖单位章）</w:t>
      </w:r>
    </w:p>
    <w:p w14:paraId="3B9E606A">
      <w:pPr>
        <w:spacing w:before="182" w:line="220" w:lineRule="auto"/>
        <w:ind w:left="3130"/>
        <w:rPr>
          <w:rFonts w:ascii="宋体" w:hAnsi="宋体" w:eastAsia="宋体" w:cs="宋体"/>
          <w:sz w:val="24"/>
          <w:szCs w:val="24"/>
        </w:rPr>
      </w:pPr>
      <w:r>
        <w:rPr>
          <w:rFonts w:ascii="宋体" w:hAnsi="宋体" w:eastAsia="宋体" w:cs="宋体"/>
          <w:spacing w:val="-2"/>
          <w:sz w:val="24"/>
          <w:szCs w:val="24"/>
        </w:rPr>
        <w:t>法定代表人或其委托代理人</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签字）</w:t>
      </w:r>
    </w:p>
    <w:p w14:paraId="18C146D0">
      <w:pPr>
        <w:spacing w:before="182" w:line="229" w:lineRule="auto"/>
        <w:ind w:left="3129"/>
        <w:rPr>
          <w:rFonts w:ascii="宋体" w:hAnsi="宋体" w:eastAsia="宋体" w:cs="宋体"/>
          <w:sz w:val="24"/>
          <w:szCs w:val="24"/>
        </w:rPr>
      </w:pPr>
      <w:r>
        <w:rPr>
          <w:rFonts w:ascii="宋体" w:hAnsi="宋体" w:eastAsia="宋体" w:cs="宋体"/>
          <w:spacing w:val="-4"/>
          <w:sz w:val="24"/>
          <w:szCs w:val="24"/>
        </w:rPr>
        <w:t>地址：</w:t>
      </w:r>
      <w:r>
        <w:rPr>
          <w:rFonts w:ascii="宋体" w:hAnsi="宋体" w:eastAsia="宋体" w:cs="宋体"/>
          <w:sz w:val="24"/>
          <w:szCs w:val="24"/>
          <w:u w:val="single" w:color="auto"/>
        </w:rPr>
        <w:t xml:space="preserve">                                       </w:t>
      </w:r>
    </w:p>
    <w:p w14:paraId="50998F34">
      <w:pPr>
        <w:spacing w:before="170" w:line="225" w:lineRule="auto"/>
        <w:ind w:left="3148"/>
        <w:rPr>
          <w:rFonts w:ascii="宋体" w:hAnsi="宋体" w:eastAsia="宋体" w:cs="宋体"/>
          <w:sz w:val="24"/>
          <w:szCs w:val="24"/>
        </w:rPr>
      </w:pPr>
      <w:r>
        <w:rPr>
          <w:rFonts w:ascii="宋体" w:hAnsi="宋体" w:eastAsia="宋体" w:cs="宋体"/>
          <w:spacing w:val="-10"/>
          <w:sz w:val="24"/>
          <w:szCs w:val="24"/>
        </w:rPr>
        <w:t>网址：</w:t>
      </w:r>
      <w:r>
        <w:rPr>
          <w:rFonts w:ascii="宋体" w:hAnsi="宋体" w:eastAsia="宋体" w:cs="宋体"/>
          <w:sz w:val="24"/>
          <w:szCs w:val="24"/>
          <w:u w:val="single" w:color="auto"/>
        </w:rPr>
        <w:t xml:space="preserve">                                       </w:t>
      </w:r>
    </w:p>
    <w:p w14:paraId="3A32E550">
      <w:pPr>
        <w:spacing w:before="175" w:line="222" w:lineRule="auto"/>
        <w:ind w:left="3157"/>
        <w:rPr>
          <w:rFonts w:ascii="宋体" w:hAnsi="宋体" w:eastAsia="宋体" w:cs="宋体"/>
          <w:sz w:val="24"/>
          <w:szCs w:val="24"/>
        </w:rPr>
      </w:pPr>
      <w:r>
        <w:rPr>
          <w:rFonts w:ascii="宋体" w:hAnsi="宋体" w:eastAsia="宋体" w:cs="宋体"/>
          <w:spacing w:val="-13"/>
          <w:sz w:val="24"/>
          <w:szCs w:val="24"/>
        </w:rPr>
        <w:t>电话：</w:t>
      </w:r>
      <w:r>
        <w:rPr>
          <w:rFonts w:ascii="宋体" w:hAnsi="宋体" w:eastAsia="宋体" w:cs="宋体"/>
          <w:sz w:val="24"/>
          <w:szCs w:val="24"/>
          <w:u w:val="single" w:color="auto"/>
        </w:rPr>
        <w:t xml:space="preserve">                                       </w:t>
      </w:r>
    </w:p>
    <w:p w14:paraId="6BE48634">
      <w:pPr>
        <w:spacing w:before="180" w:line="219" w:lineRule="auto"/>
        <w:ind w:left="3127"/>
        <w:rPr>
          <w:rFonts w:ascii="宋体" w:hAnsi="宋体" w:eastAsia="宋体" w:cs="宋体"/>
          <w:sz w:val="24"/>
          <w:szCs w:val="24"/>
        </w:rPr>
      </w:pPr>
      <w:r>
        <w:rPr>
          <w:rFonts w:ascii="宋体" w:hAnsi="宋体" w:eastAsia="宋体" w:cs="宋体"/>
          <w:spacing w:val="-3"/>
          <w:sz w:val="24"/>
          <w:szCs w:val="24"/>
        </w:rPr>
        <w:t>传真：</w:t>
      </w:r>
      <w:r>
        <w:rPr>
          <w:rFonts w:ascii="宋体" w:hAnsi="宋体" w:eastAsia="宋体" w:cs="宋体"/>
          <w:sz w:val="24"/>
          <w:szCs w:val="24"/>
          <w:u w:val="single" w:color="auto"/>
        </w:rPr>
        <w:t xml:space="preserve">                                       </w:t>
      </w:r>
    </w:p>
    <w:p w14:paraId="4FE4E775">
      <w:pPr>
        <w:tabs>
          <w:tab w:val="left" w:pos="6479"/>
        </w:tabs>
        <w:spacing w:before="184" w:line="362" w:lineRule="auto"/>
        <w:ind w:left="5999" w:right="72" w:hanging="2852"/>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7C2A138F">
      <w:pPr>
        <w:pStyle w:val="2"/>
        <w:spacing w:line="245" w:lineRule="auto"/>
      </w:pPr>
    </w:p>
    <w:p w14:paraId="3A4A5834">
      <w:pPr>
        <w:pStyle w:val="2"/>
        <w:spacing w:line="245" w:lineRule="auto"/>
      </w:pPr>
    </w:p>
    <w:p w14:paraId="44799B24">
      <w:pPr>
        <w:pStyle w:val="2"/>
        <w:spacing w:line="245" w:lineRule="auto"/>
      </w:pPr>
    </w:p>
    <w:p w14:paraId="5C4ED23D">
      <w:pPr>
        <w:pStyle w:val="2"/>
        <w:spacing w:line="245" w:lineRule="auto"/>
      </w:pPr>
    </w:p>
    <w:p w14:paraId="00F0A495">
      <w:pPr>
        <w:pStyle w:val="2"/>
        <w:spacing w:line="245" w:lineRule="auto"/>
      </w:pPr>
    </w:p>
    <w:p w14:paraId="5233B9FE">
      <w:pPr>
        <w:pStyle w:val="2"/>
        <w:spacing w:line="245" w:lineRule="auto"/>
      </w:pPr>
    </w:p>
    <w:p w14:paraId="3AB490C9">
      <w:pPr>
        <w:pStyle w:val="2"/>
        <w:spacing w:line="245" w:lineRule="auto"/>
      </w:pPr>
    </w:p>
    <w:p w14:paraId="35858B5B">
      <w:pPr>
        <w:pStyle w:val="2"/>
        <w:spacing w:line="245" w:lineRule="auto"/>
      </w:pPr>
    </w:p>
    <w:p w14:paraId="0E3F2C9B">
      <w:pPr>
        <w:pStyle w:val="2"/>
        <w:spacing w:line="245" w:lineRule="auto"/>
      </w:pPr>
    </w:p>
    <w:p w14:paraId="215003B6">
      <w:pPr>
        <w:pStyle w:val="2"/>
        <w:spacing w:line="245" w:lineRule="auto"/>
      </w:pPr>
    </w:p>
    <w:p w14:paraId="29EDEA0A">
      <w:pPr>
        <w:pStyle w:val="2"/>
        <w:spacing w:line="245" w:lineRule="auto"/>
      </w:pPr>
    </w:p>
    <w:p w14:paraId="23D458C0">
      <w:pPr>
        <w:pStyle w:val="2"/>
        <w:spacing w:line="245" w:lineRule="auto"/>
      </w:pPr>
    </w:p>
    <w:p w14:paraId="48B5079B">
      <w:pPr>
        <w:pStyle w:val="2"/>
        <w:spacing w:line="245" w:lineRule="auto"/>
      </w:pPr>
    </w:p>
    <w:p w14:paraId="39A2BAC4">
      <w:pPr>
        <w:pStyle w:val="2"/>
        <w:spacing w:line="245" w:lineRule="auto"/>
      </w:pPr>
    </w:p>
    <w:p w14:paraId="7ED62278">
      <w:pPr>
        <w:pStyle w:val="2"/>
        <w:spacing w:line="245" w:lineRule="auto"/>
      </w:pPr>
    </w:p>
    <w:p w14:paraId="402980A8">
      <w:pPr>
        <w:pStyle w:val="2"/>
        <w:spacing w:line="245" w:lineRule="auto"/>
      </w:pPr>
    </w:p>
    <w:p w14:paraId="66035D39">
      <w:pPr>
        <w:pStyle w:val="2"/>
        <w:spacing w:line="245" w:lineRule="auto"/>
      </w:pPr>
    </w:p>
    <w:p w14:paraId="5F691298">
      <w:pPr>
        <w:pStyle w:val="2"/>
        <w:spacing w:line="245" w:lineRule="auto"/>
      </w:pPr>
    </w:p>
    <w:p w14:paraId="244D2809">
      <w:pPr>
        <w:pStyle w:val="2"/>
        <w:spacing w:line="245" w:lineRule="auto"/>
      </w:pPr>
    </w:p>
    <w:p w14:paraId="7D813AC1">
      <w:pPr>
        <w:pStyle w:val="2"/>
        <w:spacing w:line="245" w:lineRule="auto"/>
      </w:pPr>
    </w:p>
    <w:p w14:paraId="6158BB80">
      <w:pPr>
        <w:pStyle w:val="2"/>
        <w:spacing w:line="245" w:lineRule="auto"/>
      </w:pPr>
    </w:p>
    <w:p w14:paraId="378FCF26">
      <w:pPr>
        <w:pStyle w:val="2"/>
        <w:spacing w:line="245" w:lineRule="auto"/>
      </w:pPr>
    </w:p>
    <w:p w14:paraId="11E914A5">
      <w:pPr>
        <w:pStyle w:val="2"/>
        <w:spacing w:line="245" w:lineRule="auto"/>
      </w:pPr>
    </w:p>
    <w:p w14:paraId="4EDFE48B">
      <w:pPr>
        <w:pStyle w:val="2"/>
        <w:spacing w:line="245" w:lineRule="auto"/>
      </w:pPr>
    </w:p>
    <w:p w14:paraId="1A9B46FE">
      <w:pPr>
        <w:pStyle w:val="2"/>
        <w:spacing w:line="245" w:lineRule="auto"/>
      </w:pPr>
    </w:p>
    <w:p w14:paraId="793E3A50">
      <w:pPr>
        <w:pStyle w:val="2"/>
        <w:spacing w:line="246" w:lineRule="auto"/>
      </w:pPr>
    </w:p>
    <w:p w14:paraId="7C11CD98">
      <w:pPr>
        <w:pStyle w:val="2"/>
        <w:spacing w:line="246" w:lineRule="auto"/>
      </w:pPr>
    </w:p>
    <w:p w14:paraId="33FD881F">
      <w:pPr>
        <w:pStyle w:val="2"/>
        <w:spacing w:line="246" w:lineRule="auto"/>
      </w:pPr>
    </w:p>
    <w:p w14:paraId="08622069">
      <w:pPr>
        <w:pStyle w:val="2"/>
        <w:spacing w:line="246" w:lineRule="auto"/>
      </w:pPr>
    </w:p>
    <w:p w14:paraId="1D5031A7">
      <w:pPr>
        <w:pStyle w:val="2"/>
        <w:spacing w:line="246" w:lineRule="auto"/>
      </w:pPr>
    </w:p>
    <w:p w14:paraId="338000B2">
      <w:pPr>
        <w:pStyle w:val="2"/>
        <w:spacing w:line="246" w:lineRule="auto"/>
      </w:pPr>
    </w:p>
    <w:p w14:paraId="0C7116A9">
      <w:pPr>
        <w:pStyle w:val="2"/>
        <w:spacing w:line="246" w:lineRule="auto"/>
      </w:pPr>
    </w:p>
    <w:p w14:paraId="41AA118C">
      <w:pPr>
        <w:pStyle w:val="2"/>
        <w:spacing w:line="246" w:lineRule="auto"/>
      </w:pPr>
    </w:p>
    <w:p w14:paraId="700358FC">
      <w:pPr>
        <w:pStyle w:val="2"/>
        <w:spacing w:line="246" w:lineRule="auto"/>
      </w:pPr>
    </w:p>
    <w:p w14:paraId="7199EA12">
      <w:pPr>
        <w:pStyle w:val="2"/>
        <w:spacing w:line="246" w:lineRule="auto"/>
      </w:pPr>
    </w:p>
    <w:p w14:paraId="63EB8432">
      <w:pPr>
        <w:pStyle w:val="2"/>
        <w:spacing w:line="246" w:lineRule="auto"/>
      </w:pPr>
    </w:p>
    <w:p w14:paraId="001090ED">
      <w:pPr>
        <w:pStyle w:val="2"/>
        <w:spacing w:line="246" w:lineRule="auto"/>
      </w:pPr>
    </w:p>
    <w:p w14:paraId="53D239F8">
      <w:pPr>
        <w:pStyle w:val="2"/>
        <w:spacing w:line="246" w:lineRule="auto"/>
      </w:pPr>
    </w:p>
    <w:p w14:paraId="71B0F388">
      <w:pPr>
        <w:pStyle w:val="2"/>
        <w:spacing w:line="246" w:lineRule="auto"/>
      </w:pPr>
    </w:p>
    <w:p w14:paraId="05D4D986">
      <w:pPr>
        <w:pStyle w:val="2"/>
        <w:spacing w:line="246" w:lineRule="auto"/>
      </w:pPr>
    </w:p>
    <w:p w14:paraId="7888FAF2">
      <w:pPr>
        <w:spacing w:line="217" w:lineRule="auto"/>
        <w:rPr>
          <w:rFonts w:ascii="宋体" w:hAnsi="宋体" w:eastAsia="宋体" w:cs="宋体"/>
          <w:sz w:val="18"/>
          <w:szCs w:val="18"/>
        </w:rPr>
        <w:sectPr>
          <w:footerReference r:id="rId168" w:type="default"/>
          <w:pgSz w:w="11905" w:h="16840"/>
          <w:pgMar w:top="1182" w:right="1416" w:bottom="1171" w:left="1416" w:header="849" w:footer="937" w:gutter="0"/>
          <w:pgNumType w:fmt="decimal"/>
          <w:cols w:space="720" w:num="1"/>
        </w:sectPr>
      </w:pPr>
    </w:p>
    <w:p w14:paraId="0BE496B9">
      <w:pPr>
        <w:pStyle w:val="2"/>
        <w:spacing w:line="293" w:lineRule="auto"/>
      </w:pPr>
    </w:p>
    <w:p w14:paraId="4DBA1054">
      <w:pPr>
        <w:spacing w:before="88" w:line="241" w:lineRule="auto"/>
        <w:ind w:left="3478"/>
        <w:rPr>
          <w:rFonts w:hint="eastAsia" w:ascii="宋体" w:hAnsi="宋体" w:eastAsia="宋体" w:cs="宋体"/>
          <w:sz w:val="13"/>
          <w:szCs w:val="13"/>
          <w:lang w:eastAsia="zh-CN"/>
        </w:rPr>
      </w:pPr>
      <w:r>
        <w:rPr>
          <w:rFonts w:ascii="宋体" w:hAnsi="宋体" w:eastAsia="宋体" w:cs="宋体"/>
          <w:b/>
          <w:bCs/>
          <w:spacing w:val="5"/>
          <w:sz w:val="27"/>
          <w:szCs w:val="27"/>
        </w:rPr>
        <w:t>（二）投标函附录</w:t>
      </w:r>
    </w:p>
    <w:p w14:paraId="70683459">
      <w:pPr>
        <w:spacing w:before="193"/>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2338"/>
        <w:gridCol w:w="1515"/>
        <w:gridCol w:w="3058"/>
        <w:gridCol w:w="1534"/>
      </w:tblGrid>
      <w:tr w14:paraId="3D03F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847" w:type="dxa"/>
            <w:vAlign w:val="top"/>
          </w:tcPr>
          <w:p w14:paraId="0F68E622">
            <w:pPr>
              <w:pStyle w:val="9"/>
              <w:spacing w:before="283" w:line="221" w:lineRule="auto"/>
              <w:ind w:left="218"/>
            </w:pPr>
            <w:r>
              <w:rPr>
                <w:spacing w:val="-2"/>
              </w:rPr>
              <w:t>序号</w:t>
            </w:r>
          </w:p>
        </w:tc>
        <w:tc>
          <w:tcPr>
            <w:tcW w:w="2338" w:type="dxa"/>
            <w:vAlign w:val="top"/>
          </w:tcPr>
          <w:p w14:paraId="5C690BD3">
            <w:pPr>
              <w:pStyle w:val="9"/>
              <w:spacing w:before="283" w:line="220" w:lineRule="auto"/>
              <w:ind w:left="755"/>
            </w:pPr>
            <w:r>
              <w:rPr>
                <w:spacing w:val="-2"/>
              </w:rPr>
              <w:t>条款名称</w:t>
            </w:r>
          </w:p>
        </w:tc>
        <w:tc>
          <w:tcPr>
            <w:tcW w:w="1515" w:type="dxa"/>
            <w:vAlign w:val="top"/>
          </w:tcPr>
          <w:p w14:paraId="50E78F10">
            <w:pPr>
              <w:pStyle w:val="9"/>
              <w:spacing w:before="283" w:line="220" w:lineRule="auto"/>
              <w:ind w:left="237"/>
            </w:pPr>
            <w:r>
              <w:rPr>
                <w:spacing w:val="-2"/>
              </w:rPr>
              <w:t>合同条目号</w:t>
            </w:r>
          </w:p>
        </w:tc>
        <w:tc>
          <w:tcPr>
            <w:tcW w:w="3058" w:type="dxa"/>
            <w:vAlign w:val="top"/>
          </w:tcPr>
          <w:p w14:paraId="132883F6">
            <w:pPr>
              <w:pStyle w:val="9"/>
              <w:spacing w:before="283" w:line="220" w:lineRule="auto"/>
              <w:ind w:left="1119"/>
            </w:pPr>
            <w:r>
              <w:rPr>
                <w:spacing w:val="-3"/>
              </w:rPr>
              <w:t>约定内容</w:t>
            </w:r>
          </w:p>
        </w:tc>
        <w:tc>
          <w:tcPr>
            <w:tcW w:w="1534" w:type="dxa"/>
            <w:vAlign w:val="top"/>
          </w:tcPr>
          <w:p w14:paraId="1C00E1C9">
            <w:pPr>
              <w:pStyle w:val="9"/>
              <w:spacing w:before="283" w:line="221" w:lineRule="auto"/>
              <w:ind w:left="564"/>
            </w:pPr>
            <w:r>
              <w:rPr>
                <w:spacing w:val="-3"/>
              </w:rPr>
              <w:t>备注</w:t>
            </w:r>
          </w:p>
        </w:tc>
      </w:tr>
      <w:tr w14:paraId="5B7FF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47" w:type="dxa"/>
            <w:vAlign w:val="top"/>
          </w:tcPr>
          <w:p w14:paraId="53A5A6A3">
            <w:pPr>
              <w:pStyle w:val="9"/>
              <w:spacing w:before="279" w:line="241" w:lineRule="auto"/>
              <w:ind w:left="391"/>
            </w:pPr>
            <w:r>
              <w:t>1</w:t>
            </w:r>
          </w:p>
        </w:tc>
        <w:tc>
          <w:tcPr>
            <w:tcW w:w="2338" w:type="dxa"/>
            <w:vAlign w:val="top"/>
          </w:tcPr>
          <w:p w14:paraId="0B601D6F">
            <w:pPr>
              <w:pStyle w:val="9"/>
              <w:spacing w:before="279" w:line="220" w:lineRule="auto"/>
              <w:ind w:left="647"/>
            </w:pPr>
            <w:r>
              <w:rPr>
                <w:spacing w:val="-2"/>
              </w:rPr>
              <w:t>缺陷责任期</w:t>
            </w:r>
          </w:p>
        </w:tc>
        <w:tc>
          <w:tcPr>
            <w:tcW w:w="1515" w:type="dxa"/>
            <w:vAlign w:val="top"/>
          </w:tcPr>
          <w:p w14:paraId="4B33B7B6">
            <w:pPr>
              <w:pStyle w:val="9"/>
              <w:spacing w:before="279" w:line="239" w:lineRule="auto"/>
              <w:ind w:left="410"/>
            </w:pPr>
            <w:r>
              <w:rPr>
                <w:spacing w:val="-3"/>
              </w:rPr>
              <w:t>1.1.4.5</w:t>
            </w:r>
          </w:p>
        </w:tc>
        <w:tc>
          <w:tcPr>
            <w:tcW w:w="3058" w:type="dxa"/>
            <w:vAlign w:val="top"/>
          </w:tcPr>
          <w:p w14:paraId="1738A81A">
            <w:pPr>
              <w:pStyle w:val="9"/>
              <w:spacing w:before="279" w:line="220" w:lineRule="auto"/>
              <w:ind w:left="204"/>
            </w:pPr>
            <w:r>
              <w:rPr>
                <w:spacing w:val="-3"/>
              </w:rPr>
              <w:t>自实际交工日期起计算</w:t>
            </w:r>
            <w:r>
              <w:rPr>
                <w:spacing w:val="-3"/>
                <w:u w:val="single" w:color="auto"/>
              </w:rPr>
              <w:t xml:space="preserve"> </w:t>
            </w:r>
            <w:r>
              <w:rPr>
                <w:rFonts w:hint="eastAsia"/>
                <w:spacing w:val="-3"/>
                <w:u w:val="single" w:color="auto"/>
                <w:lang w:val="en-US" w:eastAsia="zh-CN"/>
              </w:rPr>
              <w:t>2</w:t>
            </w:r>
            <w:r>
              <w:rPr>
                <w:spacing w:val="-3"/>
                <w:u w:val="single" w:color="auto"/>
              </w:rPr>
              <w:t xml:space="preserve"> </w:t>
            </w:r>
            <w:r>
              <w:rPr>
                <w:spacing w:val="-95"/>
              </w:rPr>
              <w:t xml:space="preserve"> </w:t>
            </w:r>
            <w:r>
              <w:rPr>
                <w:spacing w:val="-3"/>
              </w:rPr>
              <w:t>年</w:t>
            </w:r>
          </w:p>
        </w:tc>
        <w:tc>
          <w:tcPr>
            <w:tcW w:w="1534" w:type="dxa"/>
            <w:vAlign w:val="top"/>
          </w:tcPr>
          <w:p w14:paraId="7705A198">
            <w:pPr>
              <w:rPr>
                <w:rFonts w:ascii="Arial"/>
                <w:sz w:val="21"/>
              </w:rPr>
            </w:pPr>
          </w:p>
        </w:tc>
      </w:tr>
      <w:tr w14:paraId="120A1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847" w:type="dxa"/>
            <w:vAlign w:val="top"/>
          </w:tcPr>
          <w:p w14:paraId="4D81384D">
            <w:pPr>
              <w:pStyle w:val="9"/>
              <w:spacing w:before="280" w:line="241" w:lineRule="auto"/>
              <w:ind w:left="378"/>
            </w:pPr>
            <w:r>
              <w:t>2</w:t>
            </w:r>
          </w:p>
        </w:tc>
        <w:tc>
          <w:tcPr>
            <w:tcW w:w="2338" w:type="dxa"/>
            <w:vAlign w:val="top"/>
          </w:tcPr>
          <w:p w14:paraId="739FD312">
            <w:pPr>
              <w:pStyle w:val="9"/>
              <w:spacing w:before="281" w:line="220" w:lineRule="auto"/>
              <w:ind w:left="436"/>
            </w:pPr>
            <w:r>
              <w:rPr>
                <w:spacing w:val="-1"/>
              </w:rPr>
              <w:t>逾期交工违约金</w:t>
            </w:r>
          </w:p>
        </w:tc>
        <w:tc>
          <w:tcPr>
            <w:tcW w:w="1515" w:type="dxa"/>
            <w:vAlign w:val="top"/>
          </w:tcPr>
          <w:p w14:paraId="72EBE0BA">
            <w:pPr>
              <w:pStyle w:val="9"/>
              <w:spacing w:before="280" w:line="232" w:lineRule="auto"/>
              <w:ind w:left="305"/>
            </w:pPr>
            <w:r>
              <w:rPr>
                <w:spacing w:val="-5"/>
              </w:rPr>
              <w:t>11.5</w:t>
            </w:r>
            <w:r>
              <w:rPr>
                <w:rFonts w:hint="eastAsia"/>
                <w:spacing w:val="-5"/>
                <w:lang w:eastAsia="zh-CN"/>
              </w:rPr>
              <w:t>(</w:t>
            </w:r>
            <w:r>
              <w:rPr>
                <w:spacing w:val="-5"/>
              </w:rPr>
              <w:t>3</w:t>
            </w:r>
            <w:r>
              <w:rPr>
                <w:rFonts w:hint="eastAsia"/>
                <w:spacing w:val="-5"/>
                <w:lang w:eastAsia="zh-CN"/>
              </w:rPr>
              <w:t>)</w:t>
            </w:r>
          </w:p>
        </w:tc>
        <w:tc>
          <w:tcPr>
            <w:tcW w:w="3058" w:type="dxa"/>
            <w:vAlign w:val="top"/>
          </w:tcPr>
          <w:p w14:paraId="57EAB93D">
            <w:pPr>
              <w:pStyle w:val="9"/>
              <w:tabs>
                <w:tab w:val="left" w:pos="1473"/>
              </w:tabs>
              <w:spacing w:before="281" w:line="220" w:lineRule="auto"/>
              <w:ind w:left="1053"/>
            </w:pPr>
            <w:r>
              <w:rPr>
                <w:rFonts w:hint="eastAsia"/>
                <w:u w:val="single" w:color="auto"/>
                <w:lang w:val="en-US" w:eastAsia="zh-CN"/>
              </w:rPr>
              <w:t>0</w:t>
            </w:r>
            <w:r>
              <w:rPr>
                <w:spacing w:val="-93"/>
              </w:rPr>
              <w:t xml:space="preserve"> </w:t>
            </w:r>
            <w:r>
              <w:rPr>
                <w:spacing w:val="-3"/>
              </w:rPr>
              <w:t>元/天</w:t>
            </w:r>
          </w:p>
        </w:tc>
        <w:tc>
          <w:tcPr>
            <w:tcW w:w="1534" w:type="dxa"/>
            <w:vAlign w:val="top"/>
          </w:tcPr>
          <w:p w14:paraId="79F69D48">
            <w:pPr>
              <w:rPr>
                <w:rFonts w:ascii="Arial"/>
                <w:sz w:val="21"/>
              </w:rPr>
            </w:pPr>
          </w:p>
        </w:tc>
      </w:tr>
      <w:tr w14:paraId="6B49B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5F9A52C9">
            <w:pPr>
              <w:pStyle w:val="9"/>
              <w:spacing w:before="281"/>
              <w:ind w:left="380"/>
            </w:pPr>
            <w:r>
              <w:t>3</w:t>
            </w:r>
          </w:p>
        </w:tc>
        <w:tc>
          <w:tcPr>
            <w:tcW w:w="2338" w:type="dxa"/>
            <w:vAlign w:val="top"/>
          </w:tcPr>
          <w:p w14:paraId="6A188D4B">
            <w:pPr>
              <w:pStyle w:val="9"/>
              <w:spacing w:before="281" w:line="220" w:lineRule="auto"/>
              <w:ind w:left="226"/>
            </w:pPr>
            <w:r>
              <w:rPr>
                <w:spacing w:val="-1"/>
              </w:rPr>
              <w:t>逾期交工违约金限额</w:t>
            </w:r>
          </w:p>
        </w:tc>
        <w:tc>
          <w:tcPr>
            <w:tcW w:w="1515" w:type="dxa"/>
            <w:vAlign w:val="top"/>
          </w:tcPr>
          <w:p w14:paraId="43AA0FE2">
            <w:pPr>
              <w:pStyle w:val="9"/>
              <w:spacing w:before="281" w:line="232" w:lineRule="auto"/>
              <w:ind w:left="305"/>
            </w:pPr>
            <w:r>
              <w:rPr>
                <w:spacing w:val="-5"/>
              </w:rPr>
              <w:t>11.5</w:t>
            </w:r>
            <w:r>
              <w:rPr>
                <w:rFonts w:hint="eastAsia"/>
                <w:spacing w:val="-5"/>
                <w:lang w:eastAsia="zh-CN"/>
              </w:rPr>
              <w:t>(</w:t>
            </w:r>
            <w:r>
              <w:rPr>
                <w:spacing w:val="-5"/>
              </w:rPr>
              <w:t>3</w:t>
            </w:r>
            <w:r>
              <w:rPr>
                <w:rFonts w:hint="eastAsia"/>
                <w:spacing w:val="-5"/>
                <w:lang w:eastAsia="zh-CN"/>
              </w:rPr>
              <w:t>)</w:t>
            </w:r>
          </w:p>
        </w:tc>
        <w:tc>
          <w:tcPr>
            <w:tcW w:w="3058" w:type="dxa"/>
            <w:vAlign w:val="top"/>
          </w:tcPr>
          <w:p w14:paraId="60D04ECD">
            <w:pPr>
              <w:pStyle w:val="9"/>
              <w:tabs>
                <w:tab w:val="left" w:pos="1158"/>
              </w:tabs>
              <w:spacing w:before="281" w:line="218" w:lineRule="auto"/>
              <w:ind w:left="738"/>
            </w:pPr>
            <w:r>
              <w:rPr>
                <w:rFonts w:hint="eastAsia"/>
                <w:u w:val="single" w:color="auto"/>
                <w:lang w:val="en-US" w:eastAsia="zh-CN"/>
              </w:rPr>
              <w:t>1</w:t>
            </w:r>
            <w:r>
              <w:rPr>
                <w:spacing w:val="-99"/>
              </w:rPr>
              <w:t xml:space="preserve"> </w:t>
            </w:r>
            <w:r>
              <w:rPr>
                <w:spacing w:val="-1"/>
              </w:rPr>
              <w:t>%签约合同价</w:t>
            </w:r>
          </w:p>
        </w:tc>
        <w:tc>
          <w:tcPr>
            <w:tcW w:w="1534" w:type="dxa"/>
            <w:vAlign w:val="top"/>
          </w:tcPr>
          <w:p w14:paraId="66F40B8D">
            <w:pPr>
              <w:rPr>
                <w:rFonts w:ascii="Arial"/>
                <w:sz w:val="21"/>
              </w:rPr>
            </w:pPr>
          </w:p>
        </w:tc>
      </w:tr>
      <w:tr w14:paraId="286F4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1171269F">
            <w:pPr>
              <w:pStyle w:val="9"/>
              <w:spacing w:before="281" w:line="241" w:lineRule="auto"/>
              <w:ind w:left="375"/>
            </w:pPr>
            <w:r>
              <w:t>4</w:t>
            </w:r>
          </w:p>
        </w:tc>
        <w:tc>
          <w:tcPr>
            <w:tcW w:w="2338" w:type="dxa"/>
            <w:vAlign w:val="top"/>
          </w:tcPr>
          <w:p w14:paraId="152BA829">
            <w:pPr>
              <w:pStyle w:val="9"/>
              <w:spacing w:before="282" w:line="220" w:lineRule="auto"/>
              <w:ind w:left="438"/>
            </w:pPr>
            <w:r>
              <w:rPr>
                <w:spacing w:val="-2"/>
              </w:rPr>
              <w:t>提前交工的奖金</w:t>
            </w:r>
          </w:p>
        </w:tc>
        <w:tc>
          <w:tcPr>
            <w:tcW w:w="1515" w:type="dxa"/>
            <w:vAlign w:val="top"/>
          </w:tcPr>
          <w:p w14:paraId="75DA3329">
            <w:pPr>
              <w:pStyle w:val="9"/>
              <w:spacing w:before="281" w:line="239" w:lineRule="auto"/>
              <w:ind w:left="567"/>
            </w:pPr>
            <w:r>
              <w:rPr>
                <w:spacing w:val="-5"/>
              </w:rPr>
              <w:t>11.6</w:t>
            </w:r>
          </w:p>
        </w:tc>
        <w:tc>
          <w:tcPr>
            <w:tcW w:w="3058" w:type="dxa"/>
            <w:vAlign w:val="top"/>
          </w:tcPr>
          <w:p w14:paraId="683026EC">
            <w:pPr>
              <w:pStyle w:val="9"/>
              <w:tabs>
                <w:tab w:val="left" w:pos="1473"/>
              </w:tabs>
              <w:spacing w:before="282" w:line="220" w:lineRule="auto"/>
              <w:ind w:left="1053"/>
            </w:pPr>
            <w:r>
              <w:rPr>
                <w:u w:val="single" w:color="auto"/>
              </w:rPr>
              <w:tab/>
            </w:r>
            <w:r>
              <w:rPr>
                <w:spacing w:val="-93"/>
              </w:rPr>
              <w:t xml:space="preserve"> </w:t>
            </w:r>
            <w:r>
              <w:rPr>
                <w:spacing w:val="-3"/>
              </w:rPr>
              <w:t>元/天</w:t>
            </w:r>
          </w:p>
        </w:tc>
        <w:tc>
          <w:tcPr>
            <w:tcW w:w="1534" w:type="dxa"/>
            <w:vAlign w:val="top"/>
          </w:tcPr>
          <w:p w14:paraId="460334A5">
            <w:pPr>
              <w:rPr>
                <w:rFonts w:ascii="Arial"/>
                <w:sz w:val="21"/>
              </w:rPr>
            </w:pPr>
          </w:p>
        </w:tc>
      </w:tr>
      <w:tr w14:paraId="16D42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65EBBB6E">
            <w:pPr>
              <w:pStyle w:val="9"/>
              <w:spacing w:before="281"/>
              <w:ind w:left="380"/>
            </w:pPr>
            <w:r>
              <w:t>5</w:t>
            </w:r>
          </w:p>
        </w:tc>
        <w:tc>
          <w:tcPr>
            <w:tcW w:w="2338" w:type="dxa"/>
            <w:vAlign w:val="top"/>
          </w:tcPr>
          <w:p w14:paraId="59D77922">
            <w:pPr>
              <w:pStyle w:val="9"/>
              <w:spacing w:before="281" w:line="220" w:lineRule="auto"/>
              <w:ind w:left="228"/>
            </w:pPr>
            <w:r>
              <w:rPr>
                <w:spacing w:val="-1"/>
              </w:rPr>
              <w:t>提前交工的奖金限额</w:t>
            </w:r>
          </w:p>
        </w:tc>
        <w:tc>
          <w:tcPr>
            <w:tcW w:w="1515" w:type="dxa"/>
            <w:vAlign w:val="top"/>
          </w:tcPr>
          <w:p w14:paraId="41D21003">
            <w:pPr>
              <w:pStyle w:val="9"/>
              <w:spacing w:before="281" w:line="239" w:lineRule="auto"/>
              <w:ind w:left="567"/>
            </w:pPr>
            <w:r>
              <w:rPr>
                <w:spacing w:val="-5"/>
              </w:rPr>
              <w:t>11.6</w:t>
            </w:r>
          </w:p>
        </w:tc>
        <w:tc>
          <w:tcPr>
            <w:tcW w:w="3058" w:type="dxa"/>
            <w:vAlign w:val="top"/>
          </w:tcPr>
          <w:p w14:paraId="47A4EFE0">
            <w:pPr>
              <w:pStyle w:val="9"/>
              <w:tabs>
                <w:tab w:val="left" w:pos="1158"/>
              </w:tabs>
              <w:spacing w:before="281" w:line="218" w:lineRule="auto"/>
              <w:ind w:left="738"/>
            </w:pPr>
            <w:r>
              <w:rPr>
                <w:u w:val="single" w:color="auto"/>
              </w:rPr>
              <w:tab/>
            </w:r>
            <w:r>
              <w:rPr>
                <w:spacing w:val="-99"/>
              </w:rPr>
              <w:t xml:space="preserve"> </w:t>
            </w:r>
            <w:r>
              <w:rPr>
                <w:spacing w:val="-1"/>
              </w:rPr>
              <w:t>%签约合同价</w:t>
            </w:r>
          </w:p>
        </w:tc>
        <w:tc>
          <w:tcPr>
            <w:tcW w:w="1534" w:type="dxa"/>
            <w:vAlign w:val="top"/>
          </w:tcPr>
          <w:p w14:paraId="0674C1ED">
            <w:pPr>
              <w:rPr>
                <w:rFonts w:ascii="Arial"/>
                <w:sz w:val="21"/>
              </w:rPr>
            </w:pPr>
          </w:p>
        </w:tc>
      </w:tr>
      <w:tr w14:paraId="3DAAA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847" w:type="dxa"/>
            <w:vAlign w:val="top"/>
          </w:tcPr>
          <w:p w14:paraId="5D8AD876">
            <w:pPr>
              <w:spacing w:line="469" w:lineRule="auto"/>
              <w:rPr>
                <w:rFonts w:ascii="Arial"/>
                <w:sz w:val="21"/>
              </w:rPr>
            </w:pPr>
          </w:p>
          <w:p w14:paraId="5C1A0420">
            <w:pPr>
              <w:pStyle w:val="9"/>
              <w:spacing w:before="68"/>
              <w:ind w:left="378"/>
            </w:pPr>
            <w:r>
              <w:t>6</w:t>
            </w:r>
          </w:p>
        </w:tc>
        <w:tc>
          <w:tcPr>
            <w:tcW w:w="2338" w:type="dxa"/>
            <w:vAlign w:val="top"/>
          </w:tcPr>
          <w:p w14:paraId="6346C624">
            <w:pPr>
              <w:spacing w:line="271" w:lineRule="auto"/>
              <w:rPr>
                <w:rFonts w:ascii="Arial"/>
                <w:sz w:val="21"/>
              </w:rPr>
            </w:pPr>
          </w:p>
          <w:p w14:paraId="48590510">
            <w:pPr>
              <w:pStyle w:val="9"/>
              <w:spacing w:before="69" w:line="218" w:lineRule="auto"/>
              <w:ind w:left="139"/>
            </w:pPr>
            <w:r>
              <w:rPr>
                <w:spacing w:val="-3"/>
              </w:rPr>
              <w:t>因物价波动引起的价格</w:t>
            </w:r>
          </w:p>
          <w:p w14:paraId="51BA5EF9">
            <w:pPr>
              <w:pStyle w:val="9"/>
              <w:spacing w:before="151" w:line="222" w:lineRule="auto"/>
              <w:ind w:left="965"/>
            </w:pPr>
            <w:r>
              <w:rPr>
                <w:spacing w:val="-3"/>
              </w:rPr>
              <w:t>调整</w:t>
            </w:r>
          </w:p>
        </w:tc>
        <w:tc>
          <w:tcPr>
            <w:tcW w:w="1515" w:type="dxa"/>
            <w:vAlign w:val="top"/>
          </w:tcPr>
          <w:p w14:paraId="1A272A18">
            <w:pPr>
              <w:spacing w:line="469" w:lineRule="auto"/>
              <w:rPr>
                <w:rFonts w:ascii="Arial"/>
                <w:sz w:val="21"/>
              </w:rPr>
            </w:pPr>
          </w:p>
          <w:p w14:paraId="6AA658F6">
            <w:pPr>
              <w:pStyle w:val="9"/>
              <w:spacing w:before="69" w:line="239" w:lineRule="auto"/>
              <w:ind w:left="566"/>
            </w:pPr>
            <w:r>
              <w:rPr>
                <w:spacing w:val="-6"/>
              </w:rPr>
              <w:t>16.1</w:t>
            </w:r>
          </w:p>
        </w:tc>
        <w:tc>
          <w:tcPr>
            <w:tcW w:w="3058" w:type="dxa"/>
            <w:vAlign w:val="top"/>
          </w:tcPr>
          <w:p w14:paraId="24AAE81A">
            <w:pPr>
              <w:pStyle w:val="9"/>
              <w:spacing w:before="141" w:line="352" w:lineRule="auto"/>
              <w:ind w:left="114" w:right="100" w:firstLine="19"/>
            </w:pPr>
            <w:r>
              <w:rPr>
                <w:spacing w:val="6"/>
              </w:rPr>
              <w:t>□因物价波动引起的价格调整</w:t>
            </w:r>
            <w:r>
              <w:rPr>
                <w:spacing w:val="-2"/>
              </w:rPr>
              <w:t>按照</w:t>
            </w:r>
            <w:r>
              <w:rPr>
                <w:spacing w:val="-105"/>
              </w:rPr>
              <w:t xml:space="preserve"> </w:t>
            </w:r>
            <w:r>
              <w:rPr>
                <w:u w:val="single" w:color="auto"/>
              </w:rPr>
              <w:t xml:space="preserve">    </w:t>
            </w:r>
            <w:r>
              <w:rPr>
                <w:spacing w:val="-94"/>
              </w:rPr>
              <w:t xml:space="preserve"> </w:t>
            </w:r>
            <w:r>
              <w:rPr>
                <w:spacing w:val="-2"/>
              </w:rPr>
              <w:t>项约定的原则处理</w:t>
            </w:r>
          </w:p>
          <w:p w14:paraId="519C1C21">
            <w:pPr>
              <w:pStyle w:val="9"/>
              <w:spacing w:line="218" w:lineRule="auto"/>
              <w:ind w:left="134"/>
            </w:pPr>
            <w:r>
              <w:rPr>
                <w:rFonts w:hint="eastAsia"/>
                <w:spacing w:val="-4"/>
                <w:lang w:eastAsia="zh-CN"/>
              </w:rPr>
              <w:t>☑</w:t>
            </w:r>
            <w:r>
              <w:rPr>
                <w:spacing w:val="-4"/>
              </w:rPr>
              <w:t>合同期内不调价</w:t>
            </w:r>
          </w:p>
        </w:tc>
        <w:tc>
          <w:tcPr>
            <w:tcW w:w="1534" w:type="dxa"/>
            <w:vAlign w:val="top"/>
          </w:tcPr>
          <w:p w14:paraId="468F09D8">
            <w:pPr>
              <w:rPr>
                <w:rFonts w:ascii="Arial"/>
                <w:sz w:val="21"/>
              </w:rPr>
            </w:pPr>
          </w:p>
        </w:tc>
      </w:tr>
      <w:tr w14:paraId="56298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77AEEA83">
            <w:pPr>
              <w:pStyle w:val="9"/>
              <w:spacing w:before="281"/>
              <w:ind w:left="381"/>
            </w:pPr>
            <w:r>
              <w:t>7</w:t>
            </w:r>
          </w:p>
        </w:tc>
        <w:tc>
          <w:tcPr>
            <w:tcW w:w="2338" w:type="dxa"/>
            <w:vAlign w:val="top"/>
          </w:tcPr>
          <w:p w14:paraId="1ED80F84">
            <w:pPr>
              <w:pStyle w:val="9"/>
              <w:spacing w:before="280" w:line="220" w:lineRule="auto"/>
              <w:ind w:left="438"/>
            </w:pPr>
            <w:r>
              <w:rPr>
                <w:spacing w:val="-2"/>
              </w:rPr>
              <w:t>开工预付款金额</w:t>
            </w:r>
          </w:p>
        </w:tc>
        <w:tc>
          <w:tcPr>
            <w:tcW w:w="1515" w:type="dxa"/>
            <w:vAlign w:val="top"/>
          </w:tcPr>
          <w:p w14:paraId="09CFE627">
            <w:pPr>
              <w:pStyle w:val="9"/>
              <w:spacing w:before="281" w:line="232" w:lineRule="auto"/>
              <w:ind w:left="200"/>
            </w:pPr>
            <w:r>
              <w:rPr>
                <w:spacing w:val="-3"/>
              </w:rPr>
              <w:t>17.2.1</w:t>
            </w:r>
            <w:r>
              <w:rPr>
                <w:rFonts w:hint="eastAsia"/>
                <w:spacing w:val="-3"/>
                <w:lang w:eastAsia="zh-CN"/>
              </w:rPr>
              <w:t>(</w:t>
            </w:r>
            <w:r>
              <w:rPr>
                <w:spacing w:val="-3"/>
              </w:rPr>
              <w:t>1</w:t>
            </w:r>
            <w:r>
              <w:rPr>
                <w:rFonts w:hint="eastAsia"/>
                <w:spacing w:val="-3"/>
                <w:lang w:eastAsia="zh-CN"/>
              </w:rPr>
              <w:t>)</w:t>
            </w:r>
          </w:p>
        </w:tc>
        <w:tc>
          <w:tcPr>
            <w:tcW w:w="3058" w:type="dxa"/>
            <w:vAlign w:val="top"/>
          </w:tcPr>
          <w:p w14:paraId="472723BE">
            <w:pPr>
              <w:pStyle w:val="9"/>
              <w:tabs>
                <w:tab w:val="left" w:pos="1158"/>
              </w:tabs>
              <w:spacing w:before="281" w:line="218" w:lineRule="auto"/>
              <w:ind w:left="738"/>
            </w:pPr>
            <w:r>
              <w:rPr>
                <w:rFonts w:hint="eastAsia"/>
                <w:u w:val="single" w:color="auto"/>
                <w:lang w:val="en-US" w:eastAsia="zh-CN"/>
              </w:rPr>
              <w:t>30</w:t>
            </w:r>
            <w:r>
              <w:rPr>
                <w:spacing w:val="-99"/>
              </w:rPr>
              <w:t xml:space="preserve"> </w:t>
            </w:r>
            <w:r>
              <w:rPr>
                <w:spacing w:val="-1"/>
              </w:rPr>
              <w:t>%签约合同价</w:t>
            </w:r>
            <w:r>
              <w:rPr>
                <w:rFonts w:hint="eastAsia"/>
                <w:spacing w:val="-1"/>
              </w:rPr>
              <w:t>（含 3％工人工资保证金）</w:t>
            </w:r>
          </w:p>
        </w:tc>
        <w:tc>
          <w:tcPr>
            <w:tcW w:w="1534" w:type="dxa"/>
            <w:vAlign w:val="top"/>
          </w:tcPr>
          <w:p w14:paraId="60B5593B">
            <w:pPr>
              <w:rPr>
                <w:rFonts w:ascii="Arial"/>
                <w:sz w:val="21"/>
              </w:rPr>
            </w:pPr>
          </w:p>
        </w:tc>
      </w:tr>
      <w:tr w14:paraId="69C3A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847" w:type="dxa"/>
            <w:vAlign w:val="top"/>
          </w:tcPr>
          <w:p w14:paraId="6F3C5F36">
            <w:pPr>
              <w:spacing w:line="271" w:lineRule="auto"/>
              <w:rPr>
                <w:rFonts w:ascii="Arial"/>
                <w:sz w:val="21"/>
              </w:rPr>
            </w:pPr>
          </w:p>
          <w:p w14:paraId="3A65018A">
            <w:pPr>
              <w:pStyle w:val="9"/>
              <w:spacing w:before="68"/>
              <w:ind w:left="377"/>
            </w:pPr>
            <w:r>
              <w:t>8</w:t>
            </w:r>
          </w:p>
        </w:tc>
        <w:tc>
          <w:tcPr>
            <w:tcW w:w="2338" w:type="dxa"/>
            <w:vAlign w:val="top"/>
          </w:tcPr>
          <w:p w14:paraId="2B5F66C7">
            <w:pPr>
              <w:spacing w:line="271" w:lineRule="auto"/>
              <w:rPr>
                <w:rFonts w:ascii="Arial"/>
                <w:sz w:val="21"/>
              </w:rPr>
            </w:pPr>
          </w:p>
          <w:p w14:paraId="191816B3">
            <w:pPr>
              <w:pStyle w:val="9"/>
              <w:spacing w:before="68" w:line="219" w:lineRule="auto"/>
              <w:ind w:left="123"/>
            </w:pPr>
            <w:r>
              <w:rPr>
                <w:spacing w:val="-1"/>
              </w:rPr>
              <w:t>材料、设备预付款比例</w:t>
            </w:r>
          </w:p>
        </w:tc>
        <w:tc>
          <w:tcPr>
            <w:tcW w:w="1515" w:type="dxa"/>
            <w:vAlign w:val="top"/>
          </w:tcPr>
          <w:p w14:paraId="21EF884F">
            <w:pPr>
              <w:spacing w:line="271" w:lineRule="auto"/>
              <w:rPr>
                <w:rFonts w:ascii="Arial"/>
                <w:sz w:val="21"/>
              </w:rPr>
            </w:pPr>
          </w:p>
          <w:p w14:paraId="08226DAC">
            <w:pPr>
              <w:pStyle w:val="9"/>
              <w:spacing w:before="68" w:line="232" w:lineRule="auto"/>
              <w:ind w:left="200"/>
            </w:pPr>
            <w:r>
              <w:rPr>
                <w:spacing w:val="-3"/>
              </w:rPr>
              <w:t>17.2.1</w:t>
            </w:r>
            <w:r>
              <w:rPr>
                <w:rFonts w:hint="eastAsia"/>
                <w:spacing w:val="-3"/>
                <w:lang w:eastAsia="zh-CN"/>
              </w:rPr>
              <w:t>(</w:t>
            </w:r>
            <w:r>
              <w:rPr>
                <w:spacing w:val="-3"/>
              </w:rPr>
              <w:t>2</w:t>
            </w:r>
            <w:r>
              <w:rPr>
                <w:rFonts w:hint="eastAsia"/>
                <w:spacing w:val="-3"/>
                <w:lang w:eastAsia="zh-CN"/>
              </w:rPr>
              <w:t>)</w:t>
            </w:r>
          </w:p>
        </w:tc>
        <w:tc>
          <w:tcPr>
            <w:tcW w:w="3058" w:type="dxa"/>
            <w:vAlign w:val="top"/>
          </w:tcPr>
          <w:p w14:paraId="6049F3D5">
            <w:pPr>
              <w:pStyle w:val="9"/>
              <w:tabs>
                <w:tab w:val="left" w:pos="524"/>
              </w:tabs>
              <w:spacing w:before="140" w:line="219" w:lineRule="auto"/>
              <w:ind w:left="104"/>
            </w:pPr>
            <w:r>
              <w:rPr>
                <w:rFonts w:hint="eastAsia"/>
                <w:spacing w:val="25"/>
                <w:sz w:val="24"/>
                <w:szCs w:val="24"/>
                <w:u w:val="single" w:color="010101"/>
              </w:rPr>
              <w:t>水泥、砂石、钢材</w:t>
            </w:r>
            <w:r>
              <w:rPr>
                <w:spacing w:val="-94"/>
              </w:rPr>
              <w:t xml:space="preserve"> </w:t>
            </w:r>
            <w:r>
              <w:rPr>
                <w:spacing w:val="-9"/>
              </w:rPr>
              <w:t>等主要材料、设备单据所列</w:t>
            </w:r>
            <w:r>
              <w:rPr>
                <w:spacing w:val="-5"/>
              </w:rPr>
              <w:t>费用的</w:t>
            </w:r>
            <w:r>
              <w:rPr>
                <w:spacing w:val="34"/>
                <w:u w:val="single" w:color="auto"/>
              </w:rPr>
              <w:t xml:space="preserve"> </w:t>
            </w:r>
            <w:r>
              <w:rPr>
                <w:rFonts w:hint="eastAsia"/>
                <w:spacing w:val="34"/>
                <w:u w:val="single" w:color="auto"/>
                <w:lang w:val="en-US" w:eastAsia="zh-CN"/>
              </w:rPr>
              <w:t>60</w:t>
            </w:r>
            <w:r>
              <w:rPr>
                <w:spacing w:val="34"/>
                <w:u w:val="single" w:color="auto"/>
              </w:rPr>
              <w:t xml:space="preserve"> </w:t>
            </w:r>
            <w:r>
              <w:rPr>
                <w:spacing w:val="-101"/>
              </w:rPr>
              <w:t xml:space="preserve"> </w:t>
            </w:r>
            <w:r>
              <w:rPr>
                <w:spacing w:val="-5"/>
              </w:rPr>
              <w:t>%</w:t>
            </w:r>
          </w:p>
        </w:tc>
        <w:tc>
          <w:tcPr>
            <w:tcW w:w="1534" w:type="dxa"/>
            <w:vAlign w:val="top"/>
          </w:tcPr>
          <w:p w14:paraId="76E8EEBB">
            <w:pPr>
              <w:rPr>
                <w:rFonts w:ascii="Arial"/>
                <w:sz w:val="21"/>
              </w:rPr>
            </w:pPr>
          </w:p>
        </w:tc>
      </w:tr>
      <w:tr w14:paraId="2B801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7EE57C45">
            <w:pPr>
              <w:pStyle w:val="9"/>
              <w:spacing w:before="282"/>
              <w:ind w:left="377"/>
            </w:pPr>
            <w:r>
              <w:t>9</w:t>
            </w:r>
          </w:p>
        </w:tc>
        <w:tc>
          <w:tcPr>
            <w:tcW w:w="2338" w:type="dxa"/>
            <w:vAlign w:val="top"/>
          </w:tcPr>
          <w:p w14:paraId="1D7199B3">
            <w:pPr>
              <w:pStyle w:val="9"/>
              <w:spacing w:before="282" w:line="219" w:lineRule="auto"/>
              <w:ind w:left="121"/>
            </w:pPr>
            <w:r>
              <w:rPr>
                <w:spacing w:val="-1"/>
              </w:rPr>
              <w:t>进度付款证书最低限额</w:t>
            </w:r>
          </w:p>
        </w:tc>
        <w:tc>
          <w:tcPr>
            <w:tcW w:w="1515" w:type="dxa"/>
            <w:vAlign w:val="top"/>
          </w:tcPr>
          <w:p w14:paraId="3DE7D427">
            <w:pPr>
              <w:pStyle w:val="9"/>
              <w:spacing w:before="282" w:line="222" w:lineRule="auto"/>
              <w:ind w:left="305"/>
            </w:pPr>
            <w:r>
              <w:rPr>
                <w:spacing w:val="-3"/>
              </w:rPr>
              <w:t>17.3.3(1)</w:t>
            </w:r>
          </w:p>
        </w:tc>
        <w:tc>
          <w:tcPr>
            <w:tcW w:w="3058" w:type="dxa"/>
            <w:vAlign w:val="top"/>
          </w:tcPr>
          <w:p w14:paraId="6FEAD2F9">
            <w:pPr>
              <w:pStyle w:val="9"/>
              <w:tabs>
                <w:tab w:val="left" w:pos="1526"/>
              </w:tabs>
              <w:spacing w:before="282" w:line="220" w:lineRule="auto"/>
              <w:ind w:left="1106"/>
            </w:pPr>
            <w:r>
              <w:rPr>
                <w:rFonts w:hint="eastAsia"/>
                <w:u w:val="single" w:color="auto"/>
                <w:lang w:val="en-US" w:eastAsia="zh-CN"/>
              </w:rPr>
              <w:t>100</w:t>
            </w:r>
            <w:r>
              <w:rPr>
                <w:spacing w:val="-91"/>
              </w:rPr>
              <w:t xml:space="preserve"> </w:t>
            </w:r>
            <w:r>
              <w:rPr>
                <w:spacing w:val="-4"/>
              </w:rPr>
              <w:t>万元</w:t>
            </w:r>
          </w:p>
        </w:tc>
        <w:tc>
          <w:tcPr>
            <w:tcW w:w="1534" w:type="dxa"/>
            <w:vAlign w:val="top"/>
          </w:tcPr>
          <w:p w14:paraId="22909273">
            <w:pPr>
              <w:rPr>
                <w:rFonts w:ascii="Arial"/>
                <w:sz w:val="21"/>
              </w:rPr>
            </w:pPr>
          </w:p>
        </w:tc>
      </w:tr>
      <w:tr w14:paraId="77BAC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48224840">
            <w:pPr>
              <w:pStyle w:val="9"/>
              <w:spacing w:before="282"/>
              <w:ind w:left="339"/>
            </w:pPr>
            <w:r>
              <w:rPr>
                <w:spacing w:val="-11"/>
              </w:rPr>
              <w:t>10</w:t>
            </w:r>
          </w:p>
        </w:tc>
        <w:tc>
          <w:tcPr>
            <w:tcW w:w="2338" w:type="dxa"/>
            <w:vAlign w:val="top"/>
          </w:tcPr>
          <w:p w14:paraId="00731D97">
            <w:pPr>
              <w:pStyle w:val="9"/>
              <w:spacing w:before="281" w:line="220" w:lineRule="auto"/>
              <w:ind w:left="121"/>
            </w:pPr>
            <w:r>
              <w:rPr>
                <w:spacing w:val="-1"/>
              </w:rPr>
              <w:t>逾期付款违约金的利率</w:t>
            </w:r>
          </w:p>
        </w:tc>
        <w:tc>
          <w:tcPr>
            <w:tcW w:w="1515" w:type="dxa"/>
            <w:vAlign w:val="top"/>
          </w:tcPr>
          <w:p w14:paraId="6FE1BCFE">
            <w:pPr>
              <w:pStyle w:val="9"/>
              <w:spacing w:before="282" w:line="222" w:lineRule="auto"/>
              <w:ind w:left="305"/>
            </w:pPr>
            <w:r>
              <w:rPr>
                <w:spacing w:val="-3"/>
              </w:rPr>
              <w:t>17.3.3(2)</w:t>
            </w:r>
          </w:p>
        </w:tc>
        <w:tc>
          <w:tcPr>
            <w:tcW w:w="3058" w:type="dxa"/>
            <w:vAlign w:val="top"/>
          </w:tcPr>
          <w:p w14:paraId="4091C8B7">
            <w:pPr>
              <w:pStyle w:val="9"/>
              <w:tabs>
                <w:tab w:val="left" w:pos="1473"/>
              </w:tabs>
              <w:spacing w:before="282" w:line="220" w:lineRule="auto"/>
            </w:pPr>
            <w:r>
              <w:rPr>
                <w:rFonts w:hint="eastAsia"/>
                <w:u w:val="single" w:color="auto"/>
              </w:rPr>
              <w:t>中国人民银行短期贷款利率加手续费</w:t>
            </w:r>
          </w:p>
        </w:tc>
        <w:tc>
          <w:tcPr>
            <w:tcW w:w="1534" w:type="dxa"/>
            <w:vAlign w:val="top"/>
          </w:tcPr>
          <w:p w14:paraId="4C324681">
            <w:pPr>
              <w:rPr>
                <w:rFonts w:ascii="Arial"/>
                <w:sz w:val="21"/>
              </w:rPr>
            </w:pPr>
          </w:p>
        </w:tc>
      </w:tr>
      <w:tr w14:paraId="70082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847" w:type="dxa"/>
            <w:vAlign w:val="top"/>
          </w:tcPr>
          <w:p w14:paraId="4BF1C293">
            <w:pPr>
              <w:pStyle w:val="9"/>
              <w:spacing w:before="282" w:line="241" w:lineRule="auto"/>
              <w:ind w:left="339"/>
            </w:pPr>
            <w:r>
              <w:rPr>
                <w:spacing w:val="-11"/>
              </w:rPr>
              <w:t>11</w:t>
            </w:r>
          </w:p>
        </w:tc>
        <w:tc>
          <w:tcPr>
            <w:tcW w:w="2338" w:type="dxa"/>
            <w:vAlign w:val="top"/>
          </w:tcPr>
          <w:p w14:paraId="7482889F">
            <w:pPr>
              <w:pStyle w:val="9"/>
              <w:spacing w:before="281" w:line="220" w:lineRule="auto"/>
              <w:ind w:left="438"/>
            </w:pPr>
            <w:r>
              <w:rPr>
                <w:spacing w:val="-2"/>
              </w:rPr>
              <w:t>质量保证金限额</w:t>
            </w:r>
          </w:p>
        </w:tc>
        <w:tc>
          <w:tcPr>
            <w:tcW w:w="1515" w:type="dxa"/>
            <w:vAlign w:val="top"/>
          </w:tcPr>
          <w:p w14:paraId="314B6CA0">
            <w:pPr>
              <w:pStyle w:val="9"/>
              <w:spacing w:before="282" w:line="239" w:lineRule="auto"/>
              <w:ind w:left="463"/>
            </w:pPr>
            <w:r>
              <w:rPr>
                <w:spacing w:val="-4"/>
              </w:rPr>
              <w:t>17.4.1</w:t>
            </w:r>
          </w:p>
        </w:tc>
        <w:tc>
          <w:tcPr>
            <w:tcW w:w="3058" w:type="dxa"/>
            <w:vAlign w:val="top"/>
          </w:tcPr>
          <w:p w14:paraId="5B9F2240">
            <w:pPr>
              <w:pStyle w:val="9"/>
              <w:tabs>
                <w:tab w:val="left" w:pos="1263"/>
              </w:tabs>
              <w:spacing w:before="282" w:line="218" w:lineRule="auto"/>
              <w:ind w:left="843"/>
            </w:pPr>
            <w:r>
              <w:rPr>
                <w:rFonts w:hint="eastAsia"/>
                <w:u w:val="single" w:color="auto"/>
                <w:lang w:val="en-US" w:eastAsia="zh-CN"/>
              </w:rPr>
              <w:t>3</w:t>
            </w:r>
            <w:r>
              <w:rPr>
                <w:spacing w:val="-101"/>
              </w:rPr>
              <w:t xml:space="preserve"> </w:t>
            </w:r>
            <w:r>
              <w:rPr>
                <w:spacing w:val="-1"/>
              </w:rPr>
              <w:t>%合同价格</w:t>
            </w:r>
          </w:p>
        </w:tc>
        <w:tc>
          <w:tcPr>
            <w:tcW w:w="1534" w:type="dxa"/>
            <w:vAlign w:val="top"/>
          </w:tcPr>
          <w:p w14:paraId="27F9C996">
            <w:pPr>
              <w:rPr>
                <w:rFonts w:ascii="Arial"/>
                <w:sz w:val="21"/>
              </w:rPr>
            </w:pPr>
          </w:p>
        </w:tc>
      </w:tr>
      <w:tr w14:paraId="2C888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847" w:type="dxa"/>
            <w:vAlign w:val="top"/>
          </w:tcPr>
          <w:p w14:paraId="5C8FE3D4">
            <w:pPr>
              <w:spacing w:line="272" w:lineRule="auto"/>
              <w:rPr>
                <w:rFonts w:ascii="Arial"/>
                <w:sz w:val="21"/>
              </w:rPr>
            </w:pPr>
          </w:p>
          <w:p w14:paraId="108E778B">
            <w:pPr>
              <w:pStyle w:val="9"/>
              <w:spacing w:before="68" w:line="241" w:lineRule="auto"/>
              <w:ind w:left="339"/>
            </w:pPr>
            <w:r>
              <w:rPr>
                <w:spacing w:val="-6"/>
              </w:rPr>
              <w:t>12</w:t>
            </w:r>
          </w:p>
        </w:tc>
        <w:tc>
          <w:tcPr>
            <w:tcW w:w="2338" w:type="dxa"/>
            <w:vAlign w:val="top"/>
          </w:tcPr>
          <w:p w14:paraId="4AB06FCE">
            <w:pPr>
              <w:spacing w:line="271" w:lineRule="auto"/>
              <w:rPr>
                <w:rFonts w:ascii="Arial"/>
                <w:sz w:val="21"/>
              </w:rPr>
            </w:pPr>
          </w:p>
          <w:p w14:paraId="440790D1">
            <w:pPr>
              <w:pStyle w:val="9"/>
              <w:spacing w:before="69" w:line="220" w:lineRule="auto"/>
              <w:ind w:left="858"/>
            </w:pPr>
            <w:r>
              <w:rPr>
                <w:spacing w:val="-4"/>
              </w:rPr>
              <w:t>保修期</w:t>
            </w:r>
          </w:p>
        </w:tc>
        <w:tc>
          <w:tcPr>
            <w:tcW w:w="1515" w:type="dxa"/>
            <w:vAlign w:val="top"/>
          </w:tcPr>
          <w:p w14:paraId="5D5F5657">
            <w:pPr>
              <w:spacing w:line="272" w:lineRule="auto"/>
              <w:rPr>
                <w:rFonts w:ascii="Arial"/>
                <w:sz w:val="21"/>
              </w:rPr>
            </w:pPr>
          </w:p>
          <w:p w14:paraId="218BCE6A">
            <w:pPr>
              <w:pStyle w:val="9"/>
              <w:spacing w:before="68" w:line="232" w:lineRule="auto"/>
              <w:ind w:left="305"/>
            </w:pPr>
            <w:r>
              <w:rPr>
                <w:spacing w:val="-4"/>
              </w:rPr>
              <w:t>19.7</w:t>
            </w:r>
            <w:r>
              <w:rPr>
                <w:rFonts w:hint="eastAsia"/>
                <w:spacing w:val="-4"/>
                <w:lang w:eastAsia="zh-CN"/>
              </w:rPr>
              <w:t>(</w:t>
            </w:r>
            <w:r>
              <w:rPr>
                <w:spacing w:val="-4"/>
              </w:rPr>
              <w:t>1</w:t>
            </w:r>
            <w:r>
              <w:rPr>
                <w:rFonts w:hint="eastAsia"/>
                <w:spacing w:val="-4"/>
                <w:lang w:eastAsia="zh-CN"/>
              </w:rPr>
              <w:t>)</w:t>
            </w:r>
          </w:p>
        </w:tc>
        <w:tc>
          <w:tcPr>
            <w:tcW w:w="3058" w:type="dxa"/>
            <w:vAlign w:val="top"/>
          </w:tcPr>
          <w:p w14:paraId="327E275C">
            <w:pPr>
              <w:pStyle w:val="9"/>
              <w:spacing w:before="141" w:line="219" w:lineRule="auto"/>
              <w:ind w:left="204"/>
            </w:pPr>
            <w:r>
              <w:rPr>
                <w:spacing w:val="-4"/>
              </w:rPr>
              <w:t>自本项目实际交工日期之日起</w:t>
            </w:r>
          </w:p>
          <w:p w14:paraId="78B1B8A7">
            <w:pPr>
              <w:pStyle w:val="9"/>
              <w:spacing w:before="151" w:line="220" w:lineRule="auto"/>
              <w:ind w:left="1010"/>
            </w:pPr>
            <w:r>
              <w:rPr>
                <w:spacing w:val="-2"/>
              </w:rPr>
              <w:t>计算</w:t>
            </w:r>
            <w:r>
              <w:rPr>
                <w:spacing w:val="-2"/>
                <w:u w:val="single" w:color="auto"/>
              </w:rPr>
              <w:t xml:space="preserve"> </w:t>
            </w:r>
            <w:r>
              <w:rPr>
                <w:rFonts w:hint="eastAsia"/>
                <w:spacing w:val="-2"/>
                <w:u w:val="single" w:color="auto"/>
                <w:lang w:val="en-US" w:eastAsia="zh-CN"/>
              </w:rPr>
              <w:t>5</w:t>
            </w:r>
            <w:r>
              <w:rPr>
                <w:spacing w:val="-2"/>
                <w:u w:val="single" w:color="auto"/>
              </w:rPr>
              <w:t xml:space="preserve"> </w:t>
            </w:r>
            <w:r>
              <w:rPr>
                <w:spacing w:val="-92"/>
              </w:rPr>
              <w:t xml:space="preserve"> </w:t>
            </w:r>
            <w:r>
              <w:rPr>
                <w:spacing w:val="-2"/>
              </w:rPr>
              <w:t>年</w:t>
            </w:r>
          </w:p>
        </w:tc>
        <w:tc>
          <w:tcPr>
            <w:tcW w:w="1534" w:type="dxa"/>
            <w:vAlign w:val="top"/>
          </w:tcPr>
          <w:p w14:paraId="6F8E47EE">
            <w:pPr>
              <w:rPr>
                <w:rFonts w:ascii="Arial"/>
                <w:sz w:val="21"/>
              </w:rPr>
            </w:pPr>
          </w:p>
        </w:tc>
      </w:tr>
    </w:tbl>
    <w:p w14:paraId="4E50AA24">
      <w:pPr>
        <w:pStyle w:val="2"/>
        <w:spacing w:line="253" w:lineRule="auto"/>
      </w:pPr>
    </w:p>
    <w:p w14:paraId="2EEC4E98">
      <w:pPr>
        <w:pStyle w:val="2"/>
        <w:spacing w:line="253" w:lineRule="auto"/>
      </w:pPr>
    </w:p>
    <w:p w14:paraId="5BFC9EA5">
      <w:pPr>
        <w:pStyle w:val="2"/>
        <w:spacing w:line="253" w:lineRule="auto"/>
      </w:pPr>
    </w:p>
    <w:p w14:paraId="001FB9D6">
      <w:pPr>
        <w:pStyle w:val="2"/>
        <w:spacing w:line="253" w:lineRule="auto"/>
      </w:pPr>
    </w:p>
    <w:p w14:paraId="03A4CB15">
      <w:pPr>
        <w:pStyle w:val="2"/>
        <w:spacing w:line="253" w:lineRule="auto"/>
      </w:pPr>
    </w:p>
    <w:p w14:paraId="15E89209">
      <w:pPr>
        <w:pStyle w:val="2"/>
        <w:spacing w:line="254" w:lineRule="auto"/>
      </w:pPr>
    </w:p>
    <w:p w14:paraId="718BA3AD">
      <w:pPr>
        <w:pStyle w:val="2"/>
        <w:spacing w:line="254" w:lineRule="auto"/>
      </w:pPr>
    </w:p>
    <w:p w14:paraId="5A96016B">
      <w:pPr>
        <w:pStyle w:val="2"/>
        <w:spacing w:line="254" w:lineRule="auto"/>
      </w:pPr>
    </w:p>
    <w:p w14:paraId="2B4BE438">
      <w:pPr>
        <w:pStyle w:val="2"/>
        <w:spacing w:line="254" w:lineRule="auto"/>
      </w:pPr>
    </w:p>
    <w:p w14:paraId="7B9E21AB">
      <w:pPr>
        <w:pStyle w:val="2"/>
        <w:spacing w:line="254" w:lineRule="auto"/>
      </w:pPr>
    </w:p>
    <w:p w14:paraId="3185B002">
      <w:pPr>
        <w:pStyle w:val="2"/>
        <w:spacing w:line="254" w:lineRule="auto"/>
      </w:pPr>
    </w:p>
    <w:p w14:paraId="00A3A505">
      <w:pPr>
        <w:pStyle w:val="2"/>
        <w:spacing w:line="254" w:lineRule="auto"/>
      </w:pPr>
    </w:p>
    <w:p w14:paraId="0C875E14">
      <w:pPr>
        <w:spacing w:line="217" w:lineRule="auto"/>
        <w:rPr>
          <w:rFonts w:ascii="宋体" w:hAnsi="宋体" w:eastAsia="宋体" w:cs="宋体"/>
          <w:sz w:val="18"/>
          <w:szCs w:val="18"/>
        </w:rPr>
        <w:sectPr>
          <w:footerReference r:id="rId169" w:type="default"/>
          <w:pgSz w:w="11905" w:h="16840"/>
          <w:pgMar w:top="1182" w:right="1303" w:bottom="1171" w:left="1303" w:header="849" w:footer="937" w:gutter="0"/>
          <w:pgNumType w:fmt="decimal"/>
          <w:cols w:space="720" w:num="1"/>
        </w:sectPr>
      </w:pPr>
    </w:p>
    <w:p w14:paraId="0E2113C0">
      <w:pPr>
        <w:pStyle w:val="2"/>
        <w:spacing w:line="315" w:lineRule="auto"/>
      </w:pPr>
    </w:p>
    <w:p w14:paraId="49637E46">
      <w:pPr>
        <w:spacing w:before="88" w:line="226" w:lineRule="auto"/>
        <w:ind w:left="2162"/>
        <w:rPr>
          <w:rFonts w:ascii="宋体" w:hAnsi="宋体" w:eastAsia="宋体" w:cs="宋体"/>
          <w:sz w:val="27"/>
          <w:szCs w:val="27"/>
        </w:rPr>
      </w:pPr>
      <w:r>
        <w:rPr>
          <w:rFonts w:ascii="宋体" w:hAnsi="宋体" w:eastAsia="宋体" w:cs="宋体"/>
          <w:b/>
          <w:bCs/>
          <w:spacing w:val="7"/>
          <w:sz w:val="27"/>
          <w:szCs w:val="27"/>
        </w:rPr>
        <w:t>二、授权委托书或法定代表人身份证明</w:t>
      </w:r>
    </w:p>
    <w:p w14:paraId="7B1483FA">
      <w:pPr>
        <w:spacing w:before="271" w:line="241" w:lineRule="auto"/>
        <w:ind w:left="3365"/>
        <w:rPr>
          <w:rFonts w:hint="eastAsia" w:ascii="宋体" w:hAnsi="宋体" w:eastAsia="宋体" w:cs="宋体"/>
          <w:sz w:val="13"/>
          <w:szCs w:val="13"/>
          <w:lang w:eastAsia="zh-CN"/>
        </w:rPr>
      </w:pPr>
      <w:r>
        <w:rPr>
          <w:rFonts w:ascii="宋体" w:hAnsi="宋体" w:eastAsia="宋体" w:cs="宋体"/>
          <w:b/>
          <w:bCs/>
          <w:spacing w:val="5"/>
          <w:sz w:val="27"/>
          <w:szCs w:val="27"/>
        </w:rPr>
        <w:t>（一）授权委托书</w:t>
      </w:r>
    </w:p>
    <w:p w14:paraId="33F31929">
      <w:pPr>
        <w:pStyle w:val="2"/>
        <w:spacing w:line="467" w:lineRule="auto"/>
      </w:pPr>
    </w:p>
    <w:p w14:paraId="4A6E65FD">
      <w:pPr>
        <w:spacing w:before="78" w:line="360" w:lineRule="auto"/>
        <w:ind w:left="9" w:right="14" w:firstLine="480"/>
        <w:rPr>
          <w:rFonts w:ascii="宋体" w:hAnsi="宋体" w:eastAsia="宋体" w:cs="宋体"/>
          <w:sz w:val="24"/>
          <w:szCs w:val="24"/>
        </w:rPr>
      </w:pPr>
      <w:r>
        <w:rPr>
          <w:rFonts w:ascii="宋体" w:hAnsi="宋体" w:eastAsia="宋体" w:cs="宋体"/>
          <w:spacing w:val="1"/>
          <w:sz w:val="24"/>
          <w:szCs w:val="24"/>
        </w:rPr>
        <w:t>本人</w:t>
      </w:r>
      <w:r>
        <w:rPr>
          <w:rFonts w:ascii="宋体" w:hAnsi="宋体" w:eastAsia="宋体" w:cs="宋体"/>
          <w:spacing w:val="-119"/>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（姓名）系</w:t>
      </w:r>
      <w:r>
        <w:rPr>
          <w:rFonts w:ascii="宋体" w:hAnsi="宋体" w:eastAsia="宋体" w:cs="宋体"/>
          <w:spacing w:val="-95"/>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（投标人名称）的法定代表人，现委托</w:t>
      </w:r>
      <w:r>
        <w:rPr>
          <w:rFonts w:ascii="宋体" w:hAnsi="宋体" w:eastAsia="宋体" w:cs="宋体"/>
          <w:spacing w:val="-103"/>
          <w:sz w:val="24"/>
          <w:szCs w:val="24"/>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（姓名）为我方代理人。代理人根据授权，以我方名义签署、澄清确认、</w:t>
      </w:r>
      <w:r>
        <w:rPr>
          <w:rFonts w:ascii="宋体" w:hAnsi="宋体" w:eastAsia="宋体" w:cs="宋体"/>
          <w:spacing w:val="1"/>
          <w:sz w:val="24"/>
          <w:szCs w:val="24"/>
        </w:rPr>
        <w:t>递交、撤回、修改</w:t>
      </w:r>
      <w:r>
        <w:rPr>
          <w:rFonts w:ascii="宋体" w:hAnsi="宋体" w:eastAsia="宋体" w:cs="宋体"/>
          <w:spacing w:val="-117"/>
          <w:sz w:val="24"/>
          <w:szCs w:val="24"/>
        </w:rPr>
        <w:t xml:space="preserve"> </w:t>
      </w:r>
      <w:r>
        <w:rPr>
          <w:rFonts w:ascii="宋体" w:hAnsi="宋体" w:eastAsia="宋体" w:cs="宋体"/>
          <w:spacing w:val="1"/>
          <w:sz w:val="24"/>
          <w:szCs w:val="24"/>
          <w:u w:val="single" w:color="auto"/>
        </w:rPr>
        <w:t xml:space="preserve"> </w:t>
      </w:r>
      <w:r>
        <w:rPr>
          <w:rFonts w:hint="eastAsia" w:ascii="宋体" w:hAnsi="宋体" w:eastAsia="宋体" w:cs="宋体"/>
          <w:spacing w:val="1"/>
          <w:sz w:val="24"/>
          <w:szCs w:val="24"/>
          <w:u w:val="single" w:color="auto"/>
        </w:rPr>
        <w:t>云安区白石镇X491线白石街至东星四升三改建工程施工</w:t>
      </w:r>
      <w:r>
        <w:rPr>
          <w:rFonts w:ascii="宋体" w:hAnsi="宋体" w:eastAsia="宋体" w:cs="宋体"/>
          <w:sz w:val="24"/>
          <w:szCs w:val="24"/>
        </w:rPr>
        <w:t>施工投标文件、</w:t>
      </w:r>
      <w:r>
        <w:rPr>
          <w:rFonts w:ascii="宋体" w:hAnsi="宋体" w:eastAsia="宋体" w:cs="宋体"/>
          <w:spacing w:val="-2"/>
          <w:sz w:val="24"/>
          <w:szCs w:val="24"/>
        </w:rPr>
        <w:t>签订合同和处理有关事宜，其法律后果由我方承担。</w:t>
      </w:r>
    </w:p>
    <w:p w14:paraId="6B213AB0">
      <w:pPr>
        <w:spacing w:before="1" w:line="218" w:lineRule="auto"/>
        <w:ind w:left="488"/>
        <w:rPr>
          <w:rFonts w:ascii="宋体" w:hAnsi="宋体" w:eastAsia="宋体" w:cs="宋体"/>
          <w:sz w:val="24"/>
          <w:szCs w:val="24"/>
        </w:rPr>
      </w:pPr>
      <w:r>
        <w:rPr>
          <w:rFonts w:ascii="宋体" w:hAnsi="宋体" w:eastAsia="宋体" w:cs="宋体"/>
          <w:spacing w:val="-2"/>
          <w:sz w:val="24"/>
          <w:szCs w:val="24"/>
        </w:rPr>
        <w:t>委托期限：自本委托书签署之日起至投标有效期期满。</w:t>
      </w:r>
    </w:p>
    <w:p w14:paraId="452EADBC">
      <w:pPr>
        <w:spacing w:before="182" w:line="220" w:lineRule="auto"/>
        <w:ind w:left="488"/>
        <w:rPr>
          <w:rFonts w:ascii="宋体" w:hAnsi="宋体" w:eastAsia="宋体" w:cs="宋体"/>
          <w:sz w:val="24"/>
          <w:szCs w:val="24"/>
        </w:rPr>
      </w:pPr>
      <w:r>
        <w:rPr>
          <w:rFonts w:ascii="宋体" w:hAnsi="宋体" w:eastAsia="宋体" w:cs="宋体"/>
          <w:spacing w:val="-5"/>
          <w:sz w:val="24"/>
          <w:szCs w:val="24"/>
        </w:rPr>
        <w:t>代理人无转委托权。</w:t>
      </w:r>
    </w:p>
    <w:p w14:paraId="1E3463DB">
      <w:pPr>
        <w:pStyle w:val="2"/>
        <w:spacing w:line="284" w:lineRule="auto"/>
      </w:pPr>
    </w:p>
    <w:p w14:paraId="789DB98D">
      <w:pPr>
        <w:pStyle w:val="2"/>
        <w:spacing w:line="284" w:lineRule="auto"/>
      </w:pPr>
    </w:p>
    <w:p w14:paraId="07C21297">
      <w:pPr>
        <w:spacing w:before="78" w:line="219" w:lineRule="auto"/>
        <w:ind w:left="508"/>
        <w:rPr>
          <w:rFonts w:ascii="宋体" w:hAnsi="宋体" w:eastAsia="宋体" w:cs="宋体"/>
          <w:sz w:val="24"/>
          <w:szCs w:val="24"/>
        </w:rPr>
      </w:pPr>
      <w:r>
        <w:rPr>
          <w:rFonts w:ascii="宋体" w:hAnsi="宋体" w:eastAsia="宋体" w:cs="宋体"/>
          <w:spacing w:val="-3"/>
          <w:sz w:val="24"/>
          <w:szCs w:val="24"/>
        </w:rPr>
        <w:t>附：法定代表人身份证扫描件及委托代理人身份证扫描件。</w:t>
      </w:r>
    </w:p>
    <w:p w14:paraId="70E61E7D">
      <w:pPr>
        <w:pStyle w:val="2"/>
        <w:spacing w:line="284" w:lineRule="auto"/>
      </w:pPr>
    </w:p>
    <w:p w14:paraId="182CAFAC">
      <w:pPr>
        <w:pStyle w:val="2"/>
        <w:spacing w:line="285" w:lineRule="auto"/>
      </w:pPr>
    </w:p>
    <w:p w14:paraId="1BD38899">
      <w:pPr>
        <w:spacing w:before="79" w:line="219" w:lineRule="auto"/>
        <w:ind w:left="3612"/>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盖单位章）</w:t>
      </w:r>
    </w:p>
    <w:p w14:paraId="41B62714">
      <w:pPr>
        <w:spacing w:before="183" w:line="220" w:lineRule="auto"/>
        <w:ind w:left="3610"/>
        <w:rPr>
          <w:rFonts w:ascii="宋体" w:hAnsi="宋体" w:eastAsia="宋体" w:cs="宋体"/>
          <w:sz w:val="24"/>
          <w:szCs w:val="24"/>
        </w:rPr>
      </w:pPr>
      <w:r>
        <w:rPr>
          <w:rFonts w:ascii="宋体" w:hAnsi="宋体" w:eastAsia="宋体" w:cs="宋体"/>
          <w:spacing w:val="-3"/>
          <w:sz w:val="24"/>
          <w:szCs w:val="24"/>
        </w:rPr>
        <w:t>法定代表人</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3"/>
          <w:sz w:val="24"/>
          <w:szCs w:val="24"/>
        </w:rPr>
        <w:t>签字）</w:t>
      </w:r>
    </w:p>
    <w:p w14:paraId="303088AA">
      <w:pPr>
        <w:spacing w:before="183" w:line="360" w:lineRule="auto"/>
        <w:ind w:left="3608" w:right="672" w:firstLine="7"/>
        <w:rPr>
          <w:rFonts w:ascii="宋体" w:hAnsi="宋体" w:eastAsia="宋体" w:cs="宋体"/>
          <w:sz w:val="24"/>
          <w:szCs w:val="24"/>
        </w:rPr>
      </w:pPr>
      <w:r>
        <w:rPr>
          <w:rFonts w:ascii="宋体" w:hAnsi="宋体" w:eastAsia="宋体" w:cs="宋体"/>
          <w:spacing w:val="-1"/>
          <w:sz w:val="24"/>
          <w:szCs w:val="24"/>
        </w:rPr>
        <w:t>身份证号码：</w:t>
      </w:r>
      <w:r>
        <w:rPr>
          <w:rFonts w:ascii="宋体" w:hAnsi="宋体" w:eastAsia="宋体" w:cs="宋体"/>
          <w:spacing w:val="-1"/>
          <w:sz w:val="24"/>
          <w:szCs w:val="24"/>
          <w:u w:val="single" w:color="auto"/>
        </w:rPr>
        <w:t xml:space="preserve">                            </w:t>
      </w:r>
      <w:r>
        <w:rPr>
          <w:rFonts w:ascii="宋体" w:hAnsi="宋体" w:eastAsia="宋体" w:cs="宋体"/>
          <w:spacing w:val="-2"/>
          <w:sz w:val="24"/>
          <w:szCs w:val="24"/>
        </w:rPr>
        <w:t>委托代理人</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签字）</w:t>
      </w:r>
    </w:p>
    <w:p w14:paraId="2EBF1938">
      <w:pPr>
        <w:tabs>
          <w:tab w:val="left" w:pos="6479"/>
        </w:tabs>
        <w:spacing w:line="362" w:lineRule="auto"/>
        <w:ind w:left="5999" w:right="672" w:hanging="2384"/>
        <w:rPr>
          <w:rFonts w:ascii="宋体" w:hAnsi="宋体" w:eastAsia="宋体" w:cs="宋体"/>
          <w:sz w:val="24"/>
          <w:szCs w:val="24"/>
        </w:rPr>
      </w:pPr>
      <w:r>
        <w:rPr>
          <w:rFonts w:ascii="宋体" w:hAnsi="宋体" w:eastAsia="宋体" w:cs="宋体"/>
          <w:spacing w:val="-1"/>
          <w:sz w:val="24"/>
          <w:szCs w:val="24"/>
        </w:rPr>
        <w:t>身份证号码：</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3D89B3EC">
      <w:pPr>
        <w:pStyle w:val="2"/>
        <w:spacing w:line="264" w:lineRule="auto"/>
      </w:pPr>
    </w:p>
    <w:p w14:paraId="3080C2E0">
      <w:pPr>
        <w:pStyle w:val="2"/>
        <w:spacing w:line="264" w:lineRule="auto"/>
      </w:pPr>
    </w:p>
    <w:p w14:paraId="075354D5">
      <w:pPr>
        <w:pStyle w:val="2"/>
        <w:spacing w:line="265" w:lineRule="auto"/>
      </w:pPr>
    </w:p>
    <w:p w14:paraId="1265AF83">
      <w:pPr>
        <w:spacing w:before="68" w:line="224" w:lineRule="auto"/>
        <w:ind w:left="8"/>
        <w:rPr>
          <w:rFonts w:ascii="宋体" w:hAnsi="宋体" w:eastAsia="宋体" w:cs="宋体"/>
          <w:sz w:val="21"/>
          <w:szCs w:val="21"/>
        </w:rPr>
      </w:pPr>
      <w:r>
        <w:rPr>
          <w:rFonts w:ascii="宋体" w:hAnsi="宋体" w:eastAsia="宋体" w:cs="宋体"/>
          <w:spacing w:val="-15"/>
          <w:sz w:val="21"/>
          <w:szCs w:val="21"/>
        </w:rPr>
        <w:t>注：</w:t>
      </w:r>
    </w:p>
    <w:p w14:paraId="6BFE5BEF">
      <w:pPr>
        <w:spacing w:before="58" w:line="274" w:lineRule="auto"/>
        <w:ind w:left="19" w:right="7" w:firstLine="3"/>
        <w:rPr>
          <w:rFonts w:ascii="宋体" w:hAnsi="宋体" w:eastAsia="宋体" w:cs="宋体"/>
          <w:sz w:val="21"/>
          <w:szCs w:val="21"/>
        </w:rPr>
      </w:pPr>
      <w:r>
        <w:rPr>
          <w:rFonts w:ascii="宋体" w:hAnsi="宋体" w:eastAsia="宋体" w:cs="宋体"/>
          <w:sz w:val="21"/>
          <w:szCs w:val="21"/>
        </w:rPr>
        <w:t>1.法定代表人和委托代理人必须在授权书上签名；如果由投标人的委托代理人签署投标文件，则不</w:t>
      </w:r>
      <w:r>
        <w:rPr>
          <w:rFonts w:ascii="宋体" w:hAnsi="宋体" w:eastAsia="宋体" w:cs="宋体"/>
          <w:spacing w:val="-3"/>
          <w:sz w:val="21"/>
          <w:szCs w:val="21"/>
        </w:rPr>
        <w:t>需提交（二）法定代表人身份证明。</w:t>
      </w:r>
    </w:p>
    <w:p w14:paraId="13FE9206">
      <w:pPr>
        <w:spacing w:before="1" w:line="218" w:lineRule="auto"/>
        <w:ind w:left="10"/>
        <w:rPr>
          <w:rFonts w:ascii="宋体" w:hAnsi="宋体" w:eastAsia="宋体" w:cs="宋体"/>
          <w:sz w:val="21"/>
          <w:szCs w:val="21"/>
        </w:rPr>
      </w:pPr>
      <w:r>
        <w:rPr>
          <w:rFonts w:ascii="宋体" w:hAnsi="宋体" w:eastAsia="宋体" w:cs="宋体"/>
          <w:spacing w:val="-1"/>
          <w:sz w:val="21"/>
          <w:szCs w:val="21"/>
        </w:rPr>
        <w:t>2.以联合体形式投标的，本授权委托书应由联合体牵头人的法定代表人按上述规定签署。</w:t>
      </w:r>
    </w:p>
    <w:p w14:paraId="61596719">
      <w:pPr>
        <w:spacing w:before="1" w:line="218" w:lineRule="auto"/>
        <w:ind w:left="10"/>
        <w:rPr>
          <w:rFonts w:ascii="宋体" w:hAnsi="宋体" w:eastAsia="宋体" w:cs="宋体"/>
          <w:spacing w:val="-1"/>
          <w:sz w:val="21"/>
          <w:szCs w:val="21"/>
        </w:rPr>
      </w:pPr>
      <w:r>
        <w:rPr>
          <w:rFonts w:hint="eastAsia" w:ascii="宋体" w:hAnsi="宋体" w:eastAsia="宋体" w:cs="宋体"/>
          <w:spacing w:val="-1"/>
          <w:sz w:val="21"/>
          <w:szCs w:val="21"/>
          <w:lang w:val="en-US" w:eastAsia="zh-CN"/>
        </w:rPr>
        <w:t xml:space="preserve">3.本项目采用全电子远程开评标，在本项目开标评标期间，请代理人保持手机畅通，以便可以及时 </w:t>
      </w:r>
    </w:p>
    <w:p w14:paraId="35224B9C">
      <w:pPr>
        <w:spacing w:before="1" w:line="218" w:lineRule="auto"/>
        <w:ind w:left="10"/>
      </w:pPr>
      <w:r>
        <w:rPr>
          <w:rFonts w:hint="eastAsia" w:ascii="宋体" w:hAnsi="宋体" w:eastAsia="宋体" w:cs="宋体"/>
          <w:spacing w:val="-1"/>
          <w:sz w:val="21"/>
          <w:szCs w:val="21"/>
          <w:lang w:val="en-US" w:eastAsia="zh-CN"/>
        </w:rPr>
        <w:t>联系处理开评标时候出现的一切情况。</w:t>
      </w:r>
      <w:r>
        <w:rPr>
          <w:rFonts w:hint="eastAsia" w:ascii="宋体" w:hAnsi="宋体" w:eastAsia="宋体" w:cs="宋体"/>
          <w:b/>
          <w:bCs/>
          <w:snapToGrid w:val="0"/>
          <w:color w:val="000000"/>
          <w:kern w:val="0"/>
          <w:sz w:val="21"/>
          <w:szCs w:val="21"/>
          <w:lang w:val="en-US" w:eastAsia="zh-CN" w:bidi="ar"/>
        </w:rPr>
        <w:t xml:space="preserve"> </w:t>
      </w:r>
    </w:p>
    <w:p w14:paraId="44942277">
      <w:pPr>
        <w:pStyle w:val="2"/>
        <w:spacing w:line="247" w:lineRule="auto"/>
      </w:pPr>
    </w:p>
    <w:p w14:paraId="6A143B28">
      <w:pPr>
        <w:pStyle w:val="2"/>
        <w:spacing w:line="247" w:lineRule="auto"/>
      </w:pPr>
    </w:p>
    <w:p w14:paraId="6789328E">
      <w:pPr>
        <w:pStyle w:val="2"/>
        <w:spacing w:line="247" w:lineRule="auto"/>
      </w:pPr>
    </w:p>
    <w:p w14:paraId="494C56F7">
      <w:pPr>
        <w:pStyle w:val="2"/>
        <w:spacing w:line="247" w:lineRule="auto"/>
      </w:pPr>
    </w:p>
    <w:p w14:paraId="761036C2">
      <w:pPr>
        <w:pStyle w:val="2"/>
        <w:spacing w:line="247" w:lineRule="auto"/>
      </w:pPr>
    </w:p>
    <w:p w14:paraId="44483A76">
      <w:pPr>
        <w:pStyle w:val="2"/>
        <w:spacing w:line="248" w:lineRule="auto"/>
      </w:pPr>
    </w:p>
    <w:p w14:paraId="670AEBC2">
      <w:pPr>
        <w:pStyle w:val="2"/>
        <w:spacing w:line="248" w:lineRule="auto"/>
      </w:pPr>
    </w:p>
    <w:p w14:paraId="1429AB8F">
      <w:pPr>
        <w:pStyle w:val="2"/>
        <w:spacing w:line="248" w:lineRule="auto"/>
      </w:pPr>
    </w:p>
    <w:p w14:paraId="6C856141">
      <w:pPr>
        <w:pStyle w:val="2"/>
        <w:spacing w:line="248" w:lineRule="auto"/>
      </w:pPr>
    </w:p>
    <w:p w14:paraId="7E074449">
      <w:pPr>
        <w:pStyle w:val="2"/>
        <w:spacing w:line="248" w:lineRule="auto"/>
      </w:pPr>
    </w:p>
    <w:p w14:paraId="5E2224CF">
      <w:pPr>
        <w:pStyle w:val="2"/>
        <w:spacing w:line="248" w:lineRule="auto"/>
      </w:pPr>
    </w:p>
    <w:p w14:paraId="442EA56D">
      <w:pPr>
        <w:spacing w:line="217" w:lineRule="auto"/>
        <w:rPr>
          <w:rFonts w:ascii="宋体" w:hAnsi="宋体" w:eastAsia="宋体" w:cs="宋体"/>
          <w:sz w:val="18"/>
          <w:szCs w:val="18"/>
        </w:rPr>
        <w:sectPr>
          <w:footerReference r:id="rId170" w:type="default"/>
          <w:pgSz w:w="11905" w:h="16840"/>
          <w:pgMar w:top="1182" w:right="1416" w:bottom="1171" w:left="1416" w:header="849" w:footer="937" w:gutter="0"/>
          <w:pgNumType w:fmt="decimal"/>
          <w:cols w:space="720" w:num="1"/>
        </w:sectPr>
      </w:pPr>
    </w:p>
    <w:p w14:paraId="1BBCE4DB">
      <w:pPr>
        <w:pStyle w:val="2"/>
        <w:spacing w:line="316" w:lineRule="auto"/>
      </w:pPr>
    </w:p>
    <w:p w14:paraId="6647F3FA">
      <w:pPr>
        <w:spacing w:before="88" w:line="226" w:lineRule="auto"/>
        <w:ind w:left="2873"/>
        <w:rPr>
          <w:rFonts w:ascii="宋体" w:hAnsi="宋体" w:eastAsia="宋体" w:cs="宋体"/>
          <w:sz w:val="27"/>
          <w:szCs w:val="27"/>
        </w:rPr>
      </w:pPr>
      <w:r>
        <w:rPr>
          <w:rFonts w:ascii="宋体" w:hAnsi="宋体" w:eastAsia="宋体" w:cs="宋体"/>
          <w:b/>
          <w:bCs/>
          <w:spacing w:val="3"/>
          <w:sz w:val="27"/>
          <w:szCs w:val="27"/>
        </w:rPr>
        <w:t>（二）法定代表人身份证明</w:t>
      </w:r>
    </w:p>
    <w:p w14:paraId="6262B83A">
      <w:pPr>
        <w:pStyle w:val="2"/>
        <w:spacing w:line="466" w:lineRule="auto"/>
      </w:pPr>
    </w:p>
    <w:p w14:paraId="56B6F1FA">
      <w:pPr>
        <w:spacing w:before="78" w:line="220" w:lineRule="auto"/>
        <w:ind w:left="12"/>
        <w:rPr>
          <w:rFonts w:ascii="宋体" w:hAnsi="宋体" w:eastAsia="宋体" w:cs="宋体"/>
          <w:sz w:val="24"/>
          <w:szCs w:val="24"/>
        </w:rPr>
      </w:pPr>
      <w:r>
        <w:rPr>
          <w:rFonts w:ascii="宋体" w:hAnsi="宋体" w:eastAsia="宋体" w:cs="宋体"/>
          <w:spacing w:val="-3"/>
          <w:sz w:val="24"/>
          <w:szCs w:val="24"/>
        </w:rPr>
        <w:t>投标人名称：</w:t>
      </w:r>
      <w:r>
        <w:rPr>
          <w:rFonts w:ascii="宋体" w:hAnsi="宋体" w:eastAsia="宋体" w:cs="宋体"/>
          <w:sz w:val="24"/>
          <w:szCs w:val="24"/>
          <w:u w:val="single" w:color="auto"/>
        </w:rPr>
        <w:t xml:space="preserve">                        </w:t>
      </w:r>
    </w:p>
    <w:p w14:paraId="1815984E">
      <w:pPr>
        <w:spacing w:before="181" w:line="220" w:lineRule="auto"/>
        <w:ind w:left="9"/>
        <w:rPr>
          <w:rFonts w:ascii="宋体" w:hAnsi="宋体" w:eastAsia="宋体" w:cs="宋体"/>
          <w:sz w:val="24"/>
          <w:szCs w:val="24"/>
        </w:rPr>
      </w:pPr>
      <w:r>
        <w:rPr>
          <w:rFonts w:ascii="宋体" w:hAnsi="宋体" w:eastAsia="宋体" w:cs="宋体"/>
          <w:sz w:val="24"/>
          <w:szCs w:val="24"/>
        </w:rPr>
        <w:t>姓名</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z w:val="24"/>
          <w:szCs w:val="24"/>
        </w:rPr>
        <w:t>法定代表人签名） 性别：</w:t>
      </w:r>
      <w:r>
        <w:rPr>
          <w:rFonts w:ascii="宋体" w:hAnsi="宋体" w:eastAsia="宋体" w:cs="宋体"/>
          <w:sz w:val="24"/>
          <w:szCs w:val="24"/>
          <w:u w:val="single" w:color="auto"/>
        </w:rPr>
        <w:t xml:space="preserve">    </w:t>
      </w:r>
      <w:r>
        <w:rPr>
          <w:rFonts w:ascii="宋体" w:hAnsi="宋体" w:eastAsia="宋体" w:cs="宋体"/>
          <w:sz w:val="24"/>
          <w:szCs w:val="24"/>
        </w:rPr>
        <w:t xml:space="preserve">  年龄：</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 xml:space="preserve">  职务：</w:t>
      </w:r>
      <w:r>
        <w:rPr>
          <w:rFonts w:ascii="宋体" w:hAnsi="宋体" w:eastAsia="宋体" w:cs="宋体"/>
          <w:sz w:val="24"/>
          <w:szCs w:val="24"/>
          <w:u w:val="single" w:color="auto"/>
        </w:rPr>
        <w:t xml:space="preserve">    </w:t>
      </w:r>
    </w:p>
    <w:p w14:paraId="1F46443E">
      <w:pPr>
        <w:spacing w:before="182" w:line="220" w:lineRule="auto"/>
        <w:ind w:left="14"/>
        <w:rPr>
          <w:rFonts w:ascii="宋体" w:hAnsi="宋体" w:eastAsia="宋体" w:cs="宋体"/>
          <w:sz w:val="24"/>
          <w:szCs w:val="24"/>
        </w:rPr>
      </w:pPr>
      <w:r>
        <w:rPr>
          <w:rFonts w:ascii="宋体" w:hAnsi="宋体" w:eastAsia="宋体" w:cs="宋体"/>
          <w:spacing w:val="-1"/>
          <w:sz w:val="24"/>
          <w:szCs w:val="24"/>
        </w:rPr>
        <w:t>系</w:t>
      </w:r>
      <w:r>
        <w:rPr>
          <w:rFonts w:ascii="宋体" w:hAnsi="宋体" w:eastAsia="宋体" w:cs="宋体"/>
          <w:spacing w:val="-1"/>
          <w:sz w:val="24"/>
          <w:szCs w:val="24"/>
          <w:u w:val="single" w:color="auto"/>
        </w:rPr>
        <w:t xml:space="preserve">                   </w:t>
      </w:r>
      <w:r>
        <w:rPr>
          <w:rFonts w:ascii="宋体" w:hAnsi="宋体" w:eastAsia="宋体" w:cs="宋体"/>
          <w:spacing w:val="-2"/>
          <w:sz w:val="24"/>
          <w:szCs w:val="24"/>
        </w:rPr>
        <w:t>（投标人名称）的法定代表人。</w:t>
      </w:r>
    </w:p>
    <w:p w14:paraId="2524280F">
      <w:pPr>
        <w:spacing w:before="182" w:line="220" w:lineRule="auto"/>
        <w:ind w:left="489"/>
        <w:rPr>
          <w:rFonts w:ascii="宋体" w:hAnsi="宋体" w:eastAsia="宋体" w:cs="宋体"/>
          <w:sz w:val="24"/>
          <w:szCs w:val="24"/>
        </w:rPr>
      </w:pPr>
      <w:r>
        <w:rPr>
          <w:rFonts w:ascii="宋体" w:hAnsi="宋体" w:eastAsia="宋体" w:cs="宋体"/>
          <w:spacing w:val="-8"/>
          <w:sz w:val="24"/>
          <w:szCs w:val="24"/>
        </w:rPr>
        <w:t>特此证明。</w:t>
      </w:r>
    </w:p>
    <w:p w14:paraId="59ED9E80">
      <w:pPr>
        <w:pStyle w:val="2"/>
        <w:spacing w:line="284" w:lineRule="auto"/>
      </w:pPr>
    </w:p>
    <w:p w14:paraId="2A664226">
      <w:pPr>
        <w:pStyle w:val="2"/>
        <w:spacing w:line="284" w:lineRule="auto"/>
      </w:pPr>
    </w:p>
    <w:p w14:paraId="67117DF5">
      <w:pPr>
        <w:spacing w:before="78" w:line="219" w:lineRule="auto"/>
        <w:ind w:left="508"/>
        <w:rPr>
          <w:rFonts w:ascii="宋体" w:hAnsi="宋体" w:eastAsia="宋体" w:cs="宋体"/>
          <w:sz w:val="24"/>
          <w:szCs w:val="24"/>
        </w:rPr>
      </w:pPr>
      <w:r>
        <w:rPr>
          <w:rFonts w:ascii="宋体" w:hAnsi="宋体" w:eastAsia="宋体" w:cs="宋体"/>
          <w:spacing w:val="-5"/>
          <w:sz w:val="24"/>
          <w:szCs w:val="24"/>
        </w:rPr>
        <w:t>附：法定代表人身份证扫描件。</w:t>
      </w:r>
    </w:p>
    <w:p w14:paraId="7B32A903">
      <w:pPr>
        <w:pStyle w:val="2"/>
        <w:spacing w:line="285" w:lineRule="auto"/>
      </w:pPr>
    </w:p>
    <w:p w14:paraId="29805041">
      <w:pPr>
        <w:pStyle w:val="2"/>
        <w:spacing w:line="285" w:lineRule="auto"/>
      </w:pPr>
    </w:p>
    <w:p w14:paraId="115BE816">
      <w:pPr>
        <w:tabs>
          <w:tab w:val="left" w:pos="7390"/>
        </w:tabs>
        <w:spacing w:before="78" w:line="362" w:lineRule="auto"/>
        <w:ind w:left="6911" w:hanging="1787"/>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z w:val="24"/>
          <w:szCs w:val="24"/>
          <w:u w:val="single" w:color="auto"/>
        </w:rPr>
        <w:t xml:space="preserve">             </w:t>
      </w:r>
      <w:r>
        <w:rPr>
          <w:rFonts w:ascii="宋体" w:hAnsi="宋体" w:eastAsia="宋体" w:cs="宋体"/>
          <w:spacing w:val="-3"/>
          <w:sz w:val="24"/>
          <w:szCs w:val="24"/>
        </w:rPr>
        <w:t>（盖单位章）</w:t>
      </w:r>
      <w:r>
        <w:rPr>
          <w:rFonts w:ascii="宋体" w:hAnsi="宋体" w:eastAsia="宋体" w:cs="宋体"/>
          <w:sz w:val="24"/>
          <w:szCs w:val="24"/>
          <w:u w:val="single" w:color="auto"/>
        </w:rPr>
        <w:tab/>
      </w:r>
      <w:r>
        <w:rPr>
          <w:rFonts w:ascii="宋体" w:hAnsi="宋体" w:eastAsia="宋体" w:cs="宋体"/>
          <w:spacing w:val="-108"/>
          <w:sz w:val="24"/>
          <w:szCs w:val="24"/>
        </w:rPr>
        <w:t xml:space="preserve"> </w:t>
      </w:r>
      <w:r>
        <w:rPr>
          <w:rFonts w:ascii="宋体" w:hAnsi="宋体" w:eastAsia="宋体" w:cs="宋体"/>
          <w:spacing w:val="-26"/>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6"/>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26"/>
          <w:sz w:val="24"/>
          <w:szCs w:val="24"/>
        </w:rPr>
        <w:t>日</w:t>
      </w:r>
    </w:p>
    <w:p w14:paraId="3A832497">
      <w:pPr>
        <w:pStyle w:val="2"/>
        <w:spacing w:line="241" w:lineRule="auto"/>
      </w:pPr>
    </w:p>
    <w:p w14:paraId="5F367A66">
      <w:pPr>
        <w:pStyle w:val="2"/>
        <w:spacing w:line="241" w:lineRule="auto"/>
      </w:pPr>
    </w:p>
    <w:p w14:paraId="71C46AAA">
      <w:pPr>
        <w:pStyle w:val="2"/>
        <w:spacing w:line="241" w:lineRule="auto"/>
      </w:pPr>
    </w:p>
    <w:p w14:paraId="3EF79833">
      <w:pPr>
        <w:pStyle w:val="2"/>
        <w:spacing w:line="241" w:lineRule="auto"/>
      </w:pPr>
    </w:p>
    <w:p w14:paraId="0A91DD71">
      <w:pPr>
        <w:pStyle w:val="2"/>
        <w:spacing w:line="241" w:lineRule="auto"/>
      </w:pPr>
    </w:p>
    <w:p w14:paraId="7F949152">
      <w:pPr>
        <w:pStyle w:val="2"/>
        <w:spacing w:line="241" w:lineRule="auto"/>
      </w:pPr>
    </w:p>
    <w:p w14:paraId="64646EAB">
      <w:pPr>
        <w:pStyle w:val="2"/>
        <w:spacing w:line="241" w:lineRule="auto"/>
      </w:pPr>
    </w:p>
    <w:p w14:paraId="7F2FDDC3">
      <w:pPr>
        <w:pStyle w:val="2"/>
        <w:spacing w:line="241" w:lineRule="auto"/>
      </w:pPr>
    </w:p>
    <w:p w14:paraId="17224C7C">
      <w:pPr>
        <w:pStyle w:val="2"/>
        <w:spacing w:line="241" w:lineRule="auto"/>
      </w:pPr>
    </w:p>
    <w:p w14:paraId="6D46BBF6">
      <w:pPr>
        <w:pStyle w:val="2"/>
        <w:spacing w:line="242" w:lineRule="auto"/>
      </w:pPr>
    </w:p>
    <w:p w14:paraId="3E00B989">
      <w:pPr>
        <w:pStyle w:val="2"/>
        <w:spacing w:line="242" w:lineRule="auto"/>
      </w:pPr>
    </w:p>
    <w:p w14:paraId="25305024">
      <w:pPr>
        <w:spacing w:before="68" w:line="220" w:lineRule="auto"/>
        <w:ind w:left="8"/>
        <w:rPr>
          <w:rFonts w:ascii="宋体" w:hAnsi="宋体" w:eastAsia="宋体" w:cs="宋体"/>
          <w:sz w:val="21"/>
          <w:szCs w:val="21"/>
        </w:rPr>
      </w:pPr>
      <w:r>
        <w:rPr>
          <w:rFonts w:ascii="宋体" w:hAnsi="宋体" w:eastAsia="宋体" w:cs="宋体"/>
          <w:spacing w:val="-2"/>
          <w:sz w:val="21"/>
          <w:szCs w:val="21"/>
        </w:rPr>
        <w:t>注：法定代表人必须在法定代表人身份证明上签名。</w:t>
      </w:r>
    </w:p>
    <w:p w14:paraId="5C2AA33C">
      <w:pPr>
        <w:spacing w:line="220" w:lineRule="auto"/>
        <w:rPr>
          <w:rFonts w:ascii="宋体" w:hAnsi="宋体" w:eastAsia="宋体" w:cs="宋体"/>
          <w:sz w:val="21"/>
          <w:szCs w:val="21"/>
        </w:rPr>
        <w:sectPr>
          <w:footerReference r:id="rId171" w:type="default"/>
          <w:pgSz w:w="11905" w:h="16840"/>
          <w:pgMar w:top="1182" w:right="1416" w:bottom="1171" w:left="1416" w:header="849" w:footer="937" w:gutter="0"/>
          <w:pgNumType w:fmt="decimal"/>
          <w:cols w:space="720" w:num="1"/>
        </w:sectPr>
      </w:pPr>
    </w:p>
    <w:p w14:paraId="2185D182">
      <w:pPr>
        <w:pStyle w:val="2"/>
        <w:spacing w:line="293" w:lineRule="auto"/>
      </w:pPr>
    </w:p>
    <w:p w14:paraId="7160C7BA">
      <w:pPr>
        <w:spacing w:before="88" w:line="241" w:lineRule="auto"/>
        <w:ind w:left="3352"/>
        <w:rPr>
          <w:rFonts w:hint="eastAsia" w:ascii="宋体" w:hAnsi="宋体" w:eastAsia="宋体" w:cs="宋体"/>
          <w:sz w:val="13"/>
          <w:szCs w:val="13"/>
          <w:lang w:eastAsia="zh-CN"/>
        </w:rPr>
      </w:pPr>
      <w:r>
        <w:rPr>
          <w:rFonts w:ascii="宋体" w:hAnsi="宋体" w:eastAsia="宋体" w:cs="宋体"/>
          <w:b/>
          <w:bCs/>
          <w:spacing w:val="6"/>
          <w:sz w:val="27"/>
          <w:szCs w:val="27"/>
        </w:rPr>
        <w:t>三、联合体协议书</w:t>
      </w:r>
      <w:r>
        <w:rPr>
          <w:rFonts w:hint="eastAsia" w:ascii="宋体" w:hAnsi="宋体" w:cs="宋体"/>
          <w:b/>
          <w:bCs/>
          <w:spacing w:val="6"/>
          <w:sz w:val="27"/>
          <w:szCs w:val="27"/>
          <w:lang w:eastAsia="zh-CN"/>
        </w:rPr>
        <w:t>（</w:t>
      </w:r>
      <w:r>
        <w:rPr>
          <w:rFonts w:hint="eastAsia" w:ascii="宋体" w:hAnsi="宋体" w:cs="宋体"/>
          <w:b/>
          <w:bCs/>
          <w:spacing w:val="6"/>
          <w:sz w:val="27"/>
          <w:szCs w:val="27"/>
          <w:lang w:val="en-US" w:eastAsia="zh-CN"/>
        </w:rPr>
        <w:t>如有</w:t>
      </w:r>
      <w:r>
        <w:rPr>
          <w:rFonts w:hint="eastAsia" w:ascii="宋体" w:hAnsi="宋体" w:cs="宋体"/>
          <w:b/>
          <w:bCs/>
          <w:spacing w:val="6"/>
          <w:sz w:val="27"/>
          <w:szCs w:val="27"/>
          <w:lang w:eastAsia="zh-CN"/>
        </w:rPr>
        <w:t>）</w:t>
      </w:r>
    </w:p>
    <w:p w14:paraId="14C25C11">
      <w:pPr>
        <w:tabs>
          <w:tab w:val="left" w:pos="2640"/>
        </w:tabs>
        <w:spacing w:before="235" w:line="360" w:lineRule="auto"/>
        <w:ind w:left="12" w:right="133" w:firstLine="467"/>
        <w:jc w:val="both"/>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
          <w:sz w:val="24"/>
          <w:szCs w:val="24"/>
        </w:rPr>
        <w:t>（所有成员单位名称）自愿组成</w:t>
      </w:r>
      <w:r>
        <w:rPr>
          <w:rFonts w:ascii="宋体" w:hAnsi="宋体" w:eastAsia="宋体" w:cs="宋体"/>
          <w:spacing w:val="-105"/>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67"/>
          <w:sz w:val="24"/>
          <w:szCs w:val="24"/>
        </w:rPr>
        <w:t xml:space="preserve"> </w:t>
      </w:r>
      <w:r>
        <w:rPr>
          <w:rFonts w:hint="eastAsia" w:ascii="宋体" w:hAnsi="宋体" w:cs="宋体"/>
          <w:spacing w:val="-67"/>
          <w:sz w:val="24"/>
          <w:szCs w:val="24"/>
          <w:lang w:eastAsia="zh-CN"/>
        </w:rPr>
        <w:t>（</w:t>
      </w:r>
      <w:r>
        <w:rPr>
          <w:rFonts w:ascii="宋体" w:hAnsi="宋体" w:eastAsia="宋体" w:cs="宋体"/>
          <w:spacing w:val="-2"/>
          <w:sz w:val="24"/>
          <w:szCs w:val="24"/>
        </w:rPr>
        <w:t>联合体</w:t>
      </w:r>
      <w:r>
        <w:rPr>
          <w:rFonts w:ascii="宋体" w:hAnsi="宋体" w:eastAsia="宋体" w:cs="宋体"/>
          <w:spacing w:val="-1"/>
          <w:sz w:val="24"/>
          <w:szCs w:val="24"/>
        </w:rPr>
        <w:t>名称）联合体，共同参加</w:t>
      </w:r>
      <w:r>
        <w:rPr>
          <w:rFonts w:ascii="宋体" w:hAnsi="宋体" w:eastAsia="宋体" w:cs="宋体"/>
          <w:spacing w:val="-1"/>
          <w:sz w:val="24"/>
          <w:szCs w:val="24"/>
          <w:u w:val="single" w:color="auto"/>
        </w:rPr>
        <w:t xml:space="preserve">     </w:t>
      </w:r>
      <w:r>
        <w:rPr>
          <w:rFonts w:hint="eastAsia" w:ascii="宋体" w:hAnsi="宋体" w:cs="宋体"/>
          <w:spacing w:val="-1"/>
          <w:sz w:val="24"/>
          <w:szCs w:val="24"/>
          <w:u w:val="single" w:color="auto"/>
          <w:lang w:eastAsia="zh-CN"/>
        </w:rPr>
        <w:t>（</w:t>
      </w:r>
      <w:r>
        <w:rPr>
          <w:rFonts w:ascii="宋体" w:hAnsi="宋体" w:eastAsia="宋体" w:cs="宋体"/>
          <w:spacing w:val="-1"/>
          <w:sz w:val="24"/>
          <w:szCs w:val="24"/>
          <w:u w:val="single" w:color="auto"/>
        </w:rPr>
        <w:t>项目名称</w:t>
      </w:r>
      <w:r>
        <w:rPr>
          <w:rFonts w:ascii="宋体" w:hAnsi="宋体" w:eastAsia="宋体" w:cs="宋体"/>
          <w:spacing w:val="-4"/>
          <w:sz w:val="24"/>
          <w:szCs w:val="24"/>
          <w:u w:val="single" w:color="auto"/>
        </w:rPr>
        <w:t>）</w:t>
      </w:r>
      <w:r>
        <w:rPr>
          <w:rFonts w:ascii="宋体" w:hAnsi="宋体" w:eastAsia="宋体" w:cs="宋体"/>
          <w:spacing w:val="34"/>
          <w:sz w:val="24"/>
          <w:szCs w:val="24"/>
          <w:u w:val="single" w:color="auto"/>
        </w:rPr>
        <w:t xml:space="preserve">   </w:t>
      </w:r>
      <w:r>
        <w:rPr>
          <w:rFonts w:ascii="宋体" w:hAnsi="宋体" w:eastAsia="宋体" w:cs="宋体"/>
          <w:spacing w:val="-4"/>
          <w:sz w:val="24"/>
          <w:szCs w:val="24"/>
          <w:u w:val="single" w:color="auto"/>
        </w:rPr>
        <w:t>（</w:t>
      </w:r>
      <w:r>
        <w:rPr>
          <w:rFonts w:ascii="宋体" w:hAnsi="宋体" w:eastAsia="宋体" w:cs="宋体"/>
          <w:spacing w:val="-1"/>
          <w:sz w:val="24"/>
          <w:szCs w:val="24"/>
          <w:u w:val="single" w:color="auto"/>
        </w:rPr>
        <w:t>标类或标段）</w:t>
      </w:r>
      <w:r>
        <w:rPr>
          <w:rFonts w:ascii="宋体" w:hAnsi="宋体" w:eastAsia="宋体" w:cs="宋体"/>
          <w:spacing w:val="-1"/>
          <w:sz w:val="24"/>
          <w:szCs w:val="24"/>
        </w:rPr>
        <w:t>施工投标。现就联合体</w:t>
      </w:r>
      <w:r>
        <w:rPr>
          <w:rFonts w:ascii="宋体" w:hAnsi="宋体" w:eastAsia="宋体" w:cs="宋体"/>
          <w:spacing w:val="-4"/>
          <w:sz w:val="24"/>
          <w:szCs w:val="24"/>
        </w:rPr>
        <w:t>投标事宜订立如下协议。</w:t>
      </w:r>
    </w:p>
    <w:p w14:paraId="27BDF62C">
      <w:pPr>
        <w:spacing w:before="1" w:line="218" w:lineRule="auto"/>
        <w:ind w:left="507"/>
        <w:rPr>
          <w:rFonts w:ascii="宋体" w:hAnsi="宋体" w:eastAsia="宋体" w:cs="宋体"/>
          <w:sz w:val="24"/>
          <w:szCs w:val="24"/>
        </w:rPr>
      </w:pPr>
      <w:r>
        <w:rPr>
          <w:rFonts w:ascii="宋体" w:hAnsi="宋体" w:eastAsia="宋体" w:cs="宋体"/>
          <w:spacing w:val="-4"/>
          <w:sz w:val="24"/>
          <w:szCs w:val="24"/>
        </w:rPr>
        <w:t xml:space="preserve">1. </w:t>
      </w:r>
      <w:r>
        <w:rPr>
          <w:rFonts w:ascii="宋体" w:hAnsi="宋体" w:eastAsia="宋体" w:cs="宋体"/>
          <w:spacing w:val="-4"/>
          <w:sz w:val="24"/>
          <w:szCs w:val="24"/>
          <w:u w:val="single" w:color="auto"/>
        </w:rPr>
        <w:t xml:space="preserve">        </w:t>
      </w:r>
      <w:r>
        <w:rPr>
          <w:rFonts w:ascii="宋体" w:hAnsi="宋体" w:eastAsia="宋体" w:cs="宋体"/>
          <w:spacing w:val="-4"/>
          <w:sz w:val="24"/>
          <w:szCs w:val="24"/>
        </w:rPr>
        <w:t>（某成员单位名称）为</w:t>
      </w:r>
      <w:r>
        <w:rPr>
          <w:rFonts w:ascii="宋体" w:hAnsi="宋体" w:eastAsia="宋体" w:cs="宋体"/>
          <w:spacing w:val="-99"/>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68"/>
          <w:sz w:val="24"/>
          <w:szCs w:val="24"/>
        </w:rPr>
        <w:t xml:space="preserve"> </w:t>
      </w:r>
      <w:r>
        <w:rPr>
          <w:rFonts w:hint="eastAsia" w:ascii="宋体" w:hAnsi="宋体" w:cs="宋体"/>
          <w:spacing w:val="-68"/>
          <w:sz w:val="24"/>
          <w:szCs w:val="24"/>
          <w:lang w:eastAsia="zh-CN"/>
        </w:rPr>
        <w:t>（</w:t>
      </w:r>
      <w:r>
        <w:rPr>
          <w:rFonts w:ascii="宋体" w:hAnsi="宋体" w:eastAsia="宋体" w:cs="宋体"/>
          <w:spacing w:val="-4"/>
          <w:sz w:val="24"/>
          <w:szCs w:val="24"/>
        </w:rPr>
        <w:t>联合体名称）牵头人。</w:t>
      </w:r>
    </w:p>
    <w:p w14:paraId="51740608">
      <w:pPr>
        <w:spacing w:before="183" w:line="360" w:lineRule="auto"/>
        <w:ind w:left="8" w:right="133" w:firstLine="483"/>
        <w:rPr>
          <w:rFonts w:ascii="宋体" w:hAnsi="宋体" w:eastAsia="宋体" w:cs="宋体"/>
          <w:sz w:val="24"/>
          <w:szCs w:val="24"/>
        </w:rPr>
      </w:pPr>
      <w:r>
        <w:rPr>
          <w:rFonts w:ascii="宋体" w:hAnsi="宋体" w:eastAsia="宋体" w:cs="宋体"/>
          <w:spacing w:val="1"/>
          <w:sz w:val="24"/>
          <w:szCs w:val="24"/>
        </w:rPr>
        <w:t>2. 联合体各成员授权牵头人代表联合体参加投标活动，签署文件，提交和接收相</w:t>
      </w:r>
      <w:r>
        <w:rPr>
          <w:rFonts w:ascii="宋体" w:hAnsi="宋体" w:eastAsia="宋体" w:cs="宋体"/>
          <w:spacing w:val="-7"/>
          <w:sz w:val="24"/>
          <w:szCs w:val="24"/>
        </w:rPr>
        <w:t>关的资料、信息及指示，</w:t>
      </w:r>
      <w:r>
        <w:rPr>
          <w:rFonts w:ascii="宋体" w:hAnsi="宋体" w:eastAsia="宋体" w:cs="宋体"/>
          <w:spacing w:val="-25"/>
          <w:sz w:val="24"/>
          <w:szCs w:val="24"/>
        </w:rPr>
        <w:t xml:space="preserve"> </w:t>
      </w:r>
      <w:r>
        <w:rPr>
          <w:rFonts w:ascii="宋体" w:hAnsi="宋体" w:eastAsia="宋体" w:cs="宋体"/>
          <w:spacing w:val="-7"/>
          <w:sz w:val="24"/>
          <w:szCs w:val="24"/>
        </w:rPr>
        <w:t>进行合同谈判活动，负责合同实施阶段的组织和协调工作， 以</w:t>
      </w:r>
      <w:r>
        <w:rPr>
          <w:rFonts w:ascii="宋体" w:hAnsi="宋体" w:eastAsia="宋体" w:cs="宋体"/>
          <w:spacing w:val="-3"/>
          <w:sz w:val="24"/>
          <w:szCs w:val="24"/>
        </w:rPr>
        <w:t>及处理与本招标项目有关的一切事宜。</w:t>
      </w:r>
    </w:p>
    <w:p w14:paraId="5B77E85D">
      <w:pPr>
        <w:spacing w:before="4" w:line="359" w:lineRule="auto"/>
        <w:ind w:left="15" w:right="138" w:firstLine="479"/>
        <w:rPr>
          <w:rFonts w:ascii="宋体" w:hAnsi="宋体" w:eastAsia="宋体" w:cs="宋体"/>
          <w:sz w:val="24"/>
          <w:szCs w:val="24"/>
        </w:rPr>
      </w:pPr>
      <w:r>
        <w:rPr>
          <w:rFonts w:ascii="宋体" w:hAnsi="宋体" w:eastAsia="宋体" w:cs="宋体"/>
          <w:spacing w:val="1"/>
          <w:sz w:val="24"/>
          <w:szCs w:val="24"/>
        </w:rPr>
        <w:t>3. 联合体牵头人在本项目中签署的一切文件和处理的一切事宜，联合体各成员均</w:t>
      </w:r>
      <w:r>
        <w:rPr>
          <w:rFonts w:ascii="宋体" w:hAnsi="宋体" w:eastAsia="宋体" w:cs="宋体"/>
          <w:spacing w:val="-2"/>
          <w:sz w:val="24"/>
          <w:szCs w:val="24"/>
        </w:rPr>
        <w:t>予以承认。联合体各成员将严格按照招标文件、投标文件和合同的要求全面履行义务，</w:t>
      </w:r>
      <w:r>
        <w:rPr>
          <w:rFonts w:ascii="宋体" w:hAnsi="宋体" w:eastAsia="宋体" w:cs="宋体"/>
          <w:spacing w:val="-4"/>
          <w:sz w:val="24"/>
          <w:szCs w:val="24"/>
        </w:rPr>
        <w:t>并向招标人承担连带责任。</w:t>
      </w:r>
    </w:p>
    <w:p w14:paraId="5E00A04B">
      <w:pPr>
        <w:spacing w:line="360" w:lineRule="auto"/>
        <w:ind w:left="8" w:firstLine="479"/>
        <w:rPr>
          <w:rFonts w:ascii="宋体" w:hAnsi="宋体" w:eastAsia="宋体" w:cs="宋体"/>
          <w:sz w:val="24"/>
          <w:szCs w:val="24"/>
        </w:rPr>
      </w:pPr>
      <w:r>
        <w:rPr>
          <w:rFonts w:ascii="宋体" w:hAnsi="宋体" w:eastAsia="宋体" w:cs="宋体"/>
          <w:spacing w:val="-1"/>
          <w:sz w:val="24"/>
          <w:szCs w:val="24"/>
        </w:rPr>
        <w:t>4.联合体各成员单位内部的职责分工如下：</w:t>
      </w:r>
      <w:r>
        <w:rPr>
          <w:rFonts w:ascii="宋体" w:hAnsi="宋体" w:eastAsia="宋体" w:cs="宋体"/>
          <w:spacing w:val="51"/>
          <w:sz w:val="24"/>
          <w:szCs w:val="24"/>
          <w:u w:val="single" w:color="auto"/>
        </w:rPr>
        <w:t xml:space="preserve">  </w:t>
      </w:r>
      <w:r>
        <w:rPr>
          <w:rFonts w:ascii="宋体" w:hAnsi="宋体" w:eastAsia="宋体" w:cs="宋体"/>
          <w:spacing w:val="-1"/>
          <w:sz w:val="24"/>
          <w:szCs w:val="24"/>
          <w:u w:val="single" w:color="auto"/>
        </w:rPr>
        <w:t>（牵头人名称）</w:t>
      </w:r>
      <w:r>
        <w:rPr>
          <w:rFonts w:ascii="宋体" w:hAnsi="宋体" w:eastAsia="宋体" w:cs="宋体"/>
          <w:spacing w:val="-2"/>
          <w:sz w:val="24"/>
          <w:szCs w:val="24"/>
        </w:rPr>
        <w:t>承担</w:t>
      </w:r>
      <w:r>
        <w:rPr>
          <w:rFonts w:ascii="宋体" w:hAnsi="宋体" w:eastAsia="宋体" w:cs="宋体"/>
          <w:spacing w:val="-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2"/>
          <w:sz w:val="24"/>
          <w:szCs w:val="24"/>
        </w:rPr>
        <w:t>专业工</w:t>
      </w:r>
      <w:r>
        <w:rPr>
          <w:rFonts w:ascii="宋体" w:hAnsi="宋体" w:eastAsia="宋体" w:cs="宋体"/>
          <w:spacing w:val="-13"/>
          <w:sz w:val="24"/>
          <w:szCs w:val="24"/>
        </w:rPr>
        <w:t>程，占总工程量的</w:t>
      </w:r>
      <w:r>
        <w:rPr>
          <w:rFonts w:ascii="宋体" w:hAnsi="宋体" w:eastAsia="宋体" w:cs="宋体"/>
          <w:spacing w:val="-120"/>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7"/>
          <w:sz w:val="24"/>
          <w:szCs w:val="24"/>
        </w:rPr>
        <w:t xml:space="preserve"> </w:t>
      </w:r>
      <w:r>
        <w:rPr>
          <w:rFonts w:ascii="宋体" w:hAnsi="宋体" w:eastAsia="宋体" w:cs="宋体"/>
          <w:spacing w:val="-13"/>
          <w:sz w:val="24"/>
          <w:szCs w:val="24"/>
        </w:rPr>
        <w:t>%</w:t>
      </w:r>
      <w:r>
        <w:rPr>
          <w:rFonts w:ascii="宋体" w:hAnsi="宋体" w:eastAsia="宋体" w:cs="宋体"/>
          <w:spacing w:val="-60"/>
          <w:sz w:val="24"/>
          <w:szCs w:val="24"/>
        </w:rPr>
        <w:t>；（</w:t>
      </w:r>
      <w:r>
        <w:rPr>
          <w:rFonts w:ascii="宋体" w:hAnsi="宋体" w:eastAsia="宋体" w:cs="宋体"/>
          <w:spacing w:val="-13"/>
          <w:sz w:val="24"/>
          <w:szCs w:val="24"/>
        </w:rPr>
        <w:t>成员一名称）承担</w:t>
      </w:r>
      <w:r>
        <w:rPr>
          <w:rFonts w:ascii="宋体" w:hAnsi="宋体" w:eastAsia="宋体" w:cs="宋体"/>
          <w:spacing w:val="-13"/>
          <w:sz w:val="24"/>
          <w:szCs w:val="24"/>
          <w:u w:val="single" w:color="auto"/>
        </w:rPr>
        <w:t xml:space="preserve">  </w:t>
      </w:r>
      <w:r>
        <w:rPr>
          <w:rFonts w:ascii="宋体" w:hAnsi="宋体" w:eastAsia="宋体" w:cs="宋体"/>
          <w:spacing w:val="-14"/>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4"/>
          <w:sz w:val="24"/>
          <w:szCs w:val="24"/>
        </w:rPr>
        <w:t>专业工程，占总工程量的</w:t>
      </w:r>
      <w:r>
        <w:rPr>
          <w:rFonts w:ascii="宋体" w:hAnsi="宋体" w:eastAsia="宋体" w:cs="宋体"/>
          <w:spacing w:val="-120"/>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7"/>
          <w:sz w:val="24"/>
          <w:szCs w:val="24"/>
        </w:rPr>
        <w:t xml:space="preserve"> </w:t>
      </w:r>
      <w:r>
        <w:rPr>
          <w:rFonts w:ascii="宋体" w:hAnsi="宋体" w:eastAsia="宋体" w:cs="宋体"/>
          <w:spacing w:val="-14"/>
          <w:sz w:val="24"/>
          <w:szCs w:val="24"/>
        </w:rPr>
        <w:t>%；……。</w:t>
      </w:r>
    </w:p>
    <w:p w14:paraId="156C64EE">
      <w:pPr>
        <w:spacing w:line="360" w:lineRule="auto"/>
        <w:ind w:left="8" w:right="132" w:firstLine="485"/>
        <w:rPr>
          <w:rFonts w:ascii="宋体" w:hAnsi="宋体" w:eastAsia="宋体" w:cs="宋体"/>
          <w:sz w:val="24"/>
          <w:szCs w:val="24"/>
        </w:rPr>
      </w:pPr>
      <w:r>
        <w:rPr>
          <w:rFonts w:ascii="宋体" w:hAnsi="宋体" w:eastAsia="宋体" w:cs="宋体"/>
          <w:spacing w:val="5"/>
          <w:sz w:val="24"/>
          <w:szCs w:val="24"/>
        </w:rPr>
        <w:t>5.投标工作和联合体在中标后工程实施过程中的有关费用按各自承担的工</w:t>
      </w:r>
      <w:r>
        <w:rPr>
          <w:rFonts w:ascii="宋体" w:hAnsi="宋体" w:eastAsia="宋体" w:cs="宋体"/>
          <w:spacing w:val="4"/>
          <w:sz w:val="24"/>
          <w:szCs w:val="24"/>
        </w:rPr>
        <w:t>作量分</w:t>
      </w:r>
      <w:r>
        <w:rPr>
          <w:rFonts w:ascii="宋体" w:hAnsi="宋体" w:eastAsia="宋体" w:cs="宋体"/>
          <w:spacing w:val="-11"/>
          <w:sz w:val="24"/>
          <w:szCs w:val="24"/>
        </w:rPr>
        <w:t>摊。</w:t>
      </w:r>
    </w:p>
    <w:p w14:paraId="014A7596">
      <w:pPr>
        <w:spacing w:before="2" w:line="359" w:lineRule="auto"/>
        <w:ind w:left="11" w:right="144" w:firstLine="480"/>
        <w:rPr>
          <w:rFonts w:ascii="宋体" w:hAnsi="宋体" w:eastAsia="宋体" w:cs="宋体"/>
          <w:sz w:val="24"/>
          <w:szCs w:val="24"/>
        </w:rPr>
      </w:pPr>
      <w:r>
        <w:rPr>
          <w:rFonts w:ascii="宋体" w:hAnsi="宋体" w:eastAsia="宋体" w:cs="宋体"/>
          <w:spacing w:val="1"/>
          <w:sz w:val="24"/>
          <w:szCs w:val="24"/>
        </w:rPr>
        <w:t>6. 本协议书自所有成员单位法定代表人签字并加盖单位章之日起生效，合同履行</w:t>
      </w:r>
      <w:r>
        <w:rPr>
          <w:rFonts w:ascii="宋体" w:hAnsi="宋体" w:eastAsia="宋体" w:cs="宋体"/>
          <w:spacing w:val="-6"/>
          <w:sz w:val="24"/>
          <w:szCs w:val="24"/>
        </w:rPr>
        <w:t>完毕后自动失效。</w:t>
      </w:r>
    </w:p>
    <w:p w14:paraId="0CE7175A">
      <w:pPr>
        <w:spacing w:before="1" w:line="218" w:lineRule="auto"/>
        <w:ind w:left="495"/>
        <w:rPr>
          <w:rFonts w:ascii="宋体" w:hAnsi="宋体" w:eastAsia="宋体" w:cs="宋体"/>
          <w:sz w:val="24"/>
          <w:szCs w:val="24"/>
        </w:rPr>
      </w:pPr>
      <w:r>
        <w:rPr>
          <w:rFonts w:ascii="宋体" w:hAnsi="宋体" w:eastAsia="宋体" w:cs="宋体"/>
          <w:spacing w:val="-2"/>
          <w:sz w:val="24"/>
          <w:szCs w:val="24"/>
        </w:rPr>
        <w:t>7.本协议书一式</w:t>
      </w:r>
      <w:r>
        <w:rPr>
          <w:rFonts w:ascii="宋体" w:hAnsi="宋体" w:eastAsia="宋体" w:cs="宋体"/>
          <w:spacing w:val="-115"/>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份，联合体成员和招标人各执一份。</w:t>
      </w:r>
    </w:p>
    <w:p w14:paraId="364571C0">
      <w:pPr>
        <w:spacing w:before="183" w:line="219" w:lineRule="auto"/>
        <w:ind w:left="490"/>
        <w:rPr>
          <w:rFonts w:ascii="宋体" w:hAnsi="宋体" w:eastAsia="宋体" w:cs="宋体"/>
          <w:sz w:val="24"/>
          <w:szCs w:val="24"/>
        </w:rPr>
      </w:pPr>
      <w:r>
        <w:rPr>
          <w:rFonts w:ascii="宋体" w:hAnsi="宋体" w:eastAsia="宋体" w:cs="宋体"/>
          <w:spacing w:val="-2"/>
          <w:sz w:val="24"/>
          <w:szCs w:val="24"/>
        </w:rPr>
        <w:t>联合体牵头人名称</w:t>
      </w:r>
      <w:r>
        <w:rPr>
          <w:rFonts w:ascii="宋体" w:hAnsi="宋体" w:eastAsia="宋体" w:cs="宋体"/>
          <w:sz w:val="24"/>
          <w:szCs w:val="24"/>
        </w:rPr>
        <w:t>：</w:t>
      </w:r>
      <w:r>
        <w:rPr>
          <w:rFonts w:ascii="宋体" w:hAnsi="宋体" w:eastAsia="宋体" w:cs="宋体"/>
          <w:spacing w:val="5"/>
          <w:sz w:val="24"/>
          <w:szCs w:val="24"/>
          <w:u w:val="single" w:color="auto"/>
        </w:rPr>
        <w:t xml:space="preserve">                    </w:t>
      </w:r>
      <w:r>
        <w:rPr>
          <w:rFonts w:ascii="宋体" w:hAnsi="宋体" w:eastAsia="宋体" w:cs="宋体"/>
          <w:spacing w:val="4"/>
          <w:sz w:val="24"/>
          <w:szCs w:val="24"/>
          <w:u w:val="single" w:color="auto"/>
        </w:rPr>
        <w:t xml:space="preserve">     </w:t>
      </w:r>
      <w:r>
        <w:rPr>
          <w:rFonts w:ascii="宋体" w:hAnsi="宋体" w:eastAsia="宋体" w:cs="宋体"/>
          <w:sz w:val="24"/>
          <w:szCs w:val="24"/>
        </w:rPr>
        <w:t>（</w:t>
      </w:r>
      <w:r>
        <w:rPr>
          <w:rFonts w:ascii="宋体" w:hAnsi="宋体" w:eastAsia="宋体" w:cs="宋体"/>
          <w:spacing w:val="-2"/>
          <w:sz w:val="24"/>
          <w:szCs w:val="24"/>
        </w:rPr>
        <w:t>盖单位章）</w:t>
      </w:r>
    </w:p>
    <w:p w14:paraId="3126E129">
      <w:pPr>
        <w:spacing w:before="183" w:line="220" w:lineRule="auto"/>
        <w:ind w:left="490"/>
        <w:rPr>
          <w:rFonts w:ascii="宋体" w:hAnsi="宋体" w:eastAsia="宋体" w:cs="宋体"/>
          <w:sz w:val="24"/>
          <w:szCs w:val="24"/>
        </w:rPr>
      </w:pPr>
      <w:r>
        <w:rPr>
          <w:rFonts w:ascii="宋体" w:hAnsi="宋体" w:eastAsia="宋体" w:cs="宋体"/>
          <w:spacing w:val="-3"/>
          <w:sz w:val="24"/>
          <w:szCs w:val="24"/>
        </w:rPr>
        <w:t>法定代表人</w:t>
      </w:r>
      <w:r>
        <w:rPr>
          <w:rFonts w:ascii="宋体" w:hAnsi="宋体" w:eastAsia="宋体" w:cs="宋体"/>
          <w:sz w:val="24"/>
          <w:szCs w:val="24"/>
        </w:rPr>
        <w:t>：</w:t>
      </w:r>
      <w:r>
        <w:rPr>
          <w:rFonts w:ascii="宋体" w:hAnsi="宋体" w:eastAsia="宋体" w:cs="宋体"/>
          <w:spacing w:val="4"/>
          <w:sz w:val="24"/>
          <w:szCs w:val="24"/>
          <w:u w:val="single" w:color="auto"/>
        </w:rPr>
        <w:t xml:space="preserve">                             </w:t>
      </w:r>
      <w:r>
        <w:rPr>
          <w:rFonts w:ascii="宋体" w:hAnsi="宋体" w:eastAsia="宋体" w:cs="宋体"/>
          <w:sz w:val="24"/>
          <w:szCs w:val="24"/>
        </w:rPr>
        <w:t>（</w:t>
      </w:r>
      <w:r>
        <w:rPr>
          <w:rFonts w:ascii="宋体" w:hAnsi="宋体" w:eastAsia="宋体" w:cs="宋体"/>
          <w:spacing w:val="-3"/>
          <w:sz w:val="24"/>
          <w:szCs w:val="24"/>
        </w:rPr>
        <w:t>签字）</w:t>
      </w:r>
    </w:p>
    <w:p w14:paraId="42DF54B9">
      <w:pPr>
        <w:pStyle w:val="2"/>
        <w:spacing w:line="284" w:lineRule="auto"/>
      </w:pPr>
    </w:p>
    <w:p w14:paraId="3D96BEB7">
      <w:pPr>
        <w:pStyle w:val="2"/>
        <w:spacing w:line="284" w:lineRule="auto"/>
      </w:pPr>
    </w:p>
    <w:p w14:paraId="6B5611AA">
      <w:pPr>
        <w:spacing w:before="79" w:line="219" w:lineRule="auto"/>
        <w:ind w:left="490"/>
        <w:rPr>
          <w:rFonts w:ascii="宋体" w:hAnsi="宋体" w:eastAsia="宋体" w:cs="宋体"/>
          <w:sz w:val="24"/>
          <w:szCs w:val="24"/>
        </w:rPr>
      </w:pPr>
      <w:r>
        <w:rPr>
          <w:rFonts w:ascii="宋体" w:hAnsi="宋体" w:eastAsia="宋体" w:cs="宋体"/>
          <w:spacing w:val="-2"/>
          <w:sz w:val="24"/>
          <w:szCs w:val="24"/>
        </w:rPr>
        <w:t>联合体成员一名称</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2"/>
          <w:sz w:val="24"/>
          <w:szCs w:val="24"/>
        </w:rPr>
        <w:t>盖单位章）</w:t>
      </w:r>
    </w:p>
    <w:p w14:paraId="162C418D">
      <w:pPr>
        <w:spacing w:before="183" w:line="220" w:lineRule="auto"/>
        <w:ind w:left="490"/>
        <w:rPr>
          <w:rFonts w:ascii="宋体" w:hAnsi="宋体" w:eastAsia="宋体" w:cs="宋体"/>
          <w:sz w:val="24"/>
          <w:szCs w:val="24"/>
        </w:rPr>
      </w:pPr>
      <w:r>
        <w:rPr>
          <w:rFonts w:ascii="宋体" w:hAnsi="宋体" w:eastAsia="宋体" w:cs="宋体"/>
          <w:spacing w:val="-3"/>
          <w:sz w:val="24"/>
          <w:szCs w:val="24"/>
        </w:rPr>
        <w:t>法定代表人</w:t>
      </w:r>
      <w:r>
        <w:rPr>
          <w:rFonts w:ascii="宋体" w:hAnsi="宋体" w:eastAsia="宋体" w:cs="宋体"/>
          <w:sz w:val="24"/>
          <w:szCs w:val="24"/>
        </w:rPr>
        <w:t>：</w:t>
      </w:r>
      <w:r>
        <w:rPr>
          <w:rFonts w:ascii="宋体" w:hAnsi="宋体" w:eastAsia="宋体" w:cs="宋体"/>
          <w:spacing w:val="4"/>
          <w:sz w:val="24"/>
          <w:szCs w:val="24"/>
          <w:u w:val="single" w:color="auto"/>
        </w:rPr>
        <w:t xml:space="preserve">                              </w:t>
      </w:r>
      <w:r>
        <w:rPr>
          <w:rFonts w:ascii="宋体" w:hAnsi="宋体" w:eastAsia="宋体" w:cs="宋体"/>
          <w:sz w:val="24"/>
          <w:szCs w:val="24"/>
        </w:rPr>
        <w:t>（</w:t>
      </w:r>
      <w:r>
        <w:rPr>
          <w:rFonts w:ascii="宋体" w:hAnsi="宋体" w:eastAsia="宋体" w:cs="宋体"/>
          <w:spacing w:val="-3"/>
          <w:sz w:val="24"/>
          <w:szCs w:val="24"/>
        </w:rPr>
        <w:t>签字）</w:t>
      </w:r>
    </w:p>
    <w:p w14:paraId="11B92042">
      <w:pPr>
        <w:pStyle w:val="2"/>
        <w:spacing w:line="284" w:lineRule="auto"/>
      </w:pPr>
    </w:p>
    <w:p w14:paraId="228CF12D">
      <w:pPr>
        <w:pStyle w:val="2"/>
        <w:spacing w:line="284" w:lineRule="auto"/>
      </w:pPr>
    </w:p>
    <w:p w14:paraId="5D20B1B0">
      <w:pPr>
        <w:spacing w:before="79" w:line="219" w:lineRule="auto"/>
        <w:ind w:left="490"/>
        <w:rPr>
          <w:rFonts w:ascii="宋体" w:hAnsi="宋体" w:eastAsia="宋体" w:cs="宋体"/>
          <w:sz w:val="24"/>
          <w:szCs w:val="24"/>
        </w:rPr>
      </w:pPr>
      <w:r>
        <w:rPr>
          <w:rFonts w:ascii="宋体" w:hAnsi="宋体" w:eastAsia="宋体" w:cs="宋体"/>
          <w:spacing w:val="-2"/>
          <w:sz w:val="24"/>
          <w:szCs w:val="24"/>
        </w:rPr>
        <w:t>联合体成员二名称</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2"/>
          <w:sz w:val="24"/>
          <w:szCs w:val="24"/>
        </w:rPr>
        <w:t>盖单位章）</w:t>
      </w:r>
    </w:p>
    <w:p w14:paraId="7F2FA8E3">
      <w:pPr>
        <w:spacing w:before="183" w:line="220" w:lineRule="auto"/>
        <w:ind w:left="490"/>
        <w:rPr>
          <w:rFonts w:ascii="宋体" w:hAnsi="宋体" w:eastAsia="宋体" w:cs="宋体"/>
          <w:sz w:val="24"/>
          <w:szCs w:val="24"/>
        </w:rPr>
      </w:pPr>
      <w:r>
        <w:rPr>
          <w:rFonts w:ascii="宋体" w:hAnsi="宋体" w:eastAsia="宋体" w:cs="宋体"/>
          <w:spacing w:val="-3"/>
          <w:sz w:val="24"/>
          <w:szCs w:val="24"/>
        </w:rPr>
        <w:t>法定代表人</w:t>
      </w:r>
      <w:r>
        <w:rPr>
          <w:rFonts w:ascii="宋体" w:hAnsi="宋体" w:eastAsia="宋体" w:cs="宋体"/>
          <w:sz w:val="24"/>
          <w:szCs w:val="24"/>
        </w:rPr>
        <w:t>：</w:t>
      </w:r>
      <w:r>
        <w:rPr>
          <w:rFonts w:ascii="宋体" w:hAnsi="宋体" w:eastAsia="宋体" w:cs="宋体"/>
          <w:spacing w:val="4"/>
          <w:sz w:val="24"/>
          <w:szCs w:val="24"/>
          <w:u w:val="single" w:color="auto"/>
        </w:rPr>
        <w:t xml:space="preserve">                              </w:t>
      </w:r>
      <w:r>
        <w:rPr>
          <w:rFonts w:ascii="宋体" w:hAnsi="宋体" w:eastAsia="宋体" w:cs="宋体"/>
          <w:sz w:val="24"/>
          <w:szCs w:val="24"/>
        </w:rPr>
        <w:t>（</w:t>
      </w:r>
      <w:r>
        <w:rPr>
          <w:rFonts w:ascii="宋体" w:hAnsi="宋体" w:eastAsia="宋体" w:cs="宋体"/>
          <w:spacing w:val="-3"/>
          <w:sz w:val="24"/>
          <w:szCs w:val="24"/>
        </w:rPr>
        <w:t>签字）</w:t>
      </w:r>
    </w:p>
    <w:p w14:paraId="292A0B29">
      <w:pPr>
        <w:pStyle w:val="2"/>
        <w:spacing w:line="279" w:lineRule="auto"/>
      </w:pPr>
    </w:p>
    <w:p w14:paraId="09F8ADFF">
      <w:pPr>
        <w:spacing w:before="79" w:line="99" w:lineRule="exact"/>
        <w:ind w:left="495"/>
        <w:rPr>
          <w:rFonts w:ascii="宋体" w:hAnsi="宋体" w:eastAsia="宋体" w:cs="宋体"/>
          <w:sz w:val="24"/>
          <w:szCs w:val="24"/>
        </w:rPr>
      </w:pPr>
      <w:r>
        <w:rPr>
          <w:rFonts w:ascii="宋体" w:hAnsi="宋体" w:eastAsia="宋体" w:cs="宋体"/>
          <w:spacing w:val="-3"/>
          <w:position w:val="1"/>
          <w:sz w:val="24"/>
          <w:szCs w:val="24"/>
        </w:rPr>
        <w:t>......</w:t>
      </w:r>
    </w:p>
    <w:p w14:paraId="799A8A90">
      <w:pPr>
        <w:tabs>
          <w:tab w:val="left" w:pos="6599"/>
        </w:tabs>
        <w:spacing w:before="191" w:line="220" w:lineRule="auto"/>
        <w:ind w:left="600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52E32F9F">
      <w:pPr>
        <w:pStyle w:val="2"/>
        <w:spacing w:line="311" w:lineRule="auto"/>
      </w:pPr>
    </w:p>
    <w:p w14:paraId="3CDFB5F4">
      <w:pPr>
        <w:spacing w:line="242" w:lineRule="auto"/>
        <w:rPr>
          <w:rFonts w:ascii="宋体" w:hAnsi="宋体" w:eastAsia="宋体" w:cs="宋体"/>
          <w:sz w:val="18"/>
          <w:szCs w:val="18"/>
        </w:rPr>
        <w:sectPr>
          <w:headerReference r:id="rId172" w:type="default"/>
          <w:footerReference r:id="rId173" w:type="default"/>
          <w:pgSz w:w="11905" w:h="16840"/>
          <w:pgMar w:top="1182" w:right="1283" w:bottom="1171" w:left="1416" w:header="849" w:footer="937" w:gutter="0"/>
          <w:pgNumType w:fmt="decimal"/>
          <w:cols w:space="720" w:num="1"/>
        </w:sectPr>
      </w:pPr>
    </w:p>
    <w:p w14:paraId="1D90FAE5">
      <w:pPr>
        <w:pStyle w:val="2"/>
        <w:spacing w:line="316" w:lineRule="auto"/>
      </w:pPr>
    </w:p>
    <w:p w14:paraId="49D878D8">
      <w:pPr>
        <w:spacing w:before="87" w:line="227" w:lineRule="auto"/>
        <w:ind w:left="3589"/>
        <w:rPr>
          <w:rFonts w:ascii="宋体" w:hAnsi="宋体" w:eastAsia="宋体" w:cs="宋体"/>
          <w:sz w:val="27"/>
          <w:szCs w:val="27"/>
        </w:rPr>
      </w:pPr>
      <w:r>
        <w:rPr>
          <w:rFonts w:ascii="宋体" w:hAnsi="宋体" w:eastAsia="宋体" w:cs="宋体"/>
          <w:b/>
          <w:bCs/>
          <w:spacing w:val="2"/>
          <w:sz w:val="27"/>
          <w:szCs w:val="27"/>
        </w:rPr>
        <w:t>四、投标保证金</w:t>
      </w:r>
    </w:p>
    <w:p w14:paraId="20DBF943">
      <w:pPr>
        <w:pStyle w:val="2"/>
        <w:spacing w:line="464" w:lineRule="auto"/>
      </w:pPr>
    </w:p>
    <w:p w14:paraId="305C68A9">
      <w:pPr>
        <w:pStyle w:val="2"/>
        <w:spacing w:line="309" w:lineRule="auto"/>
        <w:rPr>
          <w:rFonts w:hint="eastAsia" w:ascii="宋体" w:hAnsi="宋体" w:eastAsia="宋体" w:cs="宋体"/>
          <w:spacing w:val="-2"/>
          <w:sz w:val="24"/>
          <w:szCs w:val="24"/>
        </w:rPr>
      </w:pPr>
      <w:r>
        <w:rPr>
          <w:rFonts w:hint="eastAsia" w:ascii="宋体" w:hAnsi="宋体" w:eastAsia="宋体" w:cs="宋体"/>
          <w:spacing w:val="-2"/>
          <w:sz w:val="24"/>
          <w:szCs w:val="24"/>
        </w:rPr>
        <w:t>投标人应在此提供汇款凭证的复印件</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电子保函相关凭证</w:t>
      </w:r>
      <w:r>
        <w:rPr>
          <w:rFonts w:hint="eastAsia" w:ascii="宋体" w:hAnsi="宋体" w:eastAsia="宋体" w:cs="宋体"/>
          <w:spacing w:val="-2"/>
          <w:sz w:val="24"/>
          <w:szCs w:val="24"/>
          <w:lang w:val="en-US" w:eastAsia="zh-CN"/>
        </w:rPr>
        <w:t>及信用承诺书</w:t>
      </w:r>
      <w:r>
        <w:rPr>
          <w:rFonts w:hint="eastAsia" w:ascii="宋体" w:hAnsi="宋体" w:eastAsia="宋体" w:cs="宋体"/>
          <w:spacing w:val="-2"/>
          <w:sz w:val="24"/>
          <w:szCs w:val="24"/>
        </w:rPr>
        <w:t>。</w:t>
      </w:r>
    </w:p>
    <w:p w14:paraId="579D00AE">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p w14:paraId="6B79A15A">
      <w:pPr>
        <w:pStyle w:val="2"/>
        <w:spacing w:line="309" w:lineRule="auto"/>
        <w:rPr>
          <w:rFonts w:hint="eastAsia" w:ascii="宋体" w:hAnsi="宋体" w:eastAsia="宋体" w:cs="宋体"/>
          <w:spacing w:val="-2"/>
          <w:sz w:val="24"/>
          <w:szCs w:val="24"/>
        </w:rPr>
      </w:pPr>
    </w:p>
    <w:p w14:paraId="7026E45A">
      <w:pPr>
        <w:spacing w:before="88" w:line="241" w:lineRule="auto"/>
        <w:ind w:left="3352"/>
        <w:rPr>
          <w:rFonts w:ascii="宋体" w:hAnsi="宋体" w:eastAsia="宋体" w:cs="宋体"/>
          <w:b/>
          <w:bCs/>
          <w:spacing w:val="6"/>
          <w:sz w:val="27"/>
          <w:szCs w:val="27"/>
        </w:rPr>
      </w:pPr>
      <w:r>
        <w:rPr>
          <w:rFonts w:ascii="宋体" w:hAnsi="宋体" w:eastAsia="宋体" w:cs="宋体"/>
          <w:b/>
          <w:bCs/>
          <w:spacing w:val="6"/>
          <w:sz w:val="27"/>
          <w:szCs w:val="27"/>
          <w:lang w:val="en-US" w:eastAsia="zh-CN"/>
        </w:rPr>
        <w:t>信用承诺书（模板）</w:t>
      </w:r>
    </w:p>
    <w:p w14:paraId="32F20B64">
      <w:pPr>
        <w:keepNext w:val="0"/>
        <w:keepLines w:val="0"/>
        <w:widowControl/>
        <w:suppressLineNumbers w:val="0"/>
        <w:jc w:val="left"/>
        <w:rPr>
          <w:rFonts w:hint="eastAsia" w:ascii="宋体" w:hAnsi="宋体" w:eastAsia="宋体" w:cs="宋体"/>
          <w:sz w:val="28"/>
          <w:szCs w:val="28"/>
        </w:rPr>
      </w:pPr>
      <w:r>
        <w:rPr>
          <w:rFonts w:hint="eastAsia" w:ascii="宋体" w:hAnsi="宋体" w:eastAsia="宋体" w:cs="宋体"/>
          <w:snapToGrid w:val="0"/>
          <w:color w:val="000000"/>
          <w:kern w:val="0"/>
          <w:sz w:val="28"/>
          <w:szCs w:val="28"/>
          <w:u w:val="single"/>
          <w:lang w:val="en-US" w:eastAsia="zh-CN" w:bidi="ar"/>
        </w:rPr>
        <w:t xml:space="preserve">               </w:t>
      </w:r>
      <w:r>
        <w:rPr>
          <w:rFonts w:hint="eastAsia" w:ascii="宋体" w:hAnsi="宋体" w:eastAsia="宋体" w:cs="宋体"/>
          <w:snapToGrid w:val="0"/>
          <w:color w:val="000000"/>
          <w:kern w:val="0"/>
          <w:sz w:val="28"/>
          <w:szCs w:val="28"/>
          <w:lang w:val="en-US" w:eastAsia="zh-CN" w:bidi="ar"/>
        </w:rPr>
        <w:t xml:space="preserve">（招标人名称）： </w:t>
      </w:r>
    </w:p>
    <w:p w14:paraId="5F8AD748">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snapToGrid w:val="0"/>
          <w:color w:val="000000"/>
          <w:kern w:val="0"/>
          <w:sz w:val="28"/>
          <w:szCs w:val="28"/>
          <w:lang w:val="en-US" w:eastAsia="zh-CN" w:bidi="ar"/>
        </w:rPr>
        <w:t>本单位自愿参加</w:t>
      </w:r>
      <w:r>
        <w:rPr>
          <w:rFonts w:hint="eastAsia" w:ascii="宋体" w:hAnsi="宋体" w:eastAsia="宋体" w:cs="宋体"/>
          <w:snapToGrid w:val="0"/>
          <w:color w:val="000000"/>
          <w:kern w:val="0"/>
          <w:sz w:val="28"/>
          <w:szCs w:val="28"/>
          <w:u w:val="single"/>
          <w:lang w:val="en-US" w:eastAsia="zh-CN" w:bidi="ar"/>
        </w:rPr>
        <w:t xml:space="preserve">             </w:t>
      </w:r>
      <w:r>
        <w:rPr>
          <w:rFonts w:hint="eastAsia" w:ascii="宋体" w:hAnsi="宋体" w:eastAsia="宋体" w:cs="宋体"/>
          <w:snapToGrid w:val="0"/>
          <w:color w:val="000000"/>
          <w:kern w:val="0"/>
          <w:sz w:val="28"/>
          <w:szCs w:val="28"/>
          <w:lang w:val="en-US" w:eastAsia="zh-CN" w:bidi="ar"/>
        </w:rPr>
        <w:t>（标段</w:t>
      </w:r>
      <w:r>
        <w:rPr>
          <w:rFonts w:hint="eastAsia" w:ascii="宋体" w:hAnsi="宋体" w:cs="宋体"/>
          <w:snapToGrid w:val="0"/>
          <w:color w:val="000000"/>
          <w:kern w:val="0"/>
          <w:sz w:val="28"/>
          <w:szCs w:val="28"/>
          <w:lang w:val="en-US" w:eastAsia="zh-CN" w:bidi="ar"/>
        </w:rPr>
        <w:t>（</w:t>
      </w:r>
      <w:r>
        <w:rPr>
          <w:rFonts w:hint="eastAsia" w:ascii="宋体" w:hAnsi="宋体" w:eastAsia="宋体" w:cs="宋体"/>
          <w:snapToGrid w:val="0"/>
          <w:color w:val="000000"/>
          <w:kern w:val="0"/>
          <w:sz w:val="28"/>
          <w:szCs w:val="28"/>
          <w:lang w:val="en-US" w:eastAsia="zh-CN" w:bidi="ar"/>
        </w:rPr>
        <w:t>包</w:t>
      </w:r>
      <w:r>
        <w:rPr>
          <w:rFonts w:hint="eastAsia" w:ascii="宋体" w:hAnsi="宋体" w:cs="宋体"/>
          <w:snapToGrid w:val="0"/>
          <w:color w:val="000000"/>
          <w:kern w:val="0"/>
          <w:sz w:val="28"/>
          <w:szCs w:val="28"/>
          <w:lang w:val="en-US" w:eastAsia="zh-CN" w:bidi="ar"/>
        </w:rPr>
        <w:t>）</w:t>
      </w:r>
      <w:r>
        <w:rPr>
          <w:rFonts w:hint="eastAsia" w:ascii="宋体" w:hAnsi="宋体" w:eastAsia="宋体" w:cs="宋体"/>
          <w:snapToGrid w:val="0"/>
          <w:color w:val="000000"/>
          <w:kern w:val="0"/>
          <w:sz w:val="28"/>
          <w:szCs w:val="28"/>
          <w:lang w:val="en-US" w:eastAsia="zh-CN" w:bidi="ar"/>
        </w:rPr>
        <w:t xml:space="preserve">名称）投标活动，现郑重承诺如下： </w:t>
      </w:r>
    </w:p>
    <w:p w14:paraId="62A26E46">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snapToGrid w:val="0"/>
          <w:color w:val="000000"/>
          <w:kern w:val="0"/>
          <w:sz w:val="28"/>
          <w:szCs w:val="28"/>
          <w:lang w:val="en-US" w:eastAsia="zh-CN" w:bidi="ar"/>
        </w:rPr>
        <w:t xml:space="preserve">一、本单位（联合体）目前在（项目所属行业信用管理系统具体名称）的信用等级为（本单位具体信用等级，联合体具体信用等级），且没有失信记录，符合招标文件规定的“信用承诺制”替代投标保证金条件，自愿通过提供信用承诺书的方式免缴投标保证金。 </w:t>
      </w:r>
    </w:p>
    <w:p w14:paraId="5D1CE92F">
      <w:pPr>
        <w:keepNext w:val="0"/>
        <w:keepLines w:val="0"/>
        <w:widowControl/>
        <w:suppressLineNumbers w:val="0"/>
        <w:ind w:firstLine="560" w:firstLineChars="200"/>
        <w:jc w:val="left"/>
        <w:rPr>
          <w:rFonts w:hint="eastAsia" w:ascii="宋体" w:hAnsi="宋体" w:eastAsia="宋体" w:cs="宋体"/>
          <w:snapToGrid w:val="0"/>
          <w:color w:val="000000"/>
          <w:kern w:val="0"/>
          <w:sz w:val="28"/>
          <w:szCs w:val="28"/>
          <w:lang w:val="en-US" w:eastAsia="zh-CN" w:bidi="ar"/>
        </w:rPr>
      </w:pPr>
      <w:r>
        <w:rPr>
          <w:rFonts w:hint="eastAsia" w:ascii="宋体" w:hAnsi="宋体" w:eastAsia="宋体" w:cs="宋体"/>
          <w:snapToGrid w:val="0"/>
          <w:color w:val="000000"/>
          <w:kern w:val="0"/>
          <w:sz w:val="28"/>
          <w:szCs w:val="28"/>
          <w:lang w:val="en-US" w:eastAsia="zh-CN" w:bidi="ar"/>
        </w:rPr>
        <w:t>二、本单位（联合体）将严格遵守《中华人民共和国招标投标法》及其实施条例等招标投标相关法律法规及招标文件的规定，如出现法律法规及招标文件规定的不予退还投标保证金的行为，本单位（联合体）将在接到招标人书面通知后，按照招标文件规定承担相应责任，1 个月内补交投标保证金，同时自愿接受 2 年内不适用“信用承诺制”替代投标保证金方式参与云浮市工程项目投标，并将相关失信行为记入不良信用记录等处理。</w:t>
      </w:r>
    </w:p>
    <w:p w14:paraId="0F7AE88E">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snapToGrid w:val="0"/>
          <w:color w:val="000000"/>
          <w:kern w:val="0"/>
          <w:sz w:val="28"/>
          <w:szCs w:val="28"/>
          <w:lang w:val="en-US" w:eastAsia="zh-CN" w:bidi="ar"/>
        </w:rPr>
        <w:t xml:space="preserve">三、如因本单位（联合体）未按承诺履行责任造成的后果及招标人损失，由本单位承担（本单位与联合体共同承担）。 </w:t>
      </w:r>
    </w:p>
    <w:p w14:paraId="1972928D">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snapToGrid w:val="0"/>
          <w:color w:val="000000"/>
          <w:kern w:val="0"/>
          <w:sz w:val="28"/>
          <w:szCs w:val="28"/>
          <w:lang w:val="en-US" w:eastAsia="zh-CN" w:bidi="ar"/>
        </w:rPr>
        <w:t xml:space="preserve">本信用承诺书同意向社会公开，接受社会监督。 </w:t>
      </w:r>
    </w:p>
    <w:p w14:paraId="4ABAD464">
      <w:pPr>
        <w:keepNext w:val="0"/>
        <w:keepLines w:val="0"/>
        <w:widowControl/>
        <w:suppressLineNumbers w:val="0"/>
        <w:jc w:val="right"/>
        <w:rPr>
          <w:rFonts w:hint="eastAsia" w:ascii="宋体" w:hAnsi="宋体" w:eastAsia="宋体" w:cs="宋体"/>
          <w:snapToGrid w:val="0"/>
          <w:color w:val="000000"/>
          <w:kern w:val="0"/>
          <w:sz w:val="28"/>
          <w:szCs w:val="28"/>
          <w:lang w:val="en-US" w:eastAsia="zh-CN" w:bidi="ar"/>
        </w:rPr>
      </w:pPr>
      <w:r>
        <w:rPr>
          <w:rFonts w:hint="eastAsia" w:ascii="宋体" w:hAnsi="宋体" w:eastAsia="宋体" w:cs="宋体"/>
          <w:snapToGrid w:val="0"/>
          <w:color w:val="000000"/>
          <w:kern w:val="0"/>
          <w:sz w:val="28"/>
          <w:szCs w:val="28"/>
          <w:lang w:val="en-US" w:eastAsia="zh-CN" w:bidi="ar"/>
        </w:rPr>
        <w:t>投标人（或联合体牵头方）：</w:t>
      </w:r>
      <w:r>
        <w:rPr>
          <w:rFonts w:hint="eastAsia" w:ascii="宋体" w:hAnsi="宋体" w:eastAsia="宋体" w:cs="宋体"/>
          <w:snapToGrid w:val="0"/>
          <w:color w:val="000000"/>
          <w:kern w:val="0"/>
          <w:sz w:val="28"/>
          <w:szCs w:val="28"/>
          <w:u w:val="single"/>
          <w:lang w:val="en-US" w:eastAsia="zh-CN" w:bidi="ar"/>
        </w:rPr>
        <w:t xml:space="preserve">        </w:t>
      </w:r>
      <w:r>
        <w:rPr>
          <w:rFonts w:hint="eastAsia" w:ascii="宋体" w:hAnsi="宋体" w:eastAsia="宋体" w:cs="宋体"/>
          <w:snapToGrid w:val="0"/>
          <w:color w:val="000000"/>
          <w:kern w:val="0"/>
          <w:sz w:val="28"/>
          <w:szCs w:val="28"/>
          <w:lang w:val="en-US" w:eastAsia="zh-CN" w:bidi="ar"/>
        </w:rPr>
        <w:t>（盖章）</w:t>
      </w:r>
    </w:p>
    <w:p w14:paraId="4D5EEF0E">
      <w:pPr>
        <w:keepNext w:val="0"/>
        <w:keepLines w:val="0"/>
        <w:widowControl/>
        <w:suppressLineNumbers w:val="0"/>
        <w:jc w:val="right"/>
        <w:rPr>
          <w:rFonts w:hint="eastAsia" w:ascii="宋体" w:hAnsi="宋体" w:eastAsia="宋体" w:cs="宋体"/>
          <w:snapToGrid w:val="0"/>
          <w:color w:val="000000"/>
          <w:kern w:val="0"/>
          <w:sz w:val="28"/>
          <w:szCs w:val="28"/>
          <w:lang w:val="en-US" w:eastAsia="zh-CN" w:bidi="ar"/>
        </w:rPr>
      </w:pPr>
    </w:p>
    <w:p w14:paraId="26B7CE32">
      <w:pPr>
        <w:keepNext w:val="0"/>
        <w:keepLines w:val="0"/>
        <w:widowControl/>
        <w:suppressLineNumbers w:val="0"/>
        <w:jc w:val="right"/>
        <w:rPr>
          <w:rFonts w:hint="eastAsia" w:ascii="宋体" w:hAnsi="宋体" w:eastAsia="宋体" w:cs="宋体"/>
          <w:snapToGrid w:val="0"/>
          <w:color w:val="000000"/>
          <w:kern w:val="0"/>
          <w:sz w:val="28"/>
          <w:szCs w:val="28"/>
          <w:lang w:val="en-US" w:eastAsia="zh-CN" w:bidi="ar"/>
        </w:rPr>
      </w:pPr>
      <w:r>
        <w:rPr>
          <w:rFonts w:hint="eastAsia" w:ascii="宋体" w:hAnsi="宋体" w:eastAsia="宋体" w:cs="宋体"/>
          <w:snapToGrid w:val="0"/>
          <w:color w:val="000000"/>
          <w:kern w:val="0"/>
          <w:sz w:val="28"/>
          <w:szCs w:val="28"/>
          <w:lang w:val="en-US" w:eastAsia="zh-CN" w:bidi="ar"/>
        </w:rPr>
        <w:t>法定代表人（负责人）或其授权代表：</w:t>
      </w:r>
      <w:r>
        <w:rPr>
          <w:rFonts w:hint="eastAsia" w:ascii="宋体" w:hAnsi="宋体" w:eastAsia="宋体" w:cs="宋体"/>
          <w:snapToGrid w:val="0"/>
          <w:color w:val="000000"/>
          <w:kern w:val="0"/>
          <w:sz w:val="28"/>
          <w:szCs w:val="28"/>
          <w:u w:val="single"/>
          <w:lang w:val="en-US" w:eastAsia="zh-CN" w:bidi="ar"/>
        </w:rPr>
        <w:t xml:space="preserve">        </w:t>
      </w:r>
      <w:r>
        <w:rPr>
          <w:rFonts w:hint="eastAsia" w:ascii="宋体" w:hAnsi="宋体" w:eastAsia="宋体" w:cs="宋体"/>
          <w:snapToGrid w:val="0"/>
          <w:color w:val="000000"/>
          <w:kern w:val="0"/>
          <w:sz w:val="28"/>
          <w:szCs w:val="28"/>
          <w:lang w:val="en-US" w:eastAsia="zh-CN" w:bidi="ar"/>
        </w:rPr>
        <w:t>（签名或盖章）</w:t>
      </w:r>
    </w:p>
    <w:p w14:paraId="1DA983F3">
      <w:pPr>
        <w:keepNext w:val="0"/>
        <w:keepLines w:val="0"/>
        <w:widowControl/>
        <w:suppressLineNumbers w:val="0"/>
        <w:jc w:val="right"/>
        <w:rPr>
          <w:rFonts w:hint="eastAsia" w:ascii="宋体" w:hAnsi="宋体" w:eastAsia="宋体" w:cs="宋体"/>
          <w:snapToGrid w:val="0"/>
          <w:color w:val="000000"/>
          <w:kern w:val="0"/>
          <w:sz w:val="28"/>
          <w:szCs w:val="28"/>
          <w:lang w:val="en-US" w:eastAsia="zh-CN" w:bidi="ar"/>
        </w:rPr>
      </w:pPr>
    </w:p>
    <w:p w14:paraId="3E94214E">
      <w:pPr>
        <w:keepNext w:val="0"/>
        <w:keepLines w:val="0"/>
        <w:widowControl/>
        <w:suppressLineNumbers w:val="0"/>
        <w:jc w:val="right"/>
        <w:rPr>
          <w:rFonts w:hint="eastAsia" w:ascii="宋体" w:hAnsi="宋体" w:eastAsia="宋体" w:cs="宋体"/>
          <w:sz w:val="28"/>
          <w:szCs w:val="28"/>
        </w:rPr>
      </w:pPr>
      <w:r>
        <w:rPr>
          <w:rFonts w:hint="eastAsia" w:ascii="宋体" w:hAnsi="宋体" w:eastAsia="宋体" w:cs="宋体"/>
          <w:snapToGrid w:val="0"/>
          <w:color w:val="000000"/>
          <w:kern w:val="0"/>
          <w:sz w:val="28"/>
          <w:szCs w:val="28"/>
          <w:lang w:val="en-US" w:eastAsia="zh-CN" w:bidi="ar"/>
        </w:rPr>
        <w:t xml:space="preserve">日期： 年 月 日 </w:t>
      </w:r>
    </w:p>
    <w:p w14:paraId="3B95755C">
      <w:pPr>
        <w:keepNext w:val="0"/>
        <w:keepLines w:val="0"/>
        <w:widowControl/>
        <w:suppressLineNumbers w:val="0"/>
        <w:jc w:val="left"/>
        <w:rPr>
          <w:rFonts w:hint="eastAsia" w:ascii="宋体" w:hAnsi="宋体" w:eastAsia="宋体" w:cs="宋体"/>
          <w:sz w:val="28"/>
          <w:szCs w:val="28"/>
        </w:rPr>
      </w:pPr>
      <w:r>
        <w:rPr>
          <w:rFonts w:hint="eastAsia" w:ascii="宋体" w:hAnsi="宋体" w:eastAsia="宋体" w:cs="宋体"/>
          <w:snapToGrid w:val="0"/>
          <w:color w:val="000000"/>
          <w:kern w:val="0"/>
          <w:sz w:val="28"/>
          <w:szCs w:val="28"/>
          <w:lang w:val="en-US" w:eastAsia="zh-CN" w:bidi="ar"/>
        </w:rPr>
        <w:t>注：以联合体形式参与投标的，本信用承诺书由联合体牵头单位出具，联合体各方承担连带责任。</w:t>
      </w:r>
    </w:p>
    <w:p w14:paraId="46165415">
      <w:pPr>
        <w:pStyle w:val="2"/>
        <w:spacing w:line="309" w:lineRule="auto"/>
        <w:rPr>
          <w:rFonts w:hint="eastAsia" w:ascii="宋体" w:hAnsi="宋体" w:eastAsia="宋体" w:cs="宋体"/>
          <w:spacing w:val="-2"/>
          <w:sz w:val="24"/>
          <w:szCs w:val="24"/>
        </w:rPr>
      </w:pPr>
    </w:p>
    <w:p w14:paraId="4F6C52B4">
      <w:pPr>
        <w:pStyle w:val="2"/>
        <w:spacing w:line="309" w:lineRule="auto"/>
      </w:pPr>
    </w:p>
    <w:p w14:paraId="1D5A82A3">
      <w:pPr>
        <w:pStyle w:val="2"/>
        <w:spacing w:line="293" w:lineRule="auto"/>
      </w:pPr>
    </w:p>
    <w:p w14:paraId="45DFDDF3">
      <w:pPr>
        <w:spacing w:line="217" w:lineRule="auto"/>
        <w:rPr>
          <w:rFonts w:ascii="宋体" w:hAnsi="宋体" w:eastAsia="宋体" w:cs="宋体"/>
          <w:sz w:val="18"/>
          <w:szCs w:val="18"/>
        </w:rPr>
        <w:sectPr>
          <w:headerReference r:id="rId174" w:type="default"/>
          <w:footerReference r:id="rId175" w:type="default"/>
          <w:pgSz w:w="11905" w:h="16840"/>
          <w:pgMar w:top="1182" w:right="1312" w:bottom="1171" w:left="1416" w:header="849" w:footer="937" w:gutter="0"/>
          <w:pgNumType w:fmt="decimal"/>
          <w:cols w:space="720" w:num="1"/>
        </w:sectPr>
      </w:pPr>
    </w:p>
    <w:p w14:paraId="7BEC0E08">
      <w:pPr>
        <w:pStyle w:val="2"/>
        <w:spacing w:line="293" w:lineRule="auto"/>
      </w:pPr>
    </w:p>
    <w:p w14:paraId="5DD00C65">
      <w:pPr>
        <w:spacing w:before="88" w:line="242" w:lineRule="auto"/>
        <w:jc w:val="center"/>
        <w:rPr>
          <w:rFonts w:ascii="宋体" w:hAnsi="宋体" w:eastAsia="宋体" w:cs="宋体"/>
          <w:sz w:val="13"/>
          <w:szCs w:val="13"/>
        </w:rPr>
      </w:pPr>
      <w:r>
        <w:rPr>
          <w:rFonts w:ascii="宋体" w:hAnsi="宋体" w:eastAsia="宋体" w:cs="宋体"/>
          <w:b/>
          <w:bCs/>
          <w:spacing w:val="7"/>
          <w:sz w:val="27"/>
          <w:szCs w:val="27"/>
        </w:rPr>
        <w:t>五、施工组织设计</w:t>
      </w:r>
      <w:r>
        <w:rPr>
          <w:rFonts w:hint="eastAsia" w:ascii="宋体" w:hAnsi="宋体" w:cs="宋体"/>
          <w:b/>
          <w:bCs/>
          <w:spacing w:val="7"/>
          <w:sz w:val="27"/>
          <w:szCs w:val="27"/>
          <w:lang w:val="en-US" w:eastAsia="zh-CN"/>
        </w:rPr>
        <w:t>及</w:t>
      </w:r>
      <w:r>
        <w:rPr>
          <w:rFonts w:ascii="宋体" w:hAnsi="宋体" w:eastAsia="宋体" w:cs="宋体"/>
          <w:b/>
          <w:bCs/>
          <w:spacing w:val="7"/>
          <w:sz w:val="27"/>
          <w:szCs w:val="27"/>
          <w:u w:val="single" w:color="auto"/>
        </w:rPr>
        <w:t>承包人项目管理方案</w:t>
      </w:r>
    </w:p>
    <w:p w14:paraId="776581A3">
      <w:pPr>
        <w:pStyle w:val="2"/>
        <w:spacing w:line="257" w:lineRule="auto"/>
      </w:pPr>
    </w:p>
    <w:p w14:paraId="6F604D18">
      <w:pPr>
        <w:pStyle w:val="2"/>
        <w:spacing w:line="257" w:lineRule="auto"/>
      </w:pPr>
    </w:p>
    <w:p w14:paraId="50AB7C1B">
      <w:pPr>
        <w:spacing w:before="88" w:line="226" w:lineRule="auto"/>
        <w:ind w:left="3351"/>
        <w:rPr>
          <w:rFonts w:ascii="宋体" w:hAnsi="宋体" w:eastAsia="宋体" w:cs="宋体"/>
          <w:sz w:val="27"/>
          <w:szCs w:val="27"/>
        </w:rPr>
      </w:pPr>
      <w:r>
        <w:rPr>
          <w:rFonts w:ascii="宋体" w:hAnsi="宋体" w:eastAsia="宋体" w:cs="宋体"/>
          <w:b/>
          <w:bCs/>
          <w:spacing w:val="6"/>
          <w:sz w:val="27"/>
          <w:szCs w:val="27"/>
        </w:rPr>
        <w:t>第一部分</w:t>
      </w:r>
      <w:r>
        <w:rPr>
          <w:rFonts w:ascii="宋体" w:hAnsi="宋体" w:eastAsia="宋体" w:cs="宋体"/>
          <w:spacing w:val="6"/>
          <w:sz w:val="27"/>
          <w:szCs w:val="27"/>
        </w:rPr>
        <w:t xml:space="preserve"> </w:t>
      </w:r>
      <w:r>
        <w:rPr>
          <w:rFonts w:ascii="宋体" w:hAnsi="宋体" w:eastAsia="宋体" w:cs="宋体"/>
          <w:b/>
          <w:bCs/>
          <w:spacing w:val="6"/>
          <w:sz w:val="27"/>
          <w:szCs w:val="27"/>
        </w:rPr>
        <w:t>施工组织设计</w:t>
      </w:r>
    </w:p>
    <w:p w14:paraId="46A8D23D">
      <w:pPr>
        <w:spacing w:before="234" w:line="360" w:lineRule="auto"/>
        <w:ind w:left="8" w:right="13" w:firstLine="484"/>
        <w:jc w:val="both"/>
        <w:rPr>
          <w:rFonts w:ascii="宋体" w:hAnsi="宋体" w:eastAsia="宋体" w:cs="宋体"/>
          <w:sz w:val="24"/>
          <w:szCs w:val="24"/>
        </w:rPr>
      </w:pPr>
      <w:r>
        <w:rPr>
          <w:rFonts w:ascii="宋体" w:hAnsi="宋体" w:eastAsia="宋体" w:cs="宋体"/>
          <w:spacing w:val="-2"/>
          <w:sz w:val="24"/>
          <w:szCs w:val="24"/>
        </w:rPr>
        <w:t>一、根据《广东省高速公路工程施工组织设计和施工方</w:t>
      </w:r>
      <w:r>
        <w:rPr>
          <w:rFonts w:ascii="宋体" w:hAnsi="宋体" w:eastAsia="宋体" w:cs="宋体"/>
          <w:spacing w:val="-3"/>
          <w:sz w:val="24"/>
          <w:szCs w:val="24"/>
        </w:rPr>
        <w:t>案标准化管理指南》《广东</w:t>
      </w:r>
      <w:r>
        <w:rPr>
          <w:rFonts w:ascii="宋体" w:hAnsi="宋体" w:eastAsia="宋体" w:cs="宋体"/>
          <w:spacing w:val="-2"/>
          <w:sz w:val="24"/>
          <w:szCs w:val="24"/>
        </w:rPr>
        <w:t>省公路工程施工标准化指南》及《广东省高速公路工程施工安全标准化指南》《公路工</w:t>
      </w:r>
      <w:r>
        <w:rPr>
          <w:rFonts w:ascii="宋体" w:hAnsi="宋体" w:eastAsia="宋体" w:cs="宋体"/>
          <w:spacing w:val="-5"/>
          <w:sz w:val="24"/>
          <w:szCs w:val="24"/>
        </w:rPr>
        <w:t>程施工安全防护设施技术指南》， 投标人应按以下要点编制施工组织设计，契合项目实</w:t>
      </w:r>
      <w:r>
        <w:rPr>
          <w:rFonts w:ascii="宋体" w:hAnsi="宋体" w:eastAsia="宋体" w:cs="宋体"/>
          <w:spacing w:val="-7"/>
          <w:sz w:val="24"/>
          <w:szCs w:val="24"/>
        </w:rPr>
        <w:t>际，突出重点，抓住关键。（文字应精炼、表述须清晰，</w:t>
      </w:r>
      <w:r>
        <w:rPr>
          <w:rFonts w:ascii="宋体" w:hAnsi="宋体" w:eastAsia="宋体" w:cs="宋体"/>
          <w:spacing w:val="88"/>
          <w:sz w:val="24"/>
          <w:szCs w:val="24"/>
        </w:rPr>
        <w:t xml:space="preserve"> </w:t>
      </w:r>
      <w:r>
        <w:rPr>
          <w:rFonts w:ascii="宋体" w:hAnsi="宋体" w:eastAsia="宋体" w:cs="宋体"/>
          <w:spacing w:val="-7"/>
          <w:sz w:val="24"/>
          <w:szCs w:val="24"/>
        </w:rPr>
        <w:t>内容具有针对性，总体原则上控制在</w:t>
      </w:r>
      <w:r>
        <w:rPr>
          <w:rFonts w:ascii="宋体" w:hAnsi="宋体" w:eastAsia="宋体" w:cs="宋体"/>
          <w:spacing w:val="-33"/>
          <w:sz w:val="24"/>
          <w:szCs w:val="24"/>
        </w:rPr>
        <w:t xml:space="preserve"> </w:t>
      </w:r>
      <w:r>
        <w:rPr>
          <w:rFonts w:ascii="宋体" w:hAnsi="宋体" w:eastAsia="宋体" w:cs="宋体"/>
          <w:spacing w:val="-7"/>
          <w:sz w:val="24"/>
          <w:szCs w:val="24"/>
        </w:rPr>
        <w:t>15000</w:t>
      </w:r>
      <w:r>
        <w:rPr>
          <w:rFonts w:ascii="宋体" w:hAnsi="宋体" w:eastAsia="宋体" w:cs="宋体"/>
          <w:spacing w:val="-50"/>
          <w:sz w:val="24"/>
          <w:szCs w:val="24"/>
        </w:rPr>
        <w:t xml:space="preserve"> </w:t>
      </w:r>
      <w:r>
        <w:rPr>
          <w:rFonts w:ascii="宋体" w:hAnsi="宋体" w:eastAsia="宋体" w:cs="宋体"/>
          <w:spacing w:val="-7"/>
          <w:sz w:val="24"/>
          <w:szCs w:val="24"/>
        </w:rPr>
        <w:t>字以内</w:t>
      </w:r>
      <w:r>
        <w:rPr>
          <w:rFonts w:ascii="宋体" w:hAnsi="宋体" w:eastAsia="宋体" w:cs="宋体"/>
          <w:spacing w:val="-6"/>
          <w:sz w:val="24"/>
          <w:szCs w:val="24"/>
        </w:rPr>
        <w:t>）：</w:t>
      </w:r>
    </w:p>
    <w:p w14:paraId="3063ACFB">
      <w:pPr>
        <w:spacing w:before="1" w:line="218" w:lineRule="auto"/>
        <w:ind w:left="507"/>
        <w:rPr>
          <w:rFonts w:ascii="宋体" w:hAnsi="宋体" w:eastAsia="宋体" w:cs="宋体"/>
          <w:sz w:val="24"/>
          <w:szCs w:val="24"/>
        </w:rPr>
      </w:pPr>
      <w:r>
        <w:rPr>
          <w:rFonts w:ascii="宋体" w:hAnsi="宋体" w:eastAsia="宋体" w:cs="宋体"/>
          <w:spacing w:val="-2"/>
          <w:sz w:val="24"/>
          <w:szCs w:val="24"/>
        </w:rPr>
        <w:t>1、总体施工组织布置及规划</w:t>
      </w:r>
    </w:p>
    <w:p w14:paraId="7AEBDF59">
      <w:pPr>
        <w:spacing w:before="182" w:line="220" w:lineRule="auto"/>
        <w:ind w:left="489"/>
        <w:rPr>
          <w:rFonts w:ascii="宋体" w:hAnsi="宋体" w:eastAsia="宋体" w:cs="宋体"/>
          <w:sz w:val="24"/>
          <w:szCs w:val="24"/>
        </w:rPr>
      </w:pPr>
      <w:r>
        <w:rPr>
          <w:rFonts w:ascii="宋体" w:hAnsi="宋体" w:eastAsia="宋体" w:cs="宋体"/>
          <w:spacing w:val="-2"/>
          <w:sz w:val="24"/>
          <w:szCs w:val="24"/>
        </w:rPr>
        <w:t>⑴工程概况</w:t>
      </w:r>
    </w:p>
    <w:p w14:paraId="1E3622A6">
      <w:pPr>
        <w:spacing w:before="183" w:line="217" w:lineRule="auto"/>
        <w:ind w:left="488"/>
        <w:rPr>
          <w:rFonts w:ascii="宋体" w:hAnsi="宋体" w:eastAsia="宋体" w:cs="宋体"/>
          <w:sz w:val="24"/>
          <w:szCs w:val="24"/>
        </w:rPr>
      </w:pPr>
      <w:r>
        <w:rPr>
          <w:rFonts w:ascii="宋体" w:hAnsi="宋体" w:eastAsia="宋体" w:cs="宋体"/>
          <w:spacing w:val="-3"/>
          <w:sz w:val="24"/>
          <w:szCs w:val="24"/>
        </w:rPr>
        <w:t>①工程建设规模、数量等基本情况。</w:t>
      </w:r>
    </w:p>
    <w:p w14:paraId="634AF8CE">
      <w:pPr>
        <w:spacing w:before="185" w:line="360" w:lineRule="auto"/>
        <w:ind w:left="8" w:firstLine="479"/>
        <w:rPr>
          <w:rFonts w:ascii="宋体" w:hAnsi="宋体" w:eastAsia="宋体" w:cs="宋体"/>
          <w:sz w:val="24"/>
          <w:szCs w:val="24"/>
        </w:rPr>
      </w:pPr>
      <w:r>
        <w:rPr>
          <w:rFonts w:ascii="宋体" w:hAnsi="宋体" w:eastAsia="宋体" w:cs="宋体"/>
          <w:spacing w:val="-1"/>
          <w:sz w:val="24"/>
          <w:szCs w:val="24"/>
        </w:rPr>
        <w:t>②施工自然条件（包括地形地貌、水文地质与工程地质条件、气</w:t>
      </w:r>
      <w:r>
        <w:rPr>
          <w:rFonts w:ascii="宋体" w:hAnsi="宋体" w:eastAsia="宋体" w:cs="宋体"/>
          <w:spacing w:val="-2"/>
          <w:sz w:val="24"/>
          <w:szCs w:val="24"/>
        </w:rPr>
        <w:t>候气象条件等）、施工条件（运输条件、施工用水、用电和筑路材料等）。</w:t>
      </w:r>
    </w:p>
    <w:p w14:paraId="48BE4D6D">
      <w:pPr>
        <w:spacing w:before="1" w:line="217" w:lineRule="auto"/>
        <w:ind w:left="487"/>
        <w:rPr>
          <w:rFonts w:ascii="宋体" w:hAnsi="宋体" w:eastAsia="宋体" w:cs="宋体"/>
          <w:sz w:val="24"/>
          <w:szCs w:val="24"/>
        </w:rPr>
      </w:pPr>
      <w:r>
        <w:rPr>
          <w:rFonts w:ascii="宋体" w:hAnsi="宋体" w:eastAsia="宋体" w:cs="宋体"/>
          <w:spacing w:val="-3"/>
          <w:sz w:val="24"/>
          <w:szCs w:val="24"/>
        </w:rPr>
        <w:t>③工程特点及重难点工程分析与说明。</w:t>
      </w:r>
    </w:p>
    <w:p w14:paraId="78E328F8">
      <w:pPr>
        <w:spacing w:before="185" w:line="221" w:lineRule="auto"/>
        <w:ind w:left="489"/>
        <w:rPr>
          <w:rFonts w:ascii="宋体" w:hAnsi="宋体" w:eastAsia="宋体" w:cs="宋体"/>
          <w:sz w:val="24"/>
          <w:szCs w:val="24"/>
        </w:rPr>
      </w:pPr>
      <w:r>
        <w:rPr>
          <w:rFonts w:ascii="宋体" w:hAnsi="宋体" w:eastAsia="宋体" w:cs="宋体"/>
          <w:spacing w:val="-2"/>
          <w:sz w:val="24"/>
          <w:szCs w:val="24"/>
        </w:rPr>
        <w:t>⑵施工组织安排</w:t>
      </w:r>
    </w:p>
    <w:p w14:paraId="30840D6D">
      <w:pPr>
        <w:spacing w:before="181" w:line="217" w:lineRule="auto"/>
        <w:ind w:left="488"/>
        <w:rPr>
          <w:rFonts w:ascii="宋体" w:hAnsi="宋体" w:eastAsia="宋体" w:cs="宋体"/>
          <w:sz w:val="24"/>
          <w:szCs w:val="24"/>
        </w:rPr>
      </w:pPr>
      <w:r>
        <w:rPr>
          <w:rFonts w:ascii="宋体" w:hAnsi="宋体" w:eastAsia="宋体" w:cs="宋体"/>
          <w:spacing w:val="-4"/>
          <w:sz w:val="24"/>
          <w:szCs w:val="24"/>
        </w:rPr>
        <w:t>①施工管理组织机构。</w:t>
      </w:r>
    </w:p>
    <w:p w14:paraId="2B6B23DF">
      <w:pPr>
        <w:spacing w:before="186" w:line="217" w:lineRule="auto"/>
        <w:ind w:left="487"/>
        <w:rPr>
          <w:rFonts w:ascii="宋体" w:hAnsi="宋体" w:eastAsia="宋体" w:cs="宋体"/>
          <w:sz w:val="24"/>
          <w:szCs w:val="24"/>
        </w:rPr>
      </w:pPr>
      <w:r>
        <w:rPr>
          <w:rFonts w:ascii="宋体" w:hAnsi="宋体" w:eastAsia="宋体" w:cs="宋体"/>
          <w:spacing w:val="-2"/>
          <w:sz w:val="24"/>
          <w:szCs w:val="24"/>
        </w:rPr>
        <w:t>②施工区域划分、作业队伍划分和作业人数配置。</w:t>
      </w:r>
    </w:p>
    <w:p w14:paraId="1438CA95">
      <w:pPr>
        <w:spacing w:before="186" w:line="360" w:lineRule="auto"/>
        <w:ind w:left="8" w:right="13" w:firstLine="479"/>
        <w:rPr>
          <w:rFonts w:ascii="宋体" w:hAnsi="宋体" w:eastAsia="宋体" w:cs="宋体"/>
          <w:sz w:val="24"/>
          <w:szCs w:val="24"/>
        </w:rPr>
      </w:pPr>
      <w:r>
        <w:rPr>
          <w:rFonts w:ascii="宋体" w:hAnsi="宋体" w:eastAsia="宋体" w:cs="宋体"/>
          <w:spacing w:val="-2"/>
          <w:sz w:val="24"/>
          <w:szCs w:val="24"/>
        </w:rPr>
        <w:t>③大型临时设施的布置规划、主要材料供应计划、临时工程用地计划、临时用电计</w:t>
      </w:r>
      <w:r>
        <w:rPr>
          <w:rFonts w:ascii="宋体" w:hAnsi="宋体" w:eastAsia="宋体" w:cs="宋体"/>
          <w:spacing w:val="-4"/>
          <w:sz w:val="24"/>
          <w:szCs w:val="24"/>
        </w:rPr>
        <w:t>划及施工总平面布置等。</w:t>
      </w:r>
    </w:p>
    <w:p w14:paraId="7FA7035F">
      <w:pPr>
        <w:spacing w:line="220" w:lineRule="auto"/>
        <w:ind w:left="489"/>
        <w:rPr>
          <w:rFonts w:ascii="宋体" w:hAnsi="宋体" w:eastAsia="宋体" w:cs="宋体"/>
          <w:sz w:val="24"/>
          <w:szCs w:val="24"/>
        </w:rPr>
      </w:pPr>
      <w:r>
        <w:rPr>
          <w:rFonts w:ascii="宋体" w:hAnsi="宋体" w:eastAsia="宋体" w:cs="宋体"/>
          <w:spacing w:val="-2"/>
          <w:sz w:val="24"/>
          <w:szCs w:val="24"/>
        </w:rPr>
        <w:t>⑶施工进度计划</w:t>
      </w:r>
    </w:p>
    <w:p w14:paraId="4EFDE66D">
      <w:pPr>
        <w:spacing w:before="182" w:line="217" w:lineRule="auto"/>
        <w:ind w:left="488"/>
        <w:rPr>
          <w:rFonts w:ascii="宋体" w:hAnsi="宋体" w:eastAsia="宋体" w:cs="宋体"/>
          <w:sz w:val="24"/>
          <w:szCs w:val="24"/>
        </w:rPr>
      </w:pPr>
      <w:r>
        <w:rPr>
          <w:rFonts w:ascii="宋体" w:hAnsi="宋体" w:eastAsia="宋体" w:cs="宋体"/>
          <w:spacing w:val="-3"/>
          <w:sz w:val="24"/>
          <w:szCs w:val="24"/>
        </w:rPr>
        <w:t>①工期总目标及关键线路工期安排。</w:t>
      </w:r>
    </w:p>
    <w:p w14:paraId="5A81B091">
      <w:pPr>
        <w:spacing w:before="186" w:line="217" w:lineRule="auto"/>
        <w:ind w:left="487"/>
        <w:rPr>
          <w:rFonts w:ascii="宋体" w:hAnsi="宋体" w:eastAsia="宋体" w:cs="宋体"/>
          <w:sz w:val="24"/>
          <w:szCs w:val="24"/>
        </w:rPr>
      </w:pPr>
      <w:r>
        <w:rPr>
          <w:rFonts w:ascii="宋体" w:hAnsi="宋体" w:eastAsia="宋体" w:cs="宋体"/>
          <w:spacing w:val="-4"/>
          <w:sz w:val="24"/>
          <w:szCs w:val="24"/>
        </w:rPr>
        <w:t>②各分项工程工期安排。</w:t>
      </w:r>
    </w:p>
    <w:p w14:paraId="4557761B">
      <w:pPr>
        <w:spacing w:before="185" w:line="220" w:lineRule="auto"/>
        <w:ind w:left="492"/>
        <w:rPr>
          <w:rFonts w:ascii="宋体" w:hAnsi="宋体" w:eastAsia="宋体" w:cs="宋体"/>
          <w:sz w:val="24"/>
          <w:szCs w:val="24"/>
        </w:rPr>
      </w:pPr>
      <w:r>
        <w:rPr>
          <w:rFonts w:ascii="宋体" w:hAnsi="宋体" w:eastAsia="宋体" w:cs="宋体"/>
          <w:spacing w:val="-1"/>
          <w:sz w:val="24"/>
          <w:szCs w:val="24"/>
        </w:rPr>
        <w:t>2、主要工程项目的施工方案与技术措施</w:t>
      </w:r>
    </w:p>
    <w:p w14:paraId="24162325">
      <w:pPr>
        <w:spacing w:before="183" w:line="360" w:lineRule="auto"/>
        <w:ind w:left="10" w:right="25" w:firstLine="479"/>
        <w:rPr>
          <w:rFonts w:ascii="宋体" w:hAnsi="宋体" w:eastAsia="宋体" w:cs="宋体"/>
          <w:sz w:val="24"/>
          <w:szCs w:val="24"/>
        </w:rPr>
      </w:pPr>
      <w:r>
        <w:rPr>
          <w:rFonts w:ascii="宋体" w:hAnsi="宋体" w:eastAsia="宋体" w:cs="宋体"/>
          <w:spacing w:val="-2"/>
          <w:sz w:val="24"/>
          <w:szCs w:val="24"/>
        </w:rPr>
        <w:t>⑴常规的路基、路面、桥涵、隧道工程仅说明工程概况、主要施工方法（仅明确工法，一般不写施工流程、具体工艺、质量检验等内容）。</w:t>
      </w:r>
    </w:p>
    <w:p w14:paraId="65311094">
      <w:pPr>
        <w:spacing w:before="1" w:line="361" w:lineRule="auto"/>
        <w:ind w:left="11" w:right="13" w:firstLine="478"/>
        <w:jc w:val="both"/>
        <w:rPr>
          <w:rFonts w:ascii="宋体" w:hAnsi="宋体" w:eastAsia="宋体" w:cs="宋体"/>
          <w:sz w:val="24"/>
          <w:szCs w:val="24"/>
        </w:rPr>
      </w:pPr>
      <w:r>
        <w:rPr>
          <w:rFonts w:ascii="宋体" w:hAnsi="宋体" w:eastAsia="宋体" w:cs="宋体"/>
          <w:spacing w:val="-7"/>
          <w:sz w:val="24"/>
          <w:szCs w:val="24"/>
        </w:rPr>
        <w:t>⑵重点、难点和关键工程应根据本单位的施工技术水平、工装设备，</w:t>
      </w:r>
      <w:r>
        <w:rPr>
          <w:rFonts w:ascii="宋体" w:hAnsi="宋体" w:eastAsia="宋体" w:cs="宋体"/>
          <w:spacing w:val="58"/>
          <w:sz w:val="24"/>
          <w:szCs w:val="24"/>
        </w:rPr>
        <w:t xml:space="preserve"> </w:t>
      </w:r>
      <w:r>
        <w:rPr>
          <w:rFonts w:ascii="宋体" w:hAnsi="宋体" w:eastAsia="宋体" w:cs="宋体"/>
          <w:spacing w:val="-7"/>
          <w:sz w:val="24"/>
          <w:szCs w:val="24"/>
        </w:rPr>
        <w:t>积极响应《广</w:t>
      </w:r>
      <w:r>
        <w:rPr>
          <w:rFonts w:ascii="宋体" w:hAnsi="宋体" w:eastAsia="宋体" w:cs="宋体"/>
          <w:spacing w:val="-5"/>
          <w:sz w:val="24"/>
          <w:szCs w:val="24"/>
        </w:rPr>
        <w:t>东省公路工程施工标准化指南》规定， 制定针对性施工方案及技术措施，包括：工程概</w:t>
      </w:r>
      <w:r>
        <w:rPr>
          <w:rFonts w:ascii="宋体" w:hAnsi="宋体" w:eastAsia="宋体" w:cs="宋体"/>
          <w:spacing w:val="-2"/>
          <w:sz w:val="24"/>
          <w:szCs w:val="24"/>
        </w:rPr>
        <w:t>况、主要设备配置、主要施工方法、组织方式、工期安排等。</w:t>
      </w:r>
    </w:p>
    <w:p w14:paraId="4977FB94">
      <w:pPr>
        <w:spacing w:line="242" w:lineRule="auto"/>
        <w:rPr>
          <w:rFonts w:ascii="宋体" w:hAnsi="宋体" w:eastAsia="宋体" w:cs="宋体"/>
          <w:sz w:val="18"/>
          <w:szCs w:val="18"/>
        </w:rPr>
        <w:sectPr>
          <w:footerReference r:id="rId176" w:type="default"/>
          <w:pgSz w:w="11905" w:h="16840"/>
          <w:pgMar w:top="1182" w:right="1403" w:bottom="1171" w:left="1416" w:header="849" w:footer="937" w:gutter="0"/>
          <w:pgNumType w:fmt="decimal"/>
          <w:cols w:space="720" w:num="1"/>
        </w:sectPr>
      </w:pPr>
    </w:p>
    <w:p w14:paraId="2AD8096A">
      <w:pPr>
        <w:pStyle w:val="2"/>
        <w:spacing w:line="268" w:lineRule="auto"/>
      </w:pPr>
    </w:p>
    <w:p w14:paraId="21CA1FAA">
      <w:pPr>
        <w:spacing w:before="78" w:line="360" w:lineRule="auto"/>
        <w:ind w:left="10" w:right="13" w:firstLine="479"/>
        <w:rPr>
          <w:rFonts w:ascii="宋体" w:hAnsi="宋体" w:eastAsia="宋体" w:cs="宋体"/>
          <w:sz w:val="24"/>
          <w:szCs w:val="24"/>
        </w:rPr>
      </w:pPr>
      <w:r>
        <w:rPr>
          <w:rFonts w:ascii="宋体" w:hAnsi="宋体" w:eastAsia="宋体" w:cs="宋体"/>
          <w:spacing w:val="-2"/>
          <w:sz w:val="24"/>
          <w:szCs w:val="24"/>
        </w:rPr>
        <w:t>⑶本工程拟采用的“四新”技术可适当进行说明，特别是对《广东省公路工程施工标准化指南》附录“四新”技术的使用进行说明。</w:t>
      </w:r>
    </w:p>
    <w:p w14:paraId="7FBB6ECC">
      <w:pPr>
        <w:spacing w:line="220" w:lineRule="auto"/>
        <w:ind w:left="494"/>
        <w:rPr>
          <w:rFonts w:ascii="宋体" w:hAnsi="宋体" w:eastAsia="宋体" w:cs="宋体"/>
          <w:sz w:val="24"/>
          <w:szCs w:val="24"/>
        </w:rPr>
      </w:pPr>
      <w:r>
        <w:rPr>
          <w:rFonts w:ascii="宋体" w:hAnsi="宋体" w:eastAsia="宋体" w:cs="宋体"/>
          <w:spacing w:val="-2"/>
          <w:sz w:val="24"/>
          <w:szCs w:val="24"/>
        </w:rPr>
        <w:t>3、工期保证措施</w:t>
      </w:r>
    </w:p>
    <w:p w14:paraId="186E2C39">
      <w:pPr>
        <w:spacing w:before="181" w:line="219" w:lineRule="auto"/>
        <w:ind w:left="510"/>
        <w:rPr>
          <w:rFonts w:ascii="宋体" w:hAnsi="宋体" w:eastAsia="宋体" w:cs="宋体"/>
          <w:sz w:val="24"/>
          <w:szCs w:val="24"/>
        </w:rPr>
      </w:pPr>
      <w:r>
        <w:rPr>
          <w:rFonts w:ascii="宋体" w:hAnsi="宋体" w:eastAsia="宋体" w:cs="宋体"/>
          <w:spacing w:val="-2"/>
          <w:sz w:val="24"/>
          <w:szCs w:val="24"/>
        </w:rPr>
        <w:t>围绕工期目标，简要阐述影响工期的主要因</w:t>
      </w:r>
      <w:r>
        <w:rPr>
          <w:rFonts w:ascii="宋体" w:hAnsi="宋体" w:eastAsia="宋体" w:cs="宋体"/>
          <w:spacing w:val="-3"/>
          <w:sz w:val="24"/>
          <w:szCs w:val="24"/>
        </w:rPr>
        <w:t>素及相关应对措施。</w:t>
      </w:r>
    </w:p>
    <w:p w14:paraId="04892DF1">
      <w:pPr>
        <w:spacing w:before="183" w:line="220" w:lineRule="auto"/>
        <w:ind w:left="488"/>
        <w:rPr>
          <w:rFonts w:ascii="宋体" w:hAnsi="宋体" w:eastAsia="宋体" w:cs="宋体"/>
          <w:sz w:val="24"/>
          <w:szCs w:val="24"/>
        </w:rPr>
      </w:pPr>
      <w:r>
        <w:rPr>
          <w:rFonts w:ascii="宋体" w:hAnsi="宋体" w:eastAsia="宋体" w:cs="宋体"/>
          <w:spacing w:val="-1"/>
          <w:sz w:val="24"/>
          <w:szCs w:val="24"/>
        </w:rPr>
        <w:t>4、工程质量保证措施</w:t>
      </w:r>
    </w:p>
    <w:p w14:paraId="40F0C5CF">
      <w:pPr>
        <w:spacing w:before="181" w:line="360" w:lineRule="auto"/>
        <w:ind w:left="12" w:firstLine="499"/>
        <w:rPr>
          <w:rFonts w:ascii="宋体" w:hAnsi="宋体" w:eastAsia="宋体" w:cs="宋体"/>
          <w:sz w:val="24"/>
          <w:szCs w:val="24"/>
        </w:rPr>
      </w:pPr>
      <w:r>
        <w:rPr>
          <w:rFonts w:ascii="宋体" w:hAnsi="宋体" w:eastAsia="宋体" w:cs="宋体"/>
          <w:spacing w:val="-2"/>
          <w:sz w:val="24"/>
          <w:szCs w:val="24"/>
        </w:rPr>
        <w:t>明确工程质量管理目标，针对工程质量通病，简要说明拟采取</w:t>
      </w:r>
      <w:r>
        <w:rPr>
          <w:rFonts w:ascii="宋体" w:hAnsi="宋体" w:eastAsia="宋体" w:cs="宋体"/>
          <w:spacing w:val="-3"/>
          <w:sz w:val="24"/>
          <w:szCs w:val="24"/>
        </w:rPr>
        <w:t>的预防控制措施。特</w:t>
      </w:r>
      <w:r>
        <w:rPr>
          <w:rFonts w:ascii="宋体" w:hAnsi="宋体" w:eastAsia="宋体" w:cs="宋体"/>
          <w:spacing w:val="-1"/>
          <w:sz w:val="24"/>
          <w:szCs w:val="24"/>
        </w:rPr>
        <w:t>别是对《广东省公路工程施工标准化指南》附录主要质量通病</w:t>
      </w:r>
      <w:r>
        <w:rPr>
          <w:rFonts w:ascii="宋体" w:hAnsi="宋体" w:eastAsia="宋体" w:cs="宋体"/>
          <w:spacing w:val="-2"/>
          <w:sz w:val="24"/>
          <w:szCs w:val="24"/>
        </w:rPr>
        <w:t>及防止措施进行说明。</w:t>
      </w:r>
    </w:p>
    <w:p w14:paraId="7365A954">
      <w:pPr>
        <w:spacing w:before="1" w:line="219" w:lineRule="auto"/>
        <w:ind w:left="494"/>
        <w:rPr>
          <w:rFonts w:ascii="宋体" w:hAnsi="宋体" w:eastAsia="宋体" w:cs="宋体"/>
          <w:sz w:val="24"/>
          <w:szCs w:val="24"/>
        </w:rPr>
      </w:pPr>
      <w:r>
        <w:rPr>
          <w:rFonts w:ascii="宋体" w:hAnsi="宋体" w:eastAsia="宋体" w:cs="宋体"/>
          <w:spacing w:val="-2"/>
          <w:sz w:val="24"/>
          <w:szCs w:val="24"/>
        </w:rPr>
        <w:t>5、安全生产保证措施</w:t>
      </w:r>
    </w:p>
    <w:p w14:paraId="4B9A5A2D">
      <w:pPr>
        <w:spacing w:before="182" w:line="360" w:lineRule="auto"/>
        <w:ind w:left="8" w:firstLine="503"/>
        <w:rPr>
          <w:rFonts w:ascii="宋体" w:hAnsi="宋体" w:eastAsia="宋体" w:cs="宋体"/>
          <w:sz w:val="24"/>
          <w:szCs w:val="24"/>
        </w:rPr>
      </w:pPr>
      <w:r>
        <w:rPr>
          <w:rFonts w:ascii="宋体" w:hAnsi="宋体" w:eastAsia="宋体" w:cs="宋体"/>
          <w:spacing w:val="-2"/>
          <w:sz w:val="24"/>
          <w:szCs w:val="24"/>
        </w:rPr>
        <w:t>明确安全生产管理目标，针对工程主要安全风险点，简要说明</w:t>
      </w:r>
      <w:r>
        <w:rPr>
          <w:rFonts w:ascii="宋体" w:hAnsi="宋体" w:eastAsia="宋体" w:cs="宋体"/>
          <w:spacing w:val="-3"/>
          <w:sz w:val="24"/>
          <w:szCs w:val="24"/>
        </w:rPr>
        <w:t>拟采取的预防保障措</w:t>
      </w:r>
      <w:r>
        <w:rPr>
          <w:rFonts w:ascii="宋体" w:hAnsi="宋体" w:eastAsia="宋体" w:cs="宋体"/>
          <w:spacing w:val="-11"/>
          <w:sz w:val="24"/>
          <w:szCs w:val="24"/>
        </w:rPr>
        <w:t>施。</w:t>
      </w:r>
    </w:p>
    <w:p w14:paraId="418664CE">
      <w:pPr>
        <w:spacing w:before="1" w:line="219" w:lineRule="auto"/>
        <w:ind w:left="491"/>
        <w:rPr>
          <w:rFonts w:ascii="宋体" w:hAnsi="宋体" w:eastAsia="宋体" w:cs="宋体"/>
          <w:sz w:val="24"/>
          <w:szCs w:val="24"/>
        </w:rPr>
      </w:pPr>
      <w:r>
        <w:rPr>
          <w:rFonts w:ascii="宋体" w:hAnsi="宋体" w:eastAsia="宋体" w:cs="宋体"/>
          <w:spacing w:val="-1"/>
          <w:sz w:val="24"/>
          <w:szCs w:val="24"/>
        </w:rPr>
        <w:t>6、环境保护、水土保持保证措施</w:t>
      </w:r>
    </w:p>
    <w:p w14:paraId="29802972">
      <w:pPr>
        <w:spacing w:before="182" w:line="219" w:lineRule="auto"/>
        <w:ind w:left="489"/>
        <w:rPr>
          <w:rFonts w:ascii="宋体" w:hAnsi="宋体" w:eastAsia="宋体" w:cs="宋体"/>
          <w:sz w:val="24"/>
          <w:szCs w:val="24"/>
        </w:rPr>
      </w:pPr>
      <w:r>
        <w:rPr>
          <w:rFonts w:ascii="宋体" w:hAnsi="宋体" w:eastAsia="宋体" w:cs="宋体"/>
          <w:spacing w:val="-1"/>
          <w:sz w:val="24"/>
          <w:szCs w:val="24"/>
        </w:rPr>
        <w:t>针对项目环境保护、水土保持敏感点，简要说</w:t>
      </w:r>
      <w:r>
        <w:rPr>
          <w:rFonts w:ascii="宋体" w:hAnsi="宋体" w:eastAsia="宋体" w:cs="宋体"/>
          <w:spacing w:val="-2"/>
          <w:sz w:val="24"/>
          <w:szCs w:val="24"/>
        </w:rPr>
        <w:t>明拟采取的预防保障措施。</w:t>
      </w:r>
    </w:p>
    <w:p w14:paraId="7D5D2170">
      <w:pPr>
        <w:spacing w:before="183" w:line="220" w:lineRule="auto"/>
        <w:ind w:left="495"/>
        <w:rPr>
          <w:rFonts w:ascii="宋体" w:hAnsi="宋体" w:eastAsia="宋体" w:cs="宋体"/>
          <w:sz w:val="24"/>
          <w:szCs w:val="24"/>
        </w:rPr>
      </w:pPr>
      <w:r>
        <w:rPr>
          <w:rFonts w:ascii="宋体" w:hAnsi="宋体" w:eastAsia="宋体" w:cs="宋体"/>
          <w:spacing w:val="-1"/>
          <w:sz w:val="24"/>
          <w:szCs w:val="24"/>
        </w:rPr>
        <w:t>7、文明施工、文物保护保证措施</w:t>
      </w:r>
    </w:p>
    <w:p w14:paraId="31591689">
      <w:pPr>
        <w:spacing w:before="183" w:line="219" w:lineRule="auto"/>
        <w:ind w:left="489"/>
        <w:rPr>
          <w:rFonts w:ascii="宋体" w:hAnsi="宋体" w:eastAsia="宋体" w:cs="宋体"/>
          <w:sz w:val="24"/>
          <w:szCs w:val="24"/>
        </w:rPr>
      </w:pPr>
      <w:r>
        <w:rPr>
          <w:rFonts w:ascii="宋体" w:hAnsi="宋体" w:eastAsia="宋体" w:cs="宋体"/>
          <w:spacing w:val="-2"/>
          <w:sz w:val="24"/>
          <w:szCs w:val="24"/>
        </w:rPr>
        <w:t>针对文明施工和文物保护相关要求，简要说明拟采取的预防保障措施。</w:t>
      </w:r>
    </w:p>
    <w:p w14:paraId="6617A371">
      <w:pPr>
        <w:spacing w:before="182" w:line="220" w:lineRule="auto"/>
        <w:ind w:left="490"/>
        <w:rPr>
          <w:rFonts w:ascii="宋体" w:hAnsi="宋体" w:eastAsia="宋体" w:cs="宋体"/>
          <w:sz w:val="24"/>
          <w:szCs w:val="24"/>
        </w:rPr>
      </w:pPr>
      <w:r>
        <w:rPr>
          <w:rFonts w:ascii="宋体" w:hAnsi="宋体" w:eastAsia="宋体" w:cs="宋体"/>
          <w:spacing w:val="-1"/>
          <w:sz w:val="24"/>
          <w:szCs w:val="24"/>
        </w:rPr>
        <w:t>8、其他应说明的事项</w:t>
      </w:r>
    </w:p>
    <w:p w14:paraId="2237F218">
      <w:pPr>
        <w:spacing w:before="182" w:line="220" w:lineRule="auto"/>
        <w:ind w:left="491"/>
        <w:rPr>
          <w:rFonts w:ascii="宋体" w:hAnsi="宋体" w:eastAsia="宋体" w:cs="宋体"/>
          <w:sz w:val="24"/>
          <w:szCs w:val="24"/>
        </w:rPr>
      </w:pPr>
      <w:r>
        <w:rPr>
          <w:rFonts w:ascii="宋体" w:hAnsi="宋体" w:eastAsia="宋体" w:cs="宋体"/>
          <w:spacing w:val="-3"/>
          <w:sz w:val="24"/>
          <w:szCs w:val="24"/>
        </w:rPr>
        <w:t>可根据招标文件要求有选择地作出说明。</w:t>
      </w:r>
    </w:p>
    <w:p w14:paraId="50E702F6">
      <w:pPr>
        <w:spacing w:before="183" w:line="360" w:lineRule="auto"/>
        <w:ind w:left="8" w:right="13" w:firstLine="484"/>
        <w:rPr>
          <w:rFonts w:ascii="宋体" w:hAnsi="宋体" w:eastAsia="宋体" w:cs="宋体"/>
          <w:sz w:val="24"/>
          <w:szCs w:val="24"/>
        </w:rPr>
      </w:pPr>
      <w:r>
        <w:rPr>
          <w:rFonts w:ascii="宋体" w:hAnsi="宋体" w:eastAsia="宋体" w:cs="宋体"/>
          <w:spacing w:val="-7"/>
          <w:sz w:val="24"/>
          <w:szCs w:val="24"/>
        </w:rPr>
        <w:t>二、施工组织设计除采用文字表述外可附下列图表，</w:t>
      </w:r>
      <w:r>
        <w:rPr>
          <w:rFonts w:ascii="宋体" w:hAnsi="宋体" w:eastAsia="宋体" w:cs="宋体"/>
          <w:spacing w:val="69"/>
          <w:sz w:val="24"/>
          <w:szCs w:val="24"/>
        </w:rPr>
        <w:t xml:space="preserve"> </w:t>
      </w:r>
      <w:r>
        <w:rPr>
          <w:rFonts w:ascii="宋体" w:hAnsi="宋体" w:eastAsia="宋体" w:cs="宋体"/>
          <w:spacing w:val="-8"/>
          <w:sz w:val="24"/>
          <w:szCs w:val="24"/>
        </w:rPr>
        <w:t>图表及格式要求参见《公路工</w:t>
      </w:r>
      <w:r>
        <w:rPr>
          <w:rFonts w:ascii="宋体" w:hAnsi="宋体" w:eastAsia="宋体" w:cs="宋体"/>
          <w:spacing w:val="-2"/>
          <w:sz w:val="24"/>
          <w:szCs w:val="24"/>
        </w:rPr>
        <w:t>程标准施工招标文件》</w:t>
      </w:r>
      <w:r>
        <w:rPr>
          <w:rFonts w:hint="eastAsia" w:ascii="宋体" w:hAnsi="宋体" w:cs="宋体"/>
          <w:spacing w:val="-2"/>
          <w:sz w:val="24"/>
          <w:szCs w:val="24"/>
          <w:lang w:eastAsia="zh-CN"/>
        </w:rPr>
        <w:t>（</w:t>
      </w:r>
      <w:r>
        <w:rPr>
          <w:rFonts w:ascii="宋体" w:hAnsi="宋体" w:eastAsia="宋体" w:cs="宋体"/>
          <w:spacing w:val="-2"/>
          <w:sz w:val="24"/>
          <w:szCs w:val="24"/>
        </w:rPr>
        <w:t>2018</w:t>
      </w:r>
      <w:r>
        <w:rPr>
          <w:rFonts w:ascii="宋体" w:hAnsi="宋体" w:eastAsia="宋体" w:cs="宋体"/>
          <w:spacing w:val="-45"/>
          <w:sz w:val="24"/>
          <w:szCs w:val="24"/>
        </w:rPr>
        <w:t xml:space="preserve"> </w:t>
      </w:r>
      <w:r>
        <w:rPr>
          <w:rFonts w:ascii="宋体" w:hAnsi="宋体" w:eastAsia="宋体" w:cs="宋体"/>
          <w:spacing w:val="-2"/>
          <w:sz w:val="24"/>
          <w:szCs w:val="24"/>
        </w:rPr>
        <w:t>年版</w:t>
      </w:r>
      <w:r>
        <w:rPr>
          <w:rFonts w:hint="eastAsia" w:ascii="宋体" w:hAnsi="宋体" w:cs="宋体"/>
          <w:spacing w:val="-2"/>
          <w:sz w:val="24"/>
          <w:szCs w:val="24"/>
          <w:lang w:eastAsia="zh-CN"/>
        </w:rPr>
        <w:t>）</w:t>
      </w:r>
      <w:r>
        <w:rPr>
          <w:rFonts w:ascii="宋体" w:hAnsi="宋体" w:eastAsia="宋体" w:cs="宋体"/>
          <w:spacing w:val="-2"/>
          <w:sz w:val="24"/>
          <w:szCs w:val="24"/>
        </w:rPr>
        <w:t>第九章相应格式内容。</w:t>
      </w:r>
    </w:p>
    <w:p w14:paraId="60DC7BA8">
      <w:pPr>
        <w:spacing w:before="1" w:line="218" w:lineRule="auto"/>
        <w:ind w:left="508"/>
        <w:rPr>
          <w:rFonts w:ascii="宋体" w:hAnsi="宋体" w:eastAsia="宋体" w:cs="宋体"/>
          <w:sz w:val="24"/>
          <w:szCs w:val="24"/>
        </w:rPr>
      </w:pPr>
      <w:r>
        <w:rPr>
          <w:rFonts w:ascii="宋体" w:hAnsi="宋体" w:eastAsia="宋体" w:cs="宋体"/>
          <w:spacing w:val="-3"/>
          <w:sz w:val="24"/>
          <w:szCs w:val="24"/>
        </w:rPr>
        <w:t>附表一  施工总体计划表</w:t>
      </w:r>
    </w:p>
    <w:p w14:paraId="408C1968">
      <w:pPr>
        <w:spacing w:before="183" w:line="219" w:lineRule="auto"/>
        <w:ind w:left="508"/>
        <w:rPr>
          <w:rFonts w:ascii="宋体" w:hAnsi="宋体" w:eastAsia="宋体" w:cs="宋体"/>
          <w:sz w:val="24"/>
          <w:szCs w:val="24"/>
        </w:rPr>
      </w:pPr>
      <w:r>
        <w:rPr>
          <w:rFonts w:ascii="宋体" w:hAnsi="宋体" w:eastAsia="宋体" w:cs="宋体"/>
          <w:spacing w:val="-3"/>
          <w:sz w:val="24"/>
          <w:szCs w:val="24"/>
        </w:rPr>
        <w:t>附表二  分项工程进度率计划（斜率图）</w:t>
      </w:r>
    </w:p>
    <w:p w14:paraId="15EF39C8">
      <w:pPr>
        <w:spacing w:before="184" w:line="219" w:lineRule="auto"/>
        <w:ind w:left="508"/>
        <w:rPr>
          <w:rFonts w:ascii="宋体" w:hAnsi="宋体" w:eastAsia="宋体" w:cs="宋体"/>
          <w:sz w:val="24"/>
          <w:szCs w:val="24"/>
        </w:rPr>
      </w:pPr>
      <w:r>
        <w:rPr>
          <w:rFonts w:ascii="宋体" w:hAnsi="宋体" w:eastAsia="宋体" w:cs="宋体"/>
          <w:spacing w:val="-3"/>
          <w:sz w:val="24"/>
          <w:szCs w:val="24"/>
        </w:rPr>
        <w:t>附表三  工程管理曲线</w:t>
      </w:r>
    </w:p>
    <w:p w14:paraId="68C2DD00">
      <w:pPr>
        <w:spacing w:before="183" w:line="219" w:lineRule="auto"/>
        <w:ind w:left="508"/>
        <w:rPr>
          <w:rFonts w:ascii="宋体" w:hAnsi="宋体" w:eastAsia="宋体" w:cs="宋体"/>
          <w:sz w:val="24"/>
          <w:szCs w:val="24"/>
        </w:rPr>
      </w:pPr>
      <w:r>
        <w:rPr>
          <w:rFonts w:ascii="宋体" w:hAnsi="宋体" w:eastAsia="宋体" w:cs="宋体"/>
          <w:spacing w:val="-2"/>
          <w:sz w:val="24"/>
          <w:szCs w:val="24"/>
        </w:rPr>
        <w:t>附表四  分项工程生产率和施工周期表</w:t>
      </w:r>
    </w:p>
    <w:p w14:paraId="23DE9B12">
      <w:pPr>
        <w:spacing w:before="183" w:line="219" w:lineRule="auto"/>
        <w:ind w:left="508"/>
        <w:rPr>
          <w:rFonts w:ascii="宋体" w:hAnsi="宋体" w:eastAsia="宋体" w:cs="宋体"/>
          <w:sz w:val="24"/>
          <w:szCs w:val="24"/>
        </w:rPr>
      </w:pPr>
      <w:r>
        <w:rPr>
          <w:rFonts w:ascii="宋体" w:hAnsi="宋体" w:eastAsia="宋体" w:cs="宋体"/>
          <w:spacing w:val="-3"/>
          <w:sz w:val="24"/>
          <w:szCs w:val="24"/>
        </w:rPr>
        <w:t>附表五  施工总平面图</w:t>
      </w:r>
    </w:p>
    <w:p w14:paraId="79FD9793">
      <w:pPr>
        <w:spacing w:line="219" w:lineRule="auto"/>
        <w:rPr>
          <w:rFonts w:ascii="宋体" w:hAnsi="宋体" w:eastAsia="宋体" w:cs="宋体"/>
          <w:sz w:val="24"/>
          <w:szCs w:val="24"/>
        </w:rPr>
        <w:sectPr>
          <w:footerReference r:id="rId177" w:type="default"/>
          <w:pgSz w:w="11905" w:h="16840"/>
          <w:pgMar w:top="1182" w:right="1416" w:bottom="1171" w:left="1416" w:header="849" w:footer="937" w:gutter="0"/>
          <w:pgNumType w:fmt="decimal"/>
          <w:cols w:space="720" w:num="1"/>
        </w:sectPr>
      </w:pPr>
    </w:p>
    <w:p w14:paraId="72C93D52">
      <w:pPr>
        <w:pStyle w:val="2"/>
        <w:spacing w:line="252" w:lineRule="auto"/>
      </w:pPr>
    </w:p>
    <w:p w14:paraId="63DBCBB9">
      <w:pPr>
        <w:pStyle w:val="2"/>
        <w:spacing w:line="253" w:lineRule="auto"/>
      </w:pPr>
    </w:p>
    <w:p w14:paraId="2378A66B">
      <w:pPr>
        <w:pStyle w:val="2"/>
        <w:spacing w:line="253" w:lineRule="auto"/>
      </w:pPr>
    </w:p>
    <w:p w14:paraId="455CED48">
      <w:pPr>
        <w:spacing w:before="88" w:line="242" w:lineRule="auto"/>
        <w:ind w:left="2867"/>
        <w:rPr>
          <w:rFonts w:ascii="宋体" w:hAnsi="宋体" w:eastAsia="宋体" w:cs="宋体"/>
          <w:sz w:val="13"/>
          <w:szCs w:val="13"/>
        </w:rPr>
      </w:pPr>
      <w:r>
        <w:rPr>
          <w:rFonts w:ascii="宋体" w:hAnsi="宋体" w:eastAsia="宋体" w:cs="宋体"/>
          <w:b/>
          <w:bCs/>
          <w:spacing w:val="7"/>
          <w:sz w:val="27"/>
          <w:szCs w:val="27"/>
        </w:rPr>
        <w:t>第二部分</w:t>
      </w:r>
      <w:r>
        <w:rPr>
          <w:rFonts w:ascii="宋体" w:hAnsi="宋体" w:eastAsia="宋体" w:cs="宋体"/>
          <w:spacing w:val="7"/>
          <w:sz w:val="27"/>
          <w:szCs w:val="27"/>
        </w:rPr>
        <w:t xml:space="preserve"> </w:t>
      </w:r>
      <w:r>
        <w:rPr>
          <w:rFonts w:ascii="宋体" w:hAnsi="宋体" w:eastAsia="宋体" w:cs="宋体"/>
          <w:b/>
          <w:bCs/>
          <w:spacing w:val="7"/>
          <w:sz w:val="27"/>
          <w:szCs w:val="27"/>
        </w:rPr>
        <w:t>承包人项目管理方案</w:t>
      </w:r>
    </w:p>
    <w:p w14:paraId="2375AFA5">
      <w:pPr>
        <w:spacing w:before="234" w:line="360" w:lineRule="auto"/>
        <w:ind w:firstLine="496"/>
        <w:jc w:val="both"/>
        <w:rPr>
          <w:rFonts w:ascii="宋体" w:hAnsi="宋体" w:eastAsia="宋体" w:cs="宋体"/>
          <w:sz w:val="24"/>
          <w:szCs w:val="24"/>
        </w:rPr>
      </w:pPr>
      <w:r>
        <w:rPr>
          <w:rFonts w:ascii="宋体" w:hAnsi="宋体" w:eastAsia="宋体" w:cs="宋体"/>
          <w:spacing w:val="-8"/>
          <w:sz w:val="24"/>
          <w:szCs w:val="24"/>
        </w:rPr>
        <w:t>根据《广东省交通运输厅关于印发《关于推进公路建设项</w:t>
      </w:r>
      <w:r>
        <w:rPr>
          <w:rFonts w:ascii="宋体" w:hAnsi="宋体" w:eastAsia="宋体" w:cs="宋体"/>
          <w:spacing w:val="-9"/>
          <w:sz w:val="24"/>
          <w:szCs w:val="24"/>
        </w:rPr>
        <w:t>目管理改革的指导意见（试</w:t>
      </w:r>
      <w:r>
        <w:rPr>
          <w:rFonts w:ascii="宋体" w:hAnsi="宋体" w:eastAsia="宋体" w:cs="宋体"/>
          <w:spacing w:val="-4"/>
          <w:sz w:val="24"/>
          <w:szCs w:val="24"/>
        </w:rPr>
        <w:t>行）》的通知》《广东省公路工程施工项目部管理指南</w:t>
      </w:r>
      <w:r>
        <w:rPr>
          <w:rFonts w:hint="eastAsia" w:ascii="宋体" w:hAnsi="宋体" w:cs="宋体"/>
          <w:spacing w:val="-4"/>
          <w:sz w:val="24"/>
          <w:szCs w:val="24"/>
          <w:lang w:eastAsia="zh-CN"/>
        </w:rPr>
        <w:t>（</w:t>
      </w:r>
      <w:r>
        <w:rPr>
          <w:rFonts w:ascii="宋体" w:hAnsi="宋体" w:eastAsia="宋体" w:cs="宋体"/>
          <w:spacing w:val="-4"/>
          <w:sz w:val="24"/>
          <w:szCs w:val="24"/>
        </w:rPr>
        <w:t>试行</w:t>
      </w:r>
      <w:r>
        <w:rPr>
          <w:rFonts w:hint="eastAsia" w:ascii="宋体" w:hAnsi="宋体" w:cs="宋体"/>
          <w:spacing w:val="-4"/>
          <w:sz w:val="24"/>
          <w:szCs w:val="24"/>
          <w:lang w:eastAsia="zh-CN"/>
        </w:rPr>
        <w:t>）</w:t>
      </w:r>
      <w:r>
        <w:rPr>
          <w:rFonts w:ascii="宋体" w:hAnsi="宋体" w:eastAsia="宋体" w:cs="宋体"/>
          <w:spacing w:val="-4"/>
          <w:sz w:val="24"/>
          <w:szCs w:val="24"/>
        </w:rPr>
        <w:t>》等要求， 全面压实</w:t>
      </w:r>
      <w:r>
        <w:rPr>
          <w:rFonts w:ascii="宋体" w:hAnsi="宋体" w:eastAsia="宋体" w:cs="宋体"/>
          <w:spacing w:val="-5"/>
          <w:sz w:val="24"/>
          <w:szCs w:val="24"/>
        </w:rPr>
        <w:t>施工</w:t>
      </w:r>
      <w:r>
        <w:rPr>
          <w:rFonts w:ascii="宋体" w:hAnsi="宋体" w:eastAsia="宋体" w:cs="宋体"/>
          <w:spacing w:val="-1"/>
          <w:sz w:val="24"/>
          <w:szCs w:val="24"/>
        </w:rPr>
        <w:t>单位“产品生产者”的主体责任，强化施工单位与其他建设各方命运共同体意</w:t>
      </w:r>
      <w:r>
        <w:rPr>
          <w:rFonts w:ascii="宋体" w:hAnsi="宋体" w:eastAsia="宋体" w:cs="宋体"/>
          <w:spacing w:val="-2"/>
          <w:sz w:val="24"/>
          <w:szCs w:val="24"/>
        </w:rPr>
        <w:t>识、团队</w:t>
      </w:r>
      <w:r>
        <w:rPr>
          <w:rFonts w:ascii="宋体" w:hAnsi="宋体" w:eastAsia="宋体" w:cs="宋体"/>
          <w:spacing w:val="-10"/>
          <w:sz w:val="24"/>
          <w:szCs w:val="24"/>
        </w:rPr>
        <w:t>协作意识、主人翁意识，</w:t>
      </w:r>
      <w:r>
        <w:rPr>
          <w:rFonts w:ascii="宋体" w:hAnsi="宋体" w:eastAsia="宋体" w:cs="宋体"/>
          <w:spacing w:val="55"/>
          <w:sz w:val="24"/>
          <w:szCs w:val="24"/>
        </w:rPr>
        <w:t xml:space="preserve"> </w:t>
      </w:r>
      <w:r>
        <w:rPr>
          <w:rFonts w:ascii="宋体" w:hAnsi="宋体" w:eastAsia="宋体" w:cs="宋体"/>
          <w:spacing w:val="-10"/>
          <w:sz w:val="24"/>
          <w:szCs w:val="24"/>
        </w:rPr>
        <w:t>推动诚信自律、主</w:t>
      </w:r>
      <w:r>
        <w:rPr>
          <w:rFonts w:ascii="宋体" w:hAnsi="宋体" w:eastAsia="宋体" w:cs="宋体"/>
          <w:spacing w:val="-11"/>
          <w:sz w:val="24"/>
          <w:szCs w:val="24"/>
        </w:rPr>
        <w:t>动作为、恪尽其责，</w:t>
      </w:r>
      <w:r>
        <w:rPr>
          <w:rFonts w:ascii="宋体" w:hAnsi="宋体" w:eastAsia="宋体" w:cs="宋体"/>
          <w:spacing w:val="63"/>
          <w:sz w:val="24"/>
          <w:szCs w:val="24"/>
        </w:rPr>
        <w:t xml:space="preserve"> </w:t>
      </w:r>
      <w:r>
        <w:rPr>
          <w:rFonts w:ascii="宋体" w:hAnsi="宋体" w:eastAsia="宋体" w:cs="宋体"/>
          <w:spacing w:val="-11"/>
          <w:sz w:val="24"/>
          <w:szCs w:val="24"/>
        </w:rPr>
        <w:t>实现从“要我履职”到</w:t>
      </w:r>
      <w:r>
        <w:rPr>
          <w:rFonts w:ascii="宋体" w:hAnsi="宋体" w:eastAsia="宋体" w:cs="宋体"/>
          <w:spacing w:val="-1"/>
          <w:sz w:val="24"/>
          <w:szCs w:val="24"/>
        </w:rPr>
        <w:t>“我要履职”的转变，特别是作为“产品生产者”的施工单位实现从“要我优”到</w:t>
      </w:r>
      <w:r>
        <w:rPr>
          <w:rFonts w:ascii="宋体" w:hAnsi="宋体" w:eastAsia="宋体" w:cs="宋体"/>
          <w:spacing w:val="-2"/>
          <w:sz w:val="24"/>
          <w:szCs w:val="24"/>
        </w:rPr>
        <w:t>“我</w:t>
      </w:r>
      <w:r>
        <w:rPr>
          <w:rFonts w:ascii="宋体" w:hAnsi="宋体" w:eastAsia="宋体" w:cs="宋体"/>
          <w:spacing w:val="-1"/>
          <w:sz w:val="24"/>
          <w:szCs w:val="24"/>
        </w:rPr>
        <w:t>要优”的转变，切实履行主体责任，形成目标一致、各方融合、规范管理、提</w:t>
      </w:r>
      <w:r>
        <w:rPr>
          <w:rFonts w:ascii="宋体" w:hAnsi="宋体" w:eastAsia="宋体" w:cs="宋体"/>
          <w:spacing w:val="-2"/>
          <w:sz w:val="24"/>
          <w:szCs w:val="24"/>
        </w:rPr>
        <w:t>质增效的</w:t>
      </w:r>
      <w:r>
        <w:rPr>
          <w:rFonts w:ascii="宋体" w:hAnsi="宋体" w:eastAsia="宋体" w:cs="宋体"/>
          <w:spacing w:val="-1"/>
          <w:sz w:val="24"/>
          <w:szCs w:val="24"/>
        </w:rPr>
        <w:t>建设管理模式，承包人应制定项目管理方案，构建包括项目部、分包单位、劳</w:t>
      </w:r>
      <w:r>
        <w:rPr>
          <w:rFonts w:ascii="宋体" w:hAnsi="宋体" w:eastAsia="宋体" w:cs="宋体"/>
          <w:spacing w:val="-2"/>
          <w:sz w:val="24"/>
          <w:szCs w:val="24"/>
        </w:rPr>
        <w:t>务合作企</w:t>
      </w:r>
      <w:r>
        <w:rPr>
          <w:rFonts w:ascii="宋体" w:hAnsi="宋体" w:eastAsia="宋体" w:cs="宋体"/>
          <w:spacing w:val="3"/>
          <w:sz w:val="24"/>
          <w:szCs w:val="24"/>
        </w:rPr>
        <w:t>业、施工班组、材料供应商与机械设备租赁商的多层级组织管理架构，建立“管、监”</w:t>
      </w:r>
      <w:r>
        <w:rPr>
          <w:rFonts w:ascii="宋体" w:hAnsi="宋体" w:eastAsia="宋体" w:cs="宋体"/>
          <w:spacing w:val="-3"/>
          <w:sz w:val="24"/>
          <w:szCs w:val="24"/>
        </w:rPr>
        <w:t>分离的质量安全保证体系。</w:t>
      </w:r>
    </w:p>
    <w:p w14:paraId="2830D441">
      <w:pPr>
        <w:spacing w:line="360" w:lineRule="auto"/>
        <w:ind w:left="19" w:right="101" w:firstLine="480"/>
        <w:jc w:val="both"/>
        <w:rPr>
          <w:rFonts w:ascii="宋体" w:hAnsi="宋体" w:eastAsia="宋体" w:cs="宋体"/>
          <w:sz w:val="24"/>
          <w:szCs w:val="24"/>
        </w:rPr>
      </w:pPr>
      <w:r>
        <w:rPr>
          <w:rFonts w:ascii="宋体" w:hAnsi="宋体" w:eastAsia="宋体" w:cs="宋体"/>
          <w:spacing w:val="-2"/>
          <w:sz w:val="24"/>
          <w:szCs w:val="24"/>
        </w:rPr>
        <w:t>一、根据《广东省交通运输厅关于印发《关于推进公路建设项目管</w:t>
      </w:r>
      <w:r>
        <w:rPr>
          <w:rFonts w:ascii="宋体" w:hAnsi="宋体" w:eastAsia="宋体" w:cs="宋体"/>
          <w:spacing w:val="-3"/>
          <w:sz w:val="24"/>
          <w:szCs w:val="24"/>
        </w:rPr>
        <w:t>理改革的指导意</w:t>
      </w:r>
      <w:r>
        <w:rPr>
          <w:rFonts w:ascii="宋体" w:hAnsi="宋体" w:eastAsia="宋体" w:cs="宋体"/>
          <w:spacing w:val="-6"/>
          <w:sz w:val="24"/>
          <w:szCs w:val="24"/>
        </w:rPr>
        <w:t>见（试行）》的通知》的精神和《广东省公路工程施工项目部管理指南</w:t>
      </w:r>
      <w:r>
        <w:rPr>
          <w:rFonts w:hint="eastAsia" w:ascii="宋体" w:hAnsi="宋体" w:cs="宋体"/>
          <w:spacing w:val="-6"/>
          <w:sz w:val="24"/>
          <w:szCs w:val="24"/>
          <w:lang w:eastAsia="zh-CN"/>
        </w:rPr>
        <w:t>（</w:t>
      </w:r>
      <w:r>
        <w:rPr>
          <w:rFonts w:ascii="宋体" w:hAnsi="宋体" w:eastAsia="宋体" w:cs="宋体"/>
          <w:spacing w:val="-6"/>
          <w:sz w:val="24"/>
          <w:szCs w:val="24"/>
        </w:rPr>
        <w:t>试行</w:t>
      </w:r>
      <w:r>
        <w:rPr>
          <w:rFonts w:hint="eastAsia" w:ascii="宋体" w:hAnsi="宋体" w:cs="宋体"/>
          <w:spacing w:val="-6"/>
          <w:sz w:val="24"/>
          <w:szCs w:val="24"/>
          <w:lang w:eastAsia="zh-CN"/>
        </w:rPr>
        <w:t>）</w:t>
      </w:r>
      <w:r>
        <w:rPr>
          <w:rFonts w:ascii="宋体" w:hAnsi="宋体" w:eastAsia="宋体" w:cs="宋体"/>
          <w:spacing w:val="-6"/>
          <w:sz w:val="24"/>
          <w:szCs w:val="24"/>
        </w:rPr>
        <w:t>》的要求，</w:t>
      </w:r>
      <w:r>
        <w:rPr>
          <w:rFonts w:ascii="宋体" w:hAnsi="宋体" w:eastAsia="宋体" w:cs="宋体"/>
          <w:spacing w:val="-9"/>
          <w:sz w:val="24"/>
          <w:szCs w:val="24"/>
        </w:rPr>
        <w:t>投标人应按以下要点编制项目管理方案。（文字应精炼、表述须清晰， 内容具有针对性，</w:t>
      </w:r>
      <w:r>
        <w:rPr>
          <w:rFonts w:ascii="宋体" w:hAnsi="宋体" w:eastAsia="宋体" w:cs="宋体"/>
          <w:spacing w:val="-5"/>
          <w:sz w:val="24"/>
          <w:szCs w:val="24"/>
        </w:rPr>
        <w:t>总体原则上控制在</w:t>
      </w:r>
      <w:r>
        <w:rPr>
          <w:rFonts w:ascii="宋体" w:hAnsi="宋体" w:eastAsia="宋体" w:cs="宋体"/>
          <w:spacing w:val="-32"/>
          <w:sz w:val="24"/>
          <w:szCs w:val="24"/>
        </w:rPr>
        <w:t xml:space="preserve"> </w:t>
      </w:r>
      <w:r>
        <w:rPr>
          <w:rFonts w:ascii="宋体" w:hAnsi="宋体" w:eastAsia="宋体" w:cs="宋体"/>
          <w:spacing w:val="-5"/>
          <w:sz w:val="24"/>
          <w:szCs w:val="24"/>
        </w:rPr>
        <w:t>10000</w:t>
      </w:r>
      <w:r>
        <w:rPr>
          <w:rFonts w:ascii="宋体" w:hAnsi="宋体" w:eastAsia="宋体" w:cs="宋体"/>
          <w:spacing w:val="-50"/>
          <w:sz w:val="24"/>
          <w:szCs w:val="24"/>
        </w:rPr>
        <w:t xml:space="preserve"> </w:t>
      </w:r>
      <w:r>
        <w:rPr>
          <w:rFonts w:ascii="宋体" w:hAnsi="宋体" w:eastAsia="宋体" w:cs="宋体"/>
          <w:spacing w:val="-5"/>
          <w:sz w:val="24"/>
          <w:szCs w:val="24"/>
        </w:rPr>
        <w:t>字以内</w:t>
      </w:r>
      <w:r>
        <w:rPr>
          <w:rFonts w:ascii="宋体" w:hAnsi="宋体" w:eastAsia="宋体" w:cs="宋体"/>
          <w:spacing w:val="-7"/>
          <w:sz w:val="24"/>
          <w:szCs w:val="24"/>
        </w:rPr>
        <w:t>）：</w:t>
      </w:r>
    </w:p>
    <w:p w14:paraId="4BE9159F">
      <w:pPr>
        <w:spacing w:line="219" w:lineRule="auto"/>
        <w:ind w:left="514"/>
        <w:rPr>
          <w:rFonts w:ascii="宋体" w:hAnsi="宋体" w:eastAsia="宋体" w:cs="宋体"/>
          <w:sz w:val="24"/>
          <w:szCs w:val="24"/>
        </w:rPr>
      </w:pPr>
      <w:r>
        <w:rPr>
          <w:rFonts w:ascii="宋体" w:hAnsi="宋体" w:eastAsia="宋体" w:cs="宋体"/>
          <w:spacing w:val="-2"/>
          <w:sz w:val="24"/>
          <w:szCs w:val="24"/>
        </w:rPr>
        <w:t>1、项目管理总体策划（如何在项目管理中落实以下要求）</w:t>
      </w:r>
    </w:p>
    <w:p w14:paraId="15BA23F2">
      <w:pPr>
        <w:spacing w:before="182" w:line="360" w:lineRule="auto"/>
        <w:ind w:left="16" w:right="167" w:firstLine="479"/>
        <w:rPr>
          <w:rFonts w:ascii="宋体" w:hAnsi="宋体" w:eastAsia="宋体" w:cs="宋体"/>
          <w:sz w:val="24"/>
          <w:szCs w:val="24"/>
        </w:rPr>
      </w:pPr>
      <w:r>
        <w:rPr>
          <w:rFonts w:ascii="宋体" w:hAnsi="宋体" w:eastAsia="宋体" w:cs="宋体"/>
          <w:spacing w:val="-2"/>
          <w:sz w:val="24"/>
          <w:szCs w:val="24"/>
        </w:rPr>
        <w:t>施工单位是公路建设生产的具体组织实施者，应依法依规和合同约定，切实履行施</w:t>
      </w:r>
      <w:r>
        <w:rPr>
          <w:rFonts w:ascii="宋体" w:hAnsi="宋体" w:eastAsia="宋体" w:cs="宋体"/>
          <w:spacing w:val="-6"/>
          <w:sz w:val="24"/>
          <w:szCs w:val="24"/>
        </w:rPr>
        <w:t>工主体责任。施工单位应严格按照投标承诺，</w:t>
      </w:r>
      <w:r>
        <w:rPr>
          <w:rFonts w:ascii="宋体" w:hAnsi="宋体" w:eastAsia="宋体" w:cs="宋体"/>
          <w:spacing w:val="49"/>
          <w:sz w:val="24"/>
          <w:szCs w:val="24"/>
        </w:rPr>
        <w:t xml:space="preserve"> </w:t>
      </w:r>
      <w:r>
        <w:rPr>
          <w:rFonts w:ascii="宋体" w:hAnsi="宋体" w:eastAsia="宋体" w:cs="宋体"/>
          <w:spacing w:val="-6"/>
          <w:sz w:val="24"/>
          <w:szCs w:val="24"/>
        </w:rPr>
        <w:t>切实履行对项目部的管理职责，从资源调配、管理统筹、技术支持等方面提供全方位支持保障，</w:t>
      </w:r>
      <w:r>
        <w:rPr>
          <w:rFonts w:ascii="宋体" w:hAnsi="宋体" w:eastAsia="宋体" w:cs="宋体"/>
          <w:spacing w:val="49"/>
          <w:sz w:val="24"/>
          <w:szCs w:val="24"/>
        </w:rPr>
        <w:t xml:space="preserve"> </w:t>
      </w:r>
      <w:r>
        <w:rPr>
          <w:rFonts w:ascii="宋体" w:hAnsi="宋体" w:eastAsia="宋体" w:cs="宋体"/>
          <w:spacing w:val="-6"/>
          <w:sz w:val="24"/>
          <w:szCs w:val="24"/>
        </w:rPr>
        <w:t>对施工组织总体策划等重要事项</w:t>
      </w:r>
      <w:r>
        <w:rPr>
          <w:rFonts w:ascii="宋体" w:hAnsi="宋体" w:eastAsia="宋体" w:cs="宋体"/>
          <w:spacing w:val="-2"/>
          <w:sz w:val="24"/>
          <w:szCs w:val="24"/>
        </w:rPr>
        <w:t>提级管理，建立公开透明的内部监管机制，制定过程监管措施，定期对项目部的履约情况进行检查指导，检查结果及时上报建设、监理单位。</w:t>
      </w:r>
    </w:p>
    <w:p w14:paraId="22581AC1">
      <w:pPr>
        <w:spacing w:before="1" w:line="219" w:lineRule="auto"/>
        <w:ind w:left="499"/>
        <w:rPr>
          <w:rFonts w:ascii="宋体" w:hAnsi="宋体" w:eastAsia="宋体" w:cs="宋体"/>
          <w:sz w:val="24"/>
          <w:szCs w:val="24"/>
        </w:rPr>
      </w:pPr>
      <w:r>
        <w:rPr>
          <w:rFonts w:ascii="宋体" w:hAnsi="宋体" w:eastAsia="宋体" w:cs="宋体"/>
          <w:spacing w:val="-1"/>
          <w:sz w:val="24"/>
          <w:szCs w:val="24"/>
        </w:rPr>
        <w:t>2、构建多层级项目组织管理架构（如何在项目管理中落实以下要求）</w:t>
      </w:r>
    </w:p>
    <w:p w14:paraId="267FAF64">
      <w:pPr>
        <w:spacing w:before="182" w:line="360" w:lineRule="auto"/>
        <w:ind w:left="16" w:right="80" w:firstLine="483"/>
        <w:rPr>
          <w:rFonts w:ascii="宋体" w:hAnsi="宋体" w:eastAsia="宋体" w:cs="宋体"/>
          <w:sz w:val="24"/>
          <w:szCs w:val="24"/>
        </w:rPr>
      </w:pPr>
      <w:r>
        <w:rPr>
          <w:rFonts w:ascii="宋体" w:hAnsi="宋体" w:eastAsia="宋体" w:cs="宋体"/>
          <w:spacing w:val="-2"/>
          <w:sz w:val="24"/>
          <w:szCs w:val="24"/>
        </w:rPr>
        <w:t>项目部应构建包括分包单位、劳务合作企业、施工班组、材料供应商与机械设备租</w:t>
      </w:r>
      <w:r>
        <w:rPr>
          <w:rFonts w:ascii="宋体" w:hAnsi="宋体" w:eastAsia="宋体" w:cs="宋体"/>
          <w:spacing w:val="-5"/>
          <w:sz w:val="24"/>
          <w:szCs w:val="24"/>
        </w:rPr>
        <w:t>赁商的多层级组织管理架构，建立“管、监”分离的</w:t>
      </w:r>
      <w:r>
        <w:rPr>
          <w:rFonts w:ascii="宋体" w:hAnsi="宋体" w:eastAsia="宋体" w:cs="宋体"/>
          <w:spacing w:val="-6"/>
          <w:sz w:val="24"/>
          <w:szCs w:val="24"/>
        </w:rPr>
        <w:t>质量安全保证体系，确保在项目部、</w:t>
      </w:r>
      <w:r>
        <w:rPr>
          <w:rFonts w:ascii="宋体" w:hAnsi="宋体" w:eastAsia="宋体" w:cs="宋体"/>
          <w:spacing w:val="-1"/>
          <w:sz w:val="24"/>
          <w:szCs w:val="24"/>
        </w:rPr>
        <w:t>分包单位以及劳务合作企业各层级均有效运行</w:t>
      </w:r>
      <w:r>
        <w:rPr>
          <w:rFonts w:ascii="宋体" w:hAnsi="宋体" w:eastAsia="宋体" w:cs="宋体"/>
          <w:spacing w:val="-2"/>
          <w:sz w:val="24"/>
          <w:szCs w:val="24"/>
        </w:rPr>
        <w:t>，防止保证体系“空转”。</w:t>
      </w:r>
    </w:p>
    <w:p w14:paraId="3D10972B">
      <w:pPr>
        <w:spacing w:before="1" w:line="219" w:lineRule="auto"/>
        <w:ind w:left="501"/>
        <w:rPr>
          <w:rFonts w:ascii="宋体" w:hAnsi="宋体" w:eastAsia="宋体" w:cs="宋体"/>
          <w:sz w:val="24"/>
          <w:szCs w:val="24"/>
        </w:rPr>
      </w:pPr>
      <w:r>
        <w:rPr>
          <w:rFonts w:ascii="宋体" w:hAnsi="宋体" w:eastAsia="宋体" w:cs="宋体"/>
          <w:spacing w:val="-1"/>
          <w:sz w:val="24"/>
          <w:szCs w:val="24"/>
        </w:rPr>
        <w:t>3、强化施工过程管理（如何在项目管理中落实以</w:t>
      </w:r>
      <w:r>
        <w:rPr>
          <w:rFonts w:ascii="宋体" w:hAnsi="宋体" w:eastAsia="宋体" w:cs="宋体"/>
          <w:spacing w:val="-2"/>
          <w:sz w:val="24"/>
          <w:szCs w:val="24"/>
        </w:rPr>
        <w:t>下要求）</w:t>
      </w:r>
    </w:p>
    <w:p w14:paraId="57D57A97">
      <w:pPr>
        <w:spacing w:before="182" w:line="362" w:lineRule="auto"/>
        <w:ind w:left="17" w:right="167" w:firstLine="478"/>
        <w:rPr>
          <w:rFonts w:ascii="宋体" w:hAnsi="宋体" w:eastAsia="宋体" w:cs="宋体"/>
          <w:sz w:val="24"/>
          <w:szCs w:val="24"/>
        </w:rPr>
      </w:pPr>
      <w:r>
        <w:rPr>
          <w:rFonts w:ascii="宋体" w:hAnsi="宋体" w:eastAsia="宋体" w:cs="宋体"/>
          <w:spacing w:val="-2"/>
          <w:sz w:val="24"/>
          <w:szCs w:val="24"/>
        </w:rPr>
        <w:t>对未分包由施工单位直接负责的工程，施工单位应强化施工自管的主体地位，实现技术、人员、材料、机械设备、资金等全要素“一竿子到底”的穿透式管控，确保质量</w:t>
      </w:r>
    </w:p>
    <w:p w14:paraId="159BC305">
      <w:pPr>
        <w:spacing w:line="242" w:lineRule="auto"/>
        <w:rPr>
          <w:rFonts w:ascii="宋体" w:hAnsi="宋体" w:eastAsia="宋体" w:cs="宋体"/>
          <w:sz w:val="18"/>
          <w:szCs w:val="18"/>
        </w:rPr>
        <w:sectPr>
          <w:headerReference r:id="rId178" w:type="default"/>
          <w:footerReference r:id="rId179" w:type="default"/>
          <w:pgSz w:w="11905" w:h="16840"/>
          <w:pgMar w:top="1182" w:right="1248" w:bottom="1171" w:left="1408" w:header="849" w:footer="937" w:gutter="0"/>
          <w:pgNumType w:fmt="decimal"/>
          <w:cols w:space="720" w:num="1"/>
        </w:sectPr>
      </w:pPr>
    </w:p>
    <w:p w14:paraId="644A2CC3">
      <w:pPr>
        <w:pStyle w:val="2"/>
        <w:spacing w:line="267" w:lineRule="auto"/>
      </w:pPr>
    </w:p>
    <w:p w14:paraId="500D4244">
      <w:pPr>
        <w:spacing w:before="78" w:line="219" w:lineRule="auto"/>
        <w:ind w:left="14"/>
        <w:rPr>
          <w:rFonts w:ascii="宋体" w:hAnsi="宋体" w:eastAsia="宋体" w:cs="宋体"/>
          <w:sz w:val="24"/>
          <w:szCs w:val="24"/>
        </w:rPr>
      </w:pPr>
      <w:r>
        <w:rPr>
          <w:rFonts w:ascii="宋体" w:hAnsi="宋体" w:eastAsia="宋体" w:cs="宋体"/>
          <w:spacing w:val="-2"/>
          <w:sz w:val="24"/>
          <w:szCs w:val="24"/>
        </w:rPr>
        <w:t>安全保证体系有效运转，真正实现“自己干、自己管”。</w:t>
      </w:r>
    </w:p>
    <w:p w14:paraId="5C102FC1">
      <w:pPr>
        <w:spacing w:before="183" w:line="360" w:lineRule="auto"/>
        <w:ind w:left="9" w:right="37" w:firstLine="479"/>
        <w:jc w:val="both"/>
        <w:rPr>
          <w:rFonts w:ascii="宋体" w:hAnsi="宋体" w:eastAsia="宋体" w:cs="宋体"/>
          <w:sz w:val="24"/>
          <w:szCs w:val="24"/>
        </w:rPr>
      </w:pPr>
      <w:r>
        <w:rPr>
          <w:rFonts w:ascii="宋体" w:hAnsi="宋体" w:eastAsia="宋体" w:cs="宋体"/>
          <w:spacing w:val="-6"/>
          <w:sz w:val="24"/>
          <w:szCs w:val="24"/>
        </w:rPr>
        <w:t>切实加强对分包单位及施工班组管理的透明</w:t>
      </w:r>
      <w:r>
        <w:rPr>
          <w:rFonts w:ascii="宋体" w:hAnsi="宋体" w:eastAsia="宋体" w:cs="宋体"/>
          <w:spacing w:val="-7"/>
          <w:sz w:val="24"/>
          <w:szCs w:val="24"/>
        </w:rPr>
        <w:t>化、规范化，</w:t>
      </w:r>
      <w:r>
        <w:rPr>
          <w:rFonts w:ascii="宋体" w:hAnsi="宋体" w:eastAsia="宋体" w:cs="宋体"/>
          <w:spacing w:val="55"/>
          <w:sz w:val="24"/>
          <w:szCs w:val="24"/>
        </w:rPr>
        <w:t xml:space="preserve"> </w:t>
      </w:r>
      <w:r>
        <w:rPr>
          <w:rFonts w:ascii="宋体" w:hAnsi="宋体" w:eastAsia="宋体" w:cs="宋体"/>
          <w:spacing w:val="-7"/>
          <w:sz w:val="24"/>
          <w:szCs w:val="24"/>
        </w:rPr>
        <w:t>不得“以包代管、包而不</w:t>
      </w:r>
      <w:r>
        <w:rPr>
          <w:rFonts w:ascii="宋体" w:hAnsi="宋体" w:eastAsia="宋体" w:cs="宋体"/>
          <w:spacing w:val="-2"/>
          <w:sz w:val="24"/>
          <w:szCs w:val="24"/>
        </w:rPr>
        <w:t>管”，重点抓好对施工分包单位的分包工程质量、安全、进度、资金使用和管理行为等</w:t>
      </w:r>
      <w:r>
        <w:rPr>
          <w:rFonts w:ascii="宋体" w:hAnsi="宋体" w:eastAsia="宋体" w:cs="宋体"/>
          <w:spacing w:val="-1"/>
          <w:sz w:val="24"/>
          <w:szCs w:val="24"/>
        </w:rPr>
        <w:t>全过程管理，加强对其内控管理体系和主要人员履约、设备、材</w:t>
      </w:r>
      <w:r>
        <w:rPr>
          <w:rFonts w:ascii="宋体" w:hAnsi="宋体" w:eastAsia="宋体" w:cs="宋体"/>
          <w:spacing w:val="-2"/>
          <w:sz w:val="24"/>
          <w:szCs w:val="24"/>
        </w:rPr>
        <w:t>料等穿透式管理。</w:t>
      </w:r>
    </w:p>
    <w:p w14:paraId="57C44A71">
      <w:pPr>
        <w:spacing w:line="360" w:lineRule="auto"/>
        <w:ind w:left="9" w:right="38" w:firstLine="479"/>
        <w:jc w:val="both"/>
        <w:rPr>
          <w:rFonts w:ascii="宋体" w:hAnsi="宋体" w:eastAsia="宋体" w:cs="宋体"/>
          <w:sz w:val="24"/>
          <w:szCs w:val="24"/>
        </w:rPr>
      </w:pPr>
      <w:r>
        <w:rPr>
          <w:rFonts w:ascii="宋体" w:hAnsi="宋体" w:eastAsia="宋体" w:cs="宋体"/>
          <w:spacing w:val="-2"/>
          <w:sz w:val="24"/>
          <w:szCs w:val="24"/>
        </w:rPr>
        <w:t>施工单位应对分包单位和劳务合作企业的失信行为负主要责任，要做好相关信用管理，按要求开展信用评价工作并建立台账，定期上报评价结果，相关信用行为纳入行业</w:t>
      </w:r>
      <w:r>
        <w:rPr>
          <w:rFonts w:ascii="宋体" w:hAnsi="宋体" w:eastAsia="宋体" w:cs="宋体"/>
          <w:spacing w:val="-4"/>
          <w:sz w:val="24"/>
          <w:szCs w:val="24"/>
        </w:rPr>
        <w:t>信用“红黑名单”管理。</w:t>
      </w:r>
    </w:p>
    <w:p w14:paraId="33AF0C86">
      <w:pPr>
        <w:spacing w:line="219" w:lineRule="auto"/>
        <w:ind w:left="488"/>
        <w:rPr>
          <w:rFonts w:ascii="宋体" w:hAnsi="宋体" w:eastAsia="宋体" w:cs="宋体"/>
          <w:sz w:val="24"/>
          <w:szCs w:val="24"/>
        </w:rPr>
      </w:pPr>
      <w:r>
        <w:rPr>
          <w:rFonts w:ascii="宋体" w:hAnsi="宋体" w:eastAsia="宋体" w:cs="宋体"/>
          <w:spacing w:val="-1"/>
          <w:sz w:val="24"/>
          <w:szCs w:val="24"/>
        </w:rPr>
        <w:t>4、强化施工组织设计和施工方案管理（如何在项目管理中落实以下要求）</w:t>
      </w:r>
    </w:p>
    <w:p w14:paraId="5C95FE01">
      <w:pPr>
        <w:spacing w:before="182" w:line="360" w:lineRule="auto"/>
        <w:ind w:left="10" w:firstLine="478"/>
        <w:rPr>
          <w:rFonts w:ascii="宋体" w:hAnsi="宋体" w:eastAsia="宋体" w:cs="宋体"/>
          <w:sz w:val="24"/>
          <w:szCs w:val="24"/>
        </w:rPr>
      </w:pPr>
      <w:r>
        <w:rPr>
          <w:rFonts w:ascii="宋体" w:hAnsi="宋体" w:eastAsia="宋体" w:cs="宋体"/>
          <w:spacing w:val="-1"/>
          <w:sz w:val="24"/>
          <w:szCs w:val="24"/>
        </w:rPr>
        <w:t>施工单位要按照《广东省高速公路工程施工组织设计和施工方案标准化管理指南》的相关要求，确保施工组织设计、施工方案和资金安排科学合理，实施管理严肃规范，</w:t>
      </w:r>
      <w:r>
        <w:rPr>
          <w:rFonts w:ascii="宋体" w:hAnsi="宋体" w:eastAsia="宋体" w:cs="宋体"/>
          <w:spacing w:val="-2"/>
          <w:sz w:val="24"/>
          <w:szCs w:val="24"/>
        </w:rPr>
        <w:t>严格按照经审批的施工组织设计和方案施工，不得“编一套，做一套”，坚决杜绝方案</w:t>
      </w:r>
      <w:r>
        <w:rPr>
          <w:rFonts w:ascii="宋体" w:hAnsi="宋体" w:eastAsia="宋体" w:cs="宋体"/>
          <w:spacing w:val="-3"/>
          <w:sz w:val="24"/>
          <w:szCs w:val="24"/>
        </w:rPr>
        <w:t>编制审批与实施“两张皮”现象。</w:t>
      </w:r>
    </w:p>
    <w:p w14:paraId="37A5ED4D">
      <w:pPr>
        <w:spacing w:before="1" w:line="219" w:lineRule="auto"/>
        <w:ind w:left="494"/>
        <w:rPr>
          <w:rFonts w:ascii="宋体" w:hAnsi="宋体" w:eastAsia="宋体" w:cs="宋体"/>
          <w:sz w:val="24"/>
          <w:szCs w:val="24"/>
        </w:rPr>
      </w:pPr>
      <w:r>
        <w:rPr>
          <w:rFonts w:ascii="宋体" w:hAnsi="宋体" w:eastAsia="宋体" w:cs="宋体"/>
          <w:spacing w:val="-2"/>
          <w:sz w:val="24"/>
          <w:szCs w:val="24"/>
        </w:rPr>
        <w:t>5、强化设备管理（如何在项目管理中落实以下要求）</w:t>
      </w:r>
    </w:p>
    <w:p w14:paraId="2F2FB56C">
      <w:pPr>
        <w:spacing w:before="183" w:line="361" w:lineRule="auto"/>
        <w:ind w:left="14" w:right="38" w:firstLine="479"/>
        <w:rPr>
          <w:rFonts w:ascii="宋体" w:hAnsi="宋体" w:eastAsia="宋体" w:cs="宋体"/>
          <w:sz w:val="24"/>
          <w:szCs w:val="24"/>
        </w:rPr>
        <w:sectPr>
          <w:headerReference r:id="rId180" w:type="default"/>
          <w:footerReference r:id="rId181" w:type="default"/>
          <w:pgSz w:w="11905" w:h="16840"/>
          <w:pgMar w:top="1182" w:right="1377" w:bottom="1171" w:left="1416" w:header="849" w:footer="937" w:gutter="0"/>
          <w:pgNumType w:fmt="decimal"/>
          <w:cols w:space="720" w:num="1"/>
        </w:sectPr>
      </w:pPr>
      <w:r>
        <w:rPr>
          <w:rFonts w:ascii="宋体" w:hAnsi="宋体" w:eastAsia="宋体" w:cs="宋体"/>
          <w:spacing w:val="-2"/>
          <w:sz w:val="24"/>
          <w:szCs w:val="24"/>
        </w:rPr>
        <w:t>项目部应加强对租赁及自有机械设备（含特种设备）有效管理，建立动态统一管理</w:t>
      </w:r>
      <w:r>
        <w:rPr>
          <w:rFonts w:ascii="宋体" w:hAnsi="宋体" w:eastAsia="宋体" w:cs="宋体"/>
          <w:spacing w:val="-6"/>
          <w:sz w:val="24"/>
          <w:szCs w:val="24"/>
        </w:rPr>
        <w:t>台账，将机械设备的准入、使用、安全管理纳入项目管理体系，</w:t>
      </w:r>
      <w:r>
        <w:rPr>
          <w:rFonts w:ascii="宋体" w:hAnsi="宋体" w:eastAsia="宋体" w:cs="宋体"/>
          <w:spacing w:val="51"/>
          <w:sz w:val="24"/>
          <w:szCs w:val="24"/>
        </w:rPr>
        <w:t xml:space="preserve"> </w:t>
      </w:r>
      <w:r>
        <w:rPr>
          <w:rFonts w:ascii="宋体" w:hAnsi="宋体" w:eastAsia="宋体" w:cs="宋体"/>
          <w:spacing w:val="-6"/>
          <w:sz w:val="24"/>
          <w:szCs w:val="24"/>
        </w:rPr>
        <w:t>特别要</w:t>
      </w:r>
      <w:r>
        <w:rPr>
          <w:rFonts w:ascii="宋体" w:hAnsi="宋体" w:eastAsia="宋体" w:cs="宋体"/>
          <w:spacing w:val="-7"/>
          <w:sz w:val="24"/>
          <w:szCs w:val="24"/>
        </w:rPr>
        <w:t>加强租赁设备的</w:t>
      </w:r>
      <w:r>
        <w:rPr>
          <w:rFonts w:ascii="宋体" w:hAnsi="宋体" w:eastAsia="宋体" w:cs="宋体"/>
          <w:spacing w:val="-6"/>
          <w:sz w:val="24"/>
          <w:szCs w:val="24"/>
        </w:rPr>
        <w:t>安全监管。不得仅以完成工程量计量支付租赁设备费用，</w:t>
      </w:r>
      <w:r>
        <w:rPr>
          <w:rFonts w:ascii="宋体" w:hAnsi="宋体" w:eastAsia="宋体" w:cs="宋体"/>
          <w:spacing w:val="46"/>
          <w:sz w:val="24"/>
          <w:szCs w:val="24"/>
        </w:rPr>
        <w:t xml:space="preserve"> </w:t>
      </w:r>
      <w:r>
        <w:rPr>
          <w:rFonts w:ascii="宋体" w:hAnsi="宋体" w:eastAsia="宋体" w:cs="宋体"/>
          <w:spacing w:val="-6"/>
          <w:sz w:val="24"/>
          <w:szCs w:val="24"/>
        </w:rPr>
        <w:t>应综合租赁时间、实际作</w:t>
      </w:r>
      <w:r>
        <w:rPr>
          <w:rFonts w:ascii="宋体" w:hAnsi="宋体" w:eastAsia="宋体" w:cs="宋体"/>
          <w:spacing w:val="-7"/>
          <w:sz w:val="24"/>
          <w:szCs w:val="24"/>
        </w:rPr>
        <w:t>业时</w:t>
      </w:r>
      <w:r>
        <w:rPr>
          <w:rFonts w:ascii="宋体" w:hAnsi="宋体" w:eastAsia="宋体" w:cs="宋体"/>
          <w:spacing w:val="-1"/>
          <w:sz w:val="24"/>
          <w:szCs w:val="24"/>
        </w:rPr>
        <w:t>间、实际完成工作量等计量租赁设备费用，防止“以租赁</w:t>
      </w:r>
      <w:r>
        <w:rPr>
          <w:rFonts w:ascii="宋体" w:hAnsi="宋体" w:eastAsia="宋体" w:cs="宋体"/>
          <w:spacing w:val="-2"/>
          <w:sz w:val="24"/>
          <w:szCs w:val="24"/>
        </w:rPr>
        <w:t>设备之名，行分包之实”</w:t>
      </w:r>
    </w:p>
    <w:p w14:paraId="70046300">
      <w:pPr>
        <w:pStyle w:val="2"/>
        <w:spacing w:line="315" w:lineRule="auto"/>
      </w:pPr>
    </w:p>
    <w:p w14:paraId="5472E418">
      <w:pPr>
        <w:spacing w:before="88" w:line="226" w:lineRule="auto"/>
        <w:ind w:left="3537"/>
        <w:rPr>
          <w:rFonts w:ascii="宋体" w:hAnsi="宋体" w:eastAsia="宋体" w:cs="宋体"/>
          <w:sz w:val="27"/>
          <w:szCs w:val="27"/>
        </w:rPr>
      </w:pPr>
      <w:r>
        <w:rPr>
          <w:rFonts w:ascii="宋体" w:hAnsi="宋体" w:eastAsia="宋体" w:cs="宋体"/>
          <w:b/>
          <w:bCs/>
          <w:spacing w:val="6"/>
          <w:sz w:val="27"/>
          <w:szCs w:val="27"/>
        </w:rPr>
        <w:t>六、项目管理机构</w:t>
      </w:r>
    </w:p>
    <w:p w14:paraId="528B733A">
      <w:pPr>
        <w:spacing w:before="193"/>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32A12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8" w:hRule="atLeast"/>
        </w:trPr>
        <w:tc>
          <w:tcPr>
            <w:tcW w:w="9292" w:type="dxa"/>
            <w:vAlign w:val="top"/>
          </w:tcPr>
          <w:p w14:paraId="047DB17A">
            <w:pPr>
              <w:pStyle w:val="9"/>
              <w:spacing w:before="197" w:line="219" w:lineRule="auto"/>
              <w:ind w:left="117"/>
              <w:rPr>
                <w:sz w:val="24"/>
                <w:szCs w:val="24"/>
              </w:rPr>
            </w:pPr>
            <w:r>
              <w:rPr>
                <w:spacing w:val="-2"/>
                <w:sz w:val="24"/>
                <w:szCs w:val="24"/>
              </w:rPr>
              <w:t>拟为承包本标段工程设立的组织机构以框图方式表示。</w:t>
            </w:r>
          </w:p>
        </w:tc>
      </w:tr>
      <w:tr w14:paraId="4B80E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92" w:type="dxa"/>
            <w:vAlign w:val="top"/>
          </w:tcPr>
          <w:p w14:paraId="7F937B3E">
            <w:pPr>
              <w:pStyle w:val="9"/>
              <w:spacing w:before="196" w:line="220" w:lineRule="auto"/>
              <w:ind w:left="120"/>
              <w:rPr>
                <w:sz w:val="24"/>
                <w:szCs w:val="24"/>
              </w:rPr>
            </w:pPr>
            <w:r>
              <w:rPr>
                <w:spacing w:val="-4"/>
                <w:sz w:val="24"/>
                <w:szCs w:val="24"/>
              </w:rPr>
              <w:t>说明</w:t>
            </w:r>
          </w:p>
        </w:tc>
      </w:tr>
    </w:tbl>
    <w:p w14:paraId="54875472">
      <w:pPr>
        <w:pStyle w:val="2"/>
      </w:pPr>
    </w:p>
    <w:p w14:paraId="7A95702D">
      <w:pPr>
        <w:sectPr>
          <w:headerReference r:id="rId182" w:type="default"/>
          <w:footerReference r:id="rId183" w:type="default"/>
          <w:pgSz w:w="11905" w:h="16840"/>
          <w:pgMar w:top="1182" w:right="1303" w:bottom="1171" w:left="1303" w:header="849" w:footer="937" w:gutter="0"/>
          <w:pgNumType w:fmt="decimal"/>
          <w:cols w:space="720" w:num="1"/>
        </w:sectPr>
      </w:pPr>
    </w:p>
    <w:p w14:paraId="057423F6">
      <w:pPr>
        <w:pStyle w:val="2"/>
        <w:spacing w:before="113" w:line="227" w:lineRule="auto"/>
        <w:ind w:left="3041"/>
        <w:rPr>
          <w:sz w:val="35"/>
          <w:szCs w:val="35"/>
        </w:rPr>
      </w:pPr>
      <w:r>
        <w:rPr>
          <w:rFonts w:hint="eastAsia" w:eastAsia="宋体"/>
          <w:b/>
          <w:bCs/>
          <w:spacing w:val="6"/>
          <w:sz w:val="35"/>
          <w:szCs w:val="35"/>
          <w:lang w:val="en-US" w:eastAsia="zh-CN"/>
        </w:rPr>
        <w:t>七</w:t>
      </w:r>
      <w:r>
        <w:rPr>
          <w:b/>
          <w:bCs/>
          <w:spacing w:val="6"/>
          <w:sz w:val="35"/>
          <w:szCs w:val="35"/>
        </w:rPr>
        <w:t>、拟分包项目情况表</w:t>
      </w:r>
    </w:p>
    <w:p w14:paraId="7FF874E3">
      <w:pPr>
        <w:spacing w:line="219" w:lineRule="exact"/>
      </w:pPr>
    </w:p>
    <w:tbl>
      <w:tblPr>
        <w:tblStyle w:val="8"/>
        <w:tblW w:w="868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7"/>
        <w:gridCol w:w="2403"/>
        <w:gridCol w:w="2404"/>
        <w:gridCol w:w="1456"/>
      </w:tblGrid>
      <w:tr w14:paraId="6D229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2417" w:type="dxa"/>
            <w:tcBorders>
              <w:top w:val="single" w:color="000000" w:sz="10" w:space="0"/>
              <w:left w:val="single" w:color="000000" w:sz="10" w:space="0"/>
            </w:tcBorders>
            <w:vAlign w:val="top"/>
          </w:tcPr>
          <w:p w14:paraId="2B59140F">
            <w:pPr>
              <w:pStyle w:val="9"/>
              <w:spacing w:before="83" w:line="242" w:lineRule="auto"/>
              <w:ind w:left="964" w:right="487" w:hanging="483"/>
            </w:pPr>
            <w:r>
              <w:rPr>
                <w:spacing w:val="-2"/>
              </w:rPr>
              <w:t>拟分包的工程</w:t>
            </w:r>
            <w:r>
              <w:rPr>
                <w:spacing w:val="-7"/>
              </w:rPr>
              <w:t>项目</w:t>
            </w:r>
          </w:p>
        </w:tc>
        <w:tc>
          <w:tcPr>
            <w:tcW w:w="2403" w:type="dxa"/>
            <w:tcBorders>
              <w:top w:val="single" w:color="000000" w:sz="10" w:space="0"/>
            </w:tcBorders>
            <w:vAlign w:val="top"/>
          </w:tcPr>
          <w:p w14:paraId="14138FD3">
            <w:pPr>
              <w:pStyle w:val="9"/>
              <w:spacing w:before="240" w:line="219" w:lineRule="auto"/>
              <w:ind w:left="485"/>
            </w:pPr>
            <w:r>
              <w:rPr>
                <w:spacing w:val="-2"/>
              </w:rPr>
              <w:t>主要工程内容</w:t>
            </w:r>
          </w:p>
        </w:tc>
        <w:tc>
          <w:tcPr>
            <w:tcW w:w="2404" w:type="dxa"/>
            <w:tcBorders>
              <w:top w:val="single" w:color="000000" w:sz="10" w:space="0"/>
            </w:tcBorders>
            <w:vAlign w:val="top"/>
          </w:tcPr>
          <w:p w14:paraId="4E35294D">
            <w:pPr>
              <w:pStyle w:val="9"/>
              <w:spacing w:before="239" w:line="218" w:lineRule="auto"/>
              <w:ind w:left="252"/>
            </w:pPr>
            <w:r>
              <w:rPr>
                <w:spacing w:val="-2"/>
              </w:rPr>
              <w:t>预计造价（万元）</w:t>
            </w:r>
          </w:p>
        </w:tc>
        <w:tc>
          <w:tcPr>
            <w:tcW w:w="1456" w:type="dxa"/>
            <w:tcBorders>
              <w:top w:val="single" w:color="000000" w:sz="10" w:space="0"/>
              <w:right w:val="single" w:color="000000" w:sz="10" w:space="0"/>
            </w:tcBorders>
            <w:vAlign w:val="top"/>
          </w:tcPr>
          <w:p w14:paraId="78967915">
            <w:pPr>
              <w:pStyle w:val="9"/>
              <w:spacing w:before="239" w:line="221" w:lineRule="auto"/>
              <w:jc w:val="center"/>
            </w:pPr>
            <w:r>
              <w:rPr>
                <w:spacing w:val="-7"/>
              </w:rPr>
              <w:t>备注</w:t>
            </w:r>
          </w:p>
        </w:tc>
      </w:tr>
      <w:tr w14:paraId="08DB5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417" w:type="dxa"/>
            <w:tcBorders>
              <w:left w:val="single" w:color="000000" w:sz="10" w:space="0"/>
            </w:tcBorders>
            <w:vAlign w:val="top"/>
          </w:tcPr>
          <w:p w14:paraId="2F46CCF6">
            <w:pPr>
              <w:rPr>
                <w:rFonts w:ascii="Arial"/>
                <w:sz w:val="21"/>
              </w:rPr>
            </w:pPr>
          </w:p>
        </w:tc>
        <w:tc>
          <w:tcPr>
            <w:tcW w:w="2403" w:type="dxa"/>
            <w:vAlign w:val="top"/>
          </w:tcPr>
          <w:p w14:paraId="2F38F550">
            <w:pPr>
              <w:rPr>
                <w:rFonts w:ascii="Arial"/>
                <w:sz w:val="21"/>
              </w:rPr>
            </w:pPr>
          </w:p>
        </w:tc>
        <w:tc>
          <w:tcPr>
            <w:tcW w:w="2404" w:type="dxa"/>
            <w:vAlign w:val="top"/>
          </w:tcPr>
          <w:p w14:paraId="04FD9EEC">
            <w:pPr>
              <w:rPr>
                <w:rFonts w:ascii="Arial"/>
                <w:sz w:val="21"/>
              </w:rPr>
            </w:pPr>
          </w:p>
        </w:tc>
        <w:tc>
          <w:tcPr>
            <w:tcW w:w="1456" w:type="dxa"/>
            <w:vMerge w:val="restart"/>
            <w:tcBorders>
              <w:bottom w:val="nil"/>
              <w:right w:val="single" w:color="000000" w:sz="10" w:space="0"/>
            </w:tcBorders>
            <w:vAlign w:val="top"/>
          </w:tcPr>
          <w:p w14:paraId="2912695C">
            <w:pPr>
              <w:spacing w:line="249" w:lineRule="auto"/>
              <w:rPr>
                <w:rFonts w:ascii="Arial"/>
                <w:sz w:val="21"/>
              </w:rPr>
            </w:pPr>
          </w:p>
          <w:p w14:paraId="5F8DD2BB">
            <w:pPr>
              <w:spacing w:line="249" w:lineRule="auto"/>
              <w:rPr>
                <w:rFonts w:ascii="Arial"/>
                <w:sz w:val="21"/>
              </w:rPr>
            </w:pPr>
          </w:p>
          <w:p w14:paraId="63D45138">
            <w:pPr>
              <w:spacing w:line="249" w:lineRule="auto"/>
              <w:rPr>
                <w:rFonts w:ascii="Arial"/>
                <w:sz w:val="21"/>
              </w:rPr>
            </w:pPr>
          </w:p>
          <w:p w14:paraId="60D3E843">
            <w:pPr>
              <w:spacing w:line="249" w:lineRule="auto"/>
              <w:rPr>
                <w:rFonts w:ascii="Arial"/>
                <w:sz w:val="21"/>
              </w:rPr>
            </w:pPr>
          </w:p>
          <w:p w14:paraId="2A9C724B">
            <w:pPr>
              <w:spacing w:line="249" w:lineRule="auto"/>
              <w:rPr>
                <w:rFonts w:ascii="Arial"/>
                <w:sz w:val="21"/>
              </w:rPr>
            </w:pPr>
          </w:p>
          <w:p w14:paraId="63EBA1A7">
            <w:pPr>
              <w:spacing w:line="249" w:lineRule="auto"/>
              <w:rPr>
                <w:rFonts w:ascii="Arial"/>
                <w:sz w:val="21"/>
              </w:rPr>
            </w:pPr>
          </w:p>
          <w:p w14:paraId="1237520B">
            <w:pPr>
              <w:spacing w:line="249" w:lineRule="auto"/>
              <w:rPr>
                <w:rFonts w:ascii="Arial"/>
                <w:sz w:val="21"/>
              </w:rPr>
            </w:pPr>
          </w:p>
          <w:p w14:paraId="65697A67">
            <w:pPr>
              <w:spacing w:line="250" w:lineRule="auto"/>
              <w:rPr>
                <w:rFonts w:ascii="Arial"/>
                <w:sz w:val="21"/>
              </w:rPr>
            </w:pPr>
          </w:p>
          <w:p w14:paraId="643EA613">
            <w:pPr>
              <w:spacing w:line="250" w:lineRule="auto"/>
              <w:rPr>
                <w:rFonts w:ascii="Arial"/>
                <w:sz w:val="21"/>
              </w:rPr>
            </w:pPr>
          </w:p>
          <w:p w14:paraId="2F84A1A2">
            <w:pPr>
              <w:spacing w:line="250" w:lineRule="auto"/>
              <w:rPr>
                <w:rFonts w:ascii="Arial"/>
                <w:sz w:val="21"/>
              </w:rPr>
            </w:pPr>
          </w:p>
          <w:p w14:paraId="3D0FB167">
            <w:pPr>
              <w:spacing w:line="250" w:lineRule="auto"/>
              <w:rPr>
                <w:rFonts w:ascii="Arial"/>
                <w:sz w:val="21"/>
              </w:rPr>
            </w:pPr>
          </w:p>
          <w:p w14:paraId="150A142F">
            <w:pPr>
              <w:spacing w:line="250" w:lineRule="auto"/>
              <w:rPr>
                <w:rFonts w:ascii="Arial"/>
                <w:sz w:val="21"/>
              </w:rPr>
            </w:pPr>
          </w:p>
          <w:p w14:paraId="00E51730">
            <w:pPr>
              <w:spacing w:line="250" w:lineRule="auto"/>
              <w:rPr>
                <w:rFonts w:ascii="Arial"/>
                <w:sz w:val="21"/>
              </w:rPr>
            </w:pPr>
          </w:p>
          <w:p w14:paraId="1DAB3012">
            <w:pPr>
              <w:spacing w:line="250" w:lineRule="auto"/>
              <w:rPr>
                <w:rFonts w:ascii="Arial"/>
                <w:sz w:val="21"/>
              </w:rPr>
            </w:pPr>
          </w:p>
          <w:p w14:paraId="2843DF33">
            <w:pPr>
              <w:spacing w:line="250" w:lineRule="auto"/>
              <w:rPr>
                <w:rFonts w:ascii="Arial"/>
                <w:sz w:val="21"/>
              </w:rPr>
            </w:pPr>
          </w:p>
          <w:p w14:paraId="6441FA23">
            <w:pPr>
              <w:spacing w:line="250" w:lineRule="auto"/>
              <w:rPr>
                <w:rFonts w:ascii="Arial"/>
                <w:sz w:val="21"/>
              </w:rPr>
            </w:pPr>
          </w:p>
          <w:p w14:paraId="0F102073">
            <w:pPr>
              <w:pStyle w:val="9"/>
              <w:spacing w:before="78" w:line="220" w:lineRule="auto"/>
              <w:ind w:left="136"/>
            </w:pPr>
            <w:r>
              <w:rPr>
                <w:spacing w:val="-2"/>
              </w:rPr>
              <w:t>注：若无分包计划，</w:t>
            </w:r>
          </w:p>
          <w:p w14:paraId="7056ECF5">
            <w:pPr>
              <w:pStyle w:val="9"/>
              <w:spacing w:before="25" w:line="219" w:lineRule="auto"/>
              <w:ind w:left="141"/>
            </w:pPr>
            <w:r>
              <w:rPr>
                <w:spacing w:val="-2"/>
              </w:rPr>
              <w:t>则投标人应在本表填</w:t>
            </w:r>
          </w:p>
          <w:p w14:paraId="594E73D2">
            <w:pPr>
              <w:pStyle w:val="9"/>
              <w:spacing w:before="25" w:line="220" w:lineRule="auto"/>
              <w:ind w:left="622"/>
            </w:pPr>
            <w:r>
              <w:rPr>
                <w:spacing w:val="13"/>
              </w:rPr>
              <w:t>写“无。</w:t>
            </w:r>
            <w:r>
              <w:rPr>
                <w:spacing w:val="-87"/>
              </w:rPr>
              <w:t xml:space="preserve"> </w:t>
            </w:r>
            <w:r>
              <w:rPr>
                <w:spacing w:val="13"/>
              </w:rPr>
              <w:t>”</w:t>
            </w:r>
          </w:p>
        </w:tc>
      </w:tr>
      <w:tr w14:paraId="06B69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417" w:type="dxa"/>
            <w:tcBorders>
              <w:left w:val="single" w:color="000000" w:sz="10" w:space="0"/>
            </w:tcBorders>
            <w:vAlign w:val="top"/>
          </w:tcPr>
          <w:p w14:paraId="2F4A76A4">
            <w:pPr>
              <w:rPr>
                <w:rFonts w:ascii="Arial"/>
                <w:sz w:val="21"/>
              </w:rPr>
            </w:pPr>
          </w:p>
        </w:tc>
        <w:tc>
          <w:tcPr>
            <w:tcW w:w="2403" w:type="dxa"/>
            <w:vAlign w:val="top"/>
          </w:tcPr>
          <w:p w14:paraId="113B5AA0">
            <w:pPr>
              <w:rPr>
                <w:rFonts w:ascii="Arial"/>
                <w:sz w:val="21"/>
              </w:rPr>
            </w:pPr>
          </w:p>
        </w:tc>
        <w:tc>
          <w:tcPr>
            <w:tcW w:w="2404" w:type="dxa"/>
            <w:vAlign w:val="top"/>
          </w:tcPr>
          <w:p w14:paraId="3A794F6A">
            <w:pPr>
              <w:rPr>
                <w:rFonts w:ascii="Arial"/>
                <w:sz w:val="21"/>
              </w:rPr>
            </w:pPr>
          </w:p>
        </w:tc>
        <w:tc>
          <w:tcPr>
            <w:tcW w:w="1456" w:type="dxa"/>
            <w:vMerge w:val="continue"/>
            <w:tcBorders>
              <w:top w:val="nil"/>
              <w:bottom w:val="nil"/>
              <w:right w:val="single" w:color="000000" w:sz="10" w:space="0"/>
            </w:tcBorders>
            <w:vAlign w:val="top"/>
          </w:tcPr>
          <w:p w14:paraId="10D42B1D">
            <w:pPr>
              <w:rPr>
                <w:rFonts w:ascii="Arial"/>
                <w:sz w:val="21"/>
              </w:rPr>
            </w:pPr>
          </w:p>
        </w:tc>
      </w:tr>
      <w:tr w14:paraId="0BF91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417" w:type="dxa"/>
            <w:tcBorders>
              <w:left w:val="single" w:color="000000" w:sz="10" w:space="0"/>
            </w:tcBorders>
            <w:vAlign w:val="top"/>
          </w:tcPr>
          <w:p w14:paraId="61B8534A">
            <w:pPr>
              <w:rPr>
                <w:rFonts w:ascii="Arial"/>
                <w:sz w:val="21"/>
              </w:rPr>
            </w:pPr>
          </w:p>
        </w:tc>
        <w:tc>
          <w:tcPr>
            <w:tcW w:w="2403" w:type="dxa"/>
            <w:vAlign w:val="top"/>
          </w:tcPr>
          <w:p w14:paraId="7E4E2148">
            <w:pPr>
              <w:rPr>
                <w:rFonts w:ascii="Arial"/>
                <w:sz w:val="21"/>
              </w:rPr>
            </w:pPr>
          </w:p>
        </w:tc>
        <w:tc>
          <w:tcPr>
            <w:tcW w:w="2404" w:type="dxa"/>
            <w:vAlign w:val="top"/>
          </w:tcPr>
          <w:p w14:paraId="631B0781">
            <w:pPr>
              <w:rPr>
                <w:rFonts w:ascii="Arial"/>
                <w:sz w:val="21"/>
              </w:rPr>
            </w:pPr>
          </w:p>
        </w:tc>
        <w:tc>
          <w:tcPr>
            <w:tcW w:w="1456" w:type="dxa"/>
            <w:vMerge w:val="continue"/>
            <w:tcBorders>
              <w:top w:val="nil"/>
              <w:bottom w:val="nil"/>
              <w:right w:val="single" w:color="000000" w:sz="10" w:space="0"/>
            </w:tcBorders>
            <w:vAlign w:val="top"/>
          </w:tcPr>
          <w:p w14:paraId="2689D98E">
            <w:pPr>
              <w:rPr>
                <w:rFonts w:ascii="Arial"/>
                <w:sz w:val="21"/>
              </w:rPr>
            </w:pPr>
          </w:p>
        </w:tc>
      </w:tr>
      <w:tr w14:paraId="214B9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417" w:type="dxa"/>
            <w:tcBorders>
              <w:left w:val="single" w:color="000000" w:sz="10" w:space="0"/>
            </w:tcBorders>
            <w:vAlign w:val="top"/>
          </w:tcPr>
          <w:p w14:paraId="20114DD8">
            <w:pPr>
              <w:rPr>
                <w:rFonts w:ascii="Arial"/>
                <w:sz w:val="21"/>
              </w:rPr>
            </w:pPr>
          </w:p>
        </w:tc>
        <w:tc>
          <w:tcPr>
            <w:tcW w:w="2403" w:type="dxa"/>
            <w:vAlign w:val="top"/>
          </w:tcPr>
          <w:p w14:paraId="75BD3C8D">
            <w:pPr>
              <w:rPr>
                <w:rFonts w:ascii="Arial"/>
                <w:sz w:val="21"/>
              </w:rPr>
            </w:pPr>
          </w:p>
        </w:tc>
        <w:tc>
          <w:tcPr>
            <w:tcW w:w="2404" w:type="dxa"/>
            <w:vAlign w:val="top"/>
          </w:tcPr>
          <w:p w14:paraId="4B0E050D">
            <w:pPr>
              <w:rPr>
                <w:rFonts w:ascii="Arial"/>
                <w:sz w:val="21"/>
              </w:rPr>
            </w:pPr>
          </w:p>
        </w:tc>
        <w:tc>
          <w:tcPr>
            <w:tcW w:w="1456" w:type="dxa"/>
            <w:vMerge w:val="continue"/>
            <w:tcBorders>
              <w:top w:val="nil"/>
              <w:bottom w:val="nil"/>
              <w:right w:val="single" w:color="000000" w:sz="10" w:space="0"/>
            </w:tcBorders>
            <w:vAlign w:val="top"/>
          </w:tcPr>
          <w:p w14:paraId="5697A87D">
            <w:pPr>
              <w:rPr>
                <w:rFonts w:ascii="Arial"/>
                <w:sz w:val="21"/>
              </w:rPr>
            </w:pPr>
          </w:p>
        </w:tc>
      </w:tr>
      <w:tr w14:paraId="562A6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417" w:type="dxa"/>
            <w:tcBorders>
              <w:left w:val="single" w:color="000000" w:sz="10" w:space="0"/>
            </w:tcBorders>
            <w:vAlign w:val="top"/>
          </w:tcPr>
          <w:p w14:paraId="6B6017C4">
            <w:pPr>
              <w:rPr>
                <w:rFonts w:ascii="Arial"/>
                <w:sz w:val="21"/>
              </w:rPr>
            </w:pPr>
          </w:p>
        </w:tc>
        <w:tc>
          <w:tcPr>
            <w:tcW w:w="2403" w:type="dxa"/>
            <w:vAlign w:val="top"/>
          </w:tcPr>
          <w:p w14:paraId="68AEFA3F">
            <w:pPr>
              <w:rPr>
                <w:rFonts w:ascii="Arial"/>
                <w:sz w:val="21"/>
              </w:rPr>
            </w:pPr>
          </w:p>
        </w:tc>
        <w:tc>
          <w:tcPr>
            <w:tcW w:w="2404" w:type="dxa"/>
            <w:vAlign w:val="top"/>
          </w:tcPr>
          <w:p w14:paraId="59FCE102">
            <w:pPr>
              <w:rPr>
                <w:rFonts w:ascii="Arial"/>
                <w:sz w:val="21"/>
              </w:rPr>
            </w:pPr>
          </w:p>
        </w:tc>
        <w:tc>
          <w:tcPr>
            <w:tcW w:w="1456" w:type="dxa"/>
            <w:vMerge w:val="continue"/>
            <w:tcBorders>
              <w:top w:val="nil"/>
              <w:bottom w:val="nil"/>
              <w:right w:val="single" w:color="000000" w:sz="10" w:space="0"/>
            </w:tcBorders>
            <w:vAlign w:val="top"/>
          </w:tcPr>
          <w:p w14:paraId="6A241029">
            <w:pPr>
              <w:rPr>
                <w:rFonts w:ascii="Arial"/>
                <w:sz w:val="21"/>
              </w:rPr>
            </w:pPr>
          </w:p>
        </w:tc>
      </w:tr>
      <w:tr w14:paraId="6C023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417" w:type="dxa"/>
            <w:tcBorders>
              <w:left w:val="single" w:color="000000" w:sz="10" w:space="0"/>
            </w:tcBorders>
            <w:vAlign w:val="top"/>
          </w:tcPr>
          <w:p w14:paraId="5DEADF20">
            <w:pPr>
              <w:rPr>
                <w:rFonts w:ascii="Arial"/>
                <w:sz w:val="21"/>
              </w:rPr>
            </w:pPr>
          </w:p>
        </w:tc>
        <w:tc>
          <w:tcPr>
            <w:tcW w:w="2403" w:type="dxa"/>
            <w:vAlign w:val="top"/>
          </w:tcPr>
          <w:p w14:paraId="50E070A3">
            <w:pPr>
              <w:rPr>
                <w:rFonts w:ascii="Arial"/>
                <w:sz w:val="21"/>
              </w:rPr>
            </w:pPr>
          </w:p>
        </w:tc>
        <w:tc>
          <w:tcPr>
            <w:tcW w:w="2404" w:type="dxa"/>
            <w:vAlign w:val="top"/>
          </w:tcPr>
          <w:p w14:paraId="72BF02E7">
            <w:pPr>
              <w:rPr>
                <w:rFonts w:ascii="Arial"/>
                <w:sz w:val="21"/>
              </w:rPr>
            </w:pPr>
          </w:p>
        </w:tc>
        <w:tc>
          <w:tcPr>
            <w:tcW w:w="1456" w:type="dxa"/>
            <w:vMerge w:val="continue"/>
            <w:tcBorders>
              <w:top w:val="nil"/>
              <w:bottom w:val="nil"/>
              <w:right w:val="single" w:color="000000" w:sz="10" w:space="0"/>
            </w:tcBorders>
            <w:vAlign w:val="top"/>
          </w:tcPr>
          <w:p w14:paraId="57633CAF">
            <w:pPr>
              <w:rPr>
                <w:rFonts w:ascii="Arial"/>
                <w:sz w:val="21"/>
              </w:rPr>
            </w:pPr>
          </w:p>
        </w:tc>
      </w:tr>
      <w:tr w14:paraId="78559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417" w:type="dxa"/>
            <w:tcBorders>
              <w:left w:val="single" w:color="000000" w:sz="10" w:space="0"/>
            </w:tcBorders>
            <w:vAlign w:val="top"/>
          </w:tcPr>
          <w:p w14:paraId="001DC696">
            <w:pPr>
              <w:rPr>
                <w:rFonts w:ascii="Arial"/>
                <w:sz w:val="21"/>
              </w:rPr>
            </w:pPr>
          </w:p>
        </w:tc>
        <w:tc>
          <w:tcPr>
            <w:tcW w:w="2403" w:type="dxa"/>
            <w:vAlign w:val="top"/>
          </w:tcPr>
          <w:p w14:paraId="0221214D">
            <w:pPr>
              <w:rPr>
                <w:rFonts w:ascii="Arial"/>
                <w:sz w:val="21"/>
              </w:rPr>
            </w:pPr>
          </w:p>
        </w:tc>
        <w:tc>
          <w:tcPr>
            <w:tcW w:w="2404" w:type="dxa"/>
            <w:vAlign w:val="top"/>
          </w:tcPr>
          <w:p w14:paraId="091C5967">
            <w:pPr>
              <w:rPr>
                <w:rFonts w:ascii="Arial"/>
                <w:sz w:val="21"/>
              </w:rPr>
            </w:pPr>
          </w:p>
        </w:tc>
        <w:tc>
          <w:tcPr>
            <w:tcW w:w="1456" w:type="dxa"/>
            <w:vMerge w:val="continue"/>
            <w:tcBorders>
              <w:top w:val="nil"/>
              <w:bottom w:val="nil"/>
              <w:right w:val="single" w:color="000000" w:sz="10" w:space="0"/>
            </w:tcBorders>
            <w:vAlign w:val="top"/>
          </w:tcPr>
          <w:p w14:paraId="0A42F037">
            <w:pPr>
              <w:rPr>
                <w:rFonts w:ascii="Arial"/>
                <w:sz w:val="21"/>
              </w:rPr>
            </w:pPr>
          </w:p>
        </w:tc>
      </w:tr>
      <w:tr w14:paraId="2C0A8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417" w:type="dxa"/>
            <w:tcBorders>
              <w:left w:val="single" w:color="000000" w:sz="10" w:space="0"/>
            </w:tcBorders>
            <w:vAlign w:val="top"/>
          </w:tcPr>
          <w:p w14:paraId="5DBDE167">
            <w:pPr>
              <w:rPr>
                <w:rFonts w:ascii="Arial"/>
                <w:sz w:val="21"/>
              </w:rPr>
            </w:pPr>
          </w:p>
        </w:tc>
        <w:tc>
          <w:tcPr>
            <w:tcW w:w="2403" w:type="dxa"/>
            <w:vAlign w:val="top"/>
          </w:tcPr>
          <w:p w14:paraId="032F5FDE">
            <w:pPr>
              <w:rPr>
                <w:rFonts w:ascii="Arial"/>
                <w:sz w:val="21"/>
              </w:rPr>
            </w:pPr>
          </w:p>
        </w:tc>
        <w:tc>
          <w:tcPr>
            <w:tcW w:w="2404" w:type="dxa"/>
            <w:vAlign w:val="top"/>
          </w:tcPr>
          <w:p w14:paraId="031AAB49">
            <w:pPr>
              <w:rPr>
                <w:rFonts w:ascii="Arial"/>
                <w:sz w:val="21"/>
              </w:rPr>
            </w:pPr>
          </w:p>
        </w:tc>
        <w:tc>
          <w:tcPr>
            <w:tcW w:w="1456" w:type="dxa"/>
            <w:vMerge w:val="continue"/>
            <w:tcBorders>
              <w:top w:val="nil"/>
              <w:bottom w:val="nil"/>
              <w:right w:val="single" w:color="000000" w:sz="10" w:space="0"/>
            </w:tcBorders>
            <w:vAlign w:val="top"/>
          </w:tcPr>
          <w:p w14:paraId="09178929">
            <w:pPr>
              <w:rPr>
                <w:rFonts w:ascii="Arial"/>
                <w:sz w:val="21"/>
              </w:rPr>
            </w:pPr>
          </w:p>
        </w:tc>
      </w:tr>
      <w:tr w14:paraId="4370C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417" w:type="dxa"/>
            <w:tcBorders>
              <w:left w:val="single" w:color="000000" w:sz="10" w:space="0"/>
            </w:tcBorders>
            <w:vAlign w:val="top"/>
          </w:tcPr>
          <w:p w14:paraId="1178F1B8">
            <w:pPr>
              <w:rPr>
                <w:rFonts w:ascii="Arial"/>
                <w:sz w:val="21"/>
              </w:rPr>
            </w:pPr>
          </w:p>
        </w:tc>
        <w:tc>
          <w:tcPr>
            <w:tcW w:w="2403" w:type="dxa"/>
            <w:vAlign w:val="top"/>
          </w:tcPr>
          <w:p w14:paraId="4D27A1D1">
            <w:pPr>
              <w:rPr>
                <w:rFonts w:ascii="Arial"/>
                <w:sz w:val="21"/>
              </w:rPr>
            </w:pPr>
          </w:p>
        </w:tc>
        <w:tc>
          <w:tcPr>
            <w:tcW w:w="2404" w:type="dxa"/>
            <w:vAlign w:val="top"/>
          </w:tcPr>
          <w:p w14:paraId="6BD62485">
            <w:pPr>
              <w:rPr>
                <w:rFonts w:ascii="Arial"/>
                <w:sz w:val="21"/>
              </w:rPr>
            </w:pPr>
          </w:p>
        </w:tc>
        <w:tc>
          <w:tcPr>
            <w:tcW w:w="1456" w:type="dxa"/>
            <w:vMerge w:val="continue"/>
            <w:tcBorders>
              <w:top w:val="nil"/>
              <w:bottom w:val="nil"/>
              <w:right w:val="single" w:color="000000" w:sz="10" w:space="0"/>
            </w:tcBorders>
            <w:vAlign w:val="top"/>
          </w:tcPr>
          <w:p w14:paraId="1102FCF5">
            <w:pPr>
              <w:rPr>
                <w:rFonts w:ascii="Arial"/>
                <w:sz w:val="21"/>
              </w:rPr>
            </w:pPr>
          </w:p>
        </w:tc>
      </w:tr>
      <w:tr w14:paraId="4D4A9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417" w:type="dxa"/>
            <w:tcBorders>
              <w:left w:val="single" w:color="000000" w:sz="10" w:space="0"/>
            </w:tcBorders>
            <w:vAlign w:val="top"/>
          </w:tcPr>
          <w:p w14:paraId="5F9F1220">
            <w:pPr>
              <w:rPr>
                <w:rFonts w:ascii="Arial"/>
                <w:sz w:val="21"/>
              </w:rPr>
            </w:pPr>
          </w:p>
        </w:tc>
        <w:tc>
          <w:tcPr>
            <w:tcW w:w="2403" w:type="dxa"/>
            <w:vAlign w:val="top"/>
          </w:tcPr>
          <w:p w14:paraId="141E05D7">
            <w:pPr>
              <w:rPr>
                <w:rFonts w:ascii="Arial"/>
                <w:sz w:val="21"/>
              </w:rPr>
            </w:pPr>
          </w:p>
        </w:tc>
        <w:tc>
          <w:tcPr>
            <w:tcW w:w="2404" w:type="dxa"/>
            <w:vAlign w:val="top"/>
          </w:tcPr>
          <w:p w14:paraId="6CF3CB7F">
            <w:pPr>
              <w:rPr>
                <w:rFonts w:ascii="Arial"/>
                <w:sz w:val="21"/>
              </w:rPr>
            </w:pPr>
          </w:p>
        </w:tc>
        <w:tc>
          <w:tcPr>
            <w:tcW w:w="1456" w:type="dxa"/>
            <w:vMerge w:val="continue"/>
            <w:tcBorders>
              <w:top w:val="nil"/>
              <w:bottom w:val="nil"/>
              <w:right w:val="single" w:color="000000" w:sz="10" w:space="0"/>
            </w:tcBorders>
            <w:vAlign w:val="top"/>
          </w:tcPr>
          <w:p w14:paraId="3C6206D2">
            <w:pPr>
              <w:rPr>
                <w:rFonts w:ascii="Arial"/>
                <w:sz w:val="21"/>
              </w:rPr>
            </w:pPr>
          </w:p>
        </w:tc>
      </w:tr>
      <w:tr w14:paraId="1AB5B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417" w:type="dxa"/>
            <w:tcBorders>
              <w:left w:val="single" w:color="000000" w:sz="10" w:space="0"/>
            </w:tcBorders>
            <w:vAlign w:val="top"/>
          </w:tcPr>
          <w:p w14:paraId="1706455D">
            <w:pPr>
              <w:rPr>
                <w:rFonts w:ascii="Arial"/>
                <w:sz w:val="21"/>
              </w:rPr>
            </w:pPr>
          </w:p>
        </w:tc>
        <w:tc>
          <w:tcPr>
            <w:tcW w:w="2403" w:type="dxa"/>
            <w:vAlign w:val="top"/>
          </w:tcPr>
          <w:p w14:paraId="3F9261E1">
            <w:pPr>
              <w:rPr>
                <w:rFonts w:ascii="Arial"/>
                <w:sz w:val="21"/>
              </w:rPr>
            </w:pPr>
          </w:p>
        </w:tc>
        <w:tc>
          <w:tcPr>
            <w:tcW w:w="2404" w:type="dxa"/>
            <w:vAlign w:val="top"/>
          </w:tcPr>
          <w:p w14:paraId="0E6DFE67">
            <w:pPr>
              <w:rPr>
                <w:rFonts w:ascii="Arial"/>
                <w:sz w:val="21"/>
              </w:rPr>
            </w:pPr>
          </w:p>
        </w:tc>
        <w:tc>
          <w:tcPr>
            <w:tcW w:w="1456" w:type="dxa"/>
            <w:vMerge w:val="continue"/>
            <w:tcBorders>
              <w:top w:val="nil"/>
              <w:bottom w:val="nil"/>
              <w:right w:val="single" w:color="000000" w:sz="10" w:space="0"/>
            </w:tcBorders>
            <w:vAlign w:val="top"/>
          </w:tcPr>
          <w:p w14:paraId="46DB646F">
            <w:pPr>
              <w:rPr>
                <w:rFonts w:ascii="Arial"/>
                <w:sz w:val="21"/>
              </w:rPr>
            </w:pPr>
          </w:p>
        </w:tc>
      </w:tr>
      <w:tr w14:paraId="00EC2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417" w:type="dxa"/>
            <w:tcBorders>
              <w:left w:val="single" w:color="000000" w:sz="10" w:space="0"/>
            </w:tcBorders>
            <w:vAlign w:val="top"/>
          </w:tcPr>
          <w:p w14:paraId="2CAE16E6">
            <w:pPr>
              <w:rPr>
                <w:rFonts w:ascii="Arial"/>
                <w:sz w:val="21"/>
              </w:rPr>
            </w:pPr>
          </w:p>
        </w:tc>
        <w:tc>
          <w:tcPr>
            <w:tcW w:w="2403" w:type="dxa"/>
            <w:vAlign w:val="top"/>
          </w:tcPr>
          <w:p w14:paraId="36981D5C">
            <w:pPr>
              <w:rPr>
                <w:rFonts w:ascii="Arial"/>
                <w:sz w:val="21"/>
              </w:rPr>
            </w:pPr>
          </w:p>
        </w:tc>
        <w:tc>
          <w:tcPr>
            <w:tcW w:w="2404" w:type="dxa"/>
            <w:vAlign w:val="top"/>
          </w:tcPr>
          <w:p w14:paraId="14CD2105">
            <w:pPr>
              <w:rPr>
                <w:rFonts w:ascii="Arial"/>
                <w:sz w:val="21"/>
              </w:rPr>
            </w:pPr>
          </w:p>
        </w:tc>
        <w:tc>
          <w:tcPr>
            <w:tcW w:w="1456" w:type="dxa"/>
            <w:vMerge w:val="continue"/>
            <w:tcBorders>
              <w:top w:val="nil"/>
              <w:bottom w:val="nil"/>
              <w:right w:val="single" w:color="000000" w:sz="10" w:space="0"/>
            </w:tcBorders>
            <w:vAlign w:val="top"/>
          </w:tcPr>
          <w:p w14:paraId="22419CEA">
            <w:pPr>
              <w:rPr>
                <w:rFonts w:ascii="Arial"/>
                <w:sz w:val="21"/>
              </w:rPr>
            </w:pPr>
          </w:p>
        </w:tc>
      </w:tr>
      <w:tr w14:paraId="5831E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417" w:type="dxa"/>
            <w:tcBorders>
              <w:left w:val="single" w:color="000000" w:sz="10" w:space="0"/>
            </w:tcBorders>
            <w:vAlign w:val="top"/>
          </w:tcPr>
          <w:p w14:paraId="46B4B354">
            <w:pPr>
              <w:rPr>
                <w:rFonts w:ascii="Arial"/>
                <w:sz w:val="21"/>
              </w:rPr>
            </w:pPr>
          </w:p>
        </w:tc>
        <w:tc>
          <w:tcPr>
            <w:tcW w:w="2403" w:type="dxa"/>
            <w:vAlign w:val="top"/>
          </w:tcPr>
          <w:p w14:paraId="33B6CC06">
            <w:pPr>
              <w:rPr>
                <w:rFonts w:ascii="Arial"/>
                <w:sz w:val="21"/>
              </w:rPr>
            </w:pPr>
          </w:p>
        </w:tc>
        <w:tc>
          <w:tcPr>
            <w:tcW w:w="2404" w:type="dxa"/>
            <w:vAlign w:val="top"/>
          </w:tcPr>
          <w:p w14:paraId="1147AE81">
            <w:pPr>
              <w:rPr>
                <w:rFonts w:ascii="Arial"/>
                <w:sz w:val="21"/>
              </w:rPr>
            </w:pPr>
          </w:p>
        </w:tc>
        <w:tc>
          <w:tcPr>
            <w:tcW w:w="1456" w:type="dxa"/>
            <w:vMerge w:val="continue"/>
            <w:tcBorders>
              <w:top w:val="nil"/>
              <w:bottom w:val="nil"/>
              <w:right w:val="single" w:color="000000" w:sz="10" w:space="0"/>
            </w:tcBorders>
            <w:vAlign w:val="top"/>
          </w:tcPr>
          <w:p w14:paraId="02E45414">
            <w:pPr>
              <w:rPr>
                <w:rFonts w:ascii="Arial"/>
                <w:sz w:val="21"/>
              </w:rPr>
            </w:pPr>
          </w:p>
        </w:tc>
      </w:tr>
      <w:tr w14:paraId="7B95E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2417" w:type="dxa"/>
            <w:tcBorders>
              <w:left w:val="single" w:color="000000" w:sz="10" w:space="0"/>
            </w:tcBorders>
            <w:vAlign w:val="top"/>
          </w:tcPr>
          <w:p w14:paraId="51559168">
            <w:pPr>
              <w:rPr>
                <w:rFonts w:ascii="Arial"/>
                <w:sz w:val="21"/>
              </w:rPr>
            </w:pPr>
          </w:p>
        </w:tc>
        <w:tc>
          <w:tcPr>
            <w:tcW w:w="2403" w:type="dxa"/>
            <w:vAlign w:val="top"/>
          </w:tcPr>
          <w:p w14:paraId="7FCB1517">
            <w:pPr>
              <w:rPr>
                <w:rFonts w:ascii="Arial"/>
                <w:sz w:val="21"/>
              </w:rPr>
            </w:pPr>
          </w:p>
        </w:tc>
        <w:tc>
          <w:tcPr>
            <w:tcW w:w="2404" w:type="dxa"/>
            <w:vAlign w:val="top"/>
          </w:tcPr>
          <w:p w14:paraId="35D68A92">
            <w:pPr>
              <w:rPr>
                <w:rFonts w:ascii="Arial"/>
                <w:sz w:val="21"/>
              </w:rPr>
            </w:pPr>
          </w:p>
        </w:tc>
        <w:tc>
          <w:tcPr>
            <w:tcW w:w="1456" w:type="dxa"/>
            <w:vMerge w:val="continue"/>
            <w:tcBorders>
              <w:top w:val="nil"/>
              <w:bottom w:val="nil"/>
              <w:right w:val="single" w:color="000000" w:sz="10" w:space="0"/>
            </w:tcBorders>
            <w:vAlign w:val="top"/>
          </w:tcPr>
          <w:p w14:paraId="675CB024">
            <w:pPr>
              <w:rPr>
                <w:rFonts w:ascii="Arial"/>
                <w:sz w:val="21"/>
              </w:rPr>
            </w:pPr>
          </w:p>
        </w:tc>
      </w:tr>
      <w:tr w14:paraId="46DE0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417" w:type="dxa"/>
            <w:tcBorders>
              <w:left w:val="single" w:color="000000" w:sz="10" w:space="0"/>
            </w:tcBorders>
            <w:vAlign w:val="top"/>
          </w:tcPr>
          <w:p w14:paraId="5EC12EC1">
            <w:pPr>
              <w:rPr>
                <w:rFonts w:ascii="Arial"/>
                <w:sz w:val="21"/>
              </w:rPr>
            </w:pPr>
          </w:p>
        </w:tc>
        <w:tc>
          <w:tcPr>
            <w:tcW w:w="2403" w:type="dxa"/>
            <w:vAlign w:val="top"/>
          </w:tcPr>
          <w:p w14:paraId="09AAB6C1">
            <w:pPr>
              <w:rPr>
                <w:rFonts w:ascii="Arial"/>
                <w:sz w:val="21"/>
              </w:rPr>
            </w:pPr>
          </w:p>
        </w:tc>
        <w:tc>
          <w:tcPr>
            <w:tcW w:w="2404" w:type="dxa"/>
            <w:vAlign w:val="top"/>
          </w:tcPr>
          <w:p w14:paraId="29386E10">
            <w:pPr>
              <w:rPr>
                <w:rFonts w:ascii="Arial"/>
                <w:sz w:val="21"/>
              </w:rPr>
            </w:pPr>
          </w:p>
        </w:tc>
        <w:tc>
          <w:tcPr>
            <w:tcW w:w="1456" w:type="dxa"/>
            <w:vMerge w:val="continue"/>
            <w:tcBorders>
              <w:top w:val="nil"/>
              <w:bottom w:val="nil"/>
              <w:right w:val="single" w:color="000000" w:sz="10" w:space="0"/>
            </w:tcBorders>
            <w:vAlign w:val="top"/>
          </w:tcPr>
          <w:p w14:paraId="08C1F7CD">
            <w:pPr>
              <w:rPr>
                <w:rFonts w:ascii="Arial"/>
                <w:sz w:val="21"/>
              </w:rPr>
            </w:pPr>
          </w:p>
        </w:tc>
      </w:tr>
      <w:tr w14:paraId="4AF191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4820" w:type="dxa"/>
            <w:gridSpan w:val="2"/>
            <w:tcBorders>
              <w:left w:val="single" w:color="000000" w:sz="10" w:space="0"/>
              <w:bottom w:val="single" w:color="000000" w:sz="10" w:space="0"/>
            </w:tcBorders>
            <w:vAlign w:val="top"/>
          </w:tcPr>
          <w:p w14:paraId="27035BAD">
            <w:pPr>
              <w:pStyle w:val="9"/>
              <w:spacing w:before="177" w:line="218" w:lineRule="auto"/>
              <w:ind w:left="848"/>
            </w:pPr>
            <w:r>
              <w:rPr>
                <w:spacing w:val="-1"/>
              </w:rPr>
              <w:t>拟分包工程造价合计（万元）</w:t>
            </w:r>
          </w:p>
        </w:tc>
        <w:tc>
          <w:tcPr>
            <w:tcW w:w="2404" w:type="dxa"/>
            <w:tcBorders>
              <w:bottom w:val="single" w:color="000000" w:sz="10" w:space="0"/>
            </w:tcBorders>
            <w:vAlign w:val="top"/>
          </w:tcPr>
          <w:p w14:paraId="40CE9D01">
            <w:pPr>
              <w:rPr>
                <w:rFonts w:ascii="Arial"/>
                <w:sz w:val="21"/>
              </w:rPr>
            </w:pPr>
          </w:p>
        </w:tc>
        <w:tc>
          <w:tcPr>
            <w:tcW w:w="1456" w:type="dxa"/>
            <w:vMerge w:val="continue"/>
            <w:tcBorders>
              <w:top w:val="nil"/>
              <w:bottom w:val="single" w:color="000000" w:sz="10" w:space="0"/>
              <w:right w:val="single" w:color="000000" w:sz="10" w:space="0"/>
            </w:tcBorders>
            <w:vAlign w:val="top"/>
          </w:tcPr>
          <w:p w14:paraId="1F8AF773">
            <w:pPr>
              <w:rPr>
                <w:rFonts w:ascii="Arial"/>
                <w:sz w:val="21"/>
              </w:rPr>
            </w:pPr>
          </w:p>
        </w:tc>
      </w:tr>
    </w:tbl>
    <w:p w14:paraId="5F42841B">
      <w:pPr>
        <w:spacing w:line="276" w:lineRule="auto"/>
        <w:rPr>
          <w:rFonts w:ascii="Arial"/>
          <w:sz w:val="21"/>
        </w:rPr>
      </w:pPr>
    </w:p>
    <w:p w14:paraId="69D10B77">
      <w:pPr>
        <w:spacing w:before="65" w:line="227" w:lineRule="auto"/>
        <w:ind w:left="308"/>
        <w:rPr>
          <w:rFonts w:ascii="宋体" w:hAnsi="宋体" w:eastAsia="宋体" w:cs="宋体"/>
          <w:sz w:val="20"/>
          <w:szCs w:val="20"/>
        </w:rPr>
      </w:pPr>
      <w:r>
        <w:rPr>
          <w:rFonts w:ascii="宋体" w:hAnsi="宋体" w:eastAsia="宋体" w:cs="宋体"/>
          <w:spacing w:val="9"/>
          <w:sz w:val="20"/>
          <w:szCs w:val="20"/>
        </w:rPr>
        <w:t>注：1、若投标人中标须按本招标文件的约定执</w:t>
      </w:r>
      <w:r>
        <w:rPr>
          <w:rFonts w:ascii="宋体" w:hAnsi="宋体" w:eastAsia="宋体" w:cs="宋体"/>
          <w:spacing w:val="8"/>
          <w:sz w:val="20"/>
          <w:szCs w:val="20"/>
        </w:rPr>
        <w:t>行。</w:t>
      </w:r>
    </w:p>
    <w:p w14:paraId="5E183EF7">
      <w:pPr>
        <w:spacing w:before="28" w:line="226" w:lineRule="auto"/>
        <w:ind w:left="731"/>
        <w:rPr>
          <w:rFonts w:ascii="宋体" w:hAnsi="宋体" w:eastAsia="宋体" w:cs="宋体"/>
          <w:sz w:val="20"/>
          <w:szCs w:val="20"/>
        </w:rPr>
      </w:pPr>
      <w:r>
        <w:rPr>
          <w:rFonts w:ascii="宋体" w:hAnsi="宋体" w:eastAsia="宋体" w:cs="宋体"/>
          <w:spacing w:val="8"/>
          <w:sz w:val="20"/>
          <w:szCs w:val="20"/>
        </w:rPr>
        <w:t>2、本表填写的造价不属于投标报价的内容。</w:t>
      </w:r>
    </w:p>
    <w:p w14:paraId="5FC2377D">
      <w:pPr>
        <w:spacing w:before="28" w:line="226" w:lineRule="auto"/>
        <w:ind w:left="731"/>
        <w:rPr>
          <w:rFonts w:ascii="宋体" w:hAnsi="宋体" w:eastAsia="宋体" w:cs="宋体"/>
          <w:spacing w:val="8"/>
          <w:sz w:val="20"/>
          <w:szCs w:val="20"/>
        </w:rPr>
      </w:pPr>
      <w:r>
        <w:rPr>
          <w:rFonts w:ascii="宋体" w:hAnsi="宋体" w:eastAsia="宋体" w:cs="宋体"/>
          <w:spacing w:val="8"/>
          <w:sz w:val="20"/>
          <w:szCs w:val="20"/>
        </w:rPr>
        <w:t>3、如投标人不具备拟分包工程所需的某专项工程相应资质或投标人如有分包计划，应符合招标文件第二章“投标人须知 ” 第 1.11款规定，且按本表的要求填写。</w:t>
      </w:r>
    </w:p>
    <w:p w14:paraId="6E613E02">
      <w:pPr>
        <w:pStyle w:val="2"/>
        <w:spacing w:line="316" w:lineRule="auto"/>
        <w:rPr>
          <w:rFonts w:ascii="宋体" w:hAnsi="宋体" w:eastAsia="宋体" w:cs="宋体"/>
          <w:spacing w:val="8"/>
          <w:sz w:val="20"/>
          <w:szCs w:val="20"/>
        </w:rPr>
      </w:pPr>
    </w:p>
    <w:p w14:paraId="526537D2">
      <w:pPr>
        <w:pStyle w:val="2"/>
        <w:spacing w:line="316" w:lineRule="auto"/>
        <w:rPr>
          <w:rFonts w:ascii="宋体" w:hAnsi="宋体" w:eastAsia="宋体" w:cs="宋体"/>
          <w:spacing w:val="8"/>
          <w:sz w:val="20"/>
          <w:szCs w:val="20"/>
        </w:rPr>
      </w:pPr>
    </w:p>
    <w:p w14:paraId="20481519">
      <w:pPr>
        <w:pStyle w:val="2"/>
        <w:spacing w:line="316" w:lineRule="auto"/>
        <w:rPr>
          <w:rFonts w:ascii="宋体" w:hAnsi="宋体" w:eastAsia="宋体" w:cs="宋体"/>
          <w:spacing w:val="8"/>
          <w:sz w:val="20"/>
          <w:szCs w:val="20"/>
        </w:rPr>
      </w:pPr>
    </w:p>
    <w:p w14:paraId="01A73E14">
      <w:pPr>
        <w:pStyle w:val="2"/>
        <w:spacing w:line="316" w:lineRule="auto"/>
        <w:rPr>
          <w:rFonts w:ascii="宋体" w:hAnsi="宋体" w:eastAsia="宋体" w:cs="宋体"/>
          <w:spacing w:val="8"/>
          <w:sz w:val="20"/>
          <w:szCs w:val="20"/>
        </w:rPr>
      </w:pPr>
    </w:p>
    <w:p w14:paraId="06B1EA13">
      <w:pPr>
        <w:pStyle w:val="2"/>
        <w:spacing w:line="316" w:lineRule="auto"/>
        <w:rPr>
          <w:rFonts w:ascii="宋体" w:hAnsi="宋体" w:eastAsia="宋体" w:cs="宋体"/>
          <w:spacing w:val="8"/>
          <w:sz w:val="20"/>
          <w:szCs w:val="20"/>
        </w:rPr>
      </w:pPr>
    </w:p>
    <w:p w14:paraId="3A3BFC11">
      <w:pPr>
        <w:pStyle w:val="2"/>
        <w:spacing w:line="316" w:lineRule="auto"/>
      </w:pPr>
    </w:p>
    <w:p w14:paraId="36D3C932">
      <w:pPr>
        <w:pStyle w:val="2"/>
        <w:spacing w:line="316" w:lineRule="auto"/>
      </w:pPr>
    </w:p>
    <w:p w14:paraId="00E7673F">
      <w:pPr>
        <w:pStyle w:val="2"/>
        <w:spacing w:line="316" w:lineRule="auto"/>
      </w:pPr>
    </w:p>
    <w:p w14:paraId="62B76A98">
      <w:pPr>
        <w:spacing w:before="88" w:line="226" w:lineRule="auto"/>
        <w:jc w:val="center"/>
        <w:rPr>
          <w:rFonts w:ascii="宋体" w:hAnsi="宋体" w:eastAsia="宋体" w:cs="宋体"/>
          <w:sz w:val="27"/>
          <w:szCs w:val="27"/>
        </w:rPr>
      </w:pPr>
      <w:r>
        <w:rPr>
          <w:rFonts w:hint="eastAsia" w:ascii="宋体" w:hAnsi="宋体" w:cs="宋体"/>
          <w:b/>
          <w:bCs/>
          <w:spacing w:val="7"/>
          <w:sz w:val="27"/>
          <w:szCs w:val="27"/>
          <w:lang w:val="en-US" w:eastAsia="zh-CN"/>
        </w:rPr>
        <w:t>八</w:t>
      </w:r>
      <w:r>
        <w:rPr>
          <w:rFonts w:ascii="宋体" w:hAnsi="宋体" w:eastAsia="宋体" w:cs="宋体"/>
          <w:b/>
          <w:bCs/>
          <w:spacing w:val="7"/>
          <w:sz w:val="27"/>
          <w:szCs w:val="27"/>
        </w:rPr>
        <w:t>、资格审查资料</w:t>
      </w:r>
    </w:p>
    <w:p w14:paraId="354D4E86">
      <w:pPr>
        <w:pStyle w:val="2"/>
        <w:spacing w:line="465" w:lineRule="auto"/>
      </w:pPr>
    </w:p>
    <w:p w14:paraId="66D57A93">
      <w:pPr>
        <w:spacing w:before="78" w:line="219" w:lineRule="auto"/>
        <w:ind w:left="15"/>
        <w:rPr>
          <w:rFonts w:ascii="宋体" w:hAnsi="宋体" w:eastAsia="宋体" w:cs="宋体"/>
          <w:sz w:val="24"/>
          <w:szCs w:val="24"/>
        </w:rPr>
      </w:pPr>
      <w:r>
        <w:rPr>
          <w:rFonts w:ascii="宋体" w:hAnsi="宋体" w:eastAsia="宋体" w:cs="宋体"/>
          <w:spacing w:val="-3"/>
          <w:sz w:val="24"/>
          <w:szCs w:val="24"/>
        </w:rPr>
        <w:t>（一）投标人基本情况表</w:t>
      </w:r>
    </w:p>
    <w:p w14:paraId="5EBDE91B">
      <w:pPr>
        <w:spacing w:before="183" w:line="219" w:lineRule="auto"/>
        <w:ind w:left="15"/>
        <w:rPr>
          <w:rFonts w:ascii="宋体" w:hAnsi="宋体" w:eastAsia="宋体" w:cs="宋体"/>
          <w:sz w:val="24"/>
          <w:szCs w:val="24"/>
        </w:rPr>
      </w:pPr>
      <w:r>
        <w:rPr>
          <w:rFonts w:ascii="宋体" w:hAnsi="宋体" w:eastAsia="宋体" w:cs="宋体"/>
          <w:spacing w:val="-3"/>
          <w:sz w:val="24"/>
          <w:szCs w:val="24"/>
        </w:rPr>
        <w:t>（二）投标人企业组织机构框图</w:t>
      </w:r>
    </w:p>
    <w:p w14:paraId="468353F9">
      <w:pPr>
        <w:spacing w:before="182" w:line="220" w:lineRule="auto"/>
        <w:ind w:left="15"/>
        <w:rPr>
          <w:rFonts w:ascii="宋体" w:hAnsi="宋体" w:eastAsia="宋体" w:cs="宋体"/>
          <w:sz w:val="24"/>
          <w:szCs w:val="24"/>
        </w:rPr>
      </w:pPr>
      <w:r>
        <w:rPr>
          <w:rFonts w:ascii="宋体" w:hAnsi="宋体" w:eastAsia="宋体" w:cs="宋体"/>
          <w:spacing w:val="-3"/>
          <w:sz w:val="24"/>
          <w:szCs w:val="24"/>
        </w:rPr>
        <w:t>（三）近年财务状况表</w:t>
      </w:r>
    </w:p>
    <w:p w14:paraId="262032C8">
      <w:pPr>
        <w:spacing w:before="182" w:line="220" w:lineRule="auto"/>
        <w:ind w:left="15"/>
        <w:rPr>
          <w:rFonts w:ascii="宋体" w:hAnsi="宋体" w:eastAsia="宋体" w:cs="宋体"/>
          <w:sz w:val="24"/>
          <w:szCs w:val="24"/>
        </w:rPr>
      </w:pPr>
      <w:r>
        <w:rPr>
          <w:rFonts w:ascii="宋体" w:hAnsi="宋体" w:eastAsia="宋体" w:cs="宋体"/>
          <w:spacing w:val="-2"/>
          <w:sz w:val="24"/>
          <w:szCs w:val="24"/>
        </w:rPr>
        <w:t>（四）近年完成的类似项目情况表</w:t>
      </w:r>
    </w:p>
    <w:p w14:paraId="7E59C599">
      <w:pPr>
        <w:spacing w:before="182" w:line="220" w:lineRule="auto"/>
        <w:ind w:left="15"/>
        <w:rPr>
          <w:rFonts w:ascii="宋体" w:hAnsi="宋体" w:eastAsia="宋体" w:cs="宋体"/>
          <w:sz w:val="24"/>
          <w:szCs w:val="24"/>
        </w:rPr>
      </w:pPr>
      <w:r>
        <w:rPr>
          <w:rFonts w:ascii="宋体" w:hAnsi="宋体" w:eastAsia="宋体" w:cs="宋体"/>
          <w:spacing w:val="-2"/>
          <w:sz w:val="24"/>
          <w:szCs w:val="24"/>
        </w:rPr>
        <w:t>（四）-1</w:t>
      </w:r>
      <w:r>
        <w:rPr>
          <w:rFonts w:ascii="宋体" w:hAnsi="宋体" w:eastAsia="宋体" w:cs="宋体"/>
          <w:spacing w:val="-46"/>
          <w:sz w:val="24"/>
          <w:szCs w:val="24"/>
        </w:rPr>
        <w:t xml:space="preserve"> </w:t>
      </w:r>
      <w:r>
        <w:rPr>
          <w:rFonts w:ascii="宋体" w:hAnsi="宋体" w:eastAsia="宋体" w:cs="宋体"/>
          <w:spacing w:val="-2"/>
          <w:sz w:val="24"/>
          <w:szCs w:val="24"/>
        </w:rPr>
        <w:t>完成的类似项目情况表</w:t>
      </w:r>
    </w:p>
    <w:p w14:paraId="73D0603C">
      <w:pPr>
        <w:spacing w:before="182" w:line="220" w:lineRule="auto"/>
        <w:ind w:left="15"/>
        <w:rPr>
          <w:rFonts w:ascii="宋体" w:hAnsi="宋体" w:eastAsia="宋体" w:cs="宋体"/>
          <w:sz w:val="24"/>
          <w:szCs w:val="24"/>
        </w:rPr>
      </w:pPr>
      <w:r>
        <w:rPr>
          <w:rFonts w:ascii="宋体" w:hAnsi="宋体" w:eastAsia="宋体" w:cs="宋体"/>
          <w:spacing w:val="-2"/>
          <w:sz w:val="24"/>
          <w:szCs w:val="24"/>
        </w:rPr>
        <w:t>（四）-2</w:t>
      </w:r>
      <w:r>
        <w:rPr>
          <w:rFonts w:ascii="宋体" w:hAnsi="宋体" w:eastAsia="宋体" w:cs="宋体"/>
          <w:spacing w:val="-42"/>
          <w:sz w:val="24"/>
          <w:szCs w:val="24"/>
        </w:rPr>
        <w:t xml:space="preserve"> </w:t>
      </w:r>
      <w:r>
        <w:rPr>
          <w:rFonts w:ascii="宋体" w:hAnsi="宋体" w:eastAsia="宋体" w:cs="宋体"/>
          <w:spacing w:val="-2"/>
          <w:sz w:val="24"/>
          <w:szCs w:val="24"/>
        </w:rPr>
        <w:t>完成的类似项目情况汇总表</w:t>
      </w:r>
    </w:p>
    <w:p w14:paraId="71A765CD">
      <w:pPr>
        <w:spacing w:before="182" w:line="219" w:lineRule="auto"/>
        <w:ind w:left="15"/>
        <w:rPr>
          <w:rFonts w:ascii="宋体" w:hAnsi="宋体" w:eastAsia="宋体" w:cs="宋体"/>
          <w:sz w:val="24"/>
          <w:szCs w:val="24"/>
        </w:rPr>
      </w:pPr>
      <w:r>
        <w:rPr>
          <w:rFonts w:ascii="宋体" w:hAnsi="宋体" w:eastAsia="宋体" w:cs="宋体"/>
          <w:spacing w:val="-3"/>
          <w:sz w:val="24"/>
          <w:szCs w:val="24"/>
        </w:rPr>
        <w:t>（五）投标人的信誉情况表</w:t>
      </w:r>
    </w:p>
    <w:p w14:paraId="49E237DC">
      <w:pPr>
        <w:spacing w:before="184" w:line="219" w:lineRule="auto"/>
        <w:ind w:left="15"/>
        <w:rPr>
          <w:rFonts w:ascii="宋体" w:hAnsi="宋体" w:eastAsia="宋体" w:cs="宋体"/>
          <w:sz w:val="24"/>
          <w:szCs w:val="24"/>
        </w:rPr>
      </w:pPr>
      <w:r>
        <w:rPr>
          <w:rFonts w:ascii="宋体" w:hAnsi="宋体" w:eastAsia="宋体" w:cs="宋体"/>
          <w:spacing w:val="-1"/>
          <w:sz w:val="24"/>
          <w:szCs w:val="24"/>
        </w:rPr>
        <w:t>（六）拟委任的项目经理和项目总工等主要管理人员情</w:t>
      </w:r>
      <w:r>
        <w:rPr>
          <w:rFonts w:ascii="宋体" w:hAnsi="宋体" w:eastAsia="宋体" w:cs="宋体"/>
          <w:spacing w:val="-2"/>
          <w:sz w:val="24"/>
          <w:szCs w:val="24"/>
        </w:rPr>
        <w:t>况表</w:t>
      </w:r>
    </w:p>
    <w:p w14:paraId="45EE73F2">
      <w:pPr>
        <w:spacing w:before="183" w:line="219" w:lineRule="auto"/>
        <w:ind w:left="15"/>
        <w:rPr>
          <w:rFonts w:ascii="宋体" w:hAnsi="宋体" w:eastAsia="宋体" w:cs="宋体"/>
          <w:sz w:val="24"/>
          <w:szCs w:val="24"/>
        </w:rPr>
      </w:pPr>
      <w:r>
        <w:rPr>
          <w:rFonts w:ascii="宋体" w:hAnsi="宋体" w:eastAsia="宋体" w:cs="宋体"/>
          <w:spacing w:val="-1"/>
          <w:sz w:val="24"/>
          <w:szCs w:val="24"/>
        </w:rPr>
        <w:t>（六）-1</w:t>
      </w:r>
      <w:r>
        <w:rPr>
          <w:rFonts w:ascii="宋体" w:hAnsi="宋体" w:eastAsia="宋体" w:cs="宋体"/>
          <w:spacing w:val="-49"/>
          <w:sz w:val="24"/>
          <w:szCs w:val="24"/>
        </w:rPr>
        <w:t xml:space="preserve"> </w:t>
      </w:r>
      <w:r>
        <w:rPr>
          <w:rFonts w:ascii="宋体" w:hAnsi="宋体" w:eastAsia="宋体" w:cs="宋体"/>
          <w:spacing w:val="-1"/>
          <w:sz w:val="24"/>
          <w:szCs w:val="24"/>
        </w:rPr>
        <w:t>拟委任的项目经理和项目总工等主要管理人员汇总表</w:t>
      </w:r>
    </w:p>
    <w:p w14:paraId="19056261">
      <w:pPr>
        <w:spacing w:before="183" w:line="219" w:lineRule="auto"/>
        <w:ind w:left="15"/>
        <w:rPr>
          <w:rFonts w:ascii="宋体" w:hAnsi="宋体" w:eastAsia="宋体" w:cs="宋体"/>
          <w:sz w:val="24"/>
          <w:szCs w:val="24"/>
        </w:rPr>
      </w:pPr>
      <w:r>
        <w:rPr>
          <w:rFonts w:ascii="宋体" w:hAnsi="宋体" w:eastAsia="宋体" w:cs="宋体"/>
          <w:spacing w:val="-1"/>
          <w:sz w:val="24"/>
          <w:szCs w:val="24"/>
        </w:rPr>
        <w:t>（六）-2</w:t>
      </w:r>
      <w:r>
        <w:rPr>
          <w:rFonts w:ascii="宋体" w:hAnsi="宋体" w:eastAsia="宋体" w:cs="宋体"/>
          <w:spacing w:val="-49"/>
          <w:sz w:val="24"/>
          <w:szCs w:val="24"/>
        </w:rPr>
        <w:t xml:space="preserve"> </w:t>
      </w:r>
      <w:r>
        <w:rPr>
          <w:rFonts w:ascii="宋体" w:hAnsi="宋体" w:eastAsia="宋体" w:cs="宋体"/>
          <w:spacing w:val="-1"/>
          <w:sz w:val="24"/>
          <w:szCs w:val="24"/>
        </w:rPr>
        <w:t>拟委任的项目经理和项目总工等主要管理人员资历表</w:t>
      </w:r>
    </w:p>
    <w:p w14:paraId="7C4D73C3">
      <w:pPr>
        <w:spacing w:before="183" w:line="219" w:lineRule="auto"/>
        <w:ind w:left="15"/>
        <w:rPr>
          <w:rFonts w:ascii="宋体" w:hAnsi="宋体" w:eastAsia="宋体" w:cs="宋体"/>
          <w:sz w:val="24"/>
          <w:szCs w:val="24"/>
        </w:rPr>
      </w:pPr>
      <w:r>
        <w:rPr>
          <w:rFonts w:ascii="宋体" w:hAnsi="宋体" w:eastAsia="宋体" w:cs="宋体"/>
          <w:spacing w:val="-2"/>
          <w:sz w:val="24"/>
          <w:szCs w:val="24"/>
        </w:rPr>
        <w:t>（七）拟委任的其他管理和技术人员情况表</w:t>
      </w:r>
    </w:p>
    <w:p w14:paraId="7A1600B0">
      <w:pPr>
        <w:spacing w:before="184" w:line="219" w:lineRule="auto"/>
        <w:ind w:left="15"/>
        <w:rPr>
          <w:rFonts w:ascii="宋体" w:hAnsi="宋体" w:eastAsia="宋体" w:cs="宋体"/>
          <w:sz w:val="24"/>
          <w:szCs w:val="24"/>
        </w:rPr>
      </w:pPr>
      <w:r>
        <w:rPr>
          <w:rFonts w:ascii="宋体" w:hAnsi="宋体" w:eastAsia="宋体" w:cs="宋体"/>
          <w:spacing w:val="-2"/>
          <w:sz w:val="24"/>
          <w:szCs w:val="24"/>
        </w:rPr>
        <w:t>（七）-1</w:t>
      </w:r>
      <w:r>
        <w:rPr>
          <w:rFonts w:ascii="宋体" w:hAnsi="宋体" w:eastAsia="宋体" w:cs="宋体"/>
          <w:spacing w:val="-35"/>
          <w:sz w:val="24"/>
          <w:szCs w:val="24"/>
        </w:rPr>
        <w:t xml:space="preserve"> </w:t>
      </w:r>
      <w:r>
        <w:rPr>
          <w:rFonts w:ascii="宋体" w:hAnsi="宋体" w:eastAsia="宋体" w:cs="宋体"/>
          <w:spacing w:val="-2"/>
          <w:sz w:val="24"/>
          <w:szCs w:val="24"/>
        </w:rPr>
        <w:t>拟委任的其他管理和技术人员汇总表</w:t>
      </w:r>
    </w:p>
    <w:p w14:paraId="2AFC3763">
      <w:pPr>
        <w:spacing w:before="183" w:line="219" w:lineRule="auto"/>
        <w:ind w:left="15"/>
        <w:rPr>
          <w:rFonts w:ascii="宋体" w:hAnsi="宋体" w:eastAsia="宋体" w:cs="宋体"/>
          <w:sz w:val="24"/>
          <w:szCs w:val="24"/>
        </w:rPr>
      </w:pPr>
      <w:r>
        <w:rPr>
          <w:rFonts w:ascii="宋体" w:hAnsi="宋体" w:eastAsia="宋体" w:cs="宋体"/>
          <w:spacing w:val="-2"/>
          <w:sz w:val="24"/>
          <w:szCs w:val="24"/>
        </w:rPr>
        <w:t>（七）-2</w:t>
      </w:r>
      <w:r>
        <w:rPr>
          <w:rFonts w:ascii="宋体" w:hAnsi="宋体" w:eastAsia="宋体" w:cs="宋体"/>
          <w:spacing w:val="-35"/>
          <w:sz w:val="24"/>
          <w:szCs w:val="24"/>
        </w:rPr>
        <w:t xml:space="preserve"> </w:t>
      </w:r>
      <w:r>
        <w:rPr>
          <w:rFonts w:ascii="宋体" w:hAnsi="宋体" w:eastAsia="宋体" w:cs="宋体"/>
          <w:spacing w:val="-2"/>
          <w:sz w:val="24"/>
          <w:szCs w:val="24"/>
        </w:rPr>
        <w:t>拟委任的其他管理和技术人员资历表</w:t>
      </w:r>
    </w:p>
    <w:p w14:paraId="1A91D78C">
      <w:pPr>
        <w:spacing w:before="183" w:line="219" w:lineRule="auto"/>
        <w:ind w:left="15"/>
        <w:rPr>
          <w:rFonts w:ascii="宋体" w:hAnsi="宋体" w:eastAsia="宋体" w:cs="宋体"/>
          <w:sz w:val="24"/>
          <w:szCs w:val="24"/>
        </w:rPr>
      </w:pPr>
      <w:r>
        <w:rPr>
          <w:rFonts w:ascii="宋体" w:hAnsi="宋体" w:eastAsia="宋体" w:cs="宋体"/>
          <w:spacing w:val="-2"/>
          <w:sz w:val="24"/>
          <w:szCs w:val="24"/>
        </w:rPr>
        <w:t>（八）拟投入本标段的主要设备表</w:t>
      </w:r>
    </w:p>
    <w:p w14:paraId="35BE581A">
      <w:pPr>
        <w:spacing w:line="219" w:lineRule="auto"/>
        <w:rPr>
          <w:rFonts w:ascii="宋体" w:hAnsi="宋体" w:eastAsia="宋体" w:cs="宋体"/>
          <w:sz w:val="24"/>
          <w:szCs w:val="24"/>
        </w:rPr>
        <w:sectPr>
          <w:footerReference r:id="rId184" w:type="default"/>
          <w:pgSz w:w="11905" w:h="16840"/>
          <w:pgMar w:top="1182" w:right="1416" w:bottom="1171" w:left="1416" w:header="849" w:footer="937" w:gutter="0"/>
          <w:pgNumType w:fmt="decimal"/>
          <w:cols w:space="720" w:num="1"/>
        </w:sectPr>
      </w:pPr>
    </w:p>
    <w:p w14:paraId="35108E73">
      <w:pPr>
        <w:pStyle w:val="2"/>
        <w:spacing w:line="315" w:lineRule="auto"/>
      </w:pPr>
    </w:p>
    <w:p w14:paraId="4A934787">
      <w:pPr>
        <w:spacing w:before="88" w:line="226" w:lineRule="auto"/>
        <w:ind w:left="3126"/>
        <w:rPr>
          <w:rFonts w:ascii="宋体" w:hAnsi="宋体" w:eastAsia="宋体" w:cs="宋体"/>
          <w:sz w:val="27"/>
          <w:szCs w:val="27"/>
        </w:rPr>
      </w:pPr>
      <w:r>
        <w:rPr>
          <w:rFonts w:ascii="宋体" w:hAnsi="宋体" w:eastAsia="宋体" w:cs="宋体"/>
          <w:b/>
          <w:bCs/>
          <w:spacing w:val="4"/>
          <w:sz w:val="27"/>
          <w:szCs w:val="27"/>
        </w:rPr>
        <w:t>（一）投标人基本情况表</w:t>
      </w:r>
    </w:p>
    <w:p w14:paraId="04D2D0C0">
      <w:pPr>
        <w:spacing w:before="37"/>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5"/>
        <w:gridCol w:w="1124"/>
        <w:gridCol w:w="1458"/>
        <w:gridCol w:w="810"/>
        <w:gridCol w:w="300"/>
        <w:gridCol w:w="1512"/>
        <w:gridCol w:w="795"/>
        <w:gridCol w:w="1698"/>
      </w:tblGrid>
      <w:tr w14:paraId="39AB0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595" w:type="dxa"/>
            <w:vAlign w:val="top"/>
          </w:tcPr>
          <w:p w14:paraId="02DB2904">
            <w:pPr>
              <w:pStyle w:val="9"/>
              <w:spacing w:before="226" w:line="220" w:lineRule="auto"/>
              <w:ind w:left="280"/>
            </w:pPr>
            <w:r>
              <w:rPr>
                <w:spacing w:val="-2"/>
              </w:rPr>
              <w:t>投标人名称</w:t>
            </w:r>
          </w:p>
        </w:tc>
        <w:tc>
          <w:tcPr>
            <w:tcW w:w="3692" w:type="dxa"/>
            <w:gridSpan w:val="4"/>
            <w:vAlign w:val="top"/>
          </w:tcPr>
          <w:p w14:paraId="264569E8">
            <w:pPr>
              <w:rPr>
                <w:rFonts w:ascii="Arial"/>
                <w:sz w:val="21"/>
              </w:rPr>
            </w:pPr>
          </w:p>
        </w:tc>
        <w:tc>
          <w:tcPr>
            <w:tcW w:w="1512" w:type="dxa"/>
            <w:vAlign w:val="top"/>
          </w:tcPr>
          <w:p w14:paraId="52C3C67A">
            <w:pPr>
              <w:rPr>
                <w:rFonts w:ascii="Arial"/>
                <w:sz w:val="21"/>
              </w:rPr>
            </w:pPr>
          </w:p>
        </w:tc>
        <w:tc>
          <w:tcPr>
            <w:tcW w:w="2493" w:type="dxa"/>
            <w:gridSpan w:val="2"/>
            <w:vAlign w:val="top"/>
          </w:tcPr>
          <w:p w14:paraId="51826170">
            <w:pPr>
              <w:rPr>
                <w:rFonts w:ascii="Arial"/>
                <w:sz w:val="21"/>
              </w:rPr>
            </w:pPr>
          </w:p>
        </w:tc>
      </w:tr>
      <w:tr w14:paraId="3D01B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Align w:val="top"/>
          </w:tcPr>
          <w:p w14:paraId="4A9980E2">
            <w:pPr>
              <w:pStyle w:val="9"/>
              <w:spacing w:before="221" w:line="221" w:lineRule="auto"/>
              <w:ind w:left="382"/>
            </w:pPr>
            <w:r>
              <w:rPr>
                <w:spacing w:val="-2"/>
              </w:rPr>
              <w:t>注册地址</w:t>
            </w:r>
          </w:p>
        </w:tc>
        <w:tc>
          <w:tcPr>
            <w:tcW w:w="3692" w:type="dxa"/>
            <w:gridSpan w:val="4"/>
            <w:vAlign w:val="top"/>
          </w:tcPr>
          <w:p w14:paraId="19C9D1DA">
            <w:pPr>
              <w:rPr>
                <w:rFonts w:ascii="Arial"/>
                <w:sz w:val="21"/>
              </w:rPr>
            </w:pPr>
          </w:p>
        </w:tc>
        <w:tc>
          <w:tcPr>
            <w:tcW w:w="1512" w:type="dxa"/>
            <w:vAlign w:val="top"/>
          </w:tcPr>
          <w:p w14:paraId="7DDF95DF">
            <w:pPr>
              <w:pStyle w:val="9"/>
              <w:spacing w:before="220" w:line="220" w:lineRule="auto"/>
              <w:ind w:left="357"/>
            </w:pPr>
            <w:r>
              <w:rPr>
                <w:spacing w:val="-5"/>
              </w:rPr>
              <w:t>邮政编码</w:t>
            </w:r>
          </w:p>
        </w:tc>
        <w:tc>
          <w:tcPr>
            <w:tcW w:w="2493" w:type="dxa"/>
            <w:gridSpan w:val="2"/>
            <w:vAlign w:val="top"/>
          </w:tcPr>
          <w:p w14:paraId="0A2437F9">
            <w:pPr>
              <w:rPr>
                <w:rFonts w:ascii="Arial"/>
                <w:sz w:val="21"/>
              </w:rPr>
            </w:pPr>
          </w:p>
        </w:tc>
      </w:tr>
      <w:tr w14:paraId="54CF9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Merge w:val="restart"/>
            <w:tcBorders>
              <w:bottom w:val="nil"/>
            </w:tcBorders>
            <w:vAlign w:val="top"/>
          </w:tcPr>
          <w:p w14:paraId="0A5CABF9">
            <w:pPr>
              <w:spacing w:line="439" w:lineRule="auto"/>
              <w:rPr>
                <w:rFonts w:ascii="Arial"/>
                <w:sz w:val="21"/>
              </w:rPr>
            </w:pPr>
          </w:p>
          <w:p w14:paraId="77A2A55D">
            <w:pPr>
              <w:pStyle w:val="9"/>
              <w:spacing w:before="69" w:line="221" w:lineRule="auto"/>
              <w:ind w:left="383"/>
            </w:pPr>
            <w:r>
              <w:rPr>
                <w:spacing w:val="-2"/>
              </w:rPr>
              <w:t>联系方式</w:t>
            </w:r>
          </w:p>
        </w:tc>
        <w:tc>
          <w:tcPr>
            <w:tcW w:w="1124" w:type="dxa"/>
            <w:vAlign w:val="top"/>
          </w:tcPr>
          <w:p w14:paraId="05F9B64D">
            <w:pPr>
              <w:pStyle w:val="9"/>
              <w:spacing w:before="221" w:line="222" w:lineRule="auto"/>
              <w:ind w:left="252"/>
            </w:pPr>
            <w:r>
              <w:rPr>
                <w:spacing w:val="-3"/>
              </w:rPr>
              <w:t>联系人</w:t>
            </w:r>
          </w:p>
        </w:tc>
        <w:tc>
          <w:tcPr>
            <w:tcW w:w="2568" w:type="dxa"/>
            <w:gridSpan w:val="3"/>
            <w:vAlign w:val="top"/>
          </w:tcPr>
          <w:p w14:paraId="2472EF19">
            <w:pPr>
              <w:rPr>
                <w:rFonts w:ascii="Arial"/>
                <w:sz w:val="21"/>
              </w:rPr>
            </w:pPr>
          </w:p>
        </w:tc>
        <w:tc>
          <w:tcPr>
            <w:tcW w:w="1512" w:type="dxa"/>
            <w:vAlign w:val="top"/>
          </w:tcPr>
          <w:p w14:paraId="575F0843">
            <w:pPr>
              <w:pStyle w:val="9"/>
              <w:spacing w:before="221" w:line="222" w:lineRule="auto"/>
              <w:ind w:left="576"/>
            </w:pPr>
            <w:r>
              <w:rPr>
                <w:spacing w:val="-9"/>
              </w:rPr>
              <w:t>电话</w:t>
            </w:r>
          </w:p>
        </w:tc>
        <w:tc>
          <w:tcPr>
            <w:tcW w:w="2493" w:type="dxa"/>
            <w:gridSpan w:val="2"/>
            <w:vAlign w:val="top"/>
          </w:tcPr>
          <w:p w14:paraId="191FD19E">
            <w:pPr>
              <w:rPr>
                <w:rFonts w:ascii="Arial"/>
                <w:sz w:val="21"/>
              </w:rPr>
            </w:pPr>
          </w:p>
        </w:tc>
      </w:tr>
      <w:tr w14:paraId="22209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Merge w:val="continue"/>
            <w:tcBorders>
              <w:top w:val="nil"/>
            </w:tcBorders>
            <w:vAlign w:val="top"/>
          </w:tcPr>
          <w:p w14:paraId="024385A7">
            <w:pPr>
              <w:rPr>
                <w:rFonts w:ascii="Arial"/>
                <w:sz w:val="21"/>
              </w:rPr>
            </w:pPr>
          </w:p>
        </w:tc>
        <w:tc>
          <w:tcPr>
            <w:tcW w:w="1124" w:type="dxa"/>
            <w:vAlign w:val="top"/>
          </w:tcPr>
          <w:p w14:paraId="0292559C">
            <w:pPr>
              <w:pStyle w:val="9"/>
              <w:spacing w:before="221" w:line="219" w:lineRule="auto"/>
              <w:ind w:left="354"/>
            </w:pPr>
            <w:r>
              <w:rPr>
                <w:spacing w:val="-2"/>
              </w:rPr>
              <w:t>传真</w:t>
            </w:r>
          </w:p>
        </w:tc>
        <w:tc>
          <w:tcPr>
            <w:tcW w:w="2568" w:type="dxa"/>
            <w:gridSpan w:val="3"/>
            <w:vAlign w:val="top"/>
          </w:tcPr>
          <w:p w14:paraId="39BAF4EE">
            <w:pPr>
              <w:rPr>
                <w:rFonts w:ascii="Arial"/>
                <w:sz w:val="21"/>
              </w:rPr>
            </w:pPr>
          </w:p>
        </w:tc>
        <w:tc>
          <w:tcPr>
            <w:tcW w:w="1512" w:type="dxa"/>
            <w:vAlign w:val="top"/>
          </w:tcPr>
          <w:p w14:paraId="72E1AA5A">
            <w:pPr>
              <w:pStyle w:val="9"/>
              <w:spacing w:before="221" w:line="220" w:lineRule="auto"/>
              <w:ind w:left="366"/>
            </w:pPr>
            <w:r>
              <w:rPr>
                <w:spacing w:val="-7"/>
              </w:rPr>
              <w:t>电子邮件</w:t>
            </w:r>
          </w:p>
        </w:tc>
        <w:tc>
          <w:tcPr>
            <w:tcW w:w="2493" w:type="dxa"/>
            <w:gridSpan w:val="2"/>
            <w:vAlign w:val="top"/>
          </w:tcPr>
          <w:p w14:paraId="3D21C7A5">
            <w:pPr>
              <w:rPr>
                <w:rFonts w:ascii="Arial"/>
                <w:sz w:val="21"/>
              </w:rPr>
            </w:pPr>
          </w:p>
        </w:tc>
      </w:tr>
      <w:tr w14:paraId="786B7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95" w:type="dxa"/>
            <w:vAlign w:val="top"/>
          </w:tcPr>
          <w:p w14:paraId="617CE954">
            <w:pPr>
              <w:pStyle w:val="9"/>
              <w:spacing w:before="220" w:line="220" w:lineRule="auto"/>
              <w:ind w:left="278"/>
            </w:pPr>
            <w:r>
              <w:rPr>
                <w:spacing w:val="-2"/>
              </w:rPr>
              <w:t>法定代表人</w:t>
            </w:r>
          </w:p>
        </w:tc>
        <w:tc>
          <w:tcPr>
            <w:tcW w:w="1124" w:type="dxa"/>
            <w:vAlign w:val="top"/>
          </w:tcPr>
          <w:p w14:paraId="0613B32A">
            <w:pPr>
              <w:pStyle w:val="9"/>
              <w:spacing w:before="220" w:line="220" w:lineRule="auto"/>
              <w:ind w:left="355"/>
            </w:pPr>
            <w:r>
              <w:rPr>
                <w:spacing w:val="-3"/>
              </w:rPr>
              <w:t>姓名</w:t>
            </w:r>
          </w:p>
        </w:tc>
        <w:tc>
          <w:tcPr>
            <w:tcW w:w="1458" w:type="dxa"/>
            <w:vAlign w:val="top"/>
          </w:tcPr>
          <w:p w14:paraId="54C21D36">
            <w:pPr>
              <w:rPr>
                <w:rFonts w:ascii="Arial"/>
                <w:sz w:val="21"/>
              </w:rPr>
            </w:pPr>
          </w:p>
        </w:tc>
        <w:tc>
          <w:tcPr>
            <w:tcW w:w="1110" w:type="dxa"/>
            <w:gridSpan w:val="2"/>
            <w:vAlign w:val="top"/>
          </w:tcPr>
          <w:p w14:paraId="3E6FA390">
            <w:pPr>
              <w:pStyle w:val="9"/>
              <w:spacing w:before="220" w:line="220" w:lineRule="auto"/>
              <w:ind w:left="141"/>
            </w:pPr>
            <w:r>
              <w:rPr>
                <w:spacing w:val="-2"/>
              </w:rPr>
              <w:t>技术职称</w:t>
            </w:r>
          </w:p>
        </w:tc>
        <w:tc>
          <w:tcPr>
            <w:tcW w:w="1512" w:type="dxa"/>
            <w:vAlign w:val="top"/>
          </w:tcPr>
          <w:p w14:paraId="04131A5B">
            <w:pPr>
              <w:rPr>
                <w:rFonts w:ascii="Arial"/>
                <w:sz w:val="21"/>
              </w:rPr>
            </w:pPr>
          </w:p>
        </w:tc>
        <w:tc>
          <w:tcPr>
            <w:tcW w:w="795" w:type="dxa"/>
            <w:vAlign w:val="top"/>
          </w:tcPr>
          <w:p w14:paraId="77B1B333">
            <w:pPr>
              <w:pStyle w:val="9"/>
              <w:spacing w:before="220" w:line="222" w:lineRule="auto"/>
              <w:ind w:left="218"/>
            </w:pPr>
            <w:r>
              <w:rPr>
                <w:spacing w:val="-9"/>
              </w:rPr>
              <w:t>电话</w:t>
            </w:r>
          </w:p>
        </w:tc>
        <w:tc>
          <w:tcPr>
            <w:tcW w:w="1698" w:type="dxa"/>
            <w:vAlign w:val="top"/>
          </w:tcPr>
          <w:p w14:paraId="5B1A7D2D">
            <w:pPr>
              <w:rPr>
                <w:rFonts w:ascii="Arial"/>
                <w:sz w:val="21"/>
              </w:rPr>
            </w:pPr>
          </w:p>
        </w:tc>
      </w:tr>
      <w:tr w14:paraId="30161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Align w:val="top"/>
          </w:tcPr>
          <w:p w14:paraId="0B72690A">
            <w:pPr>
              <w:pStyle w:val="9"/>
              <w:spacing w:before="221" w:line="220" w:lineRule="auto"/>
              <w:ind w:left="278"/>
            </w:pPr>
            <w:r>
              <w:rPr>
                <w:spacing w:val="-2"/>
              </w:rPr>
              <w:t>技术负责人</w:t>
            </w:r>
          </w:p>
        </w:tc>
        <w:tc>
          <w:tcPr>
            <w:tcW w:w="1124" w:type="dxa"/>
            <w:vAlign w:val="top"/>
          </w:tcPr>
          <w:p w14:paraId="5145A162">
            <w:pPr>
              <w:pStyle w:val="9"/>
              <w:spacing w:before="221" w:line="220" w:lineRule="auto"/>
              <w:ind w:left="355"/>
            </w:pPr>
            <w:r>
              <w:rPr>
                <w:spacing w:val="-3"/>
              </w:rPr>
              <w:t>姓名</w:t>
            </w:r>
          </w:p>
        </w:tc>
        <w:tc>
          <w:tcPr>
            <w:tcW w:w="1458" w:type="dxa"/>
            <w:vAlign w:val="top"/>
          </w:tcPr>
          <w:p w14:paraId="7AD79214">
            <w:pPr>
              <w:rPr>
                <w:rFonts w:ascii="Arial"/>
                <w:sz w:val="21"/>
              </w:rPr>
            </w:pPr>
          </w:p>
        </w:tc>
        <w:tc>
          <w:tcPr>
            <w:tcW w:w="1110" w:type="dxa"/>
            <w:gridSpan w:val="2"/>
            <w:vAlign w:val="top"/>
          </w:tcPr>
          <w:p w14:paraId="350265EE">
            <w:pPr>
              <w:pStyle w:val="9"/>
              <w:spacing w:before="221" w:line="220" w:lineRule="auto"/>
              <w:ind w:left="141"/>
            </w:pPr>
            <w:r>
              <w:rPr>
                <w:spacing w:val="-2"/>
              </w:rPr>
              <w:t>技术职称</w:t>
            </w:r>
          </w:p>
        </w:tc>
        <w:tc>
          <w:tcPr>
            <w:tcW w:w="1512" w:type="dxa"/>
            <w:vAlign w:val="top"/>
          </w:tcPr>
          <w:p w14:paraId="38A9999D">
            <w:pPr>
              <w:rPr>
                <w:rFonts w:ascii="Arial"/>
                <w:sz w:val="21"/>
              </w:rPr>
            </w:pPr>
          </w:p>
        </w:tc>
        <w:tc>
          <w:tcPr>
            <w:tcW w:w="795" w:type="dxa"/>
            <w:vAlign w:val="top"/>
          </w:tcPr>
          <w:p w14:paraId="6272FE6C">
            <w:pPr>
              <w:pStyle w:val="9"/>
              <w:spacing w:before="221" w:line="222" w:lineRule="auto"/>
              <w:ind w:left="218"/>
            </w:pPr>
            <w:r>
              <w:rPr>
                <w:spacing w:val="-9"/>
              </w:rPr>
              <w:t>电话</w:t>
            </w:r>
          </w:p>
        </w:tc>
        <w:tc>
          <w:tcPr>
            <w:tcW w:w="1698" w:type="dxa"/>
            <w:vAlign w:val="top"/>
          </w:tcPr>
          <w:p w14:paraId="3DC7CF6B">
            <w:pPr>
              <w:rPr>
                <w:rFonts w:ascii="Arial"/>
                <w:sz w:val="21"/>
              </w:rPr>
            </w:pPr>
          </w:p>
        </w:tc>
      </w:tr>
      <w:tr w14:paraId="3C542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595" w:type="dxa"/>
            <w:vAlign w:val="top"/>
          </w:tcPr>
          <w:p w14:paraId="3B707DB5">
            <w:pPr>
              <w:pStyle w:val="9"/>
              <w:spacing w:before="221" w:line="220" w:lineRule="auto"/>
              <w:ind w:left="284"/>
            </w:pPr>
            <w:r>
              <w:rPr>
                <w:spacing w:val="-3"/>
              </w:rPr>
              <w:t>营业执照号</w:t>
            </w:r>
          </w:p>
        </w:tc>
        <w:tc>
          <w:tcPr>
            <w:tcW w:w="2582" w:type="dxa"/>
            <w:gridSpan w:val="2"/>
            <w:vAlign w:val="top"/>
          </w:tcPr>
          <w:p w14:paraId="44FB6847">
            <w:pPr>
              <w:rPr>
                <w:rFonts w:ascii="Arial"/>
                <w:sz w:val="21"/>
              </w:rPr>
            </w:pPr>
          </w:p>
        </w:tc>
        <w:tc>
          <w:tcPr>
            <w:tcW w:w="2622" w:type="dxa"/>
            <w:gridSpan w:val="3"/>
            <w:vAlign w:val="top"/>
          </w:tcPr>
          <w:p w14:paraId="6B218392">
            <w:pPr>
              <w:pStyle w:val="9"/>
              <w:spacing w:before="221" w:line="220" w:lineRule="auto"/>
              <w:ind w:left="747"/>
            </w:pPr>
            <w:r>
              <w:rPr>
                <w:spacing w:val="-3"/>
              </w:rPr>
              <w:t>员工总人数</w:t>
            </w:r>
            <w:r>
              <w:rPr>
                <w:rFonts w:hint="eastAsia"/>
                <w:spacing w:val="-3"/>
                <w:lang w:eastAsia="zh-CN"/>
              </w:rPr>
              <w:t>：</w:t>
            </w:r>
          </w:p>
        </w:tc>
        <w:tc>
          <w:tcPr>
            <w:tcW w:w="2493" w:type="dxa"/>
            <w:gridSpan w:val="2"/>
            <w:vAlign w:val="top"/>
          </w:tcPr>
          <w:p w14:paraId="0D557FED">
            <w:pPr>
              <w:rPr>
                <w:rFonts w:ascii="Arial"/>
                <w:sz w:val="21"/>
              </w:rPr>
            </w:pPr>
          </w:p>
        </w:tc>
      </w:tr>
      <w:tr w14:paraId="19944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595" w:type="dxa"/>
            <w:vAlign w:val="top"/>
          </w:tcPr>
          <w:p w14:paraId="612D1AD3">
            <w:pPr>
              <w:pStyle w:val="9"/>
              <w:spacing w:before="138" w:line="288" w:lineRule="auto"/>
              <w:ind w:left="119" w:right="26" w:firstLine="56"/>
            </w:pPr>
            <w:r>
              <w:rPr>
                <w:spacing w:val="-2"/>
              </w:rPr>
              <w:t>企业资质（等</w:t>
            </w:r>
            <w:r>
              <w:rPr>
                <w:spacing w:val="-4"/>
              </w:rPr>
              <w:t>级、发证机关）</w:t>
            </w:r>
          </w:p>
        </w:tc>
        <w:tc>
          <w:tcPr>
            <w:tcW w:w="2582" w:type="dxa"/>
            <w:gridSpan w:val="2"/>
            <w:vAlign w:val="top"/>
          </w:tcPr>
          <w:p w14:paraId="70EC0AD1">
            <w:pPr>
              <w:rPr>
                <w:rFonts w:ascii="Arial"/>
                <w:sz w:val="21"/>
              </w:rPr>
            </w:pPr>
          </w:p>
        </w:tc>
        <w:tc>
          <w:tcPr>
            <w:tcW w:w="810" w:type="dxa"/>
            <w:vMerge w:val="restart"/>
            <w:tcBorders>
              <w:bottom w:val="nil"/>
            </w:tcBorders>
            <w:vAlign w:val="top"/>
          </w:tcPr>
          <w:p w14:paraId="2A6BFCD8">
            <w:pPr>
              <w:spacing w:line="251" w:lineRule="auto"/>
              <w:rPr>
                <w:rFonts w:ascii="Arial"/>
                <w:sz w:val="21"/>
              </w:rPr>
            </w:pPr>
          </w:p>
          <w:p w14:paraId="060EAFB6">
            <w:pPr>
              <w:spacing w:line="251" w:lineRule="auto"/>
              <w:rPr>
                <w:rFonts w:ascii="Arial"/>
                <w:sz w:val="21"/>
              </w:rPr>
            </w:pPr>
          </w:p>
          <w:p w14:paraId="13B6B93E">
            <w:pPr>
              <w:spacing w:line="251" w:lineRule="auto"/>
              <w:rPr>
                <w:rFonts w:ascii="Arial"/>
                <w:sz w:val="21"/>
              </w:rPr>
            </w:pPr>
          </w:p>
          <w:p w14:paraId="5BCB320B">
            <w:pPr>
              <w:spacing w:line="251" w:lineRule="auto"/>
              <w:rPr>
                <w:rFonts w:ascii="Arial"/>
                <w:sz w:val="21"/>
              </w:rPr>
            </w:pPr>
          </w:p>
          <w:p w14:paraId="2E9CFD15">
            <w:pPr>
              <w:spacing w:line="252" w:lineRule="auto"/>
              <w:rPr>
                <w:rFonts w:ascii="Arial"/>
                <w:sz w:val="21"/>
              </w:rPr>
            </w:pPr>
          </w:p>
          <w:p w14:paraId="63CF109A">
            <w:pPr>
              <w:spacing w:line="252" w:lineRule="auto"/>
              <w:rPr>
                <w:rFonts w:ascii="Arial"/>
                <w:sz w:val="21"/>
              </w:rPr>
            </w:pPr>
          </w:p>
          <w:p w14:paraId="5FC8F5D2">
            <w:pPr>
              <w:spacing w:line="252" w:lineRule="auto"/>
              <w:rPr>
                <w:rFonts w:ascii="Arial"/>
                <w:sz w:val="21"/>
              </w:rPr>
            </w:pPr>
          </w:p>
          <w:p w14:paraId="3D126D3C">
            <w:pPr>
              <w:pStyle w:val="9"/>
              <w:spacing w:before="68" w:line="220" w:lineRule="auto"/>
              <w:ind w:left="200"/>
            </w:pPr>
            <w:r>
              <w:rPr>
                <w:spacing w:val="-3"/>
              </w:rPr>
              <w:t>其中</w:t>
            </w:r>
          </w:p>
        </w:tc>
        <w:tc>
          <w:tcPr>
            <w:tcW w:w="1812" w:type="dxa"/>
            <w:gridSpan w:val="2"/>
            <w:vAlign w:val="top"/>
          </w:tcPr>
          <w:p w14:paraId="2892C7B9">
            <w:pPr>
              <w:spacing w:line="269" w:lineRule="auto"/>
              <w:rPr>
                <w:rFonts w:ascii="Arial"/>
                <w:sz w:val="21"/>
              </w:rPr>
            </w:pPr>
          </w:p>
          <w:p w14:paraId="30C7A0C9">
            <w:pPr>
              <w:pStyle w:val="9"/>
              <w:spacing w:before="68" w:line="220" w:lineRule="auto"/>
              <w:ind w:left="495"/>
            </w:pPr>
            <w:r>
              <w:rPr>
                <w:spacing w:val="-3"/>
              </w:rPr>
              <w:t>项目经理</w:t>
            </w:r>
          </w:p>
        </w:tc>
        <w:tc>
          <w:tcPr>
            <w:tcW w:w="2493" w:type="dxa"/>
            <w:gridSpan w:val="2"/>
            <w:vAlign w:val="top"/>
          </w:tcPr>
          <w:p w14:paraId="2847CB65">
            <w:pPr>
              <w:rPr>
                <w:rFonts w:ascii="Arial"/>
                <w:sz w:val="21"/>
              </w:rPr>
            </w:pPr>
          </w:p>
        </w:tc>
      </w:tr>
      <w:tr w14:paraId="6E6AC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95" w:type="dxa"/>
            <w:vAlign w:val="top"/>
          </w:tcPr>
          <w:p w14:paraId="66272631">
            <w:pPr>
              <w:pStyle w:val="9"/>
              <w:spacing w:before="279" w:line="219" w:lineRule="auto"/>
              <w:ind w:left="382"/>
            </w:pPr>
            <w:r>
              <w:rPr>
                <w:spacing w:val="-2"/>
              </w:rPr>
              <w:t>注册资本</w:t>
            </w:r>
          </w:p>
        </w:tc>
        <w:tc>
          <w:tcPr>
            <w:tcW w:w="2582" w:type="dxa"/>
            <w:gridSpan w:val="2"/>
            <w:vAlign w:val="top"/>
          </w:tcPr>
          <w:p w14:paraId="35B79E21">
            <w:pPr>
              <w:rPr>
                <w:rFonts w:ascii="Arial"/>
                <w:sz w:val="21"/>
              </w:rPr>
            </w:pPr>
          </w:p>
        </w:tc>
        <w:tc>
          <w:tcPr>
            <w:tcW w:w="810" w:type="dxa"/>
            <w:vMerge w:val="continue"/>
            <w:tcBorders>
              <w:top w:val="nil"/>
              <w:bottom w:val="nil"/>
            </w:tcBorders>
            <w:vAlign w:val="top"/>
          </w:tcPr>
          <w:p w14:paraId="2CE6084A">
            <w:pPr>
              <w:rPr>
                <w:rFonts w:ascii="Arial"/>
                <w:sz w:val="21"/>
              </w:rPr>
            </w:pPr>
          </w:p>
        </w:tc>
        <w:tc>
          <w:tcPr>
            <w:tcW w:w="1812" w:type="dxa"/>
            <w:gridSpan w:val="2"/>
            <w:vAlign w:val="top"/>
          </w:tcPr>
          <w:p w14:paraId="20853A79">
            <w:pPr>
              <w:pStyle w:val="9"/>
              <w:spacing w:before="279" w:line="220" w:lineRule="auto"/>
              <w:ind w:left="287"/>
            </w:pPr>
            <w:r>
              <w:rPr>
                <w:spacing w:val="-2"/>
              </w:rPr>
              <w:t>高级职称人员</w:t>
            </w:r>
          </w:p>
        </w:tc>
        <w:tc>
          <w:tcPr>
            <w:tcW w:w="2493" w:type="dxa"/>
            <w:gridSpan w:val="2"/>
            <w:vAlign w:val="top"/>
          </w:tcPr>
          <w:p w14:paraId="1DCF053D">
            <w:pPr>
              <w:rPr>
                <w:rFonts w:ascii="Arial"/>
                <w:sz w:val="21"/>
              </w:rPr>
            </w:pPr>
          </w:p>
        </w:tc>
      </w:tr>
      <w:tr w14:paraId="4D88C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95" w:type="dxa"/>
            <w:vAlign w:val="top"/>
          </w:tcPr>
          <w:p w14:paraId="3EBD5540">
            <w:pPr>
              <w:pStyle w:val="9"/>
              <w:spacing w:before="280" w:line="220" w:lineRule="auto"/>
              <w:ind w:left="384"/>
            </w:pPr>
            <w:r>
              <w:rPr>
                <w:spacing w:val="-2"/>
              </w:rPr>
              <w:t>成立日期</w:t>
            </w:r>
          </w:p>
        </w:tc>
        <w:tc>
          <w:tcPr>
            <w:tcW w:w="2582" w:type="dxa"/>
            <w:gridSpan w:val="2"/>
            <w:vAlign w:val="top"/>
          </w:tcPr>
          <w:p w14:paraId="77F37748">
            <w:pPr>
              <w:rPr>
                <w:rFonts w:ascii="Arial"/>
                <w:sz w:val="21"/>
              </w:rPr>
            </w:pPr>
          </w:p>
        </w:tc>
        <w:tc>
          <w:tcPr>
            <w:tcW w:w="810" w:type="dxa"/>
            <w:vMerge w:val="continue"/>
            <w:tcBorders>
              <w:top w:val="nil"/>
              <w:bottom w:val="nil"/>
            </w:tcBorders>
            <w:vAlign w:val="top"/>
          </w:tcPr>
          <w:p w14:paraId="52CB9AAF">
            <w:pPr>
              <w:rPr>
                <w:rFonts w:ascii="Arial"/>
                <w:sz w:val="21"/>
              </w:rPr>
            </w:pPr>
          </w:p>
        </w:tc>
        <w:tc>
          <w:tcPr>
            <w:tcW w:w="1812" w:type="dxa"/>
            <w:gridSpan w:val="2"/>
            <w:vAlign w:val="top"/>
          </w:tcPr>
          <w:p w14:paraId="550982A5">
            <w:pPr>
              <w:pStyle w:val="9"/>
              <w:spacing w:before="280" w:line="220" w:lineRule="auto"/>
              <w:ind w:left="301"/>
            </w:pPr>
            <w:r>
              <w:rPr>
                <w:spacing w:val="-4"/>
              </w:rPr>
              <w:t>中级职称人员</w:t>
            </w:r>
          </w:p>
        </w:tc>
        <w:tc>
          <w:tcPr>
            <w:tcW w:w="2493" w:type="dxa"/>
            <w:gridSpan w:val="2"/>
            <w:vAlign w:val="top"/>
          </w:tcPr>
          <w:p w14:paraId="695CC7B2">
            <w:pPr>
              <w:rPr>
                <w:rFonts w:ascii="Arial"/>
                <w:sz w:val="21"/>
              </w:rPr>
            </w:pPr>
          </w:p>
        </w:tc>
      </w:tr>
      <w:tr w14:paraId="7A4BE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595" w:type="dxa"/>
            <w:vAlign w:val="top"/>
          </w:tcPr>
          <w:p w14:paraId="4F68E124">
            <w:pPr>
              <w:pStyle w:val="9"/>
              <w:spacing w:before="140" w:line="219" w:lineRule="auto"/>
              <w:ind w:left="382"/>
            </w:pPr>
            <w:r>
              <w:rPr>
                <w:spacing w:val="-2"/>
              </w:rPr>
              <w:t>基本账户</w:t>
            </w:r>
          </w:p>
          <w:p w14:paraId="4A9AE8E3">
            <w:pPr>
              <w:pStyle w:val="9"/>
              <w:spacing w:before="150" w:line="220" w:lineRule="auto"/>
              <w:ind w:left="383"/>
            </w:pPr>
            <w:r>
              <w:rPr>
                <w:spacing w:val="-2"/>
              </w:rPr>
              <w:t>开户银行</w:t>
            </w:r>
          </w:p>
        </w:tc>
        <w:tc>
          <w:tcPr>
            <w:tcW w:w="2582" w:type="dxa"/>
            <w:gridSpan w:val="2"/>
            <w:vAlign w:val="top"/>
          </w:tcPr>
          <w:p w14:paraId="5E61F85F">
            <w:pPr>
              <w:rPr>
                <w:rFonts w:ascii="Arial"/>
                <w:sz w:val="21"/>
              </w:rPr>
            </w:pPr>
          </w:p>
        </w:tc>
        <w:tc>
          <w:tcPr>
            <w:tcW w:w="810" w:type="dxa"/>
            <w:vMerge w:val="continue"/>
            <w:tcBorders>
              <w:top w:val="nil"/>
              <w:bottom w:val="nil"/>
            </w:tcBorders>
            <w:vAlign w:val="top"/>
          </w:tcPr>
          <w:p w14:paraId="32FD91A9">
            <w:pPr>
              <w:rPr>
                <w:rFonts w:ascii="Arial"/>
                <w:sz w:val="21"/>
              </w:rPr>
            </w:pPr>
          </w:p>
        </w:tc>
        <w:tc>
          <w:tcPr>
            <w:tcW w:w="1812" w:type="dxa"/>
            <w:gridSpan w:val="2"/>
            <w:vAlign w:val="top"/>
          </w:tcPr>
          <w:p w14:paraId="102FF685">
            <w:pPr>
              <w:spacing w:line="269" w:lineRule="auto"/>
              <w:rPr>
                <w:rFonts w:ascii="Arial"/>
                <w:sz w:val="21"/>
              </w:rPr>
            </w:pPr>
          </w:p>
          <w:p w14:paraId="395E0A70">
            <w:pPr>
              <w:pStyle w:val="9"/>
              <w:spacing w:before="69" w:line="221" w:lineRule="auto"/>
              <w:ind w:left="280"/>
            </w:pPr>
            <w:r>
              <w:rPr>
                <w:spacing w:val="-2"/>
              </w:rPr>
              <w:t>初级职称人员</w:t>
            </w:r>
          </w:p>
        </w:tc>
        <w:tc>
          <w:tcPr>
            <w:tcW w:w="2493" w:type="dxa"/>
            <w:gridSpan w:val="2"/>
            <w:vAlign w:val="top"/>
          </w:tcPr>
          <w:p w14:paraId="5563E6DB">
            <w:pPr>
              <w:rPr>
                <w:rFonts w:ascii="Arial"/>
                <w:sz w:val="21"/>
              </w:rPr>
            </w:pPr>
          </w:p>
        </w:tc>
      </w:tr>
      <w:tr w14:paraId="39F73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595" w:type="dxa"/>
            <w:vAlign w:val="top"/>
          </w:tcPr>
          <w:p w14:paraId="08B94F04">
            <w:pPr>
              <w:pStyle w:val="9"/>
              <w:spacing w:before="141" w:line="219" w:lineRule="auto"/>
              <w:ind w:left="382"/>
            </w:pPr>
            <w:r>
              <w:rPr>
                <w:spacing w:val="-2"/>
              </w:rPr>
              <w:t>基本账户</w:t>
            </w:r>
          </w:p>
          <w:p w14:paraId="1963B32E">
            <w:pPr>
              <w:pStyle w:val="9"/>
              <w:spacing w:before="150" w:line="220" w:lineRule="auto"/>
              <w:ind w:left="383"/>
            </w:pPr>
            <w:r>
              <w:rPr>
                <w:spacing w:val="-2"/>
              </w:rPr>
              <w:t>银行账号</w:t>
            </w:r>
          </w:p>
        </w:tc>
        <w:tc>
          <w:tcPr>
            <w:tcW w:w="2582" w:type="dxa"/>
            <w:gridSpan w:val="2"/>
            <w:vAlign w:val="top"/>
          </w:tcPr>
          <w:p w14:paraId="79EF9373">
            <w:pPr>
              <w:rPr>
                <w:rFonts w:ascii="Arial"/>
                <w:sz w:val="21"/>
              </w:rPr>
            </w:pPr>
          </w:p>
        </w:tc>
        <w:tc>
          <w:tcPr>
            <w:tcW w:w="810" w:type="dxa"/>
            <w:vMerge w:val="continue"/>
            <w:tcBorders>
              <w:top w:val="nil"/>
            </w:tcBorders>
            <w:vAlign w:val="top"/>
          </w:tcPr>
          <w:p w14:paraId="2985808A">
            <w:pPr>
              <w:rPr>
                <w:rFonts w:ascii="Arial"/>
                <w:sz w:val="21"/>
              </w:rPr>
            </w:pPr>
          </w:p>
        </w:tc>
        <w:tc>
          <w:tcPr>
            <w:tcW w:w="1812" w:type="dxa"/>
            <w:gridSpan w:val="2"/>
            <w:vAlign w:val="top"/>
          </w:tcPr>
          <w:p w14:paraId="5E5BB184">
            <w:pPr>
              <w:spacing w:line="270" w:lineRule="auto"/>
              <w:rPr>
                <w:rFonts w:ascii="Arial"/>
                <w:sz w:val="21"/>
              </w:rPr>
            </w:pPr>
          </w:p>
          <w:p w14:paraId="71079BFE">
            <w:pPr>
              <w:pStyle w:val="9"/>
              <w:spacing w:before="69" w:line="221" w:lineRule="auto"/>
              <w:ind w:left="702"/>
            </w:pPr>
            <w:r>
              <w:rPr>
                <w:spacing w:val="-3"/>
              </w:rPr>
              <w:t>技工</w:t>
            </w:r>
          </w:p>
        </w:tc>
        <w:tc>
          <w:tcPr>
            <w:tcW w:w="2493" w:type="dxa"/>
            <w:gridSpan w:val="2"/>
            <w:vAlign w:val="top"/>
          </w:tcPr>
          <w:p w14:paraId="34506BA2">
            <w:pPr>
              <w:rPr>
                <w:rFonts w:ascii="Arial"/>
                <w:sz w:val="21"/>
              </w:rPr>
            </w:pPr>
          </w:p>
        </w:tc>
      </w:tr>
      <w:tr w14:paraId="125B2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1595" w:type="dxa"/>
            <w:vAlign w:val="top"/>
          </w:tcPr>
          <w:p w14:paraId="738E7D1C">
            <w:pPr>
              <w:spacing w:line="419" w:lineRule="auto"/>
              <w:rPr>
                <w:rFonts w:ascii="Arial"/>
                <w:sz w:val="21"/>
              </w:rPr>
            </w:pPr>
          </w:p>
          <w:p w14:paraId="7D1113FB">
            <w:pPr>
              <w:pStyle w:val="9"/>
              <w:spacing w:before="68" w:line="220" w:lineRule="auto"/>
              <w:ind w:left="384"/>
            </w:pPr>
            <w:r>
              <w:rPr>
                <w:spacing w:val="-2"/>
              </w:rPr>
              <w:t>经营范围</w:t>
            </w:r>
          </w:p>
        </w:tc>
        <w:tc>
          <w:tcPr>
            <w:tcW w:w="7697" w:type="dxa"/>
            <w:gridSpan w:val="7"/>
            <w:vAlign w:val="top"/>
          </w:tcPr>
          <w:p w14:paraId="3F50A48A">
            <w:pPr>
              <w:rPr>
                <w:rFonts w:ascii="Arial"/>
                <w:sz w:val="21"/>
              </w:rPr>
            </w:pPr>
          </w:p>
        </w:tc>
      </w:tr>
      <w:tr w14:paraId="2B384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595" w:type="dxa"/>
            <w:vAlign w:val="top"/>
          </w:tcPr>
          <w:p w14:paraId="3815BE55">
            <w:pPr>
              <w:spacing w:line="334" w:lineRule="auto"/>
              <w:rPr>
                <w:rFonts w:ascii="Arial"/>
                <w:sz w:val="21"/>
              </w:rPr>
            </w:pPr>
          </w:p>
          <w:p w14:paraId="0092C767">
            <w:pPr>
              <w:spacing w:line="334" w:lineRule="auto"/>
              <w:rPr>
                <w:rFonts w:ascii="Arial"/>
                <w:sz w:val="21"/>
              </w:rPr>
            </w:pPr>
          </w:p>
          <w:p w14:paraId="5C249A59">
            <w:pPr>
              <w:pStyle w:val="9"/>
              <w:spacing w:before="68" w:line="355" w:lineRule="auto"/>
              <w:ind w:left="486" w:right="165" w:hanging="312"/>
            </w:pPr>
            <w:r>
              <w:rPr>
                <w:spacing w:val="-2"/>
              </w:rPr>
              <w:t>投标人关联企业情况</w:t>
            </w:r>
          </w:p>
        </w:tc>
        <w:tc>
          <w:tcPr>
            <w:tcW w:w="7697" w:type="dxa"/>
            <w:gridSpan w:val="7"/>
            <w:vAlign w:val="top"/>
          </w:tcPr>
          <w:p w14:paraId="10377378">
            <w:pPr>
              <w:pStyle w:val="9"/>
              <w:spacing w:before="140" w:line="219" w:lineRule="auto"/>
              <w:ind w:left="114"/>
            </w:pPr>
            <w:r>
              <w:rPr>
                <w:spacing w:val="-4"/>
              </w:rPr>
              <w:t>投标人应提供关联企业情况，包括：</w:t>
            </w:r>
          </w:p>
          <w:p w14:paraId="29D31370">
            <w:pPr>
              <w:pStyle w:val="9"/>
              <w:spacing w:before="152" w:line="351" w:lineRule="auto"/>
              <w:ind w:left="114" w:right="158" w:firstLine="3"/>
            </w:pPr>
            <w:r>
              <w:rPr>
                <w:spacing w:val="-1"/>
              </w:rPr>
              <w:t>（1）投标人的所有股东名称及相应股权（出资额）比例；如投标人为</w:t>
            </w:r>
            <w:r>
              <w:rPr>
                <w:spacing w:val="-2"/>
              </w:rPr>
              <w:t>上市公司，投标人应提供股权占公司股份总数</w:t>
            </w:r>
            <w:r>
              <w:rPr>
                <w:spacing w:val="-2"/>
                <w:u w:val="single" w:color="auto"/>
              </w:rPr>
              <w:t xml:space="preserve"> 5 </w:t>
            </w:r>
            <w:r>
              <w:rPr>
                <w:spacing w:val="-2"/>
              </w:rPr>
              <w:t>%以上的所有股东名称及相应股权比例；</w:t>
            </w:r>
          </w:p>
          <w:p w14:paraId="6D3A5D03">
            <w:pPr>
              <w:pStyle w:val="9"/>
              <w:spacing w:line="219" w:lineRule="auto"/>
              <w:ind w:left="117"/>
            </w:pPr>
            <w:r>
              <w:rPr>
                <w:spacing w:val="-2"/>
              </w:rPr>
              <w:t>（2）投标人投资（控股）或管理的下属企业名称、持有股权（出资额）比例；</w:t>
            </w:r>
          </w:p>
          <w:p w14:paraId="733B8554">
            <w:pPr>
              <w:pStyle w:val="9"/>
              <w:spacing w:before="150" w:line="220" w:lineRule="auto"/>
              <w:ind w:left="117"/>
            </w:pPr>
            <w:r>
              <w:rPr>
                <w:spacing w:val="-1"/>
              </w:rPr>
              <w:t>（3）与投标人单位负责人（即法定代表人）为</w:t>
            </w:r>
            <w:r>
              <w:rPr>
                <w:spacing w:val="-2"/>
              </w:rPr>
              <w:t>同一人的其他单位名称。</w:t>
            </w:r>
          </w:p>
        </w:tc>
      </w:tr>
      <w:tr w14:paraId="7FB8B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95" w:type="dxa"/>
            <w:vAlign w:val="top"/>
          </w:tcPr>
          <w:p w14:paraId="45B37312">
            <w:pPr>
              <w:pStyle w:val="9"/>
              <w:spacing w:before="224" w:line="221" w:lineRule="auto"/>
              <w:ind w:left="594"/>
            </w:pPr>
            <w:r>
              <w:rPr>
                <w:spacing w:val="-3"/>
              </w:rPr>
              <w:t>备注</w:t>
            </w:r>
          </w:p>
        </w:tc>
        <w:tc>
          <w:tcPr>
            <w:tcW w:w="7697" w:type="dxa"/>
            <w:gridSpan w:val="7"/>
            <w:vAlign w:val="top"/>
          </w:tcPr>
          <w:p w14:paraId="67EEA85D">
            <w:pPr>
              <w:rPr>
                <w:rFonts w:ascii="Arial"/>
                <w:sz w:val="21"/>
              </w:rPr>
            </w:pPr>
          </w:p>
        </w:tc>
      </w:tr>
    </w:tbl>
    <w:p w14:paraId="5C085903">
      <w:pPr>
        <w:spacing w:before="49" w:line="224" w:lineRule="auto"/>
        <w:ind w:left="120"/>
        <w:rPr>
          <w:rFonts w:ascii="宋体" w:hAnsi="宋体" w:eastAsia="宋体" w:cs="宋体"/>
          <w:sz w:val="21"/>
          <w:szCs w:val="21"/>
        </w:rPr>
      </w:pPr>
      <w:r>
        <w:rPr>
          <w:rFonts w:ascii="宋体" w:hAnsi="宋体" w:eastAsia="宋体" w:cs="宋体"/>
          <w:spacing w:val="-15"/>
          <w:sz w:val="21"/>
          <w:szCs w:val="21"/>
        </w:rPr>
        <w:t>注：</w:t>
      </w:r>
    </w:p>
    <w:p w14:paraId="1D7DFD38">
      <w:pPr>
        <w:spacing w:before="57" w:line="219" w:lineRule="auto"/>
        <w:ind w:left="136"/>
        <w:rPr>
          <w:rFonts w:ascii="宋体" w:hAnsi="宋体" w:eastAsia="宋体" w:cs="宋体"/>
          <w:sz w:val="21"/>
          <w:szCs w:val="21"/>
        </w:rPr>
      </w:pPr>
      <w:r>
        <w:rPr>
          <w:rFonts w:ascii="宋体" w:hAnsi="宋体" w:eastAsia="宋体" w:cs="宋体"/>
          <w:spacing w:val="-2"/>
          <w:sz w:val="21"/>
          <w:szCs w:val="21"/>
        </w:rPr>
        <w:t>1. 投标人应根据招标文件第二章“投标人须知”第</w:t>
      </w:r>
      <w:r>
        <w:rPr>
          <w:rFonts w:ascii="宋体" w:hAnsi="宋体" w:eastAsia="宋体" w:cs="宋体"/>
          <w:spacing w:val="-27"/>
          <w:sz w:val="21"/>
          <w:szCs w:val="21"/>
        </w:rPr>
        <w:t xml:space="preserve"> </w:t>
      </w:r>
      <w:r>
        <w:rPr>
          <w:rFonts w:ascii="宋体" w:hAnsi="宋体" w:eastAsia="宋体" w:cs="宋体"/>
          <w:spacing w:val="-2"/>
          <w:sz w:val="21"/>
          <w:szCs w:val="21"/>
        </w:rPr>
        <w:t>3.5.1</w:t>
      </w:r>
      <w:r>
        <w:rPr>
          <w:rFonts w:ascii="宋体" w:hAnsi="宋体" w:eastAsia="宋体" w:cs="宋体"/>
          <w:spacing w:val="-41"/>
          <w:sz w:val="21"/>
          <w:szCs w:val="21"/>
        </w:rPr>
        <w:t xml:space="preserve"> </w:t>
      </w:r>
      <w:r>
        <w:rPr>
          <w:rFonts w:ascii="宋体" w:hAnsi="宋体" w:eastAsia="宋体" w:cs="宋体"/>
          <w:spacing w:val="-2"/>
          <w:sz w:val="21"/>
          <w:szCs w:val="21"/>
        </w:rPr>
        <w:t>项的要求在本表后附相关证明材料。</w:t>
      </w:r>
    </w:p>
    <w:p w14:paraId="48B48DA0">
      <w:pPr>
        <w:spacing w:before="63" w:line="220" w:lineRule="auto"/>
        <w:ind w:left="123"/>
        <w:rPr>
          <w:rFonts w:ascii="宋体" w:hAnsi="宋体" w:eastAsia="宋体" w:cs="宋体"/>
          <w:sz w:val="21"/>
          <w:szCs w:val="21"/>
        </w:rPr>
      </w:pPr>
      <w:r>
        <w:rPr>
          <w:rFonts w:ascii="宋体" w:hAnsi="宋体" w:eastAsia="宋体" w:cs="宋体"/>
          <w:spacing w:val="-2"/>
          <w:sz w:val="21"/>
          <w:szCs w:val="21"/>
        </w:rPr>
        <w:t>2.以联合体形式投标的，联合体各成员应分别填写。</w:t>
      </w:r>
    </w:p>
    <w:p w14:paraId="08C2B64B">
      <w:pPr>
        <w:spacing w:before="61" w:line="219" w:lineRule="auto"/>
        <w:ind w:left="125"/>
        <w:rPr>
          <w:rFonts w:ascii="宋体" w:hAnsi="宋体" w:eastAsia="宋体" w:cs="宋体"/>
          <w:sz w:val="21"/>
          <w:szCs w:val="21"/>
        </w:rPr>
      </w:pPr>
      <w:r>
        <w:rPr>
          <w:rFonts w:ascii="宋体" w:hAnsi="宋体" w:eastAsia="宋体" w:cs="宋体"/>
          <w:spacing w:val="-2"/>
          <w:sz w:val="21"/>
          <w:szCs w:val="21"/>
        </w:rPr>
        <w:t>3.上述信息如经调查核实未如实填写的，按提供虚假材料对待。</w:t>
      </w:r>
    </w:p>
    <w:p w14:paraId="46F543B9">
      <w:pPr>
        <w:spacing w:line="219" w:lineRule="auto"/>
        <w:rPr>
          <w:rFonts w:ascii="宋体" w:hAnsi="宋体" w:eastAsia="宋体" w:cs="宋体"/>
          <w:sz w:val="21"/>
          <w:szCs w:val="21"/>
        </w:rPr>
        <w:sectPr>
          <w:footerReference r:id="rId185" w:type="default"/>
          <w:pgSz w:w="11905" w:h="16840"/>
          <w:pgMar w:top="1182" w:right="1303" w:bottom="1171" w:left="1303" w:header="849" w:footer="937" w:gutter="0"/>
          <w:pgNumType w:fmt="decimal"/>
          <w:cols w:space="720" w:num="1"/>
        </w:sectPr>
      </w:pPr>
    </w:p>
    <w:p w14:paraId="4DF6973A">
      <w:pPr>
        <w:pStyle w:val="2"/>
        <w:spacing w:line="315" w:lineRule="auto"/>
      </w:pPr>
    </w:p>
    <w:p w14:paraId="5C2DB600">
      <w:pPr>
        <w:spacing w:before="88" w:line="226" w:lineRule="auto"/>
        <w:ind w:left="2705"/>
        <w:rPr>
          <w:rFonts w:ascii="宋体" w:hAnsi="宋体" w:eastAsia="宋体" w:cs="宋体"/>
          <w:sz w:val="27"/>
          <w:szCs w:val="27"/>
        </w:rPr>
      </w:pPr>
      <w:r>
        <w:rPr>
          <w:rFonts w:ascii="宋体" w:hAnsi="宋体" w:eastAsia="宋体" w:cs="宋体"/>
          <w:b/>
          <w:bCs/>
          <w:spacing w:val="4"/>
          <w:sz w:val="27"/>
          <w:szCs w:val="27"/>
        </w:rPr>
        <w:t>（二）投标人企业组织机构框图</w:t>
      </w:r>
    </w:p>
    <w:p w14:paraId="7CB8EA88">
      <w:pPr>
        <w:spacing w:before="37"/>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594EC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8" w:hRule="atLeast"/>
        </w:trPr>
        <w:tc>
          <w:tcPr>
            <w:tcW w:w="9292" w:type="dxa"/>
            <w:vAlign w:val="top"/>
          </w:tcPr>
          <w:p w14:paraId="7B3888F1">
            <w:pPr>
              <w:pStyle w:val="9"/>
              <w:spacing w:before="197" w:line="220" w:lineRule="auto"/>
              <w:ind w:left="144"/>
              <w:rPr>
                <w:sz w:val="24"/>
                <w:szCs w:val="24"/>
              </w:rPr>
            </w:pPr>
            <w:r>
              <w:rPr>
                <w:spacing w:val="-8"/>
                <w:sz w:val="24"/>
                <w:szCs w:val="24"/>
              </w:rPr>
              <w:t>以框图方式表示。</w:t>
            </w:r>
          </w:p>
        </w:tc>
      </w:tr>
      <w:tr w14:paraId="040D9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0" w:hRule="atLeast"/>
        </w:trPr>
        <w:tc>
          <w:tcPr>
            <w:tcW w:w="9292" w:type="dxa"/>
            <w:vAlign w:val="top"/>
          </w:tcPr>
          <w:p w14:paraId="32C6D0AA">
            <w:pPr>
              <w:pStyle w:val="9"/>
              <w:spacing w:before="196" w:line="220" w:lineRule="auto"/>
              <w:ind w:left="120"/>
              <w:rPr>
                <w:sz w:val="24"/>
                <w:szCs w:val="24"/>
              </w:rPr>
            </w:pPr>
            <w:r>
              <w:rPr>
                <w:spacing w:val="-4"/>
                <w:sz w:val="24"/>
                <w:szCs w:val="24"/>
              </w:rPr>
              <w:t>说明</w:t>
            </w:r>
          </w:p>
        </w:tc>
      </w:tr>
    </w:tbl>
    <w:p w14:paraId="65D4AA65">
      <w:pPr>
        <w:pStyle w:val="2"/>
      </w:pPr>
    </w:p>
    <w:p w14:paraId="3A8F7931">
      <w:pPr>
        <w:sectPr>
          <w:footerReference r:id="rId186" w:type="default"/>
          <w:pgSz w:w="11905" w:h="16840"/>
          <w:pgMar w:top="1182" w:right="1303" w:bottom="1171" w:left="1303" w:header="849" w:footer="937" w:gutter="0"/>
          <w:pgNumType w:fmt="decimal"/>
          <w:cols w:space="720" w:num="1"/>
        </w:sectPr>
      </w:pPr>
    </w:p>
    <w:p w14:paraId="1DEECD79">
      <w:pPr>
        <w:pStyle w:val="2"/>
        <w:spacing w:line="316" w:lineRule="auto"/>
      </w:pPr>
    </w:p>
    <w:p w14:paraId="162CEEDD">
      <w:pPr>
        <w:spacing w:before="88" w:line="226" w:lineRule="auto"/>
        <w:ind w:left="3154"/>
        <w:rPr>
          <w:rFonts w:ascii="宋体" w:hAnsi="宋体" w:eastAsia="宋体" w:cs="宋体"/>
          <w:sz w:val="27"/>
          <w:szCs w:val="27"/>
        </w:rPr>
      </w:pPr>
      <w:r>
        <w:rPr>
          <w:rFonts w:ascii="宋体" w:hAnsi="宋体" w:eastAsia="宋体" w:cs="宋体"/>
          <w:b/>
          <w:bCs/>
          <w:spacing w:val="4"/>
          <w:sz w:val="27"/>
          <w:szCs w:val="27"/>
        </w:rPr>
        <w:t>（三）近年财务状况表</w:t>
      </w:r>
    </w:p>
    <w:p w14:paraId="6A171132">
      <w:pPr>
        <w:spacing w:before="36"/>
      </w:pPr>
    </w:p>
    <w:tbl>
      <w:tblPr>
        <w:tblStyle w:val="8"/>
        <w:tblW w:w="8915" w:type="dxa"/>
        <w:tblInd w:w="2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76"/>
        <w:gridCol w:w="1136"/>
        <w:gridCol w:w="1215"/>
        <w:gridCol w:w="1171"/>
        <w:gridCol w:w="1217"/>
      </w:tblGrid>
      <w:tr w14:paraId="01633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4176" w:type="dxa"/>
            <w:vAlign w:val="top"/>
          </w:tcPr>
          <w:p w14:paraId="09B0363B">
            <w:pPr>
              <w:pStyle w:val="9"/>
              <w:spacing w:before="226" w:line="220" w:lineRule="auto"/>
              <w:ind w:left="1571"/>
            </w:pPr>
            <w:r>
              <w:rPr>
                <w:spacing w:val="-2"/>
              </w:rPr>
              <w:t>项目或指标</w:t>
            </w:r>
          </w:p>
        </w:tc>
        <w:tc>
          <w:tcPr>
            <w:tcW w:w="1136" w:type="dxa"/>
            <w:vAlign w:val="top"/>
          </w:tcPr>
          <w:p w14:paraId="67E59C75">
            <w:pPr>
              <w:pStyle w:val="9"/>
              <w:spacing w:before="226" w:line="220" w:lineRule="auto"/>
              <w:ind w:left="363"/>
            </w:pPr>
            <w:r>
              <w:rPr>
                <w:spacing w:val="-3"/>
              </w:rPr>
              <w:t>单位</w:t>
            </w:r>
          </w:p>
        </w:tc>
        <w:tc>
          <w:tcPr>
            <w:tcW w:w="1215" w:type="dxa"/>
            <w:vAlign w:val="top"/>
          </w:tcPr>
          <w:p w14:paraId="2E02027E">
            <w:pPr>
              <w:pStyle w:val="9"/>
              <w:tabs>
                <w:tab w:val="left" w:pos="709"/>
              </w:tabs>
              <w:spacing w:before="225" w:line="220" w:lineRule="auto"/>
              <w:ind w:left="289"/>
            </w:pPr>
            <w:r>
              <w:rPr>
                <w:u w:val="single" w:color="auto"/>
              </w:rPr>
              <w:tab/>
            </w:r>
            <w:r>
              <w:rPr>
                <w:spacing w:val="-96"/>
              </w:rPr>
              <w:t xml:space="preserve"> </w:t>
            </w:r>
            <w:r>
              <w:t>年</w:t>
            </w:r>
          </w:p>
        </w:tc>
        <w:tc>
          <w:tcPr>
            <w:tcW w:w="1171" w:type="dxa"/>
            <w:vAlign w:val="top"/>
          </w:tcPr>
          <w:p w14:paraId="465525CF">
            <w:pPr>
              <w:pStyle w:val="9"/>
              <w:tabs>
                <w:tab w:val="left" w:pos="688"/>
              </w:tabs>
              <w:spacing w:before="225" w:line="220" w:lineRule="auto"/>
              <w:ind w:left="268"/>
            </w:pPr>
            <w:r>
              <w:rPr>
                <w:u w:val="single" w:color="auto"/>
              </w:rPr>
              <w:tab/>
            </w:r>
            <w:r>
              <w:rPr>
                <w:spacing w:val="-96"/>
              </w:rPr>
              <w:t xml:space="preserve"> </w:t>
            </w:r>
            <w:r>
              <w:t>年</w:t>
            </w:r>
          </w:p>
        </w:tc>
        <w:tc>
          <w:tcPr>
            <w:tcW w:w="1217" w:type="dxa"/>
            <w:vAlign w:val="top"/>
          </w:tcPr>
          <w:p w14:paraId="155FCFA0">
            <w:pPr>
              <w:pStyle w:val="9"/>
              <w:tabs>
                <w:tab w:val="left" w:pos="710"/>
              </w:tabs>
              <w:spacing w:before="225" w:line="220" w:lineRule="auto"/>
              <w:ind w:left="290"/>
            </w:pPr>
            <w:r>
              <w:rPr>
                <w:u w:val="single" w:color="auto"/>
              </w:rPr>
              <w:tab/>
            </w:r>
            <w:r>
              <w:rPr>
                <w:spacing w:val="-96"/>
              </w:rPr>
              <w:t xml:space="preserve"> </w:t>
            </w:r>
            <w:r>
              <w:t>年</w:t>
            </w:r>
          </w:p>
        </w:tc>
      </w:tr>
      <w:tr w14:paraId="17A19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6121470B">
            <w:pPr>
              <w:pStyle w:val="9"/>
              <w:spacing w:before="221" w:line="219" w:lineRule="auto"/>
              <w:ind w:left="119"/>
            </w:pPr>
            <w:r>
              <w:rPr>
                <w:spacing w:val="-9"/>
              </w:rPr>
              <w:t>一</w:t>
            </w:r>
            <w:r>
              <w:rPr>
                <w:spacing w:val="27"/>
              </w:rPr>
              <w:t xml:space="preserve"> </w:t>
            </w:r>
            <w:r>
              <w:rPr>
                <w:spacing w:val="-9"/>
              </w:rPr>
              <w:t>、</w:t>
            </w:r>
            <w:r>
              <w:rPr>
                <w:spacing w:val="9"/>
              </w:rPr>
              <w:t xml:space="preserve"> </w:t>
            </w:r>
            <w:r>
              <w:rPr>
                <w:spacing w:val="-9"/>
              </w:rPr>
              <w:t>注册资本</w:t>
            </w:r>
          </w:p>
        </w:tc>
        <w:tc>
          <w:tcPr>
            <w:tcW w:w="1136" w:type="dxa"/>
            <w:vAlign w:val="top"/>
          </w:tcPr>
          <w:p w14:paraId="7358654D">
            <w:pPr>
              <w:pStyle w:val="9"/>
              <w:spacing w:before="221" w:line="220" w:lineRule="auto"/>
              <w:ind w:left="367"/>
            </w:pPr>
            <w:r>
              <w:rPr>
                <w:spacing w:val="-4"/>
              </w:rPr>
              <w:t>万元</w:t>
            </w:r>
          </w:p>
        </w:tc>
        <w:tc>
          <w:tcPr>
            <w:tcW w:w="1215" w:type="dxa"/>
            <w:vAlign w:val="top"/>
          </w:tcPr>
          <w:p w14:paraId="552EC287">
            <w:pPr>
              <w:rPr>
                <w:rFonts w:ascii="Arial"/>
                <w:sz w:val="21"/>
              </w:rPr>
            </w:pPr>
          </w:p>
        </w:tc>
        <w:tc>
          <w:tcPr>
            <w:tcW w:w="1171" w:type="dxa"/>
            <w:vAlign w:val="top"/>
          </w:tcPr>
          <w:p w14:paraId="71BBE6E0">
            <w:pPr>
              <w:rPr>
                <w:rFonts w:ascii="Arial"/>
                <w:sz w:val="21"/>
              </w:rPr>
            </w:pPr>
          </w:p>
        </w:tc>
        <w:tc>
          <w:tcPr>
            <w:tcW w:w="1217" w:type="dxa"/>
            <w:vAlign w:val="top"/>
          </w:tcPr>
          <w:p w14:paraId="42A4B1B3">
            <w:pPr>
              <w:rPr>
                <w:rFonts w:ascii="Arial"/>
                <w:sz w:val="21"/>
              </w:rPr>
            </w:pPr>
          </w:p>
        </w:tc>
      </w:tr>
      <w:tr w14:paraId="011ED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2C11E256">
            <w:pPr>
              <w:pStyle w:val="9"/>
              <w:spacing w:before="221" w:line="220" w:lineRule="auto"/>
              <w:ind w:left="119"/>
            </w:pPr>
            <w:r>
              <w:rPr>
                <w:spacing w:val="-4"/>
              </w:rPr>
              <w:t>二、</w:t>
            </w:r>
            <w:r>
              <w:rPr>
                <w:spacing w:val="10"/>
              </w:rPr>
              <w:t xml:space="preserve"> </w:t>
            </w:r>
            <w:r>
              <w:rPr>
                <w:spacing w:val="-4"/>
              </w:rPr>
              <w:t>净资产</w:t>
            </w:r>
          </w:p>
        </w:tc>
        <w:tc>
          <w:tcPr>
            <w:tcW w:w="1136" w:type="dxa"/>
            <w:vAlign w:val="top"/>
          </w:tcPr>
          <w:p w14:paraId="45D41AF0">
            <w:pPr>
              <w:pStyle w:val="9"/>
              <w:spacing w:before="221" w:line="220" w:lineRule="auto"/>
              <w:ind w:left="367"/>
            </w:pPr>
            <w:r>
              <w:rPr>
                <w:spacing w:val="-4"/>
              </w:rPr>
              <w:t>万元</w:t>
            </w:r>
          </w:p>
        </w:tc>
        <w:tc>
          <w:tcPr>
            <w:tcW w:w="1215" w:type="dxa"/>
            <w:vAlign w:val="top"/>
          </w:tcPr>
          <w:p w14:paraId="6DF9A84F">
            <w:pPr>
              <w:rPr>
                <w:rFonts w:ascii="Arial"/>
                <w:sz w:val="21"/>
              </w:rPr>
            </w:pPr>
          </w:p>
        </w:tc>
        <w:tc>
          <w:tcPr>
            <w:tcW w:w="1171" w:type="dxa"/>
            <w:vAlign w:val="top"/>
          </w:tcPr>
          <w:p w14:paraId="5FA72736">
            <w:pPr>
              <w:rPr>
                <w:rFonts w:ascii="Arial"/>
                <w:sz w:val="21"/>
              </w:rPr>
            </w:pPr>
          </w:p>
        </w:tc>
        <w:tc>
          <w:tcPr>
            <w:tcW w:w="1217" w:type="dxa"/>
            <w:vAlign w:val="top"/>
          </w:tcPr>
          <w:p w14:paraId="43322C94">
            <w:pPr>
              <w:rPr>
                <w:rFonts w:ascii="Arial"/>
                <w:sz w:val="21"/>
              </w:rPr>
            </w:pPr>
          </w:p>
        </w:tc>
      </w:tr>
      <w:tr w14:paraId="2605309A">
        <w:tblPrEx>
          <w:tblCellMar>
            <w:top w:w="0" w:type="dxa"/>
            <w:left w:w="0" w:type="dxa"/>
            <w:bottom w:w="0" w:type="dxa"/>
            <w:right w:w="0" w:type="dxa"/>
          </w:tblCellMar>
        </w:tblPrEx>
        <w:trPr>
          <w:trHeight w:val="572" w:hRule="atLeast"/>
        </w:trPr>
        <w:tc>
          <w:tcPr>
            <w:tcW w:w="4176" w:type="dxa"/>
            <w:vAlign w:val="top"/>
          </w:tcPr>
          <w:p w14:paraId="0C8228F0">
            <w:pPr>
              <w:pStyle w:val="9"/>
              <w:spacing w:before="221" w:line="220" w:lineRule="auto"/>
              <w:ind w:left="115"/>
            </w:pPr>
            <w:r>
              <w:rPr>
                <w:spacing w:val="-4"/>
              </w:rPr>
              <w:t>三、</w:t>
            </w:r>
            <w:r>
              <w:rPr>
                <w:spacing w:val="14"/>
              </w:rPr>
              <w:t xml:space="preserve"> </w:t>
            </w:r>
            <w:r>
              <w:rPr>
                <w:spacing w:val="-4"/>
              </w:rPr>
              <w:t>总资产</w:t>
            </w:r>
          </w:p>
        </w:tc>
        <w:tc>
          <w:tcPr>
            <w:tcW w:w="1136" w:type="dxa"/>
            <w:vAlign w:val="top"/>
          </w:tcPr>
          <w:p w14:paraId="5B99C7A3">
            <w:pPr>
              <w:pStyle w:val="9"/>
              <w:spacing w:before="222" w:line="220" w:lineRule="auto"/>
              <w:ind w:left="367"/>
            </w:pPr>
            <w:r>
              <w:rPr>
                <w:spacing w:val="-4"/>
              </w:rPr>
              <w:t>万元</w:t>
            </w:r>
          </w:p>
        </w:tc>
        <w:tc>
          <w:tcPr>
            <w:tcW w:w="1215" w:type="dxa"/>
            <w:vAlign w:val="top"/>
          </w:tcPr>
          <w:p w14:paraId="7F5B837E">
            <w:pPr>
              <w:rPr>
                <w:rFonts w:ascii="Arial"/>
                <w:sz w:val="21"/>
              </w:rPr>
            </w:pPr>
          </w:p>
        </w:tc>
        <w:tc>
          <w:tcPr>
            <w:tcW w:w="1171" w:type="dxa"/>
            <w:vAlign w:val="top"/>
          </w:tcPr>
          <w:p w14:paraId="3667415B">
            <w:pPr>
              <w:rPr>
                <w:rFonts w:ascii="Arial"/>
                <w:sz w:val="21"/>
              </w:rPr>
            </w:pPr>
          </w:p>
        </w:tc>
        <w:tc>
          <w:tcPr>
            <w:tcW w:w="1217" w:type="dxa"/>
            <w:vAlign w:val="top"/>
          </w:tcPr>
          <w:p w14:paraId="2294A603">
            <w:pPr>
              <w:rPr>
                <w:rFonts w:ascii="Arial"/>
                <w:sz w:val="21"/>
              </w:rPr>
            </w:pPr>
          </w:p>
        </w:tc>
      </w:tr>
      <w:tr w14:paraId="106D7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176" w:type="dxa"/>
            <w:vAlign w:val="top"/>
          </w:tcPr>
          <w:p w14:paraId="51DA7FB4">
            <w:pPr>
              <w:pStyle w:val="9"/>
              <w:spacing w:before="220" w:line="220" w:lineRule="auto"/>
              <w:ind w:left="135"/>
            </w:pPr>
            <w:r>
              <w:rPr>
                <w:spacing w:val="-8"/>
              </w:rPr>
              <w:t>四、</w:t>
            </w:r>
            <w:r>
              <w:rPr>
                <w:spacing w:val="25"/>
              </w:rPr>
              <w:t xml:space="preserve"> </w:t>
            </w:r>
            <w:r>
              <w:rPr>
                <w:spacing w:val="-8"/>
              </w:rPr>
              <w:t>固定资产</w:t>
            </w:r>
          </w:p>
        </w:tc>
        <w:tc>
          <w:tcPr>
            <w:tcW w:w="1136" w:type="dxa"/>
            <w:vAlign w:val="top"/>
          </w:tcPr>
          <w:p w14:paraId="20C81B55">
            <w:pPr>
              <w:pStyle w:val="9"/>
              <w:spacing w:before="221" w:line="220" w:lineRule="auto"/>
              <w:ind w:left="367"/>
            </w:pPr>
            <w:r>
              <w:rPr>
                <w:spacing w:val="-4"/>
              </w:rPr>
              <w:t>万元</w:t>
            </w:r>
          </w:p>
        </w:tc>
        <w:tc>
          <w:tcPr>
            <w:tcW w:w="1215" w:type="dxa"/>
            <w:vAlign w:val="top"/>
          </w:tcPr>
          <w:p w14:paraId="07EE2FEC">
            <w:pPr>
              <w:rPr>
                <w:rFonts w:ascii="Arial"/>
                <w:sz w:val="21"/>
              </w:rPr>
            </w:pPr>
          </w:p>
        </w:tc>
        <w:tc>
          <w:tcPr>
            <w:tcW w:w="1171" w:type="dxa"/>
            <w:vAlign w:val="top"/>
          </w:tcPr>
          <w:p w14:paraId="3574822F">
            <w:pPr>
              <w:rPr>
                <w:rFonts w:ascii="Arial"/>
                <w:sz w:val="21"/>
              </w:rPr>
            </w:pPr>
          </w:p>
        </w:tc>
        <w:tc>
          <w:tcPr>
            <w:tcW w:w="1217" w:type="dxa"/>
            <w:vAlign w:val="top"/>
          </w:tcPr>
          <w:p w14:paraId="6112DEEF">
            <w:pPr>
              <w:rPr>
                <w:rFonts w:ascii="Arial"/>
                <w:sz w:val="21"/>
              </w:rPr>
            </w:pPr>
          </w:p>
        </w:tc>
      </w:tr>
      <w:tr w14:paraId="118E4BD9">
        <w:tblPrEx>
          <w:tblCellMar>
            <w:top w:w="0" w:type="dxa"/>
            <w:left w:w="0" w:type="dxa"/>
            <w:bottom w:w="0" w:type="dxa"/>
            <w:right w:w="0" w:type="dxa"/>
          </w:tblCellMar>
        </w:tblPrEx>
        <w:trPr>
          <w:trHeight w:val="572" w:hRule="atLeast"/>
        </w:trPr>
        <w:tc>
          <w:tcPr>
            <w:tcW w:w="4176" w:type="dxa"/>
            <w:vAlign w:val="top"/>
          </w:tcPr>
          <w:p w14:paraId="16E792DC">
            <w:pPr>
              <w:pStyle w:val="9"/>
              <w:spacing w:before="222" w:line="220" w:lineRule="auto"/>
              <w:ind w:left="119"/>
            </w:pPr>
            <w:r>
              <w:rPr>
                <w:spacing w:val="-2"/>
              </w:rPr>
              <w:t>五、 流动资产</w:t>
            </w:r>
          </w:p>
        </w:tc>
        <w:tc>
          <w:tcPr>
            <w:tcW w:w="1136" w:type="dxa"/>
            <w:vAlign w:val="top"/>
          </w:tcPr>
          <w:p w14:paraId="56BD32A1">
            <w:pPr>
              <w:pStyle w:val="9"/>
              <w:spacing w:before="223" w:line="220" w:lineRule="auto"/>
              <w:ind w:left="367"/>
            </w:pPr>
            <w:r>
              <w:rPr>
                <w:spacing w:val="-4"/>
              </w:rPr>
              <w:t>万元</w:t>
            </w:r>
          </w:p>
        </w:tc>
        <w:tc>
          <w:tcPr>
            <w:tcW w:w="1215" w:type="dxa"/>
            <w:vAlign w:val="top"/>
          </w:tcPr>
          <w:p w14:paraId="38E97C53">
            <w:pPr>
              <w:rPr>
                <w:rFonts w:ascii="Arial"/>
                <w:sz w:val="21"/>
              </w:rPr>
            </w:pPr>
          </w:p>
        </w:tc>
        <w:tc>
          <w:tcPr>
            <w:tcW w:w="1171" w:type="dxa"/>
            <w:vAlign w:val="top"/>
          </w:tcPr>
          <w:p w14:paraId="042F7FE8">
            <w:pPr>
              <w:rPr>
                <w:rFonts w:ascii="Arial"/>
                <w:sz w:val="21"/>
              </w:rPr>
            </w:pPr>
          </w:p>
        </w:tc>
        <w:tc>
          <w:tcPr>
            <w:tcW w:w="1217" w:type="dxa"/>
            <w:vAlign w:val="top"/>
          </w:tcPr>
          <w:p w14:paraId="2A2DD449">
            <w:pPr>
              <w:rPr>
                <w:rFonts w:ascii="Arial"/>
                <w:sz w:val="21"/>
              </w:rPr>
            </w:pPr>
          </w:p>
        </w:tc>
      </w:tr>
      <w:tr w14:paraId="2936A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6C161509">
            <w:pPr>
              <w:pStyle w:val="9"/>
              <w:spacing w:before="222" w:line="220" w:lineRule="auto"/>
              <w:ind w:left="117"/>
            </w:pPr>
            <w:r>
              <w:rPr>
                <w:spacing w:val="-2"/>
              </w:rPr>
              <w:t>六、 流动负债</w:t>
            </w:r>
          </w:p>
        </w:tc>
        <w:tc>
          <w:tcPr>
            <w:tcW w:w="1136" w:type="dxa"/>
            <w:vAlign w:val="top"/>
          </w:tcPr>
          <w:p w14:paraId="38FAECD3">
            <w:pPr>
              <w:pStyle w:val="9"/>
              <w:spacing w:before="223" w:line="220" w:lineRule="auto"/>
              <w:ind w:left="367"/>
            </w:pPr>
            <w:r>
              <w:rPr>
                <w:spacing w:val="-4"/>
              </w:rPr>
              <w:t>万元</w:t>
            </w:r>
          </w:p>
        </w:tc>
        <w:tc>
          <w:tcPr>
            <w:tcW w:w="1215" w:type="dxa"/>
            <w:vAlign w:val="top"/>
          </w:tcPr>
          <w:p w14:paraId="00AC26B1">
            <w:pPr>
              <w:rPr>
                <w:rFonts w:ascii="Arial"/>
                <w:sz w:val="21"/>
              </w:rPr>
            </w:pPr>
          </w:p>
        </w:tc>
        <w:tc>
          <w:tcPr>
            <w:tcW w:w="1171" w:type="dxa"/>
            <w:vAlign w:val="top"/>
          </w:tcPr>
          <w:p w14:paraId="1BA4A1D2">
            <w:pPr>
              <w:rPr>
                <w:rFonts w:ascii="Arial"/>
                <w:sz w:val="21"/>
              </w:rPr>
            </w:pPr>
          </w:p>
        </w:tc>
        <w:tc>
          <w:tcPr>
            <w:tcW w:w="1217" w:type="dxa"/>
            <w:vAlign w:val="top"/>
          </w:tcPr>
          <w:p w14:paraId="3FE550F7">
            <w:pPr>
              <w:rPr>
                <w:rFonts w:ascii="Arial"/>
                <w:sz w:val="21"/>
              </w:rPr>
            </w:pPr>
          </w:p>
        </w:tc>
      </w:tr>
      <w:tr w14:paraId="12971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1ED0D280">
            <w:pPr>
              <w:pStyle w:val="9"/>
              <w:spacing w:before="222" w:line="220" w:lineRule="auto"/>
              <w:ind w:left="115"/>
            </w:pPr>
            <w:r>
              <w:rPr>
                <w:spacing w:val="-4"/>
              </w:rPr>
              <w:t>七、</w:t>
            </w:r>
            <w:r>
              <w:rPr>
                <w:spacing w:val="19"/>
              </w:rPr>
              <w:t xml:space="preserve"> </w:t>
            </w:r>
            <w:r>
              <w:rPr>
                <w:spacing w:val="-4"/>
              </w:rPr>
              <w:t>负债合计</w:t>
            </w:r>
          </w:p>
        </w:tc>
        <w:tc>
          <w:tcPr>
            <w:tcW w:w="1136" w:type="dxa"/>
            <w:vAlign w:val="top"/>
          </w:tcPr>
          <w:p w14:paraId="3CF0395D">
            <w:pPr>
              <w:pStyle w:val="9"/>
              <w:spacing w:before="223" w:line="220" w:lineRule="auto"/>
              <w:ind w:left="367"/>
            </w:pPr>
            <w:r>
              <w:rPr>
                <w:spacing w:val="-4"/>
              </w:rPr>
              <w:t>万元</w:t>
            </w:r>
          </w:p>
        </w:tc>
        <w:tc>
          <w:tcPr>
            <w:tcW w:w="1215" w:type="dxa"/>
            <w:vAlign w:val="top"/>
          </w:tcPr>
          <w:p w14:paraId="7B28BB1A">
            <w:pPr>
              <w:rPr>
                <w:rFonts w:ascii="Arial"/>
                <w:sz w:val="21"/>
              </w:rPr>
            </w:pPr>
          </w:p>
        </w:tc>
        <w:tc>
          <w:tcPr>
            <w:tcW w:w="1171" w:type="dxa"/>
            <w:vAlign w:val="top"/>
          </w:tcPr>
          <w:p w14:paraId="1458D0AF">
            <w:pPr>
              <w:rPr>
                <w:rFonts w:ascii="Arial"/>
                <w:sz w:val="21"/>
              </w:rPr>
            </w:pPr>
          </w:p>
        </w:tc>
        <w:tc>
          <w:tcPr>
            <w:tcW w:w="1217" w:type="dxa"/>
            <w:vAlign w:val="top"/>
          </w:tcPr>
          <w:p w14:paraId="0B1CEACD">
            <w:pPr>
              <w:rPr>
                <w:rFonts w:ascii="Arial"/>
                <w:sz w:val="21"/>
              </w:rPr>
            </w:pPr>
          </w:p>
        </w:tc>
      </w:tr>
      <w:tr w14:paraId="794BE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1B62F316">
            <w:pPr>
              <w:pStyle w:val="9"/>
              <w:spacing w:before="223" w:line="220" w:lineRule="auto"/>
              <w:ind w:left="119"/>
            </w:pPr>
            <w:r>
              <w:rPr>
                <w:spacing w:val="-4"/>
              </w:rPr>
              <w:t>八、</w:t>
            </w:r>
            <w:r>
              <w:rPr>
                <w:spacing w:val="14"/>
              </w:rPr>
              <w:t xml:space="preserve"> </w:t>
            </w:r>
            <w:r>
              <w:rPr>
                <w:spacing w:val="-4"/>
              </w:rPr>
              <w:t>营业收入</w:t>
            </w:r>
          </w:p>
        </w:tc>
        <w:tc>
          <w:tcPr>
            <w:tcW w:w="1136" w:type="dxa"/>
            <w:vAlign w:val="top"/>
          </w:tcPr>
          <w:p w14:paraId="7FCEF8A9">
            <w:pPr>
              <w:pStyle w:val="9"/>
              <w:spacing w:before="223" w:line="220" w:lineRule="auto"/>
              <w:ind w:left="367"/>
            </w:pPr>
            <w:r>
              <w:rPr>
                <w:spacing w:val="-4"/>
              </w:rPr>
              <w:t>万元</w:t>
            </w:r>
          </w:p>
        </w:tc>
        <w:tc>
          <w:tcPr>
            <w:tcW w:w="1215" w:type="dxa"/>
            <w:vAlign w:val="top"/>
          </w:tcPr>
          <w:p w14:paraId="379F670A">
            <w:pPr>
              <w:rPr>
                <w:rFonts w:ascii="Arial"/>
                <w:sz w:val="21"/>
              </w:rPr>
            </w:pPr>
          </w:p>
        </w:tc>
        <w:tc>
          <w:tcPr>
            <w:tcW w:w="1171" w:type="dxa"/>
            <w:vAlign w:val="top"/>
          </w:tcPr>
          <w:p w14:paraId="7DB2D97A">
            <w:pPr>
              <w:rPr>
                <w:rFonts w:ascii="Arial"/>
                <w:sz w:val="21"/>
              </w:rPr>
            </w:pPr>
          </w:p>
        </w:tc>
        <w:tc>
          <w:tcPr>
            <w:tcW w:w="1217" w:type="dxa"/>
            <w:vAlign w:val="top"/>
          </w:tcPr>
          <w:p w14:paraId="65241259">
            <w:pPr>
              <w:rPr>
                <w:rFonts w:ascii="Arial"/>
                <w:sz w:val="21"/>
              </w:rPr>
            </w:pPr>
          </w:p>
        </w:tc>
      </w:tr>
      <w:tr w14:paraId="3E113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0ED051DB">
            <w:pPr>
              <w:pStyle w:val="9"/>
              <w:spacing w:before="224" w:line="220" w:lineRule="auto"/>
              <w:ind w:left="121"/>
            </w:pPr>
            <w:r>
              <w:rPr>
                <w:spacing w:val="-5"/>
              </w:rPr>
              <w:t>九、</w:t>
            </w:r>
            <w:r>
              <w:rPr>
                <w:spacing w:val="13"/>
              </w:rPr>
              <w:t xml:space="preserve"> </w:t>
            </w:r>
            <w:r>
              <w:rPr>
                <w:spacing w:val="-5"/>
              </w:rPr>
              <w:t>净利润</w:t>
            </w:r>
          </w:p>
        </w:tc>
        <w:tc>
          <w:tcPr>
            <w:tcW w:w="1136" w:type="dxa"/>
            <w:vAlign w:val="top"/>
          </w:tcPr>
          <w:p w14:paraId="7D562D96">
            <w:pPr>
              <w:pStyle w:val="9"/>
              <w:spacing w:before="224" w:line="220" w:lineRule="auto"/>
              <w:ind w:left="367"/>
            </w:pPr>
            <w:r>
              <w:rPr>
                <w:spacing w:val="-4"/>
              </w:rPr>
              <w:t>万元</w:t>
            </w:r>
          </w:p>
        </w:tc>
        <w:tc>
          <w:tcPr>
            <w:tcW w:w="1215" w:type="dxa"/>
            <w:vAlign w:val="top"/>
          </w:tcPr>
          <w:p w14:paraId="242AEC1E">
            <w:pPr>
              <w:rPr>
                <w:rFonts w:ascii="Arial"/>
                <w:sz w:val="21"/>
              </w:rPr>
            </w:pPr>
          </w:p>
        </w:tc>
        <w:tc>
          <w:tcPr>
            <w:tcW w:w="1171" w:type="dxa"/>
            <w:vAlign w:val="top"/>
          </w:tcPr>
          <w:p w14:paraId="3DAA24B3">
            <w:pPr>
              <w:rPr>
                <w:rFonts w:ascii="Arial"/>
                <w:sz w:val="21"/>
              </w:rPr>
            </w:pPr>
          </w:p>
        </w:tc>
        <w:tc>
          <w:tcPr>
            <w:tcW w:w="1217" w:type="dxa"/>
            <w:vAlign w:val="top"/>
          </w:tcPr>
          <w:p w14:paraId="5CFDAEA4">
            <w:pPr>
              <w:rPr>
                <w:rFonts w:ascii="Arial"/>
                <w:sz w:val="21"/>
              </w:rPr>
            </w:pPr>
          </w:p>
        </w:tc>
      </w:tr>
      <w:tr w14:paraId="33318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4176" w:type="dxa"/>
            <w:vAlign w:val="top"/>
          </w:tcPr>
          <w:p w14:paraId="231E6680">
            <w:pPr>
              <w:pStyle w:val="9"/>
              <w:spacing w:before="222" w:line="220" w:lineRule="auto"/>
              <w:ind w:left="116"/>
            </w:pPr>
            <w:r>
              <w:rPr>
                <w:spacing w:val="-1"/>
              </w:rPr>
              <w:t>十、 现金流量净额</w:t>
            </w:r>
          </w:p>
        </w:tc>
        <w:tc>
          <w:tcPr>
            <w:tcW w:w="1136" w:type="dxa"/>
            <w:vAlign w:val="top"/>
          </w:tcPr>
          <w:p w14:paraId="2BA0CC74">
            <w:pPr>
              <w:pStyle w:val="9"/>
              <w:spacing w:before="223" w:line="220" w:lineRule="auto"/>
              <w:ind w:left="367"/>
            </w:pPr>
            <w:r>
              <w:rPr>
                <w:spacing w:val="-4"/>
              </w:rPr>
              <w:t>万元</w:t>
            </w:r>
          </w:p>
        </w:tc>
        <w:tc>
          <w:tcPr>
            <w:tcW w:w="1215" w:type="dxa"/>
            <w:vAlign w:val="top"/>
          </w:tcPr>
          <w:p w14:paraId="2689C742">
            <w:pPr>
              <w:rPr>
                <w:rFonts w:ascii="Arial"/>
                <w:sz w:val="21"/>
              </w:rPr>
            </w:pPr>
          </w:p>
        </w:tc>
        <w:tc>
          <w:tcPr>
            <w:tcW w:w="1171" w:type="dxa"/>
            <w:vAlign w:val="top"/>
          </w:tcPr>
          <w:p w14:paraId="372310DE">
            <w:pPr>
              <w:rPr>
                <w:rFonts w:ascii="Arial"/>
                <w:sz w:val="21"/>
              </w:rPr>
            </w:pPr>
          </w:p>
        </w:tc>
        <w:tc>
          <w:tcPr>
            <w:tcW w:w="1217" w:type="dxa"/>
            <w:vAlign w:val="top"/>
          </w:tcPr>
          <w:p w14:paraId="418A2829">
            <w:pPr>
              <w:rPr>
                <w:rFonts w:ascii="Arial"/>
                <w:sz w:val="21"/>
              </w:rPr>
            </w:pPr>
          </w:p>
        </w:tc>
      </w:tr>
      <w:tr w14:paraId="21FF1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2E62BF31">
            <w:pPr>
              <w:pStyle w:val="9"/>
              <w:spacing w:before="224" w:line="220" w:lineRule="auto"/>
              <w:ind w:left="116"/>
            </w:pPr>
            <w:r>
              <w:rPr>
                <w:spacing w:val="-2"/>
              </w:rPr>
              <w:t>十一、 主要财务指标</w:t>
            </w:r>
          </w:p>
        </w:tc>
        <w:tc>
          <w:tcPr>
            <w:tcW w:w="1136" w:type="dxa"/>
            <w:vAlign w:val="top"/>
          </w:tcPr>
          <w:p w14:paraId="47CD1345">
            <w:pPr>
              <w:rPr>
                <w:rFonts w:ascii="Arial"/>
                <w:sz w:val="21"/>
              </w:rPr>
            </w:pPr>
          </w:p>
        </w:tc>
        <w:tc>
          <w:tcPr>
            <w:tcW w:w="1215" w:type="dxa"/>
            <w:vAlign w:val="top"/>
          </w:tcPr>
          <w:p w14:paraId="312DAA8B">
            <w:pPr>
              <w:rPr>
                <w:rFonts w:ascii="Arial"/>
                <w:sz w:val="21"/>
              </w:rPr>
            </w:pPr>
          </w:p>
        </w:tc>
        <w:tc>
          <w:tcPr>
            <w:tcW w:w="1171" w:type="dxa"/>
            <w:vAlign w:val="top"/>
          </w:tcPr>
          <w:p w14:paraId="04B23D84">
            <w:pPr>
              <w:rPr>
                <w:rFonts w:ascii="Arial"/>
                <w:sz w:val="21"/>
              </w:rPr>
            </w:pPr>
          </w:p>
        </w:tc>
        <w:tc>
          <w:tcPr>
            <w:tcW w:w="1217" w:type="dxa"/>
            <w:vAlign w:val="top"/>
          </w:tcPr>
          <w:p w14:paraId="4F038065">
            <w:pPr>
              <w:rPr>
                <w:rFonts w:ascii="Arial"/>
                <w:sz w:val="21"/>
              </w:rPr>
            </w:pPr>
          </w:p>
        </w:tc>
      </w:tr>
      <w:tr w14:paraId="12457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3931B4C4">
            <w:pPr>
              <w:pStyle w:val="9"/>
              <w:spacing w:before="224" w:line="220" w:lineRule="auto"/>
              <w:ind w:left="131"/>
            </w:pPr>
            <w:r>
              <w:rPr>
                <w:spacing w:val="-3"/>
              </w:rPr>
              <w:t>1. 净资产收益率</w:t>
            </w:r>
          </w:p>
        </w:tc>
        <w:tc>
          <w:tcPr>
            <w:tcW w:w="1136" w:type="dxa"/>
            <w:vAlign w:val="top"/>
          </w:tcPr>
          <w:p w14:paraId="47071DBC">
            <w:pPr>
              <w:pStyle w:val="9"/>
              <w:spacing w:before="224"/>
              <w:ind w:left="515"/>
            </w:pPr>
            <w:r>
              <w:t>%</w:t>
            </w:r>
          </w:p>
        </w:tc>
        <w:tc>
          <w:tcPr>
            <w:tcW w:w="1215" w:type="dxa"/>
            <w:vAlign w:val="top"/>
          </w:tcPr>
          <w:p w14:paraId="24A61D89">
            <w:pPr>
              <w:rPr>
                <w:rFonts w:ascii="Arial"/>
                <w:sz w:val="21"/>
              </w:rPr>
            </w:pPr>
          </w:p>
        </w:tc>
        <w:tc>
          <w:tcPr>
            <w:tcW w:w="1171" w:type="dxa"/>
            <w:vAlign w:val="top"/>
          </w:tcPr>
          <w:p w14:paraId="730EDC87">
            <w:pPr>
              <w:rPr>
                <w:rFonts w:ascii="Arial"/>
                <w:sz w:val="21"/>
              </w:rPr>
            </w:pPr>
          </w:p>
        </w:tc>
        <w:tc>
          <w:tcPr>
            <w:tcW w:w="1217" w:type="dxa"/>
            <w:vAlign w:val="top"/>
          </w:tcPr>
          <w:p w14:paraId="66B44FDF">
            <w:pPr>
              <w:rPr>
                <w:rFonts w:ascii="Arial"/>
                <w:sz w:val="21"/>
              </w:rPr>
            </w:pPr>
          </w:p>
        </w:tc>
      </w:tr>
      <w:tr w14:paraId="71489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79BC404C">
            <w:pPr>
              <w:pStyle w:val="9"/>
              <w:spacing w:before="224" w:line="220" w:lineRule="auto"/>
              <w:ind w:left="118"/>
            </w:pPr>
            <w:r>
              <w:rPr>
                <w:spacing w:val="-3"/>
              </w:rPr>
              <w:t>2.</w:t>
            </w:r>
            <w:r>
              <w:rPr>
                <w:spacing w:val="14"/>
              </w:rPr>
              <w:t xml:space="preserve"> </w:t>
            </w:r>
            <w:r>
              <w:rPr>
                <w:spacing w:val="-3"/>
              </w:rPr>
              <w:t>总资产报酬率</w:t>
            </w:r>
          </w:p>
        </w:tc>
        <w:tc>
          <w:tcPr>
            <w:tcW w:w="1136" w:type="dxa"/>
            <w:vAlign w:val="top"/>
          </w:tcPr>
          <w:p w14:paraId="7778BDB7">
            <w:pPr>
              <w:pStyle w:val="9"/>
              <w:spacing w:before="225"/>
              <w:ind w:left="515"/>
            </w:pPr>
            <w:r>
              <w:t>%</w:t>
            </w:r>
          </w:p>
        </w:tc>
        <w:tc>
          <w:tcPr>
            <w:tcW w:w="1215" w:type="dxa"/>
            <w:vAlign w:val="top"/>
          </w:tcPr>
          <w:p w14:paraId="4BF2988A">
            <w:pPr>
              <w:rPr>
                <w:rFonts w:ascii="Arial"/>
                <w:sz w:val="21"/>
              </w:rPr>
            </w:pPr>
          </w:p>
        </w:tc>
        <w:tc>
          <w:tcPr>
            <w:tcW w:w="1171" w:type="dxa"/>
            <w:vAlign w:val="top"/>
          </w:tcPr>
          <w:p w14:paraId="5443E6CF">
            <w:pPr>
              <w:rPr>
                <w:rFonts w:ascii="Arial"/>
                <w:sz w:val="21"/>
              </w:rPr>
            </w:pPr>
          </w:p>
        </w:tc>
        <w:tc>
          <w:tcPr>
            <w:tcW w:w="1217" w:type="dxa"/>
            <w:vAlign w:val="top"/>
          </w:tcPr>
          <w:p w14:paraId="7FFB31AD">
            <w:pPr>
              <w:rPr>
                <w:rFonts w:ascii="Arial"/>
                <w:sz w:val="21"/>
              </w:rPr>
            </w:pPr>
          </w:p>
        </w:tc>
      </w:tr>
      <w:tr w14:paraId="7BA04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32E8A1E4">
            <w:pPr>
              <w:pStyle w:val="9"/>
              <w:spacing w:before="225" w:line="220" w:lineRule="auto"/>
              <w:ind w:left="120"/>
            </w:pPr>
            <w:r>
              <w:rPr>
                <w:spacing w:val="-2"/>
              </w:rPr>
              <w:t>3. 主营业务利润率</w:t>
            </w:r>
          </w:p>
        </w:tc>
        <w:tc>
          <w:tcPr>
            <w:tcW w:w="1136" w:type="dxa"/>
            <w:vAlign w:val="top"/>
          </w:tcPr>
          <w:p w14:paraId="4796A4C5">
            <w:pPr>
              <w:pStyle w:val="9"/>
              <w:spacing w:before="225"/>
              <w:ind w:left="515"/>
            </w:pPr>
            <w:r>
              <w:t>%</w:t>
            </w:r>
          </w:p>
        </w:tc>
        <w:tc>
          <w:tcPr>
            <w:tcW w:w="1215" w:type="dxa"/>
            <w:vAlign w:val="top"/>
          </w:tcPr>
          <w:p w14:paraId="67015A0F">
            <w:pPr>
              <w:rPr>
                <w:rFonts w:ascii="Arial"/>
                <w:sz w:val="21"/>
              </w:rPr>
            </w:pPr>
          </w:p>
        </w:tc>
        <w:tc>
          <w:tcPr>
            <w:tcW w:w="1171" w:type="dxa"/>
            <w:vAlign w:val="top"/>
          </w:tcPr>
          <w:p w14:paraId="777B1F30">
            <w:pPr>
              <w:rPr>
                <w:rFonts w:ascii="Arial"/>
                <w:sz w:val="21"/>
              </w:rPr>
            </w:pPr>
          </w:p>
        </w:tc>
        <w:tc>
          <w:tcPr>
            <w:tcW w:w="1217" w:type="dxa"/>
            <w:vAlign w:val="top"/>
          </w:tcPr>
          <w:p w14:paraId="192EA36B">
            <w:pPr>
              <w:rPr>
                <w:rFonts w:ascii="Arial"/>
                <w:sz w:val="21"/>
              </w:rPr>
            </w:pPr>
          </w:p>
        </w:tc>
      </w:tr>
      <w:tr w14:paraId="6A91C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3FBD01A6">
            <w:pPr>
              <w:pStyle w:val="9"/>
              <w:spacing w:before="225" w:line="220" w:lineRule="auto"/>
              <w:ind w:left="115"/>
            </w:pPr>
            <w:r>
              <w:rPr>
                <w:spacing w:val="-3"/>
              </w:rPr>
              <w:t>4.</w:t>
            </w:r>
            <w:r>
              <w:rPr>
                <w:spacing w:val="16"/>
              </w:rPr>
              <w:t xml:space="preserve"> </w:t>
            </w:r>
            <w:r>
              <w:rPr>
                <w:spacing w:val="-3"/>
              </w:rPr>
              <w:t>资产负债率</w:t>
            </w:r>
          </w:p>
        </w:tc>
        <w:tc>
          <w:tcPr>
            <w:tcW w:w="1136" w:type="dxa"/>
            <w:vAlign w:val="top"/>
          </w:tcPr>
          <w:p w14:paraId="6495224D">
            <w:pPr>
              <w:pStyle w:val="9"/>
              <w:spacing w:before="225"/>
              <w:ind w:left="514"/>
            </w:pPr>
            <w:r>
              <w:t>%</w:t>
            </w:r>
          </w:p>
        </w:tc>
        <w:tc>
          <w:tcPr>
            <w:tcW w:w="1215" w:type="dxa"/>
            <w:vAlign w:val="top"/>
          </w:tcPr>
          <w:p w14:paraId="2A62CB95">
            <w:pPr>
              <w:rPr>
                <w:rFonts w:ascii="Arial"/>
                <w:sz w:val="21"/>
              </w:rPr>
            </w:pPr>
          </w:p>
        </w:tc>
        <w:tc>
          <w:tcPr>
            <w:tcW w:w="1171" w:type="dxa"/>
            <w:vAlign w:val="top"/>
          </w:tcPr>
          <w:p w14:paraId="723291D6">
            <w:pPr>
              <w:rPr>
                <w:rFonts w:ascii="Arial"/>
                <w:sz w:val="21"/>
              </w:rPr>
            </w:pPr>
          </w:p>
        </w:tc>
        <w:tc>
          <w:tcPr>
            <w:tcW w:w="1217" w:type="dxa"/>
            <w:vAlign w:val="top"/>
          </w:tcPr>
          <w:p w14:paraId="7A0169C2">
            <w:pPr>
              <w:rPr>
                <w:rFonts w:ascii="Arial"/>
                <w:sz w:val="21"/>
              </w:rPr>
            </w:pPr>
          </w:p>
        </w:tc>
      </w:tr>
      <w:tr w14:paraId="1E2F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4176" w:type="dxa"/>
            <w:vAlign w:val="top"/>
          </w:tcPr>
          <w:p w14:paraId="52C34A97">
            <w:pPr>
              <w:pStyle w:val="9"/>
              <w:spacing w:before="224" w:line="220" w:lineRule="auto"/>
              <w:ind w:left="120"/>
            </w:pPr>
            <w:r>
              <w:rPr>
                <w:spacing w:val="-2"/>
              </w:rPr>
              <w:t>5. 流动比率</w:t>
            </w:r>
          </w:p>
        </w:tc>
        <w:tc>
          <w:tcPr>
            <w:tcW w:w="1136" w:type="dxa"/>
            <w:vAlign w:val="top"/>
          </w:tcPr>
          <w:p w14:paraId="0F176B22">
            <w:pPr>
              <w:pStyle w:val="9"/>
              <w:spacing w:before="224"/>
              <w:ind w:left="514"/>
            </w:pPr>
            <w:r>
              <w:t>%</w:t>
            </w:r>
          </w:p>
        </w:tc>
        <w:tc>
          <w:tcPr>
            <w:tcW w:w="1215" w:type="dxa"/>
            <w:vAlign w:val="top"/>
          </w:tcPr>
          <w:p w14:paraId="48FB605C">
            <w:pPr>
              <w:rPr>
                <w:rFonts w:ascii="Arial"/>
                <w:sz w:val="21"/>
              </w:rPr>
            </w:pPr>
          </w:p>
        </w:tc>
        <w:tc>
          <w:tcPr>
            <w:tcW w:w="1171" w:type="dxa"/>
            <w:vAlign w:val="top"/>
          </w:tcPr>
          <w:p w14:paraId="40D24B42">
            <w:pPr>
              <w:rPr>
                <w:rFonts w:ascii="Arial"/>
                <w:sz w:val="21"/>
              </w:rPr>
            </w:pPr>
          </w:p>
        </w:tc>
        <w:tc>
          <w:tcPr>
            <w:tcW w:w="1217" w:type="dxa"/>
            <w:vAlign w:val="top"/>
          </w:tcPr>
          <w:p w14:paraId="36F2F006">
            <w:pPr>
              <w:rPr>
                <w:rFonts w:ascii="Arial"/>
                <w:sz w:val="21"/>
              </w:rPr>
            </w:pPr>
          </w:p>
        </w:tc>
      </w:tr>
      <w:tr w14:paraId="600BF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0C175187">
            <w:pPr>
              <w:pStyle w:val="9"/>
              <w:spacing w:before="225" w:line="220" w:lineRule="auto"/>
              <w:ind w:left="117"/>
            </w:pPr>
            <w:r>
              <w:rPr>
                <w:spacing w:val="-2"/>
              </w:rPr>
              <w:t>6. 速动比率</w:t>
            </w:r>
          </w:p>
        </w:tc>
        <w:tc>
          <w:tcPr>
            <w:tcW w:w="1136" w:type="dxa"/>
            <w:vAlign w:val="top"/>
          </w:tcPr>
          <w:p w14:paraId="5BD255E0">
            <w:pPr>
              <w:pStyle w:val="9"/>
              <w:spacing w:before="225"/>
              <w:ind w:left="514"/>
            </w:pPr>
            <w:r>
              <w:t>%</w:t>
            </w:r>
          </w:p>
        </w:tc>
        <w:tc>
          <w:tcPr>
            <w:tcW w:w="1215" w:type="dxa"/>
            <w:vAlign w:val="top"/>
          </w:tcPr>
          <w:p w14:paraId="77AE2928">
            <w:pPr>
              <w:rPr>
                <w:rFonts w:ascii="Arial"/>
                <w:sz w:val="21"/>
              </w:rPr>
            </w:pPr>
          </w:p>
        </w:tc>
        <w:tc>
          <w:tcPr>
            <w:tcW w:w="1171" w:type="dxa"/>
            <w:vAlign w:val="top"/>
          </w:tcPr>
          <w:p w14:paraId="4636E5AC">
            <w:pPr>
              <w:rPr>
                <w:rFonts w:ascii="Arial"/>
                <w:sz w:val="21"/>
              </w:rPr>
            </w:pPr>
          </w:p>
        </w:tc>
        <w:tc>
          <w:tcPr>
            <w:tcW w:w="1217" w:type="dxa"/>
            <w:vAlign w:val="top"/>
          </w:tcPr>
          <w:p w14:paraId="76BE2F23">
            <w:pPr>
              <w:rPr>
                <w:rFonts w:ascii="Arial"/>
                <w:sz w:val="21"/>
              </w:rPr>
            </w:pPr>
          </w:p>
        </w:tc>
      </w:tr>
      <w:tr w14:paraId="7788A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4176" w:type="dxa"/>
            <w:vAlign w:val="top"/>
          </w:tcPr>
          <w:p w14:paraId="66B05B0F">
            <w:pPr>
              <w:pStyle w:val="9"/>
              <w:spacing w:before="225" w:line="220" w:lineRule="auto"/>
              <w:ind w:left="622"/>
            </w:pPr>
            <w:r>
              <w:rPr>
                <w:spacing w:val="-1"/>
              </w:rPr>
              <w:t>近三个年度的年平均营业总收入</w:t>
            </w:r>
          </w:p>
        </w:tc>
        <w:tc>
          <w:tcPr>
            <w:tcW w:w="1136" w:type="dxa"/>
            <w:vAlign w:val="top"/>
          </w:tcPr>
          <w:p w14:paraId="531A3B62">
            <w:pPr>
              <w:pStyle w:val="9"/>
              <w:spacing w:before="226" w:line="220" w:lineRule="auto"/>
              <w:ind w:left="367"/>
            </w:pPr>
            <w:r>
              <w:rPr>
                <w:spacing w:val="-4"/>
              </w:rPr>
              <w:t>万元</w:t>
            </w:r>
          </w:p>
        </w:tc>
        <w:tc>
          <w:tcPr>
            <w:tcW w:w="1215" w:type="dxa"/>
            <w:vAlign w:val="top"/>
          </w:tcPr>
          <w:p w14:paraId="0BDE340F">
            <w:pPr>
              <w:rPr>
                <w:rFonts w:ascii="Arial"/>
                <w:sz w:val="21"/>
              </w:rPr>
            </w:pPr>
          </w:p>
        </w:tc>
        <w:tc>
          <w:tcPr>
            <w:tcW w:w="1171" w:type="dxa"/>
            <w:vAlign w:val="top"/>
          </w:tcPr>
          <w:p w14:paraId="3D21FA99">
            <w:pPr>
              <w:rPr>
                <w:rFonts w:ascii="Arial"/>
                <w:sz w:val="21"/>
              </w:rPr>
            </w:pPr>
          </w:p>
        </w:tc>
        <w:tc>
          <w:tcPr>
            <w:tcW w:w="1217" w:type="dxa"/>
            <w:vAlign w:val="top"/>
          </w:tcPr>
          <w:p w14:paraId="5028D0C5">
            <w:pPr>
              <w:rPr>
                <w:rFonts w:ascii="Arial"/>
                <w:sz w:val="21"/>
              </w:rPr>
            </w:pPr>
          </w:p>
        </w:tc>
      </w:tr>
      <w:tr w14:paraId="24389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4176" w:type="dxa"/>
            <w:vAlign w:val="top"/>
          </w:tcPr>
          <w:p w14:paraId="2FA03D3D">
            <w:pPr>
              <w:pStyle w:val="9"/>
              <w:spacing w:before="143" w:line="220" w:lineRule="auto"/>
              <w:ind w:left="154"/>
            </w:pPr>
            <w:r>
              <w:rPr>
                <w:spacing w:val="-1"/>
              </w:rPr>
              <w:t>最新年度具有的营运资金（流动资产</w:t>
            </w:r>
            <w:r>
              <w:rPr>
                <w:rFonts w:hint="eastAsia"/>
                <w:spacing w:val="-1"/>
                <w:lang w:eastAsia="zh-CN"/>
              </w:rPr>
              <w:t>－</w:t>
            </w:r>
            <w:r>
              <w:rPr>
                <w:spacing w:val="-1"/>
              </w:rPr>
              <w:t>流动</w:t>
            </w:r>
          </w:p>
          <w:p w14:paraId="1DA157AB">
            <w:pPr>
              <w:pStyle w:val="9"/>
              <w:spacing w:before="149" w:line="220" w:lineRule="auto"/>
              <w:ind w:left="1786"/>
            </w:pPr>
            <w:r>
              <w:rPr>
                <w:spacing w:val="-7"/>
              </w:rPr>
              <w:t>负债）</w:t>
            </w:r>
          </w:p>
        </w:tc>
        <w:tc>
          <w:tcPr>
            <w:tcW w:w="1136" w:type="dxa"/>
            <w:vAlign w:val="top"/>
          </w:tcPr>
          <w:p w14:paraId="3A5016C6">
            <w:pPr>
              <w:spacing w:line="273" w:lineRule="auto"/>
              <w:rPr>
                <w:rFonts w:ascii="Arial"/>
                <w:sz w:val="21"/>
              </w:rPr>
            </w:pPr>
          </w:p>
          <w:p w14:paraId="7504FAFB">
            <w:pPr>
              <w:pStyle w:val="9"/>
              <w:spacing w:before="68" w:line="220" w:lineRule="auto"/>
              <w:ind w:left="367"/>
            </w:pPr>
            <w:r>
              <w:rPr>
                <w:spacing w:val="-4"/>
              </w:rPr>
              <w:t>万元</w:t>
            </w:r>
          </w:p>
        </w:tc>
        <w:tc>
          <w:tcPr>
            <w:tcW w:w="1215" w:type="dxa"/>
            <w:vAlign w:val="top"/>
          </w:tcPr>
          <w:p w14:paraId="7126F04B">
            <w:pPr>
              <w:rPr>
                <w:rFonts w:ascii="Arial"/>
                <w:sz w:val="21"/>
              </w:rPr>
            </w:pPr>
          </w:p>
        </w:tc>
        <w:tc>
          <w:tcPr>
            <w:tcW w:w="1171" w:type="dxa"/>
            <w:vAlign w:val="top"/>
          </w:tcPr>
          <w:p w14:paraId="31537EF0">
            <w:pPr>
              <w:rPr>
                <w:rFonts w:ascii="Arial"/>
                <w:sz w:val="21"/>
              </w:rPr>
            </w:pPr>
          </w:p>
        </w:tc>
        <w:tc>
          <w:tcPr>
            <w:tcW w:w="1217" w:type="dxa"/>
            <w:vAlign w:val="top"/>
          </w:tcPr>
          <w:p w14:paraId="72CCA1DE">
            <w:pPr>
              <w:rPr>
                <w:rFonts w:ascii="Arial"/>
                <w:sz w:val="21"/>
              </w:rPr>
            </w:pPr>
          </w:p>
        </w:tc>
      </w:tr>
    </w:tbl>
    <w:p w14:paraId="7A18D08D">
      <w:pPr>
        <w:spacing w:before="49" w:line="224" w:lineRule="auto"/>
        <w:ind w:left="8"/>
        <w:rPr>
          <w:rFonts w:ascii="宋体" w:hAnsi="宋体" w:eastAsia="宋体" w:cs="宋体"/>
          <w:sz w:val="21"/>
          <w:szCs w:val="21"/>
        </w:rPr>
      </w:pPr>
      <w:r>
        <w:rPr>
          <w:rFonts w:ascii="宋体" w:hAnsi="宋体" w:eastAsia="宋体" w:cs="宋体"/>
          <w:spacing w:val="-15"/>
          <w:sz w:val="21"/>
          <w:szCs w:val="21"/>
        </w:rPr>
        <w:t>注：</w:t>
      </w:r>
    </w:p>
    <w:p w14:paraId="390F41F2">
      <w:pPr>
        <w:spacing w:before="57" w:line="219" w:lineRule="auto"/>
        <w:ind w:left="23"/>
        <w:rPr>
          <w:rFonts w:ascii="宋体" w:hAnsi="宋体" w:eastAsia="宋体" w:cs="宋体"/>
          <w:sz w:val="21"/>
          <w:szCs w:val="21"/>
        </w:rPr>
      </w:pPr>
      <w:r>
        <w:rPr>
          <w:rFonts w:ascii="宋体" w:hAnsi="宋体" w:eastAsia="宋体" w:cs="宋体"/>
          <w:spacing w:val="-2"/>
          <w:sz w:val="21"/>
          <w:szCs w:val="21"/>
        </w:rPr>
        <w:t>1. 投标人应根据招标文件第二章“投标人须知”第</w:t>
      </w:r>
      <w:r>
        <w:rPr>
          <w:rFonts w:ascii="宋体" w:hAnsi="宋体" w:eastAsia="宋体" w:cs="宋体"/>
          <w:spacing w:val="-27"/>
          <w:sz w:val="21"/>
          <w:szCs w:val="21"/>
        </w:rPr>
        <w:t xml:space="preserve"> </w:t>
      </w:r>
      <w:r>
        <w:rPr>
          <w:rFonts w:ascii="宋体" w:hAnsi="宋体" w:eastAsia="宋体" w:cs="宋体"/>
          <w:spacing w:val="-2"/>
          <w:sz w:val="21"/>
          <w:szCs w:val="21"/>
        </w:rPr>
        <w:t>3.5.2</w:t>
      </w:r>
      <w:r>
        <w:rPr>
          <w:rFonts w:ascii="宋体" w:hAnsi="宋体" w:eastAsia="宋体" w:cs="宋体"/>
          <w:spacing w:val="-41"/>
          <w:sz w:val="21"/>
          <w:szCs w:val="21"/>
        </w:rPr>
        <w:t xml:space="preserve"> </w:t>
      </w:r>
      <w:r>
        <w:rPr>
          <w:rFonts w:ascii="宋体" w:hAnsi="宋体" w:eastAsia="宋体" w:cs="宋体"/>
          <w:spacing w:val="-2"/>
          <w:sz w:val="21"/>
          <w:szCs w:val="21"/>
        </w:rPr>
        <w:t>项的要求在本表后附相关证明材料。</w:t>
      </w:r>
    </w:p>
    <w:p w14:paraId="13A89CC4">
      <w:pPr>
        <w:spacing w:before="63" w:line="220" w:lineRule="auto"/>
        <w:ind w:left="10"/>
        <w:rPr>
          <w:rFonts w:ascii="宋体" w:hAnsi="宋体" w:eastAsia="宋体" w:cs="宋体"/>
          <w:sz w:val="21"/>
          <w:szCs w:val="21"/>
        </w:rPr>
      </w:pPr>
      <w:r>
        <w:rPr>
          <w:rFonts w:ascii="宋体" w:hAnsi="宋体" w:eastAsia="宋体" w:cs="宋体"/>
          <w:spacing w:val="-2"/>
          <w:sz w:val="21"/>
          <w:szCs w:val="21"/>
        </w:rPr>
        <w:t>2.以联合体形式投标的，联合体各成员应分别填写。</w:t>
      </w:r>
    </w:p>
    <w:p w14:paraId="42E5C849">
      <w:pPr>
        <w:spacing w:line="220" w:lineRule="auto"/>
        <w:rPr>
          <w:rFonts w:ascii="宋体" w:hAnsi="宋体" w:eastAsia="宋体" w:cs="宋体"/>
          <w:sz w:val="21"/>
          <w:szCs w:val="21"/>
        </w:rPr>
        <w:sectPr>
          <w:headerReference r:id="rId187" w:type="default"/>
          <w:footerReference r:id="rId188" w:type="default"/>
          <w:pgSz w:w="11905" w:h="16840"/>
          <w:pgMar w:top="1182" w:right="1305" w:bottom="1171" w:left="1416" w:header="849" w:footer="937" w:gutter="0"/>
          <w:pgNumType w:fmt="decimal"/>
          <w:cols w:space="720" w:num="1"/>
        </w:sectPr>
      </w:pPr>
    </w:p>
    <w:p w14:paraId="4635205D">
      <w:pPr>
        <w:pStyle w:val="2"/>
        <w:spacing w:line="293" w:lineRule="auto"/>
      </w:pPr>
    </w:p>
    <w:p w14:paraId="48111FAD">
      <w:pPr>
        <w:pStyle w:val="2"/>
        <w:spacing w:line="316" w:lineRule="auto"/>
      </w:pPr>
    </w:p>
    <w:p w14:paraId="6F7863AE">
      <w:pPr>
        <w:spacing w:before="88" w:line="226" w:lineRule="auto"/>
        <w:ind w:left="2563"/>
        <w:rPr>
          <w:rFonts w:ascii="宋体" w:hAnsi="宋体" w:eastAsia="宋体" w:cs="宋体"/>
          <w:sz w:val="27"/>
          <w:szCs w:val="27"/>
        </w:rPr>
      </w:pPr>
      <w:r>
        <w:rPr>
          <w:rFonts w:ascii="宋体" w:hAnsi="宋体" w:eastAsia="宋体" w:cs="宋体"/>
          <w:b/>
          <w:bCs/>
          <w:spacing w:val="5"/>
          <w:sz w:val="27"/>
          <w:szCs w:val="27"/>
        </w:rPr>
        <w:t>（四）近年完成的类似项目情况表</w:t>
      </w:r>
    </w:p>
    <w:p w14:paraId="685214A6">
      <w:pPr>
        <w:spacing w:before="293" w:line="226" w:lineRule="auto"/>
        <w:ind w:left="2669"/>
        <w:rPr>
          <w:rFonts w:ascii="宋体" w:hAnsi="宋体" w:eastAsia="宋体" w:cs="宋体"/>
          <w:sz w:val="27"/>
          <w:szCs w:val="27"/>
        </w:rPr>
      </w:pPr>
      <w:r>
        <w:rPr>
          <w:rFonts w:ascii="宋体" w:hAnsi="宋体" w:eastAsia="宋体" w:cs="宋体"/>
          <w:b/>
          <w:bCs/>
          <w:spacing w:val="5"/>
          <w:sz w:val="27"/>
          <w:szCs w:val="27"/>
        </w:rPr>
        <w:t>（四）-1</w:t>
      </w:r>
      <w:r>
        <w:rPr>
          <w:rFonts w:ascii="宋体" w:hAnsi="宋体" w:eastAsia="宋体" w:cs="宋体"/>
          <w:spacing w:val="-52"/>
          <w:sz w:val="27"/>
          <w:szCs w:val="27"/>
        </w:rPr>
        <w:t xml:space="preserve"> </w:t>
      </w:r>
      <w:r>
        <w:rPr>
          <w:rFonts w:ascii="宋体" w:hAnsi="宋体" w:eastAsia="宋体" w:cs="宋体"/>
          <w:b/>
          <w:bCs/>
          <w:spacing w:val="5"/>
          <w:sz w:val="27"/>
          <w:szCs w:val="27"/>
        </w:rPr>
        <w:t>完成的类似项目情况表</w:t>
      </w:r>
    </w:p>
    <w:p w14:paraId="4294857B">
      <w:pPr>
        <w:spacing w:before="36"/>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81"/>
        <w:gridCol w:w="6211"/>
      </w:tblGrid>
      <w:tr w14:paraId="15B0E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3081" w:type="dxa"/>
            <w:vAlign w:val="top"/>
          </w:tcPr>
          <w:p w14:paraId="1FA5AC0A">
            <w:pPr>
              <w:pStyle w:val="9"/>
              <w:spacing w:before="254" w:line="221" w:lineRule="auto"/>
              <w:ind w:left="1335"/>
            </w:pPr>
            <w:r>
              <w:rPr>
                <w:spacing w:val="-2"/>
              </w:rPr>
              <w:t>序号</w:t>
            </w:r>
          </w:p>
        </w:tc>
        <w:tc>
          <w:tcPr>
            <w:tcW w:w="6211" w:type="dxa"/>
            <w:vAlign w:val="top"/>
          </w:tcPr>
          <w:p w14:paraId="42476353">
            <w:pPr>
              <w:rPr>
                <w:rFonts w:ascii="Arial"/>
                <w:sz w:val="21"/>
              </w:rPr>
            </w:pPr>
          </w:p>
        </w:tc>
      </w:tr>
      <w:tr w14:paraId="40C45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2218C911">
            <w:pPr>
              <w:pStyle w:val="9"/>
              <w:spacing w:before="251" w:line="220" w:lineRule="auto"/>
              <w:ind w:left="1129"/>
            </w:pPr>
            <w:r>
              <w:rPr>
                <w:spacing w:val="-3"/>
              </w:rPr>
              <w:t>项目名称</w:t>
            </w:r>
          </w:p>
        </w:tc>
        <w:tc>
          <w:tcPr>
            <w:tcW w:w="6211" w:type="dxa"/>
            <w:vAlign w:val="top"/>
          </w:tcPr>
          <w:p w14:paraId="7B281139">
            <w:pPr>
              <w:rPr>
                <w:rFonts w:ascii="Arial"/>
                <w:sz w:val="21"/>
              </w:rPr>
            </w:pPr>
          </w:p>
        </w:tc>
      </w:tr>
      <w:tr w14:paraId="55F04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6FDAC1B9">
            <w:pPr>
              <w:pStyle w:val="9"/>
              <w:spacing w:before="251" w:line="220" w:lineRule="auto"/>
              <w:ind w:left="1024"/>
            </w:pPr>
            <w:r>
              <w:rPr>
                <w:spacing w:val="-2"/>
              </w:rPr>
              <w:t>项目所在地</w:t>
            </w:r>
          </w:p>
        </w:tc>
        <w:tc>
          <w:tcPr>
            <w:tcW w:w="6211" w:type="dxa"/>
            <w:vAlign w:val="top"/>
          </w:tcPr>
          <w:p w14:paraId="4E45DB4F">
            <w:pPr>
              <w:rPr>
                <w:rFonts w:ascii="Arial"/>
                <w:sz w:val="21"/>
              </w:rPr>
            </w:pPr>
          </w:p>
        </w:tc>
      </w:tr>
      <w:tr w14:paraId="0B313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081" w:type="dxa"/>
            <w:vAlign w:val="top"/>
          </w:tcPr>
          <w:p w14:paraId="3B627022">
            <w:pPr>
              <w:pStyle w:val="9"/>
              <w:spacing w:before="252" w:line="220" w:lineRule="auto"/>
              <w:ind w:left="1024"/>
            </w:pPr>
            <w:r>
              <w:rPr>
                <w:spacing w:val="-2"/>
              </w:rPr>
              <w:t>发包人名称</w:t>
            </w:r>
          </w:p>
        </w:tc>
        <w:tc>
          <w:tcPr>
            <w:tcW w:w="6211" w:type="dxa"/>
            <w:vAlign w:val="top"/>
          </w:tcPr>
          <w:p w14:paraId="69B0B5E1">
            <w:pPr>
              <w:rPr>
                <w:rFonts w:ascii="Arial"/>
                <w:sz w:val="21"/>
              </w:rPr>
            </w:pPr>
          </w:p>
        </w:tc>
      </w:tr>
      <w:tr w14:paraId="77531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6B797A59">
            <w:pPr>
              <w:pStyle w:val="9"/>
              <w:spacing w:before="252" w:line="220" w:lineRule="auto"/>
              <w:ind w:left="1024"/>
            </w:pPr>
            <w:r>
              <w:rPr>
                <w:spacing w:val="-2"/>
              </w:rPr>
              <w:t>发包人地址</w:t>
            </w:r>
          </w:p>
        </w:tc>
        <w:tc>
          <w:tcPr>
            <w:tcW w:w="6211" w:type="dxa"/>
            <w:vAlign w:val="top"/>
          </w:tcPr>
          <w:p w14:paraId="4911C9A7">
            <w:pPr>
              <w:rPr>
                <w:rFonts w:ascii="Arial"/>
                <w:sz w:val="21"/>
              </w:rPr>
            </w:pPr>
          </w:p>
        </w:tc>
      </w:tr>
      <w:tr w14:paraId="5D59F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6C6968E3">
            <w:pPr>
              <w:pStyle w:val="9"/>
              <w:spacing w:before="252" w:line="220" w:lineRule="auto"/>
              <w:ind w:left="1024"/>
            </w:pPr>
            <w:r>
              <w:rPr>
                <w:spacing w:val="-2"/>
              </w:rPr>
              <w:t>发包人电话</w:t>
            </w:r>
          </w:p>
        </w:tc>
        <w:tc>
          <w:tcPr>
            <w:tcW w:w="6211" w:type="dxa"/>
            <w:vAlign w:val="top"/>
          </w:tcPr>
          <w:p w14:paraId="2D37B36B">
            <w:pPr>
              <w:rPr>
                <w:rFonts w:ascii="Arial"/>
                <w:sz w:val="21"/>
              </w:rPr>
            </w:pPr>
          </w:p>
        </w:tc>
      </w:tr>
      <w:tr w14:paraId="725BD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081" w:type="dxa"/>
            <w:vAlign w:val="top"/>
          </w:tcPr>
          <w:p w14:paraId="75B98F4C">
            <w:pPr>
              <w:pStyle w:val="9"/>
              <w:spacing w:before="253" w:line="218" w:lineRule="auto"/>
              <w:ind w:left="1127"/>
            </w:pPr>
            <w:r>
              <w:rPr>
                <w:spacing w:val="-2"/>
              </w:rPr>
              <w:t>合同价格</w:t>
            </w:r>
          </w:p>
        </w:tc>
        <w:tc>
          <w:tcPr>
            <w:tcW w:w="6211" w:type="dxa"/>
            <w:vAlign w:val="top"/>
          </w:tcPr>
          <w:p w14:paraId="50A3A5C0">
            <w:pPr>
              <w:rPr>
                <w:rFonts w:ascii="Arial"/>
                <w:sz w:val="21"/>
              </w:rPr>
            </w:pPr>
          </w:p>
        </w:tc>
      </w:tr>
      <w:tr w14:paraId="6E838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24D85315">
            <w:pPr>
              <w:pStyle w:val="9"/>
              <w:spacing w:before="253" w:line="220" w:lineRule="auto"/>
              <w:ind w:left="1127"/>
            </w:pPr>
            <w:r>
              <w:rPr>
                <w:spacing w:val="-2"/>
              </w:rPr>
              <w:t>开工日期</w:t>
            </w:r>
          </w:p>
        </w:tc>
        <w:tc>
          <w:tcPr>
            <w:tcW w:w="6211" w:type="dxa"/>
            <w:vAlign w:val="top"/>
          </w:tcPr>
          <w:p w14:paraId="58B93933">
            <w:pPr>
              <w:rPr>
                <w:rFonts w:ascii="Arial"/>
                <w:sz w:val="21"/>
              </w:rPr>
            </w:pPr>
          </w:p>
        </w:tc>
      </w:tr>
      <w:tr w14:paraId="220B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6A82BF8C">
            <w:pPr>
              <w:pStyle w:val="9"/>
              <w:spacing w:before="252" w:line="220" w:lineRule="auto"/>
              <w:ind w:left="290"/>
            </w:pPr>
            <w:r>
              <w:rPr>
                <w:spacing w:val="-2"/>
              </w:rPr>
              <w:t>交工（或一次性竣工）日期</w:t>
            </w:r>
          </w:p>
        </w:tc>
        <w:tc>
          <w:tcPr>
            <w:tcW w:w="6211" w:type="dxa"/>
            <w:vAlign w:val="top"/>
          </w:tcPr>
          <w:p w14:paraId="2A66AD78">
            <w:pPr>
              <w:rPr>
                <w:rFonts w:ascii="Arial"/>
                <w:sz w:val="21"/>
              </w:rPr>
            </w:pPr>
          </w:p>
        </w:tc>
      </w:tr>
      <w:tr w14:paraId="0BCFE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081" w:type="dxa"/>
            <w:vAlign w:val="top"/>
          </w:tcPr>
          <w:p w14:paraId="72F80C4A">
            <w:pPr>
              <w:pStyle w:val="9"/>
              <w:spacing w:before="253" w:line="220" w:lineRule="auto"/>
              <w:ind w:left="1020"/>
            </w:pPr>
            <w:r>
              <w:rPr>
                <w:spacing w:val="-2"/>
              </w:rPr>
              <w:t>承担的工作</w:t>
            </w:r>
          </w:p>
        </w:tc>
        <w:tc>
          <w:tcPr>
            <w:tcW w:w="6211" w:type="dxa"/>
            <w:vAlign w:val="top"/>
          </w:tcPr>
          <w:p w14:paraId="1792E20C">
            <w:pPr>
              <w:rPr>
                <w:rFonts w:ascii="Arial"/>
                <w:sz w:val="21"/>
              </w:rPr>
            </w:pPr>
          </w:p>
        </w:tc>
      </w:tr>
      <w:tr w14:paraId="576BC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5EB6ECAE">
            <w:pPr>
              <w:pStyle w:val="9"/>
              <w:spacing w:before="253" w:line="220" w:lineRule="auto"/>
              <w:ind w:left="393"/>
            </w:pPr>
            <w:r>
              <w:rPr>
                <w:spacing w:val="-3"/>
              </w:rPr>
              <w:t>工程质量评分（或等级）</w:t>
            </w:r>
          </w:p>
        </w:tc>
        <w:tc>
          <w:tcPr>
            <w:tcW w:w="6211" w:type="dxa"/>
            <w:vAlign w:val="top"/>
          </w:tcPr>
          <w:p w14:paraId="15870DFA">
            <w:pPr>
              <w:rPr>
                <w:rFonts w:ascii="Arial"/>
                <w:sz w:val="21"/>
              </w:rPr>
            </w:pPr>
          </w:p>
        </w:tc>
      </w:tr>
      <w:tr w14:paraId="6557D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4998091A">
            <w:pPr>
              <w:pStyle w:val="9"/>
              <w:spacing w:before="254" w:line="220" w:lineRule="auto"/>
              <w:ind w:left="1129"/>
            </w:pPr>
            <w:r>
              <w:rPr>
                <w:spacing w:val="-3"/>
              </w:rPr>
              <w:t>项目经理</w:t>
            </w:r>
          </w:p>
        </w:tc>
        <w:tc>
          <w:tcPr>
            <w:tcW w:w="6211" w:type="dxa"/>
            <w:vAlign w:val="top"/>
          </w:tcPr>
          <w:p w14:paraId="00971DF0">
            <w:pPr>
              <w:rPr>
                <w:rFonts w:ascii="Arial"/>
                <w:sz w:val="21"/>
              </w:rPr>
            </w:pPr>
          </w:p>
        </w:tc>
      </w:tr>
      <w:tr w14:paraId="464E5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081" w:type="dxa"/>
            <w:vAlign w:val="top"/>
          </w:tcPr>
          <w:p w14:paraId="25AE9755">
            <w:pPr>
              <w:pStyle w:val="9"/>
              <w:spacing w:before="255" w:line="220" w:lineRule="auto"/>
              <w:ind w:left="1129"/>
            </w:pPr>
            <w:r>
              <w:rPr>
                <w:spacing w:val="-3"/>
              </w:rPr>
              <w:t>项目总工</w:t>
            </w:r>
          </w:p>
        </w:tc>
        <w:tc>
          <w:tcPr>
            <w:tcW w:w="6211" w:type="dxa"/>
            <w:vAlign w:val="top"/>
          </w:tcPr>
          <w:p w14:paraId="0060AC74">
            <w:pPr>
              <w:rPr>
                <w:rFonts w:ascii="Arial"/>
                <w:sz w:val="21"/>
              </w:rPr>
            </w:pPr>
          </w:p>
        </w:tc>
      </w:tr>
      <w:tr w14:paraId="61C6C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3081" w:type="dxa"/>
            <w:vAlign w:val="top"/>
          </w:tcPr>
          <w:p w14:paraId="4B96FE1E">
            <w:pPr>
              <w:pStyle w:val="9"/>
              <w:spacing w:before="254" w:line="220" w:lineRule="auto"/>
              <w:ind w:left="606"/>
            </w:pPr>
            <w:r>
              <w:rPr>
                <w:spacing w:val="-2"/>
              </w:rPr>
              <w:t>总监理工程师及电话</w:t>
            </w:r>
          </w:p>
        </w:tc>
        <w:tc>
          <w:tcPr>
            <w:tcW w:w="6211" w:type="dxa"/>
            <w:vAlign w:val="top"/>
          </w:tcPr>
          <w:p w14:paraId="37BE2AFD">
            <w:pPr>
              <w:rPr>
                <w:rFonts w:ascii="Arial"/>
                <w:sz w:val="21"/>
              </w:rPr>
            </w:pPr>
          </w:p>
        </w:tc>
      </w:tr>
      <w:tr w14:paraId="066C6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3081" w:type="dxa"/>
            <w:vAlign w:val="top"/>
          </w:tcPr>
          <w:p w14:paraId="133EF209">
            <w:pPr>
              <w:pStyle w:val="9"/>
              <w:spacing w:before="255" w:line="220" w:lineRule="auto"/>
              <w:ind w:left="1129"/>
            </w:pPr>
            <w:r>
              <w:rPr>
                <w:spacing w:val="-3"/>
              </w:rPr>
              <w:t>项目描述</w:t>
            </w:r>
          </w:p>
        </w:tc>
        <w:tc>
          <w:tcPr>
            <w:tcW w:w="6211" w:type="dxa"/>
            <w:vAlign w:val="top"/>
          </w:tcPr>
          <w:p w14:paraId="1FFDA687">
            <w:pPr>
              <w:rPr>
                <w:rFonts w:ascii="Arial"/>
                <w:sz w:val="21"/>
              </w:rPr>
            </w:pPr>
          </w:p>
        </w:tc>
      </w:tr>
      <w:tr w14:paraId="65CC5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3081" w:type="dxa"/>
            <w:vAlign w:val="top"/>
          </w:tcPr>
          <w:p w14:paraId="6A757D7A">
            <w:pPr>
              <w:pStyle w:val="9"/>
              <w:spacing w:before="254" w:line="221" w:lineRule="auto"/>
              <w:ind w:left="1338"/>
            </w:pPr>
            <w:r>
              <w:rPr>
                <w:spacing w:val="-3"/>
              </w:rPr>
              <w:t>备注</w:t>
            </w:r>
          </w:p>
        </w:tc>
        <w:tc>
          <w:tcPr>
            <w:tcW w:w="6211" w:type="dxa"/>
            <w:vAlign w:val="top"/>
          </w:tcPr>
          <w:p w14:paraId="0DB8DDE9">
            <w:pPr>
              <w:rPr>
                <w:rFonts w:ascii="Arial"/>
                <w:sz w:val="21"/>
              </w:rPr>
            </w:pPr>
          </w:p>
        </w:tc>
      </w:tr>
    </w:tbl>
    <w:p w14:paraId="23640642">
      <w:pPr>
        <w:spacing w:before="48" w:line="224" w:lineRule="auto"/>
        <w:ind w:left="120"/>
        <w:rPr>
          <w:rFonts w:ascii="宋体" w:hAnsi="宋体" w:eastAsia="宋体" w:cs="宋体"/>
          <w:sz w:val="21"/>
          <w:szCs w:val="21"/>
        </w:rPr>
      </w:pPr>
      <w:r>
        <w:rPr>
          <w:rFonts w:ascii="宋体" w:hAnsi="宋体" w:eastAsia="宋体" w:cs="宋体"/>
          <w:spacing w:val="-15"/>
          <w:sz w:val="21"/>
          <w:szCs w:val="21"/>
        </w:rPr>
        <w:t>注：</w:t>
      </w:r>
    </w:p>
    <w:p w14:paraId="29D4E61D">
      <w:pPr>
        <w:spacing w:before="56" w:line="220" w:lineRule="auto"/>
        <w:ind w:left="136"/>
        <w:rPr>
          <w:rFonts w:ascii="宋体" w:hAnsi="宋体" w:eastAsia="宋体" w:cs="宋体"/>
          <w:sz w:val="21"/>
          <w:szCs w:val="21"/>
        </w:rPr>
      </w:pPr>
      <w:r>
        <w:rPr>
          <w:rFonts w:ascii="宋体" w:hAnsi="宋体" w:eastAsia="宋体" w:cs="宋体"/>
          <w:spacing w:val="-3"/>
          <w:sz w:val="21"/>
          <w:szCs w:val="21"/>
        </w:rPr>
        <w:t>1.每张表格只填写一个项目，并标明序号。</w:t>
      </w:r>
    </w:p>
    <w:p w14:paraId="1CAFB5F7">
      <w:pPr>
        <w:spacing w:before="62" w:line="219" w:lineRule="auto"/>
        <w:ind w:left="123"/>
        <w:rPr>
          <w:rFonts w:ascii="宋体" w:hAnsi="宋体" w:eastAsia="宋体" w:cs="宋体"/>
          <w:sz w:val="21"/>
          <w:szCs w:val="21"/>
        </w:rPr>
      </w:pPr>
      <w:r>
        <w:rPr>
          <w:rFonts w:ascii="宋体" w:hAnsi="宋体" w:eastAsia="宋体" w:cs="宋体"/>
          <w:spacing w:val="-1"/>
          <w:sz w:val="21"/>
          <w:szCs w:val="21"/>
        </w:rPr>
        <w:t>2. 投标人应根据招标文件第二章“投标人须知”第</w:t>
      </w:r>
      <w:r>
        <w:rPr>
          <w:rFonts w:ascii="宋体" w:hAnsi="宋体" w:eastAsia="宋体" w:cs="宋体"/>
          <w:spacing w:val="-40"/>
          <w:sz w:val="21"/>
          <w:szCs w:val="21"/>
        </w:rPr>
        <w:t xml:space="preserve"> </w:t>
      </w:r>
      <w:r>
        <w:rPr>
          <w:rFonts w:ascii="宋体" w:hAnsi="宋体" w:eastAsia="宋体" w:cs="宋体"/>
          <w:spacing w:val="-1"/>
          <w:sz w:val="21"/>
          <w:szCs w:val="21"/>
        </w:rPr>
        <w:t>3.</w:t>
      </w:r>
      <w:r>
        <w:rPr>
          <w:rFonts w:ascii="宋体" w:hAnsi="宋体" w:eastAsia="宋体" w:cs="宋体"/>
          <w:spacing w:val="-2"/>
          <w:sz w:val="21"/>
          <w:szCs w:val="21"/>
        </w:rPr>
        <w:t>5.3</w:t>
      </w:r>
      <w:r>
        <w:rPr>
          <w:rFonts w:ascii="宋体" w:hAnsi="宋体" w:eastAsia="宋体" w:cs="宋体"/>
          <w:spacing w:val="-41"/>
          <w:sz w:val="21"/>
          <w:szCs w:val="21"/>
        </w:rPr>
        <w:t xml:space="preserve"> </w:t>
      </w:r>
      <w:r>
        <w:rPr>
          <w:rFonts w:ascii="宋体" w:hAnsi="宋体" w:eastAsia="宋体" w:cs="宋体"/>
          <w:spacing w:val="-2"/>
          <w:sz w:val="21"/>
          <w:szCs w:val="21"/>
        </w:rPr>
        <w:t>项的要求在本表后附相关证明材料。</w:t>
      </w:r>
    </w:p>
    <w:p w14:paraId="17ADBE4D">
      <w:pPr>
        <w:spacing w:before="64" w:line="220" w:lineRule="auto"/>
        <w:ind w:left="125"/>
        <w:rPr>
          <w:rFonts w:ascii="宋体" w:hAnsi="宋体" w:eastAsia="宋体" w:cs="宋体"/>
          <w:sz w:val="21"/>
          <w:szCs w:val="21"/>
        </w:rPr>
      </w:pPr>
      <w:r>
        <w:rPr>
          <w:rFonts w:ascii="宋体" w:hAnsi="宋体" w:eastAsia="宋体" w:cs="宋体"/>
          <w:spacing w:val="-2"/>
          <w:sz w:val="21"/>
          <w:szCs w:val="21"/>
        </w:rPr>
        <w:t>3.以联合体形式投标的，联合体各成员应分别填写。</w:t>
      </w:r>
    </w:p>
    <w:p w14:paraId="2DE6602E">
      <w:pPr>
        <w:spacing w:line="220" w:lineRule="auto"/>
        <w:rPr>
          <w:rFonts w:ascii="宋体" w:hAnsi="宋体" w:eastAsia="宋体" w:cs="宋体"/>
          <w:sz w:val="21"/>
          <w:szCs w:val="21"/>
        </w:rPr>
        <w:sectPr>
          <w:footerReference r:id="rId189" w:type="default"/>
          <w:pgSz w:w="11905" w:h="16840"/>
          <w:pgMar w:top="1182" w:right="1303" w:bottom="1171" w:left="1303" w:header="849" w:footer="937" w:gutter="0"/>
          <w:pgNumType w:fmt="decimal"/>
          <w:cols w:space="720" w:num="1"/>
        </w:sectPr>
      </w:pPr>
    </w:p>
    <w:p w14:paraId="08D54F81">
      <w:pPr>
        <w:pStyle w:val="2"/>
        <w:spacing w:line="316" w:lineRule="auto"/>
      </w:pPr>
    </w:p>
    <w:p w14:paraId="17C6A9A6">
      <w:pPr>
        <w:spacing w:before="88" w:line="226" w:lineRule="auto"/>
        <w:ind w:left="2388"/>
        <w:rPr>
          <w:rFonts w:ascii="宋体" w:hAnsi="宋体" w:eastAsia="宋体" w:cs="宋体"/>
          <w:sz w:val="27"/>
          <w:szCs w:val="27"/>
        </w:rPr>
      </w:pPr>
      <w:r>
        <w:rPr>
          <w:rFonts w:ascii="宋体" w:hAnsi="宋体" w:eastAsia="宋体" w:cs="宋体"/>
          <w:b/>
          <w:bCs/>
          <w:spacing w:val="5"/>
          <w:sz w:val="27"/>
          <w:szCs w:val="27"/>
        </w:rPr>
        <w:t>（四）-2</w:t>
      </w:r>
      <w:r>
        <w:rPr>
          <w:rFonts w:ascii="宋体" w:hAnsi="宋体" w:eastAsia="宋体" w:cs="宋体"/>
          <w:spacing w:val="-46"/>
          <w:sz w:val="27"/>
          <w:szCs w:val="27"/>
        </w:rPr>
        <w:t xml:space="preserve"> </w:t>
      </w:r>
      <w:r>
        <w:rPr>
          <w:rFonts w:ascii="宋体" w:hAnsi="宋体" w:eastAsia="宋体" w:cs="宋体"/>
          <w:b/>
          <w:bCs/>
          <w:spacing w:val="5"/>
          <w:sz w:val="27"/>
          <w:szCs w:val="27"/>
        </w:rPr>
        <w:t>完成的类似项目情况汇总表</w:t>
      </w:r>
    </w:p>
    <w:p w14:paraId="3B80FA75">
      <w:pPr>
        <w:spacing w:before="36"/>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1484"/>
        <w:gridCol w:w="1019"/>
        <w:gridCol w:w="1109"/>
        <w:gridCol w:w="885"/>
        <w:gridCol w:w="929"/>
        <w:gridCol w:w="870"/>
        <w:gridCol w:w="944"/>
        <w:gridCol w:w="570"/>
        <w:gridCol w:w="740"/>
      </w:tblGrid>
      <w:tr w14:paraId="45EEC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42" w:type="dxa"/>
            <w:vAlign w:val="top"/>
          </w:tcPr>
          <w:p w14:paraId="53C346AF">
            <w:pPr>
              <w:spacing w:line="351" w:lineRule="auto"/>
              <w:rPr>
                <w:rFonts w:ascii="Arial"/>
                <w:sz w:val="21"/>
              </w:rPr>
            </w:pPr>
          </w:p>
          <w:p w14:paraId="31C4453A">
            <w:pPr>
              <w:pStyle w:val="9"/>
              <w:spacing w:before="68" w:line="221" w:lineRule="auto"/>
              <w:ind w:left="165"/>
            </w:pPr>
            <w:r>
              <w:rPr>
                <w:spacing w:val="-2"/>
              </w:rPr>
              <w:t>序号</w:t>
            </w:r>
          </w:p>
        </w:tc>
        <w:tc>
          <w:tcPr>
            <w:tcW w:w="1484" w:type="dxa"/>
            <w:vAlign w:val="top"/>
          </w:tcPr>
          <w:p w14:paraId="71EECA10">
            <w:pPr>
              <w:spacing w:line="351" w:lineRule="auto"/>
              <w:rPr>
                <w:rFonts w:ascii="Arial"/>
                <w:sz w:val="21"/>
              </w:rPr>
            </w:pPr>
          </w:p>
          <w:p w14:paraId="2AF107AC">
            <w:pPr>
              <w:pStyle w:val="9"/>
              <w:spacing w:before="68" w:line="220" w:lineRule="auto"/>
              <w:ind w:left="327"/>
            </w:pPr>
            <w:r>
              <w:rPr>
                <w:spacing w:val="-3"/>
              </w:rPr>
              <w:t>项目名称</w:t>
            </w:r>
          </w:p>
        </w:tc>
        <w:tc>
          <w:tcPr>
            <w:tcW w:w="1019" w:type="dxa"/>
            <w:vAlign w:val="top"/>
          </w:tcPr>
          <w:p w14:paraId="73B7F1E8">
            <w:pPr>
              <w:pStyle w:val="9"/>
              <w:spacing w:before="109" w:line="220" w:lineRule="auto"/>
              <w:ind w:left="200"/>
            </w:pPr>
            <w:r>
              <w:rPr>
                <w:spacing w:val="-3"/>
              </w:rPr>
              <w:t>路基桥</w:t>
            </w:r>
          </w:p>
          <w:p w14:paraId="47D8C5B6">
            <w:pPr>
              <w:pStyle w:val="9"/>
              <w:spacing w:before="62" w:line="274" w:lineRule="auto"/>
              <w:ind w:left="203" w:right="193" w:hanging="4"/>
            </w:pPr>
            <w:r>
              <w:rPr>
                <w:spacing w:val="-4"/>
              </w:rPr>
              <w:t>涵里程</w:t>
            </w:r>
            <w:r>
              <w:rPr>
                <w:spacing w:val="-7"/>
              </w:rPr>
              <w:t>（km）</w:t>
            </w:r>
          </w:p>
        </w:tc>
        <w:tc>
          <w:tcPr>
            <w:tcW w:w="1109" w:type="dxa"/>
            <w:vAlign w:val="top"/>
          </w:tcPr>
          <w:p w14:paraId="2BB88860">
            <w:pPr>
              <w:pStyle w:val="9"/>
              <w:spacing w:before="109" w:line="274" w:lineRule="auto"/>
              <w:ind w:left="244" w:right="132" w:hanging="103"/>
              <w:jc w:val="both"/>
            </w:pPr>
            <w:r>
              <w:rPr>
                <w:spacing w:val="-3"/>
              </w:rPr>
              <w:t>路面类型及里程</w:t>
            </w:r>
            <w:r>
              <w:rPr>
                <w:spacing w:val="-4"/>
              </w:rPr>
              <w:t>（km）</w:t>
            </w:r>
          </w:p>
        </w:tc>
        <w:tc>
          <w:tcPr>
            <w:tcW w:w="885" w:type="dxa"/>
            <w:vAlign w:val="top"/>
          </w:tcPr>
          <w:p w14:paraId="46BCC89F">
            <w:pPr>
              <w:pStyle w:val="9"/>
              <w:spacing w:before="266" w:line="277" w:lineRule="auto"/>
              <w:ind w:left="138" w:right="139" w:firstLine="102"/>
            </w:pPr>
            <w:r>
              <w:rPr>
                <w:spacing w:val="-6"/>
              </w:rPr>
              <w:t>大桥</w:t>
            </w:r>
            <w:r>
              <w:rPr>
                <w:spacing w:val="-10"/>
              </w:rPr>
              <w:t>（座）</w:t>
            </w:r>
          </w:p>
        </w:tc>
        <w:tc>
          <w:tcPr>
            <w:tcW w:w="929" w:type="dxa"/>
            <w:vAlign w:val="top"/>
          </w:tcPr>
          <w:p w14:paraId="6DD57528">
            <w:pPr>
              <w:pStyle w:val="9"/>
              <w:spacing w:before="266" w:line="277" w:lineRule="auto"/>
              <w:ind w:left="160" w:right="146" w:hanging="5"/>
            </w:pPr>
            <w:r>
              <w:rPr>
                <w:spacing w:val="-3"/>
              </w:rPr>
              <w:t>特大桥</w:t>
            </w:r>
            <w:r>
              <w:rPr>
                <w:spacing w:val="-7"/>
              </w:rPr>
              <w:t>（座）</w:t>
            </w:r>
          </w:p>
        </w:tc>
        <w:tc>
          <w:tcPr>
            <w:tcW w:w="870" w:type="dxa"/>
            <w:vAlign w:val="top"/>
          </w:tcPr>
          <w:p w14:paraId="6BE8D9C6">
            <w:pPr>
              <w:pStyle w:val="9"/>
              <w:spacing w:before="266" w:line="277" w:lineRule="auto"/>
              <w:ind w:left="131" w:right="116" w:hanging="4"/>
            </w:pPr>
            <w:r>
              <w:rPr>
                <w:spacing w:val="-4"/>
              </w:rPr>
              <w:t>长隧道</w:t>
            </w:r>
            <w:r>
              <w:rPr>
                <w:spacing w:val="-7"/>
              </w:rPr>
              <w:t>（座）</w:t>
            </w:r>
          </w:p>
        </w:tc>
        <w:tc>
          <w:tcPr>
            <w:tcW w:w="944" w:type="dxa"/>
            <w:vAlign w:val="top"/>
          </w:tcPr>
          <w:p w14:paraId="4B425251">
            <w:pPr>
              <w:pStyle w:val="9"/>
              <w:spacing w:before="266" w:line="277" w:lineRule="auto"/>
              <w:ind w:left="113" w:right="12" w:firstLine="50"/>
            </w:pPr>
            <w:r>
              <w:rPr>
                <w:spacing w:val="-3"/>
              </w:rPr>
              <w:t>特长隧</w:t>
            </w:r>
            <w:r>
              <w:rPr>
                <w:spacing w:val="-7"/>
              </w:rPr>
              <w:t>道（座）</w:t>
            </w:r>
          </w:p>
        </w:tc>
        <w:tc>
          <w:tcPr>
            <w:tcW w:w="570" w:type="dxa"/>
            <w:vAlign w:val="top"/>
          </w:tcPr>
          <w:p w14:paraId="7569A872">
            <w:pPr>
              <w:spacing w:line="252" w:lineRule="auto"/>
              <w:rPr>
                <w:rFonts w:ascii="Arial"/>
                <w:sz w:val="21"/>
              </w:rPr>
            </w:pPr>
          </w:p>
          <w:p w14:paraId="58FA7684">
            <w:pPr>
              <w:spacing w:line="253" w:lineRule="auto"/>
              <w:rPr>
                <w:rFonts w:ascii="Arial"/>
                <w:sz w:val="21"/>
              </w:rPr>
            </w:pPr>
          </w:p>
          <w:p w14:paraId="00F0AEE4">
            <w:pPr>
              <w:pStyle w:val="9"/>
              <w:spacing w:before="68" w:line="87" w:lineRule="exact"/>
              <w:ind w:left="140"/>
            </w:pPr>
            <w:r>
              <w:rPr>
                <w:position w:val="1"/>
              </w:rPr>
              <w:t>...</w:t>
            </w:r>
          </w:p>
        </w:tc>
        <w:tc>
          <w:tcPr>
            <w:tcW w:w="740" w:type="dxa"/>
            <w:vAlign w:val="top"/>
          </w:tcPr>
          <w:p w14:paraId="404435D9">
            <w:pPr>
              <w:spacing w:line="351" w:lineRule="auto"/>
              <w:rPr>
                <w:rFonts w:ascii="Arial"/>
                <w:sz w:val="21"/>
              </w:rPr>
            </w:pPr>
          </w:p>
          <w:p w14:paraId="344719C5">
            <w:pPr>
              <w:pStyle w:val="9"/>
              <w:spacing w:before="68" w:line="221" w:lineRule="auto"/>
              <w:ind w:left="168"/>
            </w:pPr>
            <w:r>
              <w:rPr>
                <w:spacing w:val="-6"/>
              </w:rPr>
              <w:t>备注</w:t>
            </w:r>
          </w:p>
        </w:tc>
      </w:tr>
      <w:tr w14:paraId="3BC96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2" w:type="dxa"/>
            <w:vAlign w:val="top"/>
          </w:tcPr>
          <w:p w14:paraId="35337F8C">
            <w:pPr>
              <w:pStyle w:val="9"/>
              <w:spacing w:before="307" w:line="241" w:lineRule="auto"/>
              <w:ind w:left="339"/>
            </w:pPr>
            <w:r>
              <w:t>1</w:t>
            </w:r>
          </w:p>
        </w:tc>
        <w:tc>
          <w:tcPr>
            <w:tcW w:w="1484" w:type="dxa"/>
            <w:vAlign w:val="top"/>
          </w:tcPr>
          <w:p w14:paraId="4CDFCC05">
            <w:pPr>
              <w:rPr>
                <w:rFonts w:ascii="Arial"/>
                <w:sz w:val="21"/>
              </w:rPr>
            </w:pPr>
          </w:p>
        </w:tc>
        <w:tc>
          <w:tcPr>
            <w:tcW w:w="1019" w:type="dxa"/>
            <w:vAlign w:val="top"/>
          </w:tcPr>
          <w:p w14:paraId="0B3CD780">
            <w:pPr>
              <w:rPr>
                <w:rFonts w:ascii="Arial"/>
                <w:sz w:val="21"/>
              </w:rPr>
            </w:pPr>
          </w:p>
        </w:tc>
        <w:tc>
          <w:tcPr>
            <w:tcW w:w="1109" w:type="dxa"/>
            <w:vAlign w:val="top"/>
          </w:tcPr>
          <w:p w14:paraId="6C2493E2">
            <w:pPr>
              <w:rPr>
                <w:rFonts w:ascii="Arial"/>
                <w:sz w:val="21"/>
              </w:rPr>
            </w:pPr>
          </w:p>
        </w:tc>
        <w:tc>
          <w:tcPr>
            <w:tcW w:w="885" w:type="dxa"/>
            <w:vAlign w:val="top"/>
          </w:tcPr>
          <w:p w14:paraId="76618A38">
            <w:pPr>
              <w:rPr>
                <w:rFonts w:ascii="Arial"/>
                <w:sz w:val="21"/>
              </w:rPr>
            </w:pPr>
          </w:p>
        </w:tc>
        <w:tc>
          <w:tcPr>
            <w:tcW w:w="929" w:type="dxa"/>
            <w:vAlign w:val="top"/>
          </w:tcPr>
          <w:p w14:paraId="382B17AD">
            <w:pPr>
              <w:rPr>
                <w:rFonts w:ascii="Arial"/>
                <w:sz w:val="21"/>
              </w:rPr>
            </w:pPr>
          </w:p>
        </w:tc>
        <w:tc>
          <w:tcPr>
            <w:tcW w:w="870" w:type="dxa"/>
            <w:vAlign w:val="top"/>
          </w:tcPr>
          <w:p w14:paraId="17656B00">
            <w:pPr>
              <w:rPr>
                <w:rFonts w:ascii="Arial"/>
                <w:sz w:val="21"/>
              </w:rPr>
            </w:pPr>
          </w:p>
        </w:tc>
        <w:tc>
          <w:tcPr>
            <w:tcW w:w="944" w:type="dxa"/>
            <w:vAlign w:val="top"/>
          </w:tcPr>
          <w:p w14:paraId="061C290F">
            <w:pPr>
              <w:rPr>
                <w:rFonts w:ascii="Arial"/>
                <w:sz w:val="21"/>
              </w:rPr>
            </w:pPr>
          </w:p>
        </w:tc>
        <w:tc>
          <w:tcPr>
            <w:tcW w:w="570" w:type="dxa"/>
            <w:vAlign w:val="top"/>
          </w:tcPr>
          <w:p w14:paraId="1B572FE1">
            <w:pPr>
              <w:rPr>
                <w:rFonts w:ascii="Arial"/>
                <w:sz w:val="21"/>
              </w:rPr>
            </w:pPr>
          </w:p>
        </w:tc>
        <w:tc>
          <w:tcPr>
            <w:tcW w:w="740" w:type="dxa"/>
            <w:vAlign w:val="top"/>
          </w:tcPr>
          <w:p w14:paraId="708F83AE">
            <w:pPr>
              <w:rPr>
                <w:rFonts w:ascii="Arial"/>
                <w:sz w:val="21"/>
              </w:rPr>
            </w:pPr>
          </w:p>
        </w:tc>
      </w:tr>
      <w:tr w14:paraId="2BA6D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2" w:type="dxa"/>
            <w:vAlign w:val="top"/>
          </w:tcPr>
          <w:p w14:paraId="08C88FB4">
            <w:pPr>
              <w:pStyle w:val="9"/>
              <w:spacing w:before="306" w:line="241" w:lineRule="auto"/>
              <w:ind w:left="326"/>
            </w:pPr>
            <w:r>
              <w:t>2</w:t>
            </w:r>
          </w:p>
        </w:tc>
        <w:tc>
          <w:tcPr>
            <w:tcW w:w="1484" w:type="dxa"/>
            <w:vAlign w:val="top"/>
          </w:tcPr>
          <w:p w14:paraId="0C111FEC">
            <w:pPr>
              <w:rPr>
                <w:rFonts w:ascii="Arial"/>
                <w:sz w:val="21"/>
              </w:rPr>
            </w:pPr>
          </w:p>
        </w:tc>
        <w:tc>
          <w:tcPr>
            <w:tcW w:w="1019" w:type="dxa"/>
            <w:vAlign w:val="top"/>
          </w:tcPr>
          <w:p w14:paraId="36866E62">
            <w:pPr>
              <w:rPr>
                <w:rFonts w:ascii="Arial"/>
                <w:sz w:val="21"/>
              </w:rPr>
            </w:pPr>
          </w:p>
        </w:tc>
        <w:tc>
          <w:tcPr>
            <w:tcW w:w="1109" w:type="dxa"/>
            <w:vAlign w:val="top"/>
          </w:tcPr>
          <w:p w14:paraId="251EBEEF">
            <w:pPr>
              <w:rPr>
                <w:rFonts w:ascii="Arial"/>
                <w:sz w:val="21"/>
              </w:rPr>
            </w:pPr>
          </w:p>
        </w:tc>
        <w:tc>
          <w:tcPr>
            <w:tcW w:w="885" w:type="dxa"/>
            <w:vAlign w:val="top"/>
          </w:tcPr>
          <w:p w14:paraId="76759D43">
            <w:pPr>
              <w:rPr>
                <w:rFonts w:ascii="Arial"/>
                <w:sz w:val="21"/>
              </w:rPr>
            </w:pPr>
          </w:p>
        </w:tc>
        <w:tc>
          <w:tcPr>
            <w:tcW w:w="929" w:type="dxa"/>
            <w:vAlign w:val="top"/>
          </w:tcPr>
          <w:p w14:paraId="0DC30859">
            <w:pPr>
              <w:rPr>
                <w:rFonts w:ascii="Arial"/>
                <w:sz w:val="21"/>
              </w:rPr>
            </w:pPr>
          </w:p>
        </w:tc>
        <w:tc>
          <w:tcPr>
            <w:tcW w:w="870" w:type="dxa"/>
            <w:vAlign w:val="top"/>
          </w:tcPr>
          <w:p w14:paraId="30BA3E8E">
            <w:pPr>
              <w:rPr>
                <w:rFonts w:ascii="Arial"/>
                <w:sz w:val="21"/>
              </w:rPr>
            </w:pPr>
          </w:p>
        </w:tc>
        <w:tc>
          <w:tcPr>
            <w:tcW w:w="944" w:type="dxa"/>
            <w:vAlign w:val="top"/>
          </w:tcPr>
          <w:p w14:paraId="2CF816D6">
            <w:pPr>
              <w:rPr>
                <w:rFonts w:ascii="Arial"/>
                <w:sz w:val="21"/>
              </w:rPr>
            </w:pPr>
          </w:p>
        </w:tc>
        <w:tc>
          <w:tcPr>
            <w:tcW w:w="570" w:type="dxa"/>
            <w:vAlign w:val="top"/>
          </w:tcPr>
          <w:p w14:paraId="5D042F01">
            <w:pPr>
              <w:rPr>
                <w:rFonts w:ascii="Arial"/>
                <w:sz w:val="21"/>
              </w:rPr>
            </w:pPr>
          </w:p>
        </w:tc>
        <w:tc>
          <w:tcPr>
            <w:tcW w:w="740" w:type="dxa"/>
            <w:vAlign w:val="top"/>
          </w:tcPr>
          <w:p w14:paraId="0002C213">
            <w:pPr>
              <w:rPr>
                <w:rFonts w:ascii="Arial"/>
                <w:sz w:val="21"/>
              </w:rPr>
            </w:pPr>
          </w:p>
        </w:tc>
      </w:tr>
      <w:tr w14:paraId="0A64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2" w:type="dxa"/>
            <w:vAlign w:val="top"/>
          </w:tcPr>
          <w:p w14:paraId="4B9E0784">
            <w:pPr>
              <w:pStyle w:val="9"/>
              <w:spacing w:before="308"/>
              <w:ind w:left="327"/>
            </w:pPr>
            <w:r>
              <w:t>3</w:t>
            </w:r>
          </w:p>
        </w:tc>
        <w:tc>
          <w:tcPr>
            <w:tcW w:w="1484" w:type="dxa"/>
            <w:vAlign w:val="top"/>
          </w:tcPr>
          <w:p w14:paraId="50E00D2F">
            <w:pPr>
              <w:rPr>
                <w:rFonts w:ascii="Arial"/>
                <w:sz w:val="21"/>
              </w:rPr>
            </w:pPr>
          </w:p>
        </w:tc>
        <w:tc>
          <w:tcPr>
            <w:tcW w:w="1019" w:type="dxa"/>
            <w:vAlign w:val="top"/>
          </w:tcPr>
          <w:p w14:paraId="01D1B1C6">
            <w:pPr>
              <w:rPr>
                <w:rFonts w:ascii="Arial"/>
                <w:sz w:val="21"/>
              </w:rPr>
            </w:pPr>
          </w:p>
        </w:tc>
        <w:tc>
          <w:tcPr>
            <w:tcW w:w="1109" w:type="dxa"/>
            <w:vAlign w:val="top"/>
          </w:tcPr>
          <w:p w14:paraId="2302AB98">
            <w:pPr>
              <w:rPr>
                <w:rFonts w:ascii="Arial"/>
                <w:sz w:val="21"/>
              </w:rPr>
            </w:pPr>
          </w:p>
        </w:tc>
        <w:tc>
          <w:tcPr>
            <w:tcW w:w="885" w:type="dxa"/>
            <w:vAlign w:val="top"/>
          </w:tcPr>
          <w:p w14:paraId="38B448E9">
            <w:pPr>
              <w:rPr>
                <w:rFonts w:ascii="Arial"/>
                <w:sz w:val="21"/>
              </w:rPr>
            </w:pPr>
          </w:p>
        </w:tc>
        <w:tc>
          <w:tcPr>
            <w:tcW w:w="929" w:type="dxa"/>
            <w:vAlign w:val="top"/>
          </w:tcPr>
          <w:p w14:paraId="1297A65B">
            <w:pPr>
              <w:rPr>
                <w:rFonts w:ascii="Arial"/>
                <w:sz w:val="21"/>
              </w:rPr>
            </w:pPr>
          </w:p>
        </w:tc>
        <w:tc>
          <w:tcPr>
            <w:tcW w:w="870" w:type="dxa"/>
            <w:vAlign w:val="top"/>
          </w:tcPr>
          <w:p w14:paraId="372B86B0">
            <w:pPr>
              <w:rPr>
                <w:rFonts w:ascii="Arial"/>
                <w:sz w:val="21"/>
              </w:rPr>
            </w:pPr>
          </w:p>
        </w:tc>
        <w:tc>
          <w:tcPr>
            <w:tcW w:w="944" w:type="dxa"/>
            <w:vAlign w:val="top"/>
          </w:tcPr>
          <w:p w14:paraId="4B1A2B00">
            <w:pPr>
              <w:rPr>
                <w:rFonts w:ascii="Arial"/>
                <w:sz w:val="21"/>
              </w:rPr>
            </w:pPr>
          </w:p>
        </w:tc>
        <w:tc>
          <w:tcPr>
            <w:tcW w:w="570" w:type="dxa"/>
            <w:vAlign w:val="top"/>
          </w:tcPr>
          <w:p w14:paraId="18528684">
            <w:pPr>
              <w:rPr>
                <w:rFonts w:ascii="Arial"/>
                <w:sz w:val="21"/>
              </w:rPr>
            </w:pPr>
          </w:p>
        </w:tc>
        <w:tc>
          <w:tcPr>
            <w:tcW w:w="740" w:type="dxa"/>
            <w:vAlign w:val="top"/>
          </w:tcPr>
          <w:p w14:paraId="2F9F827A">
            <w:pPr>
              <w:rPr>
                <w:rFonts w:ascii="Arial"/>
                <w:sz w:val="21"/>
              </w:rPr>
            </w:pPr>
          </w:p>
        </w:tc>
      </w:tr>
      <w:tr w14:paraId="1DDCE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2" w:type="dxa"/>
            <w:vAlign w:val="top"/>
          </w:tcPr>
          <w:p w14:paraId="50611544">
            <w:pPr>
              <w:pStyle w:val="9"/>
              <w:spacing w:before="307" w:line="241" w:lineRule="auto"/>
              <w:ind w:left="322"/>
            </w:pPr>
            <w:r>
              <w:t>4</w:t>
            </w:r>
          </w:p>
        </w:tc>
        <w:tc>
          <w:tcPr>
            <w:tcW w:w="1484" w:type="dxa"/>
            <w:vAlign w:val="top"/>
          </w:tcPr>
          <w:p w14:paraId="77458ED9">
            <w:pPr>
              <w:rPr>
                <w:rFonts w:ascii="Arial"/>
                <w:sz w:val="21"/>
              </w:rPr>
            </w:pPr>
          </w:p>
        </w:tc>
        <w:tc>
          <w:tcPr>
            <w:tcW w:w="1019" w:type="dxa"/>
            <w:vAlign w:val="top"/>
          </w:tcPr>
          <w:p w14:paraId="6B7AD77E">
            <w:pPr>
              <w:rPr>
                <w:rFonts w:ascii="Arial"/>
                <w:sz w:val="21"/>
              </w:rPr>
            </w:pPr>
          </w:p>
        </w:tc>
        <w:tc>
          <w:tcPr>
            <w:tcW w:w="1109" w:type="dxa"/>
            <w:vAlign w:val="top"/>
          </w:tcPr>
          <w:p w14:paraId="26951A32">
            <w:pPr>
              <w:rPr>
                <w:rFonts w:ascii="Arial"/>
                <w:sz w:val="21"/>
              </w:rPr>
            </w:pPr>
          </w:p>
        </w:tc>
        <w:tc>
          <w:tcPr>
            <w:tcW w:w="885" w:type="dxa"/>
            <w:vAlign w:val="top"/>
          </w:tcPr>
          <w:p w14:paraId="120A1B89">
            <w:pPr>
              <w:rPr>
                <w:rFonts w:ascii="Arial"/>
                <w:sz w:val="21"/>
              </w:rPr>
            </w:pPr>
          </w:p>
        </w:tc>
        <w:tc>
          <w:tcPr>
            <w:tcW w:w="929" w:type="dxa"/>
            <w:vAlign w:val="top"/>
          </w:tcPr>
          <w:p w14:paraId="6F4F7A5E">
            <w:pPr>
              <w:rPr>
                <w:rFonts w:ascii="Arial"/>
                <w:sz w:val="21"/>
              </w:rPr>
            </w:pPr>
          </w:p>
        </w:tc>
        <w:tc>
          <w:tcPr>
            <w:tcW w:w="870" w:type="dxa"/>
            <w:vAlign w:val="top"/>
          </w:tcPr>
          <w:p w14:paraId="4757220C">
            <w:pPr>
              <w:rPr>
                <w:rFonts w:ascii="Arial"/>
                <w:sz w:val="21"/>
              </w:rPr>
            </w:pPr>
          </w:p>
        </w:tc>
        <w:tc>
          <w:tcPr>
            <w:tcW w:w="944" w:type="dxa"/>
            <w:vAlign w:val="top"/>
          </w:tcPr>
          <w:p w14:paraId="2C05664C">
            <w:pPr>
              <w:rPr>
                <w:rFonts w:ascii="Arial"/>
                <w:sz w:val="21"/>
              </w:rPr>
            </w:pPr>
          </w:p>
        </w:tc>
        <w:tc>
          <w:tcPr>
            <w:tcW w:w="570" w:type="dxa"/>
            <w:vAlign w:val="top"/>
          </w:tcPr>
          <w:p w14:paraId="460237DA">
            <w:pPr>
              <w:rPr>
                <w:rFonts w:ascii="Arial"/>
                <w:sz w:val="21"/>
              </w:rPr>
            </w:pPr>
          </w:p>
        </w:tc>
        <w:tc>
          <w:tcPr>
            <w:tcW w:w="740" w:type="dxa"/>
            <w:vAlign w:val="top"/>
          </w:tcPr>
          <w:p w14:paraId="5A1FF346">
            <w:pPr>
              <w:rPr>
                <w:rFonts w:ascii="Arial"/>
                <w:sz w:val="21"/>
              </w:rPr>
            </w:pPr>
          </w:p>
        </w:tc>
      </w:tr>
      <w:tr w14:paraId="45D3E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2" w:hRule="atLeast"/>
        </w:trPr>
        <w:tc>
          <w:tcPr>
            <w:tcW w:w="742" w:type="dxa"/>
            <w:vAlign w:val="top"/>
          </w:tcPr>
          <w:p w14:paraId="5ABC5E13">
            <w:pPr>
              <w:pStyle w:val="9"/>
              <w:spacing w:before="309"/>
              <w:ind w:left="327"/>
            </w:pPr>
            <w:r>
              <w:t>5</w:t>
            </w:r>
          </w:p>
        </w:tc>
        <w:tc>
          <w:tcPr>
            <w:tcW w:w="1484" w:type="dxa"/>
            <w:vAlign w:val="top"/>
          </w:tcPr>
          <w:p w14:paraId="0143B1DF">
            <w:pPr>
              <w:rPr>
                <w:rFonts w:ascii="Arial"/>
                <w:sz w:val="21"/>
              </w:rPr>
            </w:pPr>
          </w:p>
        </w:tc>
        <w:tc>
          <w:tcPr>
            <w:tcW w:w="1019" w:type="dxa"/>
            <w:vAlign w:val="top"/>
          </w:tcPr>
          <w:p w14:paraId="35C7CB7D">
            <w:pPr>
              <w:rPr>
                <w:rFonts w:ascii="Arial"/>
                <w:sz w:val="21"/>
              </w:rPr>
            </w:pPr>
          </w:p>
        </w:tc>
        <w:tc>
          <w:tcPr>
            <w:tcW w:w="1109" w:type="dxa"/>
            <w:vAlign w:val="top"/>
          </w:tcPr>
          <w:p w14:paraId="114FA11C">
            <w:pPr>
              <w:rPr>
                <w:rFonts w:ascii="Arial"/>
                <w:sz w:val="21"/>
              </w:rPr>
            </w:pPr>
          </w:p>
        </w:tc>
        <w:tc>
          <w:tcPr>
            <w:tcW w:w="885" w:type="dxa"/>
            <w:vAlign w:val="top"/>
          </w:tcPr>
          <w:p w14:paraId="56F1715D">
            <w:pPr>
              <w:rPr>
                <w:rFonts w:ascii="Arial"/>
                <w:sz w:val="21"/>
              </w:rPr>
            </w:pPr>
          </w:p>
        </w:tc>
        <w:tc>
          <w:tcPr>
            <w:tcW w:w="929" w:type="dxa"/>
            <w:vAlign w:val="top"/>
          </w:tcPr>
          <w:p w14:paraId="7E56FD60">
            <w:pPr>
              <w:rPr>
                <w:rFonts w:ascii="Arial"/>
                <w:sz w:val="21"/>
              </w:rPr>
            </w:pPr>
          </w:p>
        </w:tc>
        <w:tc>
          <w:tcPr>
            <w:tcW w:w="870" w:type="dxa"/>
            <w:vAlign w:val="top"/>
          </w:tcPr>
          <w:p w14:paraId="1A3A4EF9">
            <w:pPr>
              <w:rPr>
                <w:rFonts w:ascii="Arial"/>
                <w:sz w:val="21"/>
              </w:rPr>
            </w:pPr>
          </w:p>
        </w:tc>
        <w:tc>
          <w:tcPr>
            <w:tcW w:w="944" w:type="dxa"/>
            <w:vAlign w:val="top"/>
          </w:tcPr>
          <w:p w14:paraId="5FEF9BAA">
            <w:pPr>
              <w:rPr>
                <w:rFonts w:ascii="Arial"/>
                <w:sz w:val="21"/>
              </w:rPr>
            </w:pPr>
          </w:p>
        </w:tc>
        <w:tc>
          <w:tcPr>
            <w:tcW w:w="570" w:type="dxa"/>
            <w:vAlign w:val="top"/>
          </w:tcPr>
          <w:p w14:paraId="4C0A8563">
            <w:pPr>
              <w:rPr>
                <w:rFonts w:ascii="Arial"/>
                <w:sz w:val="21"/>
              </w:rPr>
            </w:pPr>
          </w:p>
        </w:tc>
        <w:tc>
          <w:tcPr>
            <w:tcW w:w="740" w:type="dxa"/>
            <w:vAlign w:val="top"/>
          </w:tcPr>
          <w:p w14:paraId="42080EAA">
            <w:pPr>
              <w:rPr>
                <w:rFonts w:ascii="Arial"/>
                <w:sz w:val="21"/>
              </w:rPr>
            </w:pPr>
          </w:p>
        </w:tc>
      </w:tr>
      <w:tr w14:paraId="4A637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2" w:type="dxa"/>
            <w:vAlign w:val="top"/>
          </w:tcPr>
          <w:p w14:paraId="748AD884">
            <w:pPr>
              <w:pStyle w:val="9"/>
              <w:spacing w:before="308"/>
              <w:ind w:left="325"/>
            </w:pPr>
            <w:r>
              <w:t>6</w:t>
            </w:r>
          </w:p>
        </w:tc>
        <w:tc>
          <w:tcPr>
            <w:tcW w:w="1484" w:type="dxa"/>
            <w:vAlign w:val="top"/>
          </w:tcPr>
          <w:p w14:paraId="606E928C">
            <w:pPr>
              <w:rPr>
                <w:rFonts w:ascii="Arial"/>
                <w:sz w:val="21"/>
              </w:rPr>
            </w:pPr>
          </w:p>
        </w:tc>
        <w:tc>
          <w:tcPr>
            <w:tcW w:w="1019" w:type="dxa"/>
            <w:vAlign w:val="top"/>
          </w:tcPr>
          <w:p w14:paraId="56947EE4">
            <w:pPr>
              <w:rPr>
                <w:rFonts w:ascii="Arial"/>
                <w:sz w:val="21"/>
              </w:rPr>
            </w:pPr>
          </w:p>
        </w:tc>
        <w:tc>
          <w:tcPr>
            <w:tcW w:w="1109" w:type="dxa"/>
            <w:vAlign w:val="top"/>
          </w:tcPr>
          <w:p w14:paraId="0733FC44">
            <w:pPr>
              <w:rPr>
                <w:rFonts w:ascii="Arial"/>
                <w:sz w:val="21"/>
              </w:rPr>
            </w:pPr>
          </w:p>
        </w:tc>
        <w:tc>
          <w:tcPr>
            <w:tcW w:w="885" w:type="dxa"/>
            <w:vAlign w:val="top"/>
          </w:tcPr>
          <w:p w14:paraId="04745F96">
            <w:pPr>
              <w:rPr>
                <w:rFonts w:ascii="Arial"/>
                <w:sz w:val="21"/>
              </w:rPr>
            </w:pPr>
          </w:p>
        </w:tc>
        <w:tc>
          <w:tcPr>
            <w:tcW w:w="929" w:type="dxa"/>
            <w:vAlign w:val="top"/>
          </w:tcPr>
          <w:p w14:paraId="60D16929">
            <w:pPr>
              <w:rPr>
                <w:rFonts w:ascii="Arial"/>
                <w:sz w:val="21"/>
              </w:rPr>
            </w:pPr>
          </w:p>
        </w:tc>
        <w:tc>
          <w:tcPr>
            <w:tcW w:w="870" w:type="dxa"/>
            <w:vAlign w:val="top"/>
          </w:tcPr>
          <w:p w14:paraId="2B8EF02F">
            <w:pPr>
              <w:rPr>
                <w:rFonts w:ascii="Arial"/>
                <w:sz w:val="21"/>
              </w:rPr>
            </w:pPr>
          </w:p>
        </w:tc>
        <w:tc>
          <w:tcPr>
            <w:tcW w:w="944" w:type="dxa"/>
            <w:vAlign w:val="top"/>
          </w:tcPr>
          <w:p w14:paraId="2CA2BC56">
            <w:pPr>
              <w:rPr>
                <w:rFonts w:ascii="Arial"/>
                <w:sz w:val="21"/>
              </w:rPr>
            </w:pPr>
          </w:p>
        </w:tc>
        <w:tc>
          <w:tcPr>
            <w:tcW w:w="570" w:type="dxa"/>
            <w:vAlign w:val="top"/>
          </w:tcPr>
          <w:p w14:paraId="0CEC1955">
            <w:pPr>
              <w:rPr>
                <w:rFonts w:ascii="Arial"/>
                <w:sz w:val="21"/>
              </w:rPr>
            </w:pPr>
          </w:p>
        </w:tc>
        <w:tc>
          <w:tcPr>
            <w:tcW w:w="740" w:type="dxa"/>
            <w:vAlign w:val="top"/>
          </w:tcPr>
          <w:p w14:paraId="34500BF7">
            <w:pPr>
              <w:rPr>
                <w:rFonts w:ascii="Arial"/>
                <w:sz w:val="21"/>
              </w:rPr>
            </w:pPr>
          </w:p>
        </w:tc>
      </w:tr>
      <w:tr w14:paraId="3F4AD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742" w:type="dxa"/>
            <w:vAlign w:val="top"/>
          </w:tcPr>
          <w:p w14:paraId="505A716F">
            <w:pPr>
              <w:rPr>
                <w:rFonts w:ascii="Arial"/>
                <w:sz w:val="21"/>
              </w:rPr>
            </w:pPr>
          </w:p>
          <w:p w14:paraId="001CC829">
            <w:pPr>
              <w:pStyle w:val="9"/>
              <w:spacing w:before="68"/>
              <w:ind w:left="328"/>
            </w:pPr>
            <w:r>
              <w:t>7</w:t>
            </w:r>
          </w:p>
        </w:tc>
        <w:tc>
          <w:tcPr>
            <w:tcW w:w="1484" w:type="dxa"/>
            <w:vAlign w:val="top"/>
          </w:tcPr>
          <w:p w14:paraId="4F273715">
            <w:pPr>
              <w:rPr>
                <w:rFonts w:ascii="Arial"/>
                <w:sz w:val="21"/>
              </w:rPr>
            </w:pPr>
          </w:p>
        </w:tc>
        <w:tc>
          <w:tcPr>
            <w:tcW w:w="1019" w:type="dxa"/>
            <w:vAlign w:val="top"/>
          </w:tcPr>
          <w:p w14:paraId="7D82A90B">
            <w:pPr>
              <w:rPr>
                <w:rFonts w:ascii="Arial"/>
                <w:sz w:val="21"/>
              </w:rPr>
            </w:pPr>
          </w:p>
        </w:tc>
        <w:tc>
          <w:tcPr>
            <w:tcW w:w="1109" w:type="dxa"/>
            <w:vAlign w:val="top"/>
          </w:tcPr>
          <w:p w14:paraId="385E96B1">
            <w:pPr>
              <w:rPr>
                <w:rFonts w:ascii="Arial"/>
                <w:sz w:val="21"/>
              </w:rPr>
            </w:pPr>
          </w:p>
        </w:tc>
        <w:tc>
          <w:tcPr>
            <w:tcW w:w="885" w:type="dxa"/>
            <w:vAlign w:val="top"/>
          </w:tcPr>
          <w:p w14:paraId="0F1D836B">
            <w:pPr>
              <w:rPr>
                <w:rFonts w:ascii="Arial"/>
                <w:sz w:val="21"/>
              </w:rPr>
            </w:pPr>
          </w:p>
        </w:tc>
        <w:tc>
          <w:tcPr>
            <w:tcW w:w="929" w:type="dxa"/>
            <w:vAlign w:val="top"/>
          </w:tcPr>
          <w:p w14:paraId="5036197D">
            <w:pPr>
              <w:rPr>
                <w:rFonts w:ascii="Arial"/>
                <w:sz w:val="21"/>
              </w:rPr>
            </w:pPr>
          </w:p>
        </w:tc>
        <w:tc>
          <w:tcPr>
            <w:tcW w:w="870" w:type="dxa"/>
            <w:vAlign w:val="top"/>
          </w:tcPr>
          <w:p w14:paraId="75133333">
            <w:pPr>
              <w:rPr>
                <w:rFonts w:ascii="Arial"/>
                <w:sz w:val="21"/>
              </w:rPr>
            </w:pPr>
          </w:p>
        </w:tc>
        <w:tc>
          <w:tcPr>
            <w:tcW w:w="944" w:type="dxa"/>
            <w:vAlign w:val="top"/>
          </w:tcPr>
          <w:p w14:paraId="1939557E">
            <w:pPr>
              <w:rPr>
                <w:rFonts w:ascii="Arial"/>
                <w:sz w:val="21"/>
              </w:rPr>
            </w:pPr>
          </w:p>
        </w:tc>
        <w:tc>
          <w:tcPr>
            <w:tcW w:w="570" w:type="dxa"/>
            <w:vAlign w:val="top"/>
          </w:tcPr>
          <w:p w14:paraId="66BCEB83">
            <w:pPr>
              <w:rPr>
                <w:rFonts w:ascii="Arial"/>
                <w:sz w:val="21"/>
              </w:rPr>
            </w:pPr>
          </w:p>
        </w:tc>
        <w:tc>
          <w:tcPr>
            <w:tcW w:w="740" w:type="dxa"/>
            <w:vAlign w:val="top"/>
          </w:tcPr>
          <w:p w14:paraId="2194ABCE">
            <w:pPr>
              <w:rPr>
                <w:rFonts w:ascii="Arial"/>
                <w:sz w:val="21"/>
              </w:rPr>
            </w:pPr>
          </w:p>
        </w:tc>
      </w:tr>
      <w:tr w14:paraId="2661D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742" w:type="dxa"/>
            <w:vAlign w:val="top"/>
          </w:tcPr>
          <w:p w14:paraId="768765AE">
            <w:pPr>
              <w:spacing w:line="393" w:lineRule="auto"/>
              <w:rPr>
                <w:rFonts w:ascii="Arial"/>
                <w:sz w:val="21"/>
              </w:rPr>
            </w:pPr>
          </w:p>
          <w:p w14:paraId="46CB3DBF">
            <w:pPr>
              <w:pStyle w:val="9"/>
              <w:spacing w:before="69" w:line="86" w:lineRule="exact"/>
              <w:ind w:left="224"/>
            </w:pPr>
            <w:r>
              <w:rPr>
                <w:spacing w:val="-5"/>
                <w:position w:val="1"/>
              </w:rPr>
              <w:t>...</w:t>
            </w:r>
          </w:p>
        </w:tc>
        <w:tc>
          <w:tcPr>
            <w:tcW w:w="1484" w:type="dxa"/>
            <w:vAlign w:val="top"/>
          </w:tcPr>
          <w:p w14:paraId="251CD298">
            <w:pPr>
              <w:rPr>
                <w:rFonts w:ascii="Arial"/>
                <w:sz w:val="21"/>
              </w:rPr>
            </w:pPr>
          </w:p>
        </w:tc>
        <w:tc>
          <w:tcPr>
            <w:tcW w:w="1019" w:type="dxa"/>
            <w:vAlign w:val="top"/>
          </w:tcPr>
          <w:p w14:paraId="51367C50">
            <w:pPr>
              <w:rPr>
                <w:rFonts w:ascii="Arial"/>
                <w:sz w:val="21"/>
              </w:rPr>
            </w:pPr>
          </w:p>
        </w:tc>
        <w:tc>
          <w:tcPr>
            <w:tcW w:w="1109" w:type="dxa"/>
            <w:vAlign w:val="top"/>
          </w:tcPr>
          <w:p w14:paraId="350BD6C8">
            <w:pPr>
              <w:rPr>
                <w:rFonts w:ascii="Arial"/>
                <w:sz w:val="21"/>
              </w:rPr>
            </w:pPr>
          </w:p>
        </w:tc>
        <w:tc>
          <w:tcPr>
            <w:tcW w:w="885" w:type="dxa"/>
            <w:vAlign w:val="top"/>
          </w:tcPr>
          <w:p w14:paraId="3D2811B1">
            <w:pPr>
              <w:rPr>
                <w:rFonts w:ascii="Arial"/>
                <w:sz w:val="21"/>
              </w:rPr>
            </w:pPr>
          </w:p>
        </w:tc>
        <w:tc>
          <w:tcPr>
            <w:tcW w:w="929" w:type="dxa"/>
            <w:vAlign w:val="top"/>
          </w:tcPr>
          <w:p w14:paraId="32D0B242">
            <w:pPr>
              <w:rPr>
                <w:rFonts w:ascii="Arial"/>
                <w:sz w:val="21"/>
              </w:rPr>
            </w:pPr>
          </w:p>
        </w:tc>
        <w:tc>
          <w:tcPr>
            <w:tcW w:w="870" w:type="dxa"/>
            <w:vAlign w:val="top"/>
          </w:tcPr>
          <w:p w14:paraId="020B84E6">
            <w:pPr>
              <w:rPr>
                <w:rFonts w:ascii="Arial"/>
                <w:sz w:val="21"/>
              </w:rPr>
            </w:pPr>
          </w:p>
        </w:tc>
        <w:tc>
          <w:tcPr>
            <w:tcW w:w="944" w:type="dxa"/>
            <w:vAlign w:val="top"/>
          </w:tcPr>
          <w:p w14:paraId="239307FB">
            <w:pPr>
              <w:rPr>
                <w:rFonts w:ascii="Arial"/>
                <w:sz w:val="21"/>
              </w:rPr>
            </w:pPr>
          </w:p>
        </w:tc>
        <w:tc>
          <w:tcPr>
            <w:tcW w:w="570" w:type="dxa"/>
            <w:vAlign w:val="top"/>
          </w:tcPr>
          <w:p w14:paraId="3EAFA9EF">
            <w:pPr>
              <w:rPr>
                <w:rFonts w:ascii="Arial"/>
                <w:sz w:val="21"/>
              </w:rPr>
            </w:pPr>
          </w:p>
        </w:tc>
        <w:tc>
          <w:tcPr>
            <w:tcW w:w="740" w:type="dxa"/>
            <w:vAlign w:val="top"/>
          </w:tcPr>
          <w:p w14:paraId="5ACA934D">
            <w:pPr>
              <w:rPr>
                <w:rFonts w:ascii="Arial"/>
                <w:sz w:val="21"/>
              </w:rPr>
            </w:pPr>
          </w:p>
        </w:tc>
      </w:tr>
      <w:tr w14:paraId="1C646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2226" w:type="dxa"/>
            <w:gridSpan w:val="2"/>
            <w:vAlign w:val="top"/>
          </w:tcPr>
          <w:p w14:paraId="6A29E863">
            <w:pPr>
              <w:spacing w:line="241" w:lineRule="auto"/>
              <w:rPr>
                <w:rFonts w:ascii="Arial"/>
                <w:sz w:val="21"/>
              </w:rPr>
            </w:pPr>
          </w:p>
          <w:p w14:paraId="7592D16A">
            <w:pPr>
              <w:pStyle w:val="9"/>
              <w:spacing w:before="69" w:line="220" w:lineRule="auto"/>
              <w:ind w:left="698"/>
            </w:pPr>
            <w:r>
              <w:rPr>
                <w:spacing w:val="-2"/>
              </w:rPr>
              <w:t>业绩合计</w:t>
            </w:r>
          </w:p>
        </w:tc>
        <w:tc>
          <w:tcPr>
            <w:tcW w:w="1019" w:type="dxa"/>
            <w:vAlign w:val="top"/>
          </w:tcPr>
          <w:p w14:paraId="63DD31F0">
            <w:pPr>
              <w:rPr>
                <w:rFonts w:ascii="Arial"/>
                <w:sz w:val="21"/>
              </w:rPr>
            </w:pPr>
          </w:p>
        </w:tc>
        <w:tc>
          <w:tcPr>
            <w:tcW w:w="1109" w:type="dxa"/>
            <w:vAlign w:val="top"/>
          </w:tcPr>
          <w:p w14:paraId="771D44E0">
            <w:pPr>
              <w:rPr>
                <w:rFonts w:ascii="Arial"/>
                <w:sz w:val="21"/>
              </w:rPr>
            </w:pPr>
          </w:p>
        </w:tc>
        <w:tc>
          <w:tcPr>
            <w:tcW w:w="885" w:type="dxa"/>
            <w:vAlign w:val="top"/>
          </w:tcPr>
          <w:p w14:paraId="539C9D08">
            <w:pPr>
              <w:rPr>
                <w:rFonts w:ascii="Arial"/>
                <w:sz w:val="21"/>
              </w:rPr>
            </w:pPr>
          </w:p>
        </w:tc>
        <w:tc>
          <w:tcPr>
            <w:tcW w:w="929" w:type="dxa"/>
            <w:vAlign w:val="top"/>
          </w:tcPr>
          <w:p w14:paraId="5B78AFF2">
            <w:pPr>
              <w:rPr>
                <w:rFonts w:ascii="Arial"/>
                <w:sz w:val="21"/>
              </w:rPr>
            </w:pPr>
          </w:p>
        </w:tc>
        <w:tc>
          <w:tcPr>
            <w:tcW w:w="870" w:type="dxa"/>
            <w:vAlign w:val="top"/>
          </w:tcPr>
          <w:p w14:paraId="3F798778">
            <w:pPr>
              <w:rPr>
                <w:rFonts w:ascii="Arial"/>
                <w:sz w:val="21"/>
              </w:rPr>
            </w:pPr>
          </w:p>
        </w:tc>
        <w:tc>
          <w:tcPr>
            <w:tcW w:w="944" w:type="dxa"/>
            <w:vAlign w:val="top"/>
          </w:tcPr>
          <w:p w14:paraId="09CC610B">
            <w:pPr>
              <w:rPr>
                <w:rFonts w:ascii="Arial"/>
                <w:sz w:val="21"/>
              </w:rPr>
            </w:pPr>
          </w:p>
        </w:tc>
        <w:tc>
          <w:tcPr>
            <w:tcW w:w="570" w:type="dxa"/>
            <w:vAlign w:val="top"/>
          </w:tcPr>
          <w:p w14:paraId="46894ACC">
            <w:pPr>
              <w:rPr>
                <w:rFonts w:ascii="Arial"/>
                <w:sz w:val="21"/>
              </w:rPr>
            </w:pPr>
          </w:p>
        </w:tc>
        <w:tc>
          <w:tcPr>
            <w:tcW w:w="740" w:type="dxa"/>
            <w:vAlign w:val="top"/>
          </w:tcPr>
          <w:p w14:paraId="4D8E4C8F">
            <w:pPr>
              <w:rPr>
                <w:rFonts w:ascii="Arial"/>
                <w:sz w:val="21"/>
              </w:rPr>
            </w:pPr>
          </w:p>
        </w:tc>
      </w:tr>
    </w:tbl>
    <w:p w14:paraId="6D34FEE2">
      <w:pPr>
        <w:spacing w:before="48" w:line="219" w:lineRule="auto"/>
        <w:ind w:left="120"/>
        <w:rPr>
          <w:rFonts w:ascii="宋体" w:hAnsi="宋体" w:eastAsia="宋体" w:cs="宋体"/>
          <w:sz w:val="21"/>
          <w:szCs w:val="21"/>
        </w:rPr>
      </w:pPr>
      <w:r>
        <w:rPr>
          <w:rFonts w:ascii="宋体" w:hAnsi="宋体" w:eastAsia="宋体" w:cs="宋体"/>
          <w:spacing w:val="-2"/>
          <w:sz w:val="21"/>
          <w:szCs w:val="21"/>
        </w:rPr>
        <w:t>注：业绩要求应符合投标人须知前附表</w:t>
      </w:r>
      <w:r>
        <w:rPr>
          <w:rFonts w:ascii="宋体" w:hAnsi="宋体" w:eastAsia="宋体" w:cs="宋体"/>
          <w:spacing w:val="-41"/>
          <w:sz w:val="21"/>
          <w:szCs w:val="21"/>
        </w:rPr>
        <w:t xml:space="preserve"> </w:t>
      </w:r>
      <w:r>
        <w:rPr>
          <w:rFonts w:ascii="宋体" w:hAnsi="宋体" w:eastAsia="宋体" w:cs="宋体"/>
          <w:spacing w:val="-2"/>
          <w:sz w:val="21"/>
          <w:szCs w:val="21"/>
        </w:rPr>
        <w:t>3.5.3、10.6</w:t>
      </w:r>
      <w:r>
        <w:rPr>
          <w:rFonts w:ascii="宋体" w:hAnsi="宋体" w:eastAsia="宋体" w:cs="宋体"/>
          <w:spacing w:val="-46"/>
          <w:sz w:val="21"/>
          <w:szCs w:val="21"/>
        </w:rPr>
        <w:t xml:space="preserve"> </w:t>
      </w:r>
      <w:r>
        <w:rPr>
          <w:rFonts w:ascii="宋体" w:hAnsi="宋体" w:eastAsia="宋体" w:cs="宋体"/>
          <w:spacing w:val="-2"/>
          <w:sz w:val="21"/>
          <w:szCs w:val="21"/>
        </w:rPr>
        <w:t>及</w:t>
      </w:r>
      <w:r>
        <w:rPr>
          <w:rFonts w:ascii="宋体" w:hAnsi="宋体" w:eastAsia="宋体" w:cs="宋体"/>
          <w:spacing w:val="-30"/>
          <w:sz w:val="21"/>
          <w:szCs w:val="21"/>
        </w:rPr>
        <w:t xml:space="preserve"> </w:t>
      </w:r>
      <w:r>
        <w:rPr>
          <w:rFonts w:ascii="宋体" w:hAnsi="宋体" w:eastAsia="宋体" w:cs="宋体"/>
          <w:spacing w:val="-2"/>
          <w:sz w:val="21"/>
          <w:szCs w:val="21"/>
        </w:rPr>
        <w:t>10</w:t>
      </w:r>
      <w:r>
        <w:rPr>
          <w:rFonts w:ascii="宋体" w:hAnsi="宋体" w:eastAsia="宋体" w:cs="宋体"/>
          <w:spacing w:val="-3"/>
          <w:sz w:val="21"/>
          <w:szCs w:val="21"/>
        </w:rPr>
        <w:t>.7</w:t>
      </w:r>
      <w:r>
        <w:rPr>
          <w:rFonts w:ascii="宋体" w:hAnsi="宋体" w:eastAsia="宋体" w:cs="宋体"/>
          <w:spacing w:val="-45"/>
          <w:sz w:val="21"/>
          <w:szCs w:val="21"/>
        </w:rPr>
        <w:t xml:space="preserve"> </w:t>
      </w:r>
      <w:r>
        <w:rPr>
          <w:rFonts w:ascii="宋体" w:hAnsi="宋体" w:eastAsia="宋体" w:cs="宋体"/>
          <w:spacing w:val="-3"/>
          <w:sz w:val="21"/>
          <w:szCs w:val="21"/>
        </w:rPr>
        <w:t>款的要求。</w:t>
      </w:r>
    </w:p>
    <w:p w14:paraId="0DEC687B">
      <w:pPr>
        <w:spacing w:line="219" w:lineRule="auto"/>
        <w:rPr>
          <w:rFonts w:ascii="宋体" w:hAnsi="宋体" w:eastAsia="宋体" w:cs="宋体"/>
          <w:sz w:val="21"/>
          <w:szCs w:val="21"/>
        </w:rPr>
        <w:sectPr>
          <w:footerReference r:id="rId190" w:type="default"/>
          <w:pgSz w:w="11905" w:h="16840"/>
          <w:pgMar w:top="1182" w:right="1303" w:bottom="1171" w:left="1303" w:header="849" w:footer="937" w:gutter="0"/>
          <w:pgNumType w:fmt="decimal"/>
          <w:cols w:space="720" w:num="1"/>
        </w:sectPr>
      </w:pPr>
    </w:p>
    <w:p w14:paraId="66D8258D">
      <w:pPr>
        <w:pStyle w:val="2"/>
        <w:spacing w:line="293" w:lineRule="auto"/>
      </w:pPr>
    </w:p>
    <w:p w14:paraId="3B0CDB8C">
      <w:pPr>
        <w:spacing w:before="88" w:line="242" w:lineRule="auto"/>
        <w:ind w:left="2317"/>
        <w:rPr>
          <w:rFonts w:ascii="宋体" w:hAnsi="宋体" w:eastAsia="宋体" w:cs="宋体"/>
          <w:sz w:val="13"/>
          <w:szCs w:val="13"/>
        </w:rPr>
      </w:pPr>
      <w:r>
        <w:rPr>
          <w:rFonts w:ascii="宋体" w:hAnsi="宋体" w:eastAsia="宋体" w:cs="宋体"/>
          <w:b/>
          <w:bCs/>
          <w:spacing w:val="5"/>
          <w:sz w:val="27"/>
          <w:szCs w:val="27"/>
        </w:rPr>
        <w:t>（四）-2</w:t>
      </w:r>
      <w:r>
        <w:rPr>
          <w:rFonts w:ascii="宋体" w:hAnsi="宋体" w:eastAsia="宋体" w:cs="宋体"/>
          <w:spacing w:val="-41"/>
          <w:sz w:val="27"/>
          <w:szCs w:val="27"/>
        </w:rPr>
        <w:t xml:space="preserve"> </w:t>
      </w:r>
      <w:r>
        <w:rPr>
          <w:rFonts w:ascii="宋体" w:hAnsi="宋体" w:eastAsia="宋体" w:cs="宋体"/>
          <w:b/>
          <w:bCs/>
          <w:spacing w:val="5"/>
          <w:sz w:val="27"/>
          <w:szCs w:val="27"/>
        </w:rPr>
        <w:t>完成的类似项目情况汇总表</w:t>
      </w:r>
    </w:p>
    <w:p w14:paraId="2C9CCE72">
      <w:pPr>
        <w:spacing w:before="36"/>
      </w:pPr>
    </w:p>
    <w:tbl>
      <w:tblPr>
        <w:tblStyle w:val="8"/>
        <w:tblW w:w="93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2"/>
        <w:gridCol w:w="2009"/>
        <w:gridCol w:w="1184"/>
        <w:gridCol w:w="1469"/>
        <w:gridCol w:w="1859"/>
        <w:gridCol w:w="855"/>
        <w:gridCol w:w="1129"/>
      </w:tblGrid>
      <w:tr w14:paraId="64565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02" w:type="dxa"/>
            <w:vAlign w:val="top"/>
          </w:tcPr>
          <w:p w14:paraId="33223948">
            <w:pPr>
              <w:spacing w:line="395" w:lineRule="auto"/>
              <w:rPr>
                <w:rFonts w:ascii="Arial"/>
                <w:sz w:val="21"/>
              </w:rPr>
            </w:pPr>
          </w:p>
          <w:p w14:paraId="46CEF947">
            <w:pPr>
              <w:pStyle w:val="9"/>
              <w:spacing w:before="68" w:line="221" w:lineRule="auto"/>
              <w:ind w:left="195"/>
            </w:pPr>
            <w:r>
              <w:rPr>
                <w:spacing w:val="-2"/>
              </w:rPr>
              <w:t>序号</w:t>
            </w:r>
          </w:p>
        </w:tc>
        <w:tc>
          <w:tcPr>
            <w:tcW w:w="2009" w:type="dxa"/>
            <w:vAlign w:val="top"/>
          </w:tcPr>
          <w:p w14:paraId="4E8999F8">
            <w:pPr>
              <w:spacing w:line="395" w:lineRule="auto"/>
              <w:rPr>
                <w:rFonts w:ascii="Arial"/>
                <w:sz w:val="21"/>
              </w:rPr>
            </w:pPr>
          </w:p>
          <w:p w14:paraId="4DA9B60D">
            <w:pPr>
              <w:pStyle w:val="9"/>
              <w:spacing w:before="69" w:line="220" w:lineRule="auto"/>
              <w:ind w:left="591"/>
            </w:pPr>
            <w:r>
              <w:rPr>
                <w:spacing w:val="-3"/>
              </w:rPr>
              <w:t>项目名称</w:t>
            </w:r>
          </w:p>
        </w:tc>
        <w:tc>
          <w:tcPr>
            <w:tcW w:w="1184" w:type="dxa"/>
            <w:vAlign w:val="top"/>
          </w:tcPr>
          <w:p w14:paraId="1D2FD044">
            <w:pPr>
              <w:rPr>
                <w:rFonts w:ascii="Arial"/>
                <w:sz w:val="21"/>
              </w:rPr>
            </w:pPr>
          </w:p>
          <w:p w14:paraId="6AA21B2C">
            <w:pPr>
              <w:pStyle w:val="9"/>
              <w:spacing w:before="69" w:line="279" w:lineRule="auto"/>
              <w:ind w:left="112" w:right="39" w:firstLine="61"/>
            </w:pPr>
            <w:r>
              <w:rPr>
                <w:spacing w:val="-2"/>
              </w:rPr>
              <w:t>钢结构总</w:t>
            </w:r>
            <w:r>
              <w:rPr>
                <w:spacing w:val="-5"/>
              </w:rPr>
              <w:t>重量（吨）</w:t>
            </w:r>
          </w:p>
        </w:tc>
        <w:tc>
          <w:tcPr>
            <w:tcW w:w="1469" w:type="dxa"/>
            <w:vAlign w:val="top"/>
          </w:tcPr>
          <w:p w14:paraId="16310C85">
            <w:pPr>
              <w:pStyle w:val="9"/>
              <w:spacing w:before="153" w:line="220" w:lineRule="auto"/>
              <w:ind w:left="215"/>
            </w:pPr>
            <w:r>
              <w:rPr>
                <w:spacing w:val="-2"/>
              </w:rPr>
              <w:t>桥梁钢结构</w:t>
            </w:r>
          </w:p>
          <w:p w14:paraId="3C4D23B6">
            <w:pPr>
              <w:pStyle w:val="9"/>
              <w:spacing w:before="62" w:line="220" w:lineRule="auto"/>
              <w:ind w:left="114"/>
            </w:pPr>
            <w:r>
              <w:rPr>
                <w:spacing w:val="-4"/>
              </w:rPr>
              <w:t>制造（单孔跨</w:t>
            </w:r>
          </w:p>
          <w:p w14:paraId="1D6365F0">
            <w:pPr>
              <w:pStyle w:val="9"/>
              <w:spacing w:before="60" w:line="220" w:lineRule="auto"/>
              <w:ind w:left="450"/>
            </w:pPr>
            <w:r>
              <w:rPr>
                <w:spacing w:val="14"/>
              </w:rPr>
              <w:t>径m）</w:t>
            </w:r>
          </w:p>
        </w:tc>
        <w:tc>
          <w:tcPr>
            <w:tcW w:w="1859" w:type="dxa"/>
            <w:vAlign w:val="top"/>
          </w:tcPr>
          <w:p w14:paraId="1175C7E1">
            <w:pPr>
              <w:pStyle w:val="9"/>
              <w:spacing w:before="153" w:line="220" w:lineRule="auto"/>
              <w:ind w:left="114"/>
            </w:pPr>
            <w:r>
              <w:rPr>
                <w:spacing w:val="-2"/>
              </w:rPr>
              <w:t>桥梁</w:t>
            </w:r>
            <w:r>
              <w:rPr>
                <w:spacing w:val="-35"/>
              </w:rPr>
              <w:t xml:space="preserve"> </w:t>
            </w:r>
            <w:r>
              <w:rPr>
                <w:spacing w:val="-2"/>
              </w:rPr>
              <w:t>（主缆/斜拉</w:t>
            </w:r>
          </w:p>
          <w:p w14:paraId="01AEAF90">
            <w:pPr>
              <w:pStyle w:val="9"/>
              <w:spacing w:before="62" w:line="220" w:lineRule="auto"/>
              <w:ind w:left="118"/>
            </w:pPr>
            <w:r>
              <w:rPr>
                <w:spacing w:val="-4"/>
              </w:rPr>
              <w:t>索/吊索</w:t>
            </w:r>
            <w:r>
              <w:rPr>
                <w:rFonts w:hint="eastAsia"/>
                <w:spacing w:val="-4"/>
                <w:lang w:eastAsia="zh-CN"/>
              </w:rPr>
              <w:t>）</w:t>
            </w:r>
            <w:r>
              <w:rPr>
                <w:spacing w:val="-4"/>
              </w:rPr>
              <w:t>制造（单</w:t>
            </w:r>
          </w:p>
          <w:p w14:paraId="4CF7A910">
            <w:pPr>
              <w:pStyle w:val="9"/>
              <w:spacing w:before="60" w:line="220" w:lineRule="auto"/>
              <w:ind w:left="438"/>
            </w:pPr>
            <w:r>
              <w:rPr>
                <w:spacing w:val="-3"/>
              </w:rPr>
              <w:t>孔跨径</w:t>
            </w:r>
            <w:r>
              <w:rPr>
                <w:spacing w:val="-51"/>
              </w:rPr>
              <w:t xml:space="preserve"> </w:t>
            </w:r>
            <w:r>
              <w:rPr>
                <w:spacing w:val="-3"/>
              </w:rPr>
              <w:t>m）</w:t>
            </w:r>
          </w:p>
        </w:tc>
        <w:tc>
          <w:tcPr>
            <w:tcW w:w="855" w:type="dxa"/>
            <w:vAlign w:val="top"/>
          </w:tcPr>
          <w:p w14:paraId="05A5098B">
            <w:pPr>
              <w:spacing w:line="274" w:lineRule="auto"/>
              <w:rPr>
                <w:rFonts w:ascii="Arial"/>
                <w:sz w:val="21"/>
              </w:rPr>
            </w:pPr>
          </w:p>
          <w:p w14:paraId="3D8C363B">
            <w:pPr>
              <w:spacing w:line="275" w:lineRule="auto"/>
              <w:rPr>
                <w:rFonts w:ascii="Arial"/>
                <w:sz w:val="21"/>
              </w:rPr>
            </w:pPr>
          </w:p>
          <w:p w14:paraId="7D17AFE1">
            <w:pPr>
              <w:pStyle w:val="9"/>
              <w:spacing w:before="68" w:line="87" w:lineRule="exact"/>
              <w:ind w:left="283"/>
            </w:pPr>
            <w:r>
              <w:rPr>
                <w:spacing w:val="-5"/>
                <w:position w:val="1"/>
              </w:rPr>
              <w:t>...</w:t>
            </w:r>
          </w:p>
        </w:tc>
        <w:tc>
          <w:tcPr>
            <w:tcW w:w="1129" w:type="dxa"/>
            <w:vAlign w:val="top"/>
          </w:tcPr>
          <w:p w14:paraId="088B9BED">
            <w:pPr>
              <w:spacing w:line="395" w:lineRule="auto"/>
              <w:rPr>
                <w:rFonts w:ascii="Arial"/>
                <w:sz w:val="21"/>
              </w:rPr>
            </w:pPr>
          </w:p>
          <w:p w14:paraId="10ECC790">
            <w:pPr>
              <w:pStyle w:val="9"/>
              <w:spacing w:before="68" w:line="221" w:lineRule="auto"/>
              <w:ind w:left="360"/>
            </w:pPr>
            <w:r>
              <w:rPr>
                <w:spacing w:val="-6"/>
              </w:rPr>
              <w:t>备注</w:t>
            </w:r>
          </w:p>
        </w:tc>
      </w:tr>
      <w:tr w14:paraId="719AF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02" w:type="dxa"/>
            <w:vAlign w:val="top"/>
          </w:tcPr>
          <w:p w14:paraId="55C3E7C8">
            <w:pPr>
              <w:pStyle w:val="9"/>
              <w:spacing w:before="307" w:line="241" w:lineRule="auto"/>
              <w:ind w:left="369"/>
            </w:pPr>
            <w:r>
              <w:t>1</w:t>
            </w:r>
          </w:p>
        </w:tc>
        <w:tc>
          <w:tcPr>
            <w:tcW w:w="2009" w:type="dxa"/>
            <w:vAlign w:val="top"/>
          </w:tcPr>
          <w:p w14:paraId="39666DEB">
            <w:pPr>
              <w:rPr>
                <w:rFonts w:ascii="Arial"/>
                <w:sz w:val="21"/>
              </w:rPr>
            </w:pPr>
          </w:p>
        </w:tc>
        <w:tc>
          <w:tcPr>
            <w:tcW w:w="1184" w:type="dxa"/>
            <w:vAlign w:val="top"/>
          </w:tcPr>
          <w:p w14:paraId="60EF942A">
            <w:pPr>
              <w:rPr>
                <w:rFonts w:ascii="Arial"/>
                <w:sz w:val="21"/>
              </w:rPr>
            </w:pPr>
          </w:p>
        </w:tc>
        <w:tc>
          <w:tcPr>
            <w:tcW w:w="1469" w:type="dxa"/>
            <w:vAlign w:val="top"/>
          </w:tcPr>
          <w:p w14:paraId="66CE7474">
            <w:pPr>
              <w:rPr>
                <w:rFonts w:ascii="Arial"/>
                <w:sz w:val="21"/>
              </w:rPr>
            </w:pPr>
          </w:p>
        </w:tc>
        <w:tc>
          <w:tcPr>
            <w:tcW w:w="1859" w:type="dxa"/>
            <w:vAlign w:val="top"/>
          </w:tcPr>
          <w:p w14:paraId="1A9A2500">
            <w:pPr>
              <w:rPr>
                <w:rFonts w:ascii="Arial"/>
                <w:sz w:val="21"/>
              </w:rPr>
            </w:pPr>
          </w:p>
        </w:tc>
        <w:tc>
          <w:tcPr>
            <w:tcW w:w="855" w:type="dxa"/>
            <w:vAlign w:val="top"/>
          </w:tcPr>
          <w:p w14:paraId="0890BFEF">
            <w:pPr>
              <w:rPr>
                <w:rFonts w:ascii="Arial"/>
                <w:sz w:val="21"/>
              </w:rPr>
            </w:pPr>
          </w:p>
        </w:tc>
        <w:tc>
          <w:tcPr>
            <w:tcW w:w="1129" w:type="dxa"/>
            <w:vAlign w:val="top"/>
          </w:tcPr>
          <w:p w14:paraId="051F972D">
            <w:pPr>
              <w:rPr>
                <w:rFonts w:ascii="Arial"/>
                <w:sz w:val="21"/>
              </w:rPr>
            </w:pPr>
          </w:p>
        </w:tc>
      </w:tr>
      <w:tr w14:paraId="68E23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02" w:type="dxa"/>
            <w:vAlign w:val="top"/>
          </w:tcPr>
          <w:p w14:paraId="5328CD9B">
            <w:pPr>
              <w:pStyle w:val="9"/>
              <w:spacing w:before="306" w:line="241" w:lineRule="auto"/>
              <w:ind w:left="356"/>
            </w:pPr>
            <w:r>
              <w:t>2</w:t>
            </w:r>
          </w:p>
        </w:tc>
        <w:tc>
          <w:tcPr>
            <w:tcW w:w="2009" w:type="dxa"/>
            <w:vAlign w:val="top"/>
          </w:tcPr>
          <w:p w14:paraId="07CA58C2">
            <w:pPr>
              <w:rPr>
                <w:rFonts w:ascii="Arial"/>
                <w:sz w:val="21"/>
              </w:rPr>
            </w:pPr>
          </w:p>
        </w:tc>
        <w:tc>
          <w:tcPr>
            <w:tcW w:w="1184" w:type="dxa"/>
            <w:vAlign w:val="top"/>
          </w:tcPr>
          <w:p w14:paraId="6B588F61">
            <w:pPr>
              <w:rPr>
                <w:rFonts w:ascii="Arial"/>
                <w:sz w:val="21"/>
              </w:rPr>
            </w:pPr>
          </w:p>
        </w:tc>
        <w:tc>
          <w:tcPr>
            <w:tcW w:w="1469" w:type="dxa"/>
            <w:vAlign w:val="top"/>
          </w:tcPr>
          <w:p w14:paraId="0241334F">
            <w:pPr>
              <w:rPr>
                <w:rFonts w:ascii="Arial"/>
                <w:sz w:val="21"/>
              </w:rPr>
            </w:pPr>
          </w:p>
        </w:tc>
        <w:tc>
          <w:tcPr>
            <w:tcW w:w="1859" w:type="dxa"/>
            <w:vAlign w:val="top"/>
          </w:tcPr>
          <w:p w14:paraId="01A74EDB">
            <w:pPr>
              <w:rPr>
                <w:rFonts w:ascii="Arial"/>
                <w:sz w:val="21"/>
              </w:rPr>
            </w:pPr>
          </w:p>
        </w:tc>
        <w:tc>
          <w:tcPr>
            <w:tcW w:w="855" w:type="dxa"/>
            <w:vAlign w:val="top"/>
          </w:tcPr>
          <w:p w14:paraId="0358554A">
            <w:pPr>
              <w:rPr>
                <w:rFonts w:ascii="Arial"/>
                <w:sz w:val="21"/>
              </w:rPr>
            </w:pPr>
          </w:p>
        </w:tc>
        <w:tc>
          <w:tcPr>
            <w:tcW w:w="1129" w:type="dxa"/>
            <w:vAlign w:val="top"/>
          </w:tcPr>
          <w:p w14:paraId="5950E638">
            <w:pPr>
              <w:rPr>
                <w:rFonts w:ascii="Arial"/>
                <w:sz w:val="21"/>
              </w:rPr>
            </w:pPr>
          </w:p>
        </w:tc>
      </w:tr>
      <w:tr w14:paraId="72FC4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02" w:type="dxa"/>
            <w:vAlign w:val="top"/>
          </w:tcPr>
          <w:p w14:paraId="02B3B6D1">
            <w:pPr>
              <w:pStyle w:val="9"/>
              <w:spacing w:before="308"/>
              <w:ind w:left="357"/>
            </w:pPr>
            <w:r>
              <w:t>3</w:t>
            </w:r>
          </w:p>
        </w:tc>
        <w:tc>
          <w:tcPr>
            <w:tcW w:w="2009" w:type="dxa"/>
            <w:vAlign w:val="top"/>
          </w:tcPr>
          <w:p w14:paraId="4F98047A">
            <w:pPr>
              <w:rPr>
                <w:rFonts w:ascii="Arial"/>
                <w:sz w:val="21"/>
              </w:rPr>
            </w:pPr>
          </w:p>
        </w:tc>
        <w:tc>
          <w:tcPr>
            <w:tcW w:w="1184" w:type="dxa"/>
            <w:vAlign w:val="top"/>
          </w:tcPr>
          <w:p w14:paraId="011AC9AB">
            <w:pPr>
              <w:rPr>
                <w:rFonts w:ascii="Arial"/>
                <w:sz w:val="21"/>
              </w:rPr>
            </w:pPr>
          </w:p>
        </w:tc>
        <w:tc>
          <w:tcPr>
            <w:tcW w:w="1469" w:type="dxa"/>
            <w:vAlign w:val="top"/>
          </w:tcPr>
          <w:p w14:paraId="4CDA0964">
            <w:pPr>
              <w:rPr>
                <w:rFonts w:ascii="Arial"/>
                <w:sz w:val="21"/>
              </w:rPr>
            </w:pPr>
          </w:p>
        </w:tc>
        <w:tc>
          <w:tcPr>
            <w:tcW w:w="1859" w:type="dxa"/>
            <w:vAlign w:val="top"/>
          </w:tcPr>
          <w:p w14:paraId="39EB3065">
            <w:pPr>
              <w:rPr>
                <w:rFonts w:ascii="Arial"/>
                <w:sz w:val="21"/>
              </w:rPr>
            </w:pPr>
          </w:p>
        </w:tc>
        <w:tc>
          <w:tcPr>
            <w:tcW w:w="855" w:type="dxa"/>
            <w:vAlign w:val="top"/>
          </w:tcPr>
          <w:p w14:paraId="29A353BB">
            <w:pPr>
              <w:rPr>
                <w:rFonts w:ascii="Arial"/>
                <w:sz w:val="21"/>
              </w:rPr>
            </w:pPr>
          </w:p>
        </w:tc>
        <w:tc>
          <w:tcPr>
            <w:tcW w:w="1129" w:type="dxa"/>
            <w:vAlign w:val="top"/>
          </w:tcPr>
          <w:p w14:paraId="5C3764B0">
            <w:pPr>
              <w:rPr>
                <w:rFonts w:ascii="Arial"/>
                <w:sz w:val="21"/>
              </w:rPr>
            </w:pPr>
          </w:p>
        </w:tc>
      </w:tr>
      <w:tr w14:paraId="665AF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02" w:type="dxa"/>
            <w:vAlign w:val="top"/>
          </w:tcPr>
          <w:p w14:paraId="2FE5EE21">
            <w:pPr>
              <w:pStyle w:val="9"/>
              <w:spacing w:before="307" w:line="241" w:lineRule="auto"/>
              <w:ind w:left="352"/>
            </w:pPr>
            <w:r>
              <w:t>4</w:t>
            </w:r>
          </w:p>
        </w:tc>
        <w:tc>
          <w:tcPr>
            <w:tcW w:w="2009" w:type="dxa"/>
            <w:vAlign w:val="top"/>
          </w:tcPr>
          <w:p w14:paraId="755E2300">
            <w:pPr>
              <w:rPr>
                <w:rFonts w:ascii="Arial"/>
                <w:sz w:val="21"/>
              </w:rPr>
            </w:pPr>
          </w:p>
        </w:tc>
        <w:tc>
          <w:tcPr>
            <w:tcW w:w="1184" w:type="dxa"/>
            <w:vAlign w:val="top"/>
          </w:tcPr>
          <w:p w14:paraId="5DB3EA82">
            <w:pPr>
              <w:rPr>
                <w:rFonts w:ascii="Arial"/>
                <w:sz w:val="21"/>
              </w:rPr>
            </w:pPr>
          </w:p>
        </w:tc>
        <w:tc>
          <w:tcPr>
            <w:tcW w:w="1469" w:type="dxa"/>
            <w:vAlign w:val="top"/>
          </w:tcPr>
          <w:p w14:paraId="141B5B32">
            <w:pPr>
              <w:rPr>
                <w:rFonts w:ascii="Arial"/>
                <w:sz w:val="21"/>
              </w:rPr>
            </w:pPr>
          </w:p>
        </w:tc>
        <w:tc>
          <w:tcPr>
            <w:tcW w:w="1859" w:type="dxa"/>
            <w:vAlign w:val="top"/>
          </w:tcPr>
          <w:p w14:paraId="75310CA4">
            <w:pPr>
              <w:rPr>
                <w:rFonts w:ascii="Arial"/>
                <w:sz w:val="21"/>
              </w:rPr>
            </w:pPr>
          </w:p>
        </w:tc>
        <w:tc>
          <w:tcPr>
            <w:tcW w:w="855" w:type="dxa"/>
            <w:vAlign w:val="top"/>
          </w:tcPr>
          <w:p w14:paraId="0315E117">
            <w:pPr>
              <w:rPr>
                <w:rFonts w:ascii="Arial"/>
                <w:sz w:val="21"/>
              </w:rPr>
            </w:pPr>
          </w:p>
        </w:tc>
        <w:tc>
          <w:tcPr>
            <w:tcW w:w="1129" w:type="dxa"/>
            <w:vAlign w:val="top"/>
          </w:tcPr>
          <w:p w14:paraId="520B0EE4">
            <w:pPr>
              <w:rPr>
                <w:rFonts w:ascii="Arial"/>
                <w:sz w:val="21"/>
              </w:rPr>
            </w:pPr>
          </w:p>
        </w:tc>
      </w:tr>
      <w:tr w14:paraId="09656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02" w:type="dxa"/>
            <w:vAlign w:val="top"/>
          </w:tcPr>
          <w:p w14:paraId="32DA6FE7">
            <w:pPr>
              <w:pStyle w:val="9"/>
              <w:spacing w:before="309"/>
              <w:ind w:left="357"/>
            </w:pPr>
            <w:r>
              <w:t>5</w:t>
            </w:r>
          </w:p>
        </w:tc>
        <w:tc>
          <w:tcPr>
            <w:tcW w:w="2009" w:type="dxa"/>
            <w:vAlign w:val="top"/>
          </w:tcPr>
          <w:p w14:paraId="22174015">
            <w:pPr>
              <w:rPr>
                <w:rFonts w:ascii="Arial"/>
                <w:sz w:val="21"/>
              </w:rPr>
            </w:pPr>
          </w:p>
        </w:tc>
        <w:tc>
          <w:tcPr>
            <w:tcW w:w="1184" w:type="dxa"/>
            <w:vAlign w:val="top"/>
          </w:tcPr>
          <w:p w14:paraId="33B661E6">
            <w:pPr>
              <w:rPr>
                <w:rFonts w:ascii="Arial"/>
                <w:sz w:val="21"/>
              </w:rPr>
            </w:pPr>
          </w:p>
        </w:tc>
        <w:tc>
          <w:tcPr>
            <w:tcW w:w="1469" w:type="dxa"/>
            <w:vAlign w:val="top"/>
          </w:tcPr>
          <w:p w14:paraId="5E18B40E">
            <w:pPr>
              <w:rPr>
                <w:rFonts w:ascii="Arial"/>
                <w:sz w:val="21"/>
              </w:rPr>
            </w:pPr>
          </w:p>
        </w:tc>
        <w:tc>
          <w:tcPr>
            <w:tcW w:w="1859" w:type="dxa"/>
            <w:vAlign w:val="top"/>
          </w:tcPr>
          <w:p w14:paraId="6AEEE0D5">
            <w:pPr>
              <w:rPr>
                <w:rFonts w:ascii="Arial"/>
                <w:sz w:val="21"/>
              </w:rPr>
            </w:pPr>
          </w:p>
        </w:tc>
        <w:tc>
          <w:tcPr>
            <w:tcW w:w="855" w:type="dxa"/>
            <w:vAlign w:val="top"/>
          </w:tcPr>
          <w:p w14:paraId="244C9681">
            <w:pPr>
              <w:rPr>
                <w:rFonts w:ascii="Arial"/>
                <w:sz w:val="21"/>
              </w:rPr>
            </w:pPr>
          </w:p>
        </w:tc>
        <w:tc>
          <w:tcPr>
            <w:tcW w:w="1129" w:type="dxa"/>
            <w:vAlign w:val="top"/>
          </w:tcPr>
          <w:p w14:paraId="4730CE19">
            <w:pPr>
              <w:rPr>
                <w:rFonts w:ascii="Arial"/>
                <w:sz w:val="21"/>
              </w:rPr>
            </w:pPr>
          </w:p>
        </w:tc>
      </w:tr>
      <w:tr w14:paraId="75265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02" w:type="dxa"/>
            <w:vAlign w:val="top"/>
          </w:tcPr>
          <w:p w14:paraId="303607D9">
            <w:pPr>
              <w:pStyle w:val="9"/>
              <w:spacing w:before="308"/>
              <w:ind w:left="355"/>
            </w:pPr>
            <w:r>
              <w:t>6</w:t>
            </w:r>
          </w:p>
        </w:tc>
        <w:tc>
          <w:tcPr>
            <w:tcW w:w="2009" w:type="dxa"/>
            <w:vAlign w:val="top"/>
          </w:tcPr>
          <w:p w14:paraId="29ABA384">
            <w:pPr>
              <w:rPr>
                <w:rFonts w:ascii="Arial"/>
                <w:sz w:val="21"/>
              </w:rPr>
            </w:pPr>
          </w:p>
        </w:tc>
        <w:tc>
          <w:tcPr>
            <w:tcW w:w="1184" w:type="dxa"/>
            <w:vAlign w:val="top"/>
          </w:tcPr>
          <w:p w14:paraId="724F7DEB">
            <w:pPr>
              <w:rPr>
                <w:rFonts w:ascii="Arial"/>
                <w:sz w:val="21"/>
              </w:rPr>
            </w:pPr>
          </w:p>
        </w:tc>
        <w:tc>
          <w:tcPr>
            <w:tcW w:w="1469" w:type="dxa"/>
            <w:vAlign w:val="top"/>
          </w:tcPr>
          <w:p w14:paraId="399F1249">
            <w:pPr>
              <w:rPr>
                <w:rFonts w:ascii="Arial"/>
                <w:sz w:val="21"/>
              </w:rPr>
            </w:pPr>
          </w:p>
        </w:tc>
        <w:tc>
          <w:tcPr>
            <w:tcW w:w="1859" w:type="dxa"/>
            <w:vAlign w:val="top"/>
          </w:tcPr>
          <w:p w14:paraId="2A6DE873">
            <w:pPr>
              <w:rPr>
                <w:rFonts w:ascii="Arial"/>
                <w:sz w:val="21"/>
              </w:rPr>
            </w:pPr>
          </w:p>
        </w:tc>
        <w:tc>
          <w:tcPr>
            <w:tcW w:w="855" w:type="dxa"/>
            <w:vAlign w:val="top"/>
          </w:tcPr>
          <w:p w14:paraId="2547C163">
            <w:pPr>
              <w:rPr>
                <w:rFonts w:ascii="Arial"/>
                <w:sz w:val="21"/>
              </w:rPr>
            </w:pPr>
          </w:p>
        </w:tc>
        <w:tc>
          <w:tcPr>
            <w:tcW w:w="1129" w:type="dxa"/>
            <w:vAlign w:val="top"/>
          </w:tcPr>
          <w:p w14:paraId="5FE9231F">
            <w:pPr>
              <w:rPr>
                <w:rFonts w:ascii="Arial"/>
                <w:sz w:val="21"/>
              </w:rPr>
            </w:pPr>
          </w:p>
        </w:tc>
      </w:tr>
      <w:tr w14:paraId="621CB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02" w:type="dxa"/>
            <w:vAlign w:val="top"/>
          </w:tcPr>
          <w:p w14:paraId="4291C57D">
            <w:pPr>
              <w:rPr>
                <w:rFonts w:ascii="Arial"/>
                <w:sz w:val="21"/>
              </w:rPr>
            </w:pPr>
          </w:p>
          <w:p w14:paraId="1B16BC16">
            <w:pPr>
              <w:pStyle w:val="9"/>
              <w:spacing w:before="68"/>
              <w:ind w:left="358"/>
            </w:pPr>
            <w:r>
              <w:t>7</w:t>
            </w:r>
          </w:p>
        </w:tc>
        <w:tc>
          <w:tcPr>
            <w:tcW w:w="2009" w:type="dxa"/>
            <w:vAlign w:val="top"/>
          </w:tcPr>
          <w:p w14:paraId="66E8B777">
            <w:pPr>
              <w:rPr>
                <w:rFonts w:ascii="Arial"/>
                <w:sz w:val="21"/>
              </w:rPr>
            </w:pPr>
          </w:p>
        </w:tc>
        <w:tc>
          <w:tcPr>
            <w:tcW w:w="1184" w:type="dxa"/>
            <w:vAlign w:val="top"/>
          </w:tcPr>
          <w:p w14:paraId="313F5275">
            <w:pPr>
              <w:rPr>
                <w:rFonts w:ascii="Arial"/>
                <w:sz w:val="21"/>
              </w:rPr>
            </w:pPr>
          </w:p>
        </w:tc>
        <w:tc>
          <w:tcPr>
            <w:tcW w:w="1469" w:type="dxa"/>
            <w:vAlign w:val="top"/>
          </w:tcPr>
          <w:p w14:paraId="30A7A2FD">
            <w:pPr>
              <w:rPr>
                <w:rFonts w:ascii="Arial"/>
                <w:sz w:val="21"/>
              </w:rPr>
            </w:pPr>
          </w:p>
        </w:tc>
        <w:tc>
          <w:tcPr>
            <w:tcW w:w="1859" w:type="dxa"/>
            <w:vAlign w:val="top"/>
          </w:tcPr>
          <w:p w14:paraId="42C6BE1A">
            <w:pPr>
              <w:rPr>
                <w:rFonts w:ascii="Arial"/>
                <w:sz w:val="21"/>
              </w:rPr>
            </w:pPr>
          </w:p>
        </w:tc>
        <w:tc>
          <w:tcPr>
            <w:tcW w:w="855" w:type="dxa"/>
            <w:vAlign w:val="top"/>
          </w:tcPr>
          <w:p w14:paraId="26330E21">
            <w:pPr>
              <w:rPr>
                <w:rFonts w:ascii="Arial"/>
                <w:sz w:val="21"/>
              </w:rPr>
            </w:pPr>
          </w:p>
        </w:tc>
        <w:tc>
          <w:tcPr>
            <w:tcW w:w="1129" w:type="dxa"/>
            <w:vAlign w:val="top"/>
          </w:tcPr>
          <w:p w14:paraId="7D9B70D3">
            <w:pPr>
              <w:rPr>
                <w:rFonts w:ascii="Arial"/>
                <w:sz w:val="21"/>
              </w:rPr>
            </w:pPr>
          </w:p>
        </w:tc>
      </w:tr>
      <w:tr w14:paraId="2E995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1" w:hRule="atLeast"/>
        </w:trPr>
        <w:tc>
          <w:tcPr>
            <w:tcW w:w="802" w:type="dxa"/>
            <w:vAlign w:val="top"/>
          </w:tcPr>
          <w:p w14:paraId="4903B921">
            <w:pPr>
              <w:spacing w:line="393" w:lineRule="auto"/>
              <w:rPr>
                <w:rFonts w:ascii="Arial"/>
                <w:sz w:val="21"/>
              </w:rPr>
            </w:pPr>
          </w:p>
          <w:p w14:paraId="4293E907">
            <w:pPr>
              <w:pStyle w:val="9"/>
              <w:spacing w:before="69" w:line="86" w:lineRule="exact"/>
              <w:ind w:left="254"/>
            </w:pPr>
            <w:r>
              <w:rPr>
                <w:spacing w:val="-5"/>
                <w:position w:val="1"/>
              </w:rPr>
              <w:t>...</w:t>
            </w:r>
          </w:p>
        </w:tc>
        <w:tc>
          <w:tcPr>
            <w:tcW w:w="2009" w:type="dxa"/>
            <w:vAlign w:val="top"/>
          </w:tcPr>
          <w:p w14:paraId="4E0D8F73">
            <w:pPr>
              <w:rPr>
                <w:rFonts w:ascii="Arial"/>
                <w:sz w:val="21"/>
              </w:rPr>
            </w:pPr>
          </w:p>
        </w:tc>
        <w:tc>
          <w:tcPr>
            <w:tcW w:w="1184" w:type="dxa"/>
            <w:vAlign w:val="top"/>
          </w:tcPr>
          <w:p w14:paraId="37F165F5">
            <w:pPr>
              <w:rPr>
                <w:rFonts w:ascii="Arial"/>
                <w:sz w:val="21"/>
              </w:rPr>
            </w:pPr>
          </w:p>
        </w:tc>
        <w:tc>
          <w:tcPr>
            <w:tcW w:w="1469" w:type="dxa"/>
            <w:vAlign w:val="top"/>
          </w:tcPr>
          <w:p w14:paraId="3CA26C67">
            <w:pPr>
              <w:rPr>
                <w:rFonts w:ascii="Arial"/>
                <w:sz w:val="21"/>
              </w:rPr>
            </w:pPr>
          </w:p>
        </w:tc>
        <w:tc>
          <w:tcPr>
            <w:tcW w:w="1859" w:type="dxa"/>
            <w:vAlign w:val="top"/>
          </w:tcPr>
          <w:p w14:paraId="61D9E0B3">
            <w:pPr>
              <w:rPr>
                <w:rFonts w:ascii="Arial"/>
                <w:sz w:val="21"/>
              </w:rPr>
            </w:pPr>
          </w:p>
        </w:tc>
        <w:tc>
          <w:tcPr>
            <w:tcW w:w="855" w:type="dxa"/>
            <w:vAlign w:val="top"/>
          </w:tcPr>
          <w:p w14:paraId="4C90B065">
            <w:pPr>
              <w:rPr>
                <w:rFonts w:ascii="Arial"/>
                <w:sz w:val="21"/>
              </w:rPr>
            </w:pPr>
          </w:p>
        </w:tc>
        <w:tc>
          <w:tcPr>
            <w:tcW w:w="1129" w:type="dxa"/>
            <w:vAlign w:val="top"/>
          </w:tcPr>
          <w:p w14:paraId="1BDD94E7">
            <w:pPr>
              <w:rPr>
                <w:rFonts w:ascii="Arial"/>
                <w:sz w:val="21"/>
              </w:rPr>
            </w:pPr>
          </w:p>
        </w:tc>
      </w:tr>
      <w:tr w14:paraId="7DE71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2811" w:type="dxa"/>
            <w:gridSpan w:val="2"/>
            <w:vAlign w:val="top"/>
          </w:tcPr>
          <w:p w14:paraId="59EDF601">
            <w:pPr>
              <w:spacing w:line="241" w:lineRule="auto"/>
              <w:rPr>
                <w:rFonts w:ascii="Arial"/>
                <w:sz w:val="21"/>
              </w:rPr>
            </w:pPr>
          </w:p>
          <w:p w14:paraId="1253CF7E">
            <w:pPr>
              <w:pStyle w:val="9"/>
              <w:spacing w:before="69" w:line="220" w:lineRule="auto"/>
              <w:ind w:left="989"/>
            </w:pPr>
            <w:r>
              <w:rPr>
                <w:spacing w:val="-2"/>
              </w:rPr>
              <w:t>业绩合计</w:t>
            </w:r>
          </w:p>
        </w:tc>
        <w:tc>
          <w:tcPr>
            <w:tcW w:w="1184" w:type="dxa"/>
            <w:vAlign w:val="top"/>
          </w:tcPr>
          <w:p w14:paraId="7866BE7D">
            <w:pPr>
              <w:rPr>
                <w:rFonts w:ascii="Arial"/>
                <w:sz w:val="21"/>
              </w:rPr>
            </w:pPr>
          </w:p>
        </w:tc>
        <w:tc>
          <w:tcPr>
            <w:tcW w:w="1469" w:type="dxa"/>
            <w:vAlign w:val="top"/>
          </w:tcPr>
          <w:p w14:paraId="442467E1">
            <w:pPr>
              <w:rPr>
                <w:rFonts w:ascii="Arial"/>
                <w:sz w:val="21"/>
              </w:rPr>
            </w:pPr>
          </w:p>
        </w:tc>
        <w:tc>
          <w:tcPr>
            <w:tcW w:w="1859" w:type="dxa"/>
            <w:vAlign w:val="top"/>
          </w:tcPr>
          <w:p w14:paraId="762F2FD3">
            <w:pPr>
              <w:rPr>
                <w:rFonts w:ascii="Arial"/>
                <w:sz w:val="21"/>
              </w:rPr>
            </w:pPr>
          </w:p>
        </w:tc>
        <w:tc>
          <w:tcPr>
            <w:tcW w:w="855" w:type="dxa"/>
            <w:vAlign w:val="top"/>
          </w:tcPr>
          <w:p w14:paraId="3AF2231D">
            <w:pPr>
              <w:rPr>
                <w:rFonts w:ascii="Arial"/>
                <w:sz w:val="21"/>
              </w:rPr>
            </w:pPr>
          </w:p>
        </w:tc>
        <w:tc>
          <w:tcPr>
            <w:tcW w:w="1129" w:type="dxa"/>
            <w:vAlign w:val="top"/>
          </w:tcPr>
          <w:p w14:paraId="43855AAB">
            <w:pPr>
              <w:rPr>
                <w:rFonts w:ascii="Arial"/>
                <w:sz w:val="21"/>
              </w:rPr>
            </w:pPr>
          </w:p>
        </w:tc>
      </w:tr>
    </w:tbl>
    <w:p w14:paraId="02910D83">
      <w:pPr>
        <w:spacing w:before="48" w:line="224" w:lineRule="auto"/>
        <w:ind w:left="120"/>
        <w:rPr>
          <w:rFonts w:ascii="宋体" w:hAnsi="宋体" w:eastAsia="宋体" w:cs="宋体"/>
          <w:sz w:val="21"/>
          <w:szCs w:val="21"/>
        </w:rPr>
      </w:pPr>
      <w:r>
        <w:rPr>
          <w:rFonts w:ascii="宋体" w:hAnsi="宋体" w:eastAsia="宋体" w:cs="宋体"/>
          <w:spacing w:val="-15"/>
          <w:sz w:val="21"/>
          <w:szCs w:val="21"/>
        </w:rPr>
        <w:t>注：</w:t>
      </w:r>
    </w:p>
    <w:p w14:paraId="707105BF">
      <w:pPr>
        <w:spacing w:before="57" w:line="219" w:lineRule="auto"/>
        <w:ind w:left="120"/>
        <w:rPr>
          <w:rFonts w:ascii="宋体" w:hAnsi="宋体" w:eastAsia="宋体" w:cs="宋体"/>
          <w:sz w:val="21"/>
          <w:szCs w:val="21"/>
        </w:rPr>
      </w:pPr>
      <w:r>
        <w:rPr>
          <w:rFonts w:ascii="宋体" w:hAnsi="宋体" w:eastAsia="宋体" w:cs="宋体"/>
          <w:spacing w:val="-2"/>
          <w:sz w:val="21"/>
          <w:szCs w:val="21"/>
        </w:rPr>
        <w:t>业绩要求应符合投标人须知前附表</w:t>
      </w:r>
      <w:r>
        <w:rPr>
          <w:rFonts w:ascii="宋体" w:hAnsi="宋体" w:eastAsia="宋体" w:cs="宋体"/>
          <w:spacing w:val="-41"/>
          <w:sz w:val="21"/>
          <w:szCs w:val="21"/>
        </w:rPr>
        <w:t xml:space="preserve"> </w:t>
      </w:r>
      <w:r>
        <w:rPr>
          <w:rFonts w:ascii="宋体" w:hAnsi="宋体" w:eastAsia="宋体" w:cs="宋体"/>
          <w:spacing w:val="-2"/>
          <w:sz w:val="21"/>
          <w:szCs w:val="21"/>
        </w:rPr>
        <w:t>3.5.3、10.</w:t>
      </w:r>
      <w:r>
        <w:rPr>
          <w:rFonts w:ascii="宋体" w:hAnsi="宋体" w:eastAsia="宋体" w:cs="宋体"/>
          <w:spacing w:val="-3"/>
          <w:sz w:val="21"/>
          <w:szCs w:val="21"/>
        </w:rPr>
        <w:t>6</w:t>
      </w:r>
      <w:r>
        <w:rPr>
          <w:rFonts w:ascii="宋体" w:hAnsi="宋体" w:eastAsia="宋体" w:cs="宋体"/>
          <w:spacing w:val="-45"/>
          <w:sz w:val="21"/>
          <w:szCs w:val="21"/>
        </w:rPr>
        <w:t xml:space="preserve"> </w:t>
      </w:r>
      <w:r>
        <w:rPr>
          <w:rFonts w:ascii="宋体" w:hAnsi="宋体" w:eastAsia="宋体" w:cs="宋体"/>
          <w:spacing w:val="-3"/>
          <w:sz w:val="21"/>
          <w:szCs w:val="21"/>
        </w:rPr>
        <w:t>及</w:t>
      </w:r>
      <w:r>
        <w:rPr>
          <w:rFonts w:ascii="宋体" w:hAnsi="宋体" w:eastAsia="宋体" w:cs="宋体"/>
          <w:spacing w:val="-30"/>
          <w:sz w:val="21"/>
          <w:szCs w:val="21"/>
        </w:rPr>
        <w:t xml:space="preserve"> </w:t>
      </w:r>
      <w:r>
        <w:rPr>
          <w:rFonts w:ascii="宋体" w:hAnsi="宋体" w:eastAsia="宋体" w:cs="宋体"/>
          <w:spacing w:val="-3"/>
          <w:sz w:val="21"/>
          <w:szCs w:val="21"/>
        </w:rPr>
        <w:t>10.7</w:t>
      </w:r>
      <w:r>
        <w:rPr>
          <w:rFonts w:ascii="宋体" w:hAnsi="宋体" w:eastAsia="宋体" w:cs="宋体"/>
          <w:spacing w:val="-45"/>
          <w:sz w:val="21"/>
          <w:szCs w:val="21"/>
        </w:rPr>
        <w:t xml:space="preserve"> </w:t>
      </w:r>
      <w:r>
        <w:rPr>
          <w:rFonts w:ascii="宋体" w:hAnsi="宋体" w:eastAsia="宋体" w:cs="宋体"/>
          <w:spacing w:val="-3"/>
          <w:sz w:val="21"/>
          <w:szCs w:val="21"/>
        </w:rPr>
        <w:t>款的要求。</w:t>
      </w:r>
    </w:p>
    <w:p w14:paraId="16C4C569">
      <w:pPr>
        <w:pStyle w:val="2"/>
        <w:spacing w:line="246" w:lineRule="auto"/>
      </w:pPr>
    </w:p>
    <w:p w14:paraId="53720782">
      <w:pPr>
        <w:pStyle w:val="2"/>
        <w:spacing w:line="246" w:lineRule="auto"/>
      </w:pPr>
    </w:p>
    <w:p w14:paraId="09D58B7B">
      <w:pPr>
        <w:pStyle w:val="2"/>
        <w:spacing w:line="246" w:lineRule="auto"/>
      </w:pPr>
    </w:p>
    <w:p w14:paraId="31C1AEB6">
      <w:pPr>
        <w:pStyle w:val="2"/>
        <w:spacing w:line="246" w:lineRule="auto"/>
      </w:pPr>
    </w:p>
    <w:p w14:paraId="62F6F491">
      <w:pPr>
        <w:pStyle w:val="2"/>
        <w:spacing w:line="247" w:lineRule="auto"/>
      </w:pPr>
    </w:p>
    <w:p w14:paraId="484A9694">
      <w:pPr>
        <w:pStyle w:val="2"/>
        <w:spacing w:line="247" w:lineRule="auto"/>
      </w:pPr>
    </w:p>
    <w:p w14:paraId="3DC9DDA0">
      <w:pPr>
        <w:pStyle w:val="2"/>
        <w:spacing w:line="247" w:lineRule="auto"/>
      </w:pPr>
    </w:p>
    <w:p w14:paraId="55ABA1EB">
      <w:pPr>
        <w:pStyle w:val="2"/>
        <w:spacing w:line="247" w:lineRule="auto"/>
      </w:pPr>
    </w:p>
    <w:p w14:paraId="04B9FA17">
      <w:pPr>
        <w:pStyle w:val="2"/>
        <w:spacing w:line="247" w:lineRule="auto"/>
      </w:pPr>
    </w:p>
    <w:p w14:paraId="39E6E6FA">
      <w:pPr>
        <w:pStyle w:val="2"/>
        <w:spacing w:line="247" w:lineRule="auto"/>
      </w:pPr>
    </w:p>
    <w:p w14:paraId="123B1D33">
      <w:pPr>
        <w:pStyle w:val="2"/>
        <w:spacing w:line="247" w:lineRule="auto"/>
      </w:pPr>
    </w:p>
    <w:p w14:paraId="23020441">
      <w:pPr>
        <w:pStyle w:val="2"/>
        <w:spacing w:line="247" w:lineRule="auto"/>
      </w:pPr>
    </w:p>
    <w:p w14:paraId="02DED57E">
      <w:pPr>
        <w:pStyle w:val="2"/>
        <w:spacing w:line="247" w:lineRule="auto"/>
      </w:pPr>
    </w:p>
    <w:p w14:paraId="1D305C13">
      <w:pPr>
        <w:pStyle w:val="2"/>
        <w:spacing w:line="247" w:lineRule="auto"/>
      </w:pPr>
    </w:p>
    <w:p w14:paraId="28AE4B59">
      <w:pPr>
        <w:pStyle w:val="2"/>
        <w:spacing w:line="247" w:lineRule="auto"/>
      </w:pPr>
    </w:p>
    <w:p w14:paraId="23C12139">
      <w:pPr>
        <w:pStyle w:val="2"/>
        <w:spacing w:line="247" w:lineRule="auto"/>
      </w:pPr>
    </w:p>
    <w:p w14:paraId="0DED77B5">
      <w:pPr>
        <w:pStyle w:val="2"/>
        <w:spacing w:line="247" w:lineRule="auto"/>
      </w:pPr>
    </w:p>
    <w:p w14:paraId="444666CB">
      <w:pPr>
        <w:pStyle w:val="2"/>
        <w:spacing w:line="247" w:lineRule="auto"/>
      </w:pPr>
    </w:p>
    <w:p w14:paraId="7A2F5738">
      <w:pPr>
        <w:pStyle w:val="2"/>
        <w:spacing w:line="315" w:lineRule="auto"/>
      </w:pPr>
    </w:p>
    <w:p w14:paraId="4C285A94">
      <w:pPr>
        <w:spacing w:before="88" w:line="226" w:lineRule="auto"/>
        <w:ind w:left="2986"/>
        <w:rPr>
          <w:rFonts w:ascii="宋体" w:hAnsi="宋体" w:eastAsia="宋体" w:cs="宋体"/>
          <w:sz w:val="27"/>
          <w:szCs w:val="27"/>
        </w:rPr>
      </w:pPr>
      <w:r>
        <w:rPr>
          <w:rFonts w:ascii="宋体" w:hAnsi="宋体" w:eastAsia="宋体" w:cs="宋体"/>
          <w:b/>
          <w:bCs/>
          <w:spacing w:val="5"/>
          <w:sz w:val="27"/>
          <w:szCs w:val="27"/>
        </w:rPr>
        <w:t>（五）投标人的信誉情况表</w:t>
      </w:r>
    </w:p>
    <w:p w14:paraId="501EFA4B">
      <w:pPr>
        <w:spacing w:before="37"/>
      </w:pPr>
    </w:p>
    <w:tbl>
      <w:tblPr>
        <w:tblStyle w:val="8"/>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44"/>
        <w:gridCol w:w="3948"/>
      </w:tblGrid>
      <w:tr w14:paraId="72B38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344" w:type="dxa"/>
            <w:vAlign w:val="top"/>
          </w:tcPr>
          <w:p w14:paraId="3E96AECA">
            <w:pPr>
              <w:pStyle w:val="9"/>
              <w:spacing w:before="255" w:line="220" w:lineRule="auto"/>
              <w:ind w:left="2472"/>
            </w:pPr>
            <w:r>
              <w:rPr>
                <w:spacing w:val="-3"/>
              </w:rPr>
              <w:t>项目</w:t>
            </w:r>
          </w:p>
        </w:tc>
        <w:tc>
          <w:tcPr>
            <w:tcW w:w="3948" w:type="dxa"/>
            <w:vAlign w:val="top"/>
          </w:tcPr>
          <w:p w14:paraId="1E45866A">
            <w:pPr>
              <w:pStyle w:val="9"/>
              <w:spacing w:before="254" w:line="220" w:lineRule="auto"/>
              <w:ind w:left="1246"/>
            </w:pPr>
            <w:r>
              <w:rPr>
                <w:spacing w:val="-2"/>
              </w:rPr>
              <w:t>投标人情况说明</w:t>
            </w:r>
          </w:p>
        </w:tc>
      </w:tr>
      <w:tr w14:paraId="3E5AB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5344" w:type="dxa"/>
            <w:vAlign w:val="top"/>
          </w:tcPr>
          <w:p w14:paraId="2E280038">
            <w:pPr>
              <w:pStyle w:val="9"/>
              <w:spacing w:before="124" w:line="327" w:lineRule="auto"/>
              <w:ind w:left="115" w:right="96" w:firstLine="5"/>
              <w:jc w:val="both"/>
            </w:pPr>
            <w:r>
              <w:rPr>
                <w:spacing w:val="-2"/>
              </w:rPr>
              <w:t>（1）在最新年度广东省公路工程从业单位（</w:t>
            </w:r>
            <w:r>
              <w:rPr>
                <w:spacing w:val="-2"/>
                <w:u w:val="single" w:color="auto"/>
              </w:rPr>
              <w:t>施工单位</w:t>
            </w:r>
            <w:r>
              <w:rPr>
                <w:rFonts w:hint="eastAsia"/>
                <w:spacing w:val="-2"/>
                <w:u w:val="single" w:color="auto"/>
                <w:lang w:eastAsia="zh-CN"/>
              </w:rPr>
              <w:t>）</w:t>
            </w:r>
            <w:r>
              <w:rPr>
                <w:spacing w:val="3"/>
              </w:rPr>
              <w:t>信用评价（含无最新年度而上一年度有信用评价）中，</w:t>
            </w:r>
            <w:r>
              <w:rPr>
                <w:spacing w:val="2"/>
              </w:rPr>
              <w:t>信用等级被评为</w:t>
            </w:r>
            <w:r>
              <w:rPr>
                <w:spacing w:val="-34"/>
              </w:rPr>
              <w:t xml:space="preserve"> </w:t>
            </w:r>
            <w:r>
              <w:rPr>
                <w:spacing w:val="2"/>
              </w:rPr>
              <w:t>D</w:t>
            </w:r>
            <w:r>
              <w:rPr>
                <w:spacing w:val="-36"/>
              </w:rPr>
              <w:t xml:space="preserve"> </w:t>
            </w:r>
            <w:r>
              <w:rPr>
                <w:spacing w:val="2"/>
              </w:rPr>
              <w:t>级；初次进入广东省的投标人，在最</w:t>
            </w:r>
            <w:r>
              <w:rPr>
                <w:spacing w:val="3"/>
              </w:rPr>
              <w:t>新年度的全国公路从业单位（施工单位）信用评价结果</w:t>
            </w:r>
            <w:r>
              <w:rPr>
                <w:spacing w:val="-4"/>
              </w:rPr>
              <w:t>中被评为</w:t>
            </w:r>
            <w:r>
              <w:rPr>
                <w:spacing w:val="-47"/>
              </w:rPr>
              <w:t xml:space="preserve"> </w:t>
            </w:r>
            <w:r>
              <w:rPr>
                <w:spacing w:val="-4"/>
              </w:rPr>
              <w:t>D</w:t>
            </w:r>
            <w:r>
              <w:rPr>
                <w:spacing w:val="-40"/>
              </w:rPr>
              <w:t xml:space="preserve"> </w:t>
            </w:r>
            <w:r>
              <w:rPr>
                <w:spacing w:val="-4"/>
              </w:rPr>
              <w:t>级；</w:t>
            </w:r>
          </w:p>
        </w:tc>
        <w:tc>
          <w:tcPr>
            <w:tcW w:w="3948" w:type="dxa"/>
            <w:vAlign w:val="top"/>
          </w:tcPr>
          <w:p w14:paraId="77A3DE64">
            <w:pPr>
              <w:rPr>
                <w:rFonts w:ascii="Arial"/>
                <w:sz w:val="21"/>
              </w:rPr>
            </w:pPr>
          </w:p>
        </w:tc>
      </w:tr>
      <w:tr w14:paraId="05265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5344" w:type="dxa"/>
            <w:vAlign w:val="top"/>
          </w:tcPr>
          <w:p w14:paraId="3F231839">
            <w:pPr>
              <w:pStyle w:val="9"/>
              <w:spacing w:before="138" w:line="288" w:lineRule="auto"/>
              <w:ind w:left="115" w:right="116" w:firstLine="5"/>
            </w:pPr>
            <w:r>
              <w:rPr>
                <w:spacing w:val="-2"/>
              </w:rPr>
              <w:t>（2）被省级及以上交通运输主管部门取消招标项目所在</w:t>
            </w:r>
            <w:r>
              <w:rPr>
                <w:spacing w:val="-4"/>
              </w:rPr>
              <w:t>地的投标资格且处于有效期内；</w:t>
            </w:r>
          </w:p>
        </w:tc>
        <w:tc>
          <w:tcPr>
            <w:tcW w:w="3948" w:type="dxa"/>
            <w:vAlign w:val="top"/>
          </w:tcPr>
          <w:p w14:paraId="7A9B2E85">
            <w:pPr>
              <w:rPr>
                <w:rFonts w:ascii="Arial"/>
                <w:sz w:val="21"/>
              </w:rPr>
            </w:pPr>
          </w:p>
        </w:tc>
      </w:tr>
      <w:tr w14:paraId="3FCF6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344" w:type="dxa"/>
            <w:vAlign w:val="top"/>
          </w:tcPr>
          <w:p w14:paraId="4E5C0C8C">
            <w:pPr>
              <w:pStyle w:val="9"/>
              <w:spacing w:before="307" w:line="219" w:lineRule="auto"/>
              <w:ind w:left="121"/>
            </w:pPr>
            <w:r>
              <w:rPr>
                <w:spacing w:val="-3"/>
              </w:rPr>
              <w:t>（3）被责令停业，暂扣或吊销执照，或吊销资质证书；</w:t>
            </w:r>
          </w:p>
        </w:tc>
        <w:tc>
          <w:tcPr>
            <w:tcW w:w="3948" w:type="dxa"/>
            <w:vAlign w:val="top"/>
          </w:tcPr>
          <w:p w14:paraId="7BF1B077">
            <w:pPr>
              <w:rPr>
                <w:rFonts w:ascii="Arial"/>
                <w:sz w:val="21"/>
              </w:rPr>
            </w:pPr>
          </w:p>
        </w:tc>
      </w:tr>
      <w:tr w14:paraId="31504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344" w:type="dxa"/>
            <w:vAlign w:val="top"/>
          </w:tcPr>
          <w:p w14:paraId="4BBA6CD7">
            <w:pPr>
              <w:pStyle w:val="9"/>
              <w:spacing w:before="142" w:line="287" w:lineRule="auto"/>
              <w:ind w:left="119" w:right="115" w:firstLine="2"/>
            </w:pPr>
            <w:r>
              <w:rPr>
                <w:spacing w:val="-2"/>
              </w:rPr>
              <w:t>（4）进入清算程序，或被宣告破产，或其他丧失履约能</w:t>
            </w:r>
            <w:r>
              <w:rPr>
                <w:spacing w:val="-10"/>
              </w:rPr>
              <w:t>力的情形；</w:t>
            </w:r>
          </w:p>
        </w:tc>
        <w:tc>
          <w:tcPr>
            <w:tcW w:w="3948" w:type="dxa"/>
            <w:vAlign w:val="top"/>
          </w:tcPr>
          <w:p w14:paraId="00657FE8">
            <w:pPr>
              <w:rPr>
                <w:rFonts w:ascii="Arial"/>
                <w:sz w:val="21"/>
              </w:rPr>
            </w:pPr>
          </w:p>
        </w:tc>
      </w:tr>
      <w:tr w14:paraId="54FF9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5344" w:type="dxa"/>
            <w:vAlign w:val="top"/>
          </w:tcPr>
          <w:p w14:paraId="076B8892">
            <w:pPr>
              <w:pStyle w:val="9"/>
              <w:spacing w:before="142" w:line="287" w:lineRule="auto"/>
              <w:ind w:left="115" w:right="115" w:firstLine="5"/>
            </w:pPr>
            <w:r>
              <w:rPr>
                <w:spacing w:val="-2"/>
              </w:rPr>
              <w:t>（5）在国家企业信用信息公示系统中被列入严重违法失</w:t>
            </w:r>
            <w:r>
              <w:rPr>
                <w:spacing w:val="-8"/>
              </w:rPr>
              <w:t>信企业名单；</w:t>
            </w:r>
          </w:p>
        </w:tc>
        <w:tc>
          <w:tcPr>
            <w:tcW w:w="3948" w:type="dxa"/>
            <w:vAlign w:val="top"/>
          </w:tcPr>
          <w:p w14:paraId="2790106A">
            <w:pPr>
              <w:rPr>
                <w:rFonts w:ascii="Arial"/>
                <w:sz w:val="21"/>
              </w:rPr>
            </w:pPr>
          </w:p>
        </w:tc>
      </w:tr>
      <w:tr w14:paraId="54207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5344" w:type="dxa"/>
            <w:vAlign w:val="top"/>
          </w:tcPr>
          <w:p w14:paraId="7EEE26BA">
            <w:pPr>
              <w:pStyle w:val="9"/>
              <w:spacing w:before="266" w:line="241" w:lineRule="auto"/>
              <w:ind w:left="121"/>
            </w:pPr>
            <w:r>
              <w:rPr>
                <w:spacing w:val="-5"/>
              </w:rPr>
              <w:t>（6）在“信用中国”网站</w:t>
            </w:r>
            <w:r>
              <w:rPr>
                <w:spacing w:val="-23"/>
                <w:position w:val="11"/>
                <w:sz w:val="12"/>
                <w:szCs w:val="12"/>
              </w:rPr>
              <w:t xml:space="preserve"> </w:t>
            </w:r>
            <w:r>
              <w:rPr>
                <w:spacing w:val="-5"/>
              </w:rPr>
              <w:t>中被列入失信被执行人名单；</w:t>
            </w:r>
          </w:p>
        </w:tc>
        <w:tc>
          <w:tcPr>
            <w:tcW w:w="3948" w:type="dxa"/>
            <w:vAlign w:val="top"/>
          </w:tcPr>
          <w:p w14:paraId="71E9BB7D">
            <w:pPr>
              <w:rPr>
                <w:rFonts w:ascii="Arial"/>
                <w:sz w:val="21"/>
              </w:rPr>
            </w:pPr>
          </w:p>
        </w:tc>
      </w:tr>
      <w:tr w14:paraId="71D62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5344" w:type="dxa"/>
            <w:vAlign w:val="top"/>
          </w:tcPr>
          <w:p w14:paraId="70B25523">
            <w:pPr>
              <w:pStyle w:val="9"/>
              <w:spacing w:before="139" w:line="309" w:lineRule="auto"/>
              <w:ind w:left="115" w:right="96" w:firstLine="5"/>
              <w:jc w:val="both"/>
            </w:pPr>
            <w:r>
              <w:rPr>
                <w:spacing w:val="-2"/>
              </w:rPr>
              <w:t>（7）投标人及其法定代表人、拟委任的项目经理（以及</w:t>
            </w:r>
            <w:r>
              <w:rPr>
                <w:spacing w:val="3"/>
              </w:rPr>
              <w:t>备选人，如有）、项目总工（以及备选人，如有）在近</w:t>
            </w:r>
            <w:r>
              <w:rPr>
                <w:spacing w:val="-5"/>
              </w:rPr>
              <w:t>三年内有行贿犯罪行为的；</w:t>
            </w:r>
          </w:p>
        </w:tc>
        <w:tc>
          <w:tcPr>
            <w:tcW w:w="3948" w:type="dxa"/>
            <w:vAlign w:val="top"/>
          </w:tcPr>
          <w:p w14:paraId="466F7FE3">
            <w:pPr>
              <w:rPr>
                <w:rFonts w:ascii="Arial"/>
                <w:sz w:val="21"/>
              </w:rPr>
            </w:pPr>
          </w:p>
        </w:tc>
      </w:tr>
      <w:tr w14:paraId="6F902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5344" w:type="dxa"/>
            <w:vAlign w:val="top"/>
          </w:tcPr>
          <w:p w14:paraId="192E5F58">
            <w:pPr>
              <w:rPr>
                <w:rFonts w:ascii="Arial"/>
                <w:sz w:val="21"/>
              </w:rPr>
            </w:pPr>
          </w:p>
          <w:p w14:paraId="7722BD04">
            <w:pPr>
              <w:pStyle w:val="9"/>
              <w:spacing w:before="69" w:line="219" w:lineRule="auto"/>
              <w:ind w:left="121"/>
            </w:pPr>
            <w:r>
              <w:rPr>
                <w:spacing w:val="-2"/>
              </w:rPr>
              <w:t>（8）法律法规或投标人须知前附表规定的其他情形。</w:t>
            </w:r>
          </w:p>
        </w:tc>
        <w:tc>
          <w:tcPr>
            <w:tcW w:w="3948" w:type="dxa"/>
            <w:vAlign w:val="top"/>
          </w:tcPr>
          <w:p w14:paraId="155F7604">
            <w:pPr>
              <w:rPr>
                <w:rFonts w:ascii="Arial"/>
                <w:sz w:val="21"/>
              </w:rPr>
            </w:pPr>
          </w:p>
        </w:tc>
      </w:tr>
      <w:tr w14:paraId="1D45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5344" w:type="dxa"/>
            <w:vAlign w:val="top"/>
          </w:tcPr>
          <w:p w14:paraId="2AD7FE6F">
            <w:pPr>
              <w:spacing w:line="241" w:lineRule="auto"/>
              <w:rPr>
                <w:rFonts w:ascii="Arial"/>
                <w:sz w:val="21"/>
              </w:rPr>
            </w:pPr>
          </w:p>
          <w:p w14:paraId="6B9596BF">
            <w:pPr>
              <w:pStyle w:val="9"/>
              <w:spacing w:before="68" w:line="331" w:lineRule="exact"/>
              <w:ind w:left="129"/>
            </w:pPr>
            <w:r>
              <w:rPr>
                <w:spacing w:val="-6"/>
                <w:position w:val="2"/>
              </w:rPr>
              <w:t>……</w:t>
            </w:r>
          </w:p>
        </w:tc>
        <w:tc>
          <w:tcPr>
            <w:tcW w:w="3948" w:type="dxa"/>
            <w:vAlign w:val="top"/>
          </w:tcPr>
          <w:p w14:paraId="7E01061D">
            <w:pPr>
              <w:rPr>
                <w:rFonts w:ascii="Arial"/>
                <w:sz w:val="21"/>
              </w:rPr>
            </w:pPr>
          </w:p>
        </w:tc>
      </w:tr>
    </w:tbl>
    <w:p w14:paraId="765DB2BE">
      <w:pPr>
        <w:spacing w:before="48" w:line="224" w:lineRule="auto"/>
        <w:ind w:left="120"/>
        <w:rPr>
          <w:rFonts w:ascii="宋体" w:hAnsi="宋体" w:eastAsia="宋体" w:cs="宋体"/>
          <w:sz w:val="21"/>
          <w:szCs w:val="21"/>
        </w:rPr>
      </w:pPr>
      <w:r>
        <w:rPr>
          <w:rFonts w:ascii="宋体" w:hAnsi="宋体" w:eastAsia="宋体" w:cs="宋体"/>
          <w:spacing w:val="-15"/>
          <w:sz w:val="21"/>
          <w:szCs w:val="21"/>
        </w:rPr>
        <w:t>注：</w:t>
      </w:r>
    </w:p>
    <w:p w14:paraId="032EE151">
      <w:pPr>
        <w:spacing w:before="58" w:line="274" w:lineRule="auto"/>
        <w:ind w:left="137" w:right="112" w:hanging="1"/>
        <w:rPr>
          <w:rFonts w:ascii="宋体" w:hAnsi="宋体" w:eastAsia="宋体" w:cs="宋体"/>
          <w:sz w:val="21"/>
          <w:szCs w:val="21"/>
        </w:rPr>
      </w:pPr>
      <w:r>
        <w:rPr>
          <w:rFonts w:ascii="宋体" w:hAnsi="宋体" w:eastAsia="宋体" w:cs="宋体"/>
          <w:spacing w:val="-1"/>
          <w:sz w:val="21"/>
          <w:szCs w:val="21"/>
        </w:rPr>
        <w:t>1.投标人应按照招标文件第二章“投标人须知”前附表附录</w:t>
      </w:r>
      <w:r>
        <w:rPr>
          <w:rFonts w:ascii="宋体" w:hAnsi="宋体" w:eastAsia="宋体" w:cs="宋体"/>
          <w:spacing w:val="-34"/>
          <w:sz w:val="21"/>
          <w:szCs w:val="21"/>
        </w:rPr>
        <w:t xml:space="preserve"> </w:t>
      </w:r>
      <w:r>
        <w:rPr>
          <w:rFonts w:ascii="宋体" w:hAnsi="宋体" w:eastAsia="宋体" w:cs="宋体"/>
          <w:spacing w:val="-1"/>
          <w:sz w:val="21"/>
          <w:szCs w:val="21"/>
        </w:rPr>
        <w:t>4</w:t>
      </w:r>
      <w:r>
        <w:rPr>
          <w:rFonts w:ascii="宋体" w:hAnsi="宋体" w:eastAsia="宋体" w:cs="宋体"/>
          <w:spacing w:val="-42"/>
          <w:sz w:val="21"/>
          <w:szCs w:val="21"/>
        </w:rPr>
        <w:t xml:space="preserve"> </w:t>
      </w:r>
      <w:r>
        <w:rPr>
          <w:rFonts w:ascii="宋体" w:hAnsi="宋体" w:eastAsia="宋体" w:cs="宋体"/>
          <w:spacing w:val="-1"/>
          <w:sz w:val="21"/>
          <w:szCs w:val="21"/>
        </w:rPr>
        <w:t>和“投标人须知”第</w:t>
      </w:r>
      <w:r>
        <w:rPr>
          <w:rFonts w:ascii="宋体" w:hAnsi="宋体" w:eastAsia="宋体" w:cs="宋体"/>
          <w:spacing w:val="-28"/>
          <w:sz w:val="21"/>
          <w:szCs w:val="21"/>
        </w:rPr>
        <w:t xml:space="preserve"> </w:t>
      </w:r>
      <w:r>
        <w:rPr>
          <w:rFonts w:ascii="宋体" w:hAnsi="宋体" w:eastAsia="宋体" w:cs="宋体"/>
          <w:spacing w:val="-1"/>
          <w:sz w:val="21"/>
          <w:szCs w:val="21"/>
        </w:rPr>
        <w:t>1.4.4</w:t>
      </w:r>
      <w:r>
        <w:rPr>
          <w:rFonts w:ascii="宋体" w:hAnsi="宋体" w:eastAsia="宋体" w:cs="宋体"/>
          <w:spacing w:val="-43"/>
          <w:sz w:val="21"/>
          <w:szCs w:val="21"/>
        </w:rPr>
        <w:t xml:space="preserve"> </w:t>
      </w:r>
      <w:r>
        <w:rPr>
          <w:rFonts w:ascii="宋体" w:hAnsi="宋体" w:eastAsia="宋体" w:cs="宋体"/>
          <w:spacing w:val="-1"/>
          <w:sz w:val="21"/>
          <w:szCs w:val="21"/>
        </w:rPr>
        <w:t>条款号中</w:t>
      </w:r>
      <w:r>
        <w:rPr>
          <w:rFonts w:ascii="宋体" w:hAnsi="宋体" w:eastAsia="宋体" w:cs="宋体"/>
          <w:spacing w:val="-4"/>
          <w:sz w:val="21"/>
          <w:szCs w:val="21"/>
        </w:rPr>
        <w:t>的各项规定，逐条说明其信誉情况。</w:t>
      </w:r>
    </w:p>
    <w:p w14:paraId="22B2F2FA">
      <w:pPr>
        <w:spacing w:line="218" w:lineRule="auto"/>
        <w:ind w:left="123"/>
        <w:rPr>
          <w:rFonts w:ascii="宋体" w:hAnsi="宋体" w:eastAsia="宋体" w:cs="宋体"/>
          <w:sz w:val="21"/>
          <w:szCs w:val="21"/>
        </w:rPr>
      </w:pPr>
      <w:r>
        <w:rPr>
          <w:rFonts w:ascii="宋体" w:hAnsi="宋体" w:eastAsia="宋体" w:cs="宋体"/>
          <w:spacing w:val="-1"/>
          <w:sz w:val="21"/>
          <w:szCs w:val="21"/>
        </w:rPr>
        <w:t>2.投标人应根据招标文件第二章“投标人须知”第</w:t>
      </w:r>
      <w:r>
        <w:rPr>
          <w:rFonts w:ascii="宋体" w:hAnsi="宋体" w:eastAsia="宋体" w:cs="宋体"/>
          <w:spacing w:val="-41"/>
          <w:sz w:val="21"/>
          <w:szCs w:val="21"/>
        </w:rPr>
        <w:t xml:space="preserve"> </w:t>
      </w:r>
      <w:r>
        <w:rPr>
          <w:rFonts w:ascii="宋体" w:hAnsi="宋体" w:eastAsia="宋体" w:cs="宋体"/>
          <w:spacing w:val="-1"/>
          <w:sz w:val="21"/>
          <w:szCs w:val="21"/>
        </w:rPr>
        <w:t>3</w:t>
      </w:r>
      <w:r>
        <w:rPr>
          <w:rFonts w:ascii="宋体" w:hAnsi="宋体" w:eastAsia="宋体" w:cs="宋体"/>
          <w:spacing w:val="-2"/>
          <w:sz w:val="21"/>
          <w:szCs w:val="21"/>
        </w:rPr>
        <w:t>.5.4</w:t>
      </w:r>
      <w:r>
        <w:rPr>
          <w:rFonts w:ascii="宋体" w:hAnsi="宋体" w:eastAsia="宋体" w:cs="宋体"/>
          <w:spacing w:val="-40"/>
          <w:sz w:val="21"/>
          <w:szCs w:val="21"/>
        </w:rPr>
        <w:t xml:space="preserve"> </w:t>
      </w:r>
      <w:r>
        <w:rPr>
          <w:rFonts w:ascii="宋体" w:hAnsi="宋体" w:eastAsia="宋体" w:cs="宋体"/>
          <w:spacing w:val="-2"/>
          <w:sz w:val="21"/>
          <w:szCs w:val="21"/>
        </w:rPr>
        <w:t>项的要求在本表后附相关证明材料。</w:t>
      </w:r>
    </w:p>
    <w:p w14:paraId="506A7067">
      <w:pPr>
        <w:spacing w:before="63" w:line="220" w:lineRule="auto"/>
        <w:ind w:left="125"/>
        <w:rPr>
          <w:rFonts w:ascii="宋体" w:hAnsi="宋体" w:eastAsia="宋体" w:cs="宋体"/>
          <w:sz w:val="21"/>
          <w:szCs w:val="21"/>
        </w:rPr>
      </w:pPr>
      <w:r>
        <w:rPr>
          <w:rFonts w:ascii="宋体" w:hAnsi="宋体" w:eastAsia="宋体" w:cs="宋体"/>
          <w:spacing w:val="-2"/>
          <w:sz w:val="21"/>
          <w:szCs w:val="21"/>
        </w:rPr>
        <w:t>3.以联合体形式投标的，联合体各成员应分别填写。</w:t>
      </w:r>
    </w:p>
    <w:p w14:paraId="7CB16CD4">
      <w:pPr>
        <w:pStyle w:val="2"/>
        <w:spacing w:line="268" w:lineRule="auto"/>
      </w:pPr>
    </w:p>
    <w:p w14:paraId="4A3EDD0B">
      <w:pPr>
        <w:pStyle w:val="2"/>
        <w:spacing w:line="269" w:lineRule="auto"/>
      </w:pPr>
    </w:p>
    <w:p w14:paraId="0907E887">
      <w:pPr>
        <w:pStyle w:val="2"/>
        <w:spacing w:line="269" w:lineRule="auto"/>
      </w:pPr>
    </w:p>
    <w:p w14:paraId="2F948214">
      <w:pPr>
        <w:pStyle w:val="2"/>
        <w:spacing w:line="269" w:lineRule="auto"/>
      </w:pPr>
    </w:p>
    <w:p w14:paraId="0D981F09">
      <w:pPr>
        <w:pStyle w:val="2"/>
        <w:spacing w:line="269" w:lineRule="auto"/>
      </w:pPr>
    </w:p>
    <w:p w14:paraId="01E8897E">
      <w:pPr>
        <w:pStyle w:val="2"/>
        <w:spacing w:line="269" w:lineRule="auto"/>
      </w:pPr>
    </w:p>
    <w:p w14:paraId="3AA0A293">
      <w:pPr>
        <w:pStyle w:val="2"/>
        <w:spacing w:line="269" w:lineRule="auto"/>
      </w:pPr>
    </w:p>
    <w:p w14:paraId="74F9D8D1">
      <w:pPr>
        <w:spacing w:line="217" w:lineRule="auto"/>
        <w:rPr>
          <w:rFonts w:ascii="宋体" w:hAnsi="宋体" w:eastAsia="宋体" w:cs="宋体"/>
          <w:sz w:val="18"/>
          <w:szCs w:val="18"/>
        </w:rPr>
        <w:sectPr>
          <w:headerReference r:id="rId191" w:type="default"/>
          <w:footerReference r:id="rId192" w:type="default"/>
          <w:pgSz w:w="11905" w:h="16840"/>
          <w:pgMar w:top="1182" w:right="1303" w:bottom="1171" w:left="1303" w:header="849" w:footer="937" w:gutter="0"/>
          <w:pgNumType w:fmt="decimal"/>
          <w:cols w:space="720" w:num="1"/>
        </w:sectPr>
      </w:pPr>
    </w:p>
    <w:p w14:paraId="499EDE55">
      <w:pPr>
        <w:pStyle w:val="2"/>
        <w:spacing w:line="315" w:lineRule="auto"/>
      </w:pPr>
    </w:p>
    <w:p w14:paraId="71FF0EDF">
      <w:pPr>
        <w:spacing w:before="88" w:line="226" w:lineRule="auto"/>
        <w:ind w:left="1051"/>
        <w:rPr>
          <w:rFonts w:ascii="宋体" w:hAnsi="宋体" w:eastAsia="宋体" w:cs="宋体"/>
          <w:sz w:val="27"/>
          <w:szCs w:val="27"/>
        </w:rPr>
      </w:pPr>
      <w:r>
        <w:rPr>
          <w:rFonts w:ascii="宋体" w:hAnsi="宋体" w:eastAsia="宋体" w:cs="宋体"/>
          <w:b/>
          <w:bCs/>
          <w:spacing w:val="7"/>
          <w:sz w:val="27"/>
          <w:szCs w:val="27"/>
        </w:rPr>
        <w:t>（六）拟委任的项目经理和项目总工等主要管理人员情况表</w:t>
      </w:r>
    </w:p>
    <w:p w14:paraId="4192493C">
      <w:pPr>
        <w:spacing w:before="293" w:line="226" w:lineRule="auto"/>
        <w:ind w:left="875"/>
        <w:rPr>
          <w:rFonts w:ascii="宋体" w:hAnsi="宋体" w:eastAsia="宋体" w:cs="宋体"/>
          <w:sz w:val="27"/>
          <w:szCs w:val="27"/>
        </w:rPr>
      </w:pPr>
      <w:r>
        <w:rPr>
          <w:rFonts w:ascii="宋体" w:hAnsi="宋体" w:eastAsia="宋体" w:cs="宋体"/>
          <w:b/>
          <w:bCs/>
          <w:spacing w:val="7"/>
          <w:sz w:val="27"/>
          <w:szCs w:val="27"/>
        </w:rPr>
        <w:t>（六）-1</w:t>
      </w:r>
      <w:r>
        <w:rPr>
          <w:rFonts w:ascii="宋体" w:hAnsi="宋体" w:eastAsia="宋体" w:cs="宋体"/>
          <w:spacing w:val="-54"/>
          <w:sz w:val="27"/>
          <w:szCs w:val="27"/>
        </w:rPr>
        <w:t xml:space="preserve"> </w:t>
      </w:r>
      <w:r>
        <w:rPr>
          <w:rFonts w:ascii="宋体" w:hAnsi="宋体" w:eastAsia="宋体" w:cs="宋体"/>
          <w:b/>
          <w:bCs/>
          <w:spacing w:val="7"/>
          <w:sz w:val="27"/>
          <w:szCs w:val="27"/>
        </w:rPr>
        <w:t>拟委任的项目经理和项目总工等</w:t>
      </w:r>
      <w:r>
        <w:rPr>
          <w:rFonts w:ascii="宋体" w:hAnsi="宋体" w:eastAsia="宋体" w:cs="宋体"/>
          <w:b/>
          <w:bCs/>
          <w:spacing w:val="6"/>
          <w:sz w:val="27"/>
          <w:szCs w:val="27"/>
        </w:rPr>
        <w:t>主要管理人员汇总表</w:t>
      </w:r>
    </w:p>
    <w:p w14:paraId="0CD3154D">
      <w:pPr>
        <w:spacing w:before="37"/>
      </w:pPr>
    </w:p>
    <w:tbl>
      <w:tblPr>
        <w:tblStyle w:val="8"/>
        <w:tblW w:w="9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2"/>
        <w:gridCol w:w="945"/>
        <w:gridCol w:w="1484"/>
        <w:gridCol w:w="1259"/>
        <w:gridCol w:w="1515"/>
        <w:gridCol w:w="1582"/>
        <w:gridCol w:w="1181"/>
      </w:tblGrid>
      <w:tr w14:paraId="4846F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1392" w:type="dxa"/>
            <w:vAlign w:val="top"/>
          </w:tcPr>
          <w:p w14:paraId="28A4868A">
            <w:pPr>
              <w:spacing w:line="394" w:lineRule="auto"/>
              <w:rPr>
                <w:rFonts w:ascii="Arial"/>
                <w:sz w:val="21"/>
              </w:rPr>
            </w:pPr>
          </w:p>
          <w:p w14:paraId="76B9C767">
            <w:pPr>
              <w:pStyle w:val="9"/>
              <w:spacing w:before="69" w:line="220" w:lineRule="auto"/>
              <w:ind w:left="491"/>
            </w:pPr>
            <w:r>
              <w:rPr>
                <w:spacing w:val="-3"/>
              </w:rPr>
              <w:t>姓名</w:t>
            </w:r>
          </w:p>
        </w:tc>
        <w:tc>
          <w:tcPr>
            <w:tcW w:w="945" w:type="dxa"/>
            <w:vAlign w:val="top"/>
          </w:tcPr>
          <w:p w14:paraId="5112E5D2">
            <w:pPr>
              <w:spacing w:line="394" w:lineRule="auto"/>
              <w:rPr>
                <w:rFonts w:ascii="Arial"/>
                <w:sz w:val="21"/>
              </w:rPr>
            </w:pPr>
          </w:p>
          <w:p w14:paraId="1CAD9902">
            <w:pPr>
              <w:pStyle w:val="9"/>
              <w:spacing w:before="69" w:line="220" w:lineRule="auto"/>
              <w:ind w:left="266"/>
            </w:pPr>
            <w:r>
              <w:rPr>
                <w:spacing w:val="-3"/>
              </w:rPr>
              <w:t>年龄</w:t>
            </w:r>
          </w:p>
        </w:tc>
        <w:tc>
          <w:tcPr>
            <w:tcW w:w="1484" w:type="dxa"/>
            <w:vAlign w:val="top"/>
          </w:tcPr>
          <w:p w14:paraId="604D5952">
            <w:pPr>
              <w:spacing w:line="241" w:lineRule="auto"/>
              <w:rPr>
                <w:rFonts w:ascii="Arial"/>
                <w:sz w:val="21"/>
              </w:rPr>
            </w:pPr>
          </w:p>
          <w:p w14:paraId="5425A0D5">
            <w:pPr>
              <w:pStyle w:val="9"/>
              <w:spacing w:before="68" w:line="276" w:lineRule="auto"/>
              <w:ind w:left="221" w:right="110" w:hanging="105"/>
            </w:pPr>
            <w:r>
              <w:rPr>
                <w:spacing w:val="-2"/>
              </w:rPr>
              <w:t>拟在本项目中担任的职务</w:t>
            </w:r>
          </w:p>
        </w:tc>
        <w:tc>
          <w:tcPr>
            <w:tcW w:w="1259" w:type="dxa"/>
            <w:vAlign w:val="top"/>
          </w:tcPr>
          <w:p w14:paraId="3104BE70">
            <w:pPr>
              <w:spacing w:line="394" w:lineRule="auto"/>
              <w:rPr>
                <w:rFonts w:ascii="Arial"/>
                <w:sz w:val="21"/>
              </w:rPr>
            </w:pPr>
          </w:p>
          <w:p w14:paraId="107BEE2B">
            <w:pPr>
              <w:pStyle w:val="9"/>
              <w:spacing w:before="69" w:line="220" w:lineRule="auto"/>
              <w:ind w:left="216"/>
            </w:pPr>
            <w:r>
              <w:rPr>
                <w:spacing w:val="-2"/>
              </w:rPr>
              <w:t>技术职称</w:t>
            </w:r>
          </w:p>
        </w:tc>
        <w:tc>
          <w:tcPr>
            <w:tcW w:w="1515" w:type="dxa"/>
            <w:vAlign w:val="top"/>
          </w:tcPr>
          <w:p w14:paraId="0D68AE47">
            <w:pPr>
              <w:rPr>
                <w:rFonts w:ascii="Arial"/>
                <w:sz w:val="21"/>
              </w:rPr>
            </w:pPr>
          </w:p>
          <w:p w14:paraId="1BF88EB9">
            <w:pPr>
              <w:pStyle w:val="9"/>
              <w:spacing w:before="68" w:line="277" w:lineRule="auto"/>
              <w:ind w:left="447" w:right="124" w:hanging="311"/>
            </w:pPr>
            <w:r>
              <w:rPr>
                <w:spacing w:val="-2"/>
              </w:rPr>
              <w:t>建造师类别及注册号</w:t>
            </w:r>
          </w:p>
        </w:tc>
        <w:tc>
          <w:tcPr>
            <w:tcW w:w="1582" w:type="dxa"/>
            <w:vAlign w:val="top"/>
          </w:tcPr>
          <w:p w14:paraId="69324522">
            <w:pPr>
              <w:pStyle w:val="9"/>
              <w:spacing w:before="154" w:line="220" w:lineRule="auto"/>
              <w:ind w:left="175"/>
            </w:pPr>
            <w:r>
              <w:rPr>
                <w:spacing w:val="-3"/>
              </w:rPr>
              <w:t>累计对应岗位</w:t>
            </w:r>
          </w:p>
          <w:p w14:paraId="0F2B3E12">
            <w:pPr>
              <w:pStyle w:val="9"/>
              <w:spacing w:before="60" w:line="220" w:lineRule="auto"/>
              <w:ind w:left="289"/>
            </w:pPr>
            <w:r>
              <w:rPr>
                <w:spacing w:val="-5"/>
              </w:rPr>
              <w:t>的工作年限</w:t>
            </w:r>
          </w:p>
          <w:p w14:paraId="72329C9D">
            <w:pPr>
              <w:pStyle w:val="9"/>
              <w:spacing w:before="61" w:line="220" w:lineRule="auto"/>
              <w:ind w:left="487"/>
            </w:pPr>
            <w:r>
              <w:rPr>
                <w:spacing w:val="-7"/>
              </w:rPr>
              <w:t>（月）</w:t>
            </w:r>
          </w:p>
        </w:tc>
        <w:tc>
          <w:tcPr>
            <w:tcW w:w="1181" w:type="dxa"/>
            <w:vAlign w:val="top"/>
          </w:tcPr>
          <w:p w14:paraId="360E67A5">
            <w:pPr>
              <w:spacing w:line="395" w:lineRule="auto"/>
              <w:rPr>
                <w:rFonts w:ascii="Arial"/>
                <w:sz w:val="21"/>
              </w:rPr>
            </w:pPr>
          </w:p>
          <w:p w14:paraId="011F918C">
            <w:pPr>
              <w:pStyle w:val="9"/>
              <w:spacing w:before="68" w:line="221" w:lineRule="auto"/>
              <w:ind w:left="388"/>
            </w:pPr>
            <w:r>
              <w:rPr>
                <w:spacing w:val="-3"/>
              </w:rPr>
              <w:t>备注</w:t>
            </w:r>
          </w:p>
        </w:tc>
      </w:tr>
      <w:tr w14:paraId="3FA29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2" w:hRule="atLeast"/>
        </w:trPr>
        <w:tc>
          <w:tcPr>
            <w:tcW w:w="1392" w:type="dxa"/>
            <w:vAlign w:val="top"/>
          </w:tcPr>
          <w:p w14:paraId="133AAF22">
            <w:pPr>
              <w:rPr>
                <w:rFonts w:ascii="Arial"/>
                <w:sz w:val="21"/>
              </w:rPr>
            </w:pPr>
          </w:p>
        </w:tc>
        <w:tc>
          <w:tcPr>
            <w:tcW w:w="945" w:type="dxa"/>
            <w:vAlign w:val="top"/>
          </w:tcPr>
          <w:p w14:paraId="4CDA9AEA">
            <w:pPr>
              <w:rPr>
                <w:rFonts w:ascii="Arial"/>
                <w:sz w:val="21"/>
              </w:rPr>
            </w:pPr>
          </w:p>
        </w:tc>
        <w:tc>
          <w:tcPr>
            <w:tcW w:w="1484" w:type="dxa"/>
            <w:vAlign w:val="top"/>
          </w:tcPr>
          <w:p w14:paraId="4E779F11">
            <w:pPr>
              <w:rPr>
                <w:rFonts w:ascii="Arial"/>
                <w:sz w:val="21"/>
              </w:rPr>
            </w:pPr>
          </w:p>
        </w:tc>
        <w:tc>
          <w:tcPr>
            <w:tcW w:w="1259" w:type="dxa"/>
            <w:vAlign w:val="top"/>
          </w:tcPr>
          <w:p w14:paraId="24AC20CC">
            <w:pPr>
              <w:rPr>
                <w:rFonts w:ascii="Arial"/>
                <w:sz w:val="21"/>
              </w:rPr>
            </w:pPr>
          </w:p>
        </w:tc>
        <w:tc>
          <w:tcPr>
            <w:tcW w:w="1515" w:type="dxa"/>
            <w:vAlign w:val="top"/>
          </w:tcPr>
          <w:p w14:paraId="4781126A">
            <w:pPr>
              <w:rPr>
                <w:rFonts w:ascii="Arial"/>
                <w:sz w:val="21"/>
              </w:rPr>
            </w:pPr>
          </w:p>
        </w:tc>
        <w:tc>
          <w:tcPr>
            <w:tcW w:w="1582" w:type="dxa"/>
            <w:vAlign w:val="top"/>
          </w:tcPr>
          <w:p w14:paraId="29E96128">
            <w:pPr>
              <w:rPr>
                <w:rFonts w:ascii="Arial"/>
                <w:sz w:val="21"/>
              </w:rPr>
            </w:pPr>
          </w:p>
        </w:tc>
        <w:tc>
          <w:tcPr>
            <w:tcW w:w="1181" w:type="dxa"/>
            <w:vAlign w:val="top"/>
          </w:tcPr>
          <w:p w14:paraId="7FF9C098">
            <w:pPr>
              <w:rPr>
                <w:rFonts w:ascii="Arial"/>
                <w:sz w:val="21"/>
              </w:rPr>
            </w:pPr>
          </w:p>
        </w:tc>
      </w:tr>
      <w:tr w14:paraId="12F1C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392" w:type="dxa"/>
            <w:vAlign w:val="top"/>
          </w:tcPr>
          <w:p w14:paraId="5F567756">
            <w:pPr>
              <w:rPr>
                <w:rFonts w:ascii="Arial"/>
                <w:sz w:val="21"/>
              </w:rPr>
            </w:pPr>
          </w:p>
        </w:tc>
        <w:tc>
          <w:tcPr>
            <w:tcW w:w="945" w:type="dxa"/>
            <w:vAlign w:val="top"/>
          </w:tcPr>
          <w:p w14:paraId="4F4E2D3E">
            <w:pPr>
              <w:rPr>
                <w:rFonts w:ascii="Arial"/>
                <w:sz w:val="21"/>
              </w:rPr>
            </w:pPr>
          </w:p>
        </w:tc>
        <w:tc>
          <w:tcPr>
            <w:tcW w:w="1484" w:type="dxa"/>
            <w:vAlign w:val="top"/>
          </w:tcPr>
          <w:p w14:paraId="213EB2A8">
            <w:pPr>
              <w:rPr>
                <w:rFonts w:ascii="Arial"/>
                <w:sz w:val="21"/>
              </w:rPr>
            </w:pPr>
          </w:p>
        </w:tc>
        <w:tc>
          <w:tcPr>
            <w:tcW w:w="1259" w:type="dxa"/>
            <w:vAlign w:val="top"/>
          </w:tcPr>
          <w:p w14:paraId="595364E5">
            <w:pPr>
              <w:rPr>
                <w:rFonts w:ascii="Arial"/>
                <w:sz w:val="21"/>
              </w:rPr>
            </w:pPr>
          </w:p>
        </w:tc>
        <w:tc>
          <w:tcPr>
            <w:tcW w:w="1515" w:type="dxa"/>
            <w:vAlign w:val="top"/>
          </w:tcPr>
          <w:p w14:paraId="094C4540">
            <w:pPr>
              <w:rPr>
                <w:rFonts w:ascii="Arial"/>
                <w:sz w:val="21"/>
              </w:rPr>
            </w:pPr>
          </w:p>
        </w:tc>
        <w:tc>
          <w:tcPr>
            <w:tcW w:w="1582" w:type="dxa"/>
            <w:vAlign w:val="top"/>
          </w:tcPr>
          <w:p w14:paraId="7E718104">
            <w:pPr>
              <w:rPr>
                <w:rFonts w:ascii="Arial"/>
                <w:sz w:val="21"/>
              </w:rPr>
            </w:pPr>
          </w:p>
        </w:tc>
        <w:tc>
          <w:tcPr>
            <w:tcW w:w="1181" w:type="dxa"/>
            <w:vAlign w:val="top"/>
          </w:tcPr>
          <w:p w14:paraId="37752FC8">
            <w:pPr>
              <w:rPr>
                <w:rFonts w:ascii="Arial"/>
                <w:sz w:val="21"/>
              </w:rPr>
            </w:pPr>
          </w:p>
        </w:tc>
      </w:tr>
      <w:tr w14:paraId="6A5D4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392" w:type="dxa"/>
            <w:vAlign w:val="top"/>
          </w:tcPr>
          <w:p w14:paraId="742C913B">
            <w:pPr>
              <w:rPr>
                <w:rFonts w:ascii="Arial"/>
                <w:sz w:val="21"/>
              </w:rPr>
            </w:pPr>
          </w:p>
        </w:tc>
        <w:tc>
          <w:tcPr>
            <w:tcW w:w="945" w:type="dxa"/>
            <w:vAlign w:val="top"/>
          </w:tcPr>
          <w:p w14:paraId="491E98CE">
            <w:pPr>
              <w:rPr>
                <w:rFonts w:ascii="Arial"/>
                <w:sz w:val="21"/>
              </w:rPr>
            </w:pPr>
          </w:p>
        </w:tc>
        <w:tc>
          <w:tcPr>
            <w:tcW w:w="1484" w:type="dxa"/>
            <w:vAlign w:val="top"/>
          </w:tcPr>
          <w:p w14:paraId="433F0B8C">
            <w:pPr>
              <w:rPr>
                <w:rFonts w:ascii="Arial"/>
                <w:sz w:val="21"/>
              </w:rPr>
            </w:pPr>
          </w:p>
        </w:tc>
        <w:tc>
          <w:tcPr>
            <w:tcW w:w="1259" w:type="dxa"/>
            <w:vAlign w:val="top"/>
          </w:tcPr>
          <w:p w14:paraId="5DFC96E8">
            <w:pPr>
              <w:rPr>
                <w:rFonts w:ascii="Arial"/>
                <w:sz w:val="21"/>
              </w:rPr>
            </w:pPr>
          </w:p>
        </w:tc>
        <w:tc>
          <w:tcPr>
            <w:tcW w:w="1515" w:type="dxa"/>
            <w:vAlign w:val="top"/>
          </w:tcPr>
          <w:p w14:paraId="43A370B2">
            <w:pPr>
              <w:rPr>
                <w:rFonts w:ascii="Arial"/>
                <w:sz w:val="21"/>
              </w:rPr>
            </w:pPr>
          </w:p>
        </w:tc>
        <w:tc>
          <w:tcPr>
            <w:tcW w:w="1582" w:type="dxa"/>
            <w:vAlign w:val="top"/>
          </w:tcPr>
          <w:p w14:paraId="5115887A">
            <w:pPr>
              <w:rPr>
                <w:rFonts w:ascii="Arial"/>
                <w:sz w:val="21"/>
              </w:rPr>
            </w:pPr>
          </w:p>
        </w:tc>
        <w:tc>
          <w:tcPr>
            <w:tcW w:w="1181" w:type="dxa"/>
            <w:vAlign w:val="top"/>
          </w:tcPr>
          <w:p w14:paraId="2362FF44">
            <w:pPr>
              <w:rPr>
                <w:rFonts w:ascii="Arial"/>
                <w:sz w:val="21"/>
              </w:rPr>
            </w:pPr>
          </w:p>
        </w:tc>
      </w:tr>
      <w:tr w14:paraId="4E8A8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392" w:type="dxa"/>
            <w:vAlign w:val="top"/>
          </w:tcPr>
          <w:p w14:paraId="44EAFC0A">
            <w:pPr>
              <w:rPr>
                <w:rFonts w:ascii="Arial"/>
                <w:sz w:val="21"/>
              </w:rPr>
            </w:pPr>
          </w:p>
        </w:tc>
        <w:tc>
          <w:tcPr>
            <w:tcW w:w="945" w:type="dxa"/>
            <w:vAlign w:val="top"/>
          </w:tcPr>
          <w:p w14:paraId="13910F40">
            <w:pPr>
              <w:rPr>
                <w:rFonts w:ascii="Arial"/>
                <w:sz w:val="21"/>
              </w:rPr>
            </w:pPr>
          </w:p>
        </w:tc>
        <w:tc>
          <w:tcPr>
            <w:tcW w:w="1484" w:type="dxa"/>
            <w:vAlign w:val="top"/>
          </w:tcPr>
          <w:p w14:paraId="23935D15">
            <w:pPr>
              <w:rPr>
                <w:rFonts w:ascii="Arial"/>
                <w:sz w:val="21"/>
              </w:rPr>
            </w:pPr>
          </w:p>
        </w:tc>
        <w:tc>
          <w:tcPr>
            <w:tcW w:w="1259" w:type="dxa"/>
            <w:vAlign w:val="top"/>
          </w:tcPr>
          <w:p w14:paraId="2D9D609C">
            <w:pPr>
              <w:rPr>
                <w:rFonts w:ascii="Arial"/>
                <w:sz w:val="21"/>
              </w:rPr>
            </w:pPr>
          </w:p>
        </w:tc>
        <w:tc>
          <w:tcPr>
            <w:tcW w:w="1515" w:type="dxa"/>
            <w:vAlign w:val="top"/>
          </w:tcPr>
          <w:p w14:paraId="3DFD246D">
            <w:pPr>
              <w:rPr>
                <w:rFonts w:ascii="Arial"/>
                <w:sz w:val="21"/>
              </w:rPr>
            </w:pPr>
          </w:p>
        </w:tc>
        <w:tc>
          <w:tcPr>
            <w:tcW w:w="1582" w:type="dxa"/>
            <w:vAlign w:val="top"/>
          </w:tcPr>
          <w:p w14:paraId="2C06616A">
            <w:pPr>
              <w:rPr>
                <w:rFonts w:ascii="Arial"/>
                <w:sz w:val="21"/>
              </w:rPr>
            </w:pPr>
          </w:p>
        </w:tc>
        <w:tc>
          <w:tcPr>
            <w:tcW w:w="1181" w:type="dxa"/>
            <w:vAlign w:val="top"/>
          </w:tcPr>
          <w:p w14:paraId="5C5BCFC2">
            <w:pPr>
              <w:rPr>
                <w:rFonts w:ascii="Arial"/>
                <w:sz w:val="21"/>
              </w:rPr>
            </w:pPr>
          </w:p>
        </w:tc>
      </w:tr>
    </w:tbl>
    <w:p w14:paraId="54838252">
      <w:pPr>
        <w:pStyle w:val="2"/>
      </w:pPr>
    </w:p>
    <w:p w14:paraId="70288ADE">
      <w:pPr>
        <w:sectPr>
          <w:headerReference r:id="rId193" w:type="default"/>
          <w:footerReference r:id="rId194" w:type="default"/>
          <w:pgSz w:w="11905" w:h="16840"/>
          <w:pgMar w:top="1182" w:right="1270" w:bottom="1171" w:left="1270" w:header="849" w:footer="937" w:gutter="0"/>
          <w:pgNumType w:fmt="decimal"/>
          <w:cols w:space="720" w:num="1"/>
        </w:sectPr>
      </w:pPr>
    </w:p>
    <w:p w14:paraId="377F53D7">
      <w:pPr>
        <w:pStyle w:val="2"/>
        <w:spacing w:line="315" w:lineRule="auto"/>
      </w:pPr>
    </w:p>
    <w:p w14:paraId="266370D6">
      <w:pPr>
        <w:spacing w:before="88" w:line="226" w:lineRule="auto"/>
        <w:ind w:left="846"/>
        <w:rPr>
          <w:rFonts w:ascii="宋体" w:hAnsi="宋体" w:eastAsia="宋体" w:cs="宋体"/>
          <w:sz w:val="27"/>
          <w:szCs w:val="27"/>
        </w:rPr>
      </w:pPr>
      <w:r>
        <w:rPr>
          <w:rFonts w:ascii="宋体" w:hAnsi="宋体" w:eastAsia="宋体" w:cs="宋体"/>
          <w:b/>
          <w:bCs/>
          <w:spacing w:val="7"/>
          <w:sz w:val="27"/>
          <w:szCs w:val="27"/>
        </w:rPr>
        <w:t>（六）-2</w:t>
      </w:r>
      <w:r>
        <w:rPr>
          <w:rFonts w:ascii="宋体" w:hAnsi="宋体" w:eastAsia="宋体" w:cs="宋体"/>
          <w:spacing w:val="-54"/>
          <w:sz w:val="27"/>
          <w:szCs w:val="27"/>
        </w:rPr>
        <w:t xml:space="preserve"> </w:t>
      </w:r>
      <w:r>
        <w:rPr>
          <w:rFonts w:ascii="宋体" w:hAnsi="宋体" w:eastAsia="宋体" w:cs="宋体"/>
          <w:b/>
          <w:bCs/>
          <w:spacing w:val="7"/>
          <w:sz w:val="27"/>
          <w:szCs w:val="27"/>
        </w:rPr>
        <w:t>拟委任的项目经理和项目总工等</w:t>
      </w:r>
      <w:r>
        <w:rPr>
          <w:rFonts w:ascii="宋体" w:hAnsi="宋体" w:eastAsia="宋体" w:cs="宋体"/>
          <w:b/>
          <w:bCs/>
          <w:spacing w:val="6"/>
          <w:sz w:val="27"/>
          <w:szCs w:val="27"/>
        </w:rPr>
        <w:t>主要管理人员资历表</w:t>
      </w:r>
    </w:p>
    <w:p w14:paraId="271841CA">
      <w:pPr>
        <w:spacing w:before="37"/>
      </w:pPr>
    </w:p>
    <w:tbl>
      <w:tblPr>
        <w:tblStyle w:val="8"/>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1199"/>
        <w:gridCol w:w="1649"/>
        <w:gridCol w:w="1463"/>
        <w:gridCol w:w="1775"/>
        <w:gridCol w:w="1834"/>
      </w:tblGrid>
      <w:tr w14:paraId="1D22F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9" w:type="dxa"/>
            <w:vAlign w:val="top"/>
          </w:tcPr>
          <w:p w14:paraId="7D54DD42">
            <w:pPr>
              <w:pStyle w:val="9"/>
              <w:spacing w:before="225" w:line="220" w:lineRule="auto"/>
              <w:ind w:left="484"/>
            </w:pPr>
            <w:r>
              <w:rPr>
                <w:spacing w:val="-3"/>
              </w:rPr>
              <w:t>姓名</w:t>
            </w:r>
          </w:p>
        </w:tc>
        <w:tc>
          <w:tcPr>
            <w:tcW w:w="1199" w:type="dxa"/>
            <w:vAlign w:val="top"/>
          </w:tcPr>
          <w:p w14:paraId="496D4B24">
            <w:pPr>
              <w:rPr>
                <w:rFonts w:ascii="Arial"/>
                <w:sz w:val="21"/>
              </w:rPr>
            </w:pPr>
          </w:p>
        </w:tc>
        <w:tc>
          <w:tcPr>
            <w:tcW w:w="1649" w:type="dxa"/>
            <w:vAlign w:val="top"/>
          </w:tcPr>
          <w:p w14:paraId="240BCCD4">
            <w:pPr>
              <w:pStyle w:val="9"/>
              <w:spacing w:before="225" w:line="220" w:lineRule="auto"/>
              <w:ind w:left="620"/>
            </w:pPr>
            <w:r>
              <w:rPr>
                <w:spacing w:val="-3"/>
              </w:rPr>
              <w:t>年龄</w:t>
            </w:r>
          </w:p>
        </w:tc>
        <w:tc>
          <w:tcPr>
            <w:tcW w:w="1463" w:type="dxa"/>
            <w:vAlign w:val="top"/>
          </w:tcPr>
          <w:p w14:paraId="2F1BC344">
            <w:pPr>
              <w:rPr>
                <w:rFonts w:ascii="Arial"/>
                <w:sz w:val="21"/>
              </w:rPr>
            </w:pPr>
          </w:p>
        </w:tc>
        <w:tc>
          <w:tcPr>
            <w:tcW w:w="1775" w:type="dxa"/>
            <w:vAlign w:val="top"/>
          </w:tcPr>
          <w:p w14:paraId="157A85A6">
            <w:pPr>
              <w:pStyle w:val="9"/>
              <w:spacing w:before="226" w:line="220" w:lineRule="auto"/>
              <w:ind w:left="684"/>
            </w:pPr>
            <w:r>
              <w:rPr>
                <w:spacing w:val="-3"/>
              </w:rPr>
              <w:t>专业</w:t>
            </w:r>
          </w:p>
        </w:tc>
        <w:tc>
          <w:tcPr>
            <w:tcW w:w="1834" w:type="dxa"/>
            <w:vAlign w:val="top"/>
          </w:tcPr>
          <w:p w14:paraId="60CDD713">
            <w:pPr>
              <w:rPr>
                <w:rFonts w:ascii="Arial"/>
                <w:sz w:val="21"/>
              </w:rPr>
            </w:pPr>
          </w:p>
        </w:tc>
      </w:tr>
      <w:tr w14:paraId="0466F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284FCBFA">
            <w:pPr>
              <w:spacing w:line="267" w:lineRule="auto"/>
              <w:rPr>
                <w:rFonts w:ascii="Arial"/>
                <w:sz w:val="21"/>
              </w:rPr>
            </w:pPr>
          </w:p>
          <w:p w14:paraId="407A5894">
            <w:pPr>
              <w:pStyle w:val="9"/>
              <w:spacing w:before="68" w:line="220" w:lineRule="auto"/>
              <w:ind w:left="275"/>
            </w:pPr>
            <w:r>
              <w:rPr>
                <w:spacing w:val="-2"/>
              </w:rPr>
              <w:t>技术职称</w:t>
            </w:r>
          </w:p>
        </w:tc>
        <w:tc>
          <w:tcPr>
            <w:tcW w:w="1199" w:type="dxa"/>
            <w:vAlign w:val="top"/>
          </w:tcPr>
          <w:p w14:paraId="1698902B">
            <w:pPr>
              <w:rPr>
                <w:rFonts w:ascii="Arial"/>
                <w:sz w:val="21"/>
              </w:rPr>
            </w:pPr>
          </w:p>
        </w:tc>
        <w:tc>
          <w:tcPr>
            <w:tcW w:w="1649" w:type="dxa"/>
            <w:vAlign w:val="top"/>
          </w:tcPr>
          <w:p w14:paraId="63C266A2">
            <w:pPr>
              <w:spacing w:line="267" w:lineRule="auto"/>
              <w:rPr>
                <w:rFonts w:ascii="Arial"/>
                <w:sz w:val="21"/>
              </w:rPr>
            </w:pPr>
          </w:p>
          <w:p w14:paraId="5E673862">
            <w:pPr>
              <w:pStyle w:val="9"/>
              <w:spacing w:before="69" w:line="221" w:lineRule="auto"/>
              <w:ind w:left="623"/>
            </w:pPr>
            <w:r>
              <w:rPr>
                <w:spacing w:val="-4"/>
              </w:rPr>
              <w:t>学历</w:t>
            </w:r>
          </w:p>
        </w:tc>
        <w:tc>
          <w:tcPr>
            <w:tcW w:w="1463" w:type="dxa"/>
            <w:vAlign w:val="top"/>
          </w:tcPr>
          <w:p w14:paraId="3F9E7870">
            <w:pPr>
              <w:rPr>
                <w:rFonts w:ascii="Arial"/>
                <w:sz w:val="21"/>
              </w:rPr>
            </w:pPr>
          </w:p>
        </w:tc>
        <w:tc>
          <w:tcPr>
            <w:tcW w:w="1775" w:type="dxa"/>
            <w:vAlign w:val="top"/>
          </w:tcPr>
          <w:p w14:paraId="29DDE497">
            <w:pPr>
              <w:pStyle w:val="9"/>
              <w:spacing w:before="138" w:line="288" w:lineRule="auto"/>
              <w:ind w:left="475" w:right="358" w:hanging="106"/>
            </w:pPr>
            <w:r>
              <w:rPr>
                <w:spacing w:val="-2"/>
              </w:rPr>
              <w:t>拟在本标段</w:t>
            </w:r>
            <w:r>
              <w:rPr>
                <w:spacing w:val="-3"/>
              </w:rPr>
              <w:t>工程任职</w:t>
            </w:r>
          </w:p>
        </w:tc>
        <w:tc>
          <w:tcPr>
            <w:tcW w:w="1834" w:type="dxa"/>
            <w:vAlign w:val="top"/>
          </w:tcPr>
          <w:p w14:paraId="4036699F">
            <w:pPr>
              <w:rPr>
                <w:rFonts w:ascii="Arial"/>
                <w:sz w:val="21"/>
              </w:rPr>
            </w:pPr>
          </w:p>
        </w:tc>
      </w:tr>
      <w:tr w14:paraId="06F32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21CAC8D4">
            <w:pPr>
              <w:spacing w:line="268" w:lineRule="auto"/>
              <w:rPr>
                <w:rFonts w:ascii="Arial"/>
                <w:sz w:val="21"/>
              </w:rPr>
            </w:pPr>
          </w:p>
          <w:p w14:paraId="21F7647D">
            <w:pPr>
              <w:pStyle w:val="9"/>
              <w:spacing w:before="68" w:line="220" w:lineRule="auto"/>
              <w:ind w:left="276"/>
            </w:pPr>
            <w:r>
              <w:rPr>
                <w:spacing w:val="-3"/>
              </w:rPr>
              <w:t>工作年限</w:t>
            </w:r>
          </w:p>
        </w:tc>
        <w:tc>
          <w:tcPr>
            <w:tcW w:w="4311" w:type="dxa"/>
            <w:gridSpan w:val="3"/>
            <w:vAlign w:val="top"/>
          </w:tcPr>
          <w:p w14:paraId="6C69A646">
            <w:pPr>
              <w:rPr>
                <w:rFonts w:ascii="Arial"/>
                <w:sz w:val="21"/>
              </w:rPr>
            </w:pPr>
          </w:p>
        </w:tc>
        <w:tc>
          <w:tcPr>
            <w:tcW w:w="1775" w:type="dxa"/>
            <w:vAlign w:val="top"/>
          </w:tcPr>
          <w:p w14:paraId="0F3DB541">
            <w:pPr>
              <w:pStyle w:val="9"/>
              <w:spacing w:before="138" w:line="288" w:lineRule="auto"/>
              <w:ind w:left="683" w:right="254" w:hanging="420"/>
            </w:pPr>
            <w:r>
              <w:rPr>
                <w:spacing w:val="-2"/>
              </w:rPr>
              <w:t>类似施工经验</w:t>
            </w:r>
            <w:r>
              <w:rPr>
                <w:spacing w:val="-3"/>
              </w:rPr>
              <w:t>年限</w:t>
            </w:r>
          </w:p>
        </w:tc>
        <w:tc>
          <w:tcPr>
            <w:tcW w:w="1834" w:type="dxa"/>
            <w:vAlign w:val="top"/>
          </w:tcPr>
          <w:p w14:paraId="30F37594">
            <w:pPr>
              <w:rPr>
                <w:rFonts w:ascii="Arial"/>
                <w:sz w:val="21"/>
              </w:rPr>
            </w:pPr>
          </w:p>
        </w:tc>
      </w:tr>
      <w:tr w14:paraId="40EE1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1D904E4C">
            <w:pPr>
              <w:pStyle w:val="9"/>
              <w:spacing w:before="222" w:line="220" w:lineRule="auto"/>
              <w:ind w:left="278"/>
            </w:pPr>
            <w:r>
              <w:rPr>
                <w:spacing w:val="-3"/>
              </w:rPr>
              <w:t>毕业学校</w:t>
            </w:r>
          </w:p>
        </w:tc>
        <w:tc>
          <w:tcPr>
            <w:tcW w:w="7920" w:type="dxa"/>
            <w:gridSpan w:val="5"/>
            <w:vAlign w:val="top"/>
          </w:tcPr>
          <w:p w14:paraId="449B4F53">
            <w:pPr>
              <w:pStyle w:val="9"/>
              <w:tabs>
                <w:tab w:val="left" w:pos="1486"/>
              </w:tabs>
              <w:spacing w:before="222" w:line="220" w:lineRule="auto"/>
              <w:ind w:left="857"/>
            </w:pPr>
            <w:r>
              <w:rPr>
                <w:u w:val="single" w:color="auto"/>
              </w:rPr>
              <w:tab/>
            </w:r>
            <w:r>
              <w:rPr>
                <w:spacing w:val="-95"/>
              </w:rPr>
              <w:t xml:space="preserve"> </w:t>
            </w:r>
            <w:r>
              <w:rPr>
                <w:spacing w:val="-1"/>
              </w:rPr>
              <w:t>年</w:t>
            </w:r>
            <w:r>
              <w:rPr>
                <w:spacing w:val="-1"/>
                <w:u w:val="single" w:color="auto"/>
              </w:rPr>
              <w:t xml:space="preserve">   </w:t>
            </w:r>
            <w:r>
              <w:rPr>
                <w:spacing w:val="-92"/>
              </w:rPr>
              <w:t xml:space="preserve"> </w:t>
            </w:r>
            <w:r>
              <w:rPr>
                <w:spacing w:val="-1"/>
              </w:rPr>
              <w:t>月毕业于</w:t>
            </w:r>
            <w:r>
              <w:rPr>
                <w:spacing w:val="-1"/>
                <w:u w:val="single" w:color="auto"/>
              </w:rPr>
              <w:t xml:space="preserve">          </w:t>
            </w:r>
            <w:r>
              <w:rPr>
                <w:spacing w:val="-95"/>
              </w:rPr>
              <w:t xml:space="preserve"> </w:t>
            </w:r>
            <w:r>
              <w:rPr>
                <w:spacing w:val="-1"/>
              </w:rPr>
              <w:t>学校</w:t>
            </w:r>
            <w:r>
              <w:rPr>
                <w:spacing w:val="-1"/>
                <w:u w:val="single" w:color="auto"/>
              </w:rPr>
              <w:t xml:space="preserve">      </w:t>
            </w:r>
            <w:r>
              <w:rPr>
                <w:spacing w:val="-2"/>
                <w:u w:val="single" w:color="auto"/>
              </w:rPr>
              <w:t xml:space="preserve">  </w:t>
            </w:r>
            <w:r>
              <w:rPr>
                <w:spacing w:val="-97"/>
              </w:rPr>
              <w:t xml:space="preserve"> </w:t>
            </w:r>
            <w:r>
              <w:rPr>
                <w:spacing w:val="-2"/>
              </w:rPr>
              <w:t>专业，学制</w:t>
            </w:r>
            <w:r>
              <w:rPr>
                <w:u w:val="single" w:color="auto"/>
              </w:rPr>
              <w:t xml:space="preserve">      </w:t>
            </w:r>
            <w:r>
              <w:rPr>
                <w:spacing w:val="-96"/>
              </w:rPr>
              <w:t xml:space="preserve"> </w:t>
            </w:r>
            <w:r>
              <w:rPr>
                <w:spacing w:val="-2"/>
              </w:rPr>
              <w:t>年</w:t>
            </w:r>
          </w:p>
        </w:tc>
      </w:tr>
      <w:tr w14:paraId="5FE78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99" w:type="dxa"/>
            <w:gridSpan w:val="6"/>
            <w:vAlign w:val="top"/>
          </w:tcPr>
          <w:p w14:paraId="50B689D4">
            <w:pPr>
              <w:pStyle w:val="9"/>
              <w:spacing w:before="224" w:line="222" w:lineRule="auto"/>
              <w:ind w:left="4446"/>
            </w:pPr>
            <w:r>
              <w:rPr>
                <w:spacing w:val="-3"/>
              </w:rPr>
              <w:t>经历</w:t>
            </w:r>
          </w:p>
        </w:tc>
      </w:tr>
      <w:tr w14:paraId="11A91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46C40DF7">
            <w:pPr>
              <w:spacing w:line="269" w:lineRule="auto"/>
              <w:rPr>
                <w:rFonts w:ascii="Arial"/>
                <w:sz w:val="21"/>
              </w:rPr>
            </w:pPr>
          </w:p>
          <w:p w14:paraId="01B201EB">
            <w:pPr>
              <w:pStyle w:val="9"/>
              <w:spacing w:before="69" w:line="222" w:lineRule="auto"/>
              <w:ind w:left="494"/>
            </w:pPr>
            <w:r>
              <w:rPr>
                <w:spacing w:val="-5"/>
              </w:rPr>
              <w:t>时间</w:t>
            </w:r>
          </w:p>
        </w:tc>
        <w:tc>
          <w:tcPr>
            <w:tcW w:w="4311" w:type="dxa"/>
            <w:gridSpan w:val="3"/>
            <w:vAlign w:val="top"/>
          </w:tcPr>
          <w:p w14:paraId="497A1FE7">
            <w:pPr>
              <w:spacing w:line="269" w:lineRule="auto"/>
              <w:rPr>
                <w:rFonts w:ascii="Arial"/>
                <w:sz w:val="21"/>
              </w:rPr>
            </w:pPr>
          </w:p>
          <w:p w14:paraId="3C909409">
            <w:pPr>
              <w:pStyle w:val="9"/>
              <w:spacing w:before="69" w:line="220" w:lineRule="auto"/>
              <w:ind w:left="902"/>
            </w:pPr>
            <w:r>
              <w:rPr>
                <w:spacing w:val="-1"/>
              </w:rPr>
              <w:t>参加过的类似工程项目名称</w:t>
            </w:r>
          </w:p>
        </w:tc>
        <w:tc>
          <w:tcPr>
            <w:tcW w:w="1775" w:type="dxa"/>
            <w:vAlign w:val="top"/>
          </w:tcPr>
          <w:p w14:paraId="186EDE73">
            <w:pPr>
              <w:spacing w:line="269" w:lineRule="auto"/>
              <w:rPr>
                <w:rFonts w:ascii="Arial"/>
                <w:sz w:val="21"/>
              </w:rPr>
            </w:pPr>
          </w:p>
          <w:p w14:paraId="1CADEA8C">
            <w:pPr>
              <w:pStyle w:val="9"/>
              <w:spacing w:before="69" w:line="220" w:lineRule="auto"/>
              <w:ind w:left="474"/>
            </w:pPr>
            <w:r>
              <w:rPr>
                <w:spacing w:val="-2"/>
              </w:rPr>
              <w:t>担任职务</w:t>
            </w:r>
          </w:p>
        </w:tc>
        <w:tc>
          <w:tcPr>
            <w:tcW w:w="1834" w:type="dxa"/>
            <w:vAlign w:val="top"/>
          </w:tcPr>
          <w:p w14:paraId="2C431CC5">
            <w:pPr>
              <w:pStyle w:val="9"/>
              <w:spacing w:before="140" w:line="220" w:lineRule="auto"/>
              <w:ind w:left="505"/>
            </w:pPr>
            <w:r>
              <w:rPr>
                <w:spacing w:val="-3"/>
              </w:rPr>
              <w:t>发包人及</w:t>
            </w:r>
          </w:p>
          <w:p w14:paraId="2C007C10">
            <w:pPr>
              <w:pStyle w:val="9"/>
              <w:spacing w:before="149" w:line="222" w:lineRule="auto"/>
              <w:ind w:left="503"/>
            </w:pPr>
            <w:r>
              <w:rPr>
                <w:spacing w:val="-2"/>
              </w:rPr>
              <w:t>联系电话</w:t>
            </w:r>
          </w:p>
        </w:tc>
      </w:tr>
      <w:tr w14:paraId="4978E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01D2E27B">
            <w:pPr>
              <w:rPr>
                <w:rFonts w:ascii="Arial"/>
                <w:sz w:val="21"/>
              </w:rPr>
            </w:pPr>
          </w:p>
        </w:tc>
        <w:tc>
          <w:tcPr>
            <w:tcW w:w="4311" w:type="dxa"/>
            <w:gridSpan w:val="3"/>
            <w:vAlign w:val="top"/>
          </w:tcPr>
          <w:p w14:paraId="55094202">
            <w:pPr>
              <w:rPr>
                <w:rFonts w:ascii="Arial"/>
                <w:sz w:val="21"/>
              </w:rPr>
            </w:pPr>
          </w:p>
        </w:tc>
        <w:tc>
          <w:tcPr>
            <w:tcW w:w="1775" w:type="dxa"/>
            <w:vAlign w:val="top"/>
          </w:tcPr>
          <w:p w14:paraId="0E5B336A">
            <w:pPr>
              <w:rPr>
                <w:rFonts w:ascii="Arial"/>
                <w:sz w:val="21"/>
              </w:rPr>
            </w:pPr>
          </w:p>
        </w:tc>
        <w:tc>
          <w:tcPr>
            <w:tcW w:w="1834" w:type="dxa"/>
            <w:vAlign w:val="top"/>
          </w:tcPr>
          <w:p w14:paraId="06D789D5">
            <w:pPr>
              <w:rPr>
                <w:rFonts w:ascii="Arial"/>
                <w:sz w:val="21"/>
              </w:rPr>
            </w:pPr>
          </w:p>
        </w:tc>
      </w:tr>
      <w:tr w14:paraId="28596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79" w:type="dxa"/>
            <w:vAlign w:val="top"/>
          </w:tcPr>
          <w:p w14:paraId="57B4D030">
            <w:pPr>
              <w:rPr>
                <w:rFonts w:ascii="Arial"/>
                <w:sz w:val="21"/>
              </w:rPr>
            </w:pPr>
          </w:p>
        </w:tc>
        <w:tc>
          <w:tcPr>
            <w:tcW w:w="4311" w:type="dxa"/>
            <w:gridSpan w:val="3"/>
            <w:vAlign w:val="top"/>
          </w:tcPr>
          <w:p w14:paraId="65A34FA5">
            <w:pPr>
              <w:rPr>
                <w:rFonts w:ascii="Arial"/>
                <w:sz w:val="21"/>
              </w:rPr>
            </w:pPr>
          </w:p>
        </w:tc>
        <w:tc>
          <w:tcPr>
            <w:tcW w:w="1775" w:type="dxa"/>
            <w:vAlign w:val="top"/>
          </w:tcPr>
          <w:p w14:paraId="42B1CE26">
            <w:pPr>
              <w:rPr>
                <w:rFonts w:ascii="Arial"/>
                <w:sz w:val="21"/>
              </w:rPr>
            </w:pPr>
          </w:p>
        </w:tc>
        <w:tc>
          <w:tcPr>
            <w:tcW w:w="1834" w:type="dxa"/>
            <w:vAlign w:val="top"/>
          </w:tcPr>
          <w:p w14:paraId="21F4E8D3">
            <w:pPr>
              <w:rPr>
                <w:rFonts w:ascii="Arial"/>
                <w:sz w:val="21"/>
              </w:rPr>
            </w:pPr>
          </w:p>
        </w:tc>
      </w:tr>
      <w:tr w14:paraId="13A17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1F2EE310">
            <w:pPr>
              <w:rPr>
                <w:rFonts w:ascii="Arial"/>
                <w:sz w:val="21"/>
              </w:rPr>
            </w:pPr>
          </w:p>
        </w:tc>
        <w:tc>
          <w:tcPr>
            <w:tcW w:w="4311" w:type="dxa"/>
            <w:gridSpan w:val="3"/>
            <w:vAlign w:val="top"/>
          </w:tcPr>
          <w:p w14:paraId="1BF260D2">
            <w:pPr>
              <w:rPr>
                <w:rFonts w:ascii="Arial"/>
                <w:sz w:val="21"/>
              </w:rPr>
            </w:pPr>
          </w:p>
        </w:tc>
        <w:tc>
          <w:tcPr>
            <w:tcW w:w="1775" w:type="dxa"/>
            <w:vAlign w:val="top"/>
          </w:tcPr>
          <w:p w14:paraId="0D26A528">
            <w:pPr>
              <w:rPr>
                <w:rFonts w:ascii="Arial"/>
                <w:sz w:val="21"/>
              </w:rPr>
            </w:pPr>
          </w:p>
        </w:tc>
        <w:tc>
          <w:tcPr>
            <w:tcW w:w="1834" w:type="dxa"/>
            <w:vAlign w:val="top"/>
          </w:tcPr>
          <w:p w14:paraId="5D28DEE1">
            <w:pPr>
              <w:rPr>
                <w:rFonts w:ascii="Arial"/>
                <w:sz w:val="21"/>
              </w:rPr>
            </w:pPr>
          </w:p>
        </w:tc>
      </w:tr>
      <w:tr w14:paraId="62B11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657C4F08">
            <w:pPr>
              <w:rPr>
                <w:rFonts w:ascii="Arial"/>
                <w:sz w:val="21"/>
              </w:rPr>
            </w:pPr>
          </w:p>
        </w:tc>
        <w:tc>
          <w:tcPr>
            <w:tcW w:w="4311" w:type="dxa"/>
            <w:gridSpan w:val="3"/>
            <w:vAlign w:val="top"/>
          </w:tcPr>
          <w:p w14:paraId="2B098B2E">
            <w:pPr>
              <w:rPr>
                <w:rFonts w:ascii="Arial"/>
                <w:sz w:val="21"/>
              </w:rPr>
            </w:pPr>
          </w:p>
        </w:tc>
        <w:tc>
          <w:tcPr>
            <w:tcW w:w="1775" w:type="dxa"/>
            <w:vAlign w:val="top"/>
          </w:tcPr>
          <w:p w14:paraId="469F14D4">
            <w:pPr>
              <w:rPr>
                <w:rFonts w:ascii="Arial"/>
                <w:sz w:val="21"/>
              </w:rPr>
            </w:pPr>
          </w:p>
        </w:tc>
        <w:tc>
          <w:tcPr>
            <w:tcW w:w="1834" w:type="dxa"/>
            <w:vAlign w:val="top"/>
          </w:tcPr>
          <w:p w14:paraId="1FCE708F">
            <w:pPr>
              <w:rPr>
                <w:rFonts w:ascii="Arial"/>
                <w:sz w:val="21"/>
              </w:rPr>
            </w:pPr>
          </w:p>
        </w:tc>
      </w:tr>
      <w:tr w14:paraId="795BC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7BF2DB79">
            <w:pPr>
              <w:rPr>
                <w:rFonts w:ascii="Arial"/>
                <w:sz w:val="21"/>
              </w:rPr>
            </w:pPr>
          </w:p>
        </w:tc>
        <w:tc>
          <w:tcPr>
            <w:tcW w:w="4311" w:type="dxa"/>
            <w:gridSpan w:val="3"/>
            <w:vAlign w:val="top"/>
          </w:tcPr>
          <w:p w14:paraId="2902FA46">
            <w:pPr>
              <w:rPr>
                <w:rFonts w:ascii="Arial"/>
                <w:sz w:val="21"/>
              </w:rPr>
            </w:pPr>
          </w:p>
        </w:tc>
        <w:tc>
          <w:tcPr>
            <w:tcW w:w="1775" w:type="dxa"/>
            <w:vAlign w:val="top"/>
          </w:tcPr>
          <w:p w14:paraId="2CABFE8A">
            <w:pPr>
              <w:rPr>
                <w:rFonts w:ascii="Arial"/>
                <w:sz w:val="21"/>
              </w:rPr>
            </w:pPr>
          </w:p>
        </w:tc>
        <w:tc>
          <w:tcPr>
            <w:tcW w:w="1834" w:type="dxa"/>
            <w:vAlign w:val="top"/>
          </w:tcPr>
          <w:p w14:paraId="1CAF6038">
            <w:pPr>
              <w:rPr>
                <w:rFonts w:ascii="Arial"/>
                <w:sz w:val="21"/>
              </w:rPr>
            </w:pPr>
          </w:p>
        </w:tc>
      </w:tr>
      <w:tr w14:paraId="2C6F5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66B20CBD">
            <w:pPr>
              <w:rPr>
                <w:rFonts w:ascii="Arial"/>
                <w:sz w:val="21"/>
              </w:rPr>
            </w:pPr>
          </w:p>
        </w:tc>
        <w:tc>
          <w:tcPr>
            <w:tcW w:w="4311" w:type="dxa"/>
            <w:gridSpan w:val="3"/>
            <w:vAlign w:val="top"/>
          </w:tcPr>
          <w:p w14:paraId="38CCCF04">
            <w:pPr>
              <w:rPr>
                <w:rFonts w:ascii="Arial"/>
                <w:sz w:val="21"/>
              </w:rPr>
            </w:pPr>
          </w:p>
        </w:tc>
        <w:tc>
          <w:tcPr>
            <w:tcW w:w="1775" w:type="dxa"/>
            <w:vAlign w:val="top"/>
          </w:tcPr>
          <w:p w14:paraId="72E99E94">
            <w:pPr>
              <w:rPr>
                <w:rFonts w:ascii="Arial"/>
                <w:sz w:val="21"/>
              </w:rPr>
            </w:pPr>
          </w:p>
        </w:tc>
        <w:tc>
          <w:tcPr>
            <w:tcW w:w="1834" w:type="dxa"/>
            <w:vAlign w:val="top"/>
          </w:tcPr>
          <w:p w14:paraId="2F242E52">
            <w:pPr>
              <w:rPr>
                <w:rFonts w:ascii="Arial"/>
                <w:sz w:val="21"/>
              </w:rPr>
            </w:pPr>
          </w:p>
        </w:tc>
      </w:tr>
      <w:tr w14:paraId="1C49B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3DDB755D">
            <w:pPr>
              <w:rPr>
                <w:rFonts w:ascii="Arial"/>
                <w:sz w:val="21"/>
              </w:rPr>
            </w:pPr>
          </w:p>
        </w:tc>
        <w:tc>
          <w:tcPr>
            <w:tcW w:w="4311" w:type="dxa"/>
            <w:gridSpan w:val="3"/>
            <w:vAlign w:val="top"/>
          </w:tcPr>
          <w:p w14:paraId="09929543">
            <w:pPr>
              <w:rPr>
                <w:rFonts w:ascii="Arial"/>
                <w:sz w:val="21"/>
              </w:rPr>
            </w:pPr>
          </w:p>
        </w:tc>
        <w:tc>
          <w:tcPr>
            <w:tcW w:w="1775" w:type="dxa"/>
            <w:vAlign w:val="top"/>
          </w:tcPr>
          <w:p w14:paraId="50E2B006">
            <w:pPr>
              <w:rPr>
                <w:rFonts w:ascii="Arial"/>
                <w:sz w:val="21"/>
              </w:rPr>
            </w:pPr>
          </w:p>
        </w:tc>
        <w:tc>
          <w:tcPr>
            <w:tcW w:w="1834" w:type="dxa"/>
            <w:vAlign w:val="top"/>
          </w:tcPr>
          <w:p w14:paraId="1A908F0C">
            <w:pPr>
              <w:rPr>
                <w:rFonts w:ascii="Arial"/>
                <w:sz w:val="21"/>
              </w:rPr>
            </w:pPr>
          </w:p>
        </w:tc>
      </w:tr>
      <w:tr w14:paraId="29988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79" w:type="dxa"/>
            <w:vAlign w:val="top"/>
          </w:tcPr>
          <w:p w14:paraId="234E8916">
            <w:pPr>
              <w:rPr>
                <w:rFonts w:ascii="Arial"/>
                <w:sz w:val="21"/>
              </w:rPr>
            </w:pPr>
          </w:p>
        </w:tc>
        <w:tc>
          <w:tcPr>
            <w:tcW w:w="4311" w:type="dxa"/>
            <w:gridSpan w:val="3"/>
            <w:vAlign w:val="top"/>
          </w:tcPr>
          <w:p w14:paraId="0C9B176A">
            <w:pPr>
              <w:rPr>
                <w:rFonts w:ascii="Arial"/>
                <w:sz w:val="21"/>
              </w:rPr>
            </w:pPr>
          </w:p>
        </w:tc>
        <w:tc>
          <w:tcPr>
            <w:tcW w:w="1775" w:type="dxa"/>
            <w:vAlign w:val="top"/>
          </w:tcPr>
          <w:p w14:paraId="6DC5C2F1">
            <w:pPr>
              <w:rPr>
                <w:rFonts w:ascii="Arial"/>
                <w:sz w:val="21"/>
              </w:rPr>
            </w:pPr>
          </w:p>
        </w:tc>
        <w:tc>
          <w:tcPr>
            <w:tcW w:w="1834" w:type="dxa"/>
            <w:vAlign w:val="top"/>
          </w:tcPr>
          <w:p w14:paraId="1D875CB4">
            <w:pPr>
              <w:rPr>
                <w:rFonts w:ascii="Arial"/>
                <w:sz w:val="21"/>
              </w:rPr>
            </w:pPr>
          </w:p>
        </w:tc>
      </w:tr>
      <w:tr w14:paraId="4B4E7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578" w:type="dxa"/>
            <w:gridSpan w:val="2"/>
            <w:vAlign w:val="top"/>
          </w:tcPr>
          <w:p w14:paraId="50BAB94B">
            <w:pPr>
              <w:pStyle w:val="9"/>
              <w:spacing w:before="225" w:line="220" w:lineRule="auto"/>
              <w:ind w:left="877"/>
            </w:pPr>
            <w:r>
              <w:rPr>
                <w:spacing w:val="-3"/>
              </w:rPr>
              <w:t>获奖情况</w:t>
            </w:r>
          </w:p>
        </w:tc>
        <w:tc>
          <w:tcPr>
            <w:tcW w:w="6721" w:type="dxa"/>
            <w:gridSpan w:val="4"/>
            <w:vAlign w:val="top"/>
          </w:tcPr>
          <w:p w14:paraId="56546666">
            <w:pPr>
              <w:rPr>
                <w:rFonts w:ascii="Arial"/>
                <w:sz w:val="21"/>
              </w:rPr>
            </w:pPr>
          </w:p>
        </w:tc>
      </w:tr>
      <w:tr w14:paraId="37781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9299" w:type="dxa"/>
            <w:gridSpan w:val="6"/>
            <w:vAlign w:val="top"/>
          </w:tcPr>
          <w:p w14:paraId="093308D3">
            <w:pPr>
              <w:spacing w:line="402" w:lineRule="auto"/>
              <w:rPr>
                <w:rFonts w:ascii="Arial"/>
                <w:sz w:val="21"/>
              </w:rPr>
            </w:pPr>
          </w:p>
          <w:p w14:paraId="62155386">
            <w:pPr>
              <w:pStyle w:val="9"/>
              <w:spacing w:before="68" w:line="219" w:lineRule="auto"/>
              <w:ind w:left="116"/>
            </w:pPr>
            <w:r>
              <w:rPr>
                <w:spacing w:val="-5"/>
              </w:rPr>
              <w:t>本人</w:t>
            </w:r>
            <w:r>
              <w:rPr>
                <w:spacing w:val="-5"/>
                <w:u w:val="single" w:color="auto"/>
              </w:rPr>
              <w:t xml:space="preserve">        </w:t>
            </w:r>
            <w:r>
              <w:rPr>
                <w:spacing w:val="-5"/>
              </w:rPr>
              <w:t>（签字）知晓自己为本项目的</w:t>
            </w:r>
            <w:r>
              <w:rPr>
                <w:spacing w:val="6"/>
                <w:u w:val="single" w:color="auto"/>
              </w:rPr>
              <w:t xml:space="preserve">       </w:t>
            </w:r>
            <w:r>
              <w:rPr>
                <w:rFonts w:hint="eastAsia"/>
                <w:spacing w:val="6"/>
                <w:u w:val="single" w:color="auto"/>
                <w:lang w:eastAsia="zh-CN"/>
              </w:rPr>
              <w:t>（</w:t>
            </w:r>
            <w:r>
              <w:rPr>
                <w:spacing w:val="-5"/>
              </w:rPr>
              <w:t>填写项目经理或项目</w:t>
            </w:r>
            <w:r>
              <w:rPr>
                <w:spacing w:val="-6"/>
              </w:rPr>
              <w:t>总工</w:t>
            </w:r>
            <w:r>
              <w:rPr>
                <w:rFonts w:hint="eastAsia"/>
                <w:spacing w:val="-6"/>
                <w:lang w:eastAsia="zh-CN"/>
              </w:rPr>
              <w:t>）</w:t>
            </w:r>
            <w:r>
              <w:rPr>
                <w:spacing w:val="-6"/>
              </w:rPr>
              <w:t>，并对其真实性负责。</w:t>
            </w:r>
          </w:p>
        </w:tc>
      </w:tr>
      <w:tr w14:paraId="0D390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2578" w:type="dxa"/>
            <w:gridSpan w:val="2"/>
            <w:vAlign w:val="top"/>
          </w:tcPr>
          <w:p w14:paraId="25789D0A">
            <w:pPr>
              <w:pStyle w:val="9"/>
              <w:spacing w:before="226" w:line="221" w:lineRule="auto"/>
              <w:ind w:left="1086"/>
            </w:pPr>
            <w:r>
              <w:rPr>
                <w:spacing w:val="-3"/>
              </w:rPr>
              <w:t>备注</w:t>
            </w:r>
          </w:p>
        </w:tc>
        <w:tc>
          <w:tcPr>
            <w:tcW w:w="6721" w:type="dxa"/>
            <w:gridSpan w:val="4"/>
            <w:vAlign w:val="top"/>
          </w:tcPr>
          <w:p w14:paraId="0EFEC70A">
            <w:pPr>
              <w:rPr>
                <w:rFonts w:ascii="Arial"/>
                <w:sz w:val="21"/>
              </w:rPr>
            </w:pPr>
          </w:p>
        </w:tc>
      </w:tr>
    </w:tbl>
    <w:p w14:paraId="394B85BF">
      <w:pPr>
        <w:spacing w:before="48" w:line="224" w:lineRule="auto"/>
        <w:ind w:left="124"/>
        <w:rPr>
          <w:rFonts w:ascii="宋体" w:hAnsi="宋体" w:eastAsia="宋体" w:cs="宋体"/>
          <w:sz w:val="21"/>
          <w:szCs w:val="21"/>
        </w:rPr>
      </w:pPr>
      <w:r>
        <w:rPr>
          <w:rFonts w:ascii="宋体" w:hAnsi="宋体" w:eastAsia="宋体" w:cs="宋体"/>
          <w:spacing w:val="-15"/>
          <w:sz w:val="21"/>
          <w:szCs w:val="21"/>
        </w:rPr>
        <w:t>注：</w:t>
      </w:r>
    </w:p>
    <w:p w14:paraId="172133E5">
      <w:pPr>
        <w:spacing w:before="58" w:line="274" w:lineRule="auto"/>
        <w:ind w:left="125" w:right="38" w:firstLine="14"/>
        <w:rPr>
          <w:rFonts w:ascii="宋体" w:hAnsi="宋体" w:eastAsia="宋体" w:cs="宋体"/>
          <w:sz w:val="21"/>
          <w:szCs w:val="21"/>
        </w:rPr>
      </w:pPr>
      <w:r>
        <w:rPr>
          <w:rFonts w:ascii="宋体" w:hAnsi="宋体" w:eastAsia="宋体" w:cs="宋体"/>
          <w:spacing w:val="-7"/>
          <w:sz w:val="21"/>
          <w:szCs w:val="21"/>
        </w:rPr>
        <w:t>1.本表应填写项目经理</w:t>
      </w:r>
      <w:r>
        <w:rPr>
          <w:rFonts w:ascii="宋体" w:hAnsi="宋体" w:eastAsia="宋体" w:cs="宋体"/>
          <w:spacing w:val="-7"/>
          <w:sz w:val="21"/>
          <w:szCs w:val="21"/>
          <w:u w:val="single" w:color="auto"/>
        </w:rPr>
        <w:t>（以及备选人，如有）</w:t>
      </w:r>
      <w:r>
        <w:rPr>
          <w:rFonts w:ascii="宋体" w:hAnsi="宋体" w:eastAsia="宋体" w:cs="宋体"/>
          <w:spacing w:val="-7"/>
          <w:sz w:val="21"/>
          <w:szCs w:val="21"/>
        </w:rPr>
        <w:t>、项目总工</w:t>
      </w:r>
      <w:r>
        <w:rPr>
          <w:rFonts w:ascii="宋体" w:hAnsi="宋体" w:eastAsia="宋体" w:cs="宋体"/>
          <w:spacing w:val="-7"/>
          <w:sz w:val="21"/>
          <w:szCs w:val="21"/>
          <w:u w:val="single" w:color="auto"/>
        </w:rPr>
        <w:t>（以及备选人，如有）、安全总监（</w:t>
      </w:r>
      <w:r>
        <w:rPr>
          <w:rFonts w:ascii="宋体" w:hAnsi="宋体" w:eastAsia="宋体" w:cs="宋体"/>
          <w:spacing w:val="-8"/>
          <w:sz w:val="21"/>
          <w:szCs w:val="21"/>
          <w:u w:val="single" w:color="auto"/>
        </w:rPr>
        <w:t>如有）、</w:t>
      </w:r>
      <w:r>
        <w:rPr>
          <w:rFonts w:ascii="宋体" w:hAnsi="宋体" w:eastAsia="宋体" w:cs="宋体"/>
          <w:spacing w:val="-3"/>
          <w:sz w:val="21"/>
          <w:szCs w:val="21"/>
          <w:u w:val="single" w:color="auto"/>
        </w:rPr>
        <w:t>质量总监（如有）</w:t>
      </w:r>
      <w:r>
        <w:rPr>
          <w:rFonts w:ascii="宋体" w:hAnsi="宋体" w:eastAsia="宋体" w:cs="宋体"/>
          <w:spacing w:val="-3"/>
          <w:sz w:val="21"/>
          <w:szCs w:val="21"/>
        </w:rPr>
        <w:t>相关情况。</w:t>
      </w:r>
    </w:p>
    <w:p w14:paraId="54DFD3D1">
      <w:pPr>
        <w:keepNext w:val="0"/>
        <w:keepLines w:val="0"/>
        <w:widowControl/>
        <w:suppressLineNumbers w:val="0"/>
        <w:jc w:val="center"/>
        <w:rPr>
          <w:rFonts w:ascii="宋体" w:hAnsi="宋体" w:eastAsia="宋体" w:cs="宋体"/>
          <w:spacing w:val="-2"/>
          <w:sz w:val="21"/>
          <w:szCs w:val="21"/>
        </w:rPr>
      </w:pPr>
      <w:r>
        <w:rPr>
          <w:rFonts w:ascii="宋体" w:hAnsi="宋体" w:eastAsia="宋体" w:cs="宋体"/>
          <w:spacing w:val="-1"/>
          <w:sz w:val="21"/>
          <w:szCs w:val="21"/>
        </w:rPr>
        <w:t>2.投标人应根据招标文件第二章“投标人须知”第</w:t>
      </w:r>
      <w:r>
        <w:rPr>
          <w:rFonts w:ascii="宋体" w:hAnsi="宋体" w:eastAsia="宋体" w:cs="宋体"/>
          <w:spacing w:val="-41"/>
          <w:sz w:val="21"/>
          <w:szCs w:val="21"/>
        </w:rPr>
        <w:t xml:space="preserve"> </w:t>
      </w:r>
      <w:r>
        <w:rPr>
          <w:rFonts w:ascii="宋体" w:hAnsi="宋体" w:eastAsia="宋体" w:cs="宋体"/>
          <w:spacing w:val="-1"/>
          <w:sz w:val="21"/>
          <w:szCs w:val="21"/>
        </w:rPr>
        <w:t>3</w:t>
      </w:r>
      <w:r>
        <w:rPr>
          <w:rFonts w:ascii="宋体" w:hAnsi="宋体" w:eastAsia="宋体" w:cs="宋体"/>
          <w:spacing w:val="-2"/>
          <w:sz w:val="21"/>
          <w:szCs w:val="21"/>
        </w:rPr>
        <w:t>.5.5</w:t>
      </w:r>
      <w:r>
        <w:rPr>
          <w:rFonts w:ascii="宋体" w:hAnsi="宋体" w:eastAsia="宋体" w:cs="宋体"/>
          <w:spacing w:val="-40"/>
          <w:sz w:val="21"/>
          <w:szCs w:val="21"/>
        </w:rPr>
        <w:t xml:space="preserve"> </w:t>
      </w:r>
      <w:r>
        <w:rPr>
          <w:rFonts w:ascii="宋体" w:hAnsi="宋体" w:eastAsia="宋体" w:cs="宋体"/>
          <w:spacing w:val="-2"/>
          <w:sz w:val="21"/>
          <w:szCs w:val="21"/>
        </w:rPr>
        <w:t>项的要求在本表后附相关证明材料。</w:t>
      </w:r>
    </w:p>
    <w:p w14:paraId="09645EE2">
      <w:pPr>
        <w:pStyle w:val="2"/>
      </w:pPr>
    </w:p>
    <w:p w14:paraId="5A448058">
      <w:pPr>
        <w:sectPr>
          <w:headerReference r:id="rId195" w:type="default"/>
          <w:footerReference r:id="rId196" w:type="default"/>
          <w:pgSz w:w="11905" w:h="16840"/>
          <w:pgMar w:top="1182" w:right="1270" w:bottom="1171" w:left="1270" w:header="849" w:footer="937" w:gutter="0"/>
          <w:pgNumType w:fmt="decimal"/>
          <w:cols w:space="720" w:num="1"/>
        </w:sectPr>
      </w:pPr>
    </w:p>
    <w:p w14:paraId="6D63BD25">
      <w:pPr>
        <w:keepNext w:val="0"/>
        <w:keepLines w:val="0"/>
        <w:widowControl/>
        <w:suppressLineNumbers w:val="0"/>
        <w:jc w:val="center"/>
      </w:pPr>
      <w:r>
        <w:rPr>
          <w:rFonts w:hint="eastAsia" w:ascii="宋体" w:hAnsi="宋体" w:eastAsia="宋体" w:cs="宋体"/>
          <w:b/>
          <w:bCs/>
          <w:snapToGrid w:val="0"/>
          <w:color w:val="000000"/>
          <w:kern w:val="0"/>
          <w:sz w:val="24"/>
          <w:szCs w:val="24"/>
          <w:lang w:val="en-US" w:eastAsia="zh-CN" w:bidi="ar"/>
        </w:rPr>
        <w:t>（六）-3 拟委任的项目经理和项目总工签名确认表</w:t>
      </w:r>
    </w:p>
    <w:p w14:paraId="11CB8768">
      <w:pPr>
        <w:keepNext w:val="0"/>
        <w:keepLines w:val="0"/>
        <w:widowControl/>
        <w:suppressLineNumbers w:val="0"/>
        <w:spacing w:line="360" w:lineRule="auto"/>
        <w:ind w:firstLine="400" w:firstLineChars="200"/>
        <w:jc w:val="left"/>
        <w:rPr>
          <w:rFonts w:hint="eastAsia" w:ascii="宋体" w:hAnsi="宋体" w:eastAsia="宋体" w:cs="宋体"/>
          <w:snapToGrid w:val="0"/>
          <w:color w:val="000000"/>
          <w:kern w:val="0"/>
          <w:sz w:val="20"/>
          <w:szCs w:val="20"/>
          <w:lang w:val="en-US" w:eastAsia="zh-CN" w:bidi="ar"/>
        </w:rPr>
      </w:pPr>
    </w:p>
    <w:p w14:paraId="73377F30">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snapToGrid w:val="0"/>
          <w:color w:val="000000"/>
          <w:kern w:val="0"/>
          <w:sz w:val="24"/>
          <w:szCs w:val="24"/>
          <w:lang w:val="en-US" w:eastAsia="zh-CN" w:bidi="ar"/>
        </w:rPr>
        <w:t>本人姓名：</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，性别：</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  ，身份证证号：</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，已认真阅读</w:t>
      </w:r>
      <w:r>
        <w:rPr>
          <w:rFonts w:hint="eastAsia" w:ascii="宋体" w:hAnsi="宋体" w:eastAsia="宋体" w:cs="宋体"/>
          <w:b/>
          <w:bCs/>
          <w:snapToGrid w:val="0"/>
          <w:color w:val="000000"/>
          <w:kern w:val="0"/>
          <w:sz w:val="24"/>
          <w:szCs w:val="24"/>
          <w:u w:val="single"/>
          <w:lang w:val="en-US" w:eastAsia="zh-CN" w:bidi="ar"/>
        </w:rPr>
        <w:t>云安区白石镇X491线白石街至东星四升三改建工程施工</w:t>
      </w:r>
      <w:r>
        <w:rPr>
          <w:rFonts w:hint="eastAsia" w:ascii="宋体" w:hAnsi="宋体" w:eastAsia="宋体" w:cs="宋体"/>
          <w:snapToGrid w:val="0"/>
          <w:color w:val="000000"/>
          <w:kern w:val="0"/>
          <w:sz w:val="24"/>
          <w:szCs w:val="24"/>
          <w:lang w:val="en-US" w:eastAsia="zh-CN" w:bidi="ar"/>
        </w:rPr>
        <w:t>招标文件的投标须知、合同条款、工程建设标准及其他有关文件， 愿意在合法合规的前提下，担任本项目</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b/>
          <w:bCs/>
          <w:snapToGrid w:val="0"/>
          <w:color w:val="000000"/>
          <w:kern w:val="0"/>
          <w:sz w:val="24"/>
          <w:szCs w:val="24"/>
          <w:u w:val="single"/>
          <w:lang w:val="en-US" w:eastAsia="zh-CN" w:bidi="ar"/>
        </w:rPr>
        <w:t xml:space="preserve">项目经理 </w:t>
      </w:r>
      <w:r>
        <w:rPr>
          <w:rFonts w:hint="eastAsia" w:ascii="宋体" w:hAnsi="宋体" w:eastAsia="宋体" w:cs="宋体"/>
          <w:snapToGrid w:val="0"/>
          <w:color w:val="000000"/>
          <w:kern w:val="0"/>
          <w:sz w:val="24"/>
          <w:szCs w:val="24"/>
          <w:lang w:val="en-US" w:eastAsia="zh-CN" w:bidi="ar"/>
        </w:rPr>
        <w:t xml:space="preserve">一职，并承担相应的责任。 </w:t>
      </w:r>
    </w:p>
    <w:p w14:paraId="03F5C798">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snapToGrid w:val="0"/>
          <w:color w:val="000000"/>
          <w:kern w:val="0"/>
          <w:sz w:val="24"/>
          <w:szCs w:val="24"/>
          <w:lang w:val="en-US" w:eastAsia="zh-CN" w:bidi="ar"/>
        </w:rPr>
        <w:t>本人姓名：</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，性别：</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 ，身份证证号：</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 ，已认真阅读</w:t>
      </w:r>
      <w:r>
        <w:rPr>
          <w:rFonts w:hint="eastAsia" w:ascii="宋体" w:hAnsi="宋体" w:eastAsia="宋体" w:cs="宋体"/>
          <w:b/>
          <w:bCs/>
          <w:snapToGrid w:val="0"/>
          <w:color w:val="000000"/>
          <w:kern w:val="0"/>
          <w:sz w:val="24"/>
          <w:szCs w:val="24"/>
          <w:u w:val="single"/>
          <w:lang w:val="en-US" w:eastAsia="zh-CN" w:bidi="ar"/>
        </w:rPr>
        <w:t>云安区白石镇X491线白石街至东星四升三改建工程施工</w:t>
      </w:r>
      <w:r>
        <w:rPr>
          <w:rFonts w:hint="eastAsia" w:ascii="宋体" w:hAnsi="宋体" w:eastAsia="宋体" w:cs="宋体"/>
          <w:snapToGrid w:val="0"/>
          <w:color w:val="000000"/>
          <w:kern w:val="0"/>
          <w:sz w:val="24"/>
          <w:szCs w:val="24"/>
          <w:lang w:val="en-US" w:eastAsia="zh-CN" w:bidi="ar"/>
        </w:rPr>
        <w:t>招标文件的投标须知、合同条款、工程建设标准及其他有关文件，愿意在合法合规的前提下，担任本项目</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b/>
          <w:bCs/>
          <w:snapToGrid w:val="0"/>
          <w:color w:val="000000"/>
          <w:kern w:val="0"/>
          <w:sz w:val="24"/>
          <w:szCs w:val="24"/>
          <w:u w:val="single"/>
          <w:lang w:val="en-US" w:eastAsia="zh-CN" w:bidi="ar"/>
        </w:rPr>
        <w:t xml:space="preserve">项目总工 </w:t>
      </w:r>
      <w:r>
        <w:rPr>
          <w:rFonts w:hint="eastAsia" w:ascii="宋体" w:hAnsi="宋体" w:eastAsia="宋体" w:cs="宋体"/>
          <w:snapToGrid w:val="0"/>
          <w:color w:val="000000"/>
          <w:kern w:val="0"/>
          <w:sz w:val="24"/>
          <w:szCs w:val="24"/>
          <w:lang w:val="en-US" w:eastAsia="zh-CN" w:bidi="ar"/>
        </w:rPr>
        <w:t xml:space="preserve">一职，并承担相应的责任。 </w:t>
      </w:r>
    </w:p>
    <w:p w14:paraId="2A551074">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snapToGrid w:val="0"/>
          <w:color w:val="000000"/>
          <w:kern w:val="0"/>
          <w:sz w:val="24"/>
          <w:szCs w:val="24"/>
          <w:lang w:val="en-US" w:eastAsia="zh-CN" w:bidi="ar"/>
        </w:rPr>
        <w:t xml:space="preserve">特此说明！ </w:t>
      </w:r>
    </w:p>
    <w:p w14:paraId="1BE55E30">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115C5DFB">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67F8AF8E">
      <w:pPr>
        <w:keepNext w:val="0"/>
        <w:keepLines w:val="0"/>
        <w:widowControl/>
        <w:suppressLineNumbers w:val="0"/>
        <w:spacing w:line="360" w:lineRule="auto"/>
        <w:jc w:val="left"/>
        <w:rPr>
          <w:sz w:val="24"/>
          <w:szCs w:val="24"/>
        </w:rPr>
      </w:pPr>
      <w:r>
        <w:rPr>
          <w:rFonts w:hint="eastAsia" w:ascii="宋体" w:hAnsi="宋体" w:eastAsia="宋体" w:cs="宋体"/>
          <w:snapToGrid w:val="0"/>
          <w:color w:val="000000"/>
          <w:kern w:val="0"/>
          <w:sz w:val="24"/>
          <w:szCs w:val="24"/>
          <w:lang w:val="en-US" w:eastAsia="zh-CN" w:bidi="ar"/>
        </w:rPr>
        <w:t xml:space="preserve">投标人： </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（盖公章） </w:t>
      </w:r>
    </w:p>
    <w:p w14:paraId="401CA5A0">
      <w:pPr>
        <w:keepNext w:val="0"/>
        <w:keepLines w:val="0"/>
        <w:widowControl/>
        <w:suppressLineNumbers w:val="0"/>
        <w:spacing w:line="360" w:lineRule="auto"/>
        <w:jc w:val="left"/>
        <w:rPr>
          <w:sz w:val="24"/>
          <w:szCs w:val="24"/>
        </w:rPr>
      </w:pPr>
      <w:r>
        <w:rPr>
          <w:rFonts w:hint="eastAsia" w:ascii="宋体" w:hAnsi="宋体" w:eastAsia="宋体" w:cs="宋体"/>
          <w:snapToGrid w:val="0"/>
          <w:color w:val="000000"/>
          <w:kern w:val="0"/>
          <w:sz w:val="24"/>
          <w:szCs w:val="24"/>
          <w:lang w:val="en-US" w:eastAsia="zh-CN" w:bidi="ar"/>
        </w:rPr>
        <w:t xml:space="preserve">项目经理： </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（签字） </w:t>
      </w:r>
    </w:p>
    <w:p w14:paraId="4C2DB3FD">
      <w:pPr>
        <w:keepNext w:val="0"/>
        <w:keepLines w:val="0"/>
        <w:widowControl/>
        <w:suppressLineNumbers w:val="0"/>
        <w:spacing w:line="360" w:lineRule="auto"/>
        <w:jc w:val="left"/>
        <w:rPr>
          <w:sz w:val="24"/>
          <w:szCs w:val="24"/>
        </w:rPr>
      </w:pPr>
      <w:r>
        <w:rPr>
          <w:rFonts w:hint="eastAsia" w:ascii="宋体" w:hAnsi="宋体" w:eastAsia="宋体" w:cs="宋体"/>
          <w:snapToGrid w:val="0"/>
          <w:color w:val="000000"/>
          <w:kern w:val="0"/>
          <w:sz w:val="24"/>
          <w:szCs w:val="24"/>
          <w:lang w:val="en-US" w:eastAsia="zh-CN" w:bidi="ar"/>
        </w:rPr>
        <w:t>项目总工：</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 （签字） </w:t>
      </w:r>
    </w:p>
    <w:p w14:paraId="14664B15">
      <w:pPr>
        <w:keepNext w:val="0"/>
        <w:keepLines w:val="0"/>
        <w:widowControl/>
        <w:suppressLineNumbers w:val="0"/>
        <w:spacing w:line="360" w:lineRule="auto"/>
        <w:jc w:val="left"/>
        <w:rPr>
          <w:sz w:val="24"/>
          <w:szCs w:val="24"/>
        </w:rPr>
      </w:pPr>
      <w:r>
        <w:rPr>
          <w:rFonts w:hint="eastAsia" w:ascii="宋体" w:hAnsi="宋体" w:eastAsia="宋体" w:cs="宋体"/>
          <w:snapToGrid w:val="0"/>
          <w:color w:val="000000"/>
          <w:kern w:val="0"/>
          <w:sz w:val="24"/>
          <w:szCs w:val="24"/>
          <w:lang w:val="en-US" w:eastAsia="zh-CN" w:bidi="ar"/>
        </w:rPr>
        <w:t>日期：</w:t>
      </w:r>
      <w:r>
        <w:rPr>
          <w:rFonts w:hint="eastAsia" w:ascii="宋体" w:hAnsi="宋体" w:eastAsia="宋体" w:cs="宋体"/>
          <w:strike w:val="0"/>
          <w:dstrike w:val="0"/>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年 </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月</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日 </w:t>
      </w:r>
    </w:p>
    <w:p w14:paraId="4E54949F">
      <w:pPr>
        <w:keepNext w:val="0"/>
        <w:keepLines w:val="0"/>
        <w:widowControl/>
        <w:suppressLineNumbers w:val="0"/>
        <w:spacing w:line="360" w:lineRule="auto"/>
        <w:jc w:val="left"/>
        <w:rPr>
          <w:rFonts w:hint="eastAsia" w:ascii="宋体" w:hAnsi="宋体" w:eastAsia="宋体" w:cs="宋体"/>
          <w:b/>
          <w:bCs/>
          <w:snapToGrid w:val="0"/>
          <w:color w:val="000000"/>
          <w:kern w:val="0"/>
          <w:sz w:val="24"/>
          <w:szCs w:val="24"/>
          <w:lang w:val="en-US" w:eastAsia="zh-CN" w:bidi="ar"/>
        </w:rPr>
      </w:pPr>
    </w:p>
    <w:p w14:paraId="676BE17B">
      <w:pPr>
        <w:keepNext w:val="0"/>
        <w:keepLines w:val="0"/>
        <w:widowControl/>
        <w:suppressLineNumbers w:val="0"/>
        <w:spacing w:line="360" w:lineRule="auto"/>
        <w:jc w:val="left"/>
        <w:rPr>
          <w:rFonts w:hint="eastAsia" w:ascii="宋体" w:hAnsi="宋体" w:eastAsia="宋体" w:cs="宋体"/>
          <w:b/>
          <w:bCs/>
          <w:snapToGrid w:val="0"/>
          <w:color w:val="000000"/>
          <w:kern w:val="0"/>
          <w:sz w:val="24"/>
          <w:szCs w:val="24"/>
          <w:lang w:val="en-US" w:eastAsia="zh-CN" w:bidi="ar"/>
        </w:rPr>
      </w:pPr>
    </w:p>
    <w:p w14:paraId="30643E31">
      <w:pPr>
        <w:keepNext w:val="0"/>
        <w:keepLines w:val="0"/>
        <w:widowControl/>
        <w:suppressLineNumbers w:val="0"/>
        <w:spacing w:line="360" w:lineRule="auto"/>
        <w:jc w:val="left"/>
        <w:rPr>
          <w:sz w:val="24"/>
          <w:szCs w:val="24"/>
        </w:rPr>
      </w:pPr>
      <w:r>
        <w:rPr>
          <w:rFonts w:hint="eastAsia" w:ascii="宋体" w:hAnsi="宋体" w:eastAsia="宋体" w:cs="宋体"/>
          <w:b/>
          <w:bCs/>
          <w:snapToGrid w:val="0"/>
          <w:color w:val="000000"/>
          <w:kern w:val="0"/>
          <w:sz w:val="24"/>
          <w:szCs w:val="24"/>
          <w:lang w:val="en-US" w:eastAsia="zh-CN" w:bidi="ar"/>
        </w:rPr>
        <w:t xml:space="preserve">注：1、此表由投标单位根据实际情况填写，必须由对应的项目经理和项目总工亲笔签字确认； </w:t>
      </w:r>
    </w:p>
    <w:p w14:paraId="5F00F556">
      <w:pPr>
        <w:keepNext w:val="0"/>
        <w:keepLines w:val="0"/>
        <w:widowControl/>
        <w:suppressLineNumbers w:val="0"/>
        <w:spacing w:line="360" w:lineRule="auto"/>
        <w:jc w:val="left"/>
        <w:rPr>
          <w:sz w:val="24"/>
          <w:szCs w:val="24"/>
        </w:rPr>
      </w:pPr>
      <w:r>
        <w:rPr>
          <w:rFonts w:hint="default" w:ascii="Times New Roman" w:hAnsi="Times New Roman" w:eastAsia="宋体" w:cs="Times New Roman"/>
          <w:b/>
          <w:bCs/>
          <w:i/>
          <w:iCs/>
          <w:snapToGrid w:val="0"/>
          <w:color w:val="000000"/>
          <w:kern w:val="0"/>
          <w:sz w:val="24"/>
          <w:szCs w:val="24"/>
          <w:lang w:val="en-US" w:eastAsia="zh-CN" w:bidi="ar"/>
        </w:rPr>
        <w:t>2</w:t>
      </w:r>
      <w:r>
        <w:rPr>
          <w:rFonts w:hint="eastAsia" w:ascii="宋体" w:hAnsi="宋体" w:eastAsia="宋体" w:cs="宋体"/>
          <w:b/>
          <w:bCs/>
          <w:snapToGrid w:val="0"/>
          <w:color w:val="000000"/>
          <w:kern w:val="0"/>
          <w:sz w:val="24"/>
          <w:szCs w:val="24"/>
          <w:lang w:val="en-US" w:eastAsia="zh-CN" w:bidi="ar"/>
        </w:rPr>
        <w:t>、此表后附对应的项目经理和项目总工的身份证复印件。</w:t>
      </w:r>
    </w:p>
    <w:p w14:paraId="497508B3">
      <w:pPr>
        <w:spacing w:line="218" w:lineRule="auto"/>
        <w:ind w:left="127"/>
        <w:rPr>
          <w:rFonts w:ascii="宋体" w:hAnsi="宋体" w:eastAsia="宋体" w:cs="宋体"/>
          <w:sz w:val="21"/>
          <w:szCs w:val="21"/>
        </w:rPr>
      </w:pPr>
    </w:p>
    <w:p w14:paraId="0F22A25D">
      <w:pPr>
        <w:spacing w:line="218" w:lineRule="auto"/>
        <w:rPr>
          <w:rFonts w:ascii="宋体" w:hAnsi="宋体" w:eastAsia="宋体" w:cs="宋体"/>
          <w:sz w:val="21"/>
          <w:szCs w:val="21"/>
        </w:rPr>
        <w:sectPr>
          <w:headerReference r:id="rId197" w:type="default"/>
          <w:footerReference r:id="rId198" w:type="default"/>
          <w:pgSz w:w="11905" w:h="16840"/>
          <w:pgMar w:top="1182" w:right="1300" w:bottom="1171" w:left="1299" w:header="849" w:footer="937" w:gutter="0"/>
          <w:pgNumType w:fmt="decimal"/>
          <w:cols w:space="720" w:num="1"/>
        </w:sectPr>
      </w:pPr>
    </w:p>
    <w:p w14:paraId="33CE9F23">
      <w:pPr>
        <w:pStyle w:val="2"/>
        <w:spacing w:line="315" w:lineRule="auto"/>
      </w:pPr>
    </w:p>
    <w:p w14:paraId="2A302E82">
      <w:pPr>
        <w:spacing w:before="88" w:line="226" w:lineRule="auto"/>
        <w:ind w:left="2034"/>
        <w:rPr>
          <w:rFonts w:ascii="宋体" w:hAnsi="宋体" w:eastAsia="宋体" w:cs="宋体"/>
          <w:sz w:val="27"/>
          <w:szCs w:val="27"/>
        </w:rPr>
      </w:pPr>
      <w:r>
        <w:rPr>
          <w:rFonts w:ascii="宋体" w:hAnsi="宋体" w:eastAsia="宋体" w:cs="宋体"/>
          <w:b/>
          <w:bCs/>
          <w:spacing w:val="6"/>
          <w:sz w:val="27"/>
          <w:szCs w:val="27"/>
        </w:rPr>
        <w:t>（七）拟委任的其他管理和技术人员情况表</w:t>
      </w:r>
    </w:p>
    <w:p w14:paraId="53869B4D">
      <w:pPr>
        <w:spacing w:before="271" w:line="241" w:lineRule="auto"/>
        <w:ind w:left="1788"/>
        <w:rPr>
          <w:rFonts w:ascii="宋体" w:hAnsi="宋体" w:eastAsia="宋体" w:cs="宋体"/>
          <w:sz w:val="13"/>
          <w:szCs w:val="13"/>
        </w:rPr>
      </w:pPr>
      <w:r>
        <w:rPr>
          <w:rFonts w:ascii="宋体" w:hAnsi="宋体" w:eastAsia="宋体" w:cs="宋体"/>
          <w:b/>
          <w:bCs/>
          <w:spacing w:val="6"/>
          <w:sz w:val="27"/>
          <w:szCs w:val="27"/>
        </w:rPr>
        <w:t>（七）-1</w:t>
      </w:r>
      <w:r>
        <w:rPr>
          <w:rFonts w:ascii="宋体" w:hAnsi="宋体" w:eastAsia="宋体" w:cs="宋体"/>
          <w:spacing w:val="-51"/>
          <w:sz w:val="27"/>
          <w:szCs w:val="27"/>
        </w:rPr>
        <w:t xml:space="preserve"> </w:t>
      </w:r>
      <w:r>
        <w:rPr>
          <w:rFonts w:ascii="宋体" w:hAnsi="宋体" w:eastAsia="宋体" w:cs="宋体"/>
          <w:b/>
          <w:bCs/>
          <w:spacing w:val="6"/>
          <w:sz w:val="27"/>
          <w:szCs w:val="27"/>
        </w:rPr>
        <w:t>拟委任的其他管理和技术人员汇总表</w:t>
      </w:r>
    </w:p>
    <w:p w14:paraId="5260852C">
      <w:pPr>
        <w:spacing w:before="37"/>
      </w:pPr>
    </w:p>
    <w:tbl>
      <w:tblPr>
        <w:tblStyle w:val="8"/>
        <w:tblW w:w="93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9"/>
        <w:gridCol w:w="1398"/>
        <w:gridCol w:w="1150"/>
        <w:gridCol w:w="1593"/>
        <w:gridCol w:w="1515"/>
        <w:gridCol w:w="1582"/>
        <w:gridCol w:w="1181"/>
      </w:tblGrid>
      <w:tr w14:paraId="283D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939" w:type="dxa"/>
            <w:vAlign w:val="top"/>
          </w:tcPr>
          <w:p w14:paraId="5F10176E">
            <w:pPr>
              <w:spacing w:line="395" w:lineRule="auto"/>
              <w:rPr>
                <w:rFonts w:ascii="Arial"/>
                <w:sz w:val="21"/>
              </w:rPr>
            </w:pPr>
          </w:p>
          <w:p w14:paraId="1FBB619C">
            <w:pPr>
              <w:pStyle w:val="9"/>
              <w:spacing w:before="68" w:line="221" w:lineRule="auto"/>
              <w:ind w:left="263"/>
            </w:pPr>
            <w:r>
              <w:rPr>
                <w:spacing w:val="-2"/>
              </w:rPr>
              <w:t>序号</w:t>
            </w:r>
          </w:p>
        </w:tc>
        <w:tc>
          <w:tcPr>
            <w:tcW w:w="1398" w:type="dxa"/>
            <w:vAlign w:val="top"/>
          </w:tcPr>
          <w:p w14:paraId="32649B1C">
            <w:pPr>
              <w:spacing w:line="394" w:lineRule="auto"/>
              <w:rPr>
                <w:rFonts w:ascii="Arial"/>
                <w:sz w:val="21"/>
              </w:rPr>
            </w:pPr>
          </w:p>
          <w:p w14:paraId="7F4E4DBC">
            <w:pPr>
              <w:pStyle w:val="9"/>
              <w:spacing w:before="69" w:line="220" w:lineRule="auto"/>
              <w:ind w:left="492"/>
            </w:pPr>
            <w:r>
              <w:rPr>
                <w:spacing w:val="-3"/>
              </w:rPr>
              <w:t>姓名</w:t>
            </w:r>
          </w:p>
        </w:tc>
        <w:tc>
          <w:tcPr>
            <w:tcW w:w="1150" w:type="dxa"/>
            <w:vAlign w:val="top"/>
          </w:tcPr>
          <w:p w14:paraId="5D6FB721">
            <w:pPr>
              <w:spacing w:line="394" w:lineRule="auto"/>
              <w:rPr>
                <w:rFonts w:ascii="Arial"/>
                <w:sz w:val="21"/>
              </w:rPr>
            </w:pPr>
          </w:p>
          <w:p w14:paraId="323195C3">
            <w:pPr>
              <w:pStyle w:val="9"/>
              <w:spacing w:before="69" w:line="220" w:lineRule="auto"/>
              <w:ind w:left="370"/>
            </w:pPr>
            <w:r>
              <w:rPr>
                <w:spacing w:val="-3"/>
              </w:rPr>
              <w:t>年龄</w:t>
            </w:r>
          </w:p>
        </w:tc>
        <w:tc>
          <w:tcPr>
            <w:tcW w:w="1593" w:type="dxa"/>
            <w:vAlign w:val="top"/>
          </w:tcPr>
          <w:p w14:paraId="67AC9025">
            <w:pPr>
              <w:spacing w:line="241" w:lineRule="auto"/>
              <w:rPr>
                <w:rFonts w:ascii="Arial"/>
                <w:sz w:val="21"/>
              </w:rPr>
            </w:pPr>
          </w:p>
          <w:p w14:paraId="3A47BBE9">
            <w:pPr>
              <w:pStyle w:val="9"/>
              <w:spacing w:before="68" w:line="276" w:lineRule="auto"/>
              <w:ind w:left="485" w:right="163" w:hanging="313"/>
            </w:pPr>
            <w:r>
              <w:rPr>
                <w:spacing w:val="-2"/>
              </w:rPr>
              <w:t>拟在本标段工程任职</w:t>
            </w:r>
          </w:p>
        </w:tc>
        <w:tc>
          <w:tcPr>
            <w:tcW w:w="1515" w:type="dxa"/>
            <w:vAlign w:val="top"/>
          </w:tcPr>
          <w:p w14:paraId="5E68429A">
            <w:pPr>
              <w:spacing w:line="394" w:lineRule="auto"/>
              <w:rPr>
                <w:rFonts w:ascii="Arial"/>
                <w:sz w:val="21"/>
              </w:rPr>
            </w:pPr>
          </w:p>
          <w:p w14:paraId="30F1CD42">
            <w:pPr>
              <w:pStyle w:val="9"/>
              <w:spacing w:before="69" w:line="220" w:lineRule="auto"/>
              <w:ind w:left="344"/>
            </w:pPr>
            <w:r>
              <w:rPr>
                <w:spacing w:val="-2"/>
              </w:rPr>
              <w:t>技术职称</w:t>
            </w:r>
          </w:p>
        </w:tc>
        <w:tc>
          <w:tcPr>
            <w:tcW w:w="1582" w:type="dxa"/>
            <w:vAlign w:val="top"/>
          </w:tcPr>
          <w:p w14:paraId="0B1CD75A">
            <w:pPr>
              <w:spacing w:line="394" w:lineRule="auto"/>
              <w:rPr>
                <w:rFonts w:ascii="Arial"/>
                <w:sz w:val="21"/>
              </w:rPr>
            </w:pPr>
          </w:p>
          <w:p w14:paraId="39C29DED">
            <w:pPr>
              <w:pStyle w:val="9"/>
              <w:spacing w:before="69" w:line="220" w:lineRule="auto"/>
              <w:ind w:left="380"/>
            </w:pPr>
            <w:r>
              <w:rPr>
                <w:spacing w:val="-3"/>
              </w:rPr>
              <w:t>工作年限</w:t>
            </w:r>
          </w:p>
        </w:tc>
        <w:tc>
          <w:tcPr>
            <w:tcW w:w="1181" w:type="dxa"/>
            <w:vAlign w:val="top"/>
          </w:tcPr>
          <w:p w14:paraId="10C82FBB">
            <w:pPr>
              <w:spacing w:line="241" w:lineRule="auto"/>
              <w:rPr>
                <w:rFonts w:ascii="Arial"/>
                <w:sz w:val="21"/>
              </w:rPr>
            </w:pPr>
          </w:p>
          <w:p w14:paraId="40F62F31">
            <w:pPr>
              <w:pStyle w:val="9"/>
              <w:spacing w:before="68" w:line="276" w:lineRule="auto"/>
              <w:ind w:left="176" w:right="168" w:hanging="1"/>
            </w:pPr>
            <w:r>
              <w:rPr>
                <w:spacing w:val="-3"/>
              </w:rPr>
              <w:t>类似施工经验年限</w:t>
            </w:r>
          </w:p>
        </w:tc>
      </w:tr>
      <w:tr w14:paraId="468E3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1A3F5BB4">
            <w:pPr>
              <w:rPr>
                <w:rFonts w:ascii="Arial"/>
                <w:sz w:val="21"/>
              </w:rPr>
            </w:pPr>
          </w:p>
        </w:tc>
        <w:tc>
          <w:tcPr>
            <w:tcW w:w="1398" w:type="dxa"/>
            <w:vAlign w:val="top"/>
          </w:tcPr>
          <w:p w14:paraId="12DAC91D">
            <w:pPr>
              <w:rPr>
                <w:rFonts w:ascii="Arial"/>
                <w:sz w:val="21"/>
              </w:rPr>
            </w:pPr>
          </w:p>
        </w:tc>
        <w:tc>
          <w:tcPr>
            <w:tcW w:w="1150" w:type="dxa"/>
            <w:vAlign w:val="top"/>
          </w:tcPr>
          <w:p w14:paraId="5AFC89A6">
            <w:pPr>
              <w:rPr>
                <w:rFonts w:ascii="Arial"/>
                <w:sz w:val="21"/>
              </w:rPr>
            </w:pPr>
          </w:p>
        </w:tc>
        <w:tc>
          <w:tcPr>
            <w:tcW w:w="1593" w:type="dxa"/>
            <w:vAlign w:val="top"/>
          </w:tcPr>
          <w:p w14:paraId="4AB38DD6">
            <w:pPr>
              <w:rPr>
                <w:rFonts w:ascii="Arial"/>
                <w:sz w:val="21"/>
              </w:rPr>
            </w:pPr>
          </w:p>
        </w:tc>
        <w:tc>
          <w:tcPr>
            <w:tcW w:w="1515" w:type="dxa"/>
            <w:vAlign w:val="top"/>
          </w:tcPr>
          <w:p w14:paraId="7CDC6499">
            <w:pPr>
              <w:rPr>
                <w:rFonts w:ascii="Arial"/>
                <w:sz w:val="21"/>
              </w:rPr>
            </w:pPr>
          </w:p>
        </w:tc>
        <w:tc>
          <w:tcPr>
            <w:tcW w:w="1582" w:type="dxa"/>
            <w:vAlign w:val="top"/>
          </w:tcPr>
          <w:p w14:paraId="47E6A948">
            <w:pPr>
              <w:rPr>
                <w:rFonts w:ascii="Arial"/>
                <w:sz w:val="21"/>
              </w:rPr>
            </w:pPr>
          </w:p>
        </w:tc>
        <w:tc>
          <w:tcPr>
            <w:tcW w:w="1181" w:type="dxa"/>
            <w:vAlign w:val="top"/>
          </w:tcPr>
          <w:p w14:paraId="7ADF72F0">
            <w:pPr>
              <w:rPr>
                <w:rFonts w:ascii="Arial"/>
                <w:sz w:val="21"/>
              </w:rPr>
            </w:pPr>
          </w:p>
        </w:tc>
      </w:tr>
      <w:tr w14:paraId="0B9CB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39" w:type="dxa"/>
            <w:vAlign w:val="top"/>
          </w:tcPr>
          <w:p w14:paraId="5648B2A7">
            <w:pPr>
              <w:rPr>
                <w:rFonts w:ascii="Arial"/>
                <w:sz w:val="21"/>
              </w:rPr>
            </w:pPr>
          </w:p>
        </w:tc>
        <w:tc>
          <w:tcPr>
            <w:tcW w:w="1398" w:type="dxa"/>
            <w:vAlign w:val="top"/>
          </w:tcPr>
          <w:p w14:paraId="532B7347">
            <w:pPr>
              <w:rPr>
                <w:rFonts w:ascii="Arial"/>
                <w:sz w:val="21"/>
              </w:rPr>
            </w:pPr>
          </w:p>
        </w:tc>
        <w:tc>
          <w:tcPr>
            <w:tcW w:w="1150" w:type="dxa"/>
            <w:vAlign w:val="top"/>
          </w:tcPr>
          <w:p w14:paraId="052D2E5A">
            <w:pPr>
              <w:rPr>
                <w:rFonts w:ascii="Arial"/>
                <w:sz w:val="21"/>
              </w:rPr>
            </w:pPr>
          </w:p>
        </w:tc>
        <w:tc>
          <w:tcPr>
            <w:tcW w:w="1593" w:type="dxa"/>
            <w:vAlign w:val="top"/>
          </w:tcPr>
          <w:p w14:paraId="0BF404BF">
            <w:pPr>
              <w:rPr>
                <w:rFonts w:ascii="Arial"/>
                <w:sz w:val="21"/>
              </w:rPr>
            </w:pPr>
          </w:p>
        </w:tc>
        <w:tc>
          <w:tcPr>
            <w:tcW w:w="1515" w:type="dxa"/>
            <w:vAlign w:val="top"/>
          </w:tcPr>
          <w:p w14:paraId="74BE762E">
            <w:pPr>
              <w:rPr>
                <w:rFonts w:ascii="Arial"/>
                <w:sz w:val="21"/>
              </w:rPr>
            </w:pPr>
          </w:p>
        </w:tc>
        <w:tc>
          <w:tcPr>
            <w:tcW w:w="1582" w:type="dxa"/>
            <w:vAlign w:val="top"/>
          </w:tcPr>
          <w:p w14:paraId="5A5CEC67">
            <w:pPr>
              <w:rPr>
                <w:rFonts w:ascii="Arial"/>
                <w:sz w:val="21"/>
              </w:rPr>
            </w:pPr>
          </w:p>
        </w:tc>
        <w:tc>
          <w:tcPr>
            <w:tcW w:w="1181" w:type="dxa"/>
            <w:vAlign w:val="top"/>
          </w:tcPr>
          <w:p w14:paraId="4767C995">
            <w:pPr>
              <w:rPr>
                <w:rFonts w:ascii="Arial"/>
                <w:sz w:val="21"/>
              </w:rPr>
            </w:pPr>
          </w:p>
        </w:tc>
      </w:tr>
      <w:tr w14:paraId="04DCF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05206480">
            <w:pPr>
              <w:rPr>
                <w:rFonts w:ascii="Arial"/>
                <w:sz w:val="21"/>
              </w:rPr>
            </w:pPr>
          </w:p>
        </w:tc>
        <w:tc>
          <w:tcPr>
            <w:tcW w:w="1398" w:type="dxa"/>
            <w:vAlign w:val="top"/>
          </w:tcPr>
          <w:p w14:paraId="12135806">
            <w:pPr>
              <w:rPr>
                <w:rFonts w:ascii="Arial"/>
                <w:sz w:val="21"/>
              </w:rPr>
            </w:pPr>
          </w:p>
        </w:tc>
        <w:tc>
          <w:tcPr>
            <w:tcW w:w="1150" w:type="dxa"/>
            <w:vAlign w:val="top"/>
          </w:tcPr>
          <w:p w14:paraId="6B260B39">
            <w:pPr>
              <w:rPr>
                <w:rFonts w:ascii="Arial"/>
                <w:sz w:val="21"/>
              </w:rPr>
            </w:pPr>
          </w:p>
        </w:tc>
        <w:tc>
          <w:tcPr>
            <w:tcW w:w="1593" w:type="dxa"/>
            <w:vAlign w:val="top"/>
          </w:tcPr>
          <w:p w14:paraId="5898F951">
            <w:pPr>
              <w:rPr>
                <w:rFonts w:ascii="Arial"/>
                <w:sz w:val="21"/>
              </w:rPr>
            </w:pPr>
          </w:p>
        </w:tc>
        <w:tc>
          <w:tcPr>
            <w:tcW w:w="1515" w:type="dxa"/>
            <w:vAlign w:val="top"/>
          </w:tcPr>
          <w:p w14:paraId="4074D418">
            <w:pPr>
              <w:rPr>
                <w:rFonts w:ascii="Arial"/>
                <w:sz w:val="21"/>
              </w:rPr>
            </w:pPr>
          </w:p>
        </w:tc>
        <w:tc>
          <w:tcPr>
            <w:tcW w:w="1582" w:type="dxa"/>
            <w:vAlign w:val="top"/>
          </w:tcPr>
          <w:p w14:paraId="4A3ABC04">
            <w:pPr>
              <w:rPr>
                <w:rFonts w:ascii="Arial"/>
                <w:sz w:val="21"/>
              </w:rPr>
            </w:pPr>
          </w:p>
        </w:tc>
        <w:tc>
          <w:tcPr>
            <w:tcW w:w="1181" w:type="dxa"/>
            <w:vAlign w:val="top"/>
          </w:tcPr>
          <w:p w14:paraId="5DAE1B77">
            <w:pPr>
              <w:rPr>
                <w:rFonts w:ascii="Arial"/>
                <w:sz w:val="21"/>
              </w:rPr>
            </w:pPr>
          </w:p>
        </w:tc>
      </w:tr>
      <w:tr w14:paraId="0E5C0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39" w:type="dxa"/>
            <w:vAlign w:val="top"/>
          </w:tcPr>
          <w:p w14:paraId="13D2251C">
            <w:pPr>
              <w:rPr>
                <w:rFonts w:ascii="Arial"/>
                <w:sz w:val="21"/>
              </w:rPr>
            </w:pPr>
          </w:p>
        </w:tc>
        <w:tc>
          <w:tcPr>
            <w:tcW w:w="1398" w:type="dxa"/>
            <w:vAlign w:val="top"/>
          </w:tcPr>
          <w:p w14:paraId="1A6AC1B6">
            <w:pPr>
              <w:rPr>
                <w:rFonts w:ascii="Arial"/>
                <w:sz w:val="21"/>
              </w:rPr>
            </w:pPr>
          </w:p>
        </w:tc>
        <w:tc>
          <w:tcPr>
            <w:tcW w:w="1150" w:type="dxa"/>
            <w:vAlign w:val="top"/>
          </w:tcPr>
          <w:p w14:paraId="61A2BFE9">
            <w:pPr>
              <w:rPr>
                <w:rFonts w:ascii="Arial"/>
                <w:sz w:val="21"/>
              </w:rPr>
            </w:pPr>
          </w:p>
        </w:tc>
        <w:tc>
          <w:tcPr>
            <w:tcW w:w="1593" w:type="dxa"/>
            <w:vAlign w:val="top"/>
          </w:tcPr>
          <w:p w14:paraId="29260E34">
            <w:pPr>
              <w:rPr>
                <w:rFonts w:ascii="Arial"/>
                <w:sz w:val="21"/>
              </w:rPr>
            </w:pPr>
          </w:p>
        </w:tc>
        <w:tc>
          <w:tcPr>
            <w:tcW w:w="1515" w:type="dxa"/>
            <w:vAlign w:val="top"/>
          </w:tcPr>
          <w:p w14:paraId="59EB5CDD">
            <w:pPr>
              <w:rPr>
                <w:rFonts w:ascii="Arial"/>
                <w:sz w:val="21"/>
              </w:rPr>
            </w:pPr>
          </w:p>
        </w:tc>
        <w:tc>
          <w:tcPr>
            <w:tcW w:w="1582" w:type="dxa"/>
            <w:vAlign w:val="top"/>
          </w:tcPr>
          <w:p w14:paraId="19D60CA7">
            <w:pPr>
              <w:rPr>
                <w:rFonts w:ascii="Arial"/>
                <w:sz w:val="21"/>
              </w:rPr>
            </w:pPr>
          </w:p>
        </w:tc>
        <w:tc>
          <w:tcPr>
            <w:tcW w:w="1181" w:type="dxa"/>
            <w:vAlign w:val="top"/>
          </w:tcPr>
          <w:p w14:paraId="78C66887">
            <w:pPr>
              <w:rPr>
                <w:rFonts w:ascii="Arial"/>
                <w:sz w:val="21"/>
              </w:rPr>
            </w:pPr>
          </w:p>
        </w:tc>
      </w:tr>
      <w:tr w14:paraId="17812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44A53E03">
            <w:pPr>
              <w:rPr>
                <w:rFonts w:ascii="Arial"/>
                <w:sz w:val="21"/>
              </w:rPr>
            </w:pPr>
          </w:p>
        </w:tc>
        <w:tc>
          <w:tcPr>
            <w:tcW w:w="1398" w:type="dxa"/>
            <w:vAlign w:val="top"/>
          </w:tcPr>
          <w:p w14:paraId="4041B31D">
            <w:pPr>
              <w:rPr>
                <w:rFonts w:ascii="Arial"/>
                <w:sz w:val="21"/>
              </w:rPr>
            </w:pPr>
          </w:p>
        </w:tc>
        <w:tc>
          <w:tcPr>
            <w:tcW w:w="1150" w:type="dxa"/>
            <w:vAlign w:val="top"/>
          </w:tcPr>
          <w:p w14:paraId="0EC8CAF2">
            <w:pPr>
              <w:rPr>
                <w:rFonts w:ascii="Arial"/>
                <w:sz w:val="21"/>
              </w:rPr>
            </w:pPr>
          </w:p>
        </w:tc>
        <w:tc>
          <w:tcPr>
            <w:tcW w:w="1593" w:type="dxa"/>
            <w:vAlign w:val="top"/>
          </w:tcPr>
          <w:p w14:paraId="010F1F31">
            <w:pPr>
              <w:rPr>
                <w:rFonts w:ascii="Arial"/>
                <w:sz w:val="21"/>
              </w:rPr>
            </w:pPr>
          </w:p>
        </w:tc>
        <w:tc>
          <w:tcPr>
            <w:tcW w:w="1515" w:type="dxa"/>
            <w:vAlign w:val="top"/>
          </w:tcPr>
          <w:p w14:paraId="1C694B46">
            <w:pPr>
              <w:rPr>
                <w:rFonts w:ascii="Arial"/>
                <w:sz w:val="21"/>
              </w:rPr>
            </w:pPr>
          </w:p>
        </w:tc>
        <w:tc>
          <w:tcPr>
            <w:tcW w:w="1582" w:type="dxa"/>
            <w:vAlign w:val="top"/>
          </w:tcPr>
          <w:p w14:paraId="461DB21B">
            <w:pPr>
              <w:rPr>
                <w:rFonts w:ascii="Arial"/>
                <w:sz w:val="21"/>
              </w:rPr>
            </w:pPr>
          </w:p>
        </w:tc>
        <w:tc>
          <w:tcPr>
            <w:tcW w:w="1181" w:type="dxa"/>
            <w:vAlign w:val="top"/>
          </w:tcPr>
          <w:p w14:paraId="67FBB3CA">
            <w:pPr>
              <w:rPr>
                <w:rFonts w:ascii="Arial"/>
                <w:sz w:val="21"/>
              </w:rPr>
            </w:pPr>
          </w:p>
        </w:tc>
      </w:tr>
      <w:tr w14:paraId="10351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39" w:type="dxa"/>
            <w:vAlign w:val="top"/>
          </w:tcPr>
          <w:p w14:paraId="32E55EE3">
            <w:pPr>
              <w:rPr>
                <w:rFonts w:ascii="Arial"/>
                <w:sz w:val="21"/>
              </w:rPr>
            </w:pPr>
          </w:p>
        </w:tc>
        <w:tc>
          <w:tcPr>
            <w:tcW w:w="1398" w:type="dxa"/>
            <w:vAlign w:val="top"/>
          </w:tcPr>
          <w:p w14:paraId="7A37C369">
            <w:pPr>
              <w:rPr>
                <w:rFonts w:ascii="Arial"/>
                <w:sz w:val="21"/>
              </w:rPr>
            </w:pPr>
          </w:p>
        </w:tc>
        <w:tc>
          <w:tcPr>
            <w:tcW w:w="1150" w:type="dxa"/>
            <w:vAlign w:val="top"/>
          </w:tcPr>
          <w:p w14:paraId="2FF54B8B">
            <w:pPr>
              <w:rPr>
                <w:rFonts w:ascii="Arial"/>
                <w:sz w:val="21"/>
              </w:rPr>
            </w:pPr>
          </w:p>
        </w:tc>
        <w:tc>
          <w:tcPr>
            <w:tcW w:w="1593" w:type="dxa"/>
            <w:vAlign w:val="top"/>
          </w:tcPr>
          <w:p w14:paraId="659F8A88">
            <w:pPr>
              <w:rPr>
                <w:rFonts w:ascii="Arial"/>
                <w:sz w:val="21"/>
              </w:rPr>
            </w:pPr>
          </w:p>
        </w:tc>
        <w:tc>
          <w:tcPr>
            <w:tcW w:w="1515" w:type="dxa"/>
            <w:vAlign w:val="top"/>
          </w:tcPr>
          <w:p w14:paraId="06D3B8B3">
            <w:pPr>
              <w:rPr>
                <w:rFonts w:ascii="Arial"/>
                <w:sz w:val="21"/>
              </w:rPr>
            </w:pPr>
          </w:p>
        </w:tc>
        <w:tc>
          <w:tcPr>
            <w:tcW w:w="1582" w:type="dxa"/>
            <w:vAlign w:val="top"/>
          </w:tcPr>
          <w:p w14:paraId="430BB17B">
            <w:pPr>
              <w:rPr>
                <w:rFonts w:ascii="Arial"/>
                <w:sz w:val="21"/>
              </w:rPr>
            </w:pPr>
          </w:p>
        </w:tc>
        <w:tc>
          <w:tcPr>
            <w:tcW w:w="1181" w:type="dxa"/>
            <w:vAlign w:val="top"/>
          </w:tcPr>
          <w:p w14:paraId="217556D4">
            <w:pPr>
              <w:rPr>
                <w:rFonts w:ascii="Arial"/>
                <w:sz w:val="21"/>
              </w:rPr>
            </w:pPr>
          </w:p>
        </w:tc>
      </w:tr>
      <w:tr w14:paraId="64928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5C5C2650">
            <w:pPr>
              <w:rPr>
                <w:rFonts w:ascii="Arial"/>
                <w:sz w:val="21"/>
              </w:rPr>
            </w:pPr>
          </w:p>
        </w:tc>
        <w:tc>
          <w:tcPr>
            <w:tcW w:w="1398" w:type="dxa"/>
            <w:vAlign w:val="top"/>
          </w:tcPr>
          <w:p w14:paraId="36BF9076">
            <w:pPr>
              <w:rPr>
                <w:rFonts w:ascii="Arial"/>
                <w:sz w:val="21"/>
              </w:rPr>
            </w:pPr>
          </w:p>
        </w:tc>
        <w:tc>
          <w:tcPr>
            <w:tcW w:w="1150" w:type="dxa"/>
            <w:vAlign w:val="top"/>
          </w:tcPr>
          <w:p w14:paraId="53365216">
            <w:pPr>
              <w:rPr>
                <w:rFonts w:ascii="Arial"/>
                <w:sz w:val="21"/>
              </w:rPr>
            </w:pPr>
          </w:p>
        </w:tc>
        <w:tc>
          <w:tcPr>
            <w:tcW w:w="1593" w:type="dxa"/>
            <w:vAlign w:val="top"/>
          </w:tcPr>
          <w:p w14:paraId="33D4C5EA">
            <w:pPr>
              <w:rPr>
                <w:rFonts w:ascii="Arial"/>
                <w:sz w:val="21"/>
              </w:rPr>
            </w:pPr>
          </w:p>
        </w:tc>
        <w:tc>
          <w:tcPr>
            <w:tcW w:w="1515" w:type="dxa"/>
            <w:vAlign w:val="top"/>
          </w:tcPr>
          <w:p w14:paraId="186F4399">
            <w:pPr>
              <w:rPr>
                <w:rFonts w:ascii="Arial"/>
                <w:sz w:val="21"/>
              </w:rPr>
            </w:pPr>
          </w:p>
        </w:tc>
        <w:tc>
          <w:tcPr>
            <w:tcW w:w="1582" w:type="dxa"/>
            <w:vAlign w:val="top"/>
          </w:tcPr>
          <w:p w14:paraId="5E6EA752">
            <w:pPr>
              <w:rPr>
                <w:rFonts w:ascii="Arial"/>
                <w:sz w:val="21"/>
              </w:rPr>
            </w:pPr>
          </w:p>
        </w:tc>
        <w:tc>
          <w:tcPr>
            <w:tcW w:w="1181" w:type="dxa"/>
            <w:vAlign w:val="top"/>
          </w:tcPr>
          <w:p w14:paraId="0993685B">
            <w:pPr>
              <w:rPr>
                <w:rFonts w:ascii="Arial"/>
                <w:sz w:val="21"/>
              </w:rPr>
            </w:pPr>
          </w:p>
        </w:tc>
      </w:tr>
      <w:tr w14:paraId="16291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939" w:type="dxa"/>
            <w:vAlign w:val="top"/>
          </w:tcPr>
          <w:p w14:paraId="4CD97D0F">
            <w:pPr>
              <w:rPr>
                <w:rFonts w:ascii="Arial"/>
                <w:sz w:val="21"/>
              </w:rPr>
            </w:pPr>
          </w:p>
        </w:tc>
        <w:tc>
          <w:tcPr>
            <w:tcW w:w="1398" w:type="dxa"/>
            <w:vAlign w:val="top"/>
          </w:tcPr>
          <w:p w14:paraId="09C00704">
            <w:pPr>
              <w:rPr>
                <w:rFonts w:ascii="Arial"/>
                <w:sz w:val="21"/>
              </w:rPr>
            </w:pPr>
          </w:p>
        </w:tc>
        <w:tc>
          <w:tcPr>
            <w:tcW w:w="1150" w:type="dxa"/>
            <w:vAlign w:val="top"/>
          </w:tcPr>
          <w:p w14:paraId="6AEB8C51">
            <w:pPr>
              <w:rPr>
                <w:rFonts w:ascii="Arial"/>
                <w:sz w:val="21"/>
              </w:rPr>
            </w:pPr>
          </w:p>
        </w:tc>
        <w:tc>
          <w:tcPr>
            <w:tcW w:w="1593" w:type="dxa"/>
            <w:vAlign w:val="top"/>
          </w:tcPr>
          <w:p w14:paraId="344D1CAA">
            <w:pPr>
              <w:rPr>
                <w:rFonts w:ascii="Arial"/>
                <w:sz w:val="21"/>
              </w:rPr>
            </w:pPr>
          </w:p>
        </w:tc>
        <w:tc>
          <w:tcPr>
            <w:tcW w:w="1515" w:type="dxa"/>
            <w:vAlign w:val="top"/>
          </w:tcPr>
          <w:p w14:paraId="7E8951B1">
            <w:pPr>
              <w:rPr>
                <w:rFonts w:ascii="Arial"/>
                <w:sz w:val="21"/>
              </w:rPr>
            </w:pPr>
          </w:p>
        </w:tc>
        <w:tc>
          <w:tcPr>
            <w:tcW w:w="1582" w:type="dxa"/>
            <w:vAlign w:val="top"/>
          </w:tcPr>
          <w:p w14:paraId="2B124CD0">
            <w:pPr>
              <w:rPr>
                <w:rFonts w:ascii="Arial"/>
                <w:sz w:val="21"/>
              </w:rPr>
            </w:pPr>
          </w:p>
        </w:tc>
        <w:tc>
          <w:tcPr>
            <w:tcW w:w="1181" w:type="dxa"/>
            <w:vAlign w:val="top"/>
          </w:tcPr>
          <w:p w14:paraId="642D69CA">
            <w:pPr>
              <w:rPr>
                <w:rFonts w:ascii="Arial"/>
                <w:sz w:val="21"/>
              </w:rPr>
            </w:pPr>
          </w:p>
        </w:tc>
      </w:tr>
      <w:tr w14:paraId="25E9B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39" w:type="dxa"/>
            <w:vAlign w:val="top"/>
          </w:tcPr>
          <w:p w14:paraId="2CD5B3C6">
            <w:pPr>
              <w:rPr>
                <w:rFonts w:ascii="Arial"/>
                <w:sz w:val="21"/>
              </w:rPr>
            </w:pPr>
          </w:p>
        </w:tc>
        <w:tc>
          <w:tcPr>
            <w:tcW w:w="1398" w:type="dxa"/>
            <w:vAlign w:val="top"/>
          </w:tcPr>
          <w:p w14:paraId="77216843">
            <w:pPr>
              <w:rPr>
                <w:rFonts w:ascii="Arial"/>
                <w:sz w:val="21"/>
              </w:rPr>
            </w:pPr>
          </w:p>
        </w:tc>
        <w:tc>
          <w:tcPr>
            <w:tcW w:w="1150" w:type="dxa"/>
            <w:vAlign w:val="top"/>
          </w:tcPr>
          <w:p w14:paraId="2885AD82">
            <w:pPr>
              <w:rPr>
                <w:rFonts w:ascii="Arial"/>
                <w:sz w:val="21"/>
              </w:rPr>
            </w:pPr>
          </w:p>
        </w:tc>
        <w:tc>
          <w:tcPr>
            <w:tcW w:w="1593" w:type="dxa"/>
            <w:vAlign w:val="top"/>
          </w:tcPr>
          <w:p w14:paraId="15F47265">
            <w:pPr>
              <w:rPr>
                <w:rFonts w:ascii="Arial"/>
                <w:sz w:val="21"/>
              </w:rPr>
            </w:pPr>
          </w:p>
        </w:tc>
        <w:tc>
          <w:tcPr>
            <w:tcW w:w="1515" w:type="dxa"/>
            <w:vAlign w:val="top"/>
          </w:tcPr>
          <w:p w14:paraId="4EE30416">
            <w:pPr>
              <w:rPr>
                <w:rFonts w:ascii="Arial"/>
                <w:sz w:val="21"/>
              </w:rPr>
            </w:pPr>
          </w:p>
        </w:tc>
        <w:tc>
          <w:tcPr>
            <w:tcW w:w="1582" w:type="dxa"/>
            <w:vAlign w:val="top"/>
          </w:tcPr>
          <w:p w14:paraId="3BDD14CB">
            <w:pPr>
              <w:rPr>
                <w:rFonts w:ascii="Arial"/>
                <w:sz w:val="21"/>
              </w:rPr>
            </w:pPr>
          </w:p>
        </w:tc>
        <w:tc>
          <w:tcPr>
            <w:tcW w:w="1181" w:type="dxa"/>
            <w:vAlign w:val="top"/>
          </w:tcPr>
          <w:p w14:paraId="48F6F4CD">
            <w:pPr>
              <w:rPr>
                <w:rFonts w:ascii="Arial"/>
                <w:sz w:val="21"/>
              </w:rPr>
            </w:pPr>
          </w:p>
        </w:tc>
      </w:tr>
      <w:tr w14:paraId="736F1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939" w:type="dxa"/>
            <w:vAlign w:val="top"/>
          </w:tcPr>
          <w:p w14:paraId="145BE183">
            <w:pPr>
              <w:rPr>
                <w:rFonts w:ascii="Arial"/>
                <w:sz w:val="21"/>
              </w:rPr>
            </w:pPr>
          </w:p>
        </w:tc>
        <w:tc>
          <w:tcPr>
            <w:tcW w:w="1398" w:type="dxa"/>
            <w:vAlign w:val="top"/>
          </w:tcPr>
          <w:p w14:paraId="3219372B">
            <w:pPr>
              <w:rPr>
                <w:rFonts w:ascii="Arial"/>
                <w:sz w:val="21"/>
              </w:rPr>
            </w:pPr>
          </w:p>
        </w:tc>
        <w:tc>
          <w:tcPr>
            <w:tcW w:w="1150" w:type="dxa"/>
            <w:vAlign w:val="top"/>
          </w:tcPr>
          <w:p w14:paraId="623004AA">
            <w:pPr>
              <w:rPr>
                <w:rFonts w:ascii="Arial"/>
                <w:sz w:val="21"/>
              </w:rPr>
            </w:pPr>
          </w:p>
        </w:tc>
        <w:tc>
          <w:tcPr>
            <w:tcW w:w="1593" w:type="dxa"/>
            <w:vAlign w:val="top"/>
          </w:tcPr>
          <w:p w14:paraId="739411B4">
            <w:pPr>
              <w:rPr>
                <w:rFonts w:ascii="Arial"/>
                <w:sz w:val="21"/>
              </w:rPr>
            </w:pPr>
          </w:p>
        </w:tc>
        <w:tc>
          <w:tcPr>
            <w:tcW w:w="1515" w:type="dxa"/>
            <w:vAlign w:val="top"/>
          </w:tcPr>
          <w:p w14:paraId="037BFEB0">
            <w:pPr>
              <w:rPr>
                <w:rFonts w:ascii="Arial"/>
                <w:sz w:val="21"/>
              </w:rPr>
            </w:pPr>
          </w:p>
        </w:tc>
        <w:tc>
          <w:tcPr>
            <w:tcW w:w="1582" w:type="dxa"/>
            <w:vAlign w:val="top"/>
          </w:tcPr>
          <w:p w14:paraId="4027F4B7">
            <w:pPr>
              <w:rPr>
                <w:rFonts w:ascii="Arial"/>
                <w:sz w:val="21"/>
              </w:rPr>
            </w:pPr>
          </w:p>
        </w:tc>
        <w:tc>
          <w:tcPr>
            <w:tcW w:w="1181" w:type="dxa"/>
            <w:vAlign w:val="top"/>
          </w:tcPr>
          <w:p w14:paraId="3ACBF771">
            <w:pPr>
              <w:rPr>
                <w:rFonts w:ascii="Arial"/>
                <w:sz w:val="21"/>
              </w:rPr>
            </w:pPr>
          </w:p>
        </w:tc>
      </w:tr>
    </w:tbl>
    <w:p w14:paraId="13587C2B">
      <w:pPr>
        <w:spacing w:before="49" w:line="219" w:lineRule="auto"/>
        <w:ind w:left="153"/>
        <w:rPr>
          <w:rFonts w:ascii="宋体" w:hAnsi="宋体" w:eastAsia="宋体" w:cs="宋体"/>
          <w:sz w:val="21"/>
          <w:szCs w:val="21"/>
        </w:rPr>
      </w:pPr>
      <w:r>
        <w:rPr>
          <w:rFonts w:ascii="宋体" w:hAnsi="宋体" w:eastAsia="宋体" w:cs="宋体"/>
          <w:spacing w:val="-2"/>
          <w:sz w:val="21"/>
          <w:szCs w:val="21"/>
        </w:rPr>
        <w:t>注：本表填报的人员应满足招标文件第二章“投标人须知”前附表附录</w:t>
      </w:r>
      <w:r>
        <w:rPr>
          <w:rFonts w:ascii="宋体" w:hAnsi="宋体" w:eastAsia="宋体" w:cs="宋体"/>
          <w:spacing w:val="-33"/>
          <w:sz w:val="21"/>
          <w:szCs w:val="21"/>
        </w:rPr>
        <w:t xml:space="preserve"> </w:t>
      </w:r>
      <w:r>
        <w:rPr>
          <w:rFonts w:ascii="宋体" w:hAnsi="宋体" w:eastAsia="宋体" w:cs="宋体"/>
          <w:spacing w:val="-2"/>
          <w:sz w:val="21"/>
          <w:szCs w:val="21"/>
        </w:rPr>
        <w:t>6</w:t>
      </w:r>
      <w:r>
        <w:rPr>
          <w:rFonts w:ascii="宋体" w:hAnsi="宋体" w:eastAsia="宋体" w:cs="宋体"/>
          <w:spacing w:val="-26"/>
          <w:sz w:val="21"/>
          <w:szCs w:val="21"/>
        </w:rPr>
        <w:t xml:space="preserve"> </w:t>
      </w:r>
      <w:r>
        <w:rPr>
          <w:rFonts w:ascii="宋体" w:hAnsi="宋体" w:eastAsia="宋体" w:cs="宋体"/>
          <w:spacing w:val="-2"/>
          <w:sz w:val="21"/>
          <w:szCs w:val="21"/>
        </w:rPr>
        <w:t>的要求。</w:t>
      </w:r>
    </w:p>
    <w:p w14:paraId="3BBF38D0">
      <w:pPr>
        <w:pStyle w:val="2"/>
        <w:spacing w:line="242" w:lineRule="auto"/>
      </w:pPr>
    </w:p>
    <w:p w14:paraId="3A45C75B">
      <w:pPr>
        <w:pStyle w:val="2"/>
        <w:spacing w:line="242" w:lineRule="auto"/>
      </w:pPr>
    </w:p>
    <w:p w14:paraId="551C7D6B">
      <w:pPr>
        <w:pStyle w:val="2"/>
        <w:spacing w:line="242" w:lineRule="auto"/>
      </w:pPr>
    </w:p>
    <w:p w14:paraId="2B920F56">
      <w:pPr>
        <w:pStyle w:val="2"/>
        <w:spacing w:line="243" w:lineRule="auto"/>
      </w:pPr>
    </w:p>
    <w:p w14:paraId="6E836D5B">
      <w:pPr>
        <w:pStyle w:val="2"/>
        <w:spacing w:line="243" w:lineRule="auto"/>
      </w:pPr>
    </w:p>
    <w:p w14:paraId="39734D89">
      <w:pPr>
        <w:pStyle w:val="2"/>
        <w:spacing w:line="243" w:lineRule="auto"/>
      </w:pPr>
    </w:p>
    <w:p w14:paraId="39A0FA22">
      <w:pPr>
        <w:pStyle w:val="2"/>
        <w:spacing w:line="243" w:lineRule="auto"/>
      </w:pPr>
    </w:p>
    <w:p w14:paraId="2868A4D5">
      <w:pPr>
        <w:pStyle w:val="2"/>
        <w:spacing w:line="243" w:lineRule="auto"/>
      </w:pPr>
    </w:p>
    <w:p w14:paraId="5938A3F9">
      <w:pPr>
        <w:pStyle w:val="2"/>
        <w:spacing w:line="243" w:lineRule="auto"/>
      </w:pPr>
    </w:p>
    <w:p w14:paraId="74EB4D45">
      <w:pPr>
        <w:pStyle w:val="2"/>
        <w:spacing w:line="243" w:lineRule="auto"/>
      </w:pPr>
    </w:p>
    <w:p w14:paraId="11995E4A">
      <w:pPr>
        <w:pStyle w:val="2"/>
        <w:spacing w:line="243" w:lineRule="auto"/>
      </w:pPr>
    </w:p>
    <w:p w14:paraId="42BCC14B">
      <w:pPr>
        <w:pStyle w:val="2"/>
        <w:spacing w:line="243" w:lineRule="auto"/>
      </w:pPr>
    </w:p>
    <w:p w14:paraId="2F039837">
      <w:pPr>
        <w:pStyle w:val="2"/>
        <w:spacing w:line="243" w:lineRule="auto"/>
      </w:pPr>
    </w:p>
    <w:p w14:paraId="22B960DE">
      <w:pPr>
        <w:spacing w:line="242" w:lineRule="auto"/>
        <w:rPr>
          <w:rFonts w:ascii="宋体" w:hAnsi="宋体" w:eastAsia="宋体" w:cs="宋体"/>
          <w:sz w:val="18"/>
          <w:szCs w:val="18"/>
        </w:rPr>
        <w:sectPr>
          <w:headerReference r:id="rId199" w:type="default"/>
          <w:footerReference r:id="rId200" w:type="default"/>
          <w:pgSz w:w="11905" w:h="16840"/>
          <w:pgMar w:top="1182" w:right="1270" w:bottom="1171" w:left="1270" w:header="849" w:footer="937" w:gutter="0"/>
          <w:pgNumType w:fmt="decimal"/>
          <w:cols w:space="720" w:num="1"/>
        </w:sectPr>
      </w:pPr>
    </w:p>
    <w:p w14:paraId="388DC744">
      <w:pPr>
        <w:pStyle w:val="2"/>
        <w:spacing w:line="293" w:lineRule="auto"/>
      </w:pPr>
    </w:p>
    <w:p w14:paraId="34EB0A7F">
      <w:pPr>
        <w:spacing w:before="88" w:line="241" w:lineRule="auto"/>
        <w:ind w:left="1759"/>
        <w:rPr>
          <w:rFonts w:ascii="宋体" w:hAnsi="宋体" w:eastAsia="宋体" w:cs="宋体"/>
          <w:sz w:val="13"/>
          <w:szCs w:val="13"/>
        </w:rPr>
      </w:pPr>
      <w:r>
        <w:rPr>
          <w:rFonts w:ascii="宋体" w:hAnsi="宋体" w:eastAsia="宋体" w:cs="宋体"/>
          <w:b/>
          <w:bCs/>
          <w:spacing w:val="6"/>
          <w:sz w:val="27"/>
          <w:szCs w:val="27"/>
        </w:rPr>
        <w:t>（七）-2</w:t>
      </w:r>
      <w:r>
        <w:rPr>
          <w:rFonts w:ascii="宋体" w:hAnsi="宋体" w:eastAsia="宋体" w:cs="宋体"/>
          <w:spacing w:val="-51"/>
          <w:sz w:val="27"/>
          <w:szCs w:val="27"/>
        </w:rPr>
        <w:t xml:space="preserve"> </w:t>
      </w:r>
      <w:r>
        <w:rPr>
          <w:rFonts w:ascii="宋体" w:hAnsi="宋体" w:eastAsia="宋体" w:cs="宋体"/>
          <w:b/>
          <w:bCs/>
          <w:spacing w:val="6"/>
          <w:sz w:val="27"/>
          <w:szCs w:val="27"/>
        </w:rPr>
        <w:t>拟委任的其他管理和技术人员资历表</w:t>
      </w:r>
    </w:p>
    <w:p w14:paraId="4BCFB07F">
      <w:pPr>
        <w:spacing w:before="37"/>
      </w:pPr>
    </w:p>
    <w:tbl>
      <w:tblPr>
        <w:tblStyle w:val="8"/>
        <w:tblW w:w="9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9"/>
        <w:gridCol w:w="1199"/>
        <w:gridCol w:w="1649"/>
        <w:gridCol w:w="1463"/>
        <w:gridCol w:w="1775"/>
        <w:gridCol w:w="1834"/>
      </w:tblGrid>
      <w:tr w14:paraId="1A100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379" w:type="dxa"/>
            <w:vAlign w:val="top"/>
          </w:tcPr>
          <w:p w14:paraId="17FBEFF8">
            <w:pPr>
              <w:pStyle w:val="9"/>
              <w:spacing w:before="225" w:line="220" w:lineRule="auto"/>
              <w:ind w:left="484"/>
            </w:pPr>
            <w:r>
              <w:rPr>
                <w:spacing w:val="-3"/>
              </w:rPr>
              <w:t>姓名</w:t>
            </w:r>
          </w:p>
        </w:tc>
        <w:tc>
          <w:tcPr>
            <w:tcW w:w="1199" w:type="dxa"/>
            <w:vAlign w:val="top"/>
          </w:tcPr>
          <w:p w14:paraId="4DD7DB5B">
            <w:pPr>
              <w:rPr>
                <w:rFonts w:ascii="Arial"/>
                <w:sz w:val="21"/>
              </w:rPr>
            </w:pPr>
          </w:p>
        </w:tc>
        <w:tc>
          <w:tcPr>
            <w:tcW w:w="1649" w:type="dxa"/>
            <w:vAlign w:val="top"/>
          </w:tcPr>
          <w:p w14:paraId="25DC41FB">
            <w:pPr>
              <w:pStyle w:val="9"/>
              <w:spacing w:before="225" w:line="220" w:lineRule="auto"/>
              <w:ind w:left="620"/>
            </w:pPr>
            <w:r>
              <w:rPr>
                <w:spacing w:val="-3"/>
              </w:rPr>
              <w:t>年龄</w:t>
            </w:r>
          </w:p>
        </w:tc>
        <w:tc>
          <w:tcPr>
            <w:tcW w:w="1463" w:type="dxa"/>
            <w:vAlign w:val="top"/>
          </w:tcPr>
          <w:p w14:paraId="630B6FDA">
            <w:pPr>
              <w:rPr>
                <w:rFonts w:ascii="Arial"/>
                <w:sz w:val="21"/>
              </w:rPr>
            </w:pPr>
          </w:p>
        </w:tc>
        <w:tc>
          <w:tcPr>
            <w:tcW w:w="1775" w:type="dxa"/>
            <w:vAlign w:val="top"/>
          </w:tcPr>
          <w:p w14:paraId="4F32DAB3">
            <w:pPr>
              <w:pStyle w:val="9"/>
              <w:spacing w:before="226" w:line="220" w:lineRule="auto"/>
              <w:ind w:left="684"/>
            </w:pPr>
            <w:r>
              <w:rPr>
                <w:spacing w:val="-3"/>
              </w:rPr>
              <w:t>专业</w:t>
            </w:r>
          </w:p>
        </w:tc>
        <w:tc>
          <w:tcPr>
            <w:tcW w:w="1834" w:type="dxa"/>
            <w:vAlign w:val="top"/>
          </w:tcPr>
          <w:p w14:paraId="0A5673D9">
            <w:pPr>
              <w:rPr>
                <w:rFonts w:ascii="Arial"/>
                <w:sz w:val="21"/>
              </w:rPr>
            </w:pPr>
          </w:p>
        </w:tc>
      </w:tr>
      <w:tr w14:paraId="070A0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77488014">
            <w:pPr>
              <w:spacing w:line="267" w:lineRule="auto"/>
              <w:rPr>
                <w:rFonts w:ascii="Arial"/>
                <w:sz w:val="21"/>
              </w:rPr>
            </w:pPr>
          </w:p>
          <w:p w14:paraId="6ED4F82F">
            <w:pPr>
              <w:pStyle w:val="9"/>
              <w:spacing w:before="68" w:line="220" w:lineRule="auto"/>
              <w:ind w:left="275"/>
            </w:pPr>
            <w:r>
              <w:rPr>
                <w:spacing w:val="-2"/>
              </w:rPr>
              <w:t>技术职称</w:t>
            </w:r>
          </w:p>
        </w:tc>
        <w:tc>
          <w:tcPr>
            <w:tcW w:w="1199" w:type="dxa"/>
            <w:vAlign w:val="top"/>
          </w:tcPr>
          <w:p w14:paraId="6B4AF6D5">
            <w:pPr>
              <w:rPr>
                <w:rFonts w:ascii="Arial"/>
                <w:sz w:val="21"/>
              </w:rPr>
            </w:pPr>
          </w:p>
        </w:tc>
        <w:tc>
          <w:tcPr>
            <w:tcW w:w="1649" w:type="dxa"/>
            <w:vAlign w:val="top"/>
          </w:tcPr>
          <w:p w14:paraId="655BF811">
            <w:pPr>
              <w:spacing w:line="267" w:lineRule="auto"/>
              <w:rPr>
                <w:rFonts w:ascii="Arial"/>
                <w:sz w:val="21"/>
              </w:rPr>
            </w:pPr>
          </w:p>
          <w:p w14:paraId="597E39BB">
            <w:pPr>
              <w:pStyle w:val="9"/>
              <w:spacing w:before="69" w:line="221" w:lineRule="auto"/>
              <w:ind w:left="623"/>
            </w:pPr>
            <w:r>
              <w:rPr>
                <w:spacing w:val="-4"/>
              </w:rPr>
              <w:t>学历</w:t>
            </w:r>
          </w:p>
        </w:tc>
        <w:tc>
          <w:tcPr>
            <w:tcW w:w="1463" w:type="dxa"/>
            <w:vAlign w:val="top"/>
          </w:tcPr>
          <w:p w14:paraId="1C31E017">
            <w:pPr>
              <w:rPr>
                <w:rFonts w:ascii="Arial"/>
                <w:sz w:val="21"/>
              </w:rPr>
            </w:pPr>
          </w:p>
        </w:tc>
        <w:tc>
          <w:tcPr>
            <w:tcW w:w="1775" w:type="dxa"/>
            <w:vAlign w:val="top"/>
          </w:tcPr>
          <w:p w14:paraId="2558E65F">
            <w:pPr>
              <w:pStyle w:val="9"/>
              <w:spacing w:before="138" w:line="288" w:lineRule="auto"/>
              <w:ind w:left="475" w:right="358" w:hanging="106"/>
            </w:pPr>
            <w:r>
              <w:rPr>
                <w:spacing w:val="-2"/>
              </w:rPr>
              <w:t>拟在本标段</w:t>
            </w:r>
            <w:r>
              <w:rPr>
                <w:spacing w:val="-3"/>
              </w:rPr>
              <w:t>工程任职</w:t>
            </w:r>
          </w:p>
        </w:tc>
        <w:tc>
          <w:tcPr>
            <w:tcW w:w="1834" w:type="dxa"/>
            <w:vAlign w:val="top"/>
          </w:tcPr>
          <w:p w14:paraId="2D938BED">
            <w:pPr>
              <w:rPr>
                <w:rFonts w:ascii="Arial"/>
                <w:sz w:val="21"/>
              </w:rPr>
            </w:pPr>
          </w:p>
        </w:tc>
      </w:tr>
      <w:tr w14:paraId="772A6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7447DC4A">
            <w:pPr>
              <w:spacing w:line="268" w:lineRule="auto"/>
              <w:rPr>
                <w:rFonts w:ascii="Arial"/>
                <w:sz w:val="21"/>
              </w:rPr>
            </w:pPr>
          </w:p>
          <w:p w14:paraId="24836CCF">
            <w:pPr>
              <w:pStyle w:val="9"/>
              <w:spacing w:before="68" w:line="220" w:lineRule="auto"/>
              <w:ind w:left="276"/>
            </w:pPr>
            <w:r>
              <w:rPr>
                <w:spacing w:val="-3"/>
              </w:rPr>
              <w:t>工作年限</w:t>
            </w:r>
          </w:p>
        </w:tc>
        <w:tc>
          <w:tcPr>
            <w:tcW w:w="4311" w:type="dxa"/>
            <w:gridSpan w:val="3"/>
            <w:vAlign w:val="top"/>
          </w:tcPr>
          <w:p w14:paraId="61A78629">
            <w:pPr>
              <w:rPr>
                <w:rFonts w:ascii="Arial"/>
                <w:sz w:val="21"/>
              </w:rPr>
            </w:pPr>
          </w:p>
        </w:tc>
        <w:tc>
          <w:tcPr>
            <w:tcW w:w="1775" w:type="dxa"/>
            <w:vAlign w:val="top"/>
          </w:tcPr>
          <w:p w14:paraId="5D022146">
            <w:pPr>
              <w:pStyle w:val="9"/>
              <w:spacing w:before="138" w:line="288" w:lineRule="auto"/>
              <w:ind w:left="683" w:right="254" w:hanging="420"/>
            </w:pPr>
            <w:r>
              <w:rPr>
                <w:spacing w:val="-2"/>
              </w:rPr>
              <w:t>类似施工经验</w:t>
            </w:r>
            <w:r>
              <w:rPr>
                <w:spacing w:val="-3"/>
              </w:rPr>
              <w:t>年限</w:t>
            </w:r>
          </w:p>
        </w:tc>
        <w:tc>
          <w:tcPr>
            <w:tcW w:w="1834" w:type="dxa"/>
            <w:vAlign w:val="top"/>
          </w:tcPr>
          <w:p w14:paraId="4CFD7EC6">
            <w:pPr>
              <w:rPr>
                <w:rFonts w:ascii="Arial"/>
                <w:sz w:val="21"/>
              </w:rPr>
            </w:pPr>
          </w:p>
        </w:tc>
      </w:tr>
      <w:tr w14:paraId="3C5C4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71A39105">
            <w:pPr>
              <w:pStyle w:val="9"/>
              <w:spacing w:before="222" w:line="220" w:lineRule="auto"/>
              <w:ind w:left="278"/>
            </w:pPr>
            <w:r>
              <w:rPr>
                <w:spacing w:val="-3"/>
              </w:rPr>
              <w:t>毕业学校</w:t>
            </w:r>
          </w:p>
        </w:tc>
        <w:tc>
          <w:tcPr>
            <w:tcW w:w="7920" w:type="dxa"/>
            <w:gridSpan w:val="5"/>
            <w:vAlign w:val="top"/>
          </w:tcPr>
          <w:p w14:paraId="6D48D290">
            <w:pPr>
              <w:pStyle w:val="9"/>
              <w:tabs>
                <w:tab w:val="left" w:pos="1486"/>
              </w:tabs>
              <w:spacing w:before="222" w:line="220" w:lineRule="auto"/>
              <w:ind w:left="857"/>
            </w:pPr>
            <w:r>
              <w:rPr>
                <w:u w:val="single" w:color="auto"/>
              </w:rPr>
              <w:tab/>
            </w:r>
            <w:r>
              <w:rPr>
                <w:spacing w:val="-95"/>
              </w:rPr>
              <w:t xml:space="preserve"> </w:t>
            </w:r>
            <w:r>
              <w:rPr>
                <w:spacing w:val="-1"/>
              </w:rPr>
              <w:t>年</w:t>
            </w:r>
            <w:r>
              <w:rPr>
                <w:spacing w:val="-1"/>
                <w:u w:val="single" w:color="auto"/>
              </w:rPr>
              <w:t xml:space="preserve">   </w:t>
            </w:r>
            <w:r>
              <w:rPr>
                <w:spacing w:val="-92"/>
              </w:rPr>
              <w:t xml:space="preserve"> </w:t>
            </w:r>
            <w:r>
              <w:rPr>
                <w:spacing w:val="-1"/>
              </w:rPr>
              <w:t>月毕业于</w:t>
            </w:r>
            <w:r>
              <w:rPr>
                <w:spacing w:val="-1"/>
                <w:u w:val="single" w:color="auto"/>
              </w:rPr>
              <w:t xml:space="preserve">          </w:t>
            </w:r>
            <w:r>
              <w:rPr>
                <w:spacing w:val="-95"/>
              </w:rPr>
              <w:t xml:space="preserve"> </w:t>
            </w:r>
            <w:r>
              <w:rPr>
                <w:spacing w:val="-1"/>
              </w:rPr>
              <w:t>学校</w:t>
            </w:r>
            <w:r>
              <w:rPr>
                <w:spacing w:val="-1"/>
                <w:u w:val="single" w:color="auto"/>
              </w:rPr>
              <w:t xml:space="preserve">      </w:t>
            </w:r>
            <w:r>
              <w:rPr>
                <w:spacing w:val="-2"/>
                <w:u w:val="single" w:color="auto"/>
              </w:rPr>
              <w:t xml:space="preserve">  </w:t>
            </w:r>
            <w:r>
              <w:rPr>
                <w:spacing w:val="-97"/>
              </w:rPr>
              <w:t xml:space="preserve"> </w:t>
            </w:r>
            <w:r>
              <w:rPr>
                <w:spacing w:val="-2"/>
              </w:rPr>
              <w:t>专业，学制</w:t>
            </w:r>
            <w:r>
              <w:rPr>
                <w:u w:val="single" w:color="auto"/>
              </w:rPr>
              <w:t xml:space="preserve">      </w:t>
            </w:r>
            <w:r>
              <w:rPr>
                <w:spacing w:val="-96"/>
              </w:rPr>
              <w:t xml:space="preserve"> </w:t>
            </w:r>
            <w:r>
              <w:rPr>
                <w:spacing w:val="-2"/>
              </w:rPr>
              <w:t>年</w:t>
            </w:r>
          </w:p>
        </w:tc>
      </w:tr>
      <w:tr w14:paraId="5D641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9299" w:type="dxa"/>
            <w:gridSpan w:val="6"/>
            <w:vAlign w:val="top"/>
          </w:tcPr>
          <w:p w14:paraId="54712D9E">
            <w:pPr>
              <w:pStyle w:val="9"/>
              <w:spacing w:before="224" w:line="222" w:lineRule="auto"/>
              <w:ind w:left="4446"/>
            </w:pPr>
            <w:r>
              <w:rPr>
                <w:spacing w:val="-3"/>
              </w:rPr>
              <w:t>经历</w:t>
            </w:r>
          </w:p>
        </w:tc>
      </w:tr>
      <w:tr w14:paraId="22539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379" w:type="dxa"/>
            <w:vAlign w:val="top"/>
          </w:tcPr>
          <w:p w14:paraId="6E7A53E8">
            <w:pPr>
              <w:spacing w:line="269" w:lineRule="auto"/>
              <w:rPr>
                <w:rFonts w:ascii="Arial"/>
                <w:sz w:val="21"/>
              </w:rPr>
            </w:pPr>
          </w:p>
          <w:p w14:paraId="5FE04E83">
            <w:pPr>
              <w:pStyle w:val="9"/>
              <w:spacing w:before="69" w:line="222" w:lineRule="auto"/>
              <w:ind w:left="494"/>
            </w:pPr>
            <w:r>
              <w:rPr>
                <w:spacing w:val="-5"/>
              </w:rPr>
              <w:t>时间</w:t>
            </w:r>
          </w:p>
        </w:tc>
        <w:tc>
          <w:tcPr>
            <w:tcW w:w="4311" w:type="dxa"/>
            <w:gridSpan w:val="3"/>
            <w:vAlign w:val="top"/>
          </w:tcPr>
          <w:p w14:paraId="4B3C6C27">
            <w:pPr>
              <w:spacing w:line="269" w:lineRule="auto"/>
              <w:rPr>
                <w:rFonts w:ascii="Arial"/>
                <w:sz w:val="21"/>
              </w:rPr>
            </w:pPr>
          </w:p>
          <w:p w14:paraId="67770FF1">
            <w:pPr>
              <w:pStyle w:val="9"/>
              <w:spacing w:before="69" w:line="220" w:lineRule="auto"/>
              <w:ind w:left="902"/>
            </w:pPr>
            <w:r>
              <w:rPr>
                <w:spacing w:val="-1"/>
              </w:rPr>
              <w:t>参加过的类似工程项目名称</w:t>
            </w:r>
          </w:p>
        </w:tc>
        <w:tc>
          <w:tcPr>
            <w:tcW w:w="1775" w:type="dxa"/>
            <w:vAlign w:val="top"/>
          </w:tcPr>
          <w:p w14:paraId="0174B6AE">
            <w:pPr>
              <w:spacing w:line="269" w:lineRule="auto"/>
              <w:rPr>
                <w:rFonts w:ascii="Arial"/>
                <w:sz w:val="21"/>
              </w:rPr>
            </w:pPr>
          </w:p>
          <w:p w14:paraId="5977C99C">
            <w:pPr>
              <w:pStyle w:val="9"/>
              <w:spacing w:before="69" w:line="220" w:lineRule="auto"/>
              <w:ind w:left="474"/>
            </w:pPr>
            <w:r>
              <w:rPr>
                <w:spacing w:val="-2"/>
              </w:rPr>
              <w:t>担任职务</w:t>
            </w:r>
          </w:p>
        </w:tc>
        <w:tc>
          <w:tcPr>
            <w:tcW w:w="1834" w:type="dxa"/>
            <w:vAlign w:val="top"/>
          </w:tcPr>
          <w:p w14:paraId="500B2775">
            <w:pPr>
              <w:pStyle w:val="9"/>
              <w:spacing w:before="140" w:line="220" w:lineRule="auto"/>
              <w:ind w:left="505"/>
            </w:pPr>
            <w:r>
              <w:rPr>
                <w:spacing w:val="-3"/>
              </w:rPr>
              <w:t>发包人及</w:t>
            </w:r>
          </w:p>
          <w:p w14:paraId="7A7CD97C">
            <w:pPr>
              <w:pStyle w:val="9"/>
              <w:spacing w:before="149" w:line="222" w:lineRule="auto"/>
              <w:ind w:left="503"/>
            </w:pPr>
            <w:r>
              <w:rPr>
                <w:spacing w:val="-2"/>
              </w:rPr>
              <w:t>联系电话</w:t>
            </w:r>
          </w:p>
        </w:tc>
      </w:tr>
      <w:tr w14:paraId="6DE4F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12710A0A">
            <w:pPr>
              <w:rPr>
                <w:rFonts w:ascii="Arial"/>
                <w:sz w:val="21"/>
              </w:rPr>
            </w:pPr>
          </w:p>
        </w:tc>
        <w:tc>
          <w:tcPr>
            <w:tcW w:w="4311" w:type="dxa"/>
            <w:gridSpan w:val="3"/>
            <w:vAlign w:val="top"/>
          </w:tcPr>
          <w:p w14:paraId="1E84F083">
            <w:pPr>
              <w:rPr>
                <w:rFonts w:ascii="Arial"/>
                <w:sz w:val="21"/>
              </w:rPr>
            </w:pPr>
          </w:p>
        </w:tc>
        <w:tc>
          <w:tcPr>
            <w:tcW w:w="1775" w:type="dxa"/>
            <w:vAlign w:val="top"/>
          </w:tcPr>
          <w:p w14:paraId="4678AC58">
            <w:pPr>
              <w:rPr>
                <w:rFonts w:ascii="Arial"/>
                <w:sz w:val="21"/>
              </w:rPr>
            </w:pPr>
          </w:p>
        </w:tc>
        <w:tc>
          <w:tcPr>
            <w:tcW w:w="1834" w:type="dxa"/>
            <w:vAlign w:val="top"/>
          </w:tcPr>
          <w:p w14:paraId="5D2B9D64">
            <w:pPr>
              <w:rPr>
                <w:rFonts w:ascii="Arial"/>
                <w:sz w:val="21"/>
              </w:rPr>
            </w:pPr>
          </w:p>
        </w:tc>
      </w:tr>
      <w:tr w14:paraId="7A676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79" w:type="dxa"/>
            <w:vAlign w:val="top"/>
          </w:tcPr>
          <w:p w14:paraId="0BE50093">
            <w:pPr>
              <w:rPr>
                <w:rFonts w:ascii="Arial"/>
                <w:sz w:val="21"/>
              </w:rPr>
            </w:pPr>
          </w:p>
        </w:tc>
        <w:tc>
          <w:tcPr>
            <w:tcW w:w="4311" w:type="dxa"/>
            <w:gridSpan w:val="3"/>
            <w:vAlign w:val="top"/>
          </w:tcPr>
          <w:p w14:paraId="4835BBAE">
            <w:pPr>
              <w:rPr>
                <w:rFonts w:ascii="Arial"/>
                <w:sz w:val="21"/>
              </w:rPr>
            </w:pPr>
          </w:p>
        </w:tc>
        <w:tc>
          <w:tcPr>
            <w:tcW w:w="1775" w:type="dxa"/>
            <w:vAlign w:val="top"/>
          </w:tcPr>
          <w:p w14:paraId="69E004B4">
            <w:pPr>
              <w:rPr>
                <w:rFonts w:ascii="Arial"/>
                <w:sz w:val="21"/>
              </w:rPr>
            </w:pPr>
          </w:p>
        </w:tc>
        <w:tc>
          <w:tcPr>
            <w:tcW w:w="1834" w:type="dxa"/>
            <w:vAlign w:val="top"/>
          </w:tcPr>
          <w:p w14:paraId="79690AD5">
            <w:pPr>
              <w:rPr>
                <w:rFonts w:ascii="Arial"/>
                <w:sz w:val="21"/>
              </w:rPr>
            </w:pPr>
          </w:p>
        </w:tc>
      </w:tr>
      <w:tr w14:paraId="1F823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107A555A">
            <w:pPr>
              <w:rPr>
                <w:rFonts w:ascii="Arial"/>
                <w:sz w:val="21"/>
              </w:rPr>
            </w:pPr>
          </w:p>
        </w:tc>
        <w:tc>
          <w:tcPr>
            <w:tcW w:w="4311" w:type="dxa"/>
            <w:gridSpan w:val="3"/>
            <w:vAlign w:val="top"/>
          </w:tcPr>
          <w:p w14:paraId="01E0F0E4">
            <w:pPr>
              <w:rPr>
                <w:rFonts w:ascii="Arial"/>
                <w:sz w:val="21"/>
              </w:rPr>
            </w:pPr>
          </w:p>
        </w:tc>
        <w:tc>
          <w:tcPr>
            <w:tcW w:w="1775" w:type="dxa"/>
            <w:vAlign w:val="top"/>
          </w:tcPr>
          <w:p w14:paraId="3D3A934D">
            <w:pPr>
              <w:rPr>
                <w:rFonts w:ascii="Arial"/>
                <w:sz w:val="21"/>
              </w:rPr>
            </w:pPr>
          </w:p>
        </w:tc>
        <w:tc>
          <w:tcPr>
            <w:tcW w:w="1834" w:type="dxa"/>
            <w:vAlign w:val="top"/>
          </w:tcPr>
          <w:p w14:paraId="66077F07">
            <w:pPr>
              <w:rPr>
                <w:rFonts w:ascii="Arial"/>
                <w:sz w:val="21"/>
              </w:rPr>
            </w:pPr>
          </w:p>
        </w:tc>
      </w:tr>
      <w:tr w14:paraId="75180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4F79983A">
            <w:pPr>
              <w:rPr>
                <w:rFonts w:ascii="Arial"/>
                <w:sz w:val="21"/>
              </w:rPr>
            </w:pPr>
          </w:p>
        </w:tc>
        <w:tc>
          <w:tcPr>
            <w:tcW w:w="4311" w:type="dxa"/>
            <w:gridSpan w:val="3"/>
            <w:vAlign w:val="top"/>
          </w:tcPr>
          <w:p w14:paraId="6F410B43">
            <w:pPr>
              <w:rPr>
                <w:rFonts w:ascii="Arial"/>
                <w:sz w:val="21"/>
              </w:rPr>
            </w:pPr>
          </w:p>
        </w:tc>
        <w:tc>
          <w:tcPr>
            <w:tcW w:w="1775" w:type="dxa"/>
            <w:vAlign w:val="top"/>
          </w:tcPr>
          <w:p w14:paraId="78446763">
            <w:pPr>
              <w:rPr>
                <w:rFonts w:ascii="Arial"/>
                <w:sz w:val="21"/>
              </w:rPr>
            </w:pPr>
          </w:p>
        </w:tc>
        <w:tc>
          <w:tcPr>
            <w:tcW w:w="1834" w:type="dxa"/>
            <w:vAlign w:val="top"/>
          </w:tcPr>
          <w:p w14:paraId="413522A5">
            <w:pPr>
              <w:rPr>
                <w:rFonts w:ascii="Arial"/>
                <w:sz w:val="21"/>
              </w:rPr>
            </w:pPr>
          </w:p>
        </w:tc>
      </w:tr>
      <w:tr w14:paraId="72B7B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1143D356">
            <w:pPr>
              <w:rPr>
                <w:rFonts w:ascii="Arial"/>
                <w:sz w:val="21"/>
              </w:rPr>
            </w:pPr>
          </w:p>
        </w:tc>
        <w:tc>
          <w:tcPr>
            <w:tcW w:w="4311" w:type="dxa"/>
            <w:gridSpan w:val="3"/>
            <w:vAlign w:val="top"/>
          </w:tcPr>
          <w:p w14:paraId="0797BA57">
            <w:pPr>
              <w:rPr>
                <w:rFonts w:ascii="Arial"/>
                <w:sz w:val="21"/>
              </w:rPr>
            </w:pPr>
          </w:p>
        </w:tc>
        <w:tc>
          <w:tcPr>
            <w:tcW w:w="1775" w:type="dxa"/>
            <w:vAlign w:val="top"/>
          </w:tcPr>
          <w:p w14:paraId="6AA12C3C">
            <w:pPr>
              <w:rPr>
                <w:rFonts w:ascii="Arial"/>
                <w:sz w:val="21"/>
              </w:rPr>
            </w:pPr>
          </w:p>
        </w:tc>
        <w:tc>
          <w:tcPr>
            <w:tcW w:w="1834" w:type="dxa"/>
            <w:vAlign w:val="top"/>
          </w:tcPr>
          <w:p w14:paraId="740BDE36">
            <w:pPr>
              <w:rPr>
                <w:rFonts w:ascii="Arial"/>
                <w:sz w:val="21"/>
              </w:rPr>
            </w:pPr>
          </w:p>
        </w:tc>
      </w:tr>
      <w:tr w14:paraId="1005F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09E9C7A0">
            <w:pPr>
              <w:rPr>
                <w:rFonts w:ascii="Arial"/>
                <w:sz w:val="21"/>
              </w:rPr>
            </w:pPr>
          </w:p>
        </w:tc>
        <w:tc>
          <w:tcPr>
            <w:tcW w:w="4311" w:type="dxa"/>
            <w:gridSpan w:val="3"/>
            <w:vAlign w:val="top"/>
          </w:tcPr>
          <w:p w14:paraId="5C0C8508">
            <w:pPr>
              <w:rPr>
                <w:rFonts w:ascii="Arial"/>
                <w:sz w:val="21"/>
              </w:rPr>
            </w:pPr>
          </w:p>
        </w:tc>
        <w:tc>
          <w:tcPr>
            <w:tcW w:w="1775" w:type="dxa"/>
            <w:vAlign w:val="top"/>
          </w:tcPr>
          <w:p w14:paraId="4165928E">
            <w:pPr>
              <w:rPr>
                <w:rFonts w:ascii="Arial"/>
                <w:sz w:val="21"/>
              </w:rPr>
            </w:pPr>
          </w:p>
        </w:tc>
        <w:tc>
          <w:tcPr>
            <w:tcW w:w="1834" w:type="dxa"/>
            <w:vAlign w:val="top"/>
          </w:tcPr>
          <w:p w14:paraId="10F65C81">
            <w:pPr>
              <w:rPr>
                <w:rFonts w:ascii="Arial"/>
                <w:sz w:val="21"/>
              </w:rPr>
            </w:pPr>
          </w:p>
        </w:tc>
      </w:tr>
      <w:tr w14:paraId="6FC16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79" w:type="dxa"/>
            <w:vAlign w:val="top"/>
          </w:tcPr>
          <w:p w14:paraId="13899D8F">
            <w:pPr>
              <w:rPr>
                <w:rFonts w:ascii="Arial"/>
                <w:sz w:val="21"/>
              </w:rPr>
            </w:pPr>
          </w:p>
        </w:tc>
        <w:tc>
          <w:tcPr>
            <w:tcW w:w="4311" w:type="dxa"/>
            <w:gridSpan w:val="3"/>
            <w:vAlign w:val="top"/>
          </w:tcPr>
          <w:p w14:paraId="48CA7647">
            <w:pPr>
              <w:rPr>
                <w:rFonts w:ascii="Arial"/>
                <w:sz w:val="21"/>
              </w:rPr>
            </w:pPr>
          </w:p>
        </w:tc>
        <w:tc>
          <w:tcPr>
            <w:tcW w:w="1775" w:type="dxa"/>
            <w:vAlign w:val="top"/>
          </w:tcPr>
          <w:p w14:paraId="4FB4E7D7">
            <w:pPr>
              <w:rPr>
                <w:rFonts w:ascii="Arial"/>
                <w:sz w:val="21"/>
              </w:rPr>
            </w:pPr>
          </w:p>
        </w:tc>
        <w:tc>
          <w:tcPr>
            <w:tcW w:w="1834" w:type="dxa"/>
            <w:vAlign w:val="top"/>
          </w:tcPr>
          <w:p w14:paraId="21F39410">
            <w:pPr>
              <w:rPr>
                <w:rFonts w:ascii="Arial"/>
                <w:sz w:val="21"/>
              </w:rPr>
            </w:pPr>
          </w:p>
        </w:tc>
      </w:tr>
      <w:tr w14:paraId="5A134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379" w:type="dxa"/>
            <w:vAlign w:val="top"/>
          </w:tcPr>
          <w:p w14:paraId="2EED8F39">
            <w:pPr>
              <w:rPr>
                <w:rFonts w:ascii="Arial"/>
                <w:sz w:val="21"/>
              </w:rPr>
            </w:pPr>
          </w:p>
        </w:tc>
        <w:tc>
          <w:tcPr>
            <w:tcW w:w="4311" w:type="dxa"/>
            <w:gridSpan w:val="3"/>
            <w:vAlign w:val="top"/>
          </w:tcPr>
          <w:p w14:paraId="42E6AB9F">
            <w:pPr>
              <w:rPr>
                <w:rFonts w:ascii="Arial"/>
                <w:sz w:val="21"/>
              </w:rPr>
            </w:pPr>
          </w:p>
        </w:tc>
        <w:tc>
          <w:tcPr>
            <w:tcW w:w="1775" w:type="dxa"/>
            <w:vAlign w:val="top"/>
          </w:tcPr>
          <w:p w14:paraId="5E7377EE">
            <w:pPr>
              <w:rPr>
                <w:rFonts w:ascii="Arial"/>
                <w:sz w:val="21"/>
              </w:rPr>
            </w:pPr>
          </w:p>
        </w:tc>
        <w:tc>
          <w:tcPr>
            <w:tcW w:w="1834" w:type="dxa"/>
            <w:vAlign w:val="top"/>
          </w:tcPr>
          <w:p w14:paraId="2F529B92">
            <w:pPr>
              <w:rPr>
                <w:rFonts w:ascii="Arial"/>
                <w:sz w:val="21"/>
              </w:rPr>
            </w:pPr>
          </w:p>
        </w:tc>
      </w:tr>
      <w:tr w14:paraId="1D608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2578" w:type="dxa"/>
            <w:gridSpan w:val="2"/>
            <w:vAlign w:val="top"/>
          </w:tcPr>
          <w:p w14:paraId="541ABC2F">
            <w:pPr>
              <w:pStyle w:val="9"/>
              <w:spacing w:before="225" w:line="220" w:lineRule="auto"/>
              <w:ind w:left="877"/>
            </w:pPr>
            <w:r>
              <w:rPr>
                <w:spacing w:val="-3"/>
              </w:rPr>
              <w:t>获奖情况</w:t>
            </w:r>
          </w:p>
        </w:tc>
        <w:tc>
          <w:tcPr>
            <w:tcW w:w="6721" w:type="dxa"/>
            <w:gridSpan w:val="4"/>
            <w:vAlign w:val="top"/>
          </w:tcPr>
          <w:p w14:paraId="03427139">
            <w:pPr>
              <w:rPr>
                <w:rFonts w:ascii="Arial"/>
                <w:sz w:val="21"/>
              </w:rPr>
            </w:pPr>
          </w:p>
        </w:tc>
      </w:tr>
      <w:tr w14:paraId="0BF50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578" w:type="dxa"/>
            <w:gridSpan w:val="2"/>
            <w:vAlign w:val="top"/>
          </w:tcPr>
          <w:p w14:paraId="2489B086">
            <w:pPr>
              <w:pStyle w:val="9"/>
              <w:spacing w:before="226" w:line="221" w:lineRule="auto"/>
              <w:ind w:left="1086"/>
            </w:pPr>
            <w:r>
              <w:rPr>
                <w:spacing w:val="-3"/>
              </w:rPr>
              <w:t>备注</w:t>
            </w:r>
          </w:p>
        </w:tc>
        <w:tc>
          <w:tcPr>
            <w:tcW w:w="6721" w:type="dxa"/>
            <w:gridSpan w:val="4"/>
            <w:vAlign w:val="top"/>
          </w:tcPr>
          <w:p w14:paraId="75DCF32C">
            <w:pPr>
              <w:rPr>
                <w:rFonts w:ascii="Arial"/>
                <w:sz w:val="21"/>
              </w:rPr>
            </w:pPr>
          </w:p>
        </w:tc>
      </w:tr>
    </w:tbl>
    <w:p w14:paraId="1490C46D">
      <w:pPr>
        <w:spacing w:before="49" w:line="224" w:lineRule="auto"/>
        <w:ind w:left="124"/>
        <w:rPr>
          <w:rFonts w:ascii="宋体" w:hAnsi="宋体" w:eastAsia="宋体" w:cs="宋体"/>
          <w:sz w:val="21"/>
          <w:szCs w:val="21"/>
        </w:rPr>
      </w:pPr>
      <w:r>
        <w:rPr>
          <w:rFonts w:ascii="宋体" w:hAnsi="宋体" w:eastAsia="宋体" w:cs="宋体"/>
          <w:spacing w:val="-15"/>
          <w:sz w:val="21"/>
          <w:szCs w:val="21"/>
        </w:rPr>
        <w:t>注：</w:t>
      </w:r>
    </w:p>
    <w:p w14:paraId="2A02B411">
      <w:pPr>
        <w:spacing w:before="57" w:line="219" w:lineRule="auto"/>
        <w:ind w:left="140"/>
        <w:rPr>
          <w:rFonts w:ascii="宋体" w:hAnsi="宋体" w:eastAsia="宋体" w:cs="宋体"/>
          <w:sz w:val="21"/>
          <w:szCs w:val="21"/>
        </w:rPr>
      </w:pPr>
      <w:r>
        <w:rPr>
          <w:rFonts w:ascii="宋体" w:hAnsi="宋体" w:eastAsia="宋体" w:cs="宋体"/>
          <w:spacing w:val="-3"/>
          <w:sz w:val="21"/>
          <w:szCs w:val="21"/>
        </w:rPr>
        <w:t>1.本表人员应与表（七）-1</w:t>
      </w:r>
      <w:r>
        <w:rPr>
          <w:rFonts w:ascii="宋体" w:hAnsi="宋体" w:eastAsia="宋体" w:cs="宋体"/>
          <w:spacing w:val="-25"/>
          <w:sz w:val="21"/>
          <w:szCs w:val="21"/>
        </w:rPr>
        <w:t xml:space="preserve"> </w:t>
      </w:r>
      <w:r>
        <w:rPr>
          <w:rFonts w:ascii="宋体" w:hAnsi="宋体" w:eastAsia="宋体" w:cs="宋体"/>
          <w:spacing w:val="-3"/>
          <w:sz w:val="21"/>
          <w:szCs w:val="21"/>
        </w:rPr>
        <w:t>中所列人员相一致。</w:t>
      </w:r>
    </w:p>
    <w:p w14:paraId="5EF42D44">
      <w:pPr>
        <w:spacing w:before="62" w:line="219" w:lineRule="auto"/>
        <w:ind w:left="127"/>
        <w:rPr>
          <w:rFonts w:ascii="宋体" w:hAnsi="宋体" w:eastAsia="宋体" w:cs="宋体"/>
          <w:sz w:val="21"/>
          <w:szCs w:val="21"/>
        </w:rPr>
      </w:pPr>
      <w:r>
        <w:rPr>
          <w:rFonts w:ascii="宋体" w:hAnsi="宋体" w:eastAsia="宋体" w:cs="宋体"/>
          <w:spacing w:val="-1"/>
          <w:sz w:val="21"/>
          <w:szCs w:val="21"/>
        </w:rPr>
        <w:t>2.投标人应根据招标文件第二章“投标人须知”第</w:t>
      </w:r>
      <w:r>
        <w:rPr>
          <w:rFonts w:ascii="宋体" w:hAnsi="宋体" w:eastAsia="宋体" w:cs="宋体"/>
          <w:spacing w:val="-41"/>
          <w:sz w:val="21"/>
          <w:szCs w:val="21"/>
        </w:rPr>
        <w:t xml:space="preserve"> </w:t>
      </w:r>
      <w:r>
        <w:rPr>
          <w:rFonts w:ascii="宋体" w:hAnsi="宋体" w:eastAsia="宋体" w:cs="宋体"/>
          <w:spacing w:val="-1"/>
          <w:sz w:val="21"/>
          <w:szCs w:val="21"/>
        </w:rPr>
        <w:t>3</w:t>
      </w:r>
      <w:r>
        <w:rPr>
          <w:rFonts w:ascii="宋体" w:hAnsi="宋体" w:eastAsia="宋体" w:cs="宋体"/>
          <w:spacing w:val="-2"/>
          <w:sz w:val="21"/>
          <w:szCs w:val="21"/>
        </w:rPr>
        <w:t>.5.6</w:t>
      </w:r>
      <w:r>
        <w:rPr>
          <w:rFonts w:ascii="宋体" w:hAnsi="宋体" w:eastAsia="宋体" w:cs="宋体"/>
          <w:spacing w:val="-40"/>
          <w:sz w:val="21"/>
          <w:szCs w:val="21"/>
        </w:rPr>
        <w:t xml:space="preserve"> </w:t>
      </w:r>
      <w:r>
        <w:rPr>
          <w:rFonts w:ascii="宋体" w:hAnsi="宋体" w:eastAsia="宋体" w:cs="宋体"/>
          <w:spacing w:val="-2"/>
          <w:sz w:val="21"/>
          <w:szCs w:val="21"/>
        </w:rPr>
        <w:t>项的要求在本表后附相关证明材料。</w:t>
      </w:r>
    </w:p>
    <w:p w14:paraId="5F596D7B">
      <w:pPr>
        <w:pStyle w:val="2"/>
        <w:spacing w:line="264" w:lineRule="auto"/>
      </w:pPr>
    </w:p>
    <w:p w14:paraId="078B491E">
      <w:pPr>
        <w:pStyle w:val="2"/>
        <w:spacing w:line="264" w:lineRule="auto"/>
      </w:pPr>
    </w:p>
    <w:p w14:paraId="0AA33452">
      <w:pPr>
        <w:pStyle w:val="2"/>
        <w:spacing w:line="264" w:lineRule="auto"/>
      </w:pPr>
    </w:p>
    <w:p w14:paraId="7B243AB0">
      <w:pPr>
        <w:pStyle w:val="2"/>
        <w:spacing w:line="264" w:lineRule="auto"/>
      </w:pPr>
    </w:p>
    <w:p w14:paraId="4EA4D1EC">
      <w:pPr>
        <w:pStyle w:val="2"/>
        <w:spacing w:line="264" w:lineRule="auto"/>
      </w:pPr>
    </w:p>
    <w:p w14:paraId="2ECEF03F">
      <w:pPr>
        <w:pStyle w:val="2"/>
        <w:spacing w:line="264" w:lineRule="auto"/>
      </w:pPr>
    </w:p>
    <w:p w14:paraId="65827B6C">
      <w:pPr>
        <w:pStyle w:val="2"/>
        <w:spacing w:line="265" w:lineRule="auto"/>
      </w:pPr>
    </w:p>
    <w:p w14:paraId="42BA1684">
      <w:pPr>
        <w:spacing w:before="59" w:line="242" w:lineRule="auto"/>
        <w:ind w:left="122" w:right="132"/>
        <w:rPr>
          <w:rFonts w:ascii="宋体" w:hAnsi="宋体" w:eastAsia="宋体" w:cs="宋体"/>
          <w:sz w:val="18"/>
          <w:szCs w:val="18"/>
        </w:rPr>
      </w:pPr>
    </w:p>
    <w:p w14:paraId="7B2A285A">
      <w:pPr>
        <w:spacing w:line="242" w:lineRule="auto"/>
        <w:rPr>
          <w:rFonts w:ascii="宋体" w:hAnsi="宋体" w:eastAsia="宋体" w:cs="宋体"/>
          <w:sz w:val="18"/>
          <w:szCs w:val="18"/>
        </w:rPr>
        <w:sectPr>
          <w:headerReference r:id="rId201" w:type="default"/>
          <w:footerReference r:id="rId202" w:type="default"/>
          <w:pgSz w:w="11905" w:h="16840"/>
          <w:pgMar w:top="1182" w:right="1300" w:bottom="1171" w:left="1299" w:header="849" w:footer="937" w:gutter="0"/>
          <w:pgNumType w:fmt="decimal"/>
          <w:cols w:space="720" w:num="1"/>
        </w:sectPr>
      </w:pPr>
    </w:p>
    <w:p w14:paraId="5C3A5899">
      <w:pPr>
        <w:pStyle w:val="2"/>
        <w:spacing w:line="293" w:lineRule="auto"/>
      </w:pPr>
    </w:p>
    <w:p w14:paraId="04E36E9B">
      <w:pPr>
        <w:pStyle w:val="2"/>
        <w:spacing w:line="316" w:lineRule="auto"/>
      </w:pPr>
    </w:p>
    <w:p w14:paraId="6CC8812B">
      <w:pPr>
        <w:spacing w:before="87" w:line="227" w:lineRule="auto"/>
        <w:ind w:left="3707"/>
        <w:rPr>
          <w:rFonts w:ascii="宋体" w:hAnsi="宋体" w:eastAsia="宋体" w:cs="宋体"/>
          <w:sz w:val="27"/>
          <w:szCs w:val="27"/>
        </w:rPr>
      </w:pPr>
      <w:r>
        <w:rPr>
          <w:rFonts w:ascii="宋体" w:hAnsi="宋体" w:eastAsia="宋体" w:cs="宋体"/>
          <w:b/>
          <w:bCs/>
          <w:spacing w:val="5"/>
          <w:sz w:val="27"/>
          <w:szCs w:val="27"/>
        </w:rPr>
        <w:t>八、其他资料</w:t>
      </w:r>
    </w:p>
    <w:p w14:paraId="6A717285">
      <w:pPr>
        <w:pStyle w:val="2"/>
        <w:spacing w:line="310" w:lineRule="auto"/>
      </w:pPr>
    </w:p>
    <w:p w14:paraId="7E987A67">
      <w:pPr>
        <w:spacing w:before="78" w:line="218" w:lineRule="auto"/>
        <w:ind w:left="27"/>
        <w:rPr>
          <w:rFonts w:ascii="宋体" w:hAnsi="宋体" w:eastAsia="宋体" w:cs="宋体"/>
          <w:sz w:val="24"/>
          <w:szCs w:val="24"/>
        </w:rPr>
      </w:pPr>
      <w:r>
        <w:rPr>
          <w:rFonts w:ascii="宋体" w:hAnsi="宋体" w:eastAsia="宋体" w:cs="宋体"/>
          <w:spacing w:val="-2"/>
          <w:sz w:val="24"/>
          <w:szCs w:val="24"/>
        </w:rPr>
        <w:t>1、提供“八-1、使用广东省信用评价等级的申</w:t>
      </w:r>
      <w:r>
        <w:rPr>
          <w:rFonts w:ascii="宋体" w:hAnsi="宋体" w:eastAsia="宋体" w:cs="宋体"/>
          <w:spacing w:val="-3"/>
          <w:sz w:val="24"/>
          <w:szCs w:val="24"/>
        </w:rPr>
        <w:t>请承诺书”。</w:t>
      </w:r>
    </w:p>
    <w:p w14:paraId="11494FEC">
      <w:pPr>
        <w:spacing w:before="184" w:line="360" w:lineRule="auto"/>
        <w:ind w:left="11" w:right="16"/>
        <w:rPr>
          <w:rFonts w:ascii="宋体" w:hAnsi="宋体" w:eastAsia="宋体" w:cs="宋体"/>
          <w:sz w:val="24"/>
          <w:szCs w:val="24"/>
        </w:rPr>
      </w:pPr>
      <w:r>
        <w:rPr>
          <w:rFonts w:ascii="宋体" w:hAnsi="宋体" w:eastAsia="宋体" w:cs="宋体"/>
          <w:spacing w:val="1"/>
          <w:sz w:val="24"/>
          <w:szCs w:val="24"/>
        </w:rPr>
        <w:t>2、提供“八-2、</w:t>
      </w:r>
      <w:r>
        <w:rPr>
          <w:rFonts w:hint="eastAsia" w:ascii="宋体" w:hAnsi="宋体" w:eastAsia="宋体" w:cs="宋体"/>
          <w:spacing w:val="1"/>
          <w:sz w:val="24"/>
          <w:szCs w:val="24"/>
        </w:rPr>
        <w:t>投标人承诺书</w:t>
      </w:r>
      <w:r>
        <w:rPr>
          <w:rFonts w:ascii="宋体" w:hAnsi="宋体" w:eastAsia="宋体" w:cs="宋体"/>
          <w:spacing w:val="-2"/>
          <w:sz w:val="24"/>
          <w:szCs w:val="24"/>
        </w:rPr>
        <w:t>。</w:t>
      </w:r>
    </w:p>
    <w:p w14:paraId="75B157B4">
      <w:pPr>
        <w:spacing w:before="1" w:line="218" w:lineRule="auto"/>
        <w:ind w:left="14"/>
        <w:rPr>
          <w:rFonts w:ascii="宋体" w:hAnsi="宋体" w:eastAsia="宋体" w:cs="宋体"/>
          <w:sz w:val="24"/>
          <w:szCs w:val="24"/>
        </w:rPr>
      </w:pPr>
      <w:r>
        <w:rPr>
          <w:rFonts w:ascii="宋体" w:hAnsi="宋体" w:eastAsia="宋体" w:cs="宋体"/>
          <w:spacing w:val="-3"/>
          <w:sz w:val="24"/>
          <w:szCs w:val="24"/>
        </w:rPr>
        <w:t>3、提供“八-3、投标人的自评分表”。</w:t>
      </w:r>
    </w:p>
    <w:p w14:paraId="62B74785">
      <w:pPr>
        <w:spacing w:before="183" w:line="360" w:lineRule="auto"/>
        <w:ind w:left="10" w:right="6" w:hanging="2"/>
        <w:rPr>
          <w:rFonts w:ascii="宋体" w:hAnsi="宋体" w:eastAsia="宋体" w:cs="宋体"/>
          <w:sz w:val="24"/>
          <w:szCs w:val="24"/>
        </w:rPr>
      </w:pPr>
      <w:r>
        <w:rPr>
          <w:rFonts w:ascii="宋体" w:hAnsi="宋体" w:eastAsia="宋体" w:cs="宋体"/>
          <w:spacing w:val="-2"/>
          <w:sz w:val="24"/>
          <w:szCs w:val="24"/>
        </w:rPr>
        <w:t>4、提供最新年度广东省公路工程从业单位（</w:t>
      </w:r>
      <w:r>
        <w:rPr>
          <w:rFonts w:ascii="宋体" w:hAnsi="宋体" w:eastAsia="宋体" w:cs="宋体"/>
          <w:spacing w:val="-2"/>
          <w:sz w:val="24"/>
          <w:szCs w:val="24"/>
          <w:u w:val="single" w:color="auto"/>
        </w:rPr>
        <w:t>施工单位</w:t>
      </w:r>
      <w:r>
        <w:rPr>
          <w:rFonts w:ascii="宋体" w:hAnsi="宋体" w:eastAsia="宋体" w:cs="宋体"/>
          <w:spacing w:val="-14"/>
          <w:position w:val="10"/>
          <w:sz w:val="10"/>
          <w:szCs w:val="10"/>
        </w:rPr>
        <w:t xml:space="preserve"> </w:t>
      </w:r>
      <w:r>
        <w:rPr>
          <w:rFonts w:hint="eastAsia" w:ascii="宋体" w:hAnsi="宋体" w:cs="宋体"/>
          <w:spacing w:val="-14"/>
          <w:position w:val="10"/>
          <w:sz w:val="10"/>
          <w:szCs w:val="10"/>
          <w:lang w:eastAsia="zh-CN"/>
        </w:rPr>
        <w:t>）</w:t>
      </w:r>
      <w:r>
        <w:rPr>
          <w:rFonts w:ascii="宋体" w:hAnsi="宋体" w:eastAsia="宋体" w:cs="宋体"/>
          <w:spacing w:val="-2"/>
          <w:sz w:val="24"/>
          <w:szCs w:val="24"/>
        </w:rPr>
        <w:t xml:space="preserve"> 信用评价</w:t>
      </w:r>
      <w:r>
        <w:rPr>
          <w:rFonts w:ascii="宋体" w:hAnsi="宋体" w:eastAsia="宋体" w:cs="宋体"/>
          <w:spacing w:val="-3"/>
          <w:sz w:val="24"/>
          <w:szCs w:val="24"/>
        </w:rPr>
        <w:t>等级（若有</w:t>
      </w:r>
      <w:r>
        <w:rPr>
          <w:rFonts w:ascii="宋体" w:hAnsi="宋体" w:eastAsia="宋体" w:cs="宋体"/>
          <w:spacing w:val="1"/>
          <w:sz w:val="24"/>
          <w:szCs w:val="24"/>
        </w:rPr>
        <w:t>），</w:t>
      </w:r>
      <w:r>
        <w:rPr>
          <w:rFonts w:ascii="宋体" w:hAnsi="宋体" w:eastAsia="宋体" w:cs="宋体"/>
          <w:spacing w:val="-3"/>
          <w:sz w:val="24"/>
          <w:szCs w:val="24"/>
        </w:rPr>
        <w:t>并标</w:t>
      </w:r>
      <w:r>
        <w:rPr>
          <w:rFonts w:ascii="宋体" w:hAnsi="宋体" w:eastAsia="宋体" w:cs="宋体"/>
          <w:spacing w:val="-6"/>
          <w:sz w:val="24"/>
          <w:szCs w:val="24"/>
        </w:rPr>
        <w:t>识单位所在位置。</w:t>
      </w:r>
    </w:p>
    <w:p w14:paraId="14B05A84">
      <w:pPr>
        <w:spacing w:before="2" w:line="359" w:lineRule="auto"/>
        <w:ind w:left="10" w:right="2" w:firstLine="3"/>
        <w:rPr>
          <w:rFonts w:ascii="宋体" w:hAnsi="宋体" w:eastAsia="宋体" w:cs="宋体"/>
          <w:sz w:val="24"/>
          <w:szCs w:val="24"/>
        </w:rPr>
      </w:pPr>
      <w:r>
        <w:rPr>
          <w:rFonts w:ascii="宋体" w:hAnsi="宋体" w:eastAsia="宋体" w:cs="宋体"/>
          <w:sz w:val="24"/>
          <w:szCs w:val="24"/>
        </w:rPr>
        <w:t>5、初次进入广东省的，但在最新年度的全国综合评价结果为</w:t>
      </w:r>
      <w:r>
        <w:rPr>
          <w:rFonts w:ascii="宋体" w:hAnsi="宋体" w:eastAsia="宋体" w:cs="宋体"/>
          <w:spacing w:val="-43"/>
          <w:sz w:val="24"/>
          <w:szCs w:val="24"/>
        </w:rPr>
        <w:t xml:space="preserve"> </w:t>
      </w:r>
      <w:r>
        <w:rPr>
          <w:rFonts w:ascii="宋体" w:hAnsi="宋体" w:eastAsia="宋体" w:cs="宋体"/>
          <w:sz w:val="24"/>
          <w:szCs w:val="24"/>
        </w:rPr>
        <w:t>C</w:t>
      </w:r>
      <w:r>
        <w:rPr>
          <w:rFonts w:ascii="宋体" w:hAnsi="宋体" w:eastAsia="宋体" w:cs="宋体"/>
          <w:spacing w:val="-44"/>
          <w:sz w:val="24"/>
          <w:szCs w:val="24"/>
        </w:rPr>
        <w:t xml:space="preserve"> </w:t>
      </w:r>
      <w:r>
        <w:rPr>
          <w:rFonts w:ascii="宋体" w:hAnsi="宋体" w:eastAsia="宋体" w:cs="宋体"/>
          <w:sz w:val="24"/>
          <w:szCs w:val="24"/>
        </w:rPr>
        <w:t>级或</w:t>
      </w:r>
      <w:r>
        <w:rPr>
          <w:rFonts w:ascii="宋体" w:hAnsi="宋体" w:eastAsia="宋体" w:cs="宋体"/>
          <w:spacing w:val="-54"/>
          <w:sz w:val="24"/>
          <w:szCs w:val="24"/>
        </w:rPr>
        <w:t xml:space="preserve"> </w:t>
      </w:r>
      <w:r>
        <w:rPr>
          <w:rFonts w:ascii="宋体" w:hAnsi="宋体" w:eastAsia="宋体" w:cs="宋体"/>
          <w:sz w:val="24"/>
          <w:szCs w:val="24"/>
        </w:rPr>
        <w:t>D</w:t>
      </w:r>
      <w:r>
        <w:rPr>
          <w:rFonts w:ascii="宋体" w:hAnsi="宋体" w:eastAsia="宋体" w:cs="宋体"/>
          <w:spacing w:val="-45"/>
          <w:sz w:val="24"/>
          <w:szCs w:val="24"/>
        </w:rPr>
        <w:t xml:space="preserve"> </w:t>
      </w:r>
      <w:r>
        <w:rPr>
          <w:rFonts w:ascii="宋体" w:hAnsi="宋体" w:eastAsia="宋体" w:cs="宋体"/>
          <w:sz w:val="24"/>
          <w:szCs w:val="24"/>
        </w:rPr>
        <w:t>级的，提供最新</w:t>
      </w:r>
      <w:r>
        <w:rPr>
          <w:rFonts w:ascii="宋体" w:hAnsi="宋体" w:eastAsia="宋体" w:cs="宋体"/>
          <w:spacing w:val="-3"/>
          <w:sz w:val="24"/>
          <w:szCs w:val="24"/>
        </w:rPr>
        <w:t>年度的全国综合评价结果单位查询所在页。</w:t>
      </w:r>
    </w:p>
    <w:p w14:paraId="08857720">
      <w:pPr>
        <w:spacing w:before="3" w:line="359" w:lineRule="auto"/>
        <w:ind w:left="10" w:right="13"/>
        <w:rPr>
          <w:rFonts w:ascii="宋体" w:hAnsi="宋体" w:eastAsia="宋体" w:cs="宋体"/>
          <w:sz w:val="24"/>
          <w:szCs w:val="24"/>
        </w:rPr>
      </w:pPr>
      <w:r>
        <w:rPr>
          <w:rFonts w:ascii="宋体" w:hAnsi="宋体" w:eastAsia="宋体" w:cs="宋体"/>
          <w:spacing w:val="1"/>
          <w:sz w:val="24"/>
          <w:szCs w:val="24"/>
        </w:rPr>
        <w:t>6、如上一年度有信用评价而最新年度在广东省无信用等级的需提供上一年度的信用评</w:t>
      </w:r>
      <w:r>
        <w:rPr>
          <w:rFonts w:ascii="宋体" w:hAnsi="宋体" w:eastAsia="宋体" w:cs="宋体"/>
          <w:spacing w:val="-3"/>
          <w:sz w:val="24"/>
          <w:szCs w:val="24"/>
        </w:rPr>
        <w:t>价（若有</w:t>
      </w:r>
      <w:r>
        <w:rPr>
          <w:rFonts w:ascii="宋体" w:hAnsi="宋体" w:eastAsia="宋体" w:cs="宋体"/>
          <w:spacing w:val="-1"/>
          <w:sz w:val="24"/>
          <w:szCs w:val="24"/>
        </w:rPr>
        <w:t>），</w:t>
      </w:r>
      <w:r>
        <w:rPr>
          <w:rFonts w:ascii="宋体" w:hAnsi="宋体" w:eastAsia="宋体" w:cs="宋体"/>
          <w:spacing w:val="-3"/>
          <w:sz w:val="24"/>
          <w:szCs w:val="24"/>
        </w:rPr>
        <w:t>并标识单位所在位置。</w:t>
      </w:r>
    </w:p>
    <w:p w14:paraId="70F559E8">
      <w:pPr>
        <w:spacing w:line="360" w:lineRule="auto"/>
        <w:ind w:left="8" w:right="10" w:firstLine="6"/>
        <w:rPr>
          <w:rFonts w:ascii="宋体" w:hAnsi="宋体" w:eastAsia="宋体" w:cs="宋体"/>
          <w:sz w:val="24"/>
          <w:szCs w:val="24"/>
        </w:rPr>
      </w:pPr>
      <w:r>
        <w:rPr>
          <w:rFonts w:ascii="宋体" w:hAnsi="宋体" w:eastAsia="宋体" w:cs="宋体"/>
          <w:spacing w:val="1"/>
          <w:sz w:val="24"/>
          <w:szCs w:val="24"/>
        </w:rPr>
        <w:t>7、详细说明投标人因公路工程（含附属设施）质量、安全事故被交通运输部行政处罚</w:t>
      </w:r>
      <w:r>
        <w:rPr>
          <w:rFonts w:ascii="宋体" w:hAnsi="宋体" w:eastAsia="宋体" w:cs="宋体"/>
          <w:spacing w:val="-2"/>
          <w:sz w:val="24"/>
          <w:szCs w:val="24"/>
        </w:rPr>
        <w:t>且在处罚信息公示期内、广东省交通运输厅行政处罚且在处罚信息公示期内</w:t>
      </w:r>
      <w:r>
        <w:rPr>
          <w:rFonts w:ascii="宋体" w:hAnsi="宋体" w:eastAsia="宋体" w:cs="宋体"/>
          <w:spacing w:val="-2"/>
          <w:sz w:val="24"/>
          <w:szCs w:val="24"/>
          <w:u w:val="single" w:color="auto"/>
        </w:rPr>
        <w:t>、（项目涉</w:t>
      </w:r>
      <w:r>
        <w:rPr>
          <w:rFonts w:ascii="宋体" w:hAnsi="宋体" w:eastAsia="宋体" w:cs="宋体"/>
          <w:spacing w:val="-1"/>
          <w:sz w:val="24"/>
          <w:szCs w:val="24"/>
          <w:u w:val="single" w:color="auto"/>
        </w:rPr>
        <w:t>及各地级以上市）市交通运输局行政处罚且在处罚信息公示期内</w:t>
      </w:r>
      <w:r>
        <w:rPr>
          <w:rFonts w:ascii="宋体" w:hAnsi="宋体" w:eastAsia="宋体" w:cs="宋体"/>
          <w:spacing w:val="-1"/>
          <w:sz w:val="24"/>
          <w:szCs w:val="24"/>
        </w:rPr>
        <w:t>的文件。</w:t>
      </w:r>
    </w:p>
    <w:p w14:paraId="107A22A8">
      <w:pPr>
        <w:spacing w:before="1" w:line="219" w:lineRule="auto"/>
        <w:ind w:left="10"/>
        <w:rPr>
          <w:rFonts w:ascii="宋体" w:hAnsi="宋体" w:eastAsia="宋体" w:cs="宋体"/>
          <w:sz w:val="24"/>
          <w:szCs w:val="24"/>
        </w:rPr>
      </w:pPr>
      <w:r>
        <w:rPr>
          <w:rFonts w:ascii="宋体" w:hAnsi="宋体" w:eastAsia="宋体" w:cs="宋体"/>
          <w:spacing w:val="-3"/>
          <w:sz w:val="24"/>
          <w:szCs w:val="24"/>
        </w:rPr>
        <w:t>8、投标人认为需要的其他内容。</w:t>
      </w:r>
    </w:p>
    <w:p w14:paraId="31AA66D8">
      <w:pPr>
        <w:pStyle w:val="2"/>
        <w:spacing w:line="247" w:lineRule="auto"/>
      </w:pPr>
    </w:p>
    <w:p w14:paraId="73C74640">
      <w:pPr>
        <w:pStyle w:val="2"/>
        <w:spacing w:line="247" w:lineRule="auto"/>
      </w:pPr>
    </w:p>
    <w:p w14:paraId="08FF221E">
      <w:pPr>
        <w:pStyle w:val="2"/>
        <w:spacing w:line="247" w:lineRule="auto"/>
      </w:pPr>
    </w:p>
    <w:p w14:paraId="1F4156E7">
      <w:pPr>
        <w:pStyle w:val="2"/>
        <w:spacing w:line="247" w:lineRule="auto"/>
      </w:pPr>
    </w:p>
    <w:p w14:paraId="4CE13B2D">
      <w:pPr>
        <w:pStyle w:val="2"/>
        <w:spacing w:line="247" w:lineRule="auto"/>
      </w:pPr>
    </w:p>
    <w:p w14:paraId="411BAF78">
      <w:pPr>
        <w:pStyle w:val="2"/>
        <w:spacing w:line="247" w:lineRule="auto"/>
      </w:pPr>
    </w:p>
    <w:p w14:paraId="43F97CAE">
      <w:pPr>
        <w:pStyle w:val="2"/>
        <w:spacing w:line="247" w:lineRule="auto"/>
      </w:pPr>
    </w:p>
    <w:p w14:paraId="39C13E85">
      <w:pPr>
        <w:pStyle w:val="2"/>
        <w:spacing w:line="247" w:lineRule="auto"/>
      </w:pPr>
    </w:p>
    <w:p w14:paraId="63773064">
      <w:pPr>
        <w:pStyle w:val="2"/>
        <w:spacing w:line="247" w:lineRule="auto"/>
      </w:pPr>
    </w:p>
    <w:p w14:paraId="360F2AAD">
      <w:pPr>
        <w:pStyle w:val="2"/>
        <w:spacing w:line="247" w:lineRule="auto"/>
      </w:pPr>
    </w:p>
    <w:p w14:paraId="6B2C3CE5">
      <w:pPr>
        <w:pStyle w:val="2"/>
        <w:spacing w:line="247" w:lineRule="auto"/>
      </w:pPr>
    </w:p>
    <w:p w14:paraId="71CB4919">
      <w:pPr>
        <w:pStyle w:val="2"/>
        <w:spacing w:line="247" w:lineRule="auto"/>
      </w:pPr>
    </w:p>
    <w:p w14:paraId="21C8E857">
      <w:pPr>
        <w:pStyle w:val="2"/>
        <w:spacing w:line="248" w:lineRule="auto"/>
      </w:pPr>
    </w:p>
    <w:p w14:paraId="714CB3FA">
      <w:pPr>
        <w:pStyle w:val="2"/>
        <w:spacing w:line="248" w:lineRule="auto"/>
      </w:pPr>
    </w:p>
    <w:p w14:paraId="2F6C26DB">
      <w:pPr>
        <w:pStyle w:val="2"/>
        <w:spacing w:line="248" w:lineRule="auto"/>
      </w:pPr>
    </w:p>
    <w:p w14:paraId="27D369F7">
      <w:pPr>
        <w:pStyle w:val="2"/>
        <w:spacing w:line="248" w:lineRule="auto"/>
      </w:pPr>
    </w:p>
    <w:p w14:paraId="5B38431A">
      <w:pPr>
        <w:pStyle w:val="2"/>
        <w:spacing w:line="248" w:lineRule="auto"/>
      </w:pPr>
    </w:p>
    <w:p w14:paraId="5C5FD448">
      <w:pPr>
        <w:pStyle w:val="2"/>
        <w:spacing w:line="248" w:lineRule="auto"/>
      </w:pPr>
    </w:p>
    <w:p w14:paraId="791072C0">
      <w:pPr>
        <w:pStyle w:val="2"/>
        <w:spacing w:line="248" w:lineRule="auto"/>
      </w:pPr>
    </w:p>
    <w:p w14:paraId="0FC66EA2">
      <w:pPr>
        <w:pStyle w:val="2"/>
        <w:spacing w:line="248" w:lineRule="auto"/>
      </w:pPr>
    </w:p>
    <w:p w14:paraId="7273ACD8">
      <w:pPr>
        <w:pStyle w:val="2"/>
        <w:spacing w:line="248" w:lineRule="auto"/>
      </w:pPr>
    </w:p>
    <w:p w14:paraId="2FAF28B5">
      <w:pPr>
        <w:pStyle w:val="2"/>
        <w:spacing w:line="248" w:lineRule="auto"/>
      </w:pPr>
    </w:p>
    <w:p w14:paraId="34907779">
      <w:pPr>
        <w:pStyle w:val="2"/>
        <w:spacing w:line="248" w:lineRule="auto"/>
      </w:pPr>
    </w:p>
    <w:p w14:paraId="5E5A1C65">
      <w:pPr>
        <w:pStyle w:val="2"/>
        <w:spacing w:line="248" w:lineRule="auto"/>
      </w:pPr>
    </w:p>
    <w:p w14:paraId="1D310F8D">
      <w:pPr>
        <w:pStyle w:val="2"/>
        <w:spacing w:line="248" w:lineRule="auto"/>
      </w:pPr>
    </w:p>
    <w:p w14:paraId="7E707559">
      <w:pPr>
        <w:spacing w:line="217" w:lineRule="auto"/>
        <w:rPr>
          <w:rFonts w:ascii="宋体" w:hAnsi="宋体" w:eastAsia="宋体" w:cs="宋体"/>
          <w:sz w:val="18"/>
          <w:szCs w:val="18"/>
        </w:rPr>
        <w:sectPr>
          <w:headerReference r:id="rId203" w:type="default"/>
          <w:footerReference r:id="rId204" w:type="default"/>
          <w:pgSz w:w="11905" w:h="16840"/>
          <w:pgMar w:top="1182" w:right="1416" w:bottom="1171" w:left="1416" w:header="849" w:footer="937" w:gutter="0"/>
          <w:pgNumType w:fmt="decimal"/>
          <w:cols w:space="720" w:num="1"/>
        </w:sectPr>
      </w:pPr>
    </w:p>
    <w:p w14:paraId="1B227470">
      <w:pPr>
        <w:pStyle w:val="2"/>
        <w:spacing w:line="315" w:lineRule="auto"/>
      </w:pPr>
    </w:p>
    <w:p w14:paraId="3ADF8C98">
      <w:pPr>
        <w:spacing w:before="88" w:line="225" w:lineRule="auto"/>
        <w:ind w:left="1739"/>
        <w:rPr>
          <w:rFonts w:ascii="宋体" w:hAnsi="宋体" w:eastAsia="宋体" w:cs="宋体"/>
          <w:sz w:val="27"/>
          <w:szCs w:val="27"/>
        </w:rPr>
      </w:pPr>
      <w:r>
        <w:rPr>
          <w:rFonts w:ascii="宋体" w:hAnsi="宋体" w:eastAsia="宋体" w:cs="宋体"/>
          <w:b/>
          <w:bCs/>
          <w:spacing w:val="7"/>
          <w:sz w:val="27"/>
          <w:szCs w:val="27"/>
        </w:rPr>
        <w:t>八-1、使用广东省信用评价等级的申请承诺书</w:t>
      </w:r>
    </w:p>
    <w:p w14:paraId="419B32A5">
      <w:pPr>
        <w:pStyle w:val="2"/>
        <w:spacing w:line="313" w:lineRule="auto"/>
      </w:pPr>
    </w:p>
    <w:p w14:paraId="7EABAF79">
      <w:pPr>
        <w:spacing w:before="78" w:line="220" w:lineRule="auto"/>
        <w:ind w:left="9"/>
        <w:rPr>
          <w:rFonts w:ascii="宋体" w:hAnsi="宋体" w:eastAsia="宋体" w:cs="宋体"/>
          <w:sz w:val="24"/>
          <w:szCs w:val="24"/>
        </w:rPr>
      </w:pPr>
      <w:r>
        <w:rPr>
          <w:rFonts w:ascii="宋体" w:hAnsi="宋体" w:eastAsia="宋体" w:cs="宋体"/>
          <w:spacing w:val="-2"/>
          <w:sz w:val="24"/>
          <w:szCs w:val="24"/>
        </w:rPr>
        <w:t>致招标人：</w:t>
      </w:r>
      <w:r>
        <w:rPr>
          <w:rFonts w:ascii="宋体" w:hAnsi="宋体" w:eastAsia="宋体" w:cs="宋体"/>
          <w:sz w:val="24"/>
          <w:szCs w:val="24"/>
          <w:u w:val="single" w:color="auto"/>
        </w:rPr>
        <w:t xml:space="preserve">      </w:t>
      </w:r>
      <w:r>
        <w:rPr>
          <w:rFonts w:ascii="宋体" w:hAnsi="宋体" w:eastAsia="宋体" w:cs="宋体"/>
          <w:spacing w:val="-2"/>
          <w:sz w:val="24"/>
          <w:szCs w:val="24"/>
        </w:rPr>
        <w:t>（招标人全称）</w:t>
      </w:r>
    </w:p>
    <w:p w14:paraId="4F35893D">
      <w:pPr>
        <w:spacing w:before="181" w:line="220" w:lineRule="auto"/>
        <w:ind w:left="491"/>
        <w:rPr>
          <w:rFonts w:ascii="宋体" w:hAnsi="宋体" w:eastAsia="宋体" w:cs="宋体"/>
          <w:sz w:val="24"/>
          <w:szCs w:val="24"/>
        </w:rPr>
      </w:pPr>
      <w:r>
        <w:rPr>
          <w:rFonts w:ascii="宋体" w:hAnsi="宋体" w:eastAsia="宋体" w:cs="宋体"/>
          <w:spacing w:val="-3"/>
          <w:sz w:val="24"/>
          <w:szCs w:val="24"/>
        </w:rPr>
        <w:t>按相关要求，现我单位对使用信用等级申请如下：</w:t>
      </w:r>
    </w:p>
    <w:p w14:paraId="2C3DD201">
      <w:pPr>
        <w:spacing w:before="182" w:line="360" w:lineRule="auto"/>
        <w:ind w:left="9" w:firstLine="483"/>
        <w:rPr>
          <w:rFonts w:ascii="宋体" w:hAnsi="宋体" w:eastAsia="宋体" w:cs="宋体"/>
          <w:sz w:val="24"/>
          <w:szCs w:val="24"/>
        </w:rPr>
      </w:pPr>
      <w:r>
        <w:rPr>
          <w:rFonts w:ascii="宋体" w:hAnsi="宋体" w:eastAsia="宋体" w:cs="宋体"/>
          <w:spacing w:val="-1"/>
          <w:sz w:val="24"/>
          <w:szCs w:val="24"/>
        </w:rPr>
        <w:t>一、我单位在</w:t>
      </w:r>
      <w:r>
        <w:rPr>
          <w:rFonts w:ascii="宋体" w:hAnsi="宋体" w:eastAsia="宋体" w:cs="宋体"/>
          <w:spacing w:val="-86"/>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pacing w:val="-1"/>
          <w:sz w:val="24"/>
          <w:szCs w:val="24"/>
        </w:rPr>
        <w:t>施工招标（</w:t>
      </w:r>
      <w:r>
        <w:rPr>
          <w:rFonts w:ascii="宋体" w:hAnsi="宋体" w:eastAsia="宋体" w:cs="宋体"/>
          <w:spacing w:val="-1"/>
          <w:sz w:val="24"/>
          <w:szCs w:val="24"/>
          <w:u w:val="single" w:color="auto"/>
        </w:rPr>
        <w:t xml:space="preserve">      标类/标段</w:t>
      </w:r>
      <w:r>
        <w:rPr>
          <w:rFonts w:ascii="宋体" w:hAnsi="宋体" w:eastAsia="宋体" w:cs="宋体"/>
          <w:spacing w:val="-1"/>
          <w:sz w:val="24"/>
          <w:szCs w:val="24"/>
        </w:rPr>
        <w:t>）的招标中，</w:t>
      </w:r>
      <w:r>
        <w:rPr>
          <w:rFonts w:ascii="宋体" w:hAnsi="宋体" w:eastAsia="宋体" w:cs="宋体"/>
          <w:b/>
          <w:bCs/>
          <w:spacing w:val="-1"/>
          <w:sz w:val="24"/>
          <w:szCs w:val="24"/>
        </w:rPr>
        <w:t>第</w:t>
      </w:r>
      <w:r>
        <w:rPr>
          <w:rFonts w:ascii="宋体" w:hAnsi="宋体" w:eastAsia="宋体" w:cs="宋体"/>
          <w:spacing w:val="-113"/>
          <w:sz w:val="24"/>
          <w:szCs w:val="24"/>
        </w:rPr>
        <w:t xml:space="preserve"> </w:t>
      </w:r>
      <w:r>
        <w:rPr>
          <w:rFonts w:ascii="宋体" w:hAnsi="宋体" w:eastAsia="宋体" w:cs="宋体"/>
          <w:spacing w:val="2"/>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b/>
          <w:bCs/>
          <w:spacing w:val="-1"/>
          <w:sz w:val="24"/>
          <w:szCs w:val="24"/>
        </w:rPr>
        <w:t>次使用（或不使用）</w:t>
      </w:r>
      <w:r>
        <w:rPr>
          <w:rFonts w:ascii="宋体" w:hAnsi="宋体" w:eastAsia="宋体" w:cs="宋体"/>
          <w:spacing w:val="-1"/>
          <w:sz w:val="24"/>
          <w:szCs w:val="24"/>
        </w:rPr>
        <w:t>广东省交通运输厅发布的</w:t>
      </w:r>
      <w:r>
        <w:rPr>
          <w:rFonts w:ascii="宋体" w:hAnsi="宋体" w:eastAsia="宋体" w:cs="宋体"/>
          <w:spacing w:val="-115"/>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1"/>
          <w:sz w:val="24"/>
          <w:szCs w:val="24"/>
        </w:rPr>
        <w:t>年度信用评价</w:t>
      </w:r>
      <w:r>
        <w:rPr>
          <w:rFonts w:ascii="宋体" w:hAnsi="宋体" w:eastAsia="宋体" w:cs="宋体"/>
          <w:spacing w:val="-118"/>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
          <w:sz w:val="24"/>
          <w:szCs w:val="24"/>
        </w:rPr>
        <w:t>等级结果</w:t>
      </w:r>
      <w:r>
        <w:rPr>
          <w:rFonts w:ascii="宋体" w:hAnsi="宋体" w:eastAsia="宋体" w:cs="宋体"/>
          <w:spacing w:val="-5"/>
          <w:sz w:val="24"/>
          <w:szCs w:val="24"/>
        </w:rPr>
        <w:t>和对应等级分值。</w:t>
      </w:r>
    </w:p>
    <w:p w14:paraId="19F9C780">
      <w:pPr>
        <w:spacing w:line="360" w:lineRule="auto"/>
        <w:ind w:left="8" w:right="8" w:firstLine="484"/>
        <w:rPr>
          <w:rFonts w:ascii="宋体" w:hAnsi="宋体" w:eastAsia="宋体" w:cs="宋体"/>
          <w:sz w:val="24"/>
          <w:szCs w:val="24"/>
        </w:rPr>
      </w:pPr>
      <w:r>
        <w:rPr>
          <w:rFonts w:ascii="宋体" w:hAnsi="宋体" w:eastAsia="宋体" w:cs="宋体"/>
          <w:spacing w:val="-8"/>
          <w:sz w:val="24"/>
          <w:szCs w:val="24"/>
        </w:rPr>
        <w:t>二、我单位承诺，</w:t>
      </w:r>
      <w:r>
        <w:rPr>
          <w:rFonts w:ascii="宋体" w:hAnsi="宋体" w:eastAsia="宋体" w:cs="宋体"/>
          <w:spacing w:val="53"/>
          <w:sz w:val="24"/>
          <w:szCs w:val="24"/>
        </w:rPr>
        <w:t xml:space="preserve"> </w:t>
      </w:r>
      <w:r>
        <w:rPr>
          <w:rFonts w:ascii="宋体" w:hAnsi="宋体" w:eastAsia="宋体" w:cs="宋体"/>
          <w:spacing w:val="-8"/>
          <w:sz w:val="24"/>
          <w:szCs w:val="24"/>
        </w:rPr>
        <w:t>在递交本次申请后，我单位将失去一次使用</w:t>
      </w:r>
      <w:r>
        <w:rPr>
          <w:rFonts w:ascii="宋体" w:hAnsi="宋体" w:eastAsia="宋体" w:cs="宋体"/>
          <w:spacing w:val="-120"/>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8"/>
          <w:sz w:val="24"/>
          <w:szCs w:val="24"/>
        </w:rPr>
        <w:t>等级结果</w:t>
      </w:r>
      <w:r>
        <w:rPr>
          <w:rFonts w:ascii="宋体" w:hAnsi="宋体" w:eastAsia="宋体" w:cs="宋体"/>
          <w:b/>
          <w:bCs/>
          <w:spacing w:val="-8"/>
          <w:sz w:val="24"/>
          <w:szCs w:val="24"/>
        </w:rPr>
        <w:t>（不</w:t>
      </w:r>
      <w:r>
        <w:rPr>
          <w:rFonts w:ascii="宋体" w:hAnsi="宋体" w:eastAsia="宋体" w:cs="宋体"/>
          <w:b/>
          <w:bCs/>
          <w:spacing w:val="1"/>
          <w:sz w:val="24"/>
          <w:szCs w:val="24"/>
        </w:rPr>
        <w:t>使用时上述填“/”）</w:t>
      </w:r>
      <w:r>
        <w:rPr>
          <w:rFonts w:ascii="宋体" w:hAnsi="宋体" w:eastAsia="宋体" w:cs="宋体"/>
          <w:spacing w:val="1"/>
          <w:sz w:val="24"/>
          <w:szCs w:val="24"/>
        </w:rPr>
        <w:t>参与投标的机会。当累计使用超过规定的次数，我单位同意按降</w:t>
      </w:r>
      <w:r>
        <w:rPr>
          <w:rFonts w:ascii="宋体" w:hAnsi="宋体" w:eastAsia="宋体" w:cs="宋体"/>
          <w:spacing w:val="-2"/>
          <w:sz w:val="24"/>
          <w:szCs w:val="24"/>
        </w:rPr>
        <w:t>低一个信用等级对应分值来认定参与投标评审。</w:t>
      </w:r>
    </w:p>
    <w:p w14:paraId="0CB5067F">
      <w:pPr>
        <w:spacing w:before="2" w:line="359" w:lineRule="auto"/>
        <w:ind w:left="15" w:right="8" w:firstLine="474"/>
        <w:rPr>
          <w:rFonts w:ascii="宋体" w:hAnsi="宋体" w:eastAsia="宋体" w:cs="宋体"/>
          <w:sz w:val="24"/>
          <w:szCs w:val="24"/>
        </w:rPr>
      </w:pPr>
      <w:r>
        <w:rPr>
          <w:rFonts w:ascii="宋体" w:hAnsi="宋体" w:eastAsia="宋体" w:cs="宋体"/>
          <w:spacing w:val="-6"/>
          <w:sz w:val="24"/>
          <w:szCs w:val="24"/>
        </w:rPr>
        <w:t>三、如果我单位发生违反规定使用信用等级结果的情形，</w:t>
      </w:r>
      <w:r>
        <w:rPr>
          <w:rFonts w:ascii="宋体" w:hAnsi="宋体" w:eastAsia="宋体" w:cs="宋体"/>
          <w:spacing w:val="37"/>
          <w:sz w:val="24"/>
          <w:szCs w:val="24"/>
        </w:rPr>
        <w:t xml:space="preserve"> </w:t>
      </w:r>
      <w:r>
        <w:rPr>
          <w:rFonts w:ascii="宋体" w:hAnsi="宋体" w:eastAsia="宋体" w:cs="宋体"/>
          <w:spacing w:val="-6"/>
          <w:sz w:val="24"/>
          <w:szCs w:val="24"/>
        </w:rPr>
        <w:t>自愿接受省级交通运输主</w:t>
      </w:r>
      <w:r>
        <w:rPr>
          <w:rFonts w:ascii="宋体" w:hAnsi="宋体" w:eastAsia="宋体" w:cs="宋体"/>
          <w:spacing w:val="-7"/>
          <w:sz w:val="24"/>
          <w:szCs w:val="24"/>
        </w:rPr>
        <w:t>管部门的处理。</w:t>
      </w:r>
    </w:p>
    <w:p w14:paraId="32D15F87">
      <w:pPr>
        <w:spacing w:line="362" w:lineRule="auto"/>
        <w:ind w:left="489" w:right="440" w:firstLine="18"/>
        <w:rPr>
          <w:rFonts w:ascii="宋体" w:hAnsi="宋体" w:eastAsia="宋体" w:cs="宋体"/>
          <w:sz w:val="24"/>
          <w:szCs w:val="24"/>
        </w:rPr>
      </w:pPr>
      <w:r>
        <w:rPr>
          <w:rFonts w:ascii="宋体" w:hAnsi="宋体" w:eastAsia="宋体" w:cs="宋体"/>
          <w:spacing w:val="-1"/>
          <w:sz w:val="24"/>
          <w:szCs w:val="24"/>
        </w:rPr>
        <w:t>附件：</w:t>
      </w:r>
      <w:r>
        <w:rPr>
          <w:rFonts w:ascii="宋体" w:hAnsi="宋体" w:eastAsia="宋体" w:cs="宋体"/>
          <w:spacing w:val="-1"/>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
          <w:sz w:val="24"/>
          <w:szCs w:val="24"/>
        </w:rPr>
        <w:t>单位使用</w:t>
      </w:r>
      <w:r>
        <w:rPr>
          <w:rFonts w:ascii="宋体" w:hAnsi="宋体" w:eastAsia="宋体" w:cs="宋体"/>
          <w:spacing w:val="-1"/>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
          <w:sz w:val="24"/>
          <w:szCs w:val="24"/>
        </w:rPr>
        <w:t>年度广东省公路工程从</w:t>
      </w:r>
      <w:r>
        <w:rPr>
          <w:rFonts w:ascii="宋体" w:hAnsi="宋体" w:eastAsia="宋体" w:cs="宋体"/>
          <w:spacing w:val="-2"/>
          <w:sz w:val="24"/>
          <w:szCs w:val="24"/>
        </w:rPr>
        <w:t>业单位信用等级情况汇总表特此承诺</w:t>
      </w:r>
    </w:p>
    <w:p w14:paraId="71B33C5B">
      <w:pPr>
        <w:pStyle w:val="2"/>
        <w:spacing w:line="382" w:lineRule="auto"/>
      </w:pPr>
    </w:p>
    <w:p w14:paraId="3AAC532C">
      <w:pPr>
        <w:spacing w:before="78" w:line="360" w:lineRule="auto"/>
        <w:ind w:left="3132" w:right="200"/>
        <w:rPr>
          <w:rFonts w:ascii="宋体" w:hAnsi="宋体" w:eastAsia="宋体" w:cs="宋体"/>
          <w:sz w:val="24"/>
          <w:szCs w:val="24"/>
        </w:rPr>
      </w:pPr>
      <w:r>
        <w:rPr>
          <w:rFonts w:ascii="宋体" w:hAnsi="宋体" w:eastAsia="宋体" w:cs="宋体"/>
          <w:spacing w:val="-2"/>
          <w:sz w:val="24"/>
          <w:szCs w:val="24"/>
        </w:rPr>
        <w:t>投标人（单位全称</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投标人的法定代表人或其委托代理人签名：</w:t>
      </w:r>
      <w:r>
        <w:rPr>
          <w:rFonts w:ascii="宋体" w:hAnsi="宋体" w:eastAsia="宋体" w:cs="宋体"/>
          <w:sz w:val="24"/>
          <w:szCs w:val="24"/>
          <w:u w:val="single" w:color="auto"/>
        </w:rPr>
        <w:t xml:space="preserve">          </w:t>
      </w:r>
    </w:p>
    <w:p w14:paraId="4EC5DCC5">
      <w:pPr>
        <w:tabs>
          <w:tab w:val="left" w:pos="6599"/>
        </w:tabs>
        <w:spacing w:before="1" w:line="219" w:lineRule="auto"/>
        <w:ind w:left="6000"/>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5D7989D9">
      <w:pPr>
        <w:pStyle w:val="2"/>
      </w:pPr>
    </w:p>
    <w:p w14:paraId="29090044">
      <w:pPr>
        <w:pStyle w:val="2"/>
        <w:spacing w:line="241" w:lineRule="auto"/>
      </w:pPr>
    </w:p>
    <w:p w14:paraId="62882F0F">
      <w:pPr>
        <w:pStyle w:val="2"/>
        <w:spacing w:line="241" w:lineRule="auto"/>
      </w:pPr>
    </w:p>
    <w:p w14:paraId="173D57DA">
      <w:pPr>
        <w:pStyle w:val="2"/>
        <w:spacing w:line="241" w:lineRule="auto"/>
      </w:pPr>
    </w:p>
    <w:p w14:paraId="2635233B">
      <w:pPr>
        <w:pStyle w:val="2"/>
        <w:spacing w:line="241" w:lineRule="auto"/>
      </w:pPr>
    </w:p>
    <w:p w14:paraId="5174FFD7">
      <w:pPr>
        <w:pStyle w:val="2"/>
        <w:spacing w:line="241" w:lineRule="auto"/>
      </w:pPr>
    </w:p>
    <w:p w14:paraId="37D0CA9A">
      <w:pPr>
        <w:spacing w:before="68" w:line="224" w:lineRule="auto"/>
        <w:ind w:left="8"/>
        <w:rPr>
          <w:rFonts w:ascii="宋体" w:hAnsi="宋体" w:eastAsia="宋体" w:cs="宋体"/>
          <w:sz w:val="21"/>
          <w:szCs w:val="21"/>
        </w:rPr>
      </w:pPr>
      <w:r>
        <w:rPr>
          <w:rFonts w:ascii="宋体" w:hAnsi="宋体" w:eastAsia="宋体" w:cs="宋体"/>
          <w:spacing w:val="-15"/>
          <w:sz w:val="21"/>
          <w:szCs w:val="21"/>
        </w:rPr>
        <w:t>注：</w:t>
      </w:r>
    </w:p>
    <w:p w14:paraId="75963D13">
      <w:pPr>
        <w:spacing w:before="58" w:line="274" w:lineRule="auto"/>
        <w:ind w:left="7" w:right="6" w:firstLine="16"/>
        <w:rPr>
          <w:rFonts w:ascii="宋体" w:hAnsi="宋体" w:eastAsia="宋体" w:cs="宋体"/>
          <w:sz w:val="21"/>
          <w:szCs w:val="21"/>
        </w:rPr>
      </w:pPr>
      <w:r>
        <w:rPr>
          <w:rFonts w:ascii="宋体" w:hAnsi="宋体" w:eastAsia="宋体" w:cs="宋体"/>
          <w:spacing w:val="-5"/>
          <w:sz w:val="21"/>
          <w:szCs w:val="21"/>
        </w:rPr>
        <w:t>1、AA、A</w:t>
      </w:r>
      <w:r>
        <w:rPr>
          <w:rFonts w:ascii="宋体" w:hAnsi="宋体" w:eastAsia="宋体" w:cs="宋体"/>
          <w:spacing w:val="-42"/>
          <w:sz w:val="21"/>
          <w:szCs w:val="21"/>
        </w:rPr>
        <w:t xml:space="preserve"> </w:t>
      </w:r>
      <w:r>
        <w:rPr>
          <w:rFonts w:ascii="宋体" w:hAnsi="宋体" w:eastAsia="宋体" w:cs="宋体"/>
          <w:spacing w:val="-5"/>
          <w:sz w:val="21"/>
          <w:szCs w:val="21"/>
        </w:rPr>
        <w:t>级信用等级企业必须填写此申请承诺书；选择“使用”时需和</w:t>
      </w:r>
      <w:r>
        <w:rPr>
          <w:rFonts w:ascii="宋体" w:hAnsi="宋体" w:eastAsia="宋体" w:cs="宋体"/>
          <w:spacing w:val="-6"/>
          <w:sz w:val="21"/>
          <w:szCs w:val="21"/>
        </w:rPr>
        <w:t>附表（</w:t>
      </w:r>
      <w:r>
        <w:rPr>
          <w:rFonts w:ascii="宋体" w:hAnsi="宋体" w:eastAsia="宋体" w:cs="宋体"/>
          <w:spacing w:val="-6"/>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单位使用</w:t>
      </w:r>
      <w:r>
        <w:rPr>
          <w:rFonts w:ascii="宋体" w:hAnsi="宋体" w:eastAsia="宋体" w:cs="宋体"/>
          <w:spacing w:val="-6"/>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6"/>
          <w:sz w:val="21"/>
          <w:szCs w:val="21"/>
        </w:rPr>
        <w:t>年</w:t>
      </w:r>
      <w:r>
        <w:rPr>
          <w:rFonts w:ascii="宋体" w:hAnsi="宋体" w:eastAsia="宋体" w:cs="宋体"/>
          <w:spacing w:val="-1"/>
          <w:sz w:val="21"/>
          <w:szCs w:val="21"/>
        </w:rPr>
        <w:t>度广东省公路工程从业单位信用等级情况汇总表）一起编入投标</w:t>
      </w:r>
      <w:r>
        <w:rPr>
          <w:rFonts w:ascii="宋体" w:hAnsi="宋体" w:eastAsia="宋体" w:cs="宋体"/>
          <w:spacing w:val="-2"/>
          <w:sz w:val="21"/>
          <w:szCs w:val="21"/>
        </w:rPr>
        <w:t>文件中。</w:t>
      </w:r>
    </w:p>
    <w:p w14:paraId="007780A4">
      <w:pPr>
        <w:spacing w:before="2" w:line="274" w:lineRule="auto"/>
        <w:ind w:left="6" w:right="6" w:firstLine="4"/>
        <w:rPr>
          <w:rFonts w:ascii="宋体" w:hAnsi="宋体" w:eastAsia="宋体" w:cs="宋体"/>
          <w:sz w:val="21"/>
          <w:szCs w:val="21"/>
        </w:rPr>
      </w:pPr>
      <w:r>
        <w:rPr>
          <w:rFonts w:ascii="宋体" w:hAnsi="宋体" w:eastAsia="宋体" w:cs="宋体"/>
          <w:spacing w:val="-5"/>
          <w:sz w:val="21"/>
          <w:szCs w:val="21"/>
        </w:rPr>
        <w:t>2、AA、A 级信用等级企业应区分标段、分别填写并提交此申请承诺书；</w:t>
      </w:r>
      <w:r>
        <w:rPr>
          <w:rFonts w:ascii="宋体" w:hAnsi="宋体" w:eastAsia="宋体" w:cs="宋体"/>
          <w:spacing w:val="52"/>
          <w:sz w:val="21"/>
          <w:szCs w:val="21"/>
        </w:rPr>
        <w:t xml:space="preserve"> </w:t>
      </w:r>
      <w:r>
        <w:rPr>
          <w:rFonts w:ascii="宋体" w:hAnsi="宋体" w:eastAsia="宋体" w:cs="宋体"/>
          <w:spacing w:val="-5"/>
          <w:sz w:val="21"/>
          <w:szCs w:val="21"/>
        </w:rPr>
        <w:t>如同时对多个标段选择“使</w:t>
      </w:r>
      <w:r>
        <w:rPr>
          <w:rFonts w:ascii="宋体" w:hAnsi="宋体" w:eastAsia="宋体" w:cs="宋体"/>
          <w:spacing w:val="1"/>
          <w:sz w:val="21"/>
          <w:szCs w:val="21"/>
        </w:rPr>
        <w:t>用”时，使用次数应按标段累加（即各个标段申请承诺书的使</w:t>
      </w:r>
      <w:r>
        <w:rPr>
          <w:rFonts w:ascii="宋体" w:hAnsi="宋体" w:eastAsia="宋体" w:cs="宋体"/>
          <w:sz w:val="21"/>
          <w:szCs w:val="21"/>
        </w:rPr>
        <w:t>用次数应不一致）。如同时对多个标</w:t>
      </w:r>
      <w:r>
        <w:rPr>
          <w:rFonts w:ascii="宋体" w:hAnsi="宋体" w:eastAsia="宋体" w:cs="宋体"/>
          <w:spacing w:val="1"/>
          <w:sz w:val="21"/>
          <w:szCs w:val="21"/>
        </w:rPr>
        <w:t>段选择“使用”而多个标段所附申请承诺书的使用次数为同一次</w:t>
      </w:r>
      <w:r>
        <w:rPr>
          <w:rFonts w:ascii="宋体" w:hAnsi="宋体" w:eastAsia="宋体" w:cs="宋体"/>
          <w:sz w:val="21"/>
          <w:szCs w:val="21"/>
        </w:rPr>
        <w:t>时，多个标段均视为未正确填报申</w:t>
      </w:r>
      <w:r>
        <w:rPr>
          <w:rFonts w:ascii="宋体" w:hAnsi="宋体" w:eastAsia="宋体" w:cs="宋体"/>
          <w:spacing w:val="-2"/>
          <w:sz w:val="21"/>
          <w:szCs w:val="21"/>
        </w:rPr>
        <w:t>请承诺书，均按不承诺使用对应的信用等级处理。</w:t>
      </w:r>
    </w:p>
    <w:p w14:paraId="75E4E588">
      <w:pPr>
        <w:spacing w:line="274" w:lineRule="auto"/>
        <w:ind w:left="9" w:right="8" w:firstLine="3"/>
        <w:rPr>
          <w:rFonts w:ascii="宋体" w:hAnsi="宋体" w:eastAsia="宋体" w:cs="宋体"/>
          <w:sz w:val="21"/>
          <w:szCs w:val="21"/>
        </w:rPr>
      </w:pPr>
      <w:r>
        <w:rPr>
          <w:rFonts w:ascii="宋体" w:hAnsi="宋体" w:eastAsia="宋体" w:cs="宋体"/>
          <w:spacing w:val="-4"/>
          <w:sz w:val="21"/>
          <w:szCs w:val="21"/>
        </w:rPr>
        <w:t>3、中标候选人公示中， 将对所有承诺使用最新年度</w:t>
      </w:r>
      <w:r>
        <w:rPr>
          <w:rFonts w:ascii="宋体" w:hAnsi="宋体" w:eastAsia="宋体" w:cs="宋体"/>
          <w:spacing w:val="-49"/>
          <w:sz w:val="21"/>
          <w:szCs w:val="21"/>
        </w:rPr>
        <w:t xml:space="preserve"> </w:t>
      </w:r>
      <w:r>
        <w:rPr>
          <w:rFonts w:ascii="宋体" w:hAnsi="宋体" w:eastAsia="宋体" w:cs="宋体"/>
          <w:spacing w:val="-4"/>
          <w:sz w:val="21"/>
          <w:szCs w:val="21"/>
        </w:rPr>
        <w:t>AA、A</w:t>
      </w:r>
      <w:r>
        <w:rPr>
          <w:rFonts w:ascii="宋体" w:hAnsi="宋体" w:eastAsia="宋体" w:cs="宋体"/>
          <w:spacing w:val="-41"/>
          <w:sz w:val="21"/>
          <w:szCs w:val="21"/>
        </w:rPr>
        <w:t xml:space="preserve"> </w:t>
      </w:r>
      <w:r>
        <w:rPr>
          <w:rFonts w:ascii="宋体" w:hAnsi="宋体" w:eastAsia="宋体" w:cs="宋体"/>
          <w:spacing w:val="-4"/>
          <w:sz w:val="21"/>
          <w:szCs w:val="21"/>
        </w:rPr>
        <w:t>级投标人的</w:t>
      </w:r>
      <w:r>
        <w:rPr>
          <w:rFonts w:ascii="宋体" w:hAnsi="宋体" w:eastAsia="宋体" w:cs="宋体"/>
          <w:spacing w:val="-5"/>
          <w:sz w:val="21"/>
          <w:szCs w:val="21"/>
        </w:rPr>
        <w:t>年度信用等级使用情况进行公</w:t>
      </w:r>
      <w:r>
        <w:rPr>
          <w:rFonts w:ascii="宋体" w:hAnsi="宋体" w:eastAsia="宋体" w:cs="宋体"/>
          <w:spacing w:val="-10"/>
          <w:sz w:val="21"/>
          <w:szCs w:val="21"/>
        </w:rPr>
        <w:t>开。</w:t>
      </w:r>
    </w:p>
    <w:p w14:paraId="4E3E941C">
      <w:pPr>
        <w:spacing w:before="1" w:line="220" w:lineRule="auto"/>
        <w:ind w:left="7"/>
        <w:rPr>
          <w:rFonts w:ascii="宋体" w:hAnsi="宋体" w:eastAsia="宋体" w:cs="宋体"/>
          <w:sz w:val="21"/>
          <w:szCs w:val="21"/>
        </w:rPr>
      </w:pPr>
      <w:r>
        <w:rPr>
          <w:rFonts w:ascii="宋体" w:hAnsi="宋体" w:eastAsia="宋体" w:cs="宋体"/>
          <w:spacing w:val="-2"/>
          <w:sz w:val="21"/>
          <w:szCs w:val="21"/>
        </w:rPr>
        <w:t>4、以联合体形式投标的，联合体各成员应分别填写。</w:t>
      </w:r>
    </w:p>
    <w:p w14:paraId="41227393">
      <w:pPr>
        <w:spacing w:line="220" w:lineRule="auto"/>
        <w:rPr>
          <w:rFonts w:ascii="宋体" w:hAnsi="宋体" w:eastAsia="宋体" w:cs="宋体"/>
          <w:sz w:val="21"/>
          <w:szCs w:val="21"/>
        </w:rPr>
        <w:sectPr>
          <w:headerReference r:id="rId205" w:type="default"/>
          <w:footerReference r:id="rId206" w:type="default"/>
          <w:pgSz w:w="11905" w:h="16840"/>
          <w:pgMar w:top="1182" w:right="1407" w:bottom="1171" w:left="1416" w:header="849" w:footer="937" w:gutter="0"/>
          <w:pgNumType w:fmt="decimal"/>
          <w:cols w:space="720" w:num="1"/>
        </w:sectPr>
      </w:pPr>
    </w:p>
    <w:p w14:paraId="4FDEB956">
      <w:pPr>
        <w:pStyle w:val="2"/>
        <w:spacing w:line="267" w:lineRule="auto"/>
      </w:pPr>
    </w:p>
    <w:p w14:paraId="0F09D500">
      <w:pPr>
        <w:spacing w:before="78" w:line="219" w:lineRule="auto"/>
        <w:ind w:left="264"/>
        <w:rPr>
          <w:rFonts w:ascii="宋体" w:hAnsi="宋体" w:eastAsia="宋体" w:cs="宋体"/>
          <w:sz w:val="24"/>
          <w:szCs w:val="24"/>
        </w:rPr>
      </w:pPr>
      <w:r>
        <w:rPr>
          <w:rFonts w:ascii="宋体" w:hAnsi="宋体" w:eastAsia="宋体" w:cs="宋体"/>
          <w:spacing w:val="-19"/>
          <w:sz w:val="24"/>
          <w:szCs w:val="24"/>
        </w:rPr>
        <w:t>附表：</w:t>
      </w:r>
    </w:p>
    <w:p w14:paraId="6F7A3D3E">
      <w:pPr>
        <w:tabs>
          <w:tab w:val="left" w:pos="2458"/>
        </w:tabs>
        <w:spacing w:before="240" w:line="422" w:lineRule="auto"/>
        <w:ind w:left="3518" w:right="901" w:hanging="2605"/>
        <w:rPr>
          <w:rFonts w:ascii="宋体" w:hAnsi="宋体" w:eastAsia="宋体" w:cs="宋体"/>
          <w:sz w:val="27"/>
          <w:szCs w:val="27"/>
        </w:rPr>
      </w:pPr>
      <w:r>
        <w:rPr>
          <w:rFonts w:ascii="宋体" w:hAnsi="宋体" w:eastAsia="宋体" w:cs="宋体"/>
          <w:sz w:val="27"/>
          <w:szCs w:val="27"/>
          <w:u w:val="single" w:color="auto"/>
        </w:rPr>
        <w:tab/>
      </w:r>
      <w:r>
        <w:rPr>
          <w:rFonts w:ascii="宋体" w:hAnsi="宋体" w:eastAsia="宋体" w:cs="宋体"/>
          <w:spacing w:val="-110"/>
          <w:sz w:val="27"/>
          <w:szCs w:val="27"/>
        </w:rPr>
        <w:t xml:space="preserve"> </w:t>
      </w:r>
      <w:r>
        <w:rPr>
          <w:rFonts w:ascii="宋体" w:hAnsi="宋体" w:eastAsia="宋体" w:cs="宋体"/>
          <w:b/>
          <w:bCs/>
          <w:spacing w:val="6"/>
          <w:sz w:val="27"/>
          <w:szCs w:val="27"/>
        </w:rPr>
        <w:t>单位使用</w:t>
      </w:r>
      <w:r>
        <w:rPr>
          <w:rFonts w:ascii="宋体" w:hAnsi="宋体" w:eastAsia="宋体" w:cs="宋体"/>
          <w:spacing w:val="-134"/>
          <w:sz w:val="27"/>
          <w:szCs w:val="27"/>
        </w:rPr>
        <w:t xml:space="preserve"> </w:t>
      </w:r>
      <w:r>
        <w:rPr>
          <w:rFonts w:ascii="宋体" w:hAnsi="宋体" w:eastAsia="宋体" w:cs="宋体"/>
          <w:spacing w:val="5"/>
          <w:sz w:val="27"/>
          <w:szCs w:val="27"/>
          <w:u w:val="single" w:color="auto"/>
        </w:rPr>
        <w:t xml:space="preserve">          </w:t>
      </w:r>
      <w:r>
        <w:rPr>
          <w:rFonts w:ascii="宋体" w:hAnsi="宋体" w:eastAsia="宋体" w:cs="宋体"/>
          <w:spacing w:val="-117"/>
          <w:sz w:val="27"/>
          <w:szCs w:val="27"/>
        </w:rPr>
        <w:t xml:space="preserve"> </w:t>
      </w:r>
      <w:r>
        <w:rPr>
          <w:rFonts w:ascii="宋体" w:hAnsi="宋体" w:eastAsia="宋体" w:cs="宋体"/>
          <w:b/>
          <w:bCs/>
          <w:spacing w:val="6"/>
          <w:sz w:val="27"/>
          <w:szCs w:val="27"/>
        </w:rPr>
        <w:t>年度广东省公路工程从业单位</w:t>
      </w:r>
      <w:r>
        <w:rPr>
          <w:rFonts w:ascii="宋体" w:hAnsi="宋体" w:eastAsia="宋体" w:cs="宋体"/>
          <w:b/>
          <w:bCs/>
          <w:spacing w:val="7"/>
          <w:sz w:val="27"/>
          <w:szCs w:val="27"/>
        </w:rPr>
        <w:t>信用等级情况汇总表</w:t>
      </w:r>
    </w:p>
    <w:tbl>
      <w:tblPr>
        <w:tblStyle w:val="8"/>
        <w:tblW w:w="9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6"/>
        <w:gridCol w:w="3163"/>
        <w:gridCol w:w="1259"/>
        <w:gridCol w:w="1545"/>
        <w:gridCol w:w="1409"/>
        <w:gridCol w:w="1297"/>
      </w:tblGrid>
      <w:tr w14:paraId="594D4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866" w:type="dxa"/>
            <w:vAlign w:val="top"/>
          </w:tcPr>
          <w:p w14:paraId="2AF6680B">
            <w:pPr>
              <w:spacing w:line="395" w:lineRule="auto"/>
              <w:rPr>
                <w:rFonts w:ascii="Arial"/>
                <w:sz w:val="21"/>
              </w:rPr>
            </w:pPr>
          </w:p>
          <w:p w14:paraId="1EF0C46D">
            <w:pPr>
              <w:pStyle w:val="9"/>
              <w:spacing w:before="68" w:line="221" w:lineRule="auto"/>
              <w:ind w:left="226"/>
            </w:pPr>
            <w:r>
              <w:rPr>
                <w:spacing w:val="-2"/>
              </w:rPr>
              <w:t>序号</w:t>
            </w:r>
          </w:p>
        </w:tc>
        <w:tc>
          <w:tcPr>
            <w:tcW w:w="3163" w:type="dxa"/>
            <w:vAlign w:val="top"/>
          </w:tcPr>
          <w:p w14:paraId="7F8B9F1C">
            <w:pPr>
              <w:spacing w:line="395" w:lineRule="auto"/>
              <w:rPr>
                <w:rFonts w:ascii="Arial"/>
                <w:sz w:val="21"/>
              </w:rPr>
            </w:pPr>
          </w:p>
          <w:p w14:paraId="5E3C46B1">
            <w:pPr>
              <w:pStyle w:val="9"/>
              <w:spacing w:before="69" w:line="220" w:lineRule="auto"/>
              <w:ind w:left="1060"/>
            </w:pPr>
            <w:r>
              <w:rPr>
                <w:spacing w:val="-2"/>
              </w:rPr>
              <w:t>招标人名称</w:t>
            </w:r>
          </w:p>
        </w:tc>
        <w:tc>
          <w:tcPr>
            <w:tcW w:w="1259" w:type="dxa"/>
            <w:vAlign w:val="top"/>
          </w:tcPr>
          <w:p w14:paraId="74149A5F">
            <w:pPr>
              <w:rPr>
                <w:rFonts w:ascii="Arial"/>
                <w:sz w:val="21"/>
              </w:rPr>
            </w:pPr>
          </w:p>
          <w:p w14:paraId="7DE2E796">
            <w:pPr>
              <w:pStyle w:val="9"/>
              <w:spacing w:before="68" w:line="277" w:lineRule="auto"/>
              <w:ind w:left="214" w:right="113" w:hanging="101"/>
            </w:pPr>
            <w:r>
              <w:rPr>
                <w:spacing w:val="-5"/>
              </w:rPr>
              <w:t>标类或（标</w:t>
            </w:r>
            <w:r>
              <w:rPr>
                <w:spacing w:val="-2"/>
              </w:rPr>
              <w:t>段）名称</w:t>
            </w:r>
          </w:p>
        </w:tc>
        <w:tc>
          <w:tcPr>
            <w:tcW w:w="1545" w:type="dxa"/>
            <w:vAlign w:val="top"/>
          </w:tcPr>
          <w:p w14:paraId="25D6BF0A">
            <w:pPr>
              <w:spacing w:line="241" w:lineRule="auto"/>
              <w:rPr>
                <w:rFonts w:ascii="Arial"/>
                <w:sz w:val="21"/>
              </w:rPr>
            </w:pPr>
          </w:p>
          <w:p w14:paraId="7A47B6DF">
            <w:pPr>
              <w:pStyle w:val="9"/>
              <w:spacing w:before="68" w:line="276" w:lineRule="auto"/>
              <w:ind w:left="257" w:right="140" w:hanging="109"/>
            </w:pPr>
            <w:r>
              <w:rPr>
                <w:spacing w:val="-2"/>
              </w:rPr>
              <w:t>递交文件时间</w:t>
            </w:r>
            <w:r>
              <w:rPr>
                <w:spacing w:val="-5"/>
              </w:rPr>
              <w:t>（年月日）</w:t>
            </w:r>
          </w:p>
        </w:tc>
        <w:tc>
          <w:tcPr>
            <w:tcW w:w="1409" w:type="dxa"/>
            <w:vAlign w:val="top"/>
          </w:tcPr>
          <w:p w14:paraId="7F160CEF">
            <w:pPr>
              <w:spacing w:line="241" w:lineRule="auto"/>
              <w:rPr>
                <w:rFonts w:ascii="Arial"/>
                <w:sz w:val="21"/>
              </w:rPr>
            </w:pPr>
          </w:p>
          <w:p w14:paraId="4EE56A1F">
            <w:pPr>
              <w:pStyle w:val="9"/>
              <w:spacing w:before="68" w:line="277" w:lineRule="auto"/>
              <w:ind w:left="188" w:right="176" w:hanging="2"/>
            </w:pPr>
            <w:r>
              <w:rPr>
                <w:spacing w:val="-2"/>
              </w:rPr>
              <w:t>使用信用等</w:t>
            </w:r>
            <w:r>
              <w:rPr>
                <w:spacing w:val="-3"/>
              </w:rPr>
              <w:t>级（AA/A）</w:t>
            </w:r>
          </w:p>
        </w:tc>
        <w:tc>
          <w:tcPr>
            <w:tcW w:w="1297" w:type="dxa"/>
            <w:vAlign w:val="top"/>
          </w:tcPr>
          <w:p w14:paraId="3F837DBB">
            <w:pPr>
              <w:spacing w:line="395" w:lineRule="auto"/>
              <w:rPr>
                <w:rFonts w:ascii="Arial"/>
                <w:sz w:val="21"/>
              </w:rPr>
            </w:pPr>
          </w:p>
          <w:p w14:paraId="6B65ACC7">
            <w:pPr>
              <w:pStyle w:val="9"/>
              <w:spacing w:before="68" w:line="221" w:lineRule="auto"/>
              <w:ind w:left="445"/>
            </w:pPr>
            <w:r>
              <w:rPr>
                <w:spacing w:val="-3"/>
              </w:rPr>
              <w:t>备注</w:t>
            </w:r>
          </w:p>
        </w:tc>
      </w:tr>
      <w:tr w14:paraId="52D98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vAlign w:val="top"/>
          </w:tcPr>
          <w:p w14:paraId="3E0D892E">
            <w:pPr>
              <w:pStyle w:val="9"/>
              <w:spacing w:before="307" w:line="241" w:lineRule="auto"/>
              <w:ind w:left="401"/>
            </w:pPr>
            <w:r>
              <w:t>1</w:t>
            </w:r>
          </w:p>
        </w:tc>
        <w:tc>
          <w:tcPr>
            <w:tcW w:w="3163" w:type="dxa"/>
            <w:vAlign w:val="top"/>
          </w:tcPr>
          <w:p w14:paraId="69F47E49">
            <w:pPr>
              <w:rPr>
                <w:rFonts w:ascii="Arial"/>
                <w:sz w:val="21"/>
              </w:rPr>
            </w:pPr>
          </w:p>
        </w:tc>
        <w:tc>
          <w:tcPr>
            <w:tcW w:w="1259" w:type="dxa"/>
            <w:vAlign w:val="top"/>
          </w:tcPr>
          <w:p w14:paraId="22D10283">
            <w:pPr>
              <w:rPr>
                <w:rFonts w:ascii="Arial"/>
                <w:sz w:val="21"/>
              </w:rPr>
            </w:pPr>
          </w:p>
        </w:tc>
        <w:tc>
          <w:tcPr>
            <w:tcW w:w="1545" w:type="dxa"/>
            <w:vAlign w:val="top"/>
          </w:tcPr>
          <w:p w14:paraId="7EB63B2E">
            <w:pPr>
              <w:rPr>
                <w:rFonts w:ascii="Arial"/>
                <w:sz w:val="21"/>
              </w:rPr>
            </w:pPr>
          </w:p>
        </w:tc>
        <w:tc>
          <w:tcPr>
            <w:tcW w:w="1409" w:type="dxa"/>
            <w:vAlign w:val="top"/>
          </w:tcPr>
          <w:p w14:paraId="69888C2A">
            <w:pPr>
              <w:rPr>
                <w:rFonts w:ascii="Arial"/>
                <w:sz w:val="21"/>
              </w:rPr>
            </w:pPr>
          </w:p>
        </w:tc>
        <w:tc>
          <w:tcPr>
            <w:tcW w:w="1297" w:type="dxa"/>
            <w:vAlign w:val="top"/>
          </w:tcPr>
          <w:p w14:paraId="21719D90">
            <w:pPr>
              <w:rPr>
                <w:rFonts w:ascii="Arial"/>
                <w:sz w:val="21"/>
              </w:rPr>
            </w:pPr>
          </w:p>
        </w:tc>
      </w:tr>
      <w:tr w14:paraId="650AB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vAlign w:val="top"/>
          </w:tcPr>
          <w:p w14:paraId="57719D8E">
            <w:pPr>
              <w:pStyle w:val="9"/>
              <w:spacing w:before="306" w:line="241" w:lineRule="auto"/>
              <w:ind w:left="388"/>
            </w:pPr>
            <w:r>
              <w:t>2</w:t>
            </w:r>
          </w:p>
        </w:tc>
        <w:tc>
          <w:tcPr>
            <w:tcW w:w="3163" w:type="dxa"/>
            <w:vAlign w:val="top"/>
          </w:tcPr>
          <w:p w14:paraId="5C79AED3">
            <w:pPr>
              <w:rPr>
                <w:rFonts w:ascii="Arial"/>
                <w:sz w:val="21"/>
              </w:rPr>
            </w:pPr>
          </w:p>
        </w:tc>
        <w:tc>
          <w:tcPr>
            <w:tcW w:w="1259" w:type="dxa"/>
            <w:vAlign w:val="top"/>
          </w:tcPr>
          <w:p w14:paraId="1D3A01E0">
            <w:pPr>
              <w:rPr>
                <w:rFonts w:ascii="Arial"/>
                <w:sz w:val="21"/>
              </w:rPr>
            </w:pPr>
          </w:p>
        </w:tc>
        <w:tc>
          <w:tcPr>
            <w:tcW w:w="1545" w:type="dxa"/>
            <w:vAlign w:val="top"/>
          </w:tcPr>
          <w:p w14:paraId="2BBD3AD2">
            <w:pPr>
              <w:rPr>
                <w:rFonts w:ascii="Arial"/>
                <w:sz w:val="21"/>
              </w:rPr>
            </w:pPr>
          </w:p>
        </w:tc>
        <w:tc>
          <w:tcPr>
            <w:tcW w:w="1409" w:type="dxa"/>
            <w:vAlign w:val="top"/>
          </w:tcPr>
          <w:p w14:paraId="6CC15CB4">
            <w:pPr>
              <w:rPr>
                <w:rFonts w:ascii="Arial"/>
                <w:sz w:val="21"/>
              </w:rPr>
            </w:pPr>
          </w:p>
        </w:tc>
        <w:tc>
          <w:tcPr>
            <w:tcW w:w="1297" w:type="dxa"/>
            <w:vAlign w:val="top"/>
          </w:tcPr>
          <w:p w14:paraId="4C46E492">
            <w:pPr>
              <w:rPr>
                <w:rFonts w:ascii="Arial"/>
                <w:sz w:val="21"/>
              </w:rPr>
            </w:pPr>
          </w:p>
        </w:tc>
      </w:tr>
      <w:tr w14:paraId="45EE8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vAlign w:val="top"/>
          </w:tcPr>
          <w:p w14:paraId="0535903A">
            <w:pPr>
              <w:pStyle w:val="9"/>
              <w:spacing w:before="308"/>
              <w:ind w:left="390"/>
            </w:pPr>
            <w:r>
              <w:t>3</w:t>
            </w:r>
          </w:p>
        </w:tc>
        <w:tc>
          <w:tcPr>
            <w:tcW w:w="3163" w:type="dxa"/>
            <w:vAlign w:val="top"/>
          </w:tcPr>
          <w:p w14:paraId="27BCABA5">
            <w:pPr>
              <w:rPr>
                <w:rFonts w:ascii="Arial"/>
                <w:sz w:val="21"/>
              </w:rPr>
            </w:pPr>
          </w:p>
        </w:tc>
        <w:tc>
          <w:tcPr>
            <w:tcW w:w="1259" w:type="dxa"/>
            <w:vAlign w:val="top"/>
          </w:tcPr>
          <w:p w14:paraId="26F5201A">
            <w:pPr>
              <w:rPr>
                <w:rFonts w:ascii="Arial"/>
                <w:sz w:val="21"/>
              </w:rPr>
            </w:pPr>
          </w:p>
        </w:tc>
        <w:tc>
          <w:tcPr>
            <w:tcW w:w="1545" w:type="dxa"/>
            <w:vAlign w:val="top"/>
          </w:tcPr>
          <w:p w14:paraId="30CB3D09">
            <w:pPr>
              <w:rPr>
                <w:rFonts w:ascii="Arial"/>
                <w:sz w:val="21"/>
              </w:rPr>
            </w:pPr>
          </w:p>
        </w:tc>
        <w:tc>
          <w:tcPr>
            <w:tcW w:w="1409" w:type="dxa"/>
            <w:vAlign w:val="top"/>
          </w:tcPr>
          <w:p w14:paraId="63C9ABE6">
            <w:pPr>
              <w:rPr>
                <w:rFonts w:ascii="Arial"/>
                <w:sz w:val="21"/>
              </w:rPr>
            </w:pPr>
          </w:p>
        </w:tc>
        <w:tc>
          <w:tcPr>
            <w:tcW w:w="1297" w:type="dxa"/>
            <w:vAlign w:val="top"/>
          </w:tcPr>
          <w:p w14:paraId="1D16DEAB">
            <w:pPr>
              <w:rPr>
                <w:rFonts w:ascii="Arial"/>
                <w:sz w:val="21"/>
              </w:rPr>
            </w:pPr>
          </w:p>
        </w:tc>
      </w:tr>
      <w:tr w14:paraId="7C8EF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vAlign w:val="top"/>
          </w:tcPr>
          <w:p w14:paraId="2B7F9A12">
            <w:pPr>
              <w:pStyle w:val="9"/>
              <w:spacing w:before="307" w:line="241" w:lineRule="auto"/>
              <w:ind w:left="385"/>
            </w:pPr>
            <w:r>
              <w:t>4</w:t>
            </w:r>
          </w:p>
        </w:tc>
        <w:tc>
          <w:tcPr>
            <w:tcW w:w="3163" w:type="dxa"/>
            <w:vAlign w:val="top"/>
          </w:tcPr>
          <w:p w14:paraId="72963FE2">
            <w:pPr>
              <w:rPr>
                <w:rFonts w:ascii="Arial"/>
                <w:sz w:val="21"/>
              </w:rPr>
            </w:pPr>
          </w:p>
        </w:tc>
        <w:tc>
          <w:tcPr>
            <w:tcW w:w="1259" w:type="dxa"/>
            <w:vAlign w:val="top"/>
          </w:tcPr>
          <w:p w14:paraId="61FAA58C">
            <w:pPr>
              <w:rPr>
                <w:rFonts w:ascii="Arial"/>
                <w:sz w:val="21"/>
              </w:rPr>
            </w:pPr>
          </w:p>
        </w:tc>
        <w:tc>
          <w:tcPr>
            <w:tcW w:w="1545" w:type="dxa"/>
            <w:vAlign w:val="top"/>
          </w:tcPr>
          <w:p w14:paraId="09A8F011">
            <w:pPr>
              <w:rPr>
                <w:rFonts w:ascii="Arial"/>
                <w:sz w:val="21"/>
              </w:rPr>
            </w:pPr>
          </w:p>
        </w:tc>
        <w:tc>
          <w:tcPr>
            <w:tcW w:w="1409" w:type="dxa"/>
            <w:vAlign w:val="top"/>
          </w:tcPr>
          <w:p w14:paraId="56A79625">
            <w:pPr>
              <w:rPr>
                <w:rFonts w:ascii="Arial"/>
                <w:sz w:val="21"/>
              </w:rPr>
            </w:pPr>
          </w:p>
        </w:tc>
        <w:tc>
          <w:tcPr>
            <w:tcW w:w="1297" w:type="dxa"/>
            <w:vAlign w:val="top"/>
          </w:tcPr>
          <w:p w14:paraId="5C9A094C">
            <w:pPr>
              <w:rPr>
                <w:rFonts w:ascii="Arial"/>
                <w:sz w:val="21"/>
              </w:rPr>
            </w:pPr>
          </w:p>
        </w:tc>
      </w:tr>
      <w:tr w14:paraId="27BCF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vAlign w:val="top"/>
          </w:tcPr>
          <w:p w14:paraId="4C8D7309">
            <w:pPr>
              <w:pStyle w:val="9"/>
              <w:spacing w:before="309"/>
              <w:ind w:left="390"/>
            </w:pPr>
            <w:r>
              <w:t>5</w:t>
            </w:r>
          </w:p>
        </w:tc>
        <w:tc>
          <w:tcPr>
            <w:tcW w:w="3163" w:type="dxa"/>
            <w:vAlign w:val="top"/>
          </w:tcPr>
          <w:p w14:paraId="5F7A9E4F">
            <w:pPr>
              <w:rPr>
                <w:rFonts w:ascii="Arial"/>
                <w:sz w:val="21"/>
              </w:rPr>
            </w:pPr>
          </w:p>
        </w:tc>
        <w:tc>
          <w:tcPr>
            <w:tcW w:w="1259" w:type="dxa"/>
            <w:vAlign w:val="top"/>
          </w:tcPr>
          <w:p w14:paraId="1E52C10D">
            <w:pPr>
              <w:rPr>
                <w:rFonts w:ascii="Arial"/>
                <w:sz w:val="21"/>
              </w:rPr>
            </w:pPr>
          </w:p>
        </w:tc>
        <w:tc>
          <w:tcPr>
            <w:tcW w:w="1545" w:type="dxa"/>
            <w:vAlign w:val="top"/>
          </w:tcPr>
          <w:p w14:paraId="0AF22893">
            <w:pPr>
              <w:rPr>
                <w:rFonts w:ascii="Arial"/>
                <w:sz w:val="21"/>
              </w:rPr>
            </w:pPr>
          </w:p>
        </w:tc>
        <w:tc>
          <w:tcPr>
            <w:tcW w:w="1409" w:type="dxa"/>
            <w:vAlign w:val="top"/>
          </w:tcPr>
          <w:p w14:paraId="552FF56E">
            <w:pPr>
              <w:rPr>
                <w:rFonts w:ascii="Arial"/>
                <w:sz w:val="21"/>
              </w:rPr>
            </w:pPr>
          </w:p>
        </w:tc>
        <w:tc>
          <w:tcPr>
            <w:tcW w:w="1297" w:type="dxa"/>
            <w:vAlign w:val="top"/>
          </w:tcPr>
          <w:p w14:paraId="71CE4AD8">
            <w:pPr>
              <w:rPr>
                <w:rFonts w:ascii="Arial"/>
                <w:sz w:val="21"/>
              </w:rPr>
            </w:pPr>
          </w:p>
        </w:tc>
      </w:tr>
      <w:tr w14:paraId="612EC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vAlign w:val="top"/>
          </w:tcPr>
          <w:p w14:paraId="211CEB28">
            <w:pPr>
              <w:pStyle w:val="9"/>
              <w:spacing w:before="308"/>
              <w:ind w:left="387"/>
            </w:pPr>
            <w:r>
              <w:t>6</w:t>
            </w:r>
          </w:p>
        </w:tc>
        <w:tc>
          <w:tcPr>
            <w:tcW w:w="3163" w:type="dxa"/>
            <w:vAlign w:val="top"/>
          </w:tcPr>
          <w:p w14:paraId="640C9848">
            <w:pPr>
              <w:rPr>
                <w:rFonts w:ascii="Arial"/>
                <w:sz w:val="21"/>
              </w:rPr>
            </w:pPr>
          </w:p>
        </w:tc>
        <w:tc>
          <w:tcPr>
            <w:tcW w:w="1259" w:type="dxa"/>
            <w:vAlign w:val="top"/>
          </w:tcPr>
          <w:p w14:paraId="61078477">
            <w:pPr>
              <w:rPr>
                <w:rFonts w:ascii="Arial"/>
                <w:sz w:val="21"/>
              </w:rPr>
            </w:pPr>
          </w:p>
        </w:tc>
        <w:tc>
          <w:tcPr>
            <w:tcW w:w="1545" w:type="dxa"/>
            <w:vAlign w:val="top"/>
          </w:tcPr>
          <w:p w14:paraId="1A29C01D">
            <w:pPr>
              <w:rPr>
                <w:rFonts w:ascii="Arial"/>
                <w:sz w:val="21"/>
              </w:rPr>
            </w:pPr>
          </w:p>
        </w:tc>
        <w:tc>
          <w:tcPr>
            <w:tcW w:w="1409" w:type="dxa"/>
            <w:vAlign w:val="top"/>
          </w:tcPr>
          <w:p w14:paraId="128C9FA0">
            <w:pPr>
              <w:rPr>
                <w:rFonts w:ascii="Arial"/>
                <w:sz w:val="21"/>
              </w:rPr>
            </w:pPr>
          </w:p>
        </w:tc>
        <w:tc>
          <w:tcPr>
            <w:tcW w:w="1297" w:type="dxa"/>
            <w:vAlign w:val="top"/>
          </w:tcPr>
          <w:p w14:paraId="62998C3B">
            <w:pPr>
              <w:rPr>
                <w:rFonts w:ascii="Arial"/>
                <w:sz w:val="21"/>
              </w:rPr>
            </w:pPr>
          </w:p>
        </w:tc>
      </w:tr>
      <w:tr w14:paraId="69F48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866" w:type="dxa"/>
            <w:vAlign w:val="top"/>
          </w:tcPr>
          <w:p w14:paraId="276827F5">
            <w:pPr>
              <w:rPr>
                <w:rFonts w:ascii="Arial"/>
                <w:sz w:val="21"/>
              </w:rPr>
            </w:pPr>
          </w:p>
          <w:p w14:paraId="5B10D906">
            <w:pPr>
              <w:pStyle w:val="9"/>
              <w:spacing w:before="68"/>
              <w:ind w:left="391"/>
            </w:pPr>
            <w:r>
              <w:t>7</w:t>
            </w:r>
          </w:p>
        </w:tc>
        <w:tc>
          <w:tcPr>
            <w:tcW w:w="3163" w:type="dxa"/>
            <w:vAlign w:val="top"/>
          </w:tcPr>
          <w:p w14:paraId="51C4F050">
            <w:pPr>
              <w:rPr>
                <w:rFonts w:ascii="Arial"/>
                <w:sz w:val="21"/>
              </w:rPr>
            </w:pPr>
          </w:p>
        </w:tc>
        <w:tc>
          <w:tcPr>
            <w:tcW w:w="1259" w:type="dxa"/>
            <w:vAlign w:val="top"/>
          </w:tcPr>
          <w:p w14:paraId="10A80E0D">
            <w:pPr>
              <w:rPr>
                <w:rFonts w:ascii="Arial"/>
                <w:sz w:val="21"/>
              </w:rPr>
            </w:pPr>
          </w:p>
        </w:tc>
        <w:tc>
          <w:tcPr>
            <w:tcW w:w="1545" w:type="dxa"/>
            <w:vAlign w:val="top"/>
          </w:tcPr>
          <w:p w14:paraId="420DD0A1">
            <w:pPr>
              <w:rPr>
                <w:rFonts w:ascii="Arial"/>
                <w:sz w:val="21"/>
              </w:rPr>
            </w:pPr>
          </w:p>
        </w:tc>
        <w:tc>
          <w:tcPr>
            <w:tcW w:w="1409" w:type="dxa"/>
            <w:vAlign w:val="top"/>
          </w:tcPr>
          <w:p w14:paraId="03420AD0">
            <w:pPr>
              <w:rPr>
                <w:rFonts w:ascii="Arial"/>
                <w:sz w:val="21"/>
              </w:rPr>
            </w:pPr>
          </w:p>
        </w:tc>
        <w:tc>
          <w:tcPr>
            <w:tcW w:w="1297" w:type="dxa"/>
            <w:vAlign w:val="top"/>
          </w:tcPr>
          <w:p w14:paraId="378E0EC8">
            <w:pPr>
              <w:rPr>
                <w:rFonts w:ascii="Arial"/>
                <w:sz w:val="21"/>
              </w:rPr>
            </w:pPr>
          </w:p>
        </w:tc>
      </w:tr>
      <w:tr w14:paraId="464FA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866" w:type="dxa"/>
            <w:vAlign w:val="top"/>
          </w:tcPr>
          <w:p w14:paraId="138F3EE1">
            <w:pPr>
              <w:pStyle w:val="9"/>
              <w:spacing w:before="309"/>
              <w:ind w:left="386"/>
            </w:pPr>
            <w:r>
              <w:t>8</w:t>
            </w:r>
          </w:p>
        </w:tc>
        <w:tc>
          <w:tcPr>
            <w:tcW w:w="3163" w:type="dxa"/>
            <w:vAlign w:val="top"/>
          </w:tcPr>
          <w:p w14:paraId="2011FB9D">
            <w:pPr>
              <w:rPr>
                <w:rFonts w:ascii="Arial"/>
                <w:sz w:val="21"/>
              </w:rPr>
            </w:pPr>
          </w:p>
        </w:tc>
        <w:tc>
          <w:tcPr>
            <w:tcW w:w="1259" w:type="dxa"/>
            <w:vAlign w:val="top"/>
          </w:tcPr>
          <w:p w14:paraId="454E7C56">
            <w:pPr>
              <w:rPr>
                <w:rFonts w:ascii="Arial"/>
                <w:sz w:val="21"/>
              </w:rPr>
            </w:pPr>
          </w:p>
        </w:tc>
        <w:tc>
          <w:tcPr>
            <w:tcW w:w="1545" w:type="dxa"/>
            <w:vAlign w:val="top"/>
          </w:tcPr>
          <w:p w14:paraId="64DAC367">
            <w:pPr>
              <w:rPr>
                <w:rFonts w:ascii="Arial"/>
                <w:sz w:val="21"/>
              </w:rPr>
            </w:pPr>
          </w:p>
        </w:tc>
        <w:tc>
          <w:tcPr>
            <w:tcW w:w="1409" w:type="dxa"/>
            <w:vAlign w:val="top"/>
          </w:tcPr>
          <w:p w14:paraId="07E09C3C">
            <w:pPr>
              <w:rPr>
                <w:rFonts w:ascii="Arial"/>
                <w:sz w:val="21"/>
              </w:rPr>
            </w:pPr>
          </w:p>
        </w:tc>
        <w:tc>
          <w:tcPr>
            <w:tcW w:w="1297" w:type="dxa"/>
            <w:vAlign w:val="top"/>
          </w:tcPr>
          <w:p w14:paraId="11E24F3B">
            <w:pPr>
              <w:rPr>
                <w:rFonts w:ascii="Arial"/>
                <w:sz w:val="21"/>
              </w:rPr>
            </w:pPr>
          </w:p>
        </w:tc>
      </w:tr>
      <w:tr w14:paraId="2E954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866" w:type="dxa"/>
            <w:vAlign w:val="top"/>
          </w:tcPr>
          <w:p w14:paraId="6B140D1D">
            <w:pPr>
              <w:spacing w:line="395" w:lineRule="auto"/>
              <w:rPr>
                <w:rFonts w:ascii="Arial"/>
                <w:sz w:val="21"/>
              </w:rPr>
            </w:pPr>
          </w:p>
          <w:p w14:paraId="23A2B40D">
            <w:pPr>
              <w:pStyle w:val="9"/>
              <w:spacing w:before="68" w:line="87" w:lineRule="exact"/>
              <w:ind w:left="286"/>
            </w:pPr>
            <w:r>
              <w:rPr>
                <w:spacing w:val="-5"/>
                <w:position w:val="1"/>
              </w:rPr>
              <w:t>...</w:t>
            </w:r>
          </w:p>
        </w:tc>
        <w:tc>
          <w:tcPr>
            <w:tcW w:w="3163" w:type="dxa"/>
            <w:vAlign w:val="top"/>
          </w:tcPr>
          <w:p w14:paraId="5F12256C">
            <w:pPr>
              <w:rPr>
                <w:rFonts w:ascii="Arial"/>
                <w:sz w:val="21"/>
              </w:rPr>
            </w:pPr>
          </w:p>
        </w:tc>
        <w:tc>
          <w:tcPr>
            <w:tcW w:w="1259" w:type="dxa"/>
            <w:vAlign w:val="top"/>
          </w:tcPr>
          <w:p w14:paraId="0FD6934C">
            <w:pPr>
              <w:rPr>
                <w:rFonts w:ascii="Arial"/>
                <w:sz w:val="21"/>
              </w:rPr>
            </w:pPr>
          </w:p>
        </w:tc>
        <w:tc>
          <w:tcPr>
            <w:tcW w:w="1545" w:type="dxa"/>
            <w:vAlign w:val="top"/>
          </w:tcPr>
          <w:p w14:paraId="71FB2B4A">
            <w:pPr>
              <w:rPr>
                <w:rFonts w:ascii="Arial"/>
                <w:sz w:val="21"/>
              </w:rPr>
            </w:pPr>
          </w:p>
        </w:tc>
        <w:tc>
          <w:tcPr>
            <w:tcW w:w="1409" w:type="dxa"/>
            <w:vAlign w:val="top"/>
          </w:tcPr>
          <w:p w14:paraId="79060E64">
            <w:pPr>
              <w:rPr>
                <w:rFonts w:ascii="Arial"/>
                <w:sz w:val="21"/>
              </w:rPr>
            </w:pPr>
          </w:p>
        </w:tc>
        <w:tc>
          <w:tcPr>
            <w:tcW w:w="1297" w:type="dxa"/>
            <w:vAlign w:val="top"/>
          </w:tcPr>
          <w:p w14:paraId="1DFCF746">
            <w:pPr>
              <w:rPr>
                <w:rFonts w:ascii="Arial"/>
                <w:sz w:val="21"/>
              </w:rPr>
            </w:pPr>
          </w:p>
        </w:tc>
      </w:tr>
    </w:tbl>
    <w:p w14:paraId="68AFE2FC">
      <w:pPr>
        <w:spacing w:before="48" w:line="224" w:lineRule="auto"/>
        <w:ind w:left="244"/>
        <w:rPr>
          <w:rFonts w:ascii="宋体" w:hAnsi="宋体" w:eastAsia="宋体" w:cs="宋体"/>
          <w:sz w:val="21"/>
          <w:szCs w:val="21"/>
        </w:rPr>
      </w:pPr>
      <w:r>
        <w:rPr>
          <w:rFonts w:ascii="宋体" w:hAnsi="宋体" w:eastAsia="宋体" w:cs="宋体"/>
          <w:spacing w:val="-15"/>
          <w:sz w:val="21"/>
          <w:szCs w:val="21"/>
        </w:rPr>
        <w:t>注：</w:t>
      </w:r>
    </w:p>
    <w:p w14:paraId="4D469D91">
      <w:pPr>
        <w:spacing w:before="57" w:line="218" w:lineRule="auto"/>
        <w:ind w:left="260"/>
        <w:rPr>
          <w:rFonts w:ascii="宋体" w:hAnsi="宋体" w:eastAsia="宋体" w:cs="宋体"/>
          <w:sz w:val="21"/>
          <w:szCs w:val="21"/>
        </w:rPr>
      </w:pPr>
      <w:r>
        <w:rPr>
          <w:rFonts w:ascii="宋体" w:hAnsi="宋体" w:eastAsia="宋体" w:cs="宋体"/>
          <w:spacing w:val="-3"/>
          <w:sz w:val="21"/>
          <w:szCs w:val="21"/>
        </w:rPr>
        <w:t>1、应如实填报信用评价等级使用情况。</w:t>
      </w:r>
    </w:p>
    <w:p w14:paraId="63801EA5">
      <w:pPr>
        <w:spacing w:before="64" w:line="220" w:lineRule="auto"/>
        <w:ind w:left="247"/>
        <w:rPr>
          <w:rFonts w:ascii="宋体" w:hAnsi="宋体" w:eastAsia="宋体" w:cs="宋体"/>
          <w:sz w:val="21"/>
          <w:szCs w:val="21"/>
        </w:rPr>
      </w:pPr>
      <w:r>
        <w:rPr>
          <w:rFonts w:ascii="宋体" w:hAnsi="宋体" w:eastAsia="宋体" w:cs="宋体"/>
          <w:spacing w:val="-2"/>
          <w:sz w:val="21"/>
          <w:szCs w:val="21"/>
        </w:rPr>
        <w:t>2、以联合体形式投标的，联合体各成员应分别填写。</w:t>
      </w:r>
    </w:p>
    <w:p w14:paraId="4C2C62A1">
      <w:pPr>
        <w:spacing w:line="220" w:lineRule="auto"/>
        <w:rPr>
          <w:rFonts w:ascii="宋体" w:hAnsi="宋体" w:eastAsia="宋体" w:cs="宋体"/>
          <w:sz w:val="21"/>
          <w:szCs w:val="21"/>
        </w:rPr>
        <w:sectPr>
          <w:headerReference r:id="rId207" w:type="default"/>
          <w:footerReference r:id="rId208" w:type="default"/>
          <w:pgSz w:w="11905" w:h="16840"/>
          <w:pgMar w:top="1182" w:right="1180" w:bottom="1171" w:left="1179" w:header="849" w:footer="937" w:gutter="0"/>
          <w:pgNumType w:fmt="decimal"/>
          <w:cols w:space="720" w:num="1"/>
        </w:sectPr>
      </w:pPr>
    </w:p>
    <w:p w14:paraId="44ED98B8">
      <w:pPr>
        <w:pStyle w:val="2"/>
        <w:spacing w:before="100" w:line="227" w:lineRule="auto"/>
        <w:jc w:val="center"/>
        <w:rPr>
          <w:rFonts w:hint="eastAsia" w:ascii="宋体" w:hAnsi="宋体" w:eastAsia="黑体" w:cs="宋体"/>
          <w:sz w:val="12"/>
          <w:szCs w:val="12"/>
          <w:lang w:val="en-US" w:eastAsia="zh-CN"/>
        </w:rPr>
      </w:pPr>
      <w:r>
        <w:rPr>
          <w:rFonts w:hint="eastAsia"/>
          <w:b/>
          <w:bCs/>
          <w:spacing w:val="5"/>
          <w:sz w:val="31"/>
          <w:szCs w:val="31"/>
          <w:lang w:val="en-US" w:eastAsia="zh-CN"/>
        </w:rPr>
        <w:t>八</w:t>
      </w:r>
      <w:r>
        <w:rPr>
          <w:b/>
          <w:bCs/>
          <w:spacing w:val="5"/>
          <w:sz w:val="31"/>
          <w:szCs w:val="31"/>
        </w:rPr>
        <w:t>-2、投标人承诺</w:t>
      </w:r>
      <w:r>
        <w:rPr>
          <w:rFonts w:hint="eastAsia"/>
          <w:b/>
          <w:bCs/>
          <w:spacing w:val="5"/>
          <w:sz w:val="31"/>
          <w:szCs w:val="31"/>
          <w:lang w:val="en-US" w:eastAsia="zh-CN"/>
        </w:rPr>
        <w:t>书</w:t>
      </w:r>
    </w:p>
    <w:p w14:paraId="02DCB34D">
      <w:pPr>
        <w:spacing w:before="14"/>
      </w:pPr>
    </w:p>
    <w:p w14:paraId="416BFA18">
      <w:pPr>
        <w:keepNext w:val="0"/>
        <w:keepLines w:val="0"/>
        <w:widowControl/>
        <w:suppressLineNumbers w:val="0"/>
        <w:spacing w:line="360" w:lineRule="auto"/>
        <w:jc w:val="left"/>
        <w:rPr>
          <w:sz w:val="24"/>
          <w:szCs w:val="24"/>
        </w:rPr>
      </w:pPr>
      <w:r>
        <w:rPr>
          <w:rFonts w:hint="eastAsia" w:ascii="宋体" w:hAnsi="宋体" w:eastAsia="宋体" w:cs="宋体"/>
          <w:b/>
          <w:bCs/>
          <w:snapToGrid w:val="0"/>
          <w:color w:val="000000"/>
          <w:kern w:val="0"/>
          <w:sz w:val="24"/>
          <w:szCs w:val="24"/>
          <w:lang w:val="en-US" w:eastAsia="zh-CN" w:bidi="ar"/>
        </w:rPr>
        <w:t xml:space="preserve">致：云浮市云安区地方公路和交通运输管理站 </w:t>
      </w:r>
    </w:p>
    <w:p w14:paraId="35E007E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我公司作为参与</w:t>
      </w:r>
      <w:r>
        <w:rPr>
          <w:rFonts w:hint="eastAsia" w:ascii="宋体" w:hAnsi="宋体" w:eastAsia="宋体" w:cs="宋体"/>
          <w:b/>
          <w:bCs/>
          <w:snapToGrid w:val="0"/>
          <w:color w:val="000000"/>
          <w:kern w:val="0"/>
          <w:sz w:val="24"/>
          <w:szCs w:val="24"/>
          <w:u w:val="single"/>
          <w:lang w:val="en-US" w:eastAsia="zh-CN" w:bidi="ar"/>
        </w:rPr>
        <w:t>云安区白石镇X491线白石街至东星四升三改建工程施工</w:t>
      </w:r>
      <w:r>
        <w:rPr>
          <w:rFonts w:hint="eastAsia" w:ascii="宋体" w:hAnsi="宋体" w:eastAsia="宋体" w:cs="宋体"/>
          <w:snapToGrid w:val="0"/>
          <w:color w:val="000000"/>
          <w:kern w:val="0"/>
          <w:sz w:val="24"/>
          <w:szCs w:val="24"/>
          <w:lang w:val="en-US" w:eastAsia="zh-CN" w:bidi="ar"/>
        </w:rPr>
        <w:t xml:space="preserve">招标投标活动的投标人， 郑重作出以下承诺： </w:t>
      </w:r>
    </w:p>
    <w:p w14:paraId="1345150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 xml:space="preserve">一、在本次招标投标活动中提供的证明材料，包括但不限于营业执照、资质、业绩、获奖、人员、 财务、社保、纳税、各类证书等，都是真实、有效的。 </w:t>
      </w:r>
    </w:p>
    <w:p w14:paraId="08E5BD0B">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 xml:space="preserve">二、同意你方对我司在本次招标投标活动中提供的证明材料，包括但不限于营业执照、资质、业 绩、获奖、人员、财务、社保、纳税、各类证书等证明材料在有关平台进行向社会公开，接受社会监督。 </w:t>
      </w:r>
    </w:p>
    <w:p w14:paraId="584CA4D7">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 xml:space="preserve">三、基本信息 </w:t>
      </w:r>
    </w:p>
    <w:p w14:paraId="4EDFF2B9">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 xml:space="preserve">1、承诺人类别：法人 </w:t>
      </w:r>
    </w:p>
    <w:p w14:paraId="3A83B0FD">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2、承诺人代码：</w:t>
      </w:r>
      <w:r>
        <w:rPr>
          <w:rFonts w:hint="eastAsia" w:ascii="宋体" w:hAnsi="宋体" w:eastAsia="宋体" w:cs="宋体"/>
          <w:b/>
          <w:bCs/>
          <w:snapToGrid w:val="0"/>
          <w:color w:val="000000"/>
          <w:kern w:val="0"/>
          <w:sz w:val="24"/>
          <w:szCs w:val="24"/>
          <w:u w:val="single"/>
          <w:lang w:val="en-US" w:eastAsia="zh-CN" w:bidi="ar"/>
        </w:rPr>
        <w:t xml:space="preserve">（统一社会信用代码） </w:t>
      </w:r>
    </w:p>
    <w:p w14:paraId="0ABCFC7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 xml:space="preserve">四、承诺类型：主动型 </w:t>
      </w:r>
    </w:p>
    <w:p w14:paraId="52BC4588">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五、承诺事由：参与</w:t>
      </w:r>
      <w:r>
        <w:rPr>
          <w:rFonts w:hint="eastAsia" w:ascii="宋体" w:hAnsi="宋体" w:eastAsia="宋体" w:cs="宋体"/>
          <w:b/>
          <w:bCs/>
          <w:snapToGrid w:val="0"/>
          <w:color w:val="000000"/>
          <w:kern w:val="0"/>
          <w:sz w:val="24"/>
          <w:szCs w:val="24"/>
          <w:u w:val="single"/>
          <w:lang w:val="en-US" w:eastAsia="zh-CN" w:bidi="ar"/>
        </w:rPr>
        <w:t>云安区白石镇X491线白石街至东星四升三改建工程施工</w:t>
      </w:r>
      <w:r>
        <w:rPr>
          <w:rFonts w:hint="eastAsia" w:ascii="宋体" w:hAnsi="宋体" w:eastAsia="宋体" w:cs="宋体"/>
          <w:snapToGrid w:val="0"/>
          <w:color w:val="000000"/>
          <w:kern w:val="0"/>
          <w:sz w:val="24"/>
          <w:szCs w:val="24"/>
          <w:lang w:val="en-US" w:eastAsia="zh-CN" w:bidi="ar"/>
        </w:rPr>
        <w:t xml:space="preserve">招标投标活动。 </w:t>
      </w:r>
    </w:p>
    <w:p w14:paraId="397E70C6">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 xml:space="preserve">六、承诺有效期：同投标有效期。 </w:t>
      </w:r>
    </w:p>
    <w:p w14:paraId="6363C91E">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 xml:space="preserve">七、公开类型：向社会公开。 </w:t>
      </w:r>
    </w:p>
    <w:p w14:paraId="1120A11A">
      <w:pPr>
        <w:keepNext w:val="0"/>
        <w:keepLines w:val="0"/>
        <w:pageBreakBefore w:val="0"/>
        <w:widowControl/>
        <w:suppressLineNumbers w:val="0"/>
        <w:kinsoku w:val="0"/>
        <w:wordWrap/>
        <w:overflowPunct/>
        <w:topLinePunct w:val="0"/>
        <w:autoSpaceDE w:val="0"/>
        <w:autoSpaceDN w:val="0"/>
        <w:bidi w:val="0"/>
        <w:adjustRightInd w:val="0"/>
        <w:snapToGrid w:val="0"/>
        <w:spacing w:line="360" w:lineRule="auto"/>
        <w:ind w:firstLine="480" w:firstLineChars="200"/>
        <w:jc w:val="left"/>
        <w:textAlignment w:val="baseline"/>
        <w:rPr>
          <w:sz w:val="24"/>
          <w:szCs w:val="24"/>
        </w:rPr>
      </w:pPr>
      <w:r>
        <w:rPr>
          <w:rFonts w:hint="eastAsia" w:ascii="宋体" w:hAnsi="宋体" w:eastAsia="宋体" w:cs="宋体"/>
          <w:snapToGrid w:val="0"/>
          <w:color w:val="000000"/>
          <w:kern w:val="0"/>
          <w:sz w:val="24"/>
          <w:szCs w:val="24"/>
          <w:lang w:val="en-US" w:eastAsia="zh-CN" w:bidi="ar"/>
        </w:rPr>
        <w:t xml:space="preserve">如本公司违反上述承诺，由此带来的一切法律责任由我方承担。 </w:t>
      </w:r>
    </w:p>
    <w:p w14:paraId="5D883358">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21E31874">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p>
    <w:p w14:paraId="44F5D79F">
      <w:pPr>
        <w:keepNext w:val="0"/>
        <w:keepLines w:val="0"/>
        <w:widowControl/>
        <w:suppressLineNumbers w:val="0"/>
        <w:spacing w:line="360" w:lineRule="auto"/>
        <w:jc w:val="left"/>
        <w:rPr>
          <w:sz w:val="24"/>
          <w:szCs w:val="24"/>
        </w:rPr>
      </w:pPr>
      <w:r>
        <w:rPr>
          <w:rFonts w:hint="eastAsia" w:ascii="宋体" w:hAnsi="宋体" w:eastAsia="宋体" w:cs="宋体"/>
          <w:snapToGrid w:val="0"/>
          <w:color w:val="000000"/>
          <w:kern w:val="0"/>
          <w:sz w:val="24"/>
          <w:szCs w:val="24"/>
          <w:lang w:val="en-US" w:eastAsia="zh-CN" w:bidi="ar"/>
        </w:rPr>
        <w:t>承诺人：</w:t>
      </w:r>
      <w:r>
        <w:rPr>
          <w:rFonts w:hint="eastAsia" w:ascii="宋体" w:hAnsi="宋体" w:eastAsia="宋体" w:cs="宋体"/>
          <w:snapToGrid w:val="0"/>
          <w:color w:val="000000"/>
          <w:kern w:val="0"/>
          <w:sz w:val="24"/>
          <w:szCs w:val="24"/>
          <w:u w:val="single"/>
          <w:lang w:val="en-US" w:eastAsia="zh-CN" w:bidi="ar"/>
        </w:rPr>
        <w:t xml:space="preserve">                      （投标人单位名称）</w:t>
      </w:r>
      <w:r>
        <w:rPr>
          <w:rFonts w:hint="eastAsia" w:ascii="宋体" w:hAnsi="宋体" w:eastAsia="宋体" w:cs="宋体"/>
          <w:snapToGrid w:val="0"/>
          <w:color w:val="000000"/>
          <w:kern w:val="0"/>
          <w:sz w:val="24"/>
          <w:szCs w:val="24"/>
          <w:lang w:val="en-US" w:eastAsia="zh-CN" w:bidi="ar"/>
        </w:rPr>
        <w:t xml:space="preserve">（盖章） </w:t>
      </w:r>
    </w:p>
    <w:p w14:paraId="0D537E58">
      <w:pPr>
        <w:keepNext w:val="0"/>
        <w:keepLines w:val="0"/>
        <w:widowControl/>
        <w:suppressLineNumbers w:val="0"/>
        <w:spacing w:line="360" w:lineRule="auto"/>
        <w:jc w:val="left"/>
        <w:rPr>
          <w:sz w:val="24"/>
          <w:szCs w:val="24"/>
        </w:rPr>
      </w:pPr>
      <w:r>
        <w:rPr>
          <w:rFonts w:hint="eastAsia" w:ascii="宋体" w:hAnsi="宋体" w:eastAsia="宋体" w:cs="宋体"/>
          <w:snapToGrid w:val="0"/>
          <w:color w:val="000000"/>
          <w:kern w:val="0"/>
          <w:sz w:val="24"/>
          <w:szCs w:val="24"/>
          <w:lang w:val="en-US" w:eastAsia="zh-CN" w:bidi="ar"/>
        </w:rPr>
        <w:t>法定代表人（或授权代理人）：</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 xml:space="preserve">（签名或盖章） </w:t>
      </w:r>
    </w:p>
    <w:p w14:paraId="42C00ACC">
      <w:pPr>
        <w:spacing w:before="64" w:line="220" w:lineRule="auto"/>
        <w:ind w:left="247"/>
        <w:rPr>
          <w:rFonts w:ascii="宋体" w:hAnsi="宋体" w:eastAsia="宋体" w:cs="宋体"/>
          <w:sz w:val="21"/>
          <w:szCs w:val="21"/>
        </w:rPr>
      </w:pPr>
      <w:r>
        <w:rPr>
          <w:rFonts w:hint="eastAsia" w:ascii="宋体" w:hAnsi="宋体" w:eastAsia="宋体" w:cs="宋体"/>
          <w:snapToGrid w:val="0"/>
          <w:color w:val="000000"/>
          <w:kern w:val="0"/>
          <w:sz w:val="24"/>
          <w:szCs w:val="24"/>
          <w:lang w:val="en-US" w:eastAsia="zh-CN" w:bidi="ar"/>
        </w:rPr>
        <w:t>日期：</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年</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月</w:t>
      </w:r>
      <w:r>
        <w:rPr>
          <w:rFonts w:hint="eastAsia" w:ascii="宋体" w:hAnsi="宋体" w:eastAsia="宋体" w:cs="宋体"/>
          <w:snapToGrid w:val="0"/>
          <w:color w:val="000000"/>
          <w:kern w:val="0"/>
          <w:sz w:val="24"/>
          <w:szCs w:val="24"/>
          <w:u w:val="single"/>
          <w:lang w:val="en-US" w:eastAsia="zh-CN" w:bidi="ar"/>
        </w:rPr>
        <w:t xml:space="preserve">      </w:t>
      </w:r>
      <w:r>
        <w:rPr>
          <w:rFonts w:hint="eastAsia" w:ascii="宋体" w:hAnsi="宋体" w:eastAsia="宋体" w:cs="宋体"/>
          <w:snapToGrid w:val="0"/>
          <w:color w:val="000000"/>
          <w:kern w:val="0"/>
          <w:sz w:val="24"/>
          <w:szCs w:val="24"/>
          <w:lang w:val="en-US" w:eastAsia="zh-CN" w:bidi="ar"/>
        </w:rPr>
        <w:t>日</w:t>
      </w:r>
    </w:p>
    <w:p w14:paraId="63286D42">
      <w:pPr>
        <w:spacing w:line="220" w:lineRule="auto"/>
        <w:rPr>
          <w:rFonts w:ascii="宋体" w:hAnsi="宋体" w:eastAsia="宋体" w:cs="宋体"/>
          <w:sz w:val="21"/>
          <w:szCs w:val="21"/>
        </w:rPr>
        <w:sectPr>
          <w:headerReference r:id="rId209" w:type="default"/>
          <w:footerReference r:id="rId210" w:type="default"/>
          <w:pgSz w:w="11905" w:h="16840"/>
          <w:pgMar w:top="1182" w:right="1180" w:bottom="1171" w:left="1179" w:header="849" w:footer="937" w:gutter="0"/>
          <w:pgNumType w:fmt="decimal"/>
          <w:cols w:space="720" w:num="1"/>
        </w:sectPr>
      </w:pPr>
    </w:p>
    <w:p w14:paraId="0616904B">
      <w:pPr>
        <w:pStyle w:val="2"/>
        <w:spacing w:line="293" w:lineRule="auto"/>
      </w:pPr>
    </w:p>
    <w:p w14:paraId="61A19A2A">
      <w:pPr>
        <w:pStyle w:val="2"/>
        <w:spacing w:line="316" w:lineRule="auto"/>
      </w:pPr>
    </w:p>
    <w:p w14:paraId="14A2AA3D">
      <w:pPr>
        <w:spacing w:before="87" w:line="227" w:lineRule="auto"/>
        <w:ind w:left="3182"/>
        <w:rPr>
          <w:rFonts w:ascii="宋体" w:hAnsi="宋体" w:eastAsia="宋体" w:cs="宋体"/>
          <w:sz w:val="27"/>
          <w:szCs w:val="27"/>
        </w:rPr>
      </w:pPr>
      <w:r>
        <w:rPr>
          <w:rFonts w:ascii="宋体" w:hAnsi="宋体" w:eastAsia="宋体" w:cs="宋体"/>
          <w:b/>
          <w:bCs/>
          <w:spacing w:val="6"/>
          <w:sz w:val="27"/>
          <w:szCs w:val="27"/>
        </w:rPr>
        <w:t>八-3、投标人的自评分表</w:t>
      </w:r>
    </w:p>
    <w:p w14:paraId="2D97BE2A">
      <w:pPr>
        <w:spacing w:before="35"/>
      </w:pPr>
    </w:p>
    <w:tbl>
      <w:tblPr>
        <w:tblStyle w:val="8"/>
        <w:tblW w:w="94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949"/>
        <w:gridCol w:w="1390"/>
        <w:gridCol w:w="1259"/>
        <w:gridCol w:w="1305"/>
        <w:gridCol w:w="1244"/>
        <w:gridCol w:w="1220"/>
      </w:tblGrid>
      <w:tr w14:paraId="05CD1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1054" w:type="dxa"/>
            <w:vAlign w:val="top"/>
          </w:tcPr>
          <w:p w14:paraId="7BC62A66">
            <w:pPr>
              <w:spacing w:line="395" w:lineRule="auto"/>
              <w:rPr>
                <w:rFonts w:ascii="Arial"/>
                <w:sz w:val="21"/>
              </w:rPr>
            </w:pPr>
          </w:p>
          <w:p w14:paraId="3936C04B">
            <w:pPr>
              <w:pStyle w:val="9"/>
              <w:spacing w:before="68" w:line="221" w:lineRule="auto"/>
              <w:ind w:left="321"/>
            </w:pPr>
            <w:r>
              <w:rPr>
                <w:spacing w:val="-2"/>
              </w:rPr>
              <w:t>序号</w:t>
            </w:r>
          </w:p>
        </w:tc>
        <w:tc>
          <w:tcPr>
            <w:tcW w:w="1949" w:type="dxa"/>
            <w:vAlign w:val="top"/>
          </w:tcPr>
          <w:p w14:paraId="011C2C02">
            <w:pPr>
              <w:spacing w:line="394" w:lineRule="auto"/>
              <w:rPr>
                <w:rFonts w:ascii="Arial"/>
                <w:sz w:val="21"/>
              </w:rPr>
            </w:pPr>
          </w:p>
          <w:p w14:paraId="1E604703">
            <w:pPr>
              <w:pStyle w:val="9"/>
              <w:spacing w:before="69" w:line="220" w:lineRule="auto"/>
              <w:ind w:left="557"/>
            </w:pPr>
            <w:r>
              <w:rPr>
                <w:spacing w:val="-2"/>
              </w:rPr>
              <w:t>评分因素</w:t>
            </w:r>
          </w:p>
        </w:tc>
        <w:tc>
          <w:tcPr>
            <w:tcW w:w="1390" w:type="dxa"/>
            <w:vAlign w:val="top"/>
          </w:tcPr>
          <w:p w14:paraId="50413ACF">
            <w:pPr>
              <w:spacing w:line="394" w:lineRule="auto"/>
              <w:rPr>
                <w:rFonts w:ascii="Arial"/>
                <w:sz w:val="21"/>
              </w:rPr>
            </w:pPr>
          </w:p>
          <w:p w14:paraId="1E47C7B3">
            <w:pPr>
              <w:pStyle w:val="9"/>
              <w:spacing w:before="69" w:line="220" w:lineRule="auto"/>
              <w:ind w:left="489"/>
            </w:pPr>
            <w:r>
              <w:rPr>
                <w:spacing w:val="-3"/>
              </w:rPr>
              <w:t>满分</w:t>
            </w:r>
          </w:p>
        </w:tc>
        <w:tc>
          <w:tcPr>
            <w:tcW w:w="1259" w:type="dxa"/>
            <w:vAlign w:val="top"/>
          </w:tcPr>
          <w:p w14:paraId="20CA92E6">
            <w:pPr>
              <w:spacing w:line="395" w:lineRule="auto"/>
              <w:rPr>
                <w:rFonts w:ascii="Arial"/>
                <w:sz w:val="21"/>
              </w:rPr>
            </w:pPr>
          </w:p>
          <w:p w14:paraId="4A07DD1D">
            <w:pPr>
              <w:pStyle w:val="9"/>
              <w:spacing w:before="69" w:line="220" w:lineRule="auto"/>
              <w:ind w:left="214"/>
            </w:pPr>
            <w:r>
              <w:rPr>
                <w:spacing w:val="-2"/>
              </w:rPr>
              <w:t>评分标准</w:t>
            </w:r>
          </w:p>
        </w:tc>
        <w:tc>
          <w:tcPr>
            <w:tcW w:w="1305" w:type="dxa"/>
            <w:vAlign w:val="top"/>
          </w:tcPr>
          <w:p w14:paraId="280552A9">
            <w:pPr>
              <w:spacing w:line="395" w:lineRule="auto"/>
              <w:rPr>
                <w:rFonts w:ascii="Arial"/>
                <w:sz w:val="21"/>
              </w:rPr>
            </w:pPr>
          </w:p>
          <w:p w14:paraId="3C12ADB9">
            <w:pPr>
              <w:pStyle w:val="9"/>
              <w:spacing w:before="69" w:line="220" w:lineRule="auto"/>
              <w:ind w:left="378"/>
            </w:pPr>
            <w:r>
              <w:rPr>
                <w:spacing w:val="-10"/>
              </w:rPr>
              <w:t>自评分</w:t>
            </w:r>
          </w:p>
        </w:tc>
        <w:tc>
          <w:tcPr>
            <w:tcW w:w="1244" w:type="dxa"/>
            <w:vAlign w:val="top"/>
          </w:tcPr>
          <w:p w14:paraId="5CC43968">
            <w:pPr>
              <w:spacing w:line="241" w:lineRule="auto"/>
              <w:rPr>
                <w:rFonts w:ascii="Arial"/>
                <w:sz w:val="21"/>
              </w:rPr>
            </w:pPr>
          </w:p>
          <w:p w14:paraId="0F682C3C">
            <w:pPr>
              <w:pStyle w:val="9"/>
              <w:spacing w:before="68" w:line="276" w:lineRule="auto"/>
              <w:ind w:left="421" w:right="198" w:hanging="213"/>
            </w:pPr>
            <w:r>
              <w:rPr>
                <w:spacing w:val="-2"/>
              </w:rPr>
              <w:t>评分情况</w:t>
            </w:r>
            <w:r>
              <w:rPr>
                <w:spacing w:val="-3"/>
              </w:rPr>
              <w:t>说明</w:t>
            </w:r>
          </w:p>
        </w:tc>
        <w:tc>
          <w:tcPr>
            <w:tcW w:w="1220" w:type="dxa"/>
            <w:vAlign w:val="top"/>
          </w:tcPr>
          <w:p w14:paraId="255BE9EA">
            <w:pPr>
              <w:spacing w:line="395" w:lineRule="auto"/>
              <w:rPr>
                <w:rFonts w:ascii="Arial"/>
                <w:sz w:val="21"/>
              </w:rPr>
            </w:pPr>
          </w:p>
          <w:p w14:paraId="253F7BEA">
            <w:pPr>
              <w:pStyle w:val="9"/>
              <w:spacing w:before="69" w:line="220" w:lineRule="auto"/>
              <w:ind w:left="200"/>
            </w:pPr>
            <w:r>
              <w:rPr>
                <w:spacing w:val="-3"/>
              </w:rPr>
              <w:t>页码索引</w:t>
            </w:r>
          </w:p>
        </w:tc>
      </w:tr>
      <w:tr w14:paraId="6FE20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06965C97">
            <w:pPr>
              <w:rPr>
                <w:rFonts w:ascii="Arial"/>
                <w:sz w:val="21"/>
              </w:rPr>
            </w:pPr>
          </w:p>
        </w:tc>
        <w:tc>
          <w:tcPr>
            <w:tcW w:w="1949" w:type="dxa"/>
            <w:vAlign w:val="top"/>
          </w:tcPr>
          <w:p w14:paraId="2F563F7C">
            <w:pPr>
              <w:rPr>
                <w:rFonts w:ascii="Arial"/>
                <w:sz w:val="21"/>
              </w:rPr>
            </w:pPr>
          </w:p>
        </w:tc>
        <w:tc>
          <w:tcPr>
            <w:tcW w:w="1390" w:type="dxa"/>
            <w:vAlign w:val="top"/>
          </w:tcPr>
          <w:p w14:paraId="296FD11B">
            <w:pPr>
              <w:rPr>
                <w:rFonts w:ascii="Arial"/>
                <w:sz w:val="21"/>
              </w:rPr>
            </w:pPr>
          </w:p>
        </w:tc>
        <w:tc>
          <w:tcPr>
            <w:tcW w:w="1259" w:type="dxa"/>
            <w:vAlign w:val="top"/>
          </w:tcPr>
          <w:p w14:paraId="1E65F5A2">
            <w:pPr>
              <w:rPr>
                <w:rFonts w:ascii="Arial"/>
                <w:sz w:val="21"/>
              </w:rPr>
            </w:pPr>
          </w:p>
        </w:tc>
        <w:tc>
          <w:tcPr>
            <w:tcW w:w="1305" w:type="dxa"/>
            <w:vAlign w:val="top"/>
          </w:tcPr>
          <w:p w14:paraId="688B3751">
            <w:pPr>
              <w:rPr>
                <w:rFonts w:ascii="Arial"/>
                <w:sz w:val="21"/>
              </w:rPr>
            </w:pPr>
          </w:p>
        </w:tc>
        <w:tc>
          <w:tcPr>
            <w:tcW w:w="1244" w:type="dxa"/>
            <w:vAlign w:val="top"/>
          </w:tcPr>
          <w:p w14:paraId="11A62F04">
            <w:pPr>
              <w:rPr>
                <w:rFonts w:ascii="Arial"/>
                <w:sz w:val="21"/>
              </w:rPr>
            </w:pPr>
          </w:p>
        </w:tc>
        <w:tc>
          <w:tcPr>
            <w:tcW w:w="1220" w:type="dxa"/>
            <w:vAlign w:val="top"/>
          </w:tcPr>
          <w:p w14:paraId="40A45ECB">
            <w:pPr>
              <w:rPr>
                <w:rFonts w:ascii="Arial"/>
                <w:sz w:val="21"/>
              </w:rPr>
            </w:pPr>
          </w:p>
        </w:tc>
      </w:tr>
      <w:tr w14:paraId="135DB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054" w:type="dxa"/>
            <w:vAlign w:val="top"/>
          </w:tcPr>
          <w:p w14:paraId="5F4C0474">
            <w:pPr>
              <w:rPr>
                <w:rFonts w:ascii="Arial"/>
                <w:sz w:val="21"/>
              </w:rPr>
            </w:pPr>
          </w:p>
        </w:tc>
        <w:tc>
          <w:tcPr>
            <w:tcW w:w="1949" w:type="dxa"/>
            <w:vAlign w:val="top"/>
          </w:tcPr>
          <w:p w14:paraId="658AA80B">
            <w:pPr>
              <w:rPr>
                <w:rFonts w:ascii="Arial"/>
                <w:sz w:val="21"/>
              </w:rPr>
            </w:pPr>
          </w:p>
        </w:tc>
        <w:tc>
          <w:tcPr>
            <w:tcW w:w="1390" w:type="dxa"/>
            <w:vAlign w:val="top"/>
          </w:tcPr>
          <w:p w14:paraId="2CE8ABCA">
            <w:pPr>
              <w:rPr>
                <w:rFonts w:ascii="Arial"/>
                <w:sz w:val="21"/>
              </w:rPr>
            </w:pPr>
          </w:p>
        </w:tc>
        <w:tc>
          <w:tcPr>
            <w:tcW w:w="1259" w:type="dxa"/>
            <w:vAlign w:val="top"/>
          </w:tcPr>
          <w:p w14:paraId="2ADD93A6">
            <w:pPr>
              <w:rPr>
                <w:rFonts w:ascii="Arial"/>
                <w:sz w:val="21"/>
              </w:rPr>
            </w:pPr>
          </w:p>
        </w:tc>
        <w:tc>
          <w:tcPr>
            <w:tcW w:w="1305" w:type="dxa"/>
            <w:vAlign w:val="top"/>
          </w:tcPr>
          <w:p w14:paraId="009CBEF0">
            <w:pPr>
              <w:rPr>
                <w:rFonts w:ascii="Arial"/>
                <w:sz w:val="21"/>
              </w:rPr>
            </w:pPr>
          </w:p>
        </w:tc>
        <w:tc>
          <w:tcPr>
            <w:tcW w:w="1244" w:type="dxa"/>
            <w:vAlign w:val="top"/>
          </w:tcPr>
          <w:p w14:paraId="09CFF909">
            <w:pPr>
              <w:rPr>
                <w:rFonts w:ascii="Arial"/>
                <w:sz w:val="21"/>
              </w:rPr>
            </w:pPr>
          </w:p>
        </w:tc>
        <w:tc>
          <w:tcPr>
            <w:tcW w:w="1220" w:type="dxa"/>
            <w:vAlign w:val="top"/>
          </w:tcPr>
          <w:p w14:paraId="2605F0CC">
            <w:pPr>
              <w:rPr>
                <w:rFonts w:ascii="Arial"/>
                <w:sz w:val="21"/>
              </w:rPr>
            </w:pPr>
          </w:p>
        </w:tc>
      </w:tr>
      <w:tr w14:paraId="1C389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2E0C3738">
            <w:pPr>
              <w:rPr>
                <w:rFonts w:ascii="Arial"/>
                <w:sz w:val="21"/>
              </w:rPr>
            </w:pPr>
          </w:p>
        </w:tc>
        <w:tc>
          <w:tcPr>
            <w:tcW w:w="1949" w:type="dxa"/>
            <w:vAlign w:val="top"/>
          </w:tcPr>
          <w:p w14:paraId="6CC2BB3F">
            <w:pPr>
              <w:rPr>
                <w:rFonts w:ascii="Arial"/>
                <w:sz w:val="21"/>
              </w:rPr>
            </w:pPr>
          </w:p>
        </w:tc>
        <w:tc>
          <w:tcPr>
            <w:tcW w:w="1390" w:type="dxa"/>
            <w:vAlign w:val="top"/>
          </w:tcPr>
          <w:p w14:paraId="67A44B33">
            <w:pPr>
              <w:rPr>
                <w:rFonts w:ascii="Arial"/>
                <w:sz w:val="21"/>
              </w:rPr>
            </w:pPr>
          </w:p>
        </w:tc>
        <w:tc>
          <w:tcPr>
            <w:tcW w:w="1259" w:type="dxa"/>
            <w:vAlign w:val="top"/>
          </w:tcPr>
          <w:p w14:paraId="6DA6F961">
            <w:pPr>
              <w:rPr>
                <w:rFonts w:ascii="Arial"/>
                <w:sz w:val="21"/>
              </w:rPr>
            </w:pPr>
          </w:p>
        </w:tc>
        <w:tc>
          <w:tcPr>
            <w:tcW w:w="1305" w:type="dxa"/>
            <w:vAlign w:val="top"/>
          </w:tcPr>
          <w:p w14:paraId="6C4729B6">
            <w:pPr>
              <w:rPr>
                <w:rFonts w:ascii="Arial"/>
                <w:sz w:val="21"/>
              </w:rPr>
            </w:pPr>
          </w:p>
        </w:tc>
        <w:tc>
          <w:tcPr>
            <w:tcW w:w="1244" w:type="dxa"/>
            <w:vAlign w:val="top"/>
          </w:tcPr>
          <w:p w14:paraId="23FBC450">
            <w:pPr>
              <w:rPr>
                <w:rFonts w:ascii="Arial"/>
                <w:sz w:val="21"/>
              </w:rPr>
            </w:pPr>
          </w:p>
        </w:tc>
        <w:tc>
          <w:tcPr>
            <w:tcW w:w="1220" w:type="dxa"/>
            <w:vAlign w:val="top"/>
          </w:tcPr>
          <w:p w14:paraId="22F313A4">
            <w:pPr>
              <w:rPr>
                <w:rFonts w:ascii="Arial"/>
                <w:sz w:val="21"/>
              </w:rPr>
            </w:pPr>
          </w:p>
        </w:tc>
      </w:tr>
      <w:tr w14:paraId="37C2C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54" w:type="dxa"/>
            <w:vAlign w:val="top"/>
          </w:tcPr>
          <w:p w14:paraId="10BE3FC7">
            <w:pPr>
              <w:rPr>
                <w:rFonts w:ascii="Arial"/>
                <w:sz w:val="21"/>
              </w:rPr>
            </w:pPr>
          </w:p>
        </w:tc>
        <w:tc>
          <w:tcPr>
            <w:tcW w:w="1949" w:type="dxa"/>
            <w:vAlign w:val="top"/>
          </w:tcPr>
          <w:p w14:paraId="1375CDF5">
            <w:pPr>
              <w:rPr>
                <w:rFonts w:ascii="Arial"/>
                <w:sz w:val="21"/>
              </w:rPr>
            </w:pPr>
          </w:p>
        </w:tc>
        <w:tc>
          <w:tcPr>
            <w:tcW w:w="1390" w:type="dxa"/>
            <w:vAlign w:val="top"/>
          </w:tcPr>
          <w:p w14:paraId="5404DCD2">
            <w:pPr>
              <w:rPr>
                <w:rFonts w:ascii="Arial"/>
                <w:sz w:val="21"/>
              </w:rPr>
            </w:pPr>
          </w:p>
        </w:tc>
        <w:tc>
          <w:tcPr>
            <w:tcW w:w="1259" w:type="dxa"/>
            <w:vAlign w:val="top"/>
          </w:tcPr>
          <w:p w14:paraId="523DA09C">
            <w:pPr>
              <w:rPr>
                <w:rFonts w:ascii="Arial"/>
                <w:sz w:val="21"/>
              </w:rPr>
            </w:pPr>
          </w:p>
        </w:tc>
        <w:tc>
          <w:tcPr>
            <w:tcW w:w="1305" w:type="dxa"/>
            <w:vAlign w:val="top"/>
          </w:tcPr>
          <w:p w14:paraId="233C5926">
            <w:pPr>
              <w:rPr>
                <w:rFonts w:ascii="Arial"/>
                <w:sz w:val="21"/>
              </w:rPr>
            </w:pPr>
          </w:p>
        </w:tc>
        <w:tc>
          <w:tcPr>
            <w:tcW w:w="1244" w:type="dxa"/>
            <w:vAlign w:val="top"/>
          </w:tcPr>
          <w:p w14:paraId="33BF13E8">
            <w:pPr>
              <w:rPr>
                <w:rFonts w:ascii="Arial"/>
                <w:sz w:val="21"/>
              </w:rPr>
            </w:pPr>
          </w:p>
        </w:tc>
        <w:tc>
          <w:tcPr>
            <w:tcW w:w="1220" w:type="dxa"/>
            <w:vAlign w:val="top"/>
          </w:tcPr>
          <w:p w14:paraId="35AEBFC3">
            <w:pPr>
              <w:rPr>
                <w:rFonts w:ascii="Arial"/>
                <w:sz w:val="21"/>
              </w:rPr>
            </w:pPr>
          </w:p>
        </w:tc>
      </w:tr>
      <w:tr w14:paraId="5DD9D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1054" w:type="dxa"/>
            <w:vAlign w:val="top"/>
          </w:tcPr>
          <w:p w14:paraId="2210F99C">
            <w:pPr>
              <w:rPr>
                <w:rFonts w:ascii="Arial"/>
                <w:sz w:val="21"/>
              </w:rPr>
            </w:pPr>
          </w:p>
        </w:tc>
        <w:tc>
          <w:tcPr>
            <w:tcW w:w="1949" w:type="dxa"/>
            <w:vAlign w:val="top"/>
          </w:tcPr>
          <w:p w14:paraId="51F565D4">
            <w:pPr>
              <w:rPr>
                <w:rFonts w:ascii="Arial"/>
                <w:sz w:val="21"/>
              </w:rPr>
            </w:pPr>
          </w:p>
        </w:tc>
        <w:tc>
          <w:tcPr>
            <w:tcW w:w="1390" w:type="dxa"/>
            <w:vAlign w:val="top"/>
          </w:tcPr>
          <w:p w14:paraId="26B05063">
            <w:pPr>
              <w:rPr>
                <w:rFonts w:ascii="Arial"/>
                <w:sz w:val="21"/>
              </w:rPr>
            </w:pPr>
          </w:p>
        </w:tc>
        <w:tc>
          <w:tcPr>
            <w:tcW w:w="1259" w:type="dxa"/>
            <w:vAlign w:val="top"/>
          </w:tcPr>
          <w:p w14:paraId="2E84DB25">
            <w:pPr>
              <w:rPr>
                <w:rFonts w:ascii="Arial"/>
                <w:sz w:val="21"/>
              </w:rPr>
            </w:pPr>
          </w:p>
        </w:tc>
        <w:tc>
          <w:tcPr>
            <w:tcW w:w="1305" w:type="dxa"/>
            <w:vAlign w:val="top"/>
          </w:tcPr>
          <w:p w14:paraId="4C08FE96">
            <w:pPr>
              <w:rPr>
                <w:rFonts w:ascii="Arial"/>
                <w:sz w:val="21"/>
              </w:rPr>
            </w:pPr>
          </w:p>
        </w:tc>
        <w:tc>
          <w:tcPr>
            <w:tcW w:w="1244" w:type="dxa"/>
            <w:vAlign w:val="top"/>
          </w:tcPr>
          <w:p w14:paraId="3BB06886">
            <w:pPr>
              <w:rPr>
                <w:rFonts w:ascii="Arial"/>
                <w:sz w:val="21"/>
              </w:rPr>
            </w:pPr>
          </w:p>
        </w:tc>
        <w:tc>
          <w:tcPr>
            <w:tcW w:w="1220" w:type="dxa"/>
            <w:vAlign w:val="top"/>
          </w:tcPr>
          <w:p w14:paraId="5947C14A">
            <w:pPr>
              <w:rPr>
                <w:rFonts w:ascii="Arial"/>
                <w:sz w:val="21"/>
              </w:rPr>
            </w:pPr>
          </w:p>
        </w:tc>
      </w:tr>
      <w:tr w14:paraId="5EC6C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3003" w:type="dxa"/>
            <w:gridSpan w:val="2"/>
            <w:vAlign w:val="top"/>
          </w:tcPr>
          <w:p w14:paraId="52E47E6D">
            <w:pPr>
              <w:rPr>
                <w:rFonts w:ascii="Arial"/>
                <w:sz w:val="21"/>
              </w:rPr>
            </w:pPr>
          </w:p>
          <w:p w14:paraId="645DE4DB">
            <w:pPr>
              <w:pStyle w:val="9"/>
              <w:spacing w:before="68" w:line="221" w:lineRule="auto"/>
              <w:ind w:left="1298"/>
            </w:pPr>
            <w:r>
              <w:rPr>
                <w:spacing w:val="-3"/>
              </w:rPr>
              <w:t>合计</w:t>
            </w:r>
          </w:p>
        </w:tc>
        <w:tc>
          <w:tcPr>
            <w:tcW w:w="1390" w:type="dxa"/>
            <w:vAlign w:val="top"/>
          </w:tcPr>
          <w:p w14:paraId="57E4E618">
            <w:pPr>
              <w:rPr>
                <w:rFonts w:ascii="Arial"/>
                <w:sz w:val="21"/>
              </w:rPr>
            </w:pPr>
          </w:p>
        </w:tc>
        <w:tc>
          <w:tcPr>
            <w:tcW w:w="1259" w:type="dxa"/>
            <w:vAlign w:val="top"/>
          </w:tcPr>
          <w:p w14:paraId="3C651211">
            <w:pPr>
              <w:spacing w:line="338" w:lineRule="auto"/>
              <w:rPr>
                <w:rFonts w:ascii="Arial"/>
                <w:sz w:val="21"/>
              </w:rPr>
            </w:pPr>
          </w:p>
          <w:p w14:paraId="7CD46AEB">
            <w:pPr>
              <w:pStyle w:val="9"/>
              <w:spacing w:before="68" w:line="143" w:lineRule="exact"/>
              <w:ind w:left="581"/>
            </w:pPr>
            <w:r>
              <w:rPr>
                <w:position w:val="-3"/>
              </w:rPr>
              <w:t>-</w:t>
            </w:r>
          </w:p>
        </w:tc>
        <w:tc>
          <w:tcPr>
            <w:tcW w:w="1305" w:type="dxa"/>
            <w:vAlign w:val="top"/>
          </w:tcPr>
          <w:p w14:paraId="1A2E3769">
            <w:pPr>
              <w:rPr>
                <w:rFonts w:ascii="Arial"/>
                <w:sz w:val="21"/>
              </w:rPr>
            </w:pPr>
          </w:p>
        </w:tc>
        <w:tc>
          <w:tcPr>
            <w:tcW w:w="2464" w:type="dxa"/>
            <w:gridSpan w:val="2"/>
            <w:vAlign w:val="top"/>
          </w:tcPr>
          <w:p w14:paraId="0C8E5BC0">
            <w:pPr>
              <w:spacing w:line="338" w:lineRule="auto"/>
              <w:rPr>
                <w:rFonts w:ascii="Arial"/>
                <w:sz w:val="21"/>
              </w:rPr>
            </w:pPr>
          </w:p>
          <w:p w14:paraId="4BABD8DE">
            <w:pPr>
              <w:pStyle w:val="9"/>
              <w:spacing w:before="68" w:line="143" w:lineRule="exact"/>
              <w:ind w:left="1181"/>
            </w:pPr>
            <w:r>
              <w:rPr>
                <w:position w:val="-3"/>
              </w:rPr>
              <w:t>-</w:t>
            </w:r>
          </w:p>
        </w:tc>
      </w:tr>
    </w:tbl>
    <w:p w14:paraId="59A0354B">
      <w:pPr>
        <w:pStyle w:val="2"/>
        <w:spacing w:line="250" w:lineRule="auto"/>
      </w:pPr>
    </w:p>
    <w:p w14:paraId="1DBE3BC8">
      <w:pPr>
        <w:pStyle w:val="2"/>
        <w:spacing w:line="250" w:lineRule="auto"/>
      </w:pPr>
    </w:p>
    <w:p w14:paraId="1A410418">
      <w:pPr>
        <w:spacing w:before="78" w:line="219" w:lineRule="auto"/>
        <w:ind w:left="3308"/>
        <w:rPr>
          <w:rFonts w:ascii="宋体" w:hAnsi="宋体" w:eastAsia="宋体" w:cs="宋体"/>
          <w:sz w:val="24"/>
          <w:szCs w:val="24"/>
        </w:rPr>
      </w:pPr>
      <w:r>
        <w:rPr>
          <w:rFonts w:ascii="宋体" w:hAnsi="宋体" w:eastAsia="宋体" w:cs="宋体"/>
          <w:spacing w:val="-3"/>
          <w:sz w:val="24"/>
          <w:szCs w:val="24"/>
        </w:rPr>
        <w:t>投标人</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3"/>
          <w:sz w:val="24"/>
          <w:szCs w:val="24"/>
        </w:rPr>
        <w:t>盖单位章）</w:t>
      </w:r>
    </w:p>
    <w:p w14:paraId="697BF1A7">
      <w:pPr>
        <w:spacing w:before="183" w:line="220" w:lineRule="auto"/>
        <w:ind w:left="3306"/>
        <w:rPr>
          <w:rFonts w:ascii="宋体" w:hAnsi="宋体" w:eastAsia="宋体" w:cs="宋体"/>
          <w:sz w:val="24"/>
          <w:szCs w:val="24"/>
        </w:rPr>
      </w:pPr>
      <w:r>
        <w:rPr>
          <w:rFonts w:ascii="宋体" w:hAnsi="宋体" w:eastAsia="宋体" w:cs="宋体"/>
          <w:spacing w:val="-2"/>
          <w:sz w:val="24"/>
          <w:szCs w:val="24"/>
        </w:rPr>
        <w:t>法定代表人或其委托代理人</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签字）</w:t>
      </w:r>
    </w:p>
    <w:p w14:paraId="1571175B">
      <w:pPr>
        <w:spacing w:line="220" w:lineRule="auto"/>
        <w:rPr>
          <w:rFonts w:ascii="宋体" w:hAnsi="宋体" w:eastAsia="宋体" w:cs="宋体"/>
          <w:sz w:val="24"/>
          <w:szCs w:val="24"/>
        </w:rPr>
        <w:sectPr>
          <w:headerReference r:id="rId211" w:type="default"/>
          <w:footerReference r:id="rId212" w:type="default"/>
          <w:pgSz w:w="11905" w:h="16840"/>
          <w:pgMar w:top="1182" w:right="1238" w:bottom="1171" w:left="1239" w:header="849" w:footer="937" w:gutter="0"/>
          <w:pgNumType w:fmt="decimal"/>
          <w:cols w:space="720" w:num="1"/>
        </w:sectPr>
      </w:pPr>
    </w:p>
    <w:p w14:paraId="5F1844C4">
      <w:pPr>
        <w:pStyle w:val="2"/>
        <w:spacing w:line="324" w:lineRule="auto"/>
      </w:pPr>
    </w:p>
    <w:p w14:paraId="15E3CC7E">
      <w:pPr>
        <w:pStyle w:val="2"/>
        <w:spacing w:line="325" w:lineRule="auto"/>
      </w:pPr>
    </w:p>
    <w:p w14:paraId="1112CF0B">
      <w:pPr>
        <w:spacing w:before="140" w:line="224" w:lineRule="auto"/>
        <w:ind w:left="3673"/>
        <w:rPr>
          <w:rFonts w:ascii="宋体" w:hAnsi="宋体" w:eastAsia="宋体" w:cs="宋体"/>
          <w:sz w:val="43"/>
          <w:szCs w:val="43"/>
        </w:rPr>
      </w:pPr>
      <w:r>
        <w:rPr>
          <w:rFonts w:ascii="宋体" w:hAnsi="宋体" w:eastAsia="宋体" w:cs="宋体"/>
          <w:spacing w:val="-10"/>
          <w:sz w:val="43"/>
          <w:szCs w:val="43"/>
        </w:rPr>
        <w:t>广</w:t>
      </w:r>
      <w:r>
        <w:rPr>
          <w:rFonts w:ascii="宋体" w:hAnsi="宋体" w:eastAsia="宋体" w:cs="宋体"/>
          <w:spacing w:val="37"/>
          <w:sz w:val="43"/>
          <w:szCs w:val="43"/>
        </w:rPr>
        <w:t xml:space="preserve"> </w:t>
      </w:r>
      <w:r>
        <w:rPr>
          <w:rFonts w:ascii="宋体" w:hAnsi="宋体" w:eastAsia="宋体" w:cs="宋体"/>
          <w:spacing w:val="-10"/>
          <w:sz w:val="43"/>
          <w:szCs w:val="43"/>
        </w:rPr>
        <w:t>东</w:t>
      </w:r>
      <w:r>
        <w:rPr>
          <w:rFonts w:ascii="宋体" w:hAnsi="宋体" w:eastAsia="宋体" w:cs="宋体"/>
          <w:spacing w:val="29"/>
          <w:sz w:val="43"/>
          <w:szCs w:val="43"/>
        </w:rPr>
        <w:t xml:space="preserve"> </w:t>
      </w:r>
      <w:r>
        <w:rPr>
          <w:rFonts w:ascii="宋体" w:hAnsi="宋体" w:eastAsia="宋体" w:cs="宋体"/>
          <w:spacing w:val="-10"/>
          <w:sz w:val="43"/>
          <w:szCs w:val="43"/>
        </w:rPr>
        <w:t>省</w:t>
      </w:r>
    </w:p>
    <w:p w14:paraId="253A5CDC">
      <w:pPr>
        <w:pStyle w:val="2"/>
        <w:spacing w:line="291" w:lineRule="auto"/>
      </w:pPr>
    </w:p>
    <w:p w14:paraId="02D58A37">
      <w:pPr>
        <w:pStyle w:val="2"/>
        <w:spacing w:line="291" w:lineRule="auto"/>
      </w:pPr>
    </w:p>
    <w:p w14:paraId="4AB8627E">
      <w:pPr>
        <w:spacing w:before="140" w:line="224" w:lineRule="auto"/>
        <w:ind w:left="2260"/>
        <w:rPr>
          <w:rFonts w:ascii="宋体" w:hAnsi="宋体" w:eastAsia="宋体" w:cs="宋体"/>
          <w:sz w:val="43"/>
          <w:szCs w:val="43"/>
        </w:rPr>
      </w:pPr>
      <w:r>
        <w:pict>
          <v:shape id="_x0000_s1040" o:spid="_x0000_s1040" style="position:absolute;left:0pt;margin-left:12.3pt;margin-top:27.9pt;height:1.05pt;width:429pt;z-index:251697152;mso-width-relative:page;mso-height-relative:page;" filled="f" stroked="t" coordsize="8580,20" path="m0,10l8579,10e">
            <v:fill on="f" focussize="0,0"/>
            <v:stroke weight="1.02pt" color="#000000" miterlimit="10" joinstyle="bevel"/>
            <v:imagedata o:title=""/>
            <o:lock v:ext="edit"/>
          </v:shape>
        </w:pict>
      </w:r>
      <w:r>
        <w:rPr>
          <w:rFonts w:ascii="宋体" w:hAnsi="宋体" w:eastAsia="宋体" w:cs="宋体"/>
          <w:sz w:val="43"/>
          <w:szCs w:val="43"/>
        </w:rPr>
        <w:t>（项目名称）</w:t>
      </w:r>
      <w:r>
        <w:rPr>
          <w:rFonts w:ascii="宋体" w:hAnsi="宋体" w:eastAsia="宋体" w:cs="宋体"/>
          <w:spacing w:val="19"/>
          <w:sz w:val="43"/>
          <w:szCs w:val="43"/>
        </w:rPr>
        <w:t xml:space="preserve">    </w:t>
      </w:r>
      <w:r>
        <w:rPr>
          <w:rFonts w:ascii="宋体" w:hAnsi="宋体" w:eastAsia="宋体" w:cs="宋体"/>
          <w:sz w:val="43"/>
          <w:szCs w:val="43"/>
        </w:rPr>
        <w:t>（标类或标段）</w:t>
      </w:r>
    </w:p>
    <w:p w14:paraId="64AD463F">
      <w:pPr>
        <w:spacing w:before="257" w:line="225" w:lineRule="auto"/>
        <w:ind w:left="3671"/>
        <w:rPr>
          <w:rFonts w:ascii="宋体" w:hAnsi="宋体" w:eastAsia="宋体" w:cs="宋体"/>
          <w:sz w:val="43"/>
          <w:szCs w:val="43"/>
        </w:rPr>
      </w:pPr>
      <w:r>
        <w:rPr>
          <w:rFonts w:ascii="宋体" w:hAnsi="宋体" w:eastAsia="宋体" w:cs="宋体"/>
          <w:spacing w:val="5"/>
          <w:sz w:val="43"/>
          <w:szCs w:val="43"/>
        </w:rPr>
        <w:t>施工招标</w:t>
      </w:r>
    </w:p>
    <w:p w14:paraId="62079024">
      <w:pPr>
        <w:pStyle w:val="2"/>
        <w:spacing w:line="271" w:lineRule="auto"/>
      </w:pPr>
    </w:p>
    <w:p w14:paraId="79E5FA1D">
      <w:pPr>
        <w:pStyle w:val="2"/>
        <w:spacing w:line="271" w:lineRule="auto"/>
      </w:pPr>
    </w:p>
    <w:p w14:paraId="2EC891B1">
      <w:pPr>
        <w:pStyle w:val="2"/>
        <w:spacing w:line="271" w:lineRule="auto"/>
      </w:pPr>
    </w:p>
    <w:p w14:paraId="58905CEE">
      <w:pPr>
        <w:pStyle w:val="2"/>
        <w:spacing w:line="271" w:lineRule="auto"/>
      </w:pPr>
    </w:p>
    <w:p w14:paraId="50B4EE76">
      <w:pPr>
        <w:pStyle w:val="2"/>
        <w:spacing w:line="271" w:lineRule="auto"/>
      </w:pPr>
    </w:p>
    <w:p w14:paraId="7991B1B4">
      <w:pPr>
        <w:pStyle w:val="2"/>
        <w:spacing w:line="271" w:lineRule="auto"/>
      </w:pPr>
    </w:p>
    <w:p w14:paraId="72E55908">
      <w:pPr>
        <w:pStyle w:val="2"/>
        <w:spacing w:line="271" w:lineRule="auto"/>
      </w:pPr>
    </w:p>
    <w:p w14:paraId="05C732D7">
      <w:pPr>
        <w:spacing w:before="234" w:line="220" w:lineRule="auto"/>
        <w:ind w:left="3129"/>
        <w:rPr>
          <w:rFonts w:ascii="宋体" w:hAnsi="宋体" w:eastAsia="宋体" w:cs="宋体"/>
          <w:sz w:val="72"/>
          <w:szCs w:val="72"/>
        </w:rPr>
      </w:pPr>
      <w:r>
        <w:rPr>
          <w:rFonts w:ascii="宋体" w:hAnsi="宋体" w:eastAsia="宋体" w:cs="宋体"/>
          <w:b/>
          <w:bCs/>
          <w:spacing w:val="-14"/>
          <w:sz w:val="72"/>
          <w:szCs w:val="72"/>
        </w:rPr>
        <w:t>投标文件</w:t>
      </w:r>
    </w:p>
    <w:p w14:paraId="3A49A124">
      <w:pPr>
        <w:spacing w:before="377" w:line="222" w:lineRule="auto"/>
        <w:ind w:left="1930"/>
        <w:rPr>
          <w:rFonts w:ascii="宋体" w:hAnsi="宋体" w:eastAsia="宋体" w:cs="宋体"/>
          <w:sz w:val="43"/>
          <w:szCs w:val="43"/>
        </w:rPr>
      </w:pPr>
      <w:r>
        <w:rPr>
          <w:rFonts w:ascii="宋体" w:hAnsi="宋体" w:eastAsia="宋体" w:cs="宋体"/>
          <w:spacing w:val="3"/>
          <w:sz w:val="43"/>
          <w:szCs w:val="43"/>
        </w:rPr>
        <w:t>（第二个信封：报价文件）</w:t>
      </w:r>
    </w:p>
    <w:p w14:paraId="70480C1F">
      <w:pPr>
        <w:pStyle w:val="2"/>
        <w:spacing w:line="244" w:lineRule="auto"/>
      </w:pPr>
    </w:p>
    <w:p w14:paraId="6BDDBD7A">
      <w:pPr>
        <w:pStyle w:val="2"/>
        <w:spacing w:line="244" w:lineRule="auto"/>
      </w:pPr>
    </w:p>
    <w:p w14:paraId="3416D6F1">
      <w:pPr>
        <w:pStyle w:val="2"/>
        <w:spacing w:line="244" w:lineRule="auto"/>
      </w:pPr>
    </w:p>
    <w:p w14:paraId="450F0A90">
      <w:pPr>
        <w:pStyle w:val="2"/>
        <w:spacing w:line="244" w:lineRule="auto"/>
      </w:pPr>
    </w:p>
    <w:p w14:paraId="579D540B">
      <w:pPr>
        <w:pStyle w:val="2"/>
        <w:spacing w:line="244" w:lineRule="auto"/>
      </w:pPr>
    </w:p>
    <w:p w14:paraId="6F240DD4">
      <w:pPr>
        <w:pStyle w:val="2"/>
        <w:spacing w:line="244" w:lineRule="auto"/>
      </w:pPr>
    </w:p>
    <w:p w14:paraId="2FD6BE81">
      <w:pPr>
        <w:pStyle w:val="2"/>
        <w:spacing w:line="244" w:lineRule="auto"/>
      </w:pPr>
    </w:p>
    <w:p w14:paraId="10BC796A">
      <w:pPr>
        <w:pStyle w:val="2"/>
        <w:spacing w:line="244" w:lineRule="auto"/>
      </w:pPr>
    </w:p>
    <w:p w14:paraId="40E03C0E">
      <w:pPr>
        <w:pStyle w:val="2"/>
        <w:spacing w:line="244" w:lineRule="auto"/>
      </w:pPr>
    </w:p>
    <w:p w14:paraId="40A525C4">
      <w:pPr>
        <w:pStyle w:val="2"/>
        <w:spacing w:line="244" w:lineRule="auto"/>
      </w:pPr>
    </w:p>
    <w:p w14:paraId="111C4F94">
      <w:pPr>
        <w:pStyle w:val="2"/>
        <w:spacing w:line="244" w:lineRule="auto"/>
      </w:pPr>
    </w:p>
    <w:p w14:paraId="53F3BC95">
      <w:pPr>
        <w:pStyle w:val="2"/>
        <w:spacing w:line="244" w:lineRule="auto"/>
      </w:pPr>
    </w:p>
    <w:p w14:paraId="5ABE2BD8">
      <w:pPr>
        <w:pStyle w:val="2"/>
        <w:spacing w:line="244" w:lineRule="auto"/>
      </w:pPr>
    </w:p>
    <w:p w14:paraId="3C7DFC55">
      <w:pPr>
        <w:pStyle w:val="2"/>
        <w:spacing w:line="244" w:lineRule="auto"/>
      </w:pPr>
    </w:p>
    <w:p w14:paraId="070B8168">
      <w:pPr>
        <w:pStyle w:val="2"/>
        <w:spacing w:line="244" w:lineRule="auto"/>
      </w:pPr>
    </w:p>
    <w:p w14:paraId="096F8A98">
      <w:pPr>
        <w:pStyle w:val="2"/>
        <w:spacing w:line="244" w:lineRule="auto"/>
      </w:pPr>
    </w:p>
    <w:p w14:paraId="1CF47890">
      <w:pPr>
        <w:pStyle w:val="2"/>
        <w:spacing w:line="244" w:lineRule="auto"/>
      </w:pPr>
    </w:p>
    <w:p w14:paraId="3BC7F11B">
      <w:pPr>
        <w:pStyle w:val="2"/>
        <w:spacing w:line="245" w:lineRule="auto"/>
      </w:pPr>
    </w:p>
    <w:p w14:paraId="1B96EE6D">
      <w:pPr>
        <w:pStyle w:val="2"/>
        <w:spacing w:line="245" w:lineRule="auto"/>
      </w:pPr>
    </w:p>
    <w:p w14:paraId="135C8C63">
      <w:pPr>
        <w:pStyle w:val="2"/>
        <w:spacing w:line="245" w:lineRule="auto"/>
      </w:pPr>
    </w:p>
    <w:p w14:paraId="11012979">
      <w:pPr>
        <w:spacing w:before="98" w:line="219" w:lineRule="auto"/>
        <w:ind w:left="1401"/>
        <w:rPr>
          <w:rFonts w:ascii="宋体" w:hAnsi="宋体" w:eastAsia="宋体" w:cs="宋体"/>
          <w:sz w:val="30"/>
          <w:szCs w:val="30"/>
        </w:rPr>
      </w:pPr>
      <w:r>
        <w:rPr>
          <w:rFonts w:ascii="宋体" w:hAnsi="宋体" w:eastAsia="宋体" w:cs="宋体"/>
          <w:spacing w:val="-4"/>
          <w:sz w:val="30"/>
          <w:szCs w:val="30"/>
        </w:rPr>
        <w:t>投标人</w:t>
      </w:r>
      <w:r>
        <w:rPr>
          <w:rFonts w:ascii="宋体" w:hAnsi="宋体" w:eastAsia="宋体" w:cs="宋体"/>
          <w:spacing w:val="-1"/>
          <w:sz w:val="30"/>
          <w:szCs w:val="30"/>
        </w:rPr>
        <w:t>：</w:t>
      </w:r>
      <w:r>
        <w:rPr>
          <w:rFonts w:ascii="宋体" w:hAnsi="宋体" w:eastAsia="宋体" w:cs="宋体"/>
          <w:sz w:val="30"/>
          <w:szCs w:val="30"/>
          <w:u w:val="single" w:color="auto"/>
        </w:rPr>
        <w:t xml:space="preserve">                      </w:t>
      </w:r>
      <w:r>
        <w:rPr>
          <w:rFonts w:ascii="宋体" w:hAnsi="宋体" w:eastAsia="宋体" w:cs="宋体"/>
          <w:spacing w:val="-1"/>
          <w:sz w:val="30"/>
          <w:szCs w:val="30"/>
        </w:rPr>
        <w:t>（</w:t>
      </w:r>
      <w:r>
        <w:rPr>
          <w:rFonts w:ascii="宋体" w:hAnsi="宋体" w:eastAsia="宋体" w:cs="宋体"/>
          <w:spacing w:val="-4"/>
          <w:sz w:val="30"/>
          <w:szCs w:val="30"/>
        </w:rPr>
        <w:t>盖单位章）</w:t>
      </w:r>
    </w:p>
    <w:p w14:paraId="4366B84A">
      <w:pPr>
        <w:tabs>
          <w:tab w:val="left" w:pos="3786"/>
        </w:tabs>
        <w:spacing w:before="268" w:line="220" w:lineRule="auto"/>
        <w:ind w:left="3186"/>
        <w:rPr>
          <w:rFonts w:ascii="宋体" w:hAnsi="宋体" w:eastAsia="宋体" w:cs="宋体"/>
          <w:sz w:val="30"/>
          <w:szCs w:val="30"/>
        </w:rPr>
      </w:pPr>
      <w:r>
        <w:rPr>
          <w:rFonts w:ascii="宋体" w:hAnsi="宋体" w:eastAsia="宋体" w:cs="宋体"/>
          <w:sz w:val="30"/>
          <w:szCs w:val="30"/>
          <w:u w:val="single" w:color="auto"/>
        </w:rPr>
        <w:tab/>
      </w:r>
      <w:r>
        <w:rPr>
          <w:rFonts w:ascii="宋体" w:hAnsi="宋体" w:eastAsia="宋体" w:cs="宋体"/>
          <w:spacing w:val="-137"/>
          <w:sz w:val="30"/>
          <w:szCs w:val="30"/>
        </w:rPr>
        <w:t xml:space="preserve"> </w:t>
      </w:r>
      <w:r>
        <w:rPr>
          <w:rFonts w:ascii="宋体" w:hAnsi="宋体" w:eastAsia="宋体" w:cs="宋体"/>
          <w:spacing w:val="-11"/>
          <w:sz w:val="30"/>
          <w:szCs w:val="30"/>
        </w:rPr>
        <w:t>年</w:t>
      </w:r>
      <w:r>
        <w:rPr>
          <w:rFonts w:ascii="宋体" w:hAnsi="宋体" w:eastAsia="宋体" w:cs="宋体"/>
          <w:sz w:val="30"/>
          <w:szCs w:val="30"/>
          <w:u w:val="single" w:color="auto"/>
        </w:rPr>
        <w:t xml:space="preserve">    </w:t>
      </w:r>
      <w:r>
        <w:rPr>
          <w:rFonts w:ascii="宋体" w:hAnsi="宋体" w:eastAsia="宋体" w:cs="宋体"/>
          <w:spacing w:val="-131"/>
          <w:sz w:val="30"/>
          <w:szCs w:val="30"/>
        </w:rPr>
        <w:t xml:space="preserve"> </w:t>
      </w:r>
      <w:r>
        <w:rPr>
          <w:rFonts w:ascii="宋体" w:hAnsi="宋体" w:eastAsia="宋体" w:cs="宋体"/>
          <w:spacing w:val="-11"/>
          <w:sz w:val="30"/>
          <w:szCs w:val="30"/>
        </w:rPr>
        <w:t>月</w:t>
      </w:r>
      <w:r>
        <w:rPr>
          <w:rFonts w:ascii="宋体" w:hAnsi="宋体" w:eastAsia="宋体" w:cs="宋体"/>
          <w:sz w:val="30"/>
          <w:szCs w:val="30"/>
          <w:u w:val="single" w:color="auto"/>
        </w:rPr>
        <w:t xml:space="preserve">    </w:t>
      </w:r>
      <w:r>
        <w:rPr>
          <w:rFonts w:ascii="宋体" w:hAnsi="宋体" w:eastAsia="宋体" w:cs="宋体"/>
          <w:spacing w:val="-87"/>
          <w:sz w:val="30"/>
          <w:szCs w:val="30"/>
        </w:rPr>
        <w:t xml:space="preserve"> </w:t>
      </w:r>
      <w:r>
        <w:rPr>
          <w:rFonts w:ascii="宋体" w:hAnsi="宋体" w:eastAsia="宋体" w:cs="宋体"/>
          <w:spacing w:val="-11"/>
          <w:sz w:val="30"/>
          <w:szCs w:val="30"/>
        </w:rPr>
        <w:t>日</w:t>
      </w:r>
    </w:p>
    <w:p w14:paraId="5D82AFCA">
      <w:pPr>
        <w:spacing w:line="220" w:lineRule="auto"/>
        <w:rPr>
          <w:rFonts w:ascii="宋体" w:hAnsi="宋体" w:eastAsia="宋体" w:cs="宋体"/>
          <w:sz w:val="30"/>
          <w:szCs w:val="30"/>
        </w:rPr>
        <w:sectPr>
          <w:footerReference r:id="rId213" w:type="default"/>
          <w:pgSz w:w="11905" w:h="16840"/>
          <w:pgMar w:top="1182" w:right="1416" w:bottom="1171" w:left="1416" w:header="849" w:footer="937" w:gutter="0"/>
          <w:pgNumType w:fmt="decimal"/>
          <w:cols w:space="720" w:num="1"/>
        </w:sectPr>
      </w:pPr>
    </w:p>
    <w:p w14:paraId="0AECDB56">
      <w:pPr>
        <w:pStyle w:val="2"/>
        <w:spacing w:line="283" w:lineRule="auto"/>
      </w:pPr>
    </w:p>
    <w:p w14:paraId="078B0482">
      <w:pPr>
        <w:spacing w:before="101" w:line="228" w:lineRule="auto"/>
        <w:ind w:left="4128"/>
        <w:rPr>
          <w:rFonts w:ascii="宋体" w:hAnsi="宋体" w:eastAsia="宋体" w:cs="宋体"/>
          <w:sz w:val="31"/>
          <w:szCs w:val="31"/>
        </w:rPr>
      </w:pPr>
      <w:r>
        <w:rPr>
          <w:rFonts w:ascii="宋体" w:hAnsi="宋体" w:eastAsia="宋体" w:cs="宋体"/>
          <w:b/>
          <w:bCs/>
          <w:spacing w:val="-36"/>
          <w:sz w:val="31"/>
          <w:szCs w:val="31"/>
        </w:rPr>
        <w:t>目</w:t>
      </w:r>
      <w:r>
        <w:rPr>
          <w:rFonts w:ascii="宋体" w:hAnsi="宋体" w:eastAsia="宋体" w:cs="宋体"/>
          <w:spacing w:val="13"/>
          <w:sz w:val="31"/>
          <w:szCs w:val="31"/>
        </w:rPr>
        <w:t xml:space="preserve">  </w:t>
      </w:r>
      <w:r>
        <w:rPr>
          <w:rFonts w:ascii="宋体" w:hAnsi="宋体" w:eastAsia="宋体" w:cs="宋体"/>
          <w:b/>
          <w:bCs/>
          <w:spacing w:val="-36"/>
          <w:sz w:val="31"/>
          <w:szCs w:val="31"/>
        </w:rPr>
        <w:t>录</w:t>
      </w:r>
    </w:p>
    <w:p w14:paraId="02F5A2DD">
      <w:pPr>
        <w:pStyle w:val="2"/>
      </w:pPr>
    </w:p>
    <w:p w14:paraId="2092C5C4">
      <w:pPr>
        <w:pStyle w:val="2"/>
        <w:spacing w:line="241" w:lineRule="auto"/>
      </w:pPr>
    </w:p>
    <w:p w14:paraId="57118ABF">
      <w:pPr>
        <w:spacing w:before="88" w:line="225" w:lineRule="auto"/>
        <w:ind w:left="10"/>
        <w:rPr>
          <w:rFonts w:ascii="宋体" w:hAnsi="宋体" w:eastAsia="宋体" w:cs="宋体"/>
          <w:sz w:val="27"/>
          <w:szCs w:val="27"/>
        </w:rPr>
      </w:pPr>
      <w:r>
        <w:rPr>
          <w:rFonts w:ascii="宋体" w:hAnsi="宋体" w:eastAsia="宋体" w:cs="宋体"/>
          <w:spacing w:val="7"/>
          <w:sz w:val="27"/>
          <w:szCs w:val="27"/>
        </w:rPr>
        <w:t>第二个信封（报价文件）</w:t>
      </w:r>
    </w:p>
    <w:p w14:paraId="5A812EC8">
      <w:pPr>
        <w:spacing w:before="295" w:line="227" w:lineRule="auto"/>
        <w:ind w:left="15"/>
        <w:rPr>
          <w:rFonts w:ascii="宋体" w:hAnsi="宋体" w:eastAsia="宋体" w:cs="宋体"/>
          <w:sz w:val="27"/>
          <w:szCs w:val="27"/>
        </w:rPr>
      </w:pPr>
      <w:r>
        <w:rPr>
          <w:rFonts w:ascii="宋体" w:hAnsi="宋体" w:eastAsia="宋体" w:cs="宋体"/>
          <w:spacing w:val="1"/>
          <w:sz w:val="27"/>
          <w:szCs w:val="27"/>
        </w:rPr>
        <w:t>一、投标函</w:t>
      </w:r>
    </w:p>
    <w:p w14:paraId="6A2580A1">
      <w:pPr>
        <w:spacing w:before="292" w:line="225" w:lineRule="auto"/>
        <w:ind w:left="15"/>
        <w:rPr>
          <w:rFonts w:ascii="宋体" w:hAnsi="宋体" w:eastAsia="宋体" w:cs="宋体"/>
          <w:sz w:val="27"/>
          <w:szCs w:val="27"/>
        </w:rPr>
      </w:pPr>
      <w:r>
        <w:rPr>
          <w:rFonts w:ascii="宋体" w:hAnsi="宋体" w:eastAsia="宋体" w:cs="宋体"/>
          <w:spacing w:val="8"/>
          <w:sz w:val="27"/>
          <w:szCs w:val="27"/>
        </w:rPr>
        <w:t>二、已标价工程量清单</w:t>
      </w:r>
    </w:p>
    <w:p w14:paraId="53A6E2DD">
      <w:pPr>
        <w:spacing w:line="225" w:lineRule="auto"/>
        <w:rPr>
          <w:rFonts w:ascii="宋体" w:hAnsi="宋体" w:eastAsia="宋体" w:cs="宋体"/>
          <w:sz w:val="27"/>
          <w:szCs w:val="27"/>
        </w:rPr>
        <w:sectPr>
          <w:footerReference r:id="rId214" w:type="default"/>
          <w:pgSz w:w="11905" w:h="16840"/>
          <w:pgMar w:top="1182" w:right="1416" w:bottom="1171" w:left="1416" w:header="849" w:footer="937" w:gutter="0"/>
          <w:pgNumType w:fmt="decimal"/>
          <w:cols w:space="720" w:num="1"/>
        </w:sectPr>
      </w:pPr>
    </w:p>
    <w:p w14:paraId="0D936491">
      <w:pPr>
        <w:pStyle w:val="2"/>
        <w:spacing w:line="294" w:lineRule="auto"/>
      </w:pPr>
    </w:p>
    <w:p w14:paraId="1786DD7C">
      <w:pPr>
        <w:pStyle w:val="2"/>
        <w:spacing w:line="316" w:lineRule="auto"/>
      </w:pPr>
    </w:p>
    <w:p w14:paraId="2823132F">
      <w:pPr>
        <w:spacing w:before="87" w:line="227" w:lineRule="auto"/>
        <w:ind w:left="3848"/>
        <w:rPr>
          <w:rFonts w:ascii="宋体" w:hAnsi="宋体" w:eastAsia="宋体" w:cs="宋体"/>
          <w:sz w:val="27"/>
          <w:szCs w:val="27"/>
        </w:rPr>
      </w:pPr>
      <w:r>
        <w:rPr>
          <w:rFonts w:ascii="宋体" w:hAnsi="宋体" w:eastAsia="宋体" w:cs="宋体"/>
          <w:b/>
          <w:bCs/>
          <w:spacing w:val="-1"/>
          <w:sz w:val="27"/>
          <w:szCs w:val="27"/>
        </w:rPr>
        <w:t>一、投标函</w:t>
      </w:r>
    </w:p>
    <w:p w14:paraId="287F687F">
      <w:pPr>
        <w:pStyle w:val="2"/>
        <w:spacing w:line="465" w:lineRule="auto"/>
      </w:pPr>
    </w:p>
    <w:p w14:paraId="37149FBB">
      <w:pPr>
        <w:tabs>
          <w:tab w:val="left" w:pos="2520"/>
        </w:tabs>
        <w:spacing w:before="78" w:line="220"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7"/>
          <w:sz w:val="24"/>
          <w:szCs w:val="24"/>
        </w:rPr>
        <w:t>（招标人名称</w:t>
      </w:r>
      <w:r>
        <w:rPr>
          <w:rFonts w:ascii="宋体" w:hAnsi="宋体" w:eastAsia="宋体" w:cs="宋体"/>
          <w:spacing w:val="-4"/>
          <w:sz w:val="24"/>
          <w:szCs w:val="24"/>
        </w:rPr>
        <w:t>）：</w:t>
      </w:r>
    </w:p>
    <w:p w14:paraId="10521415">
      <w:pPr>
        <w:spacing w:before="181" w:line="360" w:lineRule="auto"/>
        <w:ind w:left="9" w:firstLine="497"/>
        <w:rPr>
          <w:rFonts w:ascii="宋体" w:hAnsi="宋体" w:eastAsia="宋体" w:cs="宋体"/>
          <w:sz w:val="24"/>
          <w:szCs w:val="24"/>
        </w:rPr>
      </w:pPr>
      <w:r>
        <w:rPr>
          <w:rFonts w:ascii="宋体" w:hAnsi="宋体" w:eastAsia="宋体" w:cs="宋体"/>
          <w:sz w:val="24"/>
          <w:szCs w:val="24"/>
        </w:rPr>
        <w:t>1. 我方已仔细研究</w:t>
      </w:r>
      <w:r>
        <w:rPr>
          <w:rFonts w:ascii="宋体" w:hAnsi="宋体" w:eastAsia="宋体" w:cs="宋体"/>
          <w:spacing w:val="-115"/>
          <w:sz w:val="24"/>
          <w:szCs w:val="24"/>
        </w:rPr>
        <w:t xml:space="preserve"> </w:t>
      </w:r>
      <w:r>
        <w:rPr>
          <w:rFonts w:hint="eastAsia" w:ascii="宋体" w:hAnsi="宋体" w:eastAsia="宋体" w:cs="宋体"/>
          <w:sz w:val="24"/>
          <w:szCs w:val="24"/>
          <w:u w:val="single" w:color="auto"/>
        </w:rPr>
        <w:t>云安区白石镇X491线白石街至东星四升三改建工程施工</w:t>
      </w:r>
      <w:r>
        <w:rPr>
          <w:rFonts w:ascii="宋体" w:hAnsi="宋体" w:eastAsia="宋体" w:cs="宋体"/>
          <w:sz w:val="24"/>
          <w:szCs w:val="24"/>
        </w:rPr>
        <w:t>施工招标文件的全部内容（含补遗书，如有），</w:t>
      </w:r>
      <w:r>
        <w:rPr>
          <w:rFonts w:ascii="宋体" w:hAnsi="宋体" w:eastAsia="宋体" w:cs="宋体"/>
          <w:spacing w:val="-46"/>
          <w:sz w:val="24"/>
          <w:szCs w:val="24"/>
        </w:rPr>
        <w:t xml:space="preserve"> </w:t>
      </w:r>
      <w:r>
        <w:rPr>
          <w:rFonts w:ascii="宋体" w:hAnsi="宋体" w:eastAsia="宋体" w:cs="宋体"/>
          <w:sz w:val="24"/>
          <w:szCs w:val="24"/>
          <w:u w:val="single" w:color="auto"/>
        </w:rPr>
        <w:t>在考察工程现场后（如有），</w:t>
      </w:r>
      <w:r>
        <w:rPr>
          <w:rFonts w:ascii="宋体" w:hAnsi="宋体" w:eastAsia="宋体" w:cs="宋体"/>
          <w:spacing w:val="-40"/>
          <w:sz w:val="24"/>
          <w:szCs w:val="24"/>
          <w:u w:val="single" w:color="auto"/>
        </w:rPr>
        <w:t xml:space="preserve"> </w:t>
      </w:r>
      <w:r>
        <w:rPr>
          <w:rFonts w:ascii="宋体" w:hAnsi="宋体" w:eastAsia="宋体" w:cs="宋体"/>
          <w:spacing w:val="-1"/>
          <w:sz w:val="24"/>
          <w:szCs w:val="24"/>
        </w:rPr>
        <w:t>愿意以人民币（大写）</w:t>
      </w:r>
      <w:r>
        <w:rPr>
          <w:rFonts w:ascii="宋体" w:hAnsi="宋体" w:eastAsia="宋体" w:cs="宋体"/>
          <w:spacing w:val="-84"/>
          <w:sz w:val="24"/>
          <w:szCs w:val="24"/>
        </w:rPr>
        <w:t xml:space="preserve"> </w:t>
      </w:r>
      <w:r>
        <w:rPr>
          <w:position w:val="-3"/>
          <w:sz w:val="24"/>
          <w:szCs w:val="24"/>
        </w:rPr>
        <w:drawing>
          <wp:inline distT="0" distB="0" distL="0" distR="0">
            <wp:extent cx="635" cy="635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27"/>
                    <a:stretch>
                      <a:fillRect/>
                    </a:stretch>
                  </pic:blipFill>
                  <pic:spPr>
                    <a:xfrm>
                      <a:off x="0" y="0"/>
                      <a:ext cx="761" cy="6858"/>
                    </a:xfrm>
                    <a:prstGeom prst="rect">
                      <a:avLst/>
                    </a:prstGeom>
                  </pic:spPr>
                </pic:pic>
              </a:graphicData>
            </a:graphic>
          </wp:inline>
        </w:drawing>
      </w:r>
      <w:r>
        <w:rPr>
          <w:rFonts w:ascii="宋体" w:hAnsi="宋体" w:eastAsia="宋体" w:cs="宋体"/>
          <w:sz w:val="24"/>
          <w:szCs w:val="24"/>
        </w:rPr>
        <w:t xml:space="preserve"> </w:t>
      </w:r>
      <w:r>
        <w:rPr>
          <w:rFonts w:ascii="宋体" w:hAnsi="宋体" w:eastAsia="宋体" w:cs="宋体"/>
          <w:spacing w:val="7"/>
          <w:sz w:val="24"/>
          <w:szCs w:val="24"/>
        </w:rPr>
        <w:t>元</w:t>
      </w:r>
      <w:r>
        <w:rPr>
          <w:rFonts w:hint="eastAsia" w:ascii="宋体" w:hAnsi="宋体" w:cs="宋体"/>
          <w:spacing w:val="7"/>
          <w:sz w:val="24"/>
          <w:szCs w:val="24"/>
          <w:lang w:eastAsia="zh-CN"/>
        </w:rPr>
        <w:t>（</w:t>
      </w:r>
      <w:r>
        <w:rPr>
          <w:rFonts w:ascii="宋体" w:hAnsi="宋体" w:eastAsia="宋体" w:cs="宋体"/>
          <w:spacing w:val="7"/>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84"/>
          <w:sz w:val="24"/>
          <w:szCs w:val="24"/>
        </w:rPr>
        <w:t xml:space="preserve"> </w:t>
      </w:r>
      <w:r>
        <w:rPr>
          <w:rFonts w:hint="eastAsia" w:ascii="宋体" w:hAnsi="宋体" w:cs="宋体"/>
          <w:spacing w:val="-84"/>
          <w:sz w:val="24"/>
          <w:szCs w:val="24"/>
          <w:lang w:eastAsia="zh-CN"/>
        </w:rPr>
        <w:t>）</w:t>
      </w:r>
      <w:r>
        <w:rPr>
          <w:rFonts w:ascii="宋体" w:hAnsi="宋体" w:eastAsia="宋体" w:cs="宋体"/>
          <w:spacing w:val="7"/>
          <w:sz w:val="24"/>
          <w:szCs w:val="24"/>
        </w:rPr>
        <w:t>的投标总报价（或根据招标文件规定修正核实后确定的另一金额，</w:t>
      </w:r>
      <w:r>
        <w:rPr>
          <w:rFonts w:ascii="宋体" w:hAnsi="宋体" w:eastAsia="宋体" w:cs="宋体"/>
          <w:spacing w:val="-2"/>
          <w:sz w:val="24"/>
          <w:szCs w:val="24"/>
        </w:rPr>
        <w:t>其中，增值税税率为</w:t>
      </w:r>
      <w:r>
        <w:rPr>
          <w:rFonts w:ascii="宋体" w:hAnsi="宋体" w:eastAsia="宋体" w:cs="宋体"/>
          <w:spacing w:val="-2"/>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2"/>
          <w:sz w:val="24"/>
          <w:szCs w:val="24"/>
        </w:rPr>
        <w:t>，增值税税额为</w:t>
      </w:r>
      <w:r>
        <w:rPr>
          <w:rFonts w:ascii="宋体" w:hAnsi="宋体" w:eastAsia="宋体" w:cs="宋体"/>
          <w:spacing w:val="-2"/>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17"/>
          <w:sz w:val="24"/>
          <w:szCs w:val="24"/>
        </w:rPr>
        <w:t>），</w:t>
      </w:r>
      <w:r>
        <w:rPr>
          <w:rFonts w:ascii="宋体" w:hAnsi="宋体" w:eastAsia="宋体" w:cs="宋体"/>
          <w:spacing w:val="-2"/>
          <w:sz w:val="24"/>
          <w:szCs w:val="24"/>
        </w:rPr>
        <w:t>按合同约定实施和完成承</w:t>
      </w:r>
      <w:r>
        <w:rPr>
          <w:rFonts w:ascii="宋体" w:hAnsi="宋体" w:eastAsia="宋体" w:cs="宋体"/>
          <w:spacing w:val="-3"/>
          <w:sz w:val="24"/>
          <w:szCs w:val="24"/>
        </w:rPr>
        <w:t>包工程，修补工程中的任何缺陷。</w:t>
      </w:r>
    </w:p>
    <w:p w14:paraId="5DF80CDB">
      <w:pPr>
        <w:spacing w:before="2" w:line="359" w:lineRule="auto"/>
        <w:ind w:left="9" w:right="11" w:firstLine="482"/>
        <w:rPr>
          <w:rFonts w:ascii="宋体" w:hAnsi="宋体" w:eastAsia="宋体" w:cs="宋体"/>
          <w:sz w:val="24"/>
          <w:szCs w:val="24"/>
        </w:rPr>
      </w:pPr>
      <w:r>
        <w:rPr>
          <w:rFonts w:ascii="宋体" w:hAnsi="宋体" w:eastAsia="宋体" w:cs="宋体"/>
          <w:spacing w:val="1"/>
          <w:sz w:val="24"/>
          <w:szCs w:val="24"/>
        </w:rPr>
        <w:t>2. 在合同协议书正式签署生效之前，本投标函连同你方的中标通知书将构成我们</w:t>
      </w:r>
      <w:r>
        <w:rPr>
          <w:rFonts w:ascii="宋体" w:hAnsi="宋体" w:eastAsia="宋体" w:cs="宋体"/>
          <w:spacing w:val="-2"/>
          <w:sz w:val="24"/>
          <w:szCs w:val="24"/>
        </w:rPr>
        <w:t>双方之间共同遵守的文件，对双方具有约束</w:t>
      </w:r>
      <w:r>
        <w:rPr>
          <w:rFonts w:ascii="宋体" w:hAnsi="宋体" w:eastAsia="宋体" w:cs="宋体"/>
          <w:spacing w:val="-3"/>
          <w:sz w:val="24"/>
          <w:szCs w:val="24"/>
        </w:rPr>
        <w:t>力。</w:t>
      </w:r>
    </w:p>
    <w:p w14:paraId="387B4A51">
      <w:pPr>
        <w:spacing w:before="1" w:line="219" w:lineRule="auto"/>
        <w:ind w:left="494"/>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3"/>
          <w:sz w:val="24"/>
          <w:szCs w:val="24"/>
          <w:u w:val="single" w:color="auto"/>
        </w:rPr>
        <w:t xml:space="preserve">                                        </w:t>
      </w:r>
      <w:r>
        <w:rPr>
          <w:rFonts w:ascii="宋体" w:hAnsi="宋体" w:eastAsia="宋体" w:cs="宋体"/>
          <w:spacing w:val="-5"/>
          <w:sz w:val="24"/>
          <w:szCs w:val="24"/>
        </w:rPr>
        <w:t>（其他补充说明）。</w:t>
      </w:r>
    </w:p>
    <w:p w14:paraId="38306217">
      <w:pPr>
        <w:pStyle w:val="2"/>
        <w:spacing w:line="246" w:lineRule="auto"/>
      </w:pPr>
    </w:p>
    <w:p w14:paraId="4B895B55">
      <w:pPr>
        <w:pStyle w:val="2"/>
        <w:spacing w:line="247" w:lineRule="auto"/>
      </w:pPr>
    </w:p>
    <w:p w14:paraId="64A4F233">
      <w:pPr>
        <w:pStyle w:val="2"/>
        <w:spacing w:line="247" w:lineRule="auto"/>
      </w:pPr>
    </w:p>
    <w:p w14:paraId="7FF64709">
      <w:pPr>
        <w:pStyle w:val="2"/>
        <w:spacing w:line="247" w:lineRule="auto"/>
      </w:pPr>
    </w:p>
    <w:p w14:paraId="10F8411D">
      <w:pPr>
        <w:pStyle w:val="2"/>
        <w:spacing w:line="247" w:lineRule="auto"/>
      </w:pPr>
    </w:p>
    <w:p w14:paraId="566FE6BC">
      <w:pPr>
        <w:pStyle w:val="2"/>
        <w:spacing w:line="247" w:lineRule="auto"/>
      </w:pPr>
    </w:p>
    <w:p w14:paraId="7E7E53DA">
      <w:pPr>
        <w:spacing w:before="78" w:line="233" w:lineRule="auto"/>
        <w:ind w:left="3132"/>
        <w:rPr>
          <w:rFonts w:hint="eastAsia" w:ascii="宋体" w:hAnsi="宋体" w:eastAsia="宋体" w:cs="宋体"/>
          <w:sz w:val="12"/>
          <w:szCs w:val="12"/>
          <w:lang w:eastAsia="zh-CN"/>
        </w:rPr>
      </w:pPr>
      <w:r>
        <w:rPr>
          <w:rFonts w:ascii="宋体" w:hAnsi="宋体" w:eastAsia="宋体" w:cs="宋体"/>
          <w:spacing w:val="-1"/>
          <w:sz w:val="24"/>
          <w:szCs w:val="24"/>
        </w:rPr>
        <w:t>投标人：</w:t>
      </w:r>
      <w:r>
        <w:rPr>
          <w:rFonts w:ascii="宋体" w:hAnsi="宋体" w:eastAsia="宋体" w:cs="宋体"/>
          <w:sz w:val="24"/>
          <w:szCs w:val="24"/>
          <w:u w:val="single" w:color="auto"/>
        </w:rPr>
        <w:t xml:space="preserve">                       </w:t>
      </w:r>
      <w:r>
        <w:rPr>
          <w:rFonts w:ascii="宋体" w:hAnsi="宋体" w:eastAsia="宋体" w:cs="宋体"/>
          <w:spacing w:val="-1"/>
          <w:sz w:val="24"/>
          <w:szCs w:val="24"/>
        </w:rPr>
        <w:t>（盖单位章）</w:t>
      </w:r>
    </w:p>
    <w:p w14:paraId="36C1D369">
      <w:pPr>
        <w:spacing w:before="183" w:line="220" w:lineRule="auto"/>
        <w:ind w:left="3130"/>
        <w:rPr>
          <w:rFonts w:ascii="宋体" w:hAnsi="宋体" w:eastAsia="宋体" w:cs="宋体"/>
          <w:sz w:val="24"/>
          <w:szCs w:val="24"/>
        </w:rPr>
      </w:pPr>
      <w:r>
        <w:rPr>
          <w:rFonts w:ascii="宋体" w:hAnsi="宋体" w:eastAsia="宋体" w:cs="宋体"/>
          <w:spacing w:val="-2"/>
          <w:sz w:val="24"/>
          <w:szCs w:val="24"/>
        </w:rPr>
        <w:t>法定代表人或其委托代理人</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2"/>
          <w:sz w:val="24"/>
          <w:szCs w:val="24"/>
        </w:rPr>
        <w:t>签字）</w:t>
      </w:r>
    </w:p>
    <w:p w14:paraId="6A47357E">
      <w:pPr>
        <w:spacing w:before="182" w:line="229" w:lineRule="auto"/>
        <w:ind w:left="3129"/>
        <w:rPr>
          <w:rFonts w:ascii="宋体" w:hAnsi="宋体" w:eastAsia="宋体" w:cs="宋体"/>
          <w:sz w:val="24"/>
          <w:szCs w:val="24"/>
        </w:rPr>
      </w:pPr>
      <w:r>
        <w:rPr>
          <w:rFonts w:ascii="宋体" w:hAnsi="宋体" w:eastAsia="宋体" w:cs="宋体"/>
          <w:spacing w:val="-4"/>
          <w:sz w:val="24"/>
          <w:szCs w:val="24"/>
        </w:rPr>
        <w:t>地址：</w:t>
      </w:r>
      <w:r>
        <w:rPr>
          <w:rFonts w:ascii="宋体" w:hAnsi="宋体" w:eastAsia="宋体" w:cs="宋体"/>
          <w:sz w:val="24"/>
          <w:szCs w:val="24"/>
          <w:u w:val="single" w:color="auto"/>
        </w:rPr>
        <w:t xml:space="preserve">                                       </w:t>
      </w:r>
    </w:p>
    <w:p w14:paraId="65075B8C">
      <w:pPr>
        <w:spacing w:before="170" w:line="225" w:lineRule="auto"/>
        <w:ind w:left="3148"/>
        <w:rPr>
          <w:rFonts w:ascii="宋体" w:hAnsi="宋体" w:eastAsia="宋体" w:cs="宋体"/>
          <w:sz w:val="24"/>
          <w:szCs w:val="24"/>
        </w:rPr>
      </w:pPr>
      <w:r>
        <w:rPr>
          <w:rFonts w:ascii="宋体" w:hAnsi="宋体" w:eastAsia="宋体" w:cs="宋体"/>
          <w:spacing w:val="-10"/>
          <w:sz w:val="24"/>
          <w:szCs w:val="24"/>
        </w:rPr>
        <w:t>网址：</w:t>
      </w:r>
      <w:r>
        <w:rPr>
          <w:rFonts w:ascii="宋体" w:hAnsi="宋体" w:eastAsia="宋体" w:cs="宋体"/>
          <w:sz w:val="24"/>
          <w:szCs w:val="24"/>
          <w:u w:val="single" w:color="auto"/>
        </w:rPr>
        <w:t xml:space="preserve">                                       </w:t>
      </w:r>
    </w:p>
    <w:p w14:paraId="40637B1B">
      <w:pPr>
        <w:spacing w:before="176" w:line="222" w:lineRule="auto"/>
        <w:ind w:left="3157"/>
        <w:rPr>
          <w:rFonts w:ascii="宋体" w:hAnsi="宋体" w:eastAsia="宋体" w:cs="宋体"/>
          <w:sz w:val="24"/>
          <w:szCs w:val="24"/>
        </w:rPr>
      </w:pPr>
      <w:r>
        <w:rPr>
          <w:rFonts w:ascii="宋体" w:hAnsi="宋体" w:eastAsia="宋体" w:cs="宋体"/>
          <w:spacing w:val="-13"/>
          <w:sz w:val="24"/>
          <w:szCs w:val="24"/>
        </w:rPr>
        <w:t>电话：</w:t>
      </w:r>
      <w:r>
        <w:rPr>
          <w:rFonts w:ascii="宋体" w:hAnsi="宋体" w:eastAsia="宋体" w:cs="宋体"/>
          <w:sz w:val="24"/>
          <w:szCs w:val="24"/>
          <w:u w:val="single" w:color="auto"/>
        </w:rPr>
        <w:t xml:space="preserve">                                       </w:t>
      </w:r>
    </w:p>
    <w:p w14:paraId="55263781">
      <w:pPr>
        <w:spacing w:before="179" w:line="219" w:lineRule="auto"/>
        <w:ind w:left="3127"/>
        <w:rPr>
          <w:rFonts w:ascii="宋体" w:hAnsi="宋体" w:eastAsia="宋体" w:cs="宋体"/>
          <w:sz w:val="24"/>
          <w:szCs w:val="24"/>
        </w:rPr>
      </w:pPr>
      <w:r>
        <w:rPr>
          <w:rFonts w:ascii="宋体" w:hAnsi="宋体" w:eastAsia="宋体" w:cs="宋体"/>
          <w:spacing w:val="-3"/>
          <w:sz w:val="24"/>
          <w:szCs w:val="24"/>
        </w:rPr>
        <w:t>传真：</w:t>
      </w:r>
      <w:r>
        <w:rPr>
          <w:rFonts w:ascii="宋体" w:hAnsi="宋体" w:eastAsia="宋体" w:cs="宋体"/>
          <w:sz w:val="24"/>
          <w:szCs w:val="24"/>
          <w:u w:val="single" w:color="auto"/>
        </w:rPr>
        <w:t xml:space="preserve">                                       </w:t>
      </w:r>
    </w:p>
    <w:p w14:paraId="74DBDD28">
      <w:pPr>
        <w:tabs>
          <w:tab w:val="left" w:pos="6479"/>
        </w:tabs>
        <w:spacing w:before="184" w:line="362" w:lineRule="auto"/>
        <w:ind w:left="5999" w:right="312" w:hanging="2852"/>
        <w:rPr>
          <w:rFonts w:ascii="宋体" w:hAnsi="宋体" w:eastAsia="宋体" w:cs="宋体"/>
          <w:sz w:val="24"/>
          <w:szCs w:val="24"/>
        </w:rPr>
      </w:pPr>
      <w:r>
        <w:rPr>
          <w:rFonts w:ascii="宋体" w:hAnsi="宋体" w:eastAsia="宋体" w:cs="宋体"/>
          <w:spacing w:val="-3"/>
          <w:sz w:val="24"/>
          <w:szCs w:val="24"/>
        </w:rPr>
        <w:t>邮政编码</w:t>
      </w:r>
      <w:r>
        <w:rPr>
          <w:rFonts w:ascii="宋体" w:hAnsi="宋体" w:eastAsia="宋体" w:cs="宋体"/>
          <w:spacing w:val="-3"/>
          <w:sz w:val="24"/>
          <w:szCs w:val="24"/>
          <w:u w:val="single" w:color="auto"/>
        </w:rPr>
        <w:t xml:space="preserve">                       </w:t>
      </w:r>
      <w:r>
        <w:rPr>
          <w:rFonts w:ascii="宋体" w:hAnsi="宋体" w:eastAsia="宋体" w:cs="宋体"/>
          <w:spacing w:val="-4"/>
          <w:sz w:val="24"/>
          <w:szCs w:val="24"/>
          <w:u w:val="single" w:color="auto"/>
        </w:rPr>
        <w:t xml:space="preserve">                 </w:t>
      </w:r>
      <w:r>
        <w:rPr>
          <w:rFonts w:ascii="宋体" w:hAnsi="宋体" w:eastAsia="宋体" w:cs="宋体"/>
          <w:sz w:val="24"/>
          <w:szCs w:val="24"/>
          <w:u w:val="single" w:color="auto"/>
        </w:rPr>
        <w:tab/>
      </w:r>
      <w:r>
        <w:rPr>
          <w:rFonts w:ascii="宋体" w:hAnsi="宋体" w:eastAsia="宋体" w:cs="宋体"/>
          <w:spacing w:val="-109"/>
          <w:sz w:val="24"/>
          <w:szCs w:val="24"/>
        </w:rPr>
        <w:t xml:space="preserve"> </w:t>
      </w:r>
      <w:r>
        <w:rPr>
          <w:rFonts w:ascii="宋体" w:hAnsi="宋体" w:eastAsia="宋体" w:cs="宋体"/>
          <w:spacing w:val="-9"/>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9"/>
          <w:sz w:val="24"/>
          <w:szCs w:val="24"/>
        </w:rPr>
        <w:t>日</w:t>
      </w:r>
    </w:p>
    <w:p w14:paraId="43A17E83">
      <w:pPr>
        <w:pStyle w:val="2"/>
        <w:spacing w:line="254" w:lineRule="auto"/>
      </w:pPr>
    </w:p>
    <w:p w14:paraId="1E7A5FB1">
      <w:pPr>
        <w:pStyle w:val="2"/>
        <w:spacing w:line="254" w:lineRule="auto"/>
      </w:pPr>
    </w:p>
    <w:p w14:paraId="275DB477">
      <w:pPr>
        <w:pStyle w:val="2"/>
        <w:spacing w:line="254" w:lineRule="auto"/>
      </w:pPr>
    </w:p>
    <w:p w14:paraId="5797F1A6">
      <w:pPr>
        <w:pStyle w:val="2"/>
        <w:spacing w:line="254" w:lineRule="auto"/>
      </w:pPr>
    </w:p>
    <w:p w14:paraId="167A6299">
      <w:pPr>
        <w:pStyle w:val="2"/>
        <w:spacing w:line="254" w:lineRule="auto"/>
      </w:pPr>
    </w:p>
    <w:p w14:paraId="550BB6CB">
      <w:pPr>
        <w:pStyle w:val="2"/>
        <w:spacing w:line="254" w:lineRule="auto"/>
      </w:pPr>
    </w:p>
    <w:p w14:paraId="4AE25C2D">
      <w:pPr>
        <w:pStyle w:val="2"/>
        <w:spacing w:line="254" w:lineRule="auto"/>
      </w:pPr>
    </w:p>
    <w:p w14:paraId="6A487823">
      <w:pPr>
        <w:pStyle w:val="2"/>
        <w:spacing w:line="254" w:lineRule="auto"/>
      </w:pPr>
    </w:p>
    <w:p w14:paraId="4F1584B4">
      <w:pPr>
        <w:pStyle w:val="2"/>
        <w:spacing w:line="254" w:lineRule="auto"/>
      </w:pPr>
    </w:p>
    <w:p w14:paraId="20AF83E5">
      <w:pPr>
        <w:pStyle w:val="2"/>
        <w:spacing w:line="254" w:lineRule="auto"/>
      </w:pPr>
    </w:p>
    <w:p w14:paraId="22842EE0">
      <w:pPr>
        <w:pStyle w:val="2"/>
        <w:spacing w:line="254" w:lineRule="auto"/>
      </w:pPr>
    </w:p>
    <w:p w14:paraId="6A05FFBB">
      <w:pPr>
        <w:pStyle w:val="2"/>
        <w:spacing w:line="255" w:lineRule="auto"/>
      </w:pPr>
    </w:p>
    <w:p w14:paraId="375B29D9">
      <w:pPr>
        <w:spacing w:before="59" w:line="217" w:lineRule="auto"/>
        <w:ind w:left="6"/>
        <w:rPr>
          <w:rFonts w:ascii="宋体" w:hAnsi="宋体" w:eastAsia="宋体" w:cs="宋体"/>
          <w:sz w:val="18"/>
          <w:szCs w:val="18"/>
        </w:rPr>
      </w:pPr>
    </w:p>
    <w:p w14:paraId="1483B6AB">
      <w:pPr>
        <w:spacing w:line="217" w:lineRule="auto"/>
        <w:rPr>
          <w:rFonts w:ascii="宋体" w:hAnsi="宋体" w:eastAsia="宋体" w:cs="宋体"/>
          <w:sz w:val="18"/>
          <w:szCs w:val="18"/>
        </w:rPr>
        <w:sectPr>
          <w:footerReference r:id="rId215" w:type="default"/>
          <w:pgSz w:w="11905" w:h="16840"/>
          <w:pgMar w:top="1182" w:right="1416" w:bottom="1171" w:left="1416" w:header="849" w:footer="937" w:gutter="0"/>
          <w:pgNumType w:fmt="decimal"/>
          <w:cols w:space="720" w:num="1"/>
        </w:sectPr>
      </w:pPr>
    </w:p>
    <w:p w14:paraId="77C25582">
      <w:pPr>
        <w:pStyle w:val="2"/>
        <w:spacing w:line="294" w:lineRule="auto"/>
      </w:pPr>
    </w:p>
    <w:p w14:paraId="4CBDB9BD">
      <w:pPr>
        <w:spacing w:before="87"/>
        <w:ind w:left="3076"/>
        <w:rPr>
          <w:rFonts w:ascii="宋体" w:hAnsi="宋体" w:eastAsia="宋体" w:cs="宋体"/>
          <w:sz w:val="13"/>
          <w:szCs w:val="13"/>
        </w:rPr>
      </w:pPr>
      <w:r>
        <w:rPr>
          <w:rFonts w:ascii="宋体" w:hAnsi="宋体" w:eastAsia="宋体" w:cs="宋体"/>
          <w:b/>
          <w:bCs/>
          <w:spacing w:val="6"/>
          <w:sz w:val="27"/>
          <w:szCs w:val="27"/>
        </w:rPr>
        <w:t>二、已标价工程量清单</w:t>
      </w:r>
    </w:p>
    <w:p w14:paraId="2B4CCC82">
      <w:pPr>
        <w:pStyle w:val="2"/>
        <w:spacing w:line="467" w:lineRule="auto"/>
      </w:pPr>
    </w:p>
    <w:p w14:paraId="0703906A">
      <w:pPr>
        <w:spacing w:before="78" w:line="220" w:lineRule="auto"/>
        <w:ind w:left="507"/>
        <w:rPr>
          <w:rFonts w:ascii="宋体" w:hAnsi="宋体" w:eastAsia="宋体" w:cs="宋体"/>
          <w:sz w:val="24"/>
          <w:szCs w:val="24"/>
        </w:rPr>
      </w:pPr>
      <w:r>
        <w:rPr>
          <w:rFonts w:ascii="宋体" w:hAnsi="宋体" w:eastAsia="宋体" w:cs="宋体"/>
          <w:spacing w:val="-3"/>
          <w:sz w:val="24"/>
          <w:szCs w:val="24"/>
        </w:rPr>
        <w:t>1. 工程量清单说明</w:t>
      </w:r>
    </w:p>
    <w:p w14:paraId="7F434ACB">
      <w:pPr>
        <w:spacing w:before="182" w:line="360" w:lineRule="auto"/>
        <w:ind w:left="11" w:right="205" w:firstLine="495"/>
        <w:rPr>
          <w:rFonts w:ascii="宋体" w:hAnsi="宋体" w:eastAsia="宋体" w:cs="宋体"/>
          <w:sz w:val="24"/>
          <w:szCs w:val="24"/>
        </w:rPr>
      </w:pPr>
      <w:r>
        <w:rPr>
          <w:rFonts w:ascii="宋体" w:hAnsi="宋体" w:eastAsia="宋体" w:cs="宋体"/>
          <w:spacing w:val="-2"/>
          <w:sz w:val="24"/>
          <w:szCs w:val="24"/>
        </w:rPr>
        <w:t>1.1</w:t>
      </w:r>
      <w:r>
        <w:rPr>
          <w:rFonts w:ascii="宋体" w:hAnsi="宋体" w:eastAsia="宋体" w:cs="宋体"/>
          <w:spacing w:val="-40"/>
          <w:sz w:val="24"/>
          <w:szCs w:val="24"/>
        </w:rPr>
        <w:t xml:space="preserve"> </w:t>
      </w:r>
      <w:r>
        <w:rPr>
          <w:rFonts w:ascii="宋体" w:hAnsi="宋体" w:eastAsia="宋体" w:cs="宋体"/>
          <w:spacing w:val="-2"/>
          <w:sz w:val="24"/>
          <w:szCs w:val="24"/>
        </w:rPr>
        <w:t>本工程量清单是根据招标文件中包括的有合同约束力的工程量清单计量规则、图纸以及有关工程量清单的国家标准、行业标准、合同条款中约定的其他规则编制。约定计量规则中没有的子目，其工程量按照有合同约束力的图纸所标示尺寸的理论净量计</w:t>
      </w:r>
      <w:r>
        <w:rPr>
          <w:rFonts w:ascii="宋体" w:hAnsi="宋体" w:eastAsia="宋体" w:cs="宋体"/>
          <w:spacing w:val="-3"/>
          <w:sz w:val="24"/>
          <w:szCs w:val="24"/>
        </w:rPr>
        <w:t>算。计量采用中华人民共和国法定计量单位。</w:t>
      </w:r>
    </w:p>
    <w:p w14:paraId="33E3598F">
      <w:pPr>
        <w:spacing w:before="2" w:line="359" w:lineRule="auto"/>
        <w:ind w:left="12" w:right="242" w:firstLine="494"/>
        <w:rPr>
          <w:rFonts w:ascii="宋体" w:hAnsi="宋体" w:eastAsia="宋体" w:cs="宋体"/>
          <w:sz w:val="24"/>
          <w:szCs w:val="24"/>
        </w:rPr>
      </w:pPr>
      <w:r>
        <w:rPr>
          <w:rFonts w:ascii="宋体" w:hAnsi="宋体" w:eastAsia="宋体" w:cs="宋体"/>
          <w:spacing w:val="-2"/>
          <w:sz w:val="24"/>
          <w:szCs w:val="24"/>
        </w:rPr>
        <w:t>1.2</w:t>
      </w:r>
      <w:r>
        <w:rPr>
          <w:rFonts w:ascii="宋体" w:hAnsi="宋体" w:eastAsia="宋体" w:cs="宋体"/>
          <w:spacing w:val="-40"/>
          <w:sz w:val="24"/>
          <w:szCs w:val="24"/>
        </w:rPr>
        <w:t xml:space="preserve"> </w:t>
      </w:r>
      <w:r>
        <w:rPr>
          <w:rFonts w:ascii="宋体" w:hAnsi="宋体" w:eastAsia="宋体" w:cs="宋体"/>
          <w:spacing w:val="-2"/>
          <w:sz w:val="24"/>
          <w:szCs w:val="24"/>
        </w:rPr>
        <w:t>本工程量清单应与招标文件中的投标人须知、通用合同条款、专用合同条款、工程量清单计量规则、技术规范及图纸等一起阅读和理解。</w:t>
      </w:r>
    </w:p>
    <w:p w14:paraId="5EB51638">
      <w:pPr>
        <w:spacing w:line="360" w:lineRule="auto"/>
        <w:ind w:left="8" w:right="205" w:firstLine="498"/>
        <w:rPr>
          <w:rFonts w:ascii="宋体" w:hAnsi="宋体" w:eastAsia="宋体" w:cs="宋体"/>
          <w:sz w:val="24"/>
          <w:szCs w:val="24"/>
        </w:rPr>
      </w:pPr>
      <w:r>
        <w:rPr>
          <w:rFonts w:ascii="宋体" w:hAnsi="宋体" w:eastAsia="宋体" w:cs="宋体"/>
          <w:spacing w:val="-1"/>
          <w:sz w:val="24"/>
          <w:szCs w:val="24"/>
        </w:rPr>
        <w:t>1.3</w:t>
      </w:r>
      <w:r>
        <w:rPr>
          <w:rFonts w:ascii="宋体" w:hAnsi="宋体" w:eastAsia="宋体" w:cs="宋体"/>
          <w:spacing w:val="-42"/>
          <w:sz w:val="24"/>
          <w:szCs w:val="24"/>
        </w:rPr>
        <w:t xml:space="preserve"> </w:t>
      </w:r>
      <w:r>
        <w:rPr>
          <w:rFonts w:ascii="宋体" w:hAnsi="宋体" w:eastAsia="宋体" w:cs="宋体"/>
          <w:spacing w:val="-1"/>
          <w:sz w:val="24"/>
          <w:szCs w:val="24"/>
        </w:rPr>
        <w:t>本工程量清单中所列工程数量是估算的或设计的预计数量，仅作为投标报价的</w:t>
      </w:r>
      <w:r>
        <w:rPr>
          <w:rFonts w:ascii="宋体" w:hAnsi="宋体" w:eastAsia="宋体" w:cs="宋体"/>
          <w:sz w:val="24"/>
          <w:szCs w:val="24"/>
        </w:rPr>
        <w:t>共同基础，不能作为最终结算与支付的依据</w:t>
      </w:r>
      <w:r>
        <w:rPr>
          <w:rFonts w:ascii="宋体" w:hAnsi="宋体" w:eastAsia="宋体" w:cs="宋体"/>
          <w:spacing w:val="-1"/>
          <w:sz w:val="24"/>
          <w:szCs w:val="24"/>
        </w:rPr>
        <w:t>。实际支付应按实际完成的工程量，</w:t>
      </w:r>
      <w:r>
        <w:rPr>
          <w:rFonts w:ascii="宋体" w:hAnsi="宋体" w:eastAsia="宋体" w:cs="宋体"/>
          <w:spacing w:val="80"/>
          <w:sz w:val="24"/>
          <w:szCs w:val="24"/>
        </w:rPr>
        <w:t xml:space="preserve"> </w:t>
      </w:r>
      <w:r>
        <w:rPr>
          <w:rFonts w:ascii="宋体" w:hAnsi="宋体" w:eastAsia="宋体" w:cs="宋体"/>
          <w:spacing w:val="-1"/>
          <w:sz w:val="24"/>
          <w:szCs w:val="24"/>
        </w:rPr>
        <w:t>由承</w:t>
      </w:r>
      <w:r>
        <w:rPr>
          <w:rFonts w:ascii="宋体" w:hAnsi="宋体" w:eastAsia="宋体" w:cs="宋体"/>
          <w:spacing w:val="-6"/>
          <w:sz w:val="24"/>
          <w:szCs w:val="24"/>
        </w:rPr>
        <w:t>包人按工程量清单计量规则规定的计量方法，以监理人认可的尺寸、断面计量，</w:t>
      </w:r>
      <w:r>
        <w:rPr>
          <w:rFonts w:ascii="宋体" w:hAnsi="宋体" w:eastAsia="宋体" w:cs="宋体"/>
          <w:spacing w:val="50"/>
          <w:sz w:val="24"/>
          <w:szCs w:val="24"/>
        </w:rPr>
        <w:t xml:space="preserve"> </w:t>
      </w:r>
      <w:r>
        <w:rPr>
          <w:rFonts w:ascii="宋体" w:hAnsi="宋体" w:eastAsia="宋体" w:cs="宋体"/>
          <w:spacing w:val="-6"/>
          <w:sz w:val="24"/>
          <w:szCs w:val="24"/>
        </w:rPr>
        <w:t>按本工</w:t>
      </w:r>
      <w:r>
        <w:rPr>
          <w:rFonts w:ascii="宋体" w:hAnsi="宋体" w:eastAsia="宋体" w:cs="宋体"/>
          <w:spacing w:val="-1"/>
          <w:sz w:val="24"/>
          <w:szCs w:val="24"/>
        </w:rPr>
        <w:t>程量清单的单价和总额价计算支付金额；或根据具体情况，按合同条款第</w:t>
      </w:r>
      <w:r>
        <w:rPr>
          <w:rFonts w:ascii="宋体" w:hAnsi="宋体" w:eastAsia="宋体" w:cs="宋体"/>
          <w:spacing w:val="-18"/>
          <w:sz w:val="24"/>
          <w:szCs w:val="24"/>
        </w:rPr>
        <w:t xml:space="preserve"> </w:t>
      </w:r>
      <w:r>
        <w:rPr>
          <w:rFonts w:ascii="宋体" w:hAnsi="宋体" w:eastAsia="宋体" w:cs="宋体"/>
          <w:spacing w:val="-1"/>
          <w:sz w:val="24"/>
          <w:szCs w:val="24"/>
        </w:rPr>
        <w:t>15.4 款的规</w:t>
      </w:r>
      <w:r>
        <w:rPr>
          <w:rFonts w:ascii="宋体" w:hAnsi="宋体" w:eastAsia="宋体" w:cs="宋体"/>
          <w:spacing w:val="-2"/>
          <w:sz w:val="24"/>
          <w:szCs w:val="24"/>
        </w:rPr>
        <w:t>定，按监理人确定的单价或总额价计算支付额。</w:t>
      </w:r>
    </w:p>
    <w:p w14:paraId="4F95AB77">
      <w:pPr>
        <w:spacing w:line="360" w:lineRule="auto"/>
        <w:ind w:left="9" w:right="191" w:firstLine="497"/>
        <w:rPr>
          <w:rFonts w:ascii="宋体" w:hAnsi="宋体" w:eastAsia="宋体" w:cs="宋体"/>
          <w:sz w:val="24"/>
          <w:szCs w:val="24"/>
        </w:rPr>
      </w:pPr>
      <w:r>
        <w:rPr>
          <w:rFonts w:ascii="宋体" w:hAnsi="宋体" w:eastAsia="宋体" w:cs="宋体"/>
          <w:spacing w:val="-1"/>
          <w:sz w:val="24"/>
          <w:szCs w:val="24"/>
        </w:rPr>
        <w:t>1.4</w:t>
      </w:r>
      <w:r>
        <w:rPr>
          <w:rFonts w:ascii="宋体" w:hAnsi="宋体" w:eastAsia="宋体" w:cs="宋体"/>
          <w:spacing w:val="-41"/>
          <w:sz w:val="24"/>
          <w:szCs w:val="24"/>
        </w:rPr>
        <w:t xml:space="preserve"> </w:t>
      </w:r>
      <w:r>
        <w:rPr>
          <w:rFonts w:ascii="宋体" w:hAnsi="宋体" w:eastAsia="宋体" w:cs="宋体"/>
          <w:spacing w:val="-1"/>
          <w:sz w:val="24"/>
          <w:szCs w:val="24"/>
        </w:rPr>
        <w:t>工程量清单各章是按第八章“工程量清单计量规则”、第七章“技术规范”的</w:t>
      </w:r>
      <w:r>
        <w:rPr>
          <w:rFonts w:ascii="宋体" w:hAnsi="宋体" w:eastAsia="宋体" w:cs="宋体"/>
          <w:spacing w:val="-2"/>
          <w:sz w:val="24"/>
          <w:szCs w:val="24"/>
        </w:rPr>
        <w:t>相应章次编号的，因此，工程量清单中各章的工程子目的范围与计量等应与“工程量清</w:t>
      </w:r>
      <w:r>
        <w:rPr>
          <w:rFonts w:ascii="宋体" w:hAnsi="宋体" w:eastAsia="宋体" w:cs="宋体"/>
          <w:spacing w:val="-1"/>
          <w:sz w:val="24"/>
          <w:szCs w:val="24"/>
        </w:rPr>
        <w:t>单计量规则”、“技术规范”相应章节的范围、计量与支付条款结合</w:t>
      </w:r>
      <w:r>
        <w:rPr>
          <w:rFonts w:ascii="宋体" w:hAnsi="宋体" w:eastAsia="宋体" w:cs="宋体"/>
          <w:spacing w:val="-2"/>
          <w:sz w:val="24"/>
          <w:szCs w:val="24"/>
        </w:rPr>
        <w:t>起来理解或解释。</w:t>
      </w:r>
    </w:p>
    <w:p w14:paraId="30B0F4F5">
      <w:pPr>
        <w:spacing w:before="3" w:line="359" w:lineRule="auto"/>
        <w:ind w:left="12" w:right="205" w:firstLine="494"/>
        <w:rPr>
          <w:rFonts w:ascii="宋体" w:hAnsi="宋体" w:eastAsia="宋体" w:cs="宋体"/>
          <w:sz w:val="24"/>
          <w:szCs w:val="24"/>
        </w:rPr>
      </w:pPr>
      <w:r>
        <w:rPr>
          <w:rFonts w:ascii="宋体" w:hAnsi="宋体" w:eastAsia="宋体" w:cs="宋体"/>
          <w:spacing w:val="-2"/>
          <w:sz w:val="24"/>
          <w:szCs w:val="24"/>
        </w:rPr>
        <w:t>1.5 对作业和材料的一般说明或规定，未重复写入工程量清单内，在给工程量清单各子目标价前，应参阅第七章“技术规范”的有关内容。</w:t>
      </w:r>
    </w:p>
    <w:p w14:paraId="683F111E">
      <w:pPr>
        <w:spacing w:line="360" w:lineRule="auto"/>
        <w:ind w:left="13" w:right="205" w:firstLine="493"/>
        <w:rPr>
          <w:rFonts w:ascii="宋体" w:hAnsi="宋体" w:eastAsia="宋体" w:cs="宋体"/>
          <w:sz w:val="24"/>
          <w:szCs w:val="24"/>
        </w:rPr>
      </w:pPr>
      <w:r>
        <w:rPr>
          <w:rFonts w:ascii="宋体" w:hAnsi="宋体" w:eastAsia="宋体" w:cs="宋体"/>
          <w:spacing w:val="-2"/>
          <w:sz w:val="24"/>
          <w:szCs w:val="24"/>
        </w:rPr>
        <w:t>1.6  工程量清单中所列工程量的变动，丝毫不会降低或影响合同条款的效力， 也不免除承包人按规定的标准进行施工和修复缺陷的责任。</w:t>
      </w:r>
    </w:p>
    <w:p w14:paraId="74565F42">
      <w:pPr>
        <w:spacing w:line="360" w:lineRule="auto"/>
        <w:ind w:left="24" w:firstLine="482"/>
        <w:rPr>
          <w:rFonts w:ascii="宋体" w:hAnsi="宋体" w:eastAsia="宋体" w:cs="宋体"/>
          <w:sz w:val="24"/>
          <w:szCs w:val="24"/>
        </w:rPr>
      </w:pPr>
      <w:r>
        <w:rPr>
          <w:rFonts w:ascii="宋体" w:hAnsi="宋体" w:eastAsia="宋体" w:cs="宋体"/>
          <w:spacing w:val="-5"/>
          <w:sz w:val="24"/>
          <w:szCs w:val="24"/>
        </w:rPr>
        <w:t>1.7</w:t>
      </w:r>
      <w:r>
        <w:rPr>
          <w:rFonts w:ascii="宋体" w:hAnsi="宋体" w:eastAsia="宋体" w:cs="宋体"/>
          <w:spacing w:val="-27"/>
          <w:sz w:val="24"/>
          <w:szCs w:val="24"/>
        </w:rPr>
        <w:t xml:space="preserve"> </w:t>
      </w:r>
      <w:r>
        <w:rPr>
          <w:rFonts w:ascii="宋体" w:hAnsi="宋体" w:eastAsia="宋体" w:cs="宋体"/>
          <w:spacing w:val="-5"/>
          <w:sz w:val="24"/>
          <w:szCs w:val="24"/>
        </w:rPr>
        <w:t>图纸中所列的工程数量表及数量汇总表仅是提供资料，不是工</w:t>
      </w:r>
      <w:r>
        <w:rPr>
          <w:rFonts w:ascii="宋体" w:hAnsi="宋体" w:eastAsia="宋体" w:cs="宋体"/>
          <w:spacing w:val="-6"/>
          <w:sz w:val="24"/>
          <w:szCs w:val="24"/>
        </w:rPr>
        <w:t>程量清单的 外延。</w:t>
      </w:r>
      <w:r>
        <w:rPr>
          <w:rFonts w:ascii="宋体" w:hAnsi="宋体" w:eastAsia="宋体" w:cs="宋体"/>
          <w:spacing w:val="-2"/>
          <w:sz w:val="24"/>
          <w:szCs w:val="24"/>
        </w:rPr>
        <w:t>当图纸与工程量清单所列数量不一致时，以工程量清单所列数量作为报价的依据。</w:t>
      </w:r>
    </w:p>
    <w:p w14:paraId="504AA4FC">
      <w:pPr>
        <w:spacing w:line="218" w:lineRule="auto"/>
        <w:ind w:left="492"/>
        <w:rPr>
          <w:rFonts w:ascii="宋体" w:hAnsi="宋体" w:eastAsia="宋体" w:cs="宋体"/>
          <w:sz w:val="24"/>
          <w:szCs w:val="24"/>
        </w:rPr>
      </w:pPr>
      <w:r>
        <w:rPr>
          <w:rFonts w:ascii="宋体" w:hAnsi="宋体" w:eastAsia="宋体" w:cs="宋体"/>
          <w:spacing w:val="-2"/>
          <w:sz w:val="24"/>
          <w:szCs w:val="24"/>
        </w:rPr>
        <w:t>2. 投标报价说明</w:t>
      </w:r>
    </w:p>
    <w:p w14:paraId="4A1088EC">
      <w:pPr>
        <w:spacing w:before="184" w:line="218" w:lineRule="auto"/>
        <w:ind w:left="492"/>
        <w:rPr>
          <w:rFonts w:ascii="宋体" w:hAnsi="宋体" w:eastAsia="宋体" w:cs="宋体"/>
          <w:sz w:val="24"/>
          <w:szCs w:val="24"/>
        </w:rPr>
      </w:pPr>
      <w:r>
        <w:rPr>
          <w:rFonts w:ascii="宋体" w:hAnsi="宋体" w:eastAsia="宋体" w:cs="宋体"/>
          <w:spacing w:val="-1"/>
          <w:sz w:val="24"/>
          <w:szCs w:val="24"/>
        </w:rPr>
        <w:t>2.1 工程量清单中的每一子目须填入单价或价格，且只允许</w:t>
      </w:r>
      <w:r>
        <w:rPr>
          <w:rFonts w:ascii="宋体" w:hAnsi="宋体" w:eastAsia="宋体" w:cs="宋体"/>
          <w:spacing w:val="-2"/>
          <w:sz w:val="24"/>
          <w:szCs w:val="24"/>
        </w:rPr>
        <w:t>有一个报价。</w:t>
      </w:r>
    </w:p>
    <w:p w14:paraId="3CB4A60D">
      <w:pPr>
        <w:spacing w:before="185" w:line="361" w:lineRule="auto"/>
        <w:ind w:left="11" w:right="205" w:firstLine="480"/>
        <w:rPr>
          <w:rFonts w:ascii="宋体" w:hAnsi="宋体" w:eastAsia="宋体" w:cs="宋体"/>
          <w:sz w:val="24"/>
          <w:szCs w:val="24"/>
        </w:rPr>
      </w:pPr>
      <w:r>
        <w:rPr>
          <w:rFonts w:ascii="宋体" w:hAnsi="宋体" w:eastAsia="宋体" w:cs="宋体"/>
          <w:spacing w:val="-2"/>
          <w:sz w:val="24"/>
          <w:szCs w:val="24"/>
        </w:rPr>
        <w:t>2.2 除非合同另有规定，工程量清单中有标价的单价和总额价均已包括了为实施和</w:t>
      </w:r>
      <w:r>
        <w:rPr>
          <w:rFonts w:ascii="宋体" w:hAnsi="宋体" w:eastAsia="宋体" w:cs="宋体"/>
          <w:spacing w:val="-8"/>
          <w:sz w:val="24"/>
          <w:szCs w:val="24"/>
        </w:rPr>
        <w:t>完成合同工程所需的劳务、材料、机械、质检</w:t>
      </w:r>
      <w:r>
        <w:rPr>
          <w:rFonts w:hint="eastAsia" w:ascii="宋体" w:hAnsi="宋体" w:cs="宋体"/>
          <w:spacing w:val="-8"/>
          <w:sz w:val="24"/>
          <w:szCs w:val="24"/>
          <w:lang w:eastAsia="zh-CN"/>
        </w:rPr>
        <w:t>（</w:t>
      </w:r>
      <w:r>
        <w:rPr>
          <w:rFonts w:ascii="宋体" w:hAnsi="宋体" w:eastAsia="宋体" w:cs="宋体"/>
          <w:spacing w:val="-8"/>
          <w:sz w:val="24"/>
          <w:szCs w:val="24"/>
        </w:rPr>
        <w:t>自检</w:t>
      </w:r>
      <w:r>
        <w:rPr>
          <w:rFonts w:hint="eastAsia" w:ascii="宋体" w:hAnsi="宋体" w:cs="宋体"/>
          <w:spacing w:val="-8"/>
          <w:sz w:val="24"/>
          <w:szCs w:val="24"/>
          <w:lang w:eastAsia="zh-CN"/>
        </w:rPr>
        <w:t>）</w:t>
      </w:r>
      <w:r>
        <w:rPr>
          <w:rFonts w:ascii="宋体" w:hAnsi="宋体" w:eastAsia="宋体" w:cs="宋体"/>
          <w:spacing w:val="-8"/>
          <w:sz w:val="24"/>
          <w:szCs w:val="24"/>
        </w:rPr>
        <w:t>、安装、缺陷修复、管理、保险（建</w:t>
      </w:r>
      <w:r>
        <w:rPr>
          <w:rFonts w:ascii="宋体" w:hAnsi="宋体" w:eastAsia="宋体" w:cs="宋体"/>
          <w:spacing w:val="-7"/>
          <w:sz w:val="24"/>
          <w:szCs w:val="24"/>
        </w:rPr>
        <w:t>筑工程一切险及第三者责任险除外）、税费、利润等费用，</w:t>
      </w:r>
      <w:r>
        <w:rPr>
          <w:rFonts w:ascii="宋体" w:hAnsi="宋体" w:eastAsia="宋体" w:cs="宋体"/>
          <w:spacing w:val="85"/>
          <w:sz w:val="24"/>
          <w:szCs w:val="24"/>
        </w:rPr>
        <w:t xml:space="preserve"> </w:t>
      </w:r>
      <w:r>
        <w:rPr>
          <w:rFonts w:ascii="宋体" w:hAnsi="宋体" w:eastAsia="宋体" w:cs="宋体"/>
          <w:spacing w:val="-7"/>
          <w:sz w:val="24"/>
          <w:szCs w:val="24"/>
        </w:rPr>
        <w:t>以及合同明示或暗示的所有</w:t>
      </w:r>
      <w:r>
        <w:rPr>
          <w:rFonts w:ascii="宋体" w:hAnsi="宋体" w:eastAsia="宋体" w:cs="宋体"/>
          <w:spacing w:val="-4"/>
          <w:sz w:val="24"/>
          <w:szCs w:val="24"/>
        </w:rPr>
        <w:t>责任、义务和一般风险。</w:t>
      </w:r>
    </w:p>
    <w:p w14:paraId="701A99DC">
      <w:pPr>
        <w:spacing w:line="217" w:lineRule="auto"/>
        <w:rPr>
          <w:rFonts w:ascii="宋体" w:hAnsi="宋体" w:eastAsia="宋体" w:cs="宋体"/>
          <w:sz w:val="18"/>
          <w:szCs w:val="18"/>
        </w:rPr>
        <w:sectPr>
          <w:headerReference r:id="rId216" w:type="default"/>
          <w:footerReference r:id="rId217" w:type="default"/>
          <w:pgSz w:w="11905" w:h="16840"/>
          <w:pgMar w:top="1182" w:right="1211" w:bottom="1171" w:left="1416" w:header="849" w:footer="937" w:gutter="0"/>
          <w:pgNumType w:fmt="decimal"/>
          <w:cols w:space="720" w:num="1"/>
        </w:sectPr>
      </w:pPr>
    </w:p>
    <w:p w14:paraId="3E3A096C">
      <w:pPr>
        <w:pStyle w:val="2"/>
        <w:spacing w:line="268" w:lineRule="auto"/>
      </w:pPr>
    </w:p>
    <w:p w14:paraId="7A12FF93">
      <w:pPr>
        <w:spacing w:before="78" w:line="360" w:lineRule="auto"/>
        <w:ind w:left="9" w:right="85" w:firstLine="482"/>
        <w:rPr>
          <w:rFonts w:ascii="宋体" w:hAnsi="宋体" w:eastAsia="宋体" w:cs="宋体"/>
          <w:sz w:val="24"/>
          <w:szCs w:val="24"/>
        </w:rPr>
      </w:pPr>
      <w:r>
        <w:rPr>
          <w:rFonts w:ascii="宋体" w:hAnsi="宋体" w:eastAsia="宋体" w:cs="宋体"/>
          <w:spacing w:val="-2"/>
          <w:sz w:val="24"/>
          <w:szCs w:val="24"/>
        </w:rPr>
        <w:t>2.3 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7AF9D08F">
      <w:pPr>
        <w:spacing w:line="360" w:lineRule="auto"/>
        <w:ind w:left="10" w:right="85" w:firstLine="481"/>
        <w:rPr>
          <w:rFonts w:ascii="宋体" w:hAnsi="宋体" w:eastAsia="宋体" w:cs="宋体"/>
          <w:sz w:val="24"/>
          <w:szCs w:val="24"/>
        </w:rPr>
      </w:pPr>
      <w:r>
        <w:rPr>
          <w:rFonts w:ascii="宋体" w:hAnsi="宋体" w:eastAsia="宋体" w:cs="宋体"/>
          <w:spacing w:val="5"/>
          <w:sz w:val="24"/>
          <w:szCs w:val="24"/>
        </w:rPr>
        <w:t>2.4 符合合同条款规定的全部费用应认为已被计入有标价的工程</w:t>
      </w:r>
      <w:r>
        <w:rPr>
          <w:rFonts w:ascii="宋体" w:hAnsi="宋体" w:eastAsia="宋体" w:cs="宋体"/>
          <w:spacing w:val="4"/>
          <w:sz w:val="24"/>
          <w:szCs w:val="24"/>
        </w:rPr>
        <w:t>量清单所列各子</w:t>
      </w:r>
      <w:r>
        <w:rPr>
          <w:rFonts w:ascii="宋体" w:hAnsi="宋体" w:eastAsia="宋体" w:cs="宋体"/>
          <w:spacing w:val="-2"/>
          <w:sz w:val="24"/>
          <w:szCs w:val="24"/>
        </w:rPr>
        <w:t>目之中，未列子目不予计量的工作，其费用应视为已分摊在本合同工程的有关子目的单</w:t>
      </w:r>
      <w:r>
        <w:rPr>
          <w:rFonts w:ascii="宋体" w:hAnsi="宋体" w:eastAsia="宋体" w:cs="宋体"/>
          <w:spacing w:val="-5"/>
          <w:sz w:val="24"/>
          <w:szCs w:val="24"/>
        </w:rPr>
        <w:t>价或总额价之中。</w:t>
      </w:r>
    </w:p>
    <w:p w14:paraId="7AA7E5B1">
      <w:pPr>
        <w:spacing w:before="2" w:line="359" w:lineRule="auto"/>
        <w:ind w:left="22" w:right="85" w:firstLine="469"/>
        <w:rPr>
          <w:rFonts w:ascii="宋体" w:hAnsi="宋体" w:eastAsia="宋体" w:cs="宋体"/>
          <w:sz w:val="24"/>
          <w:szCs w:val="24"/>
        </w:rPr>
      </w:pPr>
      <w:r>
        <w:rPr>
          <w:rFonts w:ascii="宋体" w:hAnsi="宋体" w:eastAsia="宋体" w:cs="宋体"/>
          <w:spacing w:val="-2"/>
          <w:sz w:val="24"/>
          <w:szCs w:val="24"/>
        </w:rPr>
        <w:t>2.5 承包人用于本合同工程的各类装备的提供、运输、维护、拆卸、拼装等支付的</w:t>
      </w:r>
      <w:r>
        <w:rPr>
          <w:rFonts w:ascii="宋体" w:hAnsi="宋体" w:eastAsia="宋体" w:cs="宋体"/>
          <w:spacing w:val="-3"/>
          <w:sz w:val="24"/>
          <w:szCs w:val="24"/>
        </w:rPr>
        <w:t>费用，已包括在工程量清单的单价与总额价之中。</w:t>
      </w:r>
    </w:p>
    <w:p w14:paraId="59AE6CCF">
      <w:pPr>
        <w:spacing w:before="1" w:line="218" w:lineRule="auto"/>
        <w:ind w:left="492"/>
        <w:rPr>
          <w:rFonts w:ascii="宋体" w:hAnsi="宋体" w:eastAsia="宋体" w:cs="宋体"/>
          <w:sz w:val="24"/>
          <w:szCs w:val="24"/>
        </w:rPr>
      </w:pPr>
      <w:r>
        <w:rPr>
          <w:rFonts w:ascii="宋体" w:hAnsi="宋体" w:eastAsia="宋体" w:cs="宋体"/>
          <w:spacing w:val="-2"/>
          <w:sz w:val="24"/>
          <w:szCs w:val="24"/>
        </w:rPr>
        <w:t>2.6 工程量清单中各项金额均以人民币</w:t>
      </w:r>
      <w:r>
        <w:rPr>
          <w:rFonts w:hint="eastAsia" w:ascii="宋体" w:hAnsi="宋体" w:cs="宋体"/>
          <w:spacing w:val="-2"/>
          <w:sz w:val="24"/>
          <w:szCs w:val="24"/>
          <w:lang w:eastAsia="zh-CN"/>
        </w:rPr>
        <w:t>（</w:t>
      </w:r>
      <w:r>
        <w:rPr>
          <w:rFonts w:ascii="宋体" w:hAnsi="宋体" w:eastAsia="宋体" w:cs="宋体"/>
          <w:spacing w:val="-2"/>
          <w:sz w:val="24"/>
          <w:szCs w:val="24"/>
        </w:rPr>
        <w:t>元</w:t>
      </w:r>
      <w:r>
        <w:rPr>
          <w:rFonts w:hint="eastAsia" w:ascii="宋体" w:hAnsi="宋体" w:cs="宋体"/>
          <w:spacing w:val="-2"/>
          <w:sz w:val="24"/>
          <w:szCs w:val="24"/>
          <w:lang w:eastAsia="zh-CN"/>
        </w:rPr>
        <w:t>）</w:t>
      </w:r>
      <w:r>
        <w:rPr>
          <w:rFonts w:ascii="宋体" w:hAnsi="宋体" w:eastAsia="宋体" w:cs="宋体"/>
          <w:spacing w:val="-2"/>
          <w:sz w:val="24"/>
          <w:szCs w:val="24"/>
        </w:rPr>
        <w:t>结算。</w:t>
      </w:r>
    </w:p>
    <w:p w14:paraId="4DBDBE7D">
      <w:pPr>
        <w:spacing w:before="183" w:line="219" w:lineRule="auto"/>
        <w:ind w:left="492"/>
        <w:rPr>
          <w:rFonts w:ascii="宋体" w:hAnsi="宋体" w:eastAsia="宋体" w:cs="宋体"/>
          <w:sz w:val="24"/>
          <w:szCs w:val="24"/>
        </w:rPr>
      </w:pPr>
      <w:r>
        <w:rPr>
          <w:rFonts w:ascii="宋体" w:hAnsi="宋体" w:eastAsia="宋体" w:cs="宋体"/>
          <w:spacing w:val="-4"/>
          <w:sz w:val="24"/>
          <w:szCs w:val="24"/>
        </w:rPr>
        <w:t>2.7 暂列金额的数量及拟用子目的说明：</w:t>
      </w:r>
    </w:p>
    <w:p w14:paraId="57C5A52A">
      <w:pPr>
        <w:spacing w:before="183" w:line="360" w:lineRule="auto"/>
        <w:ind w:left="11" w:firstLine="485"/>
        <w:jc w:val="both"/>
        <w:rPr>
          <w:rFonts w:ascii="宋体" w:hAnsi="宋体" w:eastAsia="宋体" w:cs="宋体"/>
          <w:sz w:val="24"/>
          <w:szCs w:val="24"/>
        </w:rPr>
      </w:pPr>
      <w:r>
        <w:rPr>
          <w:rFonts w:ascii="宋体" w:hAnsi="宋体" w:eastAsia="宋体" w:cs="宋体"/>
          <w:spacing w:val="-4"/>
          <w:sz w:val="24"/>
          <w:szCs w:val="24"/>
        </w:rPr>
        <w:t>暂列金额按本合同工程量清单各章（100</w:t>
      </w:r>
      <w:r>
        <w:rPr>
          <w:rFonts w:ascii="宋体" w:hAnsi="宋体" w:eastAsia="宋体" w:cs="宋体"/>
          <w:spacing w:val="-29"/>
          <w:sz w:val="24"/>
          <w:szCs w:val="24"/>
        </w:rPr>
        <w:t xml:space="preserve"> </w:t>
      </w:r>
      <w:r>
        <w:rPr>
          <w:rFonts w:ascii="宋体" w:hAnsi="宋体" w:eastAsia="宋体" w:cs="宋体"/>
          <w:spacing w:val="-4"/>
          <w:sz w:val="24"/>
          <w:szCs w:val="24"/>
        </w:rPr>
        <w:t>章除外）合计价的</w:t>
      </w:r>
      <w:r>
        <w:rPr>
          <w:rFonts w:ascii="宋体" w:hAnsi="宋体" w:eastAsia="宋体" w:cs="宋体"/>
          <w:spacing w:val="-4"/>
          <w:sz w:val="24"/>
          <w:szCs w:val="24"/>
          <w:u w:val="single" w:color="auto"/>
        </w:rPr>
        <w:t xml:space="preserve"> </w:t>
      </w:r>
      <w:r>
        <w:rPr>
          <w:rFonts w:hint="eastAsia" w:ascii="宋体" w:hAnsi="宋体" w:cs="宋体"/>
          <w:spacing w:val="-4"/>
          <w:sz w:val="24"/>
          <w:szCs w:val="24"/>
          <w:u w:val="single" w:color="auto"/>
          <w:lang w:val="en-US" w:eastAsia="zh-CN"/>
        </w:rPr>
        <w:t>3</w:t>
      </w:r>
      <w:r>
        <w:rPr>
          <w:rFonts w:ascii="宋体" w:hAnsi="宋体" w:eastAsia="宋体" w:cs="宋体"/>
          <w:spacing w:val="-4"/>
          <w:sz w:val="24"/>
          <w:szCs w:val="24"/>
          <w:u w:val="single" w:color="auto"/>
        </w:rPr>
        <w:t xml:space="preserve"> </w:t>
      </w:r>
      <w:r>
        <w:rPr>
          <w:rFonts w:ascii="宋体" w:hAnsi="宋体" w:eastAsia="宋体" w:cs="宋体"/>
          <w:spacing w:val="-117"/>
          <w:sz w:val="24"/>
          <w:szCs w:val="24"/>
        </w:rPr>
        <w:t xml:space="preserve"> </w:t>
      </w:r>
      <w:r>
        <w:rPr>
          <w:rFonts w:ascii="宋体" w:hAnsi="宋体" w:eastAsia="宋体" w:cs="宋体"/>
          <w:spacing w:val="-4"/>
          <w:sz w:val="24"/>
          <w:szCs w:val="24"/>
        </w:rPr>
        <w:t>%计列并包含于投标</w:t>
      </w:r>
      <w:r>
        <w:rPr>
          <w:rFonts w:ascii="宋体" w:hAnsi="宋体" w:eastAsia="宋体" w:cs="宋体"/>
          <w:spacing w:val="-6"/>
          <w:sz w:val="24"/>
          <w:szCs w:val="24"/>
        </w:rPr>
        <w:t>总价，暂列金额应由监理人报发包人批准后指令全部或部分地使用，或者根本不予动用。</w:t>
      </w:r>
      <w:r>
        <w:rPr>
          <w:rFonts w:ascii="宋体" w:hAnsi="宋体" w:eastAsia="宋体" w:cs="宋体"/>
          <w:spacing w:val="-4"/>
          <w:sz w:val="24"/>
          <w:szCs w:val="24"/>
        </w:rPr>
        <w:t>符合下列条件的可在暂列金额中计量支付：</w:t>
      </w:r>
    </w:p>
    <w:p w14:paraId="559BFE8A">
      <w:pPr>
        <w:spacing w:before="6" w:line="359" w:lineRule="auto"/>
        <w:ind w:left="10" w:right="85" w:firstLine="485"/>
        <w:rPr>
          <w:rFonts w:ascii="宋体" w:hAnsi="宋体" w:eastAsia="宋体" w:cs="宋体"/>
          <w:sz w:val="24"/>
          <w:szCs w:val="24"/>
        </w:rPr>
      </w:pPr>
      <w:r>
        <w:rPr>
          <w:rFonts w:ascii="宋体" w:hAnsi="宋体" w:eastAsia="宋体" w:cs="宋体"/>
          <w:spacing w:val="1"/>
          <w:sz w:val="24"/>
          <w:szCs w:val="24"/>
        </w:rPr>
        <w:t>（1）未包括在合同和图纸中，在施工过程中可能会发生且未包含在承包人风险范</w:t>
      </w:r>
      <w:r>
        <w:rPr>
          <w:rFonts w:ascii="宋体" w:hAnsi="宋体" w:eastAsia="宋体" w:cs="宋体"/>
          <w:spacing w:val="-2"/>
          <w:sz w:val="24"/>
          <w:szCs w:val="24"/>
        </w:rPr>
        <w:t>围之内的一些杂项费用，包括由发包人临时指定承包人进行施工的合同外小工程或劳务支出等；在施工过程中新增的未包含在承包人风险范围内的零星工程；在施工过程中按</w:t>
      </w:r>
      <w:r>
        <w:rPr>
          <w:rFonts w:ascii="宋体" w:hAnsi="宋体" w:eastAsia="宋体" w:cs="宋体"/>
          <w:spacing w:val="-5"/>
          <w:sz w:val="24"/>
          <w:szCs w:val="24"/>
        </w:rPr>
        <w:t>照监理人和发包人指令为加快进度、提高质量所增加的措施费用， 经发包人同意可以在</w:t>
      </w:r>
      <w:r>
        <w:rPr>
          <w:rFonts w:ascii="宋体" w:hAnsi="宋体" w:eastAsia="宋体" w:cs="宋体"/>
          <w:spacing w:val="-8"/>
          <w:sz w:val="24"/>
          <w:szCs w:val="24"/>
        </w:rPr>
        <w:t>暂定金额中计量；</w:t>
      </w:r>
    </w:p>
    <w:p w14:paraId="4EE710AE">
      <w:pPr>
        <w:spacing w:line="360" w:lineRule="auto"/>
        <w:ind w:left="9" w:right="83" w:firstLine="486"/>
        <w:rPr>
          <w:rFonts w:ascii="宋体" w:hAnsi="宋体" w:eastAsia="宋体" w:cs="宋体"/>
          <w:sz w:val="24"/>
          <w:szCs w:val="24"/>
        </w:rPr>
      </w:pPr>
      <w:r>
        <w:rPr>
          <w:rFonts w:ascii="宋体" w:hAnsi="宋体" w:eastAsia="宋体" w:cs="宋体"/>
          <w:spacing w:val="1"/>
          <w:sz w:val="24"/>
          <w:szCs w:val="24"/>
        </w:rPr>
        <w:t>（2）如发包人或监理人提出对承包人工程质量质疑而附加进行的各种检验（如桩</w:t>
      </w:r>
      <w:r>
        <w:rPr>
          <w:rFonts w:ascii="宋体" w:hAnsi="宋体" w:eastAsia="宋体" w:cs="宋体"/>
          <w:spacing w:val="-5"/>
          <w:sz w:val="24"/>
          <w:szCs w:val="24"/>
        </w:rPr>
        <w:t>基础静载、梁板荷载、结构物破坏性试验、大应变和桩基础取芯</w:t>
      </w:r>
      <w:r>
        <w:rPr>
          <w:rFonts w:ascii="宋体" w:hAnsi="宋体" w:eastAsia="宋体" w:cs="宋体"/>
          <w:spacing w:val="-6"/>
          <w:sz w:val="24"/>
          <w:szCs w:val="24"/>
        </w:rPr>
        <w:t>检验等</w:t>
      </w:r>
      <w:r>
        <w:rPr>
          <w:rFonts w:ascii="宋体" w:hAnsi="宋体" w:eastAsia="宋体" w:cs="宋体"/>
          <w:spacing w:val="-13"/>
          <w:sz w:val="24"/>
          <w:szCs w:val="24"/>
        </w:rPr>
        <w:t>）</w:t>
      </w:r>
      <w:r>
        <w:rPr>
          <w:rFonts w:ascii="宋体" w:hAnsi="宋体" w:eastAsia="宋体" w:cs="宋体"/>
          <w:spacing w:val="36"/>
          <w:sz w:val="24"/>
          <w:szCs w:val="24"/>
        </w:rPr>
        <w:t xml:space="preserve"> </w:t>
      </w:r>
      <w:r>
        <w:rPr>
          <w:rFonts w:ascii="宋体" w:hAnsi="宋体" w:eastAsia="宋体" w:cs="宋体"/>
          <w:spacing w:val="-13"/>
          <w:sz w:val="24"/>
          <w:szCs w:val="24"/>
        </w:rPr>
        <w:t>，</w:t>
      </w:r>
      <w:r>
        <w:rPr>
          <w:rFonts w:ascii="宋体" w:hAnsi="宋体" w:eastAsia="宋体" w:cs="宋体"/>
          <w:spacing w:val="-6"/>
          <w:sz w:val="24"/>
          <w:szCs w:val="24"/>
        </w:rPr>
        <w:t>如检测结果</w:t>
      </w:r>
      <w:r>
        <w:rPr>
          <w:rFonts w:ascii="宋体" w:hAnsi="宋体" w:eastAsia="宋体" w:cs="宋体"/>
          <w:spacing w:val="-2"/>
          <w:sz w:val="24"/>
          <w:szCs w:val="24"/>
        </w:rPr>
        <w:t>符合要求，检测费用由发包人承担，费用从本项中进行计量支付；如检测结果不符合要求，相应费用由承包人自行承担，不能在暂定金额</w:t>
      </w:r>
      <w:r>
        <w:rPr>
          <w:rFonts w:ascii="宋体" w:hAnsi="宋体" w:eastAsia="宋体" w:cs="宋体"/>
          <w:spacing w:val="-3"/>
          <w:sz w:val="24"/>
          <w:szCs w:val="24"/>
        </w:rPr>
        <w:t>中计量和支付；</w:t>
      </w:r>
    </w:p>
    <w:p w14:paraId="10036F95">
      <w:pPr>
        <w:spacing w:line="219" w:lineRule="auto"/>
        <w:ind w:left="495"/>
        <w:rPr>
          <w:rFonts w:ascii="宋体" w:hAnsi="宋体" w:eastAsia="宋体" w:cs="宋体"/>
          <w:sz w:val="24"/>
          <w:szCs w:val="24"/>
        </w:rPr>
      </w:pPr>
      <w:r>
        <w:rPr>
          <w:rFonts w:ascii="宋体" w:hAnsi="宋体" w:eastAsia="宋体" w:cs="宋体"/>
          <w:spacing w:val="-6"/>
          <w:sz w:val="24"/>
          <w:szCs w:val="24"/>
        </w:rPr>
        <w:t>（3）零星补充地质勘探；</w:t>
      </w:r>
    </w:p>
    <w:p w14:paraId="53AB9DB7">
      <w:pPr>
        <w:spacing w:before="183" w:line="360" w:lineRule="auto"/>
        <w:ind w:left="8" w:right="106" w:firstLine="487"/>
        <w:rPr>
          <w:rFonts w:ascii="宋体" w:hAnsi="宋体" w:eastAsia="宋体" w:cs="宋体"/>
          <w:sz w:val="24"/>
          <w:szCs w:val="24"/>
        </w:rPr>
      </w:pPr>
      <w:r>
        <w:rPr>
          <w:rFonts w:ascii="宋体" w:hAnsi="宋体" w:eastAsia="宋体" w:cs="宋体"/>
          <w:spacing w:val="-2"/>
          <w:sz w:val="24"/>
          <w:szCs w:val="24"/>
        </w:rPr>
        <w:t>（4） 按合同条款规定，经审批确定由发包人承担费</w:t>
      </w:r>
      <w:r>
        <w:rPr>
          <w:rFonts w:ascii="宋体" w:hAnsi="宋体" w:eastAsia="宋体" w:cs="宋体"/>
          <w:spacing w:val="-3"/>
          <w:sz w:val="24"/>
          <w:szCs w:val="24"/>
        </w:rPr>
        <w:t>用的变更工程所发生的费用以</w:t>
      </w:r>
      <w:r>
        <w:rPr>
          <w:rFonts w:ascii="宋体" w:hAnsi="宋体" w:eastAsia="宋体" w:cs="宋体"/>
          <w:spacing w:val="-2"/>
          <w:sz w:val="24"/>
          <w:szCs w:val="24"/>
        </w:rPr>
        <w:t>及发包人认为需要或适合在此项费用开支的其他费用。</w:t>
      </w:r>
    </w:p>
    <w:p w14:paraId="3BFC67C2">
      <w:pPr>
        <w:spacing w:line="360" w:lineRule="auto"/>
        <w:ind w:left="10" w:right="87" w:firstLine="481"/>
        <w:rPr>
          <w:rFonts w:ascii="宋体" w:hAnsi="宋体" w:eastAsia="宋体" w:cs="宋体"/>
          <w:sz w:val="24"/>
          <w:szCs w:val="24"/>
        </w:rPr>
      </w:pPr>
      <w:r>
        <w:rPr>
          <w:rFonts w:ascii="宋体" w:hAnsi="宋体" w:eastAsia="宋体" w:cs="宋体"/>
          <w:sz w:val="24"/>
          <w:szCs w:val="24"/>
        </w:rPr>
        <w:t>2.8</w:t>
      </w:r>
      <w:r>
        <w:rPr>
          <w:rFonts w:ascii="宋体" w:hAnsi="宋体" w:eastAsia="宋体" w:cs="宋体"/>
          <w:spacing w:val="-49"/>
          <w:sz w:val="24"/>
          <w:szCs w:val="24"/>
        </w:rPr>
        <w:t xml:space="preserve"> </w:t>
      </w:r>
      <w:r>
        <w:rPr>
          <w:rFonts w:ascii="宋体" w:hAnsi="宋体" w:eastAsia="宋体" w:cs="宋体"/>
          <w:sz w:val="24"/>
          <w:szCs w:val="24"/>
        </w:rPr>
        <w:t>专项暂定金额的计量：按发包人给定的金额</w:t>
      </w:r>
      <w:r>
        <w:rPr>
          <w:rFonts w:ascii="宋体" w:hAnsi="宋体" w:eastAsia="宋体" w:cs="宋体"/>
          <w:spacing w:val="-1"/>
          <w:sz w:val="24"/>
          <w:szCs w:val="24"/>
        </w:rPr>
        <w:t>计列，由发包人根据工程实际批准</w:t>
      </w:r>
      <w:r>
        <w:rPr>
          <w:rFonts w:ascii="宋体" w:hAnsi="宋体" w:eastAsia="宋体" w:cs="宋体"/>
          <w:spacing w:val="-11"/>
          <w:sz w:val="24"/>
          <w:szCs w:val="24"/>
        </w:rPr>
        <w:t>使用。</w:t>
      </w:r>
    </w:p>
    <w:p w14:paraId="3F16BB12">
      <w:pPr>
        <w:spacing w:before="1" w:line="219" w:lineRule="auto"/>
        <w:ind w:left="494"/>
        <w:rPr>
          <w:rFonts w:ascii="宋体" w:hAnsi="宋体" w:eastAsia="宋体" w:cs="宋体"/>
          <w:sz w:val="24"/>
          <w:szCs w:val="24"/>
        </w:rPr>
      </w:pPr>
      <w:r>
        <w:rPr>
          <w:rFonts w:ascii="宋体" w:hAnsi="宋体" w:eastAsia="宋体" w:cs="宋体"/>
          <w:spacing w:val="-2"/>
          <w:sz w:val="24"/>
          <w:szCs w:val="24"/>
        </w:rPr>
        <w:t>3. 计日工说明</w:t>
      </w:r>
    </w:p>
    <w:p w14:paraId="55822E3C">
      <w:pPr>
        <w:spacing w:before="182" w:line="219" w:lineRule="auto"/>
        <w:ind w:left="490"/>
        <w:rPr>
          <w:rFonts w:ascii="宋体" w:hAnsi="宋体" w:eastAsia="宋体" w:cs="宋体"/>
          <w:sz w:val="24"/>
          <w:szCs w:val="24"/>
        </w:rPr>
      </w:pPr>
      <w:r>
        <w:rPr>
          <w:rFonts w:ascii="宋体" w:hAnsi="宋体" w:eastAsia="宋体" w:cs="宋体"/>
          <w:spacing w:val="-7"/>
          <w:sz w:val="24"/>
          <w:szCs w:val="24"/>
        </w:rPr>
        <w:t>本款不适用。</w:t>
      </w:r>
    </w:p>
    <w:p w14:paraId="2BC90B71">
      <w:pPr>
        <w:spacing w:before="183" w:line="220" w:lineRule="auto"/>
        <w:ind w:left="488"/>
        <w:rPr>
          <w:rFonts w:ascii="宋体" w:hAnsi="宋体" w:eastAsia="宋体" w:cs="宋体"/>
          <w:sz w:val="24"/>
          <w:szCs w:val="24"/>
        </w:rPr>
      </w:pPr>
      <w:r>
        <w:rPr>
          <w:rFonts w:ascii="宋体" w:hAnsi="宋体" w:eastAsia="宋体" w:cs="宋体"/>
          <w:spacing w:val="-3"/>
          <w:sz w:val="24"/>
          <w:szCs w:val="24"/>
        </w:rPr>
        <w:t>4.</w:t>
      </w:r>
      <w:r>
        <w:rPr>
          <w:rFonts w:ascii="宋体" w:hAnsi="宋体" w:eastAsia="宋体" w:cs="宋体"/>
          <w:spacing w:val="11"/>
          <w:sz w:val="24"/>
          <w:szCs w:val="24"/>
        </w:rPr>
        <w:t xml:space="preserve"> </w:t>
      </w:r>
      <w:r>
        <w:rPr>
          <w:rFonts w:ascii="宋体" w:hAnsi="宋体" w:eastAsia="宋体" w:cs="宋体"/>
          <w:spacing w:val="-3"/>
          <w:sz w:val="24"/>
          <w:szCs w:val="24"/>
        </w:rPr>
        <w:t>其他说明</w:t>
      </w:r>
    </w:p>
    <w:p w14:paraId="4A9CF759">
      <w:pPr>
        <w:spacing w:line="220" w:lineRule="auto"/>
        <w:rPr>
          <w:rFonts w:ascii="宋体" w:hAnsi="宋体" w:eastAsia="宋体" w:cs="宋体"/>
          <w:sz w:val="24"/>
          <w:szCs w:val="24"/>
        </w:rPr>
        <w:sectPr>
          <w:footerReference r:id="rId218" w:type="default"/>
          <w:pgSz w:w="11905" w:h="16840"/>
          <w:pgMar w:top="1182" w:right="1331" w:bottom="1171" w:left="1416" w:header="849" w:footer="937" w:gutter="0"/>
          <w:pgNumType w:fmt="decimal"/>
          <w:cols w:space="720" w:num="1"/>
        </w:sectPr>
      </w:pPr>
    </w:p>
    <w:p w14:paraId="216000FD">
      <w:pPr>
        <w:pStyle w:val="2"/>
        <w:spacing w:line="268" w:lineRule="auto"/>
      </w:pPr>
    </w:p>
    <w:p w14:paraId="40C31DC6">
      <w:pPr>
        <w:spacing w:before="78" w:line="360" w:lineRule="auto"/>
        <w:ind w:left="8" w:firstLine="483"/>
        <w:rPr>
          <w:rFonts w:ascii="宋体" w:hAnsi="宋体" w:eastAsia="宋体" w:cs="宋体"/>
          <w:sz w:val="24"/>
          <w:szCs w:val="24"/>
        </w:rPr>
      </w:pPr>
      <w:r>
        <w:rPr>
          <w:rFonts w:ascii="宋体" w:hAnsi="宋体" w:eastAsia="宋体" w:cs="宋体"/>
          <w:spacing w:val="-2"/>
          <w:sz w:val="24"/>
          <w:szCs w:val="24"/>
        </w:rPr>
        <w:t>工程量清单中各个细目的报价与计量支付原则，详见招标文件第七章技术规范的工</w:t>
      </w:r>
      <w:r>
        <w:rPr>
          <w:rFonts w:ascii="宋体" w:hAnsi="宋体" w:eastAsia="宋体" w:cs="宋体"/>
          <w:spacing w:val="-4"/>
          <w:sz w:val="24"/>
          <w:szCs w:val="24"/>
        </w:rPr>
        <w:t>程量清单计量与支付规则。</w:t>
      </w:r>
    </w:p>
    <w:p w14:paraId="3CD40842">
      <w:pPr>
        <w:spacing w:line="220" w:lineRule="auto"/>
        <w:ind w:left="494"/>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15"/>
          <w:sz w:val="24"/>
          <w:szCs w:val="24"/>
        </w:rPr>
        <w:t xml:space="preserve"> </w:t>
      </w:r>
      <w:r>
        <w:rPr>
          <w:rFonts w:ascii="宋体" w:hAnsi="宋体" w:eastAsia="宋体" w:cs="宋体"/>
          <w:spacing w:val="-4"/>
          <w:sz w:val="24"/>
          <w:szCs w:val="24"/>
        </w:rPr>
        <w:t>工程量清单</w:t>
      </w:r>
    </w:p>
    <w:p w14:paraId="58C6FCD5">
      <w:pPr>
        <w:spacing w:before="182" w:line="220" w:lineRule="auto"/>
        <w:ind w:left="494"/>
        <w:rPr>
          <w:rFonts w:ascii="宋体" w:hAnsi="宋体" w:eastAsia="宋体" w:cs="宋体"/>
          <w:sz w:val="24"/>
          <w:szCs w:val="24"/>
        </w:rPr>
      </w:pPr>
      <w:r>
        <w:rPr>
          <w:rFonts w:ascii="宋体" w:hAnsi="宋体" w:eastAsia="宋体" w:cs="宋体"/>
          <w:spacing w:val="-2"/>
          <w:sz w:val="24"/>
          <w:szCs w:val="24"/>
        </w:rPr>
        <w:t>5.1 工程量清单表</w:t>
      </w:r>
    </w:p>
    <w:p w14:paraId="00AE51C9">
      <w:pPr>
        <w:spacing w:before="180" w:line="361" w:lineRule="auto"/>
        <w:ind w:left="8" w:firstLine="483"/>
        <w:rPr>
          <w:rFonts w:ascii="宋体" w:hAnsi="宋体" w:eastAsia="宋体" w:cs="宋体"/>
          <w:sz w:val="24"/>
          <w:szCs w:val="24"/>
        </w:rPr>
      </w:pPr>
      <w:r>
        <w:rPr>
          <w:rFonts w:ascii="宋体" w:hAnsi="宋体" w:eastAsia="宋体" w:cs="宋体"/>
          <w:spacing w:val="-2"/>
          <w:sz w:val="24"/>
          <w:szCs w:val="24"/>
        </w:rPr>
        <w:t>工程量清单具体应执行《广东省公路工程造价标准化管理指南》、广东省《</w:t>
      </w:r>
      <w:r>
        <w:rPr>
          <w:rFonts w:ascii="宋体" w:hAnsi="宋体" w:eastAsia="宋体" w:cs="宋体"/>
          <w:spacing w:val="-3"/>
          <w:sz w:val="24"/>
          <w:szCs w:val="24"/>
        </w:rPr>
        <w:t>公路工</w:t>
      </w:r>
      <w:r>
        <w:rPr>
          <w:rFonts w:ascii="宋体" w:hAnsi="宋体" w:eastAsia="宋体" w:cs="宋体"/>
          <w:spacing w:val="-2"/>
          <w:sz w:val="24"/>
          <w:szCs w:val="24"/>
        </w:rPr>
        <w:t>程造价管理指南》及现行的《广东省执行交通运输部&lt;公路工程标准施工招标文件范本&gt;</w:t>
      </w:r>
      <w:r>
        <w:rPr>
          <w:rFonts w:ascii="宋体" w:hAnsi="宋体" w:eastAsia="宋体" w:cs="宋体"/>
          <w:spacing w:val="-6"/>
          <w:sz w:val="24"/>
          <w:szCs w:val="24"/>
        </w:rPr>
        <w:t>的补充规定》《广东省公路工程施工招标清单预算管理规程》。如以上文件有修</w:t>
      </w:r>
      <w:r>
        <w:rPr>
          <w:rFonts w:ascii="宋体" w:hAnsi="宋体" w:eastAsia="宋体" w:cs="宋体"/>
          <w:spacing w:val="-7"/>
          <w:sz w:val="24"/>
          <w:szCs w:val="24"/>
        </w:rPr>
        <w:t>订，</w:t>
      </w:r>
      <w:r>
        <w:rPr>
          <w:rFonts w:ascii="宋体" w:hAnsi="宋体" w:eastAsia="宋体" w:cs="宋体"/>
          <w:spacing w:val="54"/>
          <w:sz w:val="24"/>
          <w:szCs w:val="24"/>
        </w:rPr>
        <w:t xml:space="preserve"> </w:t>
      </w:r>
      <w:r>
        <w:rPr>
          <w:rFonts w:ascii="宋体" w:hAnsi="宋体" w:eastAsia="宋体" w:cs="宋体"/>
          <w:spacing w:val="-7"/>
          <w:sz w:val="24"/>
          <w:szCs w:val="24"/>
        </w:rPr>
        <w:t>本</w:t>
      </w:r>
      <w:r>
        <w:rPr>
          <w:rFonts w:ascii="宋体" w:hAnsi="宋体" w:eastAsia="宋体" w:cs="宋体"/>
          <w:spacing w:val="-3"/>
          <w:sz w:val="24"/>
          <w:szCs w:val="24"/>
        </w:rPr>
        <w:t>范本则依照最新修订版本执行。</w:t>
      </w:r>
    </w:p>
    <w:p w14:paraId="0A5DC889">
      <w:pPr>
        <w:pStyle w:val="2"/>
        <w:spacing w:line="384" w:lineRule="auto"/>
      </w:pPr>
    </w:p>
    <w:p w14:paraId="0B059B2B">
      <w:pPr>
        <w:spacing w:before="78" w:line="361" w:lineRule="auto"/>
        <w:ind w:left="9"/>
        <w:jc w:val="both"/>
        <w:rPr>
          <w:rFonts w:ascii="宋体" w:hAnsi="宋体" w:eastAsia="宋体" w:cs="宋体"/>
          <w:sz w:val="24"/>
          <w:szCs w:val="24"/>
        </w:rPr>
      </w:pPr>
      <w:r>
        <w:rPr>
          <w:rFonts w:ascii="宋体" w:hAnsi="宋体" w:eastAsia="宋体" w:cs="宋体"/>
          <w:spacing w:val="-2"/>
          <w:sz w:val="24"/>
          <w:szCs w:val="24"/>
        </w:rPr>
        <w:t>注：投标人应按照第五章“工程量清单”的要求逐项编制工程量清单文件。投标时提交工程量清单，投标人中标后，发包人可要求中标人提交项目清单、分项清单等完整工程</w:t>
      </w:r>
      <w:r>
        <w:rPr>
          <w:rFonts w:ascii="宋体" w:hAnsi="宋体" w:eastAsia="宋体" w:cs="宋体"/>
          <w:spacing w:val="-3"/>
          <w:sz w:val="24"/>
          <w:szCs w:val="24"/>
        </w:rPr>
        <w:t>量清单文件，中标人不得拒绝。</w:t>
      </w:r>
    </w:p>
    <w:sectPr>
      <w:headerReference r:id="rId219" w:type="default"/>
      <w:footerReference r:id="rId220" w:type="default"/>
      <w:pgSz w:w="11905" w:h="16840"/>
      <w:pgMar w:top="1182" w:right="1415" w:bottom="1171" w:left="1416" w:header="849" w:footer="93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 w:name="Segoe UI Emoji">
    <w:panose1 w:val="020B0502040204020203"/>
    <w:charset w:val="00"/>
    <w:family w:val="auto"/>
    <w:pitch w:val="default"/>
    <w:sig w:usb0="00000001" w:usb1="02000000" w:usb2="00000000" w:usb3="00000000" w:csb0="00000001" w:csb1="00000000"/>
  </w:font>
  <w:font w:name="Tahoma">
    <w:panose1 w:val="020B0604030504040204"/>
    <w:charset w:val="00"/>
    <w:family w:val="auto"/>
    <w:pitch w:val="default"/>
    <w:sig w:usb0="E1002EFF" w:usb1="C000605B" w:usb2="00000029" w:usb3="00000000" w:csb0="200101FF" w:csb1="20280000"/>
  </w:font>
  <w:font w:name="KSOF6B657194">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E4F5B">
    <w:pPr>
      <w:pStyle w:val="3"/>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87EC02">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E87EC02">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02DB7">
    <w:pPr>
      <w:pStyle w:val="3"/>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414E9">
                          <w:pPr>
                            <w:pStyle w:val="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690414E9">
                    <w:pPr>
                      <w:pStyle w:val="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FCC2D">
    <w:pPr>
      <w:pStyle w:val="3"/>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D2B75">
                          <w:pPr>
                            <w:pStyle w:val="3"/>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22CD2B75">
                    <w:pPr>
                      <w:pStyle w:val="3"/>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F09BF">
    <w:pPr>
      <w:pStyle w:val="3"/>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BC3D2">
                          <w:pPr>
                            <w:pStyle w:val="3"/>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545BC3D2">
                    <w:pPr>
                      <w:pStyle w:val="3"/>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18862">
    <w:pPr>
      <w:pStyle w:val="3"/>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58AA3">
                          <w:pPr>
                            <w:pStyle w:val="3"/>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74A58AA3">
                    <w:pPr>
                      <w:pStyle w:val="3"/>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8B9D8">
    <w:pPr>
      <w:pStyle w:val="3"/>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FB3F04">
                          <w:pPr>
                            <w:pStyle w:val="3"/>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3AFB3F04">
                    <w:pPr>
                      <w:pStyle w:val="3"/>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5EF7A">
    <w:pPr>
      <w:pStyle w:val="3"/>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B85876">
                          <w:pPr>
                            <w:pStyle w:val="3"/>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4BB85876">
                    <w:pPr>
                      <w:pStyle w:val="3"/>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6AF73">
    <w:pPr>
      <w:pStyle w:val="3"/>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41A01">
                          <w:pPr>
                            <w:pStyle w:val="3"/>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3B941A01">
                    <w:pPr>
                      <w:pStyle w:val="3"/>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59AC9">
    <w:pPr>
      <w:pStyle w:val="3"/>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96AFF">
                          <w:pPr>
                            <w:pStyle w:val="3"/>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19596AFF">
                    <w:pPr>
                      <w:pStyle w:val="3"/>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A58F9">
    <w:pPr>
      <w:pStyle w:val="3"/>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123A1">
                          <w:pPr>
                            <w:pStyle w:val="3"/>
                          </w:pPr>
                          <w:r>
                            <w:fldChar w:fldCharType="begin"/>
                          </w:r>
                          <w:r>
                            <w:instrText xml:space="preserve"> PAGE  \* MERGEFORMAT </w:instrText>
                          </w:r>
                          <w:r>
                            <w:fldChar w:fldCharType="separate"/>
                          </w:r>
                          <w:r>
                            <w:t>244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59C123A1">
                    <w:pPr>
                      <w:pStyle w:val="3"/>
                    </w:pPr>
                    <w:r>
                      <w:fldChar w:fldCharType="begin"/>
                    </w:r>
                    <w:r>
                      <w:instrText xml:space="preserve"> PAGE  \* MERGEFORMAT </w:instrText>
                    </w:r>
                    <w:r>
                      <w:fldChar w:fldCharType="separate"/>
                    </w:r>
                    <w:r>
                      <w:t>244</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A48C8">
    <w:pPr>
      <w:pStyle w:val="3"/>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6AF">
                          <w:pPr>
                            <w:pStyle w:val="3"/>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5FCDE6AF">
                    <w:pPr>
                      <w:pStyle w:val="3"/>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9F182">
    <w:pPr>
      <w:pStyle w:val="3"/>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8053A">
                          <w:pPr>
                            <w:pStyle w:val="3"/>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4518053A">
                    <w:pPr>
                      <w:pStyle w:val="3"/>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A960">
    <w:pPr>
      <w:pStyle w:val="3"/>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FE387">
                          <w:pPr>
                            <w:pStyle w:val="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64BFE387">
                    <w:pPr>
                      <w:pStyle w:val="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6F42C">
    <w:pPr>
      <w:pStyle w:val="3"/>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70BF77">
                          <w:pPr>
                            <w:pStyle w:val="3"/>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4470BF77">
                    <w:pPr>
                      <w:pStyle w:val="3"/>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81527">
    <w:pPr>
      <w:pStyle w:val="3"/>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4BD02">
                          <w:pPr>
                            <w:pStyle w:val="3"/>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14:paraId="6D64BD02">
                    <w:pPr>
                      <w:pStyle w:val="3"/>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F055">
    <w:pPr>
      <w:pStyle w:val="3"/>
      <w:rPr>
        <w:rFonts w:hint="eastAsia"/>
        <w:lang w:eastAsia="zh-CN"/>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CED88">
                          <w:pPr>
                            <w:pStyle w:val="3"/>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14:paraId="697CED88">
                    <w:pPr>
                      <w:pStyle w:val="3"/>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44212">
    <w:pPr>
      <w:pStyle w:val="3"/>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BEB007">
                          <w:pPr>
                            <w:pStyle w:val="3"/>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14:paraId="43BEB007">
                    <w:pPr>
                      <w:pStyle w:val="3"/>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0674C">
    <w:pPr>
      <w:pStyle w:val="3"/>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C78D2">
                          <w:pPr>
                            <w:pStyle w:val="3"/>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14:paraId="364C78D2">
                    <w:pPr>
                      <w:pStyle w:val="3"/>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9A7D">
    <w:pPr>
      <w:pStyle w:val="3"/>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0DD07">
                          <w:pPr>
                            <w:pStyle w:val="3"/>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14:paraId="2230DD07">
                    <w:pPr>
                      <w:pStyle w:val="3"/>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65F48">
    <w:pPr>
      <w:pStyle w:val="3"/>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444F5">
                          <w:pPr>
                            <w:pStyle w:val="3"/>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14:paraId="3F9444F5">
                    <w:pPr>
                      <w:pStyle w:val="3"/>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597B1">
    <w:pPr>
      <w:pStyle w:val="3"/>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CD8EE">
                          <w:pPr>
                            <w:pStyle w:val="3"/>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14:paraId="7F5CD8EE">
                    <w:pPr>
                      <w:pStyle w:val="3"/>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88442">
    <w:pPr>
      <w:pStyle w:val="3"/>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440452">
                          <w:pPr>
                            <w:pStyle w:val="3"/>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14:paraId="6F440452">
                    <w:pPr>
                      <w:pStyle w:val="3"/>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F6C62">
    <w:pPr>
      <w:pStyle w:val="3"/>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0BFD2">
                          <w:pPr>
                            <w:pStyle w:val="3"/>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14:paraId="6A40BFD2">
                    <w:pPr>
                      <w:pStyle w:val="3"/>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CC289">
    <w:pPr>
      <w:pStyle w:val="3"/>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92369">
                          <w:pPr>
                            <w:pStyle w:val="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CE92369">
                    <w:pPr>
                      <w:pStyle w:val="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86AE2">
    <w:pPr>
      <w:pStyle w:val="3"/>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94E76">
                          <w:pPr>
                            <w:pStyle w:val="3"/>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14:paraId="7AC94E76">
                    <w:pPr>
                      <w:pStyle w:val="3"/>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65930">
    <w:pPr>
      <w:pStyle w:val="3"/>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875C3">
                          <w:pPr>
                            <w:pStyle w:val="3"/>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14:paraId="032875C3">
                    <w:pPr>
                      <w:pStyle w:val="3"/>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50DE2">
    <w:pPr>
      <w:pStyle w:val="3"/>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A7D8D9">
                          <w:pPr>
                            <w:pStyle w:val="3"/>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14:paraId="77A7D8D9">
                    <w:pPr>
                      <w:pStyle w:val="3"/>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E815D">
    <w:pPr>
      <w:pStyle w:val="3"/>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1D851">
                          <w:pPr>
                            <w:pStyle w:val="3"/>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14:paraId="39C1D851">
                    <w:pPr>
                      <w:pStyle w:val="3"/>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5AB9F">
    <w:pPr>
      <w:pStyle w:val="3"/>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8A5EC">
                          <w:pPr>
                            <w:pStyle w:val="3"/>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14:paraId="4648A5EC">
                    <w:pPr>
                      <w:pStyle w:val="3"/>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1A164">
    <w:pPr>
      <w:pStyle w:val="3"/>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E14DC">
                          <w:pPr>
                            <w:pStyle w:val="3"/>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14:paraId="2A0E14DC">
                    <w:pPr>
                      <w:pStyle w:val="3"/>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ECB7A">
    <w:pPr>
      <w:pStyle w:val="3"/>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CBDD8">
                          <w:pPr>
                            <w:pStyle w:val="3"/>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56ACBDD8">
                    <w:pPr>
                      <w:pStyle w:val="3"/>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24EC3">
    <w:pPr>
      <w:pStyle w:val="3"/>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44E8D">
                          <w:pPr>
                            <w:pStyle w:val="3"/>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14:paraId="59B44E8D">
                    <w:pPr>
                      <w:pStyle w:val="3"/>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05310">
    <w:pPr>
      <w:pStyle w:val="3"/>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397586">
                          <w:pPr>
                            <w:pStyle w:val="3"/>
                          </w:pPr>
                          <w:r>
                            <w:fldChar w:fldCharType="begin"/>
                          </w:r>
                          <w:r>
                            <w:instrText xml:space="preserve"> PAGE  \* MERGEFORMAT </w:instrText>
                          </w:r>
                          <w:r>
                            <w:fldChar w:fldCharType="separate"/>
                          </w:r>
                          <w:r>
                            <w:t>265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14:paraId="0B397586">
                    <w:pPr>
                      <w:pStyle w:val="3"/>
                    </w:pPr>
                    <w:r>
                      <w:fldChar w:fldCharType="begin"/>
                    </w:r>
                    <w:r>
                      <w:instrText xml:space="preserve"> PAGE  \* MERGEFORMAT </w:instrText>
                    </w:r>
                    <w:r>
                      <w:fldChar w:fldCharType="separate"/>
                    </w:r>
                    <w:r>
                      <w:t>265</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752A7">
    <w:pPr>
      <w:pStyle w:val="3"/>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524C1">
                          <w:pPr>
                            <w:pStyle w:val="3"/>
                          </w:pPr>
                          <w:r>
                            <w:fldChar w:fldCharType="begin"/>
                          </w:r>
                          <w:r>
                            <w:instrText xml:space="preserve"> PAGE  \* MERGEFORMAT </w:instrText>
                          </w:r>
                          <w:r>
                            <w:fldChar w:fldCharType="separate"/>
                          </w:r>
                          <w:r>
                            <w:t>266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14:paraId="58C524C1">
                    <w:pPr>
                      <w:pStyle w:val="3"/>
                    </w:pPr>
                    <w:r>
                      <w:fldChar w:fldCharType="begin"/>
                    </w:r>
                    <w:r>
                      <w:instrText xml:space="preserve"> PAGE  \* MERGEFORMAT </w:instrText>
                    </w:r>
                    <w:r>
                      <w:fldChar w:fldCharType="separate"/>
                    </w:r>
                    <w:r>
                      <w:t>266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23BBB">
    <w:pPr>
      <w:spacing w:line="229" w:lineRule="auto"/>
      <w:ind w:left="4456"/>
      <w:rPr>
        <w:rFonts w:ascii="宋体" w:hAnsi="宋体" w:eastAsia="宋体" w:cs="宋体"/>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6F2AB">
                          <w:pPr>
                            <w:pStyle w:val="3"/>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6E56F2AB">
                    <w:pPr>
                      <w:pStyle w:val="3"/>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0A433">
    <w:pPr>
      <w:pStyle w:val="3"/>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D183E4">
                          <w:pPr>
                            <w:pStyle w:val="3"/>
                          </w:pPr>
                          <w:r>
                            <w:fldChar w:fldCharType="begin"/>
                          </w:r>
                          <w:r>
                            <w:instrText xml:space="preserve"> PAGE  \* MERGEFORMAT </w:instrText>
                          </w:r>
                          <w:r>
                            <w:fldChar w:fldCharType="separate"/>
                          </w:r>
                          <w:r>
                            <w:t>267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14:paraId="00D183E4">
                    <w:pPr>
                      <w:pStyle w:val="3"/>
                    </w:pPr>
                    <w:r>
                      <w:fldChar w:fldCharType="begin"/>
                    </w:r>
                    <w:r>
                      <w:instrText xml:space="preserve"> PAGE  \* MERGEFORMAT </w:instrText>
                    </w:r>
                    <w:r>
                      <w:fldChar w:fldCharType="separate"/>
                    </w:r>
                    <w:r>
                      <w:t>267</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C3C49">
    <w:pPr>
      <w:pStyle w:val="3"/>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93291">
                          <w:pPr>
                            <w:pStyle w:val="3"/>
                          </w:pPr>
                          <w:r>
                            <w:fldChar w:fldCharType="begin"/>
                          </w:r>
                          <w:r>
                            <w:instrText xml:space="preserve"> PAGE  \* MERGEFORMAT </w:instrText>
                          </w:r>
                          <w:r>
                            <w:fldChar w:fldCharType="separate"/>
                          </w:r>
                          <w:r>
                            <w:t>268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14:paraId="0D493291">
                    <w:pPr>
                      <w:pStyle w:val="3"/>
                    </w:pPr>
                    <w:r>
                      <w:fldChar w:fldCharType="begin"/>
                    </w:r>
                    <w:r>
                      <w:instrText xml:space="preserve"> PAGE  \* MERGEFORMAT </w:instrText>
                    </w:r>
                    <w:r>
                      <w:fldChar w:fldCharType="separate"/>
                    </w:r>
                    <w:r>
                      <w:t>268</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C0F01">
    <w:pPr>
      <w:pStyle w:val="3"/>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D2864">
                          <w:pPr>
                            <w:pStyle w:val="3"/>
                          </w:pPr>
                          <w:r>
                            <w:fldChar w:fldCharType="begin"/>
                          </w:r>
                          <w:r>
                            <w:instrText xml:space="preserve"> PAGE  \* MERGEFORMAT </w:instrText>
                          </w:r>
                          <w:r>
                            <w:fldChar w:fldCharType="separate"/>
                          </w:r>
                          <w:r>
                            <w:t>269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14:paraId="315D2864">
                    <w:pPr>
                      <w:pStyle w:val="3"/>
                    </w:pPr>
                    <w:r>
                      <w:fldChar w:fldCharType="begin"/>
                    </w:r>
                    <w:r>
                      <w:instrText xml:space="preserve"> PAGE  \* MERGEFORMAT </w:instrText>
                    </w:r>
                    <w:r>
                      <w:fldChar w:fldCharType="separate"/>
                    </w:r>
                    <w:r>
                      <w:t>269</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D785A">
    <w:pPr>
      <w:pStyle w:val="3"/>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A7CA3">
                          <w:pPr>
                            <w:pStyle w:val="3"/>
                          </w:pPr>
                          <w:r>
                            <w:fldChar w:fldCharType="begin"/>
                          </w:r>
                          <w:r>
                            <w:instrText xml:space="preserve"> PAGE  \* MERGEFORMAT </w:instrText>
                          </w:r>
                          <w:r>
                            <w:fldChar w:fldCharType="separate"/>
                          </w:r>
                          <w:r>
                            <w:t>270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14:paraId="210A7CA3">
                    <w:pPr>
                      <w:pStyle w:val="3"/>
                    </w:pPr>
                    <w:r>
                      <w:fldChar w:fldCharType="begin"/>
                    </w:r>
                    <w:r>
                      <w:instrText xml:space="preserve"> PAGE  \* MERGEFORMAT </w:instrText>
                    </w:r>
                    <w:r>
                      <w:fldChar w:fldCharType="separate"/>
                    </w:r>
                    <w:r>
                      <w:t>270</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F59E">
    <w:pPr>
      <w:pStyle w:val="3"/>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1B54B">
                          <w:pPr>
                            <w:pStyle w:val="3"/>
                          </w:pPr>
                          <w:r>
                            <w:fldChar w:fldCharType="begin"/>
                          </w:r>
                          <w:r>
                            <w:instrText xml:space="preserve"> PAGE  \* MERGEFORMAT </w:instrText>
                          </w:r>
                          <w:r>
                            <w:fldChar w:fldCharType="separate"/>
                          </w:r>
                          <w:r>
                            <w:t>271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3681B54B">
                    <w:pPr>
                      <w:pStyle w:val="3"/>
                    </w:pPr>
                    <w:r>
                      <w:fldChar w:fldCharType="begin"/>
                    </w:r>
                    <w:r>
                      <w:instrText xml:space="preserve"> PAGE  \* MERGEFORMAT </w:instrText>
                    </w:r>
                    <w:r>
                      <w:fldChar w:fldCharType="separate"/>
                    </w:r>
                    <w:r>
                      <w:t>271</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47001">
    <w:pPr>
      <w:pStyle w:val="3"/>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9BFB0">
                          <w:pPr>
                            <w:pStyle w:val="3"/>
                          </w:pPr>
                          <w:r>
                            <w:fldChar w:fldCharType="begin"/>
                          </w:r>
                          <w:r>
                            <w:instrText xml:space="preserve"> PAGE  \* MERGEFORMAT </w:instrText>
                          </w:r>
                          <w:r>
                            <w:fldChar w:fldCharType="separate"/>
                          </w:r>
                          <w:r>
                            <w:t>272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14:paraId="7089BFB0">
                    <w:pPr>
                      <w:pStyle w:val="3"/>
                    </w:pPr>
                    <w:r>
                      <w:fldChar w:fldCharType="begin"/>
                    </w:r>
                    <w:r>
                      <w:instrText xml:space="preserve"> PAGE  \* MERGEFORMAT </w:instrText>
                    </w:r>
                    <w:r>
                      <w:fldChar w:fldCharType="separate"/>
                    </w:r>
                    <w:r>
                      <w:t>272</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62B1">
    <w:pPr>
      <w:pStyle w:val="3"/>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84137">
                          <w:pPr>
                            <w:pStyle w:val="3"/>
                          </w:pPr>
                          <w:r>
                            <w:fldChar w:fldCharType="begin"/>
                          </w:r>
                          <w:r>
                            <w:instrText xml:space="preserve"> PAGE  \* MERGEFORMAT </w:instrText>
                          </w:r>
                          <w:r>
                            <w:fldChar w:fldCharType="separate"/>
                          </w:r>
                          <w:r>
                            <w:t>274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38A84137">
                    <w:pPr>
                      <w:pStyle w:val="3"/>
                    </w:pPr>
                    <w:r>
                      <w:fldChar w:fldCharType="begin"/>
                    </w:r>
                    <w:r>
                      <w:instrText xml:space="preserve"> PAGE  \* MERGEFORMAT </w:instrText>
                    </w:r>
                    <w:r>
                      <w:fldChar w:fldCharType="separate"/>
                    </w:r>
                    <w:r>
                      <w:t>274</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1811E">
    <w:pPr>
      <w:pStyle w:val="3"/>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5CC1F">
                          <w:pPr>
                            <w:pStyle w:val="3"/>
                          </w:pPr>
                          <w:r>
                            <w:fldChar w:fldCharType="begin"/>
                          </w:r>
                          <w:r>
                            <w:instrText xml:space="preserve"> PAGE  \* MERGEFORMAT </w:instrText>
                          </w:r>
                          <w:r>
                            <w:fldChar w:fldCharType="separate"/>
                          </w:r>
                          <w:r>
                            <w:t>275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14:paraId="6775CC1F">
                    <w:pPr>
                      <w:pStyle w:val="3"/>
                    </w:pPr>
                    <w:r>
                      <w:fldChar w:fldCharType="begin"/>
                    </w:r>
                    <w:r>
                      <w:instrText xml:space="preserve"> PAGE  \* MERGEFORMAT </w:instrText>
                    </w:r>
                    <w:r>
                      <w:fldChar w:fldCharType="separate"/>
                    </w:r>
                    <w:r>
                      <w:t>275</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9573B">
    <w:pPr>
      <w:pStyle w:val="3"/>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BBB42">
                          <w:pPr>
                            <w:pStyle w:val="3"/>
                          </w:pPr>
                          <w:r>
                            <w:fldChar w:fldCharType="begin"/>
                          </w:r>
                          <w:r>
                            <w:instrText xml:space="preserve"> PAGE  \* MERGEFORMAT </w:instrText>
                          </w:r>
                          <w:r>
                            <w:fldChar w:fldCharType="separate"/>
                          </w:r>
                          <w:r>
                            <w:t>276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14:paraId="27CBBB42">
                    <w:pPr>
                      <w:pStyle w:val="3"/>
                    </w:pPr>
                    <w:r>
                      <w:fldChar w:fldCharType="begin"/>
                    </w:r>
                    <w:r>
                      <w:instrText xml:space="preserve"> PAGE  \* MERGEFORMAT </w:instrText>
                    </w:r>
                    <w:r>
                      <w:fldChar w:fldCharType="separate"/>
                    </w:r>
                    <w:r>
                      <w:t>276</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614C7">
    <w:pPr>
      <w:pStyle w:val="3"/>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A1D0E">
                          <w:pPr>
                            <w:pStyle w:val="3"/>
                          </w:pPr>
                          <w:r>
                            <w:fldChar w:fldCharType="begin"/>
                          </w:r>
                          <w:r>
                            <w:instrText xml:space="preserve"> PAGE  \* MERGEFORMAT </w:instrText>
                          </w:r>
                          <w:r>
                            <w:fldChar w:fldCharType="separate"/>
                          </w:r>
                          <w:r>
                            <w:t>277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14:paraId="579A1D0E">
                    <w:pPr>
                      <w:pStyle w:val="3"/>
                    </w:pPr>
                    <w:r>
                      <w:fldChar w:fldCharType="begin"/>
                    </w:r>
                    <w:r>
                      <w:instrText xml:space="preserve"> PAGE  \* MERGEFORMAT </w:instrText>
                    </w:r>
                    <w:r>
                      <w:fldChar w:fldCharType="separate"/>
                    </w:r>
                    <w:r>
                      <w:t>277</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A03E1">
    <w:pPr>
      <w:spacing w:line="229" w:lineRule="auto"/>
      <w:ind w:left="4456"/>
      <w:rPr>
        <w:rFonts w:ascii="宋体" w:hAnsi="宋体" w:eastAsia="宋体" w:cs="宋体"/>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6861A">
                          <w:pPr>
                            <w:pStyle w:val="3"/>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08C6861A">
                    <w:pPr>
                      <w:pStyle w:val="3"/>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8824D">
    <w:pPr>
      <w:pStyle w:val="3"/>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9F092">
                          <w:pPr>
                            <w:pStyle w:val="3"/>
                          </w:pPr>
                          <w:r>
                            <w:fldChar w:fldCharType="begin"/>
                          </w:r>
                          <w:r>
                            <w:instrText xml:space="preserve"> PAGE  \* MERGEFORMAT </w:instrText>
                          </w:r>
                          <w:r>
                            <w:fldChar w:fldCharType="separate"/>
                          </w:r>
                          <w:r>
                            <w:t>278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14:paraId="09E9F092">
                    <w:pPr>
                      <w:pStyle w:val="3"/>
                    </w:pPr>
                    <w:r>
                      <w:fldChar w:fldCharType="begin"/>
                    </w:r>
                    <w:r>
                      <w:instrText xml:space="preserve"> PAGE  \* MERGEFORMAT </w:instrText>
                    </w:r>
                    <w:r>
                      <w:fldChar w:fldCharType="separate"/>
                    </w:r>
                    <w:r>
                      <w:t>278</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BD16E">
    <w:pPr>
      <w:pStyle w:val="3"/>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E5B7A">
                          <w:pPr>
                            <w:pStyle w:val="3"/>
                          </w:pPr>
                          <w:r>
                            <w:fldChar w:fldCharType="begin"/>
                          </w:r>
                          <w:r>
                            <w:instrText xml:space="preserve"> PAGE  \* MERGEFORMAT </w:instrText>
                          </w:r>
                          <w:r>
                            <w:fldChar w:fldCharType="separate"/>
                          </w:r>
                          <w:r>
                            <w:t>279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14:paraId="3DBE5B7A">
                    <w:pPr>
                      <w:pStyle w:val="3"/>
                    </w:pPr>
                    <w:r>
                      <w:fldChar w:fldCharType="begin"/>
                    </w:r>
                    <w:r>
                      <w:instrText xml:space="preserve"> PAGE  \* MERGEFORMAT </w:instrText>
                    </w:r>
                    <w:r>
                      <w:fldChar w:fldCharType="separate"/>
                    </w:r>
                    <w:r>
                      <w:t>279</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12251">
    <w:pPr>
      <w:pStyle w:val="3"/>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96EBE6">
                          <w:pPr>
                            <w:pStyle w:val="3"/>
                          </w:pPr>
                          <w:r>
                            <w:fldChar w:fldCharType="begin"/>
                          </w:r>
                          <w:r>
                            <w:instrText xml:space="preserve"> PAGE  \* MERGEFORMAT </w:instrText>
                          </w:r>
                          <w:r>
                            <w:fldChar w:fldCharType="separate"/>
                          </w:r>
                          <w:r>
                            <w:t>281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14:paraId="4496EBE6">
                    <w:pPr>
                      <w:pStyle w:val="3"/>
                    </w:pPr>
                    <w:r>
                      <w:fldChar w:fldCharType="begin"/>
                    </w:r>
                    <w:r>
                      <w:instrText xml:space="preserve"> PAGE  \* MERGEFORMAT </w:instrText>
                    </w:r>
                    <w:r>
                      <w:fldChar w:fldCharType="separate"/>
                    </w:r>
                    <w:r>
                      <w:t>281</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53178">
    <w:pPr>
      <w:pStyle w:val="3"/>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943E2">
                          <w:pPr>
                            <w:pStyle w:val="3"/>
                          </w:pPr>
                          <w:r>
                            <w:fldChar w:fldCharType="begin"/>
                          </w:r>
                          <w:r>
                            <w:instrText xml:space="preserve"> PAGE  \* MERGEFORMAT </w:instrText>
                          </w:r>
                          <w:r>
                            <w:fldChar w:fldCharType="separate"/>
                          </w:r>
                          <w:r>
                            <w:t>282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14:paraId="56F943E2">
                    <w:pPr>
                      <w:pStyle w:val="3"/>
                    </w:pPr>
                    <w:r>
                      <w:fldChar w:fldCharType="begin"/>
                    </w:r>
                    <w:r>
                      <w:instrText xml:space="preserve"> PAGE  \* MERGEFORMAT </w:instrText>
                    </w:r>
                    <w:r>
                      <w:fldChar w:fldCharType="separate"/>
                    </w:r>
                    <w:r>
                      <w:t>282</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00584">
    <w:pPr>
      <w:pStyle w:val="3"/>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9E95E">
                          <w:pPr>
                            <w:pStyle w:val="3"/>
                          </w:pPr>
                          <w:r>
                            <w:fldChar w:fldCharType="begin"/>
                          </w:r>
                          <w:r>
                            <w:instrText xml:space="preserve"> PAGE  \* MERGEFORMAT </w:instrText>
                          </w:r>
                          <w:r>
                            <w:fldChar w:fldCharType="separate"/>
                          </w:r>
                          <w:r>
                            <w:t>283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1FB9E95E">
                    <w:pPr>
                      <w:pStyle w:val="3"/>
                    </w:pPr>
                    <w:r>
                      <w:fldChar w:fldCharType="begin"/>
                    </w:r>
                    <w:r>
                      <w:instrText xml:space="preserve"> PAGE  \* MERGEFORMAT </w:instrText>
                    </w:r>
                    <w:r>
                      <w:fldChar w:fldCharType="separate"/>
                    </w:r>
                    <w:r>
                      <w:t>283</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5DBF2">
    <w:pPr>
      <w:pStyle w:val="3"/>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53F90">
                          <w:pPr>
                            <w:pStyle w:val="3"/>
                          </w:pPr>
                          <w:r>
                            <w:fldChar w:fldCharType="begin"/>
                          </w:r>
                          <w:r>
                            <w:instrText xml:space="preserve"> PAGE  \* MERGEFORMAT </w:instrText>
                          </w:r>
                          <w:r>
                            <w:fldChar w:fldCharType="separate"/>
                          </w:r>
                          <w:r>
                            <w:t>284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5F653F90">
                    <w:pPr>
                      <w:pStyle w:val="3"/>
                    </w:pPr>
                    <w:r>
                      <w:fldChar w:fldCharType="begin"/>
                    </w:r>
                    <w:r>
                      <w:instrText xml:space="preserve"> PAGE  \* MERGEFORMAT </w:instrText>
                    </w:r>
                    <w:r>
                      <w:fldChar w:fldCharType="separate"/>
                    </w:r>
                    <w:r>
                      <w:t>284</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6DCFB">
    <w:pPr>
      <w:pStyle w:val="3"/>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5B869">
                          <w:pPr>
                            <w:pStyle w:val="3"/>
                          </w:pPr>
                          <w:r>
                            <w:fldChar w:fldCharType="begin"/>
                          </w:r>
                          <w:r>
                            <w:instrText xml:space="preserve"> PAGE  \* MERGEFORMAT </w:instrText>
                          </w:r>
                          <w:r>
                            <w:fldChar w:fldCharType="separate"/>
                          </w:r>
                          <w:r>
                            <w:t>285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3E25B869">
                    <w:pPr>
                      <w:pStyle w:val="3"/>
                    </w:pPr>
                    <w:r>
                      <w:fldChar w:fldCharType="begin"/>
                    </w:r>
                    <w:r>
                      <w:instrText xml:space="preserve"> PAGE  \* MERGEFORMAT </w:instrText>
                    </w:r>
                    <w:r>
                      <w:fldChar w:fldCharType="separate"/>
                    </w:r>
                    <w:r>
                      <w:t>285</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2B6C2">
    <w:pPr>
      <w:pStyle w:val="3"/>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07AB2">
                          <w:pPr>
                            <w:pStyle w:val="3"/>
                          </w:pPr>
                          <w:r>
                            <w:fldChar w:fldCharType="begin"/>
                          </w:r>
                          <w:r>
                            <w:instrText xml:space="preserve"> PAGE  \* MERGEFORMAT </w:instrText>
                          </w:r>
                          <w:r>
                            <w:fldChar w:fldCharType="separate"/>
                          </w:r>
                          <w:r>
                            <w:t>286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14:paraId="51A07AB2">
                    <w:pPr>
                      <w:pStyle w:val="3"/>
                    </w:pPr>
                    <w:r>
                      <w:fldChar w:fldCharType="begin"/>
                    </w:r>
                    <w:r>
                      <w:instrText xml:space="preserve"> PAGE  \* MERGEFORMAT </w:instrText>
                    </w:r>
                    <w:r>
                      <w:fldChar w:fldCharType="separate"/>
                    </w:r>
                    <w:r>
                      <w:t>286</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608F1">
    <w:pPr>
      <w:pStyle w:val="3"/>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F2FD1">
                          <w:pPr>
                            <w:pStyle w:val="3"/>
                          </w:pPr>
                          <w:r>
                            <w:fldChar w:fldCharType="begin"/>
                          </w:r>
                          <w:r>
                            <w:instrText xml:space="preserve"> PAGE  \* MERGEFORMAT </w:instrText>
                          </w:r>
                          <w:r>
                            <w:fldChar w:fldCharType="separate"/>
                          </w:r>
                          <w:r>
                            <w:t>287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14:paraId="47DF2FD1">
                    <w:pPr>
                      <w:pStyle w:val="3"/>
                    </w:pPr>
                    <w:r>
                      <w:fldChar w:fldCharType="begin"/>
                    </w:r>
                    <w:r>
                      <w:instrText xml:space="preserve"> PAGE  \* MERGEFORMAT </w:instrText>
                    </w:r>
                    <w:r>
                      <w:fldChar w:fldCharType="separate"/>
                    </w:r>
                    <w:r>
                      <w:t>287</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FDEEC">
    <w:pPr>
      <w:pStyle w:val="3"/>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EA24A">
                          <w:pPr>
                            <w:pStyle w:val="3"/>
                          </w:pPr>
                          <w:r>
                            <w:fldChar w:fldCharType="begin"/>
                          </w:r>
                          <w:r>
                            <w:instrText xml:space="preserve"> PAGE  \* MERGEFORMAT </w:instrText>
                          </w:r>
                          <w:r>
                            <w:fldChar w:fldCharType="separate"/>
                          </w:r>
                          <w:r>
                            <w:t>288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36EEA24A">
                    <w:pPr>
                      <w:pStyle w:val="3"/>
                    </w:pPr>
                    <w:r>
                      <w:fldChar w:fldCharType="begin"/>
                    </w:r>
                    <w:r>
                      <w:instrText xml:space="preserve"> PAGE  \* MERGEFORMAT </w:instrText>
                    </w:r>
                    <w:r>
                      <w:fldChar w:fldCharType="separate"/>
                    </w:r>
                    <w:r>
                      <w:t>288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CBB6D">
    <w:pPr>
      <w:pStyle w:val="3"/>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8DF794">
                          <w:pPr>
                            <w:pStyle w:val="3"/>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08DF794">
                    <w:pPr>
                      <w:pStyle w:val="3"/>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BC87B">
    <w:pPr>
      <w:pStyle w:val="3"/>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F7A89">
                          <w:pPr>
                            <w:pStyle w:val="3"/>
                          </w:pPr>
                          <w:r>
                            <w:fldChar w:fldCharType="begin"/>
                          </w:r>
                          <w:r>
                            <w:instrText xml:space="preserve"> PAGE  \* MERGEFORMAT </w:instrText>
                          </w:r>
                          <w:r>
                            <w:fldChar w:fldCharType="separate"/>
                          </w:r>
                          <w:r>
                            <w:t>289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14:paraId="51AF7A89">
                    <w:pPr>
                      <w:pStyle w:val="3"/>
                    </w:pPr>
                    <w:r>
                      <w:fldChar w:fldCharType="begin"/>
                    </w:r>
                    <w:r>
                      <w:instrText xml:space="preserve"> PAGE  \* MERGEFORMAT </w:instrText>
                    </w:r>
                    <w:r>
                      <w:fldChar w:fldCharType="separate"/>
                    </w:r>
                    <w:r>
                      <w:t>289</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7B22A">
    <w:pPr>
      <w:pStyle w:val="3"/>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389CAB">
                          <w:pPr>
                            <w:pStyle w:val="3"/>
                          </w:pPr>
                          <w:r>
                            <w:fldChar w:fldCharType="begin"/>
                          </w:r>
                          <w:r>
                            <w:instrText xml:space="preserve"> PAGE  \* MERGEFORMAT </w:instrText>
                          </w:r>
                          <w:r>
                            <w:fldChar w:fldCharType="separate"/>
                          </w:r>
                          <w:r>
                            <w:t>290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14:paraId="19389CAB">
                    <w:pPr>
                      <w:pStyle w:val="3"/>
                    </w:pPr>
                    <w:r>
                      <w:fldChar w:fldCharType="begin"/>
                    </w:r>
                    <w:r>
                      <w:instrText xml:space="preserve"> PAGE  \* MERGEFORMAT </w:instrText>
                    </w:r>
                    <w:r>
                      <w:fldChar w:fldCharType="separate"/>
                    </w:r>
                    <w:r>
                      <w:t>290</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25B48">
    <w:pPr>
      <w:pStyle w:val="3"/>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BE2EC">
                          <w:pPr>
                            <w:pStyle w:val="3"/>
                          </w:pPr>
                          <w:r>
                            <w:fldChar w:fldCharType="begin"/>
                          </w:r>
                          <w:r>
                            <w:instrText xml:space="preserve"> PAGE  \* MERGEFORMAT </w:instrText>
                          </w:r>
                          <w:r>
                            <w:fldChar w:fldCharType="separate"/>
                          </w:r>
                          <w:r>
                            <w:t>291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14:paraId="008BE2EC">
                    <w:pPr>
                      <w:pStyle w:val="3"/>
                    </w:pPr>
                    <w:r>
                      <w:fldChar w:fldCharType="begin"/>
                    </w:r>
                    <w:r>
                      <w:instrText xml:space="preserve"> PAGE  \* MERGEFORMAT </w:instrText>
                    </w:r>
                    <w:r>
                      <w:fldChar w:fldCharType="separate"/>
                    </w:r>
                    <w:r>
                      <w:t>291</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6079F">
    <w:pPr>
      <w:pStyle w:val="3"/>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6E12B">
                          <w:pPr>
                            <w:pStyle w:val="3"/>
                          </w:pPr>
                          <w:r>
                            <w:fldChar w:fldCharType="begin"/>
                          </w:r>
                          <w:r>
                            <w:instrText xml:space="preserve"> PAGE  \* MERGEFORMAT </w:instrText>
                          </w:r>
                          <w:r>
                            <w:fldChar w:fldCharType="separate"/>
                          </w:r>
                          <w:r>
                            <w:t>292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D9ek1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mhLDNEp++v7t&#10;9OPX6edXkg4hUePCDJEPDrGxfWtbNM5wHnCYmLeV1+kLTgR+CHy8CCzaSHi6NJ1MpzlcHL5hA/zs&#10;8brzIb4TVpNkFNSjgp2w7LAJsQ8dQlI2Y9dSqa6KypCmoNd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QP16TUCAABlBAAADgAAAAAAAAABACAAAAAfAQAAZHJzL2Uyb0RvYy54bWxQ&#10;SwUGAAAAAAYABgBZAQAAxgUAAAAA&#10;">
              <v:fill on="f" focussize="0,0"/>
              <v:stroke on="f" weight="0.5pt"/>
              <v:imagedata o:title=""/>
              <o:lock v:ext="edit" aspectratio="f"/>
              <v:textbox inset="0mm,0mm,0mm,0mm" style="mso-fit-shape-to-text:t;">
                <w:txbxContent>
                  <w:p w14:paraId="0AF6E12B">
                    <w:pPr>
                      <w:pStyle w:val="3"/>
                    </w:pPr>
                    <w:r>
                      <w:fldChar w:fldCharType="begin"/>
                    </w:r>
                    <w:r>
                      <w:instrText xml:space="preserve"> PAGE  \* MERGEFORMAT </w:instrText>
                    </w:r>
                    <w:r>
                      <w:fldChar w:fldCharType="separate"/>
                    </w:r>
                    <w:r>
                      <w:t>292</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328AC">
    <w:pPr>
      <w:pStyle w:val="3"/>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98527">
                          <w:pPr>
                            <w:pStyle w:val="3"/>
                          </w:pPr>
                          <w:r>
                            <w:fldChar w:fldCharType="begin"/>
                          </w:r>
                          <w:r>
                            <w:instrText xml:space="preserve"> PAGE  \* MERGEFORMAT </w:instrText>
                          </w:r>
                          <w:r>
                            <w:fldChar w:fldCharType="separate"/>
                          </w:r>
                          <w:r>
                            <w:t>293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44398527">
                    <w:pPr>
                      <w:pStyle w:val="3"/>
                    </w:pPr>
                    <w:r>
                      <w:fldChar w:fldCharType="begin"/>
                    </w:r>
                    <w:r>
                      <w:instrText xml:space="preserve"> PAGE  \* MERGEFORMAT </w:instrText>
                    </w:r>
                    <w:r>
                      <w:fldChar w:fldCharType="separate"/>
                    </w:r>
                    <w:r>
                      <w:t>293</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3169E">
    <w:pPr>
      <w:pStyle w:val="3"/>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DC294">
                          <w:pPr>
                            <w:pStyle w:val="3"/>
                          </w:pPr>
                          <w:r>
                            <w:fldChar w:fldCharType="begin"/>
                          </w:r>
                          <w:r>
                            <w:instrText xml:space="preserve"> PAGE  \* MERGEFORMAT </w:instrText>
                          </w:r>
                          <w:r>
                            <w:fldChar w:fldCharType="separate"/>
                          </w:r>
                          <w:r>
                            <w:t>294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14:paraId="47DDC294">
                    <w:pPr>
                      <w:pStyle w:val="3"/>
                    </w:pPr>
                    <w:r>
                      <w:fldChar w:fldCharType="begin"/>
                    </w:r>
                    <w:r>
                      <w:instrText xml:space="preserve"> PAGE  \* MERGEFORMAT </w:instrText>
                    </w:r>
                    <w:r>
                      <w:fldChar w:fldCharType="separate"/>
                    </w:r>
                    <w:r>
                      <w:t>294</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8FF05">
    <w:pPr>
      <w:pStyle w:val="3"/>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F227F">
                          <w:pPr>
                            <w:pStyle w:val="3"/>
                          </w:pPr>
                          <w:r>
                            <w:fldChar w:fldCharType="begin"/>
                          </w:r>
                          <w:r>
                            <w:instrText xml:space="preserve"> PAGE  \* MERGEFORMAT </w:instrText>
                          </w:r>
                          <w:r>
                            <w:fldChar w:fldCharType="separate"/>
                          </w:r>
                          <w:r>
                            <w:t>295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J5c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EnlzUCAABlBAAADgAAAAAAAAABACAAAAAfAQAAZHJzL2Uyb0RvYy54bWxQ&#10;SwUGAAAAAAYABgBZAQAAxgUAAAAA&#10;">
              <v:fill on="f" focussize="0,0"/>
              <v:stroke on="f" weight="0.5pt"/>
              <v:imagedata o:title=""/>
              <o:lock v:ext="edit" aspectratio="f"/>
              <v:textbox inset="0mm,0mm,0mm,0mm" style="mso-fit-shape-to-text:t;">
                <w:txbxContent>
                  <w:p w14:paraId="4FDF227F">
                    <w:pPr>
                      <w:pStyle w:val="3"/>
                    </w:pPr>
                    <w:r>
                      <w:fldChar w:fldCharType="begin"/>
                    </w:r>
                    <w:r>
                      <w:instrText xml:space="preserve"> PAGE  \* MERGEFORMAT </w:instrText>
                    </w:r>
                    <w:r>
                      <w:fldChar w:fldCharType="separate"/>
                    </w:r>
                    <w:r>
                      <w:t>295</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606AF">
    <w:pPr>
      <w:pStyle w:val="3"/>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1E067">
                          <w:pPr>
                            <w:pStyle w:val="3"/>
                          </w:pPr>
                          <w:r>
                            <w:fldChar w:fldCharType="begin"/>
                          </w:r>
                          <w:r>
                            <w:instrText xml:space="preserve"> PAGE  \* MERGEFORMAT </w:instrText>
                          </w:r>
                          <w:r>
                            <w:fldChar w:fldCharType="separate"/>
                          </w:r>
                          <w:r>
                            <w:t>296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Oz8k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rt+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Ds/JNAIAAGUEAAAOAAAAAAAAAAEAIAAAAB8BAABkcnMvZTJvRG9jLnhtbFBL&#10;BQYAAAAABgAGAFkBAADFBQAAAAA=&#10;">
              <v:fill on="f" focussize="0,0"/>
              <v:stroke on="f" weight="0.5pt"/>
              <v:imagedata o:title=""/>
              <o:lock v:ext="edit" aspectratio="f"/>
              <v:textbox inset="0mm,0mm,0mm,0mm" style="mso-fit-shape-to-text:t;">
                <w:txbxContent>
                  <w:p w14:paraId="3201E067">
                    <w:pPr>
                      <w:pStyle w:val="3"/>
                    </w:pPr>
                    <w:r>
                      <w:fldChar w:fldCharType="begin"/>
                    </w:r>
                    <w:r>
                      <w:instrText xml:space="preserve"> PAGE  \* MERGEFORMAT </w:instrText>
                    </w:r>
                    <w:r>
                      <w:fldChar w:fldCharType="separate"/>
                    </w:r>
                    <w:r>
                      <w:t>296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AAB06">
    <w:pPr>
      <w:pStyle w:val="3"/>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C15A4">
                          <w:pPr>
                            <w:pStyle w:val="3"/>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0D1C15A4">
                    <w:pPr>
                      <w:pStyle w:val="3"/>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EF4EE">
    <w:pPr>
      <w:pStyle w:val="3"/>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7159E">
                          <w:pPr>
                            <w:pStyle w:val="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5CB7159E">
                    <w:pPr>
                      <w:pStyle w:val="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B3285">
    <w:pPr>
      <w:pStyle w:val="3"/>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CA692">
                          <w:pPr>
                            <w:pStyle w:val="3"/>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1D8CA692">
                    <w:pPr>
                      <w:pStyle w:val="3"/>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92BD3">
    <w:pPr>
      <w:pStyle w:val="3"/>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D7FE4">
                          <w:pPr>
                            <w:pStyle w:val="3"/>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243D7FE4">
                    <w:pPr>
                      <w:pStyle w:val="3"/>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AB6B2">
    <w:pPr>
      <w:pStyle w:val="3"/>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82367">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6082367">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5B790">
    <w:pPr>
      <w:pStyle w:val="3"/>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2CF44">
                          <w:pPr>
                            <w:pStyle w:val="3"/>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4372CF44">
                    <w:pPr>
                      <w:pStyle w:val="3"/>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D7561">
    <w:pPr>
      <w:spacing w:line="229" w:lineRule="auto"/>
      <w:ind w:left="4533"/>
      <w:rPr>
        <w:rFonts w:ascii="宋体" w:hAnsi="宋体" w:eastAsia="宋体" w:cs="宋体"/>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6D7B3">
                          <w:pPr>
                            <w:pStyle w:val="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3636D7B3">
                    <w:pPr>
                      <w:pStyle w:val="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278FD">
    <w:pPr>
      <w:pStyle w:val="3"/>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DC232">
                          <w:pPr>
                            <w:pStyle w:val="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6B6DC232">
                    <w:pPr>
                      <w:pStyle w:val="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559C0">
    <w:pPr>
      <w:pStyle w:val="3"/>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25971">
                          <w:pPr>
                            <w:pStyle w:val="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65925971">
                    <w:pPr>
                      <w:pStyle w:val="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1B97B">
    <w:pPr>
      <w:pStyle w:val="3"/>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03753">
                          <w:pPr>
                            <w:pStyle w:val="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58103753">
                    <w:pPr>
                      <w:pStyle w:val="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24659">
    <w:pPr>
      <w:pStyle w:val="3"/>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4C3A20">
                          <w:pPr>
                            <w:pStyle w:val="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714C3A20">
                    <w:pPr>
                      <w:pStyle w:val="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66825">
    <w:pPr>
      <w:pStyle w:val="3"/>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1E0C3">
                          <w:pPr>
                            <w:pStyle w:val="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3061E0C3">
                    <w:pPr>
                      <w:pStyle w:val="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AEBCE">
    <w:pPr>
      <w:pStyle w:val="3"/>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D353B">
                          <w:pPr>
                            <w:pStyle w:val="3"/>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41BD353B">
                    <w:pPr>
                      <w:pStyle w:val="3"/>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1E641">
    <w:pPr>
      <w:pStyle w:val="3"/>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0704A">
                          <w:pPr>
                            <w:pStyle w:val="3"/>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CF0704A">
                    <w:pPr>
                      <w:pStyle w:val="3"/>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2653C">
    <w:pPr>
      <w:pStyle w:val="3"/>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75653">
                          <w:pPr>
                            <w:pStyle w:val="3"/>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11775653">
                    <w:pPr>
                      <w:pStyle w:val="3"/>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83FDE">
    <w:pPr>
      <w:pStyle w:val="3"/>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54119">
                          <w:pPr>
                            <w:pStyle w:val="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1454119">
                    <w:pPr>
                      <w:pStyle w:val="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2EBE6">
    <w:pPr>
      <w:pStyle w:val="3"/>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573FAF">
                          <w:pPr>
                            <w:pStyle w:val="3"/>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3F573FAF">
                    <w:pPr>
                      <w:pStyle w:val="3"/>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541B5">
    <w:pPr>
      <w:pStyle w:val="3"/>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4C269">
                          <w:pPr>
                            <w:pStyle w:val="3"/>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7474C269">
                    <w:pPr>
                      <w:pStyle w:val="3"/>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C458D">
    <w:pPr>
      <w:pStyle w:val="3"/>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0F5F40">
                          <w:pPr>
                            <w:pStyle w:val="3"/>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240F5F40">
                    <w:pPr>
                      <w:pStyle w:val="3"/>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4BBD8">
    <w:pPr>
      <w:pStyle w:val="3"/>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8D7E5">
                          <w:pPr>
                            <w:pStyle w:val="3"/>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7538D7E5">
                    <w:pPr>
                      <w:pStyle w:val="3"/>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016C9">
    <w:pPr>
      <w:pStyle w:val="3"/>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B9B8F">
                          <w:pPr>
                            <w:pStyle w:val="3"/>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65FB9B8F">
                    <w:pPr>
                      <w:pStyle w:val="3"/>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88664">
    <w:pPr>
      <w:pStyle w:val="3"/>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8101C3">
                          <w:pPr>
                            <w:pStyle w:val="3"/>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7B8101C3">
                    <w:pPr>
                      <w:pStyle w:val="3"/>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32C05">
    <w:pPr>
      <w:pStyle w:val="3"/>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E0B32">
                          <w:pPr>
                            <w:pStyle w:val="3"/>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5D0E0B32">
                    <w:pPr>
                      <w:pStyle w:val="3"/>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B12DF">
    <w:pPr>
      <w:pStyle w:val="3"/>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75905">
                          <w:pPr>
                            <w:pStyle w:val="3"/>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17E75905">
                    <w:pPr>
                      <w:pStyle w:val="3"/>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90EFA">
    <w:pPr>
      <w:pStyle w:val="3"/>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3E7A3">
                          <w:pPr>
                            <w:pStyle w:val="3"/>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3EA3E7A3">
                    <w:pPr>
                      <w:pStyle w:val="3"/>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9F18D">
    <w:pPr>
      <w:pStyle w:val="3"/>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3D407">
                          <w:pPr>
                            <w:pStyle w:val="3"/>
                          </w:pPr>
                          <w:r>
                            <w:fldChar w:fldCharType="begin"/>
                          </w:r>
                          <w:r>
                            <w:instrText xml:space="preserve"> PAGE  \* MERGEFORMAT </w:instrText>
                          </w:r>
                          <w:r>
                            <w:fldChar w:fldCharType="separate"/>
                          </w:r>
                          <w:r>
                            <w:t>165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3C93D407">
                    <w:pPr>
                      <w:pStyle w:val="3"/>
                    </w:pPr>
                    <w:r>
                      <w:fldChar w:fldCharType="begin"/>
                    </w:r>
                    <w:r>
                      <w:instrText xml:space="preserve"> PAGE  \* MERGEFORMAT </w:instrText>
                    </w:r>
                    <w:r>
                      <w:fldChar w:fldCharType="separate"/>
                    </w:r>
                    <w:r>
                      <w:t>165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F4A2D">
    <w:pPr>
      <w:spacing w:line="229" w:lineRule="auto"/>
      <w:rPr>
        <w:rFonts w:ascii="宋体" w:hAnsi="宋体" w:eastAsia="宋体" w:cs="宋体"/>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736AF">
                          <w:pPr>
                            <w:pStyle w:val="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14736AF">
                    <w:pPr>
                      <w:pStyle w:val="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60DDF">
    <w:pPr>
      <w:pStyle w:val="3"/>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914DAE">
                          <w:pPr>
                            <w:pStyle w:val="3"/>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02914DAE">
                    <w:pPr>
                      <w:pStyle w:val="3"/>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D6F10">
    <w:pPr>
      <w:pStyle w:val="3"/>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87EDF">
                          <w:pPr>
                            <w:pStyle w:val="3"/>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12C87EDF">
                    <w:pPr>
                      <w:pStyle w:val="3"/>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5A92B">
    <w:pPr>
      <w:pStyle w:val="3"/>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06CDC">
                          <w:pPr>
                            <w:pStyle w:val="3"/>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7E206CDC">
                    <w:pPr>
                      <w:pStyle w:val="3"/>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1D7AE">
    <w:pPr>
      <w:pStyle w:val="3"/>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5E515">
                          <w:pPr>
                            <w:pStyle w:val="3"/>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7505E515">
                    <w:pPr>
                      <w:pStyle w:val="3"/>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3725E">
    <w:pPr>
      <w:pStyle w:val="3"/>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DEA19">
                          <w:pPr>
                            <w:pStyle w:val="3"/>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1ABDEA19">
                    <w:pPr>
                      <w:pStyle w:val="3"/>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AD3FF">
    <w:pPr>
      <w:pStyle w:val="3"/>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B8DEC">
                          <w:pPr>
                            <w:pStyle w:val="3"/>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5AB8DEC">
                    <w:pPr>
                      <w:pStyle w:val="3"/>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AAA11">
    <w:pPr>
      <w:pStyle w:val="3"/>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FC3BC">
                          <w:pPr>
                            <w:pStyle w:val="3"/>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248FC3BC">
                    <w:pPr>
                      <w:pStyle w:val="3"/>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58879">
    <w:pPr>
      <w:pStyle w:val="3"/>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53A63">
                          <w:pPr>
                            <w:pStyle w:val="3"/>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3F853A63">
                    <w:pPr>
                      <w:pStyle w:val="3"/>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4830C">
    <w:pPr>
      <w:pStyle w:val="3"/>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746FF">
                          <w:pPr>
                            <w:pStyle w:val="3"/>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2F9746FF">
                    <w:pPr>
                      <w:pStyle w:val="3"/>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B352E">
    <w:pPr>
      <w:pStyle w:val="3"/>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D3DC2">
                          <w:pPr>
                            <w:pStyle w:val="3"/>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57AD3DC2">
                    <w:pPr>
                      <w:pStyle w:val="3"/>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40292">
    <w:pPr>
      <w:pStyle w:val="3"/>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1F531">
                          <w:pPr>
                            <w:pStyle w:val="3"/>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0E1F531">
                    <w:pPr>
                      <w:pStyle w:val="3"/>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EE2D9">
    <w:pPr>
      <w:pStyle w:val="3"/>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8A74ED">
                          <w:pPr>
                            <w:pStyle w:val="3"/>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2D8A74ED">
                    <w:pPr>
                      <w:pStyle w:val="3"/>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64FE4">
    <w:pPr>
      <w:pStyle w:val="3"/>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D90CF">
                          <w:pPr>
                            <w:pStyle w:val="3"/>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67CD90CF">
                    <w:pPr>
                      <w:pStyle w:val="3"/>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5CAC8">
    <w:pPr>
      <w:pStyle w:val="3"/>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AE338">
                          <w:pPr>
                            <w:pStyle w:val="3"/>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5ADAE338">
                    <w:pPr>
                      <w:pStyle w:val="3"/>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042A8">
    <w:pPr>
      <w:pStyle w:val="3"/>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C8A27">
                          <w:pPr>
                            <w:pStyle w:val="3"/>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287C8A27">
                    <w:pPr>
                      <w:pStyle w:val="3"/>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A3F07">
    <w:pPr>
      <w:pStyle w:val="3"/>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74105">
                          <w:pPr>
                            <w:pStyle w:val="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7C274105">
                    <w:pPr>
                      <w:pStyle w:val="3"/>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1A20E">
    <w:pPr>
      <w:pStyle w:val="3"/>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D5CB5">
                          <w:pPr>
                            <w:pStyle w:val="3"/>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3C9D5CB5">
                    <w:pPr>
                      <w:pStyle w:val="3"/>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49CF">
    <w:pPr>
      <w:pStyle w:val="3"/>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C49E6">
                          <w:pPr>
                            <w:pStyle w:val="3"/>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64EC49E6">
                    <w:pPr>
                      <w:pStyle w:val="3"/>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7940C">
    <w:pPr>
      <w:pStyle w:val="3"/>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D4E36">
                          <w:pPr>
                            <w:pStyle w:val="3"/>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224D4E36">
                    <w:pPr>
                      <w:pStyle w:val="3"/>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30BFA">
    <w:pPr>
      <w:pStyle w:val="3"/>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6E210">
                          <w:pPr>
                            <w:pStyle w:val="3"/>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7C26E210">
                    <w:pPr>
                      <w:pStyle w:val="3"/>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CCDF8">
    <w:pPr>
      <w:pStyle w:val="3"/>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E08D5">
                          <w:pPr>
                            <w:pStyle w:val="3"/>
                          </w:pPr>
                          <w:r>
                            <w:fldChar w:fldCharType="begin"/>
                          </w:r>
                          <w:r>
                            <w:instrText xml:space="preserve"> PAGE  \* MERGEFORMAT </w:instrText>
                          </w:r>
                          <w:r>
                            <w:fldChar w:fldCharType="separate"/>
                          </w:r>
                          <w:r>
                            <w:t>187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464E08D5">
                    <w:pPr>
                      <w:pStyle w:val="3"/>
                    </w:pPr>
                    <w:r>
                      <w:fldChar w:fldCharType="begin"/>
                    </w:r>
                    <w:r>
                      <w:instrText xml:space="preserve"> PAGE  \* MERGEFORMAT </w:instrText>
                    </w:r>
                    <w:r>
                      <w:fldChar w:fldCharType="separate"/>
                    </w:r>
                    <w:r>
                      <w:t>187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AA571">
    <w:pPr>
      <w:pStyle w:val="3"/>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F5B1B">
                          <w:pPr>
                            <w:pStyle w:val="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D0F5B1B">
                    <w:pPr>
                      <w:pStyle w:val="3"/>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DBED7">
    <w:pPr>
      <w:pStyle w:val="3"/>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220366">
                          <w:pPr>
                            <w:pStyle w:val="3"/>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5A220366">
                    <w:pPr>
                      <w:pStyle w:val="3"/>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2A8A4">
    <w:pPr>
      <w:pStyle w:val="3"/>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B817C">
                          <w:pPr>
                            <w:pStyle w:val="3"/>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039B817C">
                    <w:pPr>
                      <w:pStyle w:val="3"/>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BC525">
    <w:pPr>
      <w:pStyle w:val="3"/>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0EB35">
                          <w:pPr>
                            <w:pStyle w:val="3"/>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3790EB35">
                    <w:pPr>
                      <w:pStyle w:val="3"/>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4884B">
    <w:pPr>
      <w:pStyle w:val="3"/>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3B0B5">
                          <w:pPr>
                            <w:pStyle w:val="3"/>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6DE3B0B5">
                    <w:pPr>
                      <w:pStyle w:val="3"/>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FBDC6">
    <w:pPr>
      <w:pStyle w:val="3"/>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2E398">
                          <w:pPr>
                            <w:pStyle w:val="3"/>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1662E398">
                    <w:pPr>
                      <w:pStyle w:val="3"/>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B909B">
    <w:pPr>
      <w:pStyle w:val="3"/>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6C141">
                          <w:pPr>
                            <w:pStyle w:val="3"/>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1436C141">
                    <w:pPr>
                      <w:pStyle w:val="3"/>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6C2EA">
    <w:pPr>
      <w:pStyle w:val="3"/>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E961B">
                          <w:pPr>
                            <w:pStyle w:val="3"/>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BMpg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wTKYNAIAAGUEAAAOAAAAAAAAAAEAIAAAAB8BAABkcnMvZTJvRG9jLnhtbFBL&#10;BQYAAAAABgAGAFkBAADFBQAAAAA=&#10;">
              <v:fill on="f" focussize="0,0"/>
              <v:stroke on="f" weight="0.5pt"/>
              <v:imagedata o:title=""/>
              <o:lock v:ext="edit" aspectratio="f"/>
              <v:textbox inset="0mm,0mm,0mm,0mm" style="mso-fit-shape-to-text:t;">
                <w:txbxContent>
                  <w:p w14:paraId="3B4E961B">
                    <w:pPr>
                      <w:pStyle w:val="3"/>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F56">
    <w:pPr>
      <w:pStyle w:val="3"/>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2FE8A5">
                          <w:pPr>
                            <w:pStyle w:val="3"/>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522FE8A5">
                    <w:pPr>
                      <w:pStyle w:val="3"/>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B9F67">
    <w:pPr>
      <w:pStyle w:val="3"/>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FA010">
                          <w:pPr>
                            <w:pStyle w:val="3"/>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03DFA010">
                    <w:pPr>
                      <w:pStyle w:val="3"/>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63C4D">
    <w:pPr>
      <w:pStyle w:val="3"/>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2C48F">
                          <w:pPr>
                            <w:pStyle w:val="3"/>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0682C48F">
                    <w:pPr>
                      <w:pStyle w:val="3"/>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AA403">
    <w:pPr>
      <w:pStyle w:val="3"/>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1CF0E">
                          <w:pPr>
                            <w:pStyle w:val="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1C1CF0E">
                    <w:pPr>
                      <w:pStyle w:val="3"/>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1A43D">
    <w:pPr>
      <w:pStyle w:val="3"/>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391AD">
                          <w:pPr>
                            <w:pStyle w:val="3"/>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5AF391AD">
                    <w:pPr>
                      <w:pStyle w:val="3"/>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DD81E">
    <w:pPr>
      <w:pStyle w:val="3"/>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CC085">
                          <w:pPr>
                            <w:pStyle w:val="3"/>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274CC085">
                    <w:pPr>
                      <w:pStyle w:val="3"/>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B1490">
    <w:pPr>
      <w:pStyle w:val="3"/>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235F2">
                          <w:pPr>
                            <w:pStyle w:val="3"/>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038235F2">
                    <w:pPr>
                      <w:pStyle w:val="3"/>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52A4A">
    <w:pPr>
      <w:pStyle w:val="3"/>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6C314">
                          <w:pPr>
                            <w:pStyle w:val="3"/>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3B66C314">
                    <w:pPr>
                      <w:pStyle w:val="3"/>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69D98">
    <w:pPr>
      <w:pStyle w:val="3"/>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F50F2">
                          <w:pPr>
                            <w:pStyle w:val="3"/>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5DEF50F2">
                    <w:pPr>
                      <w:pStyle w:val="3"/>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AA86D">
    <w:pPr>
      <w:pStyle w:val="3"/>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C226E">
                          <w:pPr>
                            <w:pStyle w:val="3"/>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563C226E">
                    <w:pPr>
                      <w:pStyle w:val="3"/>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CC7FC">
    <w:pPr>
      <w:pStyle w:val="3"/>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A2097">
                          <w:pPr>
                            <w:pStyle w:val="3"/>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6C0A2097">
                    <w:pPr>
                      <w:pStyle w:val="3"/>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5E9A6">
    <w:pPr>
      <w:pStyle w:val="3"/>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8D84B">
                          <w:pPr>
                            <w:pStyle w:val="3"/>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27E8D84B">
                    <w:pPr>
                      <w:pStyle w:val="3"/>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2329B">
    <w:pPr>
      <w:pStyle w:val="3"/>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D95C45">
                          <w:pPr>
                            <w:pStyle w:val="3"/>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48D95C45">
                    <w:pPr>
                      <w:pStyle w:val="3"/>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1B445">
    <w:pPr>
      <w:pStyle w:val="3"/>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09884">
                          <w:pPr>
                            <w:pStyle w:val="3"/>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4CD09884">
                    <w:pPr>
                      <w:pStyle w:val="3"/>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9F43A">
    <w:pPr>
      <w:pStyle w:val="3"/>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C7F4D">
                          <w:pPr>
                            <w:pStyle w:val="3"/>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7EC7F4D">
                    <w:pPr>
                      <w:pStyle w:val="3"/>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8212A">
    <w:pPr>
      <w:pStyle w:val="3"/>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AA9B0">
                          <w:pPr>
                            <w:pStyle w:val="3"/>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728AA9B0">
                    <w:pPr>
                      <w:pStyle w:val="3"/>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63425">
    <w:pPr>
      <w:pStyle w:val="3"/>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5B263">
                          <w:pPr>
                            <w:pStyle w:val="3"/>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5405B263">
                    <w:pPr>
                      <w:pStyle w:val="3"/>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12515">
    <w:pPr>
      <w:pStyle w:val="3"/>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6FB79">
                          <w:pPr>
                            <w:pStyle w:val="3"/>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7536FB79">
                    <w:pPr>
                      <w:pStyle w:val="3"/>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76617">
    <w:pPr>
      <w:pStyle w:val="3"/>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242A4">
                          <w:pPr>
                            <w:pStyle w:val="3"/>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783242A4">
                    <w:pPr>
                      <w:pStyle w:val="3"/>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E7788">
    <w:pPr>
      <w:pStyle w:val="3"/>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AB25A">
                          <w:pPr>
                            <w:pStyle w:val="3"/>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158AB25A">
                    <w:pPr>
                      <w:pStyle w:val="3"/>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71AB7">
    <w:pPr>
      <w:pStyle w:val="3"/>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907A4">
                          <w:pPr>
                            <w:pStyle w:val="3"/>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3FE907A4">
                    <w:pPr>
                      <w:pStyle w:val="3"/>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BFF7C">
    <w:pPr>
      <w:pStyle w:val="3"/>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F617D">
                          <w:pPr>
                            <w:pStyle w:val="3"/>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472F617D">
                    <w:pPr>
                      <w:pStyle w:val="3"/>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9CBB0">
    <w:pPr>
      <w:pStyle w:val="3"/>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21FDC">
                          <w:pPr>
                            <w:pStyle w:val="3"/>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3F621FDC">
                    <w:pPr>
                      <w:pStyle w:val="3"/>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BDF8B">
    <w:pPr>
      <w:pStyle w:val="3"/>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3498C">
                          <w:pPr>
                            <w:pStyle w:val="3"/>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6B63498C">
                    <w:pPr>
                      <w:pStyle w:val="3"/>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E0F46">
    <w:pPr>
      <w:pStyle w:val="3"/>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29F950">
                          <w:pPr>
                            <w:pStyle w:val="3"/>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7A29F950">
                    <w:pPr>
                      <w:pStyle w:val="3"/>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20B7D">
    <w:pPr>
      <w:pStyle w:val="3"/>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E1F93">
                          <w:pPr>
                            <w:pStyle w:val="3"/>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1DE1F93">
                    <w:pPr>
                      <w:pStyle w:val="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2A701">
    <w:pPr>
      <w:pStyle w:val="3"/>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31E98">
                          <w:pPr>
                            <w:pStyle w:val="3"/>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14:paraId="70A31E98">
                    <w:pPr>
                      <w:pStyle w:val="3"/>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F9C65">
    <w:pPr>
      <w:pStyle w:val="3"/>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AC9EE5">
                          <w:pPr>
                            <w:pStyle w:val="3"/>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39AC9EE5">
                    <w:pPr>
                      <w:pStyle w:val="3"/>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E5EC3">
    <w:pPr>
      <w:pStyle w:val="3"/>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E9001">
                          <w:pPr>
                            <w:pStyle w:val="3"/>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1A2E9001">
                    <w:pPr>
                      <w:pStyle w:val="3"/>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2FB17">
    <w:pPr>
      <w:pStyle w:val="3"/>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51855">
                          <w:pPr>
                            <w:pStyle w:val="3"/>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23E51855">
                    <w:pPr>
                      <w:pStyle w:val="3"/>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73449">
    <w:pPr>
      <w:pStyle w:val="3"/>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1C6F67">
                          <w:pPr>
                            <w:pStyle w:val="3"/>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7B1C6F67">
                    <w:pPr>
                      <w:pStyle w:val="3"/>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7E201">
    <w:pPr>
      <w:pStyle w:val="3"/>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C31DF">
                          <w:pPr>
                            <w:pStyle w:val="3"/>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749C31DF">
                    <w:pPr>
                      <w:pStyle w:val="3"/>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8ACE">
    <w:pPr>
      <w:pStyle w:val="3"/>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ADEB0">
                          <w:pPr>
                            <w:pStyle w:val="3"/>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14:paraId="2FAADEB0">
                    <w:pPr>
                      <w:pStyle w:val="3"/>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9FE35">
    <w:pPr>
      <w:pStyle w:val="3"/>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4A356">
                          <w:pPr>
                            <w:pStyle w:val="3"/>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14:paraId="3764A356">
                    <w:pPr>
                      <w:pStyle w:val="3"/>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8C485">
    <w:pPr>
      <w:pStyle w:val="3"/>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D7BD9">
                          <w:pPr>
                            <w:pStyle w:val="3"/>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14:paraId="4E2D7BD9">
                    <w:pPr>
                      <w:pStyle w:val="3"/>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96641">
    <w:pPr>
      <w:pStyle w:val="3"/>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336C9">
                          <w:pPr>
                            <w:pStyle w:val="3"/>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14:paraId="08C336C9">
                    <w:pPr>
                      <w:pStyle w:val="3"/>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EA773">
    <w:pPr>
      <w:spacing w:before="48" w:line="219" w:lineRule="auto"/>
      <w:ind w:left="7"/>
      <w:rPr>
        <w:rFonts w:hint="eastAsia"/>
        <w:lang w:val="en-US" w:eastAsia="zh-CN"/>
      </w:rPr>
    </w:pPr>
    <w:r>
      <w:rPr>
        <w:rFonts w:hint="eastAsia"/>
        <w:sz w:val="18"/>
        <w:szCs w:val="18"/>
      </w:rPr>
      <w:t>云安区白石镇X491线白石街至东星四升三改建工程</w:t>
    </w:r>
    <w:r>
      <w:rPr>
        <w:sz w:val="18"/>
        <w:szCs w:val="18"/>
      </w:rPr>
      <w:drawing>
        <wp:anchor distT="0" distB="0" distL="0" distR="0" simplePos="0" relativeHeight="25170022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 name="IM 16"/>
          <wp:cNvGraphicFramePr/>
          <a:graphic xmlns:a="http://schemas.openxmlformats.org/drawingml/2006/main">
            <a:graphicData uri="http://schemas.openxmlformats.org/drawingml/2006/picture">
              <pic:pic xmlns:pic="http://schemas.openxmlformats.org/drawingml/2006/picture">
                <pic:nvPicPr>
                  <pic:cNvPr id="1" name="IM 16"/>
                  <pic:cNvPicPr/>
                </pic:nvPicPr>
                <pic:blipFill>
                  <a:blip r:embed="rId1"/>
                  <a:stretch>
                    <a:fillRect/>
                  </a:stretch>
                </pic:blipFill>
                <pic:spPr>
                  <a:xfrm>
                    <a:off x="0" y="0"/>
                    <a:ext cx="5760720" cy="6350"/>
                  </a:xfrm>
                  <a:prstGeom prst="rect">
                    <a:avLst/>
                  </a:prstGeom>
                </pic:spPr>
              </pic:pic>
            </a:graphicData>
          </a:graphic>
        </wp:anchor>
      </w:drawing>
    </w:r>
    <w:r>
      <w:rPr>
        <w:rFonts w:hint="eastAsia"/>
        <w:sz w:val="18"/>
        <w:szCs w:val="18"/>
        <w:lang w:val="en-US" w:eastAsia="zh-CN"/>
      </w:rPr>
      <w:t>施工</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19B28">
    <w:pPr>
      <w:spacing w:before="48" w:line="219" w:lineRule="auto"/>
      <w:ind w:left="119"/>
      <w:rPr>
        <w:rFonts w:hint="eastAsia" w:ascii="宋体" w:hAnsi="宋体" w:eastAsia="宋体" w:cs="宋体"/>
        <w:sz w:val="18"/>
        <w:szCs w:val="18"/>
        <w:lang w:eastAsia="zh-CN"/>
      </w:rPr>
    </w:pPr>
    <w:r>
      <w:drawing>
        <wp:anchor distT="0" distB="0" distL="0" distR="0" simplePos="0" relativeHeight="2516695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BFFC1">
    <w:pPr>
      <w:spacing w:before="48" w:line="219" w:lineRule="auto"/>
      <w:ind w:left="119"/>
      <w:rPr>
        <w:rFonts w:hint="eastAsia" w:ascii="宋体" w:hAnsi="宋体" w:eastAsia="宋体" w:cs="宋体"/>
        <w:sz w:val="18"/>
        <w:szCs w:val="18"/>
        <w:lang w:eastAsia="zh-CN"/>
      </w:rPr>
    </w:pPr>
    <w:r>
      <w:drawing>
        <wp:anchor distT="0" distB="0" distL="0" distR="0" simplePos="0" relativeHeight="25167052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A3C94">
    <w:pPr>
      <w:spacing w:before="48" w:line="219" w:lineRule="auto"/>
      <w:ind w:left="119"/>
      <w:rPr>
        <w:rFonts w:hint="eastAsia" w:ascii="宋体" w:hAnsi="宋体" w:eastAsia="宋体" w:cs="宋体"/>
        <w:sz w:val="18"/>
        <w:szCs w:val="18"/>
        <w:lang w:eastAsia="zh-CN"/>
      </w:rPr>
    </w:pPr>
    <w:r>
      <w:drawing>
        <wp:anchor distT="0" distB="0" distL="0" distR="0" simplePos="0" relativeHeight="25166950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3" name="IM 90"/>
          <wp:cNvGraphicFramePr/>
          <a:graphic xmlns:a="http://schemas.openxmlformats.org/drawingml/2006/main">
            <a:graphicData uri="http://schemas.openxmlformats.org/drawingml/2006/picture">
              <pic:pic xmlns:pic="http://schemas.openxmlformats.org/drawingml/2006/picture">
                <pic:nvPicPr>
                  <pic:cNvPr id="13" name="IM 9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FC0">
    <w:pPr>
      <w:spacing w:before="48" w:line="219" w:lineRule="auto"/>
      <w:ind w:left="7"/>
      <w:rPr>
        <w:rFonts w:hint="eastAsia" w:ascii="宋体" w:hAnsi="宋体" w:eastAsia="宋体" w:cs="宋体"/>
        <w:sz w:val="18"/>
        <w:szCs w:val="18"/>
        <w:lang w:eastAsia="zh-CN"/>
      </w:rPr>
    </w:pPr>
    <w:r>
      <w:drawing>
        <wp:anchor distT="0" distB="0" distL="0" distR="0" simplePos="0" relativeHeight="25165926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5" name="IM 18"/>
          <wp:cNvGraphicFramePr/>
          <a:graphic xmlns:a="http://schemas.openxmlformats.org/drawingml/2006/main">
            <a:graphicData uri="http://schemas.openxmlformats.org/drawingml/2006/picture">
              <pic:pic xmlns:pic="http://schemas.openxmlformats.org/drawingml/2006/picture">
                <pic:nvPicPr>
                  <pic:cNvPr id="15" name="IM 1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EB12C">
    <w:pPr>
      <w:spacing w:before="48" w:line="219" w:lineRule="auto"/>
      <w:ind w:left="7"/>
      <w:rPr>
        <w:rFonts w:hint="eastAsia" w:ascii="宋体" w:hAnsi="宋体" w:eastAsia="宋体" w:cs="宋体"/>
        <w:sz w:val="18"/>
        <w:szCs w:val="18"/>
        <w:lang w:eastAsia="zh-CN"/>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7" name="IM 60"/>
          <wp:cNvGraphicFramePr/>
          <a:graphic xmlns:a="http://schemas.openxmlformats.org/drawingml/2006/main">
            <a:graphicData uri="http://schemas.openxmlformats.org/drawingml/2006/picture">
              <pic:pic xmlns:pic="http://schemas.openxmlformats.org/drawingml/2006/picture">
                <pic:nvPicPr>
                  <pic:cNvPr id="17" name="IM 6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69F56">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5" name="IM 52"/>
          <wp:cNvGraphicFramePr/>
          <a:graphic xmlns:a="http://schemas.openxmlformats.org/drawingml/2006/main">
            <a:graphicData uri="http://schemas.openxmlformats.org/drawingml/2006/picture">
              <pic:pic xmlns:pic="http://schemas.openxmlformats.org/drawingml/2006/picture">
                <pic:nvPicPr>
                  <pic:cNvPr id="25"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9EF94">
    <w:pPr>
      <w:spacing w:before="48" w:line="219" w:lineRule="auto"/>
      <w:ind w:left="7"/>
      <w:rPr>
        <w:rFonts w:hint="eastAsia" w:ascii="宋体" w:hAnsi="宋体" w:eastAsia="宋体" w:cs="宋体"/>
        <w:sz w:val="18"/>
        <w:szCs w:val="18"/>
        <w:lang w:eastAsia="zh-CN"/>
      </w:rPr>
    </w:pPr>
    <w:r>
      <w:drawing>
        <wp:anchor distT="0" distB="0" distL="0" distR="0" simplePos="0" relativeHeight="25166028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7" name="IM 32"/>
          <wp:cNvGraphicFramePr/>
          <a:graphic xmlns:a="http://schemas.openxmlformats.org/drawingml/2006/main">
            <a:graphicData uri="http://schemas.openxmlformats.org/drawingml/2006/picture">
              <pic:pic xmlns:pic="http://schemas.openxmlformats.org/drawingml/2006/picture">
                <pic:nvPicPr>
                  <pic:cNvPr id="27" name="IM 3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25B4F">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29" name="IM 52"/>
          <wp:cNvGraphicFramePr/>
          <a:graphic xmlns:a="http://schemas.openxmlformats.org/drawingml/2006/main">
            <a:graphicData uri="http://schemas.openxmlformats.org/drawingml/2006/picture">
              <pic:pic xmlns:pic="http://schemas.openxmlformats.org/drawingml/2006/picture">
                <pic:nvPicPr>
                  <pic:cNvPr id="29"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85AA5">
    <w:pPr>
      <w:spacing w:before="48" w:line="219" w:lineRule="auto"/>
      <w:ind w:left="7"/>
      <w:rPr>
        <w:rFonts w:hint="eastAsia" w:ascii="宋体" w:hAnsi="宋体" w:eastAsia="宋体" w:cs="宋体"/>
        <w:sz w:val="18"/>
        <w:szCs w:val="18"/>
        <w:lang w:eastAsia="zh-CN"/>
      </w:rPr>
    </w:pPr>
    <w:r>
      <w:drawing>
        <wp:anchor distT="0" distB="0" distL="0" distR="0" simplePos="0" relativeHeight="25165926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1" name="IM 18"/>
          <wp:cNvGraphicFramePr/>
          <a:graphic xmlns:a="http://schemas.openxmlformats.org/drawingml/2006/main">
            <a:graphicData uri="http://schemas.openxmlformats.org/drawingml/2006/picture">
              <pic:pic xmlns:pic="http://schemas.openxmlformats.org/drawingml/2006/picture">
                <pic:nvPicPr>
                  <pic:cNvPr id="31" name="IM 1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2A879">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3" name="IM 52"/>
          <wp:cNvGraphicFramePr/>
          <a:graphic xmlns:a="http://schemas.openxmlformats.org/drawingml/2006/main">
            <a:graphicData uri="http://schemas.openxmlformats.org/drawingml/2006/picture">
              <pic:pic xmlns:pic="http://schemas.openxmlformats.org/drawingml/2006/picture">
                <pic:nvPicPr>
                  <pic:cNvPr id="33"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A7E2D">
    <w:pPr>
      <w:spacing w:before="48" w:line="219" w:lineRule="auto"/>
      <w:ind w:left="7"/>
      <w:rPr>
        <w:rFonts w:hint="eastAsia" w:ascii="宋体" w:hAnsi="宋体" w:eastAsia="宋体" w:cs="宋体"/>
        <w:sz w:val="18"/>
        <w:szCs w:val="18"/>
        <w:lang w:eastAsia="zh-CN"/>
      </w:rPr>
    </w:pPr>
    <w:r>
      <w:drawing>
        <wp:anchor distT="0" distB="0" distL="0" distR="0" simplePos="0" relativeHeight="25166028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1A21D">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4" name="IM 52"/>
          <wp:cNvGraphicFramePr/>
          <a:graphic xmlns:a="http://schemas.openxmlformats.org/drawingml/2006/main">
            <a:graphicData uri="http://schemas.openxmlformats.org/drawingml/2006/picture">
              <pic:pic xmlns:pic="http://schemas.openxmlformats.org/drawingml/2006/picture">
                <pic:nvPicPr>
                  <pic:cNvPr id="34"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ADFF7">
    <w:pPr>
      <w:spacing w:before="48" w:line="219" w:lineRule="auto"/>
      <w:ind w:left="7"/>
      <w:rPr>
        <w:rFonts w:hint="eastAsia" w:ascii="宋体" w:hAnsi="宋体" w:eastAsia="宋体" w:cs="宋体"/>
        <w:sz w:val="18"/>
        <w:szCs w:val="18"/>
        <w:lang w:eastAsia="zh-CN"/>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5" name="IM 60"/>
          <wp:cNvGraphicFramePr/>
          <a:graphic xmlns:a="http://schemas.openxmlformats.org/drawingml/2006/main">
            <a:graphicData uri="http://schemas.openxmlformats.org/drawingml/2006/picture">
              <pic:pic xmlns:pic="http://schemas.openxmlformats.org/drawingml/2006/picture">
                <pic:nvPicPr>
                  <pic:cNvPr id="35" name="IM 6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CE3ED">
    <w:pPr>
      <w:spacing w:before="48" w:line="219" w:lineRule="auto"/>
      <w:ind w:left="7"/>
      <w:rPr>
        <w:rFonts w:hint="eastAsia" w:ascii="宋体" w:hAnsi="宋体" w:eastAsia="宋体" w:cs="宋体"/>
        <w:sz w:val="18"/>
        <w:szCs w:val="18"/>
        <w:lang w:eastAsia="zh-CN"/>
      </w:rPr>
    </w:pPr>
    <w:r>
      <w:drawing>
        <wp:anchor distT="0" distB="0" distL="0" distR="0" simplePos="0" relativeHeight="25167155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29A7">
    <w:pPr>
      <w:spacing w:before="48" w:line="219" w:lineRule="auto"/>
      <w:ind w:left="7"/>
      <w:rPr>
        <w:rFonts w:hint="eastAsia" w:ascii="宋体" w:hAnsi="宋体" w:eastAsia="宋体" w:cs="宋体"/>
        <w:sz w:val="18"/>
        <w:szCs w:val="18"/>
        <w:lang w:eastAsia="zh-CN"/>
      </w:rPr>
    </w:pPr>
    <w:r>
      <w:drawing>
        <wp:anchor distT="0" distB="0" distL="0" distR="0" simplePos="0" relativeHeight="25165926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7" name="IM 18"/>
          <wp:cNvGraphicFramePr/>
          <a:graphic xmlns:a="http://schemas.openxmlformats.org/drawingml/2006/main">
            <a:graphicData uri="http://schemas.openxmlformats.org/drawingml/2006/picture">
              <pic:pic xmlns:pic="http://schemas.openxmlformats.org/drawingml/2006/picture">
                <pic:nvPicPr>
                  <pic:cNvPr id="37" name="IM 1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0FE88">
    <w:pPr>
      <w:spacing w:before="48" w:line="219" w:lineRule="auto"/>
      <w:ind w:left="7"/>
      <w:rPr>
        <w:rFonts w:hint="eastAsia" w:ascii="宋体" w:hAnsi="宋体" w:eastAsia="宋体" w:cs="宋体"/>
        <w:sz w:val="18"/>
        <w:szCs w:val="18"/>
        <w:lang w:eastAsia="zh-CN"/>
      </w:rPr>
    </w:pPr>
    <w:r>
      <w:drawing>
        <wp:anchor distT="0" distB="0" distL="0" distR="0" simplePos="0" relativeHeight="25167257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D36F2">
    <w:pPr>
      <w:spacing w:before="48" w:line="219" w:lineRule="auto"/>
      <w:ind w:left="7"/>
      <w:rPr>
        <w:rFonts w:hint="eastAsia" w:ascii="宋体" w:hAnsi="宋体" w:eastAsia="宋体" w:cs="宋体"/>
        <w:sz w:val="18"/>
        <w:szCs w:val="18"/>
        <w:lang w:eastAsia="zh-CN"/>
      </w:rPr>
    </w:pPr>
    <w:r>
      <w:drawing>
        <wp:anchor distT="0" distB="0" distL="0" distR="0" simplePos="0" relativeHeight="25167360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3186D">
    <w:pPr>
      <w:spacing w:before="48" w:line="219" w:lineRule="auto"/>
      <w:ind w:left="7"/>
      <w:rPr>
        <w:rFonts w:hint="eastAsia" w:ascii="宋体" w:hAnsi="宋体" w:eastAsia="宋体" w:cs="宋体"/>
        <w:sz w:val="18"/>
        <w:szCs w:val="18"/>
        <w:lang w:eastAsia="zh-CN"/>
      </w:rPr>
    </w:pPr>
    <w:r>
      <w:drawing>
        <wp:anchor distT="0" distB="0" distL="0" distR="0" simplePos="0" relativeHeight="2516654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9" name="IM 58"/>
          <wp:cNvGraphicFramePr/>
          <a:graphic xmlns:a="http://schemas.openxmlformats.org/drawingml/2006/main">
            <a:graphicData uri="http://schemas.openxmlformats.org/drawingml/2006/picture">
              <pic:pic xmlns:pic="http://schemas.openxmlformats.org/drawingml/2006/picture">
                <pic:nvPicPr>
                  <pic:cNvPr id="39" name="IM 5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45997">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1" name="IM 52"/>
          <wp:cNvGraphicFramePr/>
          <a:graphic xmlns:a="http://schemas.openxmlformats.org/drawingml/2006/main">
            <a:graphicData uri="http://schemas.openxmlformats.org/drawingml/2006/picture">
              <pic:pic xmlns:pic="http://schemas.openxmlformats.org/drawingml/2006/picture">
                <pic:nvPicPr>
                  <pic:cNvPr id="41"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94710">
    <w:pPr>
      <w:spacing w:before="48" w:line="219" w:lineRule="auto"/>
      <w:ind w:left="7"/>
      <w:rPr>
        <w:rFonts w:hint="eastAsia" w:ascii="宋体" w:hAnsi="宋体" w:eastAsia="宋体" w:cs="宋体"/>
        <w:sz w:val="18"/>
        <w:szCs w:val="18"/>
        <w:lang w:eastAsia="zh-CN"/>
      </w:rPr>
    </w:pPr>
    <w:r>
      <w:drawing>
        <wp:anchor distT="0" distB="0" distL="0" distR="0" simplePos="0" relativeHeight="25167462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3FEA2">
    <w:pPr>
      <w:spacing w:before="48" w:line="219" w:lineRule="auto"/>
      <w:ind w:left="7"/>
      <w:rPr>
        <w:rFonts w:hint="eastAsia" w:ascii="宋体" w:hAnsi="宋体" w:eastAsia="宋体" w:cs="宋体"/>
        <w:sz w:val="18"/>
        <w:szCs w:val="18"/>
        <w:lang w:eastAsia="zh-CN"/>
      </w:rPr>
    </w:pPr>
    <w:r>
      <w:drawing>
        <wp:anchor distT="0" distB="0" distL="0" distR="0" simplePos="0" relativeHeight="25165926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3" name="IM 18"/>
          <wp:cNvGraphicFramePr/>
          <a:graphic xmlns:a="http://schemas.openxmlformats.org/drawingml/2006/main">
            <a:graphicData uri="http://schemas.openxmlformats.org/drawingml/2006/picture">
              <pic:pic xmlns:pic="http://schemas.openxmlformats.org/drawingml/2006/picture">
                <pic:nvPicPr>
                  <pic:cNvPr id="43" name="IM 1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5C7A7">
    <w:pPr>
      <w:spacing w:before="48" w:line="219" w:lineRule="auto"/>
      <w:ind w:left="7"/>
      <w:rPr>
        <w:rFonts w:hint="eastAsia" w:ascii="宋体" w:hAnsi="宋体" w:eastAsia="宋体" w:cs="宋体"/>
        <w:sz w:val="18"/>
        <w:szCs w:val="18"/>
        <w:lang w:eastAsia="zh-CN"/>
      </w:rPr>
    </w:pPr>
    <w:r>
      <w:drawing>
        <wp:anchor distT="0" distB="0" distL="0" distR="0" simplePos="0" relativeHeight="25166131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22CFC">
    <w:pPr>
      <w:spacing w:before="48" w:line="219" w:lineRule="auto"/>
      <w:ind w:left="7"/>
      <w:rPr>
        <w:rFonts w:hint="eastAsia" w:ascii="宋体" w:hAnsi="宋体" w:eastAsia="宋体" w:cs="宋体"/>
        <w:sz w:val="18"/>
        <w:szCs w:val="18"/>
        <w:lang w:eastAsia="zh-CN"/>
      </w:rPr>
    </w:pPr>
    <w:r>
      <w:drawing>
        <wp:anchor distT="0" distB="0" distL="0" distR="0" simplePos="0" relativeHeight="25167564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102E">
    <w:pPr>
      <w:spacing w:before="48" w:line="219" w:lineRule="auto"/>
      <w:ind w:left="7"/>
      <w:rPr>
        <w:rFonts w:hint="eastAsia" w:ascii="宋体" w:hAnsi="宋体" w:eastAsia="宋体" w:cs="宋体"/>
        <w:sz w:val="18"/>
        <w:szCs w:val="18"/>
        <w:lang w:eastAsia="zh-CN"/>
      </w:rPr>
    </w:pPr>
    <w:r>
      <w:drawing>
        <wp:anchor distT="0" distB="0" distL="0" distR="0" simplePos="0" relativeHeight="25167667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6524C">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5" name="IM 52"/>
          <wp:cNvGraphicFramePr/>
          <a:graphic xmlns:a="http://schemas.openxmlformats.org/drawingml/2006/main">
            <a:graphicData uri="http://schemas.openxmlformats.org/drawingml/2006/picture">
              <pic:pic xmlns:pic="http://schemas.openxmlformats.org/drawingml/2006/picture">
                <pic:nvPicPr>
                  <pic:cNvPr id="45"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7650D">
    <w:pPr>
      <w:spacing w:before="48" w:line="219" w:lineRule="auto"/>
      <w:ind w:left="7"/>
      <w:rPr>
        <w:rFonts w:hint="eastAsia" w:ascii="宋体" w:hAnsi="宋体" w:eastAsia="宋体" w:cs="宋体"/>
        <w:sz w:val="18"/>
        <w:szCs w:val="18"/>
        <w:lang w:eastAsia="zh-CN"/>
      </w:rPr>
    </w:pPr>
    <w:r>
      <w:drawing>
        <wp:anchor distT="0" distB="0" distL="0" distR="0" simplePos="0" relativeHeight="25167769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6B538">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7" name="IM 52"/>
          <wp:cNvGraphicFramePr/>
          <a:graphic xmlns:a="http://schemas.openxmlformats.org/drawingml/2006/main">
            <a:graphicData uri="http://schemas.openxmlformats.org/drawingml/2006/picture">
              <pic:pic xmlns:pic="http://schemas.openxmlformats.org/drawingml/2006/picture">
                <pic:nvPicPr>
                  <pic:cNvPr id="47"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2C51">
    <w:pPr>
      <w:spacing w:before="48" w:line="219" w:lineRule="auto"/>
      <w:ind w:left="7"/>
      <w:rPr>
        <w:rFonts w:hint="eastAsia" w:ascii="宋体" w:hAnsi="宋体" w:eastAsia="宋体" w:cs="宋体"/>
        <w:sz w:val="18"/>
        <w:szCs w:val="18"/>
        <w:lang w:eastAsia="zh-CN"/>
      </w:rPr>
    </w:pPr>
    <w:r>
      <w:drawing>
        <wp:anchor distT="0" distB="0" distL="0" distR="0" simplePos="0" relativeHeight="25165926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55" name="IM 18"/>
          <wp:cNvGraphicFramePr/>
          <a:graphic xmlns:a="http://schemas.openxmlformats.org/drawingml/2006/main">
            <a:graphicData uri="http://schemas.openxmlformats.org/drawingml/2006/picture">
              <pic:pic xmlns:pic="http://schemas.openxmlformats.org/drawingml/2006/picture">
                <pic:nvPicPr>
                  <pic:cNvPr id="55" name="IM 1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3C190">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57" name="IM 52"/>
          <wp:cNvGraphicFramePr/>
          <a:graphic xmlns:a="http://schemas.openxmlformats.org/drawingml/2006/main">
            <a:graphicData uri="http://schemas.openxmlformats.org/drawingml/2006/picture">
              <pic:pic xmlns:pic="http://schemas.openxmlformats.org/drawingml/2006/picture">
                <pic:nvPicPr>
                  <pic:cNvPr id="57"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71C0B">
    <w:pPr>
      <w:spacing w:before="48" w:line="219" w:lineRule="auto"/>
      <w:ind w:left="119"/>
      <w:rPr>
        <w:rFonts w:hint="eastAsia" w:ascii="宋体" w:hAnsi="宋体" w:eastAsia="宋体" w:cs="宋体"/>
        <w:sz w:val="18"/>
        <w:szCs w:val="18"/>
        <w:lang w:eastAsia="zh-CN"/>
      </w:rPr>
    </w:pPr>
    <w:r>
      <w:drawing>
        <wp:anchor distT="0" distB="0" distL="0" distR="0" simplePos="0" relativeHeight="25167872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68075">
    <w:pPr>
      <w:spacing w:before="48" w:line="219" w:lineRule="auto"/>
      <w:ind w:left="7"/>
      <w:rPr>
        <w:rFonts w:hint="eastAsia" w:ascii="宋体" w:hAnsi="宋体" w:eastAsia="宋体" w:cs="宋体"/>
        <w:sz w:val="18"/>
        <w:szCs w:val="18"/>
        <w:lang w:eastAsia="zh-CN"/>
      </w:rPr>
    </w:pPr>
    <w:r>
      <w:drawing>
        <wp:anchor distT="0" distB="0" distL="0" distR="0" simplePos="0" relativeHeight="25167974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EDB80">
    <w:pPr>
      <w:spacing w:before="48" w:line="219" w:lineRule="auto"/>
      <w:ind w:left="7"/>
      <w:rPr>
        <w:rFonts w:hint="eastAsia" w:ascii="宋体" w:hAnsi="宋体" w:eastAsia="宋体" w:cs="宋体"/>
        <w:sz w:val="18"/>
        <w:szCs w:val="18"/>
        <w:lang w:eastAsia="zh-CN"/>
      </w:rPr>
    </w:pPr>
    <w:r>
      <w:drawing>
        <wp:anchor distT="0" distB="0" distL="0" distR="0" simplePos="0" relativeHeight="25168076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42321">
    <w:pPr>
      <w:spacing w:before="48" w:line="219" w:lineRule="auto"/>
      <w:ind w:left="7"/>
      <w:rPr>
        <w:rFonts w:hint="eastAsia" w:ascii="宋体" w:hAnsi="宋体" w:eastAsia="宋体" w:cs="宋体"/>
        <w:sz w:val="18"/>
        <w:szCs w:val="18"/>
        <w:lang w:eastAsia="zh-CN"/>
      </w:rPr>
    </w:pPr>
    <w:r>
      <w:drawing>
        <wp:anchor distT="0" distB="0" distL="0" distR="0" simplePos="0" relativeHeight="25166233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8533">
    <w:pPr>
      <w:spacing w:before="48" w:line="219" w:lineRule="auto"/>
      <w:ind w:left="7"/>
      <w:rPr>
        <w:rFonts w:hint="eastAsia" w:ascii="宋体" w:hAnsi="宋体" w:eastAsia="宋体" w:cs="宋体"/>
        <w:sz w:val="18"/>
        <w:szCs w:val="18"/>
        <w:lang w:eastAsia="zh-CN"/>
      </w:rPr>
    </w:pPr>
    <w:r>
      <w:drawing>
        <wp:anchor distT="0" distB="0" distL="0" distR="0" simplePos="0" relativeHeight="25168179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85F35">
    <w:pPr>
      <w:spacing w:before="48" w:line="219" w:lineRule="auto"/>
      <w:ind w:left="7"/>
      <w:rPr>
        <w:rFonts w:hint="eastAsia" w:ascii="宋体" w:hAnsi="宋体" w:eastAsia="宋体" w:cs="宋体"/>
        <w:sz w:val="18"/>
        <w:szCs w:val="18"/>
        <w:lang w:eastAsia="zh-CN"/>
      </w:rPr>
    </w:pPr>
    <w:r>
      <w:drawing>
        <wp:anchor distT="0" distB="0" distL="0" distR="0" simplePos="0" relativeHeight="25168281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219CA">
    <w:pPr>
      <w:spacing w:before="48" w:line="219" w:lineRule="auto"/>
      <w:ind w:left="7"/>
      <w:rPr>
        <w:rFonts w:hint="eastAsia" w:ascii="宋体" w:hAnsi="宋体" w:eastAsia="宋体" w:cs="宋体"/>
        <w:sz w:val="18"/>
        <w:szCs w:val="18"/>
        <w:lang w:eastAsia="zh-CN"/>
      </w:rPr>
    </w:pPr>
    <w:r>
      <w:drawing>
        <wp:anchor distT="0" distB="0" distL="0" distR="0" simplePos="0" relativeHeight="2516654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1" name="IM 58"/>
          <wp:cNvGraphicFramePr/>
          <a:graphic xmlns:a="http://schemas.openxmlformats.org/drawingml/2006/main">
            <a:graphicData uri="http://schemas.openxmlformats.org/drawingml/2006/picture">
              <pic:pic xmlns:pic="http://schemas.openxmlformats.org/drawingml/2006/picture">
                <pic:nvPicPr>
                  <pic:cNvPr id="61" name="IM 5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85883">
    <w:pPr>
      <w:spacing w:before="48" w:line="219" w:lineRule="auto"/>
      <w:ind w:left="14"/>
      <w:rPr>
        <w:rFonts w:hint="eastAsia" w:ascii="宋体" w:hAnsi="宋体" w:eastAsia="宋体" w:cs="宋体"/>
        <w:sz w:val="18"/>
        <w:szCs w:val="18"/>
        <w:lang w:eastAsia="zh-CN"/>
      </w:rPr>
    </w:pPr>
    <w:r>
      <w:drawing>
        <wp:anchor distT="0" distB="0" distL="0" distR="0" simplePos="0" relativeHeight="25168384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9142E">
    <w:pPr>
      <w:spacing w:before="48" w:line="219" w:lineRule="auto"/>
      <w:ind w:left="7"/>
      <w:rPr>
        <w:rFonts w:hint="eastAsia" w:ascii="宋体" w:hAnsi="宋体" w:eastAsia="宋体" w:cs="宋体"/>
        <w:sz w:val="18"/>
        <w:szCs w:val="18"/>
        <w:lang w:eastAsia="zh-CN"/>
      </w:rPr>
    </w:pPr>
    <w:r>
      <w:drawing>
        <wp:anchor distT="0" distB="0" distL="0" distR="0" simplePos="0" relativeHeight="25168486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C874E">
    <w:pPr>
      <w:spacing w:before="48" w:line="219" w:lineRule="auto"/>
      <w:ind w:left="7"/>
      <w:rPr>
        <w:rFonts w:hint="eastAsia" w:ascii="宋体" w:hAnsi="宋体" w:eastAsia="宋体" w:cs="宋体"/>
        <w:sz w:val="18"/>
        <w:szCs w:val="18"/>
        <w:lang w:eastAsia="zh-CN"/>
      </w:rPr>
    </w:pPr>
    <w:r>
      <w:drawing>
        <wp:anchor distT="0" distB="0" distL="0" distR="0" simplePos="0" relativeHeight="2516654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2" name="IM 58"/>
          <wp:cNvGraphicFramePr/>
          <a:graphic xmlns:a="http://schemas.openxmlformats.org/drawingml/2006/main">
            <a:graphicData uri="http://schemas.openxmlformats.org/drawingml/2006/picture">
              <pic:pic xmlns:pic="http://schemas.openxmlformats.org/drawingml/2006/picture">
                <pic:nvPicPr>
                  <pic:cNvPr id="62" name="IM 5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CF42A">
    <w:pPr>
      <w:spacing w:before="48" w:line="219" w:lineRule="auto"/>
      <w:ind w:left="7"/>
      <w:rPr>
        <w:rFonts w:hint="eastAsia" w:ascii="宋体" w:hAnsi="宋体" w:eastAsia="宋体" w:cs="宋体"/>
        <w:sz w:val="18"/>
        <w:szCs w:val="18"/>
        <w:lang w:eastAsia="zh-CN"/>
      </w:rPr>
    </w:pPr>
    <w:r>
      <w:drawing>
        <wp:anchor distT="0" distB="0" distL="0" distR="0" simplePos="0" relativeHeight="25168588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C1356">
    <w:pPr>
      <w:spacing w:before="48" w:line="219" w:lineRule="auto"/>
      <w:ind w:left="119"/>
      <w:rPr>
        <w:rFonts w:hint="eastAsia" w:ascii="宋体" w:hAnsi="宋体" w:eastAsia="宋体" w:cs="宋体"/>
        <w:sz w:val="18"/>
        <w:szCs w:val="18"/>
        <w:lang w:eastAsia="zh-CN"/>
      </w:rPr>
    </w:pPr>
    <w:r>
      <w:drawing>
        <wp:anchor distT="0" distB="0" distL="0" distR="0" simplePos="0" relativeHeight="25168691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CE20C">
    <w:pPr>
      <w:spacing w:before="48" w:line="219" w:lineRule="auto"/>
      <w:ind w:left="152"/>
      <w:rPr>
        <w:rFonts w:hint="eastAsia" w:ascii="宋体" w:hAnsi="宋体" w:eastAsia="宋体" w:cs="宋体"/>
        <w:sz w:val="18"/>
        <w:szCs w:val="18"/>
        <w:lang w:eastAsia="zh-CN"/>
      </w:rPr>
    </w:pPr>
    <w:r>
      <w:drawing>
        <wp:anchor distT="0" distB="0" distL="0" distR="0" simplePos="0" relativeHeight="25168793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65412">
    <w:pPr>
      <w:spacing w:before="48" w:line="219" w:lineRule="auto"/>
      <w:ind w:left="152"/>
      <w:rPr>
        <w:rFonts w:hint="eastAsia" w:ascii="宋体" w:hAnsi="宋体" w:eastAsia="宋体" w:cs="宋体"/>
        <w:sz w:val="18"/>
        <w:szCs w:val="18"/>
        <w:lang w:eastAsia="zh-CN"/>
      </w:rPr>
    </w:pPr>
    <w:r>
      <w:drawing>
        <wp:anchor distT="0" distB="0" distL="0" distR="0" simplePos="0" relativeHeight="25169817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2" name="IM 140"/>
          <wp:cNvGraphicFramePr/>
          <a:graphic xmlns:a="http://schemas.openxmlformats.org/drawingml/2006/main">
            <a:graphicData uri="http://schemas.openxmlformats.org/drawingml/2006/picture">
              <pic:pic xmlns:pic="http://schemas.openxmlformats.org/drawingml/2006/picture">
                <pic:nvPicPr>
                  <pic:cNvPr id="12" name="IM 14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1623E">
    <w:pPr>
      <w:spacing w:before="48" w:line="219" w:lineRule="auto"/>
      <w:ind w:left="14"/>
      <w:rPr>
        <w:rFonts w:hint="eastAsia" w:ascii="宋体" w:hAnsi="宋体" w:eastAsia="宋体" w:cs="宋体"/>
        <w:sz w:val="18"/>
        <w:szCs w:val="18"/>
        <w:lang w:eastAsia="zh-CN"/>
      </w:rPr>
    </w:pPr>
    <w:r>
      <w:drawing>
        <wp:anchor distT="0" distB="0" distL="0" distR="0" simplePos="0" relativeHeight="25166336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63371">
    <w:pPr>
      <w:spacing w:before="48" w:line="219" w:lineRule="auto"/>
      <w:ind w:left="123"/>
      <w:rPr>
        <w:rFonts w:hint="eastAsia" w:ascii="宋体" w:hAnsi="宋体" w:eastAsia="宋体" w:cs="宋体"/>
        <w:sz w:val="18"/>
        <w:szCs w:val="18"/>
        <w:lang w:eastAsia="zh-CN"/>
      </w:rPr>
    </w:pPr>
    <w:r>
      <w:drawing>
        <wp:anchor distT="0" distB="0" distL="0" distR="0" simplePos="0" relativeHeight="25168896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69AAB">
    <w:pPr>
      <w:spacing w:before="48" w:line="219" w:lineRule="auto"/>
      <w:ind w:left="152"/>
      <w:rPr>
        <w:rFonts w:hint="eastAsia" w:ascii="宋体" w:hAnsi="宋体" w:eastAsia="宋体" w:cs="宋体"/>
        <w:sz w:val="18"/>
        <w:szCs w:val="18"/>
        <w:lang w:eastAsia="zh-CN"/>
      </w:rPr>
    </w:pPr>
    <w:r>
      <w:drawing>
        <wp:anchor distT="0" distB="0" distL="0" distR="0" simplePos="0" relativeHeight="25168793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3" name="IM 140"/>
          <wp:cNvGraphicFramePr/>
          <a:graphic xmlns:a="http://schemas.openxmlformats.org/drawingml/2006/main">
            <a:graphicData uri="http://schemas.openxmlformats.org/drawingml/2006/picture">
              <pic:pic xmlns:pic="http://schemas.openxmlformats.org/drawingml/2006/picture">
                <pic:nvPicPr>
                  <pic:cNvPr id="63" name="IM 14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BCFC1">
    <w:pPr>
      <w:spacing w:before="48" w:line="219" w:lineRule="auto"/>
      <w:ind w:left="123"/>
      <w:rPr>
        <w:rFonts w:hint="eastAsia" w:ascii="宋体" w:hAnsi="宋体" w:eastAsia="宋体" w:cs="宋体"/>
        <w:sz w:val="18"/>
        <w:szCs w:val="18"/>
        <w:lang w:eastAsia="zh-CN"/>
      </w:rPr>
    </w:pPr>
    <w:r>
      <w:drawing>
        <wp:anchor distT="0" distB="0" distL="0" distR="0" simplePos="0" relativeHeight="25168896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4" name="IM 142"/>
          <wp:cNvGraphicFramePr/>
          <a:graphic xmlns:a="http://schemas.openxmlformats.org/drawingml/2006/main">
            <a:graphicData uri="http://schemas.openxmlformats.org/drawingml/2006/picture">
              <pic:pic xmlns:pic="http://schemas.openxmlformats.org/drawingml/2006/picture">
                <pic:nvPicPr>
                  <pic:cNvPr id="64" name="IM 14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22A35">
    <w:pPr>
      <w:spacing w:before="48" w:line="219" w:lineRule="auto"/>
      <w:ind w:left="351"/>
      <w:rPr>
        <w:rFonts w:hint="eastAsia" w:ascii="宋体" w:hAnsi="宋体" w:eastAsia="宋体" w:cs="宋体"/>
        <w:sz w:val="18"/>
        <w:szCs w:val="18"/>
        <w:lang w:eastAsia="zh-CN"/>
      </w:rPr>
    </w:pPr>
    <w:r>
      <w:drawing>
        <wp:anchor distT="0" distB="0" distL="0" distR="0" simplePos="0" relativeHeight="2516899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AE692">
    <w:pPr>
      <w:spacing w:before="48" w:line="219" w:lineRule="auto"/>
      <w:ind w:left="7"/>
      <w:rPr>
        <w:rFonts w:hint="eastAsia" w:ascii="宋体" w:hAnsi="宋体" w:eastAsia="宋体" w:cs="宋体"/>
        <w:sz w:val="18"/>
        <w:szCs w:val="18"/>
        <w:lang w:eastAsia="zh-CN"/>
      </w:rPr>
    </w:pPr>
    <w:r>
      <w:drawing>
        <wp:anchor distT="0" distB="0" distL="0" distR="0" simplePos="0" relativeHeight="251691008"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7A3B2">
    <w:pPr>
      <w:spacing w:before="48" w:line="219" w:lineRule="auto"/>
      <w:ind w:left="243"/>
      <w:rPr>
        <w:rFonts w:hint="eastAsia" w:ascii="宋体" w:hAnsi="宋体" w:eastAsia="宋体" w:cs="宋体"/>
        <w:sz w:val="18"/>
        <w:szCs w:val="18"/>
        <w:lang w:eastAsia="zh-CN"/>
      </w:rPr>
    </w:pPr>
    <w:r>
      <w:drawing>
        <wp:anchor distT="0" distB="0" distL="0" distR="0" simplePos="0" relativeHeight="2516920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E331C">
    <w:pPr>
      <w:spacing w:before="48" w:line="219" w:lineRule="auto"/>
      <w:ind w:left="243"/>
      <w:rPr>
        <w:rFonts w:hint="eastAsia" w:ascii="宋体" w:hAnsi="宋体" w:eastAsia="宋体" w:cs="宋体"/>
        <w:sz w:val="18"/>
        <w:szCs w:val="18"/>
        <w:lang w:eastAsia="zh-CN"/>
      </w:rPr>
    </w:pPr>
    <w:r>
      <w:drawing>
        <wp:anchor distT="0" distB="0" distL="0" distR="0" simplePos="0" relativeHeight="25169920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4" name="IM 148"/>
          <wp:cNvGraphicFramePr/>
          <a:graphic xmlns:a="http://schemas.openxmlformats.org/drawingml/2006/main">
            <a:graphicData uri="http://schemas.openxmlformats.org/drawingml/2006/picture">
              <pic:pic xmlns:pic="http://schemas.openxmlformats.org/drawingml/2006/picture">
                <pic:nvPicPr>
                  <pic:cNvPr id="14" name="IM 14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E6172">
    <w:pPr>
      <w:spacing w:before="48" w:line="219" w:lineRule="auto"/>
      <w:ind w:left="183"/>
      <w:rPr>
        <w:rFonts w:hint="eastAsia" w:ascii="宋体" w:hAnsi="宋体" w:eastAsia="宋体" w:cs="宋体"/>
        <w:sz w:val="18"/>
        <w:szCs w:val="18"/>
        <w:lang w:eastAsia="zh-CN"/>
      </w:rPr>
    </w:pPr>
    <w:r>
      <w:drawing>
        <wp:anchor distT="0" distB="0" distL="0" distR="0" simplePos="0" relativeHeight="25169305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FDAF7">
    <w:pPr>
      <w:spacing w:before="48" w:line="219" w:lineRule="auto"/>
      <w:ind w:left="7"/>
      <w:rPr>
        <w:rFonts w:hint="eastAsia" w:ascii="宋体" w:hAnsi="宋体" w:eastAsia="宋体" w:cs="宋体"/>
        <w:sz w:val="18"/>
        <w:szCs w:val="18"/>
        <w:lang w:eastAsia="zh-CN"/>
      </w:rPr>
    </w:pPr>
    <w:r>
      <w:drawing>
        <wp:anchor distT="0" distB="0" distL="0" distR="0" simplePos="0" relativeHeight="251666432"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5" name="IM 60"/>
          <wp:cNvGraphicFramePr/>
          <a:graphic xmlns:a="http://schemas.openxmlformats.org/drawingml/2006/main">
            <a:graphicData uri="http://schemas.openxmlformats.org/drawingml/2006/picture">
              <pic:pic xmlns:pic="http://schemas.openxmlformats.org/drawingml/2006/picture">
                <pic:nvPicPr>
                  <pic:cNvPr id="65" name="IM 60"/>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B7F03">
    <w:pPr>
      <w:spacing w:before="48" w:line="219" w:lineRule="auto"/>
      <w:ind w:left="7"/>
      <w:rPr>
        <w:rFonts w:hint="eastAsia" w:ascii="宋体" w:hAnsi="宋体" w:eastAsia="宋体" w:cs="宋体"/>
        <w:sz w:val="18"/>
        <w:szCs w:val="18"/>
        <w:lang w:eastAsia="zh-CN"/>
      </w:rPr>
    </w:pPr>
    <w:r>
      <w:drawing>
        <wp:anchor distT="0" distB="0" distL="0" distR="0" simplePos="0" relativeHeight="2516940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E22E6">
    <w:pPr>
      <w:spacing w:before="48" w:line="219" w:lineRule="auto"/>
      <w:ind w:left="7"/>
      <w:rPr>
        <w:rFonts w:hint="eastAsia" w:ascii="宋体" w:hAnsi="宋体" w:eastAsia="宋体" w:cs="宋体"/>
        <w:sz w:val="18"/>
        <w:szCs w:val="18"/>
        <w:lang w:eastAsia="zh-CN"/>
      </w:rPr>
    </w:pPr>
    <w:r>
      <w:drawing>
        <wp:anchor distT="0" distB="0" distL="0" distR="0" simplePos="0" relativeHeight="251664384"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9" name="IM 52"/>
          <wp:cNvGraphicFramePr/>
          <a:graphic xmlns:a="http://schemas.openxmlformats.org/drawingml/2006/main">
            <a:graphicData uri="http://schemas.openxmlformats.org/drawingml/2006/picture">
              <pic:pic xmlns:pic="http://schemas.openxmlformats.org/drawingml/2006/picture">
                <pic:nvPicPr>
                  <pic:cNvPr id="9" name="IM 52"/>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E6356">
    <w:pPr>
      <w:spacing w:before="48" w:line="219" w:lineRule="auto"/>
      <w:ind w:left="119"/>
      <w:rPr>
        <w:rFonts w:hint="eastAsia" w:ascii="宋体" w:hAnsi="宋体" w:eastAsia="宋体" w:cs="宋体"/>
        <w:sz w:val="18"/>
        <w:szCs w:val="18"/>
        <w:lang w:eastAsia="zh-CN"/>
      </w:rPr>
    </w:pPr>
    <w:r>
      <w:drawing>
        <wp:anchor distT="0" distB="0" distL="0" distR="0" simplePos="0" relativeHeight="25166745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BA7A">
    <w:pPr>
      <w:spacing w:before="48" w:line="219" w:lineRule="auto"/>
      <w:ind w:left="119"/>
      <w:rPr>
        <w:rFonts w:hint="eastAsia" w:ascii="宋体" w:hAnsi="宋体" w:eastAsia="宋体" w:cs="宋体"/>
        <w:sz w:val="18"/>
        <w:szCs w:val="18"/>
        <w:lang w:eastAsia="zh-CN"/>
      </w:rPr>
    </w:pPr>
    <w:r>
      <w:drawing>
        <wp:anchor distT="0" distB="0" distL="0" distR="0" simplePos="0" relativeHeight="251667456"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11" name="IM 66"/>
          <wp:cNvGraphicFramePr/>
          <a:graphic xmlns:a="http://schemas.openxmlformats.org/drawingml/2006/main">
            <a:graphicData uri="http://schemas.openxmlformats.org/drawingml/2006/picture">
              <pic:pic xmlns:pic="http://schemas.openxmlformats.org/drawingml/2006/picture">
                <pic:nvPicPr>
                  <pic:cNvPr id="11" name="IM 66"/>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4C2FD">
    <w:pPr>
      <w:spacing w:before="48" w:line="219" w:lineRule="auto"/>
      <w:ind w:left="119"/>
      <w:rPr>
        <w:rFonts w:hint="eastAsia" w:ascii="宋体" w:hAnsi="宋体" w:eastAsia="宋体" w:cs="宋体"/>
        <w:sz w:val="18"/>
        <w:szCs w:val="18"/>
        <w:lang w:eastAsia="zh-CN"/>
      </w:rPr>
    </w:pPr>
    <w:r>
      <w:drawing>
        <wp:anchor distT="0" distB="0" distL="0" distR="0" simplePos="0" relativeHeight="251668480" behindDoc="0" locked="0" layoutInCell="0" allowOverlap="1">
          <wp:simplePos x="0" y="0"/>
          <wp:positionH relativeFrom="page">
            <wp:posOffset>899160</wp:posOffset>
          </wp:positionH>
          <wp:positionV relativeFrom="page">
            <wp:posOffset>713740</wp:posOffset>
          </wp:positionV>
          <wp:extent cx="5760720" cy="635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5760720" cy="6350"/>
                  </a:xfrm>
                  <a:prstGeom prst="rect">
                    <a:avLst/>
                  </a:prstGeom>
                </pic:spPr>
              </pic:pic>
            </a:graphicData>
          </a:graphic>
        </wp:anchor>
      </w:drawing>
    </w:r>
    <w:r>
      <w:rPr>
        <w:rFonts w:hint="eastAsia" w:ascii="宋体" w:hAnsi="宋体" w:cs="宋体"/>
        <w:spacing w:val="-1"/>
        <w:sz w:val="18"/>
        <w:szCs w:val="18"/>
        <w:lang w:eastAsia="zh-CN"/>
      </w:rPr>
      <w:t>云安区白石镇X491线白石街至东星四升三改建工程施工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7D0E1"/>
    <w:multiLevelType w:val="singleLevel"/>
    <w:tmpl w:val="8037D0E1"/>
    <w:lvl w:ilvl="0" w:tentative="0">
      <w:start w:val="8"/>
      <w:numFmt w:val="decimal"/>
      <w:suff w:val="nothing"/>
      <w:lvlText w:val="（%1）"/>
      <w:lvlJc w:val="left"/>
    </w:lvl>
  </w:abstractNum>
  <w:abstractNum w:abstractNumId="1">
    <w:nsid w:val="9C8889BB"/>
    <w:multiLevelType w:val="singleLevel"/>
    <w:tmpl w:val="9C8889BB"/>
    <w:lvl w:ilvl="0" w:tentative="0">
      <w:start w:val="1"/>
      <w:numFmt w:val="decimal"/>
      <w:suff w:val="nothing"/>
      <w:lvlText w:val="%1、"/>
      <w:lvlJc w:val="left"/>
    </w:lvl>
  </w:abstractNum>
  <w:abstractNum w:abstractNumId="2">
    <w:nsid w:val="BE45F6F5"/>
    <w:multiLevelType w:val="singleLevel"/>
    <w:tmpl w:val="BE45F6F5"/>
    <w:lvl w:ilvl="0" w:tentative="0">
      <w:start w:val="1"/>
      <w:numFmt w:val="decimal"/>
      <w:suff w:val="nothing"/>
      <w:lvlText w:val="（%1）"/>
      <w:lvlJc w:val="left"/>
    </w:lvl>
  </w:abstractNum>
  <w:abstractNum w:abstractNumId="3">
    <w:nsid w:val="F8582089"/>
    <w:multiLevelType w:val="singleLevel"/>
    <w:tmpl w:val="F8582089"/>
    <w:lvl w:ilvl="0" w:tentative="0">
      <w:start w:val="2"/>
      <w:numFmt w:val="decimal"/>
      <w:suff w:val="nothing"/>
      <w:lvlText w:val="（%1）"/>
      <w:lvlJc w:val="left"/>
    </w:lvl>
  </w:abstractNum>
  <w:abstractNum w:abstractNumId="4">
    <w:nsid w:val="284711AF"/>
    <w:multiLevelType w:val="singleLevel"/>
    <w:tmpl w:val="284711AF"/>
    <w:lvl w:ilvl="0" w:tentative="0">
      <w:start w:val="1"/>
      <w:numFmt w:val="decimal"/>
      <w:suff w:val="nothing"/>
      <w:lvlText w:val="（%1）"/>
      <w:lvlJc w:val="left"/>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isplayBackgroundShape w:val="1"/>
  <w:embedSystem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4F37F0"/>
    <w:rsid w:val="008878D1"/>
    <w:rsid w:val="00E051D2"/>
    <w:rsid w:val="013C147D"/>
    <w:rsid w:val="015613C6"/>
    <w:rsid w:val="01F952D5"/>
    <w:rsid w:val="02A52864"/>
    <w:rsid w:val="02DC37AD"/>
    <w:rsid w:val="034F6D88"/>
    <w:rsid w:val="043240D0"/>
    <w:rsid w:val="05BC1DCB"/>
    <w:rsid w:val="067130EC"/>
    <w:rsid w:val="0B9E2072"/>
    <w:rsid w:val="0C10671B"/>
    <w:rsid w:val="0CD3352A"/>
    <w:rsid w:val="0D1B79F7"/>
    <w:rsid w:val="0FFF06C6"/>
    <w:rsid w:val="121037AB"/>
    <w:rsid w:val="14B065CB"/>
    <w:rsid w:val="16274D2D"/>
    <w:rsid w:val="193B52E8"/>
    <w:rsid w:val="1A514F41"/>
    <w:rsid w:val="1BE3353D"/>
    <w:rsid w:val="1C5309A9"/>
    <w:rsid w:val="1C5A767B"/>
    <w:rsid w:val="1D010490"/>
    <w:rsid w:val="1F8A7568"/>
    <w:rsid w:val="20AC3C5E"/>
    <w:rsid w:val="20F601BA"/>
    <w:rsid w:val="22D63DCA"/>
    <w:rsid w:val="22D93D30"/>
    <w:rsid w:val="24B95CF3"/>
    <w:rsid w:val="24BB5086"/>
    <w:rsid w:val="265C2728"/>
    <w:rsid w:val="27B84167"/>
    <w:rsid w:val="29F224B1"/>
    <w:rsid w:val="2AB60CD7"/>
    <w:rsid w:val="2AC071BC"/>
    <w:rsid w:val="2F2754FA"/>
    <w:rsid w:val="2F2820FC"/>
    <w:rsid w:val="2F345639"/>
    <w:rsid w:val="306053C5"/>
    <w:rsid w:val="311D5B71"/>
    <w:rsid w:val="31515268"/>
    <w:rsid w:val="32C25910"/>
    <w:rsid w:val="336C3D5A"/>
    <w:rsid w:val="34F65FC0"/>
    <w:rsid w:val="354B22F0"/>
    <w:rsid w:val="36C838F1"/>
    <w:rsid w:val="3711425A"/>
    <w:rsid w:val="38267884"/>
    <w:rsid w:val="393D0552"/>
    <w:rsid w:val="39BD07EA"/>
    <w:rsid w:val="39E47BC6"/>
    <w:rsid w:val="3A691A14"/>
    <w:rsid w:val="3AF34F96"/>
    <w:rsid w:val="3BE9676F"/>
    <w:rsid w:val="3C1108C0"/>
    <w:rsid w:val="3E9D3E70"/>
    <w:rsid w:val="3ECA2888"/>
    <w:rsid w:val="3EEB4314"/>
    <w:rsid w:val="3FC714BD"/>
    <w:rsid w:val="40FF6489"/>
    <w:rsid w:val="42756E85"/>
    <w:rsid w:val="42A83B9D"/>
    <w:rsid w:val="43F6252A"/>
    <w:rsid w:val="4450382F"/>
    <w:rsid w:val="44BF0116"/>
    <w:rsid w:val="45BE6BF8"/>
    <w:rsid w:val="46792EF7"/>
    <w:rsid w:val="47FE7A46"/>
    <w:rsid w:val="4816089F"/>
    <w:rsid w:val="48C24302"/>
    <w:rsid w:val="48E45E9B"/>
    <w:rsid w:val="48FF416F"/>
    <w:rsid w:val="4B7F39CE"/>
    <w:rsid w:val="4C452D46"/>
    <w:rsid w:val="4D6978B0"/>
    <w:rsid w:val="4EB95CAD"/>
    <w:rsid w:val="4EFB3A2F"/>
    <w:rsid w:val="4F510AB7"/>
    <w:rsid w:val="4FA21BB6"/>
    <w:rsid w:val="500D5162"/>
    <w:rsid w:val="513020E2"/>
    <w:rsid w:val="51464D0C"/>
    <w:rsid w:val="51B17702"/>
    <w:rsid w:val="52B003B3"/>
    <w:rsid w:val="53092849"/>
    <w:rsid w:val="534A2F7C"/>
    <w:rsid w:val="54967C7B"/>
    <w:rsid w:val="552125CD"/>
    <w:rsid w:val="5634758F"/>
    <w:rsid w:val="574E63CD"/>
    <w:rsid w:val="580E0A43"/>
    <w:rsid w:val="589D18BA"/>
    <w:rsid w:val="58FE3C15"/>
    <w:rsid w:val="59C93F63"/>
    <w:rsid w:val="5DC80679"/>
    <w:rsid w:val="5DD02C46"/>
    <w:rsid w:val="5E271773"/>
    <w:rsid w:val="5FA92703"/>
    <w:rsid w:val="6008746E"/>
    <w:rsid w:val="614A647F"/>
    <w:rsid w:val="62027C1B"/>
    <w:rsid w:val="62182A46"/>
    <w:rsid w:val="63492EDE"/>
    <w:rsid w:val="63E37DC4"/>
    <w:rsid w:val="664974FE"/>
    <w:rsid w:val="67836400"/>
    <w:rsid w:val="69E60B36"/>
    <w:rsid w:val="6ADD2D78"/>
    <w:rsid w:val="6CF90F40"/>
    <w:rsid w:val="6E2E0238"/>
    <w:rsid w:val="717F2E1E"/>
    <w:rsid w:val="71E3568A"/>
    <w:rsid w:val="733817AF"/>
    <w:rsid w:val="74493C73"/>
    <w:rsid w:val="74EF044D"/>
    <w:rsid w:val="76EB7264"/>
    <w:rsid w:val="772334AF"/>
    <w:rsid w:val="788C05D2"/>
    <w:rsid w:val="78A21BA4"/>
    <w:rsid w:val="79464C25"/>
    <w:rsid w:val="7B2E151D"/>
    <w:rsid w:val="7C8E29B5"/>
    <w:rsid w:val="7CA9532B"/>
    <w:rsid w:val="7CAC5947"/>
    <w:rsid w:val="7DB73EFE"/>
    <w:rsid w:val="7DD416B2"/>
    <w:rsid w:val="7E0E3466"/>
    <w:rsid w:val="7E8E0156"/>
    <w:rsid w:val="7F3C4704"/>
    <w:rsid w:val="7FFC35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宋体"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1"/>
      <w:szCs w:val="21"/>
      <w:lang w:val="en-US" w:eastAsia="en-US" w:bidi="ar-SA"/>
    </w:rPr>
  </w:style>
  <w:style w:type="character" w:customStyle="1" w:styleId="10">
    <w:name w:val="正文文本 (2) + 10 pt37"/>
    <w:qFormat/>
    <w:uiPriority w:val="99"/>
    <w:rPr>
      <w:rFonts w:ascii="MingLiU" w:eastAsia="MingLiU" w:cs="MingLiU"/>
      <w:spacing w:val="0"/>
      <w:sz w:val="20"/>
      <w:szCs w:val="20"/>
      <w:u w:val="none"/>
    </w:rPr>
  </w:style>
  <w:style w:type="paragraph" w:customStyle="1" w:styleId="11">
    <w:name w:val="Table Paragraph"/>
    <w:basedOn w:val="1"/>
    <w:qFormat/>
    <w:uiPriority w:val="1"/>
    <w:rPr>
      <w:rFonts w:ascii="宋体" w:hAnsi="宋体" w:eastAsia="宋体" w:cs="宋体"/>
      <w:lang w:val="zh-CN" w:eastAsia="zh-CN" w:bidi="zh-CN"/>
    </w:rPr>
  </w:style>
  <w:style w:type="character" w:customStyle="1" w:styleId="12">
    <w:name w:val="font41"/>
    <w:basedOn w:val="7"/>
    <w:qFormat/>
    <w:uiPriority w:val="0"/>
    <w:rPr>
      <w:rFonts w:ascii="Arial" w:hAnsi="Arial" w:cs="Arial"/>
      <w:color w:val="000000"/>
      <w:sz w:val="13"/>
      <w:szCs w:val="13"/>
      <w:u w:val="none"/>
    </w:rPr>
  </w:style>
  <w:style w:type="character" w:customStyle="1" w:styleId="13">
    <w:name w:val="font51"/>
    <w:basedOn w:val="7"/>
    <w:qFormat/>
    <w:uiPriority w:val="0"/>
    <w:rPr>
      <w:rFonts w:ascii="宋体" w:hAnsi="宋体" w:eastAsia="宋体" w:cs="宋体"/>
      <w:color w:val="000000"/>
      <w:sz w:val="28"/>
      <w:szCs w:val="28"/>
      <w:u w:val="none"/>
    </w:rPr>
  </w:style>
  <w:style w:type="character" w:customStyle="1" w:styleId="14">
    <w:name w:val="font21"/>
    <w:basedOn w:val="7"/>
    <w:qFormat/>
    <w:uiPriority w:val="0"/>
    <w:rPr>
      <w:rFonts w:ascii="宋体" w:hAnsi="宋体" w:eastAsia="宋体" w:cs="宋体"/>
      <w:color w:val="606060"/>
      <w:sz w:val="28"/>
      <w:szCs w:val="28"/>
      <w:u w:val="none"/>
    </w:rPr>
  </w:style>
  <w:style w:type="character" w:customStyle="1" w:styleId="15">
    <w:name w:val="font31"/>
    <w:basedOn w:val="7"/>
    <w:qFormat/>
    <w:uiPriority w:val="0"/>
    <w:rPr>
      <w:rFonts w:ascii="宋体" w:hAnsi="宋体" w:eastAsia="宋体" w:cs="宋体"/>
      <w:color w:val="606070"/>
      <w:sz w:val="28"/>
      <w:szCs w:val="28"/>
      <w:u w:val="none"/>
    </w:rPr>
  </w:style>
  <w:style w:type="character" w:customStyle="1" w:styleId="16">
    <w:name w:val="font61"/>
    <w:basedOn w:val="7"/>
    <w:qFormat/>
    <w:uiPriority w:val="0"/>
    <w:rPr>
      <w:rFonts w:hint="default" w:ascii="Arial" w:hAnsi="Arial" w:cs="Arial"/>
      <w:color w:val="000000"/>
      <w:sz w:val="15"/>
      <w:szCs w:val="15"/>
      <w:u w:val="none"/>
    </w:rPr>
  </w:style>
</w:styles>
</file>

<file path=word/_rels/document.xml.rels><?xml version="1.0" encoding="UTF-8" standalone="yes"?>
<Relationships xmlns="http://schemas.openxmlformats.org/package/2006/relationships"><Relationship Id="rId99" Type="http://schemas.openxmlformats.org/officeDocument/2006/relationships/footer" Target="footer66.xml"/><Relationship Id="rId98" Type="http://schemas.openxmlformats.org/officeDocument/2006/relationships/footer" Target="footer65.xml"/><Relationship Id="rId97" Type="http://schemas.openxmlformats.org/officeDocument/2006/relationships/header" Target="header29.xml"/><Relationship Id="rId96" Type="http://schemas.openxmlformats.org/officeDocument/2006/relationships/footer" Target="footer64.xml"/><Relationship Id="rId95" Type="http://schemas.openxmlformats.org/officeDocument/2006/relationships/header" Target="header28.xml"/><Relationship Id="rId94" Type="http://schemas.openxmlformats.org/officeDocument/2006/relationships/footer" Target="footer63.xml"/><Relationship Id="rId93" Type="http://schemas.openxmlformats.org/officeDocument/2006/relationships/footer" Target="footer62.xml"/><Relationship Id="rId92" Type="http://schemas.openxmlformats.org/officeDocument/2006/relationships/header" Target="header27.xml"/><Relationship Id="rId91" Type="http://schemas.openxmlformats.org/officeDocument/2006/relationships/footer" Target="footer61.xml"/><Relationship Id="rId90" Type="http://schemas.openxmlformats.org/officeDocument/2006/relationships/header" Target="header26.xml"/><Relationship Id="rId9" Type="http://schemas.openxmlformats.org/officeDocument/2006/relationships/footer" Target="footer4.xml"/><Relationship Id="rId89" Type="http://schemas.openxmlformats.org/officeDocument/2006/relationships/footer" Target="footer60.xml"/><Relationship Id="rId88" Type="http://schemas.openxmlformats.org/officeDocument/2006/relationships/footer" Target="footer59.xml"/><Relationship Id="rId87" Type="http://schemas.openxmlformats.org/officeDocument/2006/relationships/footer" Target="footer58.xml"/><Relationship Id="rId86" Type="http://schemas.openxmlformats.org/officeDocument/2006/relationships/header" Target="header25.xml"/><Relationship Id="rId85" Type="http://schemas.openxmlformats.org/officeDocument/2006/relationships/footer" Target="footer57.xml"/><Relationship Id="rId84" Type="http://schemas.openxmlformats.org/officeDocument/2006/relationships/footer" Target="footer56.xml"/><Relationship Id="rId83" Type="http://schemas.openxmlformats.org/officeDocument/2006/relationships/header" Target="header24.xml"/><Relationship Id="rId82" Type="http://schemas.openxmlformats.org/officeDocument/2006/relationships/footer" Target="footer55.xml"/><Relationship Id="rId81" Type="http://schemas.openxmlformats.org/officeDocument/2006/relationships/header" Target="header23.xml"/><Relationship Id="rId80" Type="http://schemas.openxmlformats.org/officeDocument/2006/relationships/footer" Target="footer54.xml"/><Relationship Id="rId8" Type="http://schemas.openxmlformats.org/officeDocument/2006/relationships/footer" Target="footer3.xml"/><Relationship Id="rId79" Type="http://schemas.openxmlformats.org/officeDocument/2006/relationships/header" Target="header22.xml"/><Relationship Id="rId78" Type="http://schemas.openxmlformats.org/officeDocument/2006/relationships/footer" Target="footer53.xml"/><Relationship Id="rId77" Type="http://schemas.openxmlformats.org/officeDocument/2006/relationships/footer" Target="footer52.xml"/><Relationship Id="rId76" Type="http://schemas.openxmlformats.org/officeDocument/2006/relationships/header" Target="header21.xml"/><Relationship Id="rId75" Type="http://schemas.openxmlformats.org/officeDocument/2006/relationships/footer" Target="footer51.xml"/><Relationship Id="rId74" Type="http://schemas.openxmlformats.org/officeDocument/2006/relationships/footer" Target="footer50.xml"/><Relationship Id="rId73" Type="http://schemas.openxmlformats.org/officeDocument/2006/relationships/header" Target="header20.xml"/><Relationship Id="rId72" Type="http://schemas.openxmlformats.org/officeDocument/2006/relationships/footer" Target="footer49.xml"/><Relationship Id="rId71" Type="http://schemas.openxmlformats.org/officeDocument/2006/relationships/footer" Target="footer48.xml"/><Relationship Id="rId70" Type="http://schemas.openxmlformats.org/officeDocument/2006/relationships/header" Target="header19.xml"/><Relationship Id="rId7" Type="http://schemas.openxmlformats.org/officeDocument/2006/relationships/header" Target="header1.xml"/><Relationship Id="rId69" Type="http://schemas.openxmlformats.org/officeDocument/2006/relationships/footer" Target="footer47.xml"/><Relationship Id="rId68" Type="http://schemas.openxmlformats.org/officeDocument/2006/relationships/footer" Target="footer46.xml"/><Relationship Id="rId67" Type="http://schemas.openxmlformats.org/officeDocument/2006/relationships/header" Target="header18.xml"/><Relationship Id="rId66" Type="http://schemas.openxmlformats.org/officeDocument/2006/relationships/footer" Target="footer45.xml"/><Relationship Id="rId65" Type="http://schemas.openxmlformats.org/officeDocument/2006/relationships/footer" Target="footer44.xml"/><Relationship Id="rId64" Type="http://schemas.openxmlformats.org/officeDocument/2006/relationships/header" Target="header17.xml"/><Relationship Id="rId63" Type="http://schemas.openxmlformats.org/officeDocument/2006/relationships/footer" Target="footer43.xml"/><Relationship Id="rId62" Type="http://schemas.openxmlformats.org/officeDocument/2006/relationships/footer" Target="footer42.xml"/><Relationship Id="rId61" Type="http://schemas.openxmlformats.org/officeDocument/2006/relationships/footer" Target="footer41.xml"/><Relationship Id="rId60" Type="http://schemas.openxmlformats.org/officeDocument/2006/relationships/footer" Target="footer40.xml"/><Relationship Id="rId6" Type="http://schemas.openxmlformats.org/officeDocument/2006/relationships/footer" Target="footer2.xml"/><Relationship Id="rId59" Type="http://schemas.openxmlformats.org/officeDocument/2006/relationships/footer" Target="footer39.xml"/><Relationship Id="rId58" Type="http://schemas.openxmlformats.org/officeDocument/2006/relationships/header" Target="header16.xml"/><Relationship Id="rId57" Type="http://schemas.openxmlformats.org/officeDocument/2006/relationships/footer" Target="footer38.xml"/><Relationship Id="rId56" Type="http://schemas.openxmlformats.org/officeDocument/2006/relationships/header" Target="header15.xml"/><Relationship Id="rId55" Type="http://schemas.openxmlformats.org/officeDocument/2006/relationships/footer" Target="footer37.xml"/><Relationship Id="rId54" Type="http://schemas.openxmlformats.org/officeDocument/2006/relationships/header" Target="header14.xml"/><Relationship Id="rId53" Type="http://schemas.openxmlformats.org/officeDocument/2006/relationships/footer" Target="footer36.xml"/><Relationship Id="rId52" Type="http://schemas.openxmlformats.org/officeDocument/2006/relationships/header" Target="header13.xml"/><Relationship Id="rId51" Type="http://schemas.openxmlformats.org/officeDocument/2006/relationships/footer" Target="footer35.xml"/><Relationship Id="rId50" Type="http://schemas.openxmlformats.org/officeDocument/2006/relationships/footer" Target="footer34.xml"/><Relationship Id="rId5" Type="http://schemas.openxmlformats.org/officeDocument/2006/relationships/footer" Target="footer1.xml"/><Relationship Id="rId49" Type="http://schemas.openxmlformats.org/officeDocument/2006/relationships/footer" Target="footer33.xml"/><Relationship Id="rId48" Type="http://schemas.openxmlformats.org/officeDocument/2006/relationships/header" Target="header12.xml"/><Relationship Id="rId47" Type="http://schemas.openxmlformats.org/officeDocument/2006/relationships/footer" Target="footer32.xml"/><Relationship Id="rId46" Type="http://schemas.openxmlformats.org/officeDocument/2006/relationships/header" Target="header11.xml"/><Relationship Id="rId45" Type="http://schemas.openxmlformats.org/officeDocument/2006/relationships/footer" Target="footer31.xml"/><Relationship Id="rId44" Type="http://schemas.openxmlformats.org/officeDocument/2006/relationships/header" Target="header10.xml"/><Relationship Id="rId43" Type="http://schemas.openxmlformats.org/officeDocument/2006/relationships/footer" Target="footer30.xml"/><Relationship Id="rId42" Type="http://schemas.openxmlformats.org/officeDocument/2006/relationships/header" Target="header9.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endnotes" Target="endnotes.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header" Target="header8.xml"/><Relationship Id="rId31" Type="http://schemas.openxmlformats.org/officeDocument/2006/relationships/header" Target="header7.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header" Target="header6.xml"/><Relationship Id="rId26" Type="http://schemas.openxmlformats.org/officeDocument/2006/relationships/footer" Target="footer17.xml"/><Relationship Id="rId25" Type="http://schemas.openxmlformats.org/officeDocument/2006/relationships/header" Target="header5.xml"/><Relationship Id="rId24" Type="http://schemas.openxmlformats.org/officeDocument/2006/relationships/footer" Target="footer16.xml"/><Relationship Id="rId231" Type="http://schemas.openxmlformats.org/officeDocument/2006/relationships/fontTable" Target="fontTable.xml"/><Relationship Id="rId230" Type="http://schemas.openxmlformats.org/officeDocument/2006/relationships/customXml" Target="../customXml/item2.xml"/><Relationship Id="rId23" Type="http://schemas.openxmlformats.org/officeDocument/2006/relationships/header" Target="header4.xml"/><Relationship Id="rId229" Type="http://schemas.openxmlformats.org/officeDocument/2006/relationships/numbering" Target="numbering.xml"/><Relationship Id="rId228" Type="http://schemas.openxmlformats.org/officeDocument/2006/relationships/customXml" Target="../customXml/item1.xml"/><Relationship Id="rId227" Type="http://schemas.openxmlformats.org/officeDocument/2006/relationships/image" Target="media/image7.png"/><Relationship Id="rId226" Type="http://schemas.openxmlformats.org/officeDocument/2006/relationships/image" Target="media/image6.jpeg"/><Relationship Id="rId225" Type="http://schemas.openxmlformats.org/officeDocument/2006/relationships/image" Target="media/image5.png"/><Relationship Id="rId224" Type="http://schemas.openxmlformats.org/officeDocument/2006/relationships/image" Target="media/image4.png"/><Relationship Id="rId223" Type="http://schemas.openxmlformats.org/officeDocument/2006/relationships/image" Target="media/image3.png"/><Relationship Id="rId222" Type="http://schemas.openxmlformats.org/officeDocument/2006/relationships/image" Target="media/image2.png"/><Relationship Id="rId221" Type="http://schemas.openxmlformats.org/officeDocument/2006/relationships/theme" Target="theme/theme1.xml"/><Relationship Id="rId220" Type="http://schemas.openxmlformats.org/officeDocument/2006/relationships/footer" Target="footer157.xml"/><Relationship Id="rId22" Type="http://schemas.openxmlformats.org/officeDocument/2006/relationships/footer" Target="footer15.xml"/><Relationship Id="rId219" Type="http://schemas.openxmlformats.org/officeDocument/2006/relationships/header" Target="header59.xml"/><Relationship Id="rId218" Type="http://schemas.openxmlformats.org/officeDocument/2006/relationships/footer" Target="footer156.xml"/><Relationship Id="rId217" Type="http://schemas.openxmlformats.org/officeDocument/2006/relationships/footer" Target="footer155.xml"/><Relationship Id="rId216" Type="http://schemas.openxmlformats.org/officeDocument/2006/relationships/header" Target="header58.xml"/><Relationship Id="rId215" Type="http://schemas.openxmlformats.org/officeDocument/2006/relationships/footer" Target="footer154.xml"/><Relationship Id="rId214" Type="http://schemas.openxmlformats.org/officeDocument/2006/relationships/footer" Target="footer153.xml"/><Relationship Id="rId213" Type="http://schemas.openxmlformats.org/officeDocument/2006/relationships/footer" Target="footer152.xml"/><Relationship Id="rId212" Type="http://schemas.openxmlformats.org/officeDocument/2006/relationships/footer" Target="footer151.xml"/><Relationship Id="rId211" Type="http://schemas.openxmlformats.org/officeDocument/2006/relationships/header" Target="header57.xml"/><Relationship Id="rId210" Type="http://schemas.openxmlformats.org/officeDocument/2006/relationships/footer" Target="footer150.xml"/><Relationship Id="rId21" Type="http://schemas.openxmlformats.org/officeDocument/2006/relationships/footer" Target="footer14.xml"/><Relationship Id="rId209" Type="http://schemas.openxmlformats.org/officeDocument/2006/relationships/header" Target="header56.xml"/><Relationship Id="rId208" Type="http://schemas.openxmlformats.org/officeDocument/2006/relationships/footer" Target="footer149.xml"/><Relationship Id="rId207" Type="http://schemas.openxmlformats.org/officeDocument/2006/relationships/header" Target="header55.xml"/><Relationship Id="rId206" Type="http://schemas.openxmlformats.org/officeDocument/2006/relationships/footer" Target="footer148.xml"/><Relationship Id="rId205" Type="http://schemas.openxmlformats.org/officeDocument/2006/relationships/header" Target="header54.xml"/><Relationship Id="rId204" Type="http://schemas.openxmlformats.org/officeDocument/2006/relationships/footer" Target="footer147.xml"/><Relationship Id="rId203" Type="http://schemas.openxmlformats.org/officeDocument/2006/relationships/header" Target="header53.xml"/><Relationship Id="rId202" Type="http://schemas.openxmlformats.org/officeDocument/2006/relationships/footer" Target="footer146.xml"/><Relationship Id="rId201" Type="http://schemas.openxmlformats.org/officeDocument/2006/relationships/header" Target="header52.xml"/><Relationship Id="rId200" Type="http://schemas.openxmlformats.org/officeDocument/2006/relationships/footer" Target="footer145.xml"/><Relationship Id="rId20" Type="http://schemas.openxmlformats.org/officeDocument/2006/relationships/footer" Target="footer13.xml"/><Relationship Id="rId2" Type="http://schemas.openxmlformats.org/officeDocument/2006/relationships/settings" Target="settings.xml"/><Relationship Id="rId199" Type="http://schemas.openxmlformats.org/officeDocument/2006/relationships/header" Target="header51.xml"/><Relationship Id="rId198" Type="http://schemas.openxmlformats.org/officeDocument/2006/relationships/footer" Target="footer144.xml"/><Relationship Id="rId197" Type="http://schemas.openxmlformats.org/officeDocument/2006/relationships/header" Target="header50.xml"/><Relationship Id="rId196" Type="http://schemas.openxmlformats.org/officeDocument/2006/relationships/footer" Target="footer143.xml"/><Relationship Id="rId195" Type="http://schemas.openxmlformats.org/officeDocument/2006/relationships/header" Target="header49.xml"/><Relationship Id="rId194" Type="http://schemas.openxmlformats.org/officeDocument/2006/relationships/footer" Target="footer142.xml"/><Relationship Id="rId193" Type="http://schemas.openxmlformats.org/officeDocument/2006/relationships/header" Target="header48.xml"/><Relationship Id="rId192" Type="http://schemas.openxmlformats.org/officeDocument/2006/relationships/footer" Target="footer141.xml"/><Relationship Id="rId191" Type="http://schemas.openxmlformats.org/officeDocument/2006/relationships/header" Target="header47.xml"/><Relationship Id="rId190" Type="http://schemas.openxmlformats.org/officeDocument/2006/relationships/footer" Target="footer140.xml"/><Relationship Id="rId19" Type="http://schemas.openxmlformats.org/officeDocument/2006/relationships/header" Target="header3.xml"/><Relationship Id="rId189" Type="http://schemas.openxmlformats.org/officeDocument/2006/relationships/footer" Target="footer139.xml"/><Relationship Id="rId188" Type="http://schemas.openxmlformats.org/officeDocument/2006/relationships/footer" Target="footer138.xml"/><Relationship Id="rId187" Type="http://schemas.openxmlformats.org/officeDocument/2006/relationships/header" Target="header46.xml"/><Relationship Id="rId186" Type="http://schemas.openxmlformats.org/officeDocument/2006/relationships/footer" Target="footer137.xml"/><Relationship Id="rId185" Type="http://schemas.openxmlformats.org/officeDocument/2006/relationships/footer" Target="footer136.xml"/><Relationship Id="rId184" Type="http://schemas.openxmlformats.org/officeDocument/2006/relationships/footer" Target="footer135.xml"/><Relationship Id="rId183" Type="http://schemas.openxmlformats.org/officeDocument/2006/relationships/footer" Target="footer134.xml"/><Relationship Id="rId182" Type="http://schemas.openxmlformats.org/officeDocument/2006/relationships/header" Target="header45.xml"/><Relationship Id="rId181" Type="http://schemas.openxmlformats.org/officeDocument/2006/relationships/footer" Target="footer133.xml"/><Relationship Id="rId180" Type="http://schemas.openxmlformats.org/officeDocument/2006/relationships/header" Target="header44.xml"/><Relationship Id="rId18" Type="http://schemas.openxmlformats.org/officeDocument/2006/relationships/footer" Target="footer12.xml"/><Relationship Id="rId179" Type="http://schemas.openxmlformats.org/officeDocument/2006/relationships/footer" Target="footer132.xml"/><Relationship Id="rId178" Type="http://schemas.openxmlformats.org/officeDocument/2006/relationships/header" Target="header43.xml"/><Relationship Id="rId177" Type="http://schemas.openxmlformats.org/officeDocument/2006/relationships/footer" Target="footer131.xml"/><Relationship Id="rId176" Type="http://schemas.openxmlformats.org/officeDocument/2006/relationships/footer" Target="footer130.xml"/><Relationship Id="rId175" Type="http://schemas.openxmlformats.org/officeDocument/2006/relationships/footer" Target="footer129.xml"/><Relationship Id="rId174" Type="http://schemas.openxmlformats.org/officeDocument/2006/relationships/header" Target="header42.xml"/><Relationship Id="rId173" Type="http://schemas.openxmlformats.org/officeDocument/2006/relationships/footer" Target="footer128.xml"/><Relationship Id="rId172" Type="http://schemas.openxmlformats.org/officeDocument/2006/relationships/header" Target="header41.xml"/><Relationship Id="rId171" Type="http://schemas.openxmlformats.org/officeDocument/2006/relationships/footer" Target="footer127.xml"/><Relationship Id="rId170" Type="http://schemas.openxmlformats.org/officeDocument/2006/relationships/footer" Target="footer126.xml"/><Relationship Id="rId17" Type="http://schemas.openxmlformats.org/officeDocument/2006/relationships/footer" Target="footer11.xml"/><Relationship Id="rId169" Type="http://schemas.openxmlformats.org/officeDocument/2006/relationships/footer" Target="footer125.xml"/><Relationship Id="rId168" Type="http://schemas.openxmlformats.org/officeDocument/2006/relationships/footer" Target="footer124.xml"/><Relationship Id="rId167" Type="http://schemas.openxmlformats.org/officeDocument/2006/relationships/footer" Target="footer123.xml"/><Relationship Id="rId166" Type="http://schemas.openxmlformats.org/officeDocument/2006/relationships/footer" Target="footer122.xml"/><Relationship Id="rId165" Type="http://schemas.openxmlformats.org/officeDocument/2006/relationships/footer" Target="footer121.xml"/><Relationship Id="rId164" Type="http://schemas.openxmlformats.org/officeDocument/2006/relationships/footer" Target="footer120.xml"/><Relationship Id="rId163" Type="http://schemas.openxmlformats.org/officeDocument/2006/relationships/footer" Target="footer119.xml"/><Relationship Id="rId162" Type="http://schemas.openxmlformats.org/officeDocument/2006/relationships/footer" Target="footer118.xml"/><Relationship Id="rId161" Type="http://schemas.openxmlformats.org/officeDocument/2006/relationships/header" Target="header40.xml"/><Relationship Id="rId160" Type="http://schemas.openxmlformats.org/officeDocument/2006/relationships/footer" Target="footer117.xml"/><Relationship Id="rId16" Type="http://schemas.openxmlformats.org/officeDocument/2006/relationships/footer" Target="footer10.xml"/><Relationship Id="rId159" Type="http://schemas.openxmlformats.org/officeDocument/2006/relationships/footer" Target="footer116.xml"/><Relationship Id="rId158" Type="http://schemas.openxmlformats.org/officeDocument/2006/relationships/footer" Target="footer115.xml"/><Relationship Id="rId157" Type="http://schemas.openxmlformats.org/officeDocument/2006/relationships/footer" Target="footer114.xml"/><Relationship Id="rId156" Type="http://schemas.openxmlformats.org/officeDocument/2006/relationships/footer" Target="footer113.xml"/><Relationship Id="rId155" Type="http://schemas.openxmlformats.org/officeDocument/2006/relationships/footer" Target="footer112.xml"/><Relationship Id="rId154" Type="http://schemas.openxmlformats.org/officeDocument/2006/relationships/footer" Target="footer111.xml"/><Relationship Id="rId153" Type="http://schemas.openxmlformats.org/officeDocument/2006/relationships/header" Target="header39.xml"/><Relationship Id="rId152" Type="http://schemas.openxmlformats.org/officeDocument/2006/relationships/footer" Target="footer110.xml"/><Relationship Id="rId151" Type="http://schemas.openxmlformats.org/officeDocument/2006/relationships/footer" Target="footer109.xml"/><Relationship Id="rId150" Type="http://schemas.openxmlformats.org/officeDocument/2006/relationships/header" Target="header38.xml"/><Relationship Id="rId15" Type="http://schemas.openxmlformats.org/officeDocument/2006/relationships/header" Target="header2.xml"/><Relationship Id="rId149" Type="http://schemas.openxmlformats.org/officeDocument/2006/relationships/footer" Target="footer108.xml"/><Relationship Id="rId148" Type="http://schemas.openxmlformats.org/officeDocument/2006/relationships/footer" Target="footer107.xml"/><Relationship Id="rId147" Type="http://schemas.openxmlformats.org/officeDocument/2006/relationships/footer" Target="footer106.xml"/><Relationship Id="rId146" Type="http://schemas.openxmlformats.org/officeDocument/2006/relationships/footer" Target="footer105.xml"/><Relationship Id="rId145" Type="http://schemas.openxmlformats.org/officeDocument/2006/relationships/footer" Target="footer104.xml"/><Relationship Id="rId144" Type="http://schemas.openxmlformats.org/officeDocument/2006/relationships/footer" Target="footer103.xml"/><Relationship Id="rId143" Type="http://schemas.openxmlformats.org/officeDocument/2006/relationships/footer" Target="footer102.xml"/><Relationship Id="rId142" Type="http://schemas.openxmlformats.org/officeDocument/2006/relationships/footer" Target="footer101.xml"/><Relationship Id="rId141" Type="http://schemas.openxmlformats.org/officeDocument/2006/relationships/footer" Target="footer100.xml"/><Relationship Id="rId140" Type="http://schemas.openxmlformats.org/officeDocument/2006/relationships/footer" Target="footer99.xml"/><Relationship Id="rId14" Type="http://schemas.openxmlformats.org/officeDocument/2006/relationships/footer" Target="footer9.xml"/><Relationship Id="rId139" Type="http://schemas.openxmlformats.org/officeDocument/2006/relationships/footer" Target="footer98.xml"/><Relationship Id="rId138" Type="http://schemas.openxmlformats.org/officeDocument/2006/relationships/footer" Target="footer97.xml"/><Relationship Id="rId137" Type="http://schemas.openxmlformats.org/officeDocument/2006/relationships/footer" Target="footer96.xml"/><Relationship Id="rId136" Type="http://schemas.openxmlformats.org/officeDocument/2006/relationships/footer" Target="footer95.xml"/><Relationship Id="rId135" Type="http://schemas.openxmlformats.org/officeDocument/2006/relationships/footer" Target="footer94.xml"/><Relationship Id="rId134" Type="http://schemas.openxmlformats.org/officeDocument/2006/relationships/footer" Target="footer93.xml"/><Relationship Id="rId133" Type="http://schemas.openxmlformats.org/officeDocument/2006/relationships/footer" Target="footer92.xml"/><Relationship Id="rId132" Type="http://schemas.openxmlformats.org/officeDocument/2006/relationships/footer" Target="footer91.xml"/><Relationship Id="rId131" Type="http://schemas.openxmlformats.org/officeDocument/2006/relationships/footer" Target="footer90.xml"/><Relationship Id="rId130" Type="http://schemas.openxmlformats.org/officeDocument/2006/relationships/footer" Target="footer89.xml"/><Relationship Id="rId13" Type="http://schemas.openxmlformats.org/officeDocument/2006/relationships/footer" Target="footer8.xml"/><Relationship Id="rId129" Type="http://schemas.openxmlformats.org/officeDocument/2006/relationships/header" Target="header37.xml"/><Relationship Id="rId128" Type="http://schemas.openxmlformats.org/officeDocument/2006/relationships/footer" Target="footer88.xml"/><Relationship Id="rId127" Type="http://schemas.openxmlformats.org/officeDocument/2006/relationships/footer" Target="footer87.xml"/><Relationship Id="rId126" Type="http://schemas.openxmlformats.org/officeDocument/2006/relationships/footer" Target="footer86.xml"/><Relationship Id="rId125" Type="http://schemas.openxmlformats.org/officeDocument/2006/relationships/header" Target="header36.xml"/><Relationship Id="rId124" Type="http://schemas.openxmlformats.org/officeDocument/2006/relationships/footer" Target="footer85.xml"/><Relationship Id="rId123" Type="http://schemas.openxmlformats.org/officeDocument/2006/relationships/footer" Target="footer84.xml"/><Relationship Id="rId122" Type="http://schemas.openxmlformats.org/officeDocument/2006/relationships/footer" Target="footer83.xml"/><Relationship Id="rId121" Type="http://schemas.openxmlformats.org/officeDocument/2006/relationships/footer" Target="footer82.xml"/><Relationship Id="rId120" Type="http://schemas.openxmlformats.org/officeDocument/2006/relationships/footer" Target="footer81.xml"/><Relationship Id="rId12" Type="http://schemas.openxmlformats.org/officeDocument/2006/relationships/footer" Target="footer7.xml"/><Relationship Id="rId119" Type="http://schemas.openxmlformats.org/officeDocument/2006/relationships/footer" Target="footer80.xml"/><Relationship Id="rId118" Type="http://schemas.openxmlformats.org/officeDocument/2006/relationships/footer" Target="footer79.xml"/><Relationship Id="rId117" Type="http://schemas.openxmlformats.org/officeDocument/2006/relationships/footer" Target="footer78.xml"/><Relationship Id="rId116" Type="http://schemas.openxmlformats.org/officeDocument/2006/relationships/footer" Target="footer77.xml"/><Relationship Id="rId115" Type="http://schemas.openxmlformats.org/officeDocument/2006/relationships/footer" Target="footer76.xml"/><Relationship Id="rId114" Type="http://schemas.openxmlformats.org/officeDocument/2006/relationships/footer" Target="footer75.xml"/><Relationship Id="rId113" Type="http://schemas.openxmlformats.org/officeDocument/2006/relationships/header" Target="header35.xml"/><Relationship Id="rId112" Type="http://schemas.openxmlformats.org/officeDocument/2006/relationships/footer" Target="footer74.xml"/><Relationship Id="rId111" Type="http://schemas.openxmlformats.org/officeDocument/2006/relationships/footer" Target="footer73.xml"/><Relationship Id="rId110" Type="http://schemas.openxmlformats.org/officeDocument/2006/relationships/header" Target="header34.xml"/><Relationship Id="rId11" Type="http://schemas.openxmlformats.org/officeDocument/2006/relationships/footer" Target="footer6.xml"/><Relationship Id="rId109" Type="http://schemas.openxmlformats.org/officeDocument/2006/relationships/footer" Target="footer72.xml"/><Relationship Id="rId108" Type="http://schemas.openxmlformats.org/officeDocument/2006/relationships/header" Target="header33.xml"/><Relationship Id="rId107" Type="http://schemas.openxmlformats.org/officeDocument/2006/relationships/footer" Target="footer71.xml"/><Relationship Id="rId106" Type="http://schemas.openxmlformats.org/officeDocument/2006/relationships/header" Target="header32.xml"/><Relationship Id="rId105" Type="http://schemas.openxmlformats.org/officeDocument/2006/relationships/footer" Target="footer70.xml"/><Relationship Id="rId104" Type="http://schemas.openxmlformats.org/officeDocument/2006/relationships/header" Target="header31.xml"/><Relationship Id="rId103" Type="http://schemas.openxmlformats.org/officeDocument/2006/relationships/footer" Target="footer69.xml"/><Relationship Id="rId102" Type="http://schemas.openxmlformats.org/officeDocument/2006/relationships/footer" Target="footer68.xml"/><Relationship Id="rId101" Type="http://schemas.openxmlformats.org/officeDocument/2006/relationships/footer" Target="footer67.xml"/><Relationship Id="rId100" Type="http://schemas.openxmlformats.org/officeDocument/2006/relationships/header" Target="header30.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6"/>
    <customShpInfo spid="_x0000_s1037"/>
    <customShpInfo spid="_x0000_s1040"/>
  </customShpExts>
</s:customData>
</file>

<file path=customXml/item2.xml><?xml version="1.0" encoding="utf-8"?>
<contractReview xmlns="http://schemas.wps.cn/vas-ai-hub/contract-review">
  <reviewItems>
    <reviewItem>
      <errorID>65c1270d-238a-4749-86bb-f8ec6f43c3b8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29A1CA3C</paraID>
      <start>40</start>
      <end>41</end>
      <status>unmodified</status>
      <modifiedWord/>
      <trackRevisions>false</trackRevisions>
    </reviewItem>
    <reviewItem>
      <errorID>50a017fe-185b-4932-8f85-996880731af5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5AD6FE34</paraID>
      <start>89</start>
      <end>90</end>
      <status>unmodified</status>
      <modifiedWord/>
      <trackRevisions>false</trackRevisions>
    </reviewItem>
    <reviewItem>
      <errorID>d87b4432-aafe-4c42-ba89-9f30ae8f7d05</errorID>
      <errorWord>2026年03月09日</errorWord>
      <group>L1_Knowledge</group>
      <groupName>知识性问题</groupName>
      <ability>L2_Time</ability>
      <abilityName>日期时间</abilityName>
      <candidateList>
        <item>2026年3月9日</item>
      </candidateList>
      <explain>根据日常书写习惯，月份和日期一般会省略前导零。</explain>
      <paraID> AD8CCA3</paraID>
      <start>189</start>
      <end>200</end>
      <status>ignored</status>
      <modifiedWord/>
      <trackRevisions>false</trackRevisions>
    </reviewItem>
    <reviewItem>
      <errorID>203d846a-880a-4780-9e5e-eeca9ca2f7e4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615D118</paraID>
      <start>0</start>
      <end>2</end>
      <status>ignored</status>
      <modifiedWord/>
      <trackRevisions>false</trackRevisions>
    </reviewItem>
    <reviewItem>
      <errorID>6c8b5b2a-2eb8-44e2-bcaa-7b442c0b40dc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5BA03787</paraID>
      <start>0</start>
      <end>2</end>
      <status>unmodified</status>
      <modifiedWord/>
      <trackRevisions>false</trackRevisions>
    </reviewItem>
    <reviewItem>
      <errorID>3bd85023-1a7e-4db0-ad21-46e8d72e8380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B830F67</paraID>
      <start>0</start>
      <end>2</end>
      <status>unmodified</status>
      <modifiedWord/>
      <trackRevisions>false</trackRevisions>
    </reviewItem>
    <reviewItem>
      <errorID>9dc5c559-ed24-465f-81cf-d50d707f616b</errorID>
      <errorWord>房</errorWord>
      <group>L1_Word</group>
      <groupName>字词问题</groupName>
      <ability>L2_Typo</ability>
      <abilityName>字词错误</abilityName>
      <candidateList>
        <item>房和</item>
      </candidateList>
      <explain/>
      <paraID>1EBC5FC3</paraID>
      <start>46</start>
      <end>47</end>
      <status>unmodified</status>
      <modifiedWord/>
      <trackRevisions>false</trackRevisions>
    </reviewItem>
    <reviewItem>
      <errorID>91340413-49cf-4778-b9a8-e88288ee7cd2</errorID>
      <errorWord>《关于转发《</errorWord>
      <group>L1_Punc</group>
      <groupName>标点问题</groupName>
      <ability>L2_Punc</ability>
      <abilityName>标点符号检查</abilityName>
      <candidateList>
        <item>《关于转发〈</item>
      </candidateList>
      <explain/>
      <paraID>1EBC5FC3</paraID>
      <start>268</start>
      <end>274</end>
      <status>unmodified</status>
      <modifiedWord/>
      <trackRevisions>false</trackRevisions>
    </reviewItem>
    <reviewItem>
      <errorID>87901d95-6b3d-4287-8dc3-61e180f1feba</errorID>
      <errorWord>》</errorWord>
      <group>L1_Punc</group>
      <groupName>标点问题</groupName>
      <ability>L2_Punc</ability>
      <abilityName>标点符号检查</abilityName>
      <candidateList/>
      <explain>同一形式括号套用。</explain>
      <paraID>1EBC5FC3</paraID>
      <start>306</start>
      <end>307</end>
      <status>unmodified</status>
      <modifiedWord/>
      <trackRevisions>false</trackRevisions>
    </reviewItem>
    <reviewItem>
      <errorID>fd3ccb99-06dd-48af-abc5-170369cf7dd1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55A88752</paraID>
      <start>0</start>
      <end>2</end>
      <status>unmodified</status>
      <modifiedWord/>
      <trackRevisions>false</trackRevisions>
    </reviewItem>
    <reviewItem>
      <errorID>64703950-cc67-45e3-9239-27baa79a9efa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67A14E9B</paraID>
      <start>0</start>
      <end>2</end>
      <status>unmodified</status>
      <modifiedWord/>
      <trackRevisions>false</trackRevisions>
    </reviewItem>
    <reviewItem>
      <errorID>6d3e3f20-ed1d-4707-a307-999b19947072</errorID>
      <errorWord>介质的</errorWord>
      <group>L1_Word</group>
      <groupName>字词问题</groupName>
      <ability>L2_Typo</ability>
      <abilityName>字词错误</abilityName>
      <candidateList>
        <item>介质</item>
      </candidateList>
      <explain/>
      <paraID>43045D1E</paraID>
      <start>24</start>
      <end>27</end>
      <status>unmodified</status>
      <modifiedWord/>
      <trackRevisions>false</trackRevisions>
    </reviewItem>
    <reviewItem>
      <errorID>74c4969a-37a4-4739-bec9-38880918e8dc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6211C34F</paraID>
      <start>0</start>
      <end>2</end>
      <status>unmodified</status>
      <modifiedWord/>
      <trackRevisions>false</trackRevisions>
    </reviewItem>
    <reviewItem>
      <errorID>c6e331b4-da0b-46cf-b222-47297667fb32</errorID>
      <errorWord>、或者</errorWord>
      <group>L1_Word</group>
      <groupName>字词问题</groupName>
      <ability>L2_Typo</ability>
      <abilityName>字词错误</abilityName>
      <candidateList>
        <item>，或者</item>
      </candidateList>
      <explain/>
      <paraID> D0D7E40</paraID>
      <start>41</start>
      <end>44</end>
      <status>unmodified</status>
      <modifiedWord/>
      <trackRevisions>false</trackRevisions>
    </reviewItem>
    <reviewItem>
      <errorID>fdb3ad78-646a-49b7-b32a-5030b794dbd4</errorID>
      <errorWord>：/</errorWord>
      <group>L1_Punc</group>
      <groupName>标点问题</groupName>
      <ability>L2_Punc</ability>
      <abilityName>标点符号检查</abilityName>
      <candidateList>
        <item>：</item>
      </candidateList>
      <explain/>
      <paraID>3A03C9A0</paraID>
      <start>2</start>
      <end>4</end>
      <status>unmodified</status>
      <modifiedWord/>
      <trackRevisions>false</trackRevisions>
    </reviewItem>
    <reviewItem>
      <errorID>4e195d3d-c204-4d42-8313-8d058411683e</errorID>
      <errorWord>：/</errorWord>
      <group>L1_Punc</group>
      <groupName>标点问题</groupName>
      <ability>L2_Punc</ability>
      <abilityName>标点符号检查</abilityName>
      <candidateList>
        <item>：</item>
      </candidateList>
      <explain/>
      <paraID> BDD24CA</paraID>
      <start>2</start>
      <end>4</end>
      <status>unmodified</status>
      <modifiedWord/>
      <trackRevisions>false</trackRevisions>
    </reviewItem>
    <reviewItem>
      <errorID>fd596167-6fdc-4695-863f-610a344b5757</errorID>
      <errorWord>的</errorWord>
      <group>L1_Word</group>
      <groupName>字词问题</groupName>
      <ability>L2_Typo</ability>
      <abilityName>字词错误</abilityName>
      <candidateList>
        <item>的情</item>
      </candidateList>
      <explain/>
      <paraID>312306A9</paraID>
      <start>8</start>
      <end>9</end>
      <status>unmodified</status>
      <modifiedWord/>
      <trackRevisions>false</trackRevisions>
    </reviewItem>
    <reviewItem>
      <errorID>8ee76af8-1870-433d-9a6a-10c52747fb8a</errorID>
      <errorWord>的</errorWord>
      <group>L1_Word</group>
      <groupName>字词问题</groupName>
      <ability>L2_Typo</ability>
      <abilityName>字词错误</abilityName>
      <candidateList>
        <item>的情</item>
      </candidateList>
      <explain/>
      <paraID>65C8EFF5</paraID>
      <start>8</start>
      <end>9</end>
      <status>unmodified</status>
      <modifiedWord/>
      <trackRevisions>false</trackRevisions>
    </reviewItem>
    <reviewItem>
      <errorID>4a311a4c-3680-4a4c-9e8f-b8adc99f1504</errorID>
      <errorWord>）</errorWord>
      <group>L1_Word</group>
      <groupName>字词问题</groupName>
      <ability>L2_Typo</ability>
      <abilityName>字词错误</abilityName>
      <candidateList>
        <item>）第</item>
      </candidateList>
      <explain/>
      <paraID>7A00316A</paraID>
      <start>74</start>
      <end>75</end>
      <status>unmodified</status>
      <modifiedWord/>
      <trackRevisions>false</trackRevisions>
    </reviewItem>
    <reviewItem>
      <errorID>441074be-6de7-463f-8525-3b95871ed37a</errorID>
      <errorWord>间</errorWord>
      <group>L1_Word</group>
      <groupName>字词问题</groupName>
      <ability>L2_Typo</ability>
      <abilityName>字词错误</abilityName>
      <candidateList>
        <item>间内</item>
      </candidateList>
      <explain/>
      <paraID>4C2DB2E0</paraID>
      <start>105</start>
      <end>106</end>
      <status>unmodified</status>
      <modifiedWord/>
      <trackRevisions>false</trackRevisions>
    </reviewItem>
    <reviewItem>
      <errorID>39afa2e7-2cbb-4699-bd2c-5172dc8a6ed2</errorID>
      <errorWord>（</errorWord>
      <group>L1_Punc</group>
      <groupName>标点问题</groupName>
      <ability>L2_Punc</ability>
      <abilityName>标点符号检查</abilityName>
      <candidateList/>
      <explain>同一形式括号套用。</explain>
      <paraID>7270082E</paraID>
      <start>159</start>
      <end>160</end>
      <status>unmodified</status>
      <modifiedWord/>
      <trackRevisions>false</trackRevisions>
    </reviewItem>
    <reviewItem>
      <errorID>d439f3f6-8219-46ca-bb62-c1074a597dca</errorID>
      <errorWord>）</errorWord>
      <group>L1_Punc</group>
      <groupName>标点问题</groupName>
      <ability>L2_Punc</ability>
      <abilityName>标点符号检查</abilityName>
      <candidateList/>
      <explain>同一形式括号套用。</explain>
      <paraID>7270082E</paraID>
      <start>163</start>
      <end>164</end>
      <status>unmodified</status>
      <modifiedWord/>
      <trackRevisions>false</trackRevisions>
    </reviewItem>
    <reviewItem>
      <errorID>b4d52be9-f398-4a09-bca7-1d93bed17be5</errorID>
      <errorWord>2021年04月01日</errorWord>
      <group>L1_Knowledge</group>
      <groupName>知识性问题</groupName>
      <ability>L2_Time</ability>
      <abilityName>日期时间</abilityName>
      <candidateList>
        <item>2021年4月1日</item>
      </candidateList>
      <explain>根据日常书写习惯，月份和日期一般会省略前导零。</explain>
      <paraID>30E9350D</paraID>
      <start>0</start>
      <end>11</end>
      <status>unmodified</status>
      <modifiedWord/>
      <trackRevisions>false</trackRevisions>
    </reviewItem>
    <reviewItem>
      <errorID>d5cc8349-f1b6-403a-865e-d5e1df2f0b7d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39962020</paraID>
      <start>0</start>
      <end>2</end>
      <status>unmodified</status>
      <modifiedWord/>
      <trackRevisions>false</trackRevisions>
    </reviewItem>
    <reviewItem>
      <errorID>65ed0c06-2d69-451f-8b2e-6dc98455f858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2D6D6C52</paraID>
      <start>0</start>
      <end>2</end>
      <status>unmodified</status>
      <modifiedWord/>
      <trackRevisions>false</trackRevisions>
    </reviewItem>
    <reviewItem>
      <errorID>efd25461-42a4-488d-aefe-df0023011e11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5254714D</paraID>
      <start>0</start>
      <end>2</end>
      <status>unmodified</status>
      <modifiedWord/>
      <trackRevisions>false</trackRevisions>
    </reviewItem>
    <reviewItem>
      <errorID>c35bf8f6-5212-4fe0-9d07-3d30b29a306b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501531C7</paraID>
      <start>0</start>
      <end>2</end>
      <status>unmodified</status>
      <modifiedWord/>
      <trackRevisions>false</trackRevisions>
    </reviewItem>
    <reviewItem>
      <errorID>f26b08a2-99bc-4e2c-9d4a-bc8e4e21f719</errorID>
      <errorWord>会</errorWord>
      <group>L1_Word</group>
      <groupName>字词问题</groupName>
      <ability>L2_Typo</ability>
      <abilityName>字词错误</abilityName>
      <candidateList>
        <item>会上</item>
      </candidateList>
      <explain/>
      <paraID>501531C7</paraID>
      <start>66</start>
      <end>67</end>
      <status>unmodified</status>
      <modifiedWord/>
      <trackRevisions>false</trackRevisions>
    </reviewItem>
    <reviewItem>
      <errorID>7dbaf07e-0854-4de9-a9ba-179c92f19479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422FE38C</paraID>
      <start>0</start>
      <end>2</end>
      <status>unmodified</status>
      <modifiedWord/>
      <trackRevisions>false</trackRevisions>
    </reviewItem>
    <reviewItem>
      <errorID>96c15619-9637-4882-b4fa-f043613da857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766C9493</paraID>
      <start>0</start>
      <end>2</end>
      <status>unmodified</status>
      <modifiedWord/>
      <trackRevisions>false</trackRevisions>
    </reviewItem>
    <reviewItem>
      <errorID>dae28bb4-5d9b-4ca6-ab89-3f2dde500aa7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5AB75B29</paraID>
      <start>0</start>
      <end>2</end>
      <status>unmodified</status>
      <modifiedWord/>
      <trackRevisions>false</trackRevisions>
    </reviewItem>
    <reviewItem>
      <errorID>a399b58c-a991-4ab6-9211-0a05e1fbc303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1C181FE3</paraID>
      <start>0</start>
      <end>2</end>
      <status>unmodified</status>
      <modifiedWord/>
      <trackRevisions>false</trackRevisions>
    </reviewItem>
    <reviewItem>
      <errorID>a272f269-8bc8-4d37-9960-0494c05b087e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163C29EE</paraID>
      <start>0</start>
      <end>2</end>
      <status>unmodified</status>
      <modifiedWord/>
      <trackRevisions>false</trackRevisions>
    </reviewItem>
    <reviewItem>
      <errorID>51b94855-0954-449d-9cc4-4f83db0c81c5</errorID>
      <errorWord>会</errorWord>
      <group>L1_Word</group>
      <groupName>字词问题</groupName>
      <ability>L2_Typo</ability>
      <abilityName>字词错误</abilityName>
      <candidateList>
        <item>会上</item>
      </candidateList>
      <explain/>
      <paraID>163C29EE</paraID>
      <start>66</start>
      <end>67</end>
      <status>unmodified</status>
      <modifiedWord/>
      <trackRevisions>false</trackRevisions>
    </reviewItem>
    <reviewItem>
      <errorID>b6ece4a1-45c6-4aee-8acd-c8242914ce63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4C7F83F3</paraID>
      <start>0</start>
      <end>2</end>
      <status>unmodified</status>
      <modifiedWord/>
      <trackRevisions>false</trackRevisions>
    </reviewItem>
    <reviewItem>
      <errorID>6a3736b9-350a-4da1-85dc-911882809691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280D31C3</paraID>
      <start>0</start>
      <end>2</end>
      <status>unmodified</status>
      <modifiedWord/>
      <trackRevisions>false</trackRevisions>
    </reviewItem>
    <reviewItem>
      <errorID>b43f1bc7-8400-4792-b087-9b965db93f9e</errorID>
      <errorWord>《民法典》</errorWord>
      <group>L1_Word</group>
      <groupName>字词问题</groupName>
      <ability>L2_Typo</ability>
      <abilityName>字词错误</abilityName>
      <candidateList>
        <item>《中华人民共和国民法典》</item>
      </candidateList>
      <explain/>
      <paraID>154CCB44</paraID>
      <start>12</start>
      <end>17</end>
      <status>unmodified</status>
      <modifiedWord/>
      <trackRevisions>false</trackRevisions>
    </reviewItem>
    <reviewItem>
      <errorID>456c8ad4-1d77-41ab-9913-5a8853e55ac3</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154CCB44</paraID>
      <start>24</start>
      <end>26</end>
      <status>unmodified</status>
      <modifiedWord/>
      <trackRevisions>false</trackRevisions>
    </reviewItem>
    <reviewItem>
      <errorID>de8ecab8-d791-40fb-abb2-5397743309fd</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16FDBF6B</paraID>
      <start>29</start>
      <end>31</end>
      <status>unmodified</status>
      <modifiedWord/>
      <trackRevisions>false</trackRevisions>
    </reviewItem>
    <reviewItem>
      <errorID>7e67f968-b4ea-45aa-af80-54563adee851</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16FDBF6B</paraID>
      <start>35</start>
      <end>37</end>
      <status>unmodified</status>
      <modifiedWord/>
      <trackRevisions>false</trackRevisions>
    </reviewItem>
    <reviewItem>
      <errorID>3077fc71-77fa-4f86-a2c1-f01e9263c8de</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53533CC0</paraID>
      <start>7</start>
      <end>9</end>
      <status>unmodified</status>
      <modifiedWord/>
      <trackRevisions>false</trackRevisions>
    </reviewItem>
    <reviewItem>
      <errorID>c8d4002a-9925-45d8-902c-78147cfeb01d</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53533CC0</paraID>
      <start>13</start>
      <end>15</end>
      <status>unmodified</status>
      <modifiedWord/>
      <trackRevisions>false</trackRevisions>
    </reviewItem>
    <reviewItem>
      <errorID>0561ca41-c910-41c2-91b3-1d9b214f9a51</errorID>
      <errorWord>房</errorWord>
      <group>L1_Word</group>
      <groupName>字词问题</groupName>
      <ability>L2_Typo</ability>
      <abilityName>字词错误</abilityName>
      <candidateList>
        <item>房和</item>
      </candidateList>
      <explain/>
      <paraID>3A319CCB</paraID>
      <start>51</start>
      <end>52</end>
      <status>unmodified</status>
      <modifiedWord/>
      <trackRevisions>false</trackRevisions>
    </reviewItem>
    <reviewItem>
      <errorID>f93b9bbd-6dbe-4d3d-96ee-2a6bacc255d9</errorID>
      <errorWord>分</errorWord>
      <group>L1_Word</group>
      <groupName>字词问题</groupName>
      <ability>L2_Typo</ability>
      <abilityName>字词错误</abilityName>
      <candidateList>
        <item>分为</item>
      </candidateList>
      <explain/>
      <paraID>2F88D402</paraID>
      <start>104</start>
      <end>105</end>
      <status>unmodified</status>
      <modifiedWord/>
      <trackRevisions>false</trackRevisions>
    </reviewItem>
    <reviewItem>
      <errorID>c403acdf-0651-4d6a-ab86-0609bef5f4f4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60FCFD22</paraID>
      <start>0</start>
      <end>3</end>
      <status>unmodified</status>
      <modifiedWord/>
      <trackRevisions>false</trackRevisions>
    </reviewItem>
    <reviewItem>
      <errorID>5ebecc89-5048-4b60-982f-a6d5615b651f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3CC3A086</paraID>
      <start>0</start>
      <end>3</end>
      <status>unmodified</status>
      <modifiedWord/>
      <trackRevisions>false</trackRevisions>
    </reviewItem>
    <reviewItem>
      <errorID>b7caf813-8464-41fe-a5d8-fd6240e520da</errorID>
      <errorWord>（</errorWord>
      <group>L1_Punc</group>
      <groupName>标点问题</groupName>
      <ability>L2_Punc</ability>
      <abilityName>标点符号检查</abilityName>
      <candidateList/>
      <explain>同一形式括号套用。</explain>
      <paraID>258B3EEC</paraID>
      <start>197</start>
      <end>198</end>
      <status>unmodified</status>
      <modifiedWord/>
      <trackRevisions>false</trackRevisions>
    </reviewItem>
    <reviewItem>
      <errorID>e8c79447-de1e-4588-8eae-7ea01f0cf5a1</errorID>
      <errorWord>）</errorWord>
      <group>L1_Punc</group>
      <groupName>标点问题</groupName>
      <ability>L2_Punc</ability>
      <abilityName>标点符号检查</abilityName>
      <candidateList/>
      <explain>同一形式括号套用。</explain>
      <paraID>258B3EEC</paraID>
      <start>201</start>
      <end>202</end>
      <status>unmodified</status>
      <modifiedWord/>
      <trackRevisions>false</trackRevisions>
    </reviewItem>
    <reviewItem>
      <errorID>56f948a3-89a3-4d50-bce1-4d9e7da22851</errorID>
      <errorWord>满</errorWord>
      <group>L1_Word</group>
      <groupName>字词问题</groupName>
      <ability>L2_Typo</ability>
      <abilityName>字词错误</abilityName>
      <candidateList>
        <item>满后</item>
      </candidateList>
      <explain/>
      <paraID> 9B335BB</paraID>
      <start>211</start>
      <end>212</end>
      <status>unmodified</status>
      <modifiedWord/>
      <trackRevisions>false</trackRevisions>
    </reviewItem>
    <reviewItem>
      <errorID>0cf9d805-42d3-479a-b899-7b9e6d13d252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77051</paraID>
      <start>77</start>
      <end>80</end>
      <status>unmodified</status>
      <modifiedWord/>
      <trackRevisions>false</trackRevisions>
    </reviewItem>
    <reviewItem>
      <errorID>cca92120-39a7-46db-9ea4-47043e8b95c8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77051</paraID>
      <start>84</start>
      <end>87</end>
      <status>unmodified</status>
      <modifiedWord/>
      <trackRevisions>false</trackRevisions>
    </reviewItem>
    <reviewItem>
      <errorID>4dac0ec1-be13-4ca0-be50-a627c11c605a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77051</paraID>
      <start>90</start>
      <end>93</end>
      <status>unmodified</status>
      <modifiedWord/>
      <trackRevisions>false</trackRevisions>
    </reviewItem>
    <reviewItem>
      <errorID>8ee7eede-4704-4939-8b3f-6951db576cca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2BEDDA15</paraID>
      <start>89</start>
      <end>92</end>
      <status>unmodified</status>
      <modifiedWord/>
      <trackRevisions>false</trackRevisions>
    </reviewItem>
    <reviewItem>
      <errorID>9f35139f-43b7-40b7-937f-b59d3756c738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2BEDDA15</paraID>
      <start>96</start>
      <end>99</end>
      <status>unmodified</status>
      <modifiedWord/>
      <trackRevisions>false</trackRevisions>
    </reviewItem>
    <reviewItem>
      <errorID>840fe4c7-ca3c-4b3c-9e54-74d3d96a193f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2BEDDA15</paraID>
      <start>103</start>
      <end>106</end>
      <status>unmodified</status>
      <modifiedWord/>
      <trackRevisions>false</trackRevisions>
    </reviewItem>
    <reviewItem>
      <errorID>92030f01-c1ae-460a-9b7f-876cc9c1683c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4BC30C8A</paraID>
      <start>93</start>
      <end>96</end>
      <status>unmodified</status>
      <modifiedWord/>
      <trackRevisions>false</trackRevisions>
    </reviewItem>
    <reviewItem>
      <errorID>b8789538-b4f0-4178-8425-2e883168a215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4BC30C8A</paraID>
      <start>100</start>
      <end>103</end>
      <status>unmodified</status>
      <modifiedWord/>
      <trackRevisions>false</trackRevisions>
    </reviewItem>
    <reviewItem>
      <errorID>62787ff8-afb9-4195-8a58-51252a2992fd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4BC30C8A</paraID>
      <start>107</start>
      <end>110</end>
      <status>unmodified</status>
      <modifiedWord/>
      <trackRevisions>false</trackRevisions>
    </reviewItem>
    <reviewItem>
      <errorID>effcdc41-d3e1-4837-a1bf-4fab6d44d755</errorID>
      <errorWord>位</errorWord>
      <group>L1_Word</group>
      <groupName>字词问题</groupName>
      <ability>L2_Typo</ability>
      <abilityName>字词错误</abilityName>
      <candidateList>
        <item>位公</item>
      </candidateList>
      <explain/>
      <paraID>63E8BA7C</paraID>
      <start>127</start>
      <end>128</end>
      <status>unmodified</status>
      <modifiedWord/>
      <trackRevisions>false</trackRevisions>
    </reviewItem>
    <reviewItem>
      <errorID>fe3ca120-0848-4594-8f31-a3f8d260dfe6</errorID>
      <errorWord>或</errorWord>
      <group>L1_Word</group>
      <groupName>字词问题</groupName>
      <ability>L2_Typo</ability>
      <abilityName>字词错误</abilityName>
      <candidateList>
        <item>或加</item>
      </candidateList>
      <explain/>
      <paraID>236A67ED</paraID>
      <start>76</start>
      <end>77</end>
      <status>unmodified</status>
      <modifiedWord/>
      <trackRevisions>false</trackRevisions>
    </reviewItem>
    <reviewItem>
      <errorID>caaf38c8-1e33-4eff-b7cd-8928fe021b2d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3B817C0C</paraID>
      <start>0</start>
      <end>3</end>
      <status>unmodified</status>
      <modifiedWord/>
      <trackRevisions>false</trackRevisions>
    </reviewItem>
    <reviewItem>
      <errorID>9cb23c9e-098c-40cc-8d88-4a63dc80c41a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62E7651A</paraID>
      <start>0</start>
      <end>3</end>
      <status>unmodified</status>
      <modifiedWord/>
      <trackRevisions>false</trackRevisions>
    </reviewItem>
    <reviewItem>
      <errorID>40e66461-67a1-43cb-94b9-cb1a6b2d7384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33CB1DCE</paraID>
      <start>0</start>
      <end>3</end>
      <status>unmodified</status>
      <modifiedWord/>
      <trackRevisions>false</trackRevisions>
    </reviewItem>
    <reviewItem>
      <errorID>54de65e7-74ba-4dcd-8410-c991c98a10a8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15D26E7F</paraID>
      <start>0</start>
      <end>3</end>
      <status>unmodified</status>
      <modifiedWord/>
      <trackRevisions>false</trackRevisions>
    </reviewItem>
    <reviewItem>
      <errorID>24bc9048-2b92-4468-b7ce-e23062d44e81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3BEABE6F</paraID>
      <start>0</start>
      <end>3</end>
      <status>unmodified</status>
      <modifiedWord/>
      <trackRevisions>false</trackRevisions>
    </reviewItem>
    <reviewItem>
      <errorID>b811220b-6836-4e51-930c-fb608328a0fd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10B2EC08</paraID>
      <start>0</start>
      <end>2</end>
      <status>unmodified</status>
      <modifiedWord/>
      <trackRevisions>false</trackRevisions>
    </reviewItem>
    <reviewItem>
      <errorID>dfe8e5a8-e061-4738-aa32-79f677d47ec3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3CA698E0</paraID>
      <start>0</start>
      <end>2</end>
      <status>unmodified</status>
      <modifiedWord/>
      <trackRevisions>false</trackRevisions>
    </reviewItem>
    <reviewItem>
      <errorID>86932545-f200-4cb9-a662-7c9d8d6a40b3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3352C420</paraID>
      <start>0</start>
      <end>2</end>
      <status>unmodified</status>
      <modifiedWord/>
      <trackRevisions>false</trackRevisions>
    </reviewItem>
    <reviewItem>
      <errorID>7a044b08-4226-436f-9528-71bf57523df0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62DD9047</paraID>
      <start>0</start>
      <end>3</end>
      <status>unmodified</status>
      <modifiedWord/>
      <trackRevisions>false</trackRevisions>
    </reviewItem>
    <reviewItem>
      <errorID>8cab9224-c253-4e09-879d-423593cac568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70641E34</paraID>
      <start>0</start>
      <end>3</end>
      <status>unmodified</status>
      <modifiedWord/>
      <trackRevisions>false</trackRevisions>
    </reviewItem>
    <reviewItem>
      <errorID>5d72b911-b3cc-42f4-8cde-bc35e7678655</errorID>
      <errorWord>级</errorWord>
      <group>L1_Word</group>
      <groupName>字词问题</groupName>
      <ability>L2_Typo</ability>
      <abilityName>字词错误</abilityName>
      <candidateList>
        <item>级为</item>
      </candidateList>
      <explain/>
      <paraID>3ADDF535</paraID>
      <start>25</start>
      <end>26</end>
      <status>unmodified</status>
      <modifiedWord/>
      <trackRevisions>false</trackRevisions>
    </reviewItem>
    <reviewItem>
      <errorID>16bb1df0-627f-446b-b437-48759b9fdf33</errorID>
      <errorWord>文件的</errorWord>
      <group>L1_Word</group>
      <groupName>字词问题</groupName>
      <ability>L2_Typo</ability>
      <abilityName>字词错误</abilityName>
      <candidateList>
        <item>文件</item>
      </candidateList>
      <explain/>
      <paraID>27CFA88A</paraID>
      <start>119</start>
      <end>122</end>
      <status>unmodified</status>
      <modifiedWord/>
      <trackRevisions>false</trackRevisions>
    </reviewItem>
    <reviewItem>
      <errorID>0a250256-ee97-498a-b09a-ad265436aaee</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6FFC73F</paraID>
      <start>35</start>
      <end>37</end>
      <status>unmodified</status>
      <modifiedWord/>
      <trackRevisions>false</trackRevisions>
    </reviewItem>
    <reviewItem>
      <errorID>7bd74155-8b2d-42fb-a063-993588b261ef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5F785B77</paraID>
      <start>0</start>
      <end>2</end>
      <status>unmodified</status>
      <modifiedWord/>
      <trackRevisions>false</trackRevisions>
    </reviewItem>
    <reviewItem>
      <errorID>a782fda6-d17f-4b84-a0f0-cdf190e226c8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6C24DBCD</paraID>
      <start>0</start>
      <end>2</end>
      <status>unmodified</status>
      <modifiedWord/>
      <trackRevisions>false</trackRevisions>
    </reviewItem>
    <reviewItem>
      <errorID>b2b9b9b6-d773-4e6b-aa2e-113a0c864807</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BBD3F00</paraID>
      <start>0</start>
      <end>2</end>
      <status>unmodified</status>
      <modifiedWord/>
      <trackRevisions>false</trackRevisions>
    </reviewItem>
    <reviewItem>
      <errorID>24ff958e-8f6e-4c99-8ec0-5999d490bbcf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6CBE571</paraID>
      <start>0</start>
      <end>2</end>
      <status>unmodified</status>
      <modifiedWord/>
      <trackRevisions>false</trackRevisions>
    </reviewItem>
    <reviewItem>
      <errorID>88b7c5e1-d6a1-4bec-8d62-405092499e3e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66DE50C5</paraID>
      <start>0</start>
      <end>2</end>
      <status>unmodified</status>
      <modifiedWord/>
      <trackRevisions>false</trackRevisions>
    </reviewItem>
    <reviewItem>
      <errorID>e9ca665f-754e-4536-9023-e9b20af6fdfb</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29ACBF79</paraID>
      <start>0</start>
      <end>2</end>
      <status>unmodified</status>
      <modifiedWord/>
      <trackRevisions>false</trackRevisions>
    </reviewItem>
    <reviewItem>
      <errorID>0395ae7f-89c0-4aea-8d57-8e5454eb7062</errorID>
      <errorWord>房</errorWord>
      <group>L1_Word</group>
      <groupName>字词问题</groupName>
      <ability>L2_Typo</ability>
      <abilityName>字词错误</abilityName>
      <candidateList>
        <item>房和</item>
      </candidateList>
      <explain/>
      <paraID>482B6C0B</paraID>
      <start>60</start>
      <end>61</end>
      <status>unmodified</status>
      <modifiedWord/>
      <trackRevisions>false</trackRevisions>
    </reviewItem>
    <reviewItem>
      <errorID>fb1d0de8-6316-4545-a3b6-83878c1068e5</errorID>
      <errorWord>限时</errorWord>
      <group>L1_Word</group>
      <groupName>字词问题</groupName>
      <ability>L2_Typo</ability>
      <abilityName>字词错误</abilityName>
      <candidateList>
        <item>时限</item>
      </candidateList>
      <explain/>
      <paraID>482B6C0B</paraID>
      <start>264</start>
      <end>266</end>
      <status>unmodified</status>
      <modifiedWord/>
      <trackRevisions>false</trackRevisions>
    </reviewItem>
    <reviewItem>
      <errorID>fecd301d-faad-4a7d-8227-b0c48a24cd7a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CA25D2C</paraID>
      <start>0</start>
      <end>2</end>
      <status>unmodified</status>
      <modifiedWord/>
      <trackRevisions>false</trackRevisions>
    </reviewItem>
    <reviewItem>
      <errorID>70cd68f3-7329-4c25-93df-64f92c0d4e18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236D60EE</paraID>
      <start>0</start>
      <end>2</end>
      <status>unmodified</status>
      <modifiedWord/>
      <trackRevisions>false</trackRevisions>
    </reviewItem>
    <reviewItem>
      <errorID>8d9b4b36-298e-4e1e-8591-4e2d300e3af0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6C20CD7</paraID>
      <start>0</start>
      <end>2</end>
      <status>unmodified</status>
      <modifiedWord/>
      <trackRevisions>false</trackRevisions>
    </reviewItem>
    <reviewItem>
      <errorID>7f81f954-6e9e-4794-8a2f-783017e77baa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37F66865</paraID>
      <start>0</start>
      <end>2</end>
      <status>unmodified</status>
      <modifiedWord/>
      <trackRevisions>false</trackRevisions>
    </reviewItem>
    <reviewItem>
      <errorID>1dc302a7-273b-44a9-9718-233afdddb111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346E2DF9</paraID>
      <start>0</start>
      <end>2</end>
      <status>unmodified</status>
      <modifiedWord/>
      <trackRevisions>false</trackRevisions>
    </reviewItem>
    <reviewItem>
      <errorID>270d79e0-0856-4143-a0b8-513285ddb16c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3AE8F6C</paraID>
      <start>0</start>
      <end>2</end>
      <status>unmodified</status>
      <modifiedWord/>
      <trackRevisions>false</trackRevisions>
    </reviewItem>
    <reviewItem>
      <errorID>b38d22fd-01fb-4453-9d64-b69480f6e916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42A4D30B</paraID>
      <start>0</start>
      <end>2</end>
      <status>unmodified</status>
      <modifiedWord/>
      <trackRevisions>false</trackRevisions>
    </reviewItem>
    <reviewItem>
      <errorID>4654608f-a41c-40ac-b59a-6313348e7511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15AF6EDB</paraID>
      <start>0</start>
      <end>2</end>
      <status>unmodified</status>
      <modifiedWord/>
      <trackRevisions>false</trackRevisions>
    </reviewItem>
    <reviewItem>
      <errorID>c148004f-411e-4e32-8f1b-c331fca171f7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42268196</paraID>
      <start>0</start>
      <end>2</end>
      <status>unmodified</status>
      <modifiedWord/>
      <trackRevisions>false</trackRevisions>
    </reviewItem>
    <reviewItem>
      <errorID>eea03227-ebfe-4e73-88ca-3bfef2be19bb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136249D1</paraID>
      <start>0</start>
      <end>2</end>
      <status>unmodified</status>
      <modifiedWord/>
      <trackRevisions>false</trackRevisions>
    </reviewItem>
    <reviewItem>
      <errorID>6669fc1d-f579-4d6c-aa83-db34cf355d97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52D7FE13</paraID>
      <start>0</start>
      <end>2</end>
      <status>unmodified</status>
      <modifiedWord/>
      <trackRevisions>false</trackRevisions>
    </reviewItem>
    <reviewItem>
      <errorID>afcd8c94-60fa-4389-9b8f-4fc5ed3673b2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4B849C0B</paraID>
      <start>0</start>
      <end>2</end>
      <status>unmodified</status>
      <modifiedWord/>
      <trackRevisions>false</trackRevisions>
    </reviewItem>
    <reviewItem>
      <errorID>877cfe16-88d4-4589-a0e6-71fa6f09942e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7605D8D8</paraID>
      <start>0</start>
      <end>2</end>
      <status>unmodified</status>
      <modifiedWord/>
      <trackRevisions>false</trackRevisions>
    </reviewItem>
    <reviewItem>
      <errorID>7fe95367-dbef-47a3-ae43-ccb3a15fb54d</errorID>
      <errorWord>、等</errorWord>
      <group>L1_Punc</group>
      <groupName>标点问题</groupName>
      <ability>L2_Punc</ability>
      <abilityName>标点符号检查</abilityName>
      <candidateList>
        <item>等</item>
      </candidateList>
      <explain>“及”“和”“等”连词前不宜使用顿号，建议删除（或使用逗号）。</explain>
      <paraID>7605D8D8</paraID>
      <start>21</start>
      <end>23</end>
      <status>unmodified</status>
      <modifiedWord/>
      <trackRevisions>false</trackRevisions>
    </reviewItem>
    <reviewItem>
      <errorID>4936dcdc-7326-4255-ad29-8814fb7f9699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3C5B7281</paraID>
      <start>0</start>
      <end>2</end>
      <status>unmodified</status>
      <modifiedWord/>
      <trackRevisions>false</trackRevisions>
    </reviewItem>
    <reviewItem>
      <errorID>01759ac9-8558-415a-981e-464d9f6d5e07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43877E06</paraID>
      <start>0</start>
      <end>2</end>
      <status>unmodified</status>
      <modifiedWord/>
      <trackRevisions>false</trackRevisions>
    </reviewItem>
    <reviewItem>
      <errorID>dcffc67f-2ee7-4f43-b85c-62ca302524db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40CCA08E</paraID>
      <start>0</start>
      <end>2</end>
      <status>unmodified</status>
      <modifiedWord/>
      <trackRevisions>false</trackRevisions>
    </reviewItem>
    <reviewItem>
      <errorID>0c19868e-79b6-462b-849e-70682e2956b8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3DB11C24</paraID>
      <start>0</start>
      <end>2</end>
      <status>unmodified</status>
      <modifiedWord/>
      <trackRevisions>false</trackRevisions>
    </reviewItem>
    <reviewItem>
      <errorID>1445d867-1885-42bd-9073-9aa7b6fb36b0</errorID>
      <errorWord>计</errorWord>
      <group>L1_Word</group>
      <groupName>字词问题</groupName>
      <ability>L2_Typo</ability>
      <abilityName>字词错误</abilityName>
      <candidateList>
        <item>计算</item>
      </candidateList>
      <explain/>
      <paraID>3DB11C24</paraID>
      <start>128</start>
      <end>129</end>
      <status>unmodified</status>
      <modifiedWord/>
      <trackRevisions>false</trackRevisions>
    </reviewItem>
    <reviewItem>
      <errorID>415974fb-123d-40d7-bf84-e107e04ecbaf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4F34829</paraID>
      <start>0</start>
      <end>2</end>
      <status>unmodified</status>
      <modifiedWord/>
      <trackRevisions>false</trackRevisions>
    </reviewItem>
    <reviewItem>
      <errorID>7a8d619e-6967-4260-ad4c-6eaa018304b5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6942027B</paraID>
      <start>0</start>
      <end>2</end>
      <status>unmodified</status>
      <modifiedWord/>
      <trackRevisions>false</trackRevisions>
    </reviewItem>
    <reviewItem>
      <errorID>6004a61b-23e6-44ba-9740-b5670a7e4f88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159DD9EF</paraID>
      <start>0</start>
      <end>2</end>
      <status>unmodified</status>
      <modifiedWord/>
      <trackRevisions>false</trackRevisions>
    </reviewItem>
    <reviewItem>
      <errorID>8adf67ac-8976-42e2-afeb-b6e3f40700da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5176A8A8</paraID>
      <start>0</start>
      <end>2</end>
      <status>unmodified</status>
      <modifiedWord/>
      <trackRevisions>false</trackRevisions>
    </reviewItem>
    <reviewItem>
      <errorID>1e1754c8-ffcf-4aca-bad0-6984d3de2585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4B46EC7A</paraID>
      <start>0</start>
      <end>2</end>
      <status>unmodified</status>
      <modifiedWord/>
      <trackRevisions>false</trackRevisions>
    </reviewItem>
    <reviewItem>
      <errorID>27813896-56e6-40ea-a5d4-5032d6183ca3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5F118B2F</paraID>
      <start>0</start>
      <end>2</end>
      <status>unmodified</status>
      <modifiedWord/>
      <trackRevisions>false</trackRevisions>
    </reviewItem>
    <reviewItem>
      <errorID>ca428307-5f36-4084-bb2b-2e4be78d2f32</errorID>
      <errorWord>广东省实施&lt;中华人民共和国招标投标法&gt;办法</errorWord>
      <group>L1_Knowledge</group>
      <groupName>知识性问题</groupName>
      <ability>L2_Knowledge</ability>
      <abilityName>其他知识</abilityName>
      <candidateList>
        <item>广东省实施〈中华人民共和国招标投标法〉办法</item>
      </candidateList>
      <explain>当前法律法规未收录或尚未生效，注意核查是否正确。</explain>
      <paraID>4B2E4CC6</paraID>
      <start>42</start>
      <end>63</end>
      <status>unmodified</status>
      <modifiedWord/>
      <trackRevisions>false</trackRevisions>
    </reviewItem>
    <reviewItem>
      <errorID>d3bd75ea-9734-4212-ac00-8d0e1634a9a9</errorID>
      <errorWord>法律、法规</errorWord>
      <group>L1_Word</group>
      <groupName>字词问题</groupName>
      <ability>L2_Typo</ability>
      <abilityName>字词错误</abilityName>
      <candidateList>
        <item>法律法规</item>
      </candidateList>
      <explain/>
      <paraID>4B2E4CC6</paraID>
      <start>85</start>
      <end>90</end>
      <status>unmodified</status>
      <modifiedWord/>
      <trackRevisions>false</trackRevisions>
    </reviewItem>
    <reviewItem>
      <errorID>0c1c02b5-a96a-4029-83bd-423ab11e519a</errorID>
      <errorWord>分</errorWord>
      <group>L1_Word</group>
      <groupName>字词问题</groupName>
      <ability>L2_Typo</ability>
      <abilityName>字词错误</abilityName>
      <candidateList>
        <item>分为</item>
      </candidateList>
      <explain/>
      <paraID>69E88950</paraID>
      <start>8</start>
      <end>9</end>
      <status>unmodified</status>
      <modifiedWord/>
      <trackRevisions>false</trackRevisions>
    </reviewItem>
    <reviewItem>
      <errorID>7aa9552b-1b07-48f6-97f3-f1aee02da68e</errorID>
      <errorWord>总额</errorWord>
      <group>L1_Word</group>
      <groupName>字词问题</groupName>
      <ability>L2_Typo</ability>
      <abilityName>字词错误</abilityName>
      <candidateList>
        <item>总</item>
      </candidateList>
      <explain/>
      <paraID>50F2E39D</paraID>
      <start>56</start>
      <end>58</end>
      <status>unmodified</status>
      <modifiedWord/>
      <trackRevisions>false</trackRevisions>
    </reviewItem>
    <reviewItem>
      <errorID>3face6a1-96df-49d7-8478-51625e50a74c</errorID>
      <errorWord>总额</errorWord>
      <group>L1_Word</group>
      <groupName>字词问题</groupName>
      <ability>L2_Typo</ability>
      <abilityName>字词错误</abilityName>
      <candidateList>
        <item>总</item>
      </candidateList>
      <explain/>
      <paraID>1C305A3F</paraID>
      <start>26</start>
      <end>28</end>
      <status>unmodified</status>
      <modifiedWord/>
      <trackRevisions>false</trackRevisions>
    </reviewItem>
    <reviewItem>
      <errorID>8a439604-90d1-4c43-8812-8df5eb6bfaa1</errorID>
      <errorWord>广东省实施&lt;中华人民共和国招标投标法&gt;办法</errorWord>
      <group>L1_Knowledge</group>
      <groupName>知识性问题</groupName>
      <ability>L2_Knowledge</ability>
      <abilityName>其他知识</abilityName>
      <candidateList>
        <item>广东省实施〈中华人民共和国招标投标法〉办法</item>
      </candidateList>
      <explain>当前法律法规未收录或尚未生效，注意核查是否正确。</explain>
      <paraID> 9DF6CD3</paraID>
      <start>9</start>
      <end>30</end>
      <status>unmodified</status>
      <modifiedWord/>
      <trackRevisions>false</trackRevisions>
    </reviewItem>
    <reviewItem>
      <errorID>1ce481be-86ed-454a-81f0-ebc8186bf6a5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31ABA15A</paraID>
      <start>68</start>
      <end>71</end>
      <status>unmodified</status>
      <modifiedWord/>
      <trackRevisions>false</trackRevisions>
    </reviewItem>
    <reviewItem>
      <errorID>c6deee0c-64ee-4712-89fb-370f5642515a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31ABA15A</paraID>
      <start>75</start>
      <end>78</end>
      <status>unmodified</status>
      <modifiedWord/>
      <trackRevisions>false</trackRevisions>
    </reviewItem>
    <reviewItem>
      <errorID>ebb7332e-aafb-4cf2-990b-5c167fe0b1b5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31ABA15A</paraID>
      <start>81</start>
      <end>84</end>
      <status>unmodified</status>
      <modifiedWord/>
      <trackRevisions>false</trackRevisions>
    </reviewItem>
    <reviewItem>
      <errorID>d1e6caf8-8fd0-477a-a477-1371b222ef47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4D1EDAC0</paraID>
      <start>68</start>
      <end>71</end>
      <status>unmodified</status>
      <modifiedWord/>
      <trackRevisions>false</trackRevisions>
    </reviewItem>
    <reviewItem>
      <errorID>5b1fa3ee-79b9-42fd-93f6-2365a4d1f1e2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4D1EDAC0</paraID>
      <start>75</start>
      <end>78</end>
      <status>unmodified</status>
      <modifiedWord/>
      <trackRevisions>false</trackRevisions>
    </reviewItem>
    <reviewItem>
      <errorID>6c7d9ad4-e6e4-4842-91a0-fcfdb85cf23d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4D1EDAC0</paraID>
      <start>81</start>
      <end>84</end>
      <status>unmodified</status>
      <modifiedWord/>
      <trackRevisions>false</trackRevisions>
    </reviewItem>
    <reviewItem>
      <errorID>77ce2b04-7742-40fd-bc95-b732a7670d49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339A7023</paraID>
      <start>165</start>
      <end>168</end>
      <status>unmodified</status>
      <modifiedWord/>
      <trackRevisions>false</trackRevisions>
    </reviewItem>
    <reviewItem>
      <errorID>84478694-b4c3-4ffd-ae3e-655fb18d776f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339A7023</paraID>
      <start>172</start>
      <end>175</end>
      <status>unmodified</status>
      <modifiedWord/>
      <trackRevisions>false</trackRevisions>
    </reviewItem>
    <reviewItem>
      <errorID>a41f9a6b-5e73-4b31-853e-ebb72b53cb54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339A7023</paraID>
      <start>179</start>
      <end>182</end>
      <status>unmodified</status>
      <modifiedWord/>
      <trackRevisions>false</trackRevisions>
    </reviewItem>
    <reviewItem>
      <errorID>ba85e56a-b6fd-46d0-b326-fe8dcb370d64</errorID>
      <errorWord>（</errorWord>
      <group>L1_Punc</group>
      <groupName>标点问题</groupName>
      <ability>L2_Punc</ability>
      <abilityName>标点符号检查</abilityName>
      <candidateList/>
      <explain>同一形式括号套用。</explain>
      <paraID>339A7023</paraID>
      <start>238</start>
      <end>239</end>
      <status>unmodified</status>
      <modifiedWord/>
      <trackRevisions>false</trackRevisions>
    </reviewItem>
    <reviewItem>
      <errorID>cb417c96-fcbe-4f3c-8364-7306eb44f57a</errorID>
      <errorWord>）</errorWord>
      <group>L1_Punc</group>
      <groupName>标点问题</groupName>
      <ability>L2_Punc</ability>
      <abilityName>标点符号检查</abilityName>
      <candidateList/>
      <explain>同一形式括号套用。</explain>
      <paraID>339A7023</paraID>
      <start>247</start>
      <end>248</end>
      <status>unmodified</status>
      <modifiedWord/>
      <trackRevisions>false</trackRevisions>
    </reviewItem>
    <reviewItem>
      <errorID>2e49a841-dec2-40df-80f9-067f65048b39</errorID>
      <errorWord>（</errorWord>
      <group>L1_Punc</group>
      <groupName>标点问题</groupName>
      <ability>L2_Punc</ability>
      <abilityName>标点符号检查</abilityName>
      <candidateList/>
      <explain>同一形式括号套用。</explain>
      <paraID>339A7023</paraID>
      <start>351</start>
      <end>352</end>
      <status>unmodified</status>
      <modifiedWord/>
      <trackRevisions>false</trackRevisions>
    </reviewItem>
    <reviewItem>
      <errorID>b25e04bb-e92d-49da-8bd6-fa7bc33da8b1</errorID>
      <errorWord>）</errorWord>
      <group>L1_Punc</group>
      <groupName>标点问题</groupName>
      <ability>L2_Punc</ability>
      <abilityName>标点符号检查</abilityName>
      <candidateList/>
      <explain>同一形式括号套用。</explain>
      <paraID>339A7023</paraID>
      <start>360</start>
      <end>361</end>
      <status>unmodified</status>
      <modifiedWord/>
      <trackRevisions>false</trackRevisions>
    </reviewItem>
    <reviewItem>
      <errorID>8d5af91a-33c7-442c-ba3c-f936bb6df6f9</errorID>
      <errorWord>（</errorWord>
      <group>L1_Punc</group>
      <groupName>标点问题</groupName>
      <ability>L2_Punc</ability>
      <abilityName>标点符号检查</abilityName>
      <candidateList/>
      <explain>同一形式括号套用。</explain>
      <paraID>339A7023</paraID>
      <start>366</start>
      <end>367</end>
      <status>unmodified</status>
      <modifiedWord/>
      <trackRevisions>false</trackRevisions>
    </reviewItem>
    <reviewItem>
      <errorID>d2669089-9886-4419-aeab-80e43f1f101c</errorID>
      <errorWord>）</errorWord>
      <group>L1_Punc</group>
      <groupName>标点问题</groupName>
      <ability>L2_Punc</ability>
      <abilityName>标点符号检查</abilityName>
      <candidateList/>
      <explain>同一形式括号套用。</explain>
      <paraID>339A7023</paraID>
      <start>369</start>
      <end>370</end>
      <status>unmodified</status>
      <modifiedWord/>
      <trackRevisions>false</trackRevisions>
    </reviewItem>
    <reviewItem>
      <errorID>32035012-f1bd-45f4-bf9d-34d96e1283f4</errorID>
      <errorWord>（</errorWord>
      <group>L1_Punc</group>
      <groupName>标点问题</groupName>
      <ability>L2_Punc</ability>
      <abilityName>标点符号检查</abilityName>
      <candidateList/>
      <explain>同一形式括号套用。</explain>
      <paraID>3BA7861F</paraID>
      <start>141</start>
      <end>142</end>
      <status>unmodified</status>
      <modifiedWord/>
      <trackRevisions>false</trackRevisions>
    </reviewItem>
    <reviewItem>
      <errorID>83eb0f7f-ad44-492c-9fed-b49dc58fcc44</errorID>
      <errorWord>）</errorWord>
      <group>L1_Punc</group>
      <groupName>标点问题</groupName>
      <ability>L2_Punc</ability>
      <abilityName>标点符号检查</abilityName>
      <candidateList/>
      <explain>同一形式括号套用。</explain>
      <paraID>3BA7861F</paraID>
      <start>150</start>
      <end>151</end>
      <status>unmodified</status>
      <modifiedWord/>
      <trackRevisions>false</trackRevisions>
    </reviewItem>
    <reviewItem>
      <errorID>9199190d-468f-4e96-ad4c-326af3b73308</errorID>
      <errorWord>（</errorWord>
      <group>L1_Punc</group>
      <groupName>标点问题</groupName>
      <ability>L2_Punc</ability>
      <abilityName>标点符号检查</abilityName>
      <candidateList/>
      <explain>同一形式括号套用。</explain>
      <paraID>3BA7861F</paraID>
      <start>255</start>
      <end>256</end>
      <status>unmodified</status>
      <modifiedWord/>
      <trackRevisions>false</trackRevisions>
    </reviewItem>
    <reviewItem>
      <errorID>12b8b48c-a769-41b0-9d35-1d4f40062b46</errorID>
      <errorWord>）</errorWord>
      <group>L1_Punc</group>
      <groupName>标点问题</groupName>
      <ability>L2_Punc</ability>
      <abilityName>标点符号检查</abilityName>
      <candidateList/>
      <explain>同一形式括号套用。</explain>
      <paraID>3BA7861F</paraID>
      <start>264</start>
      <end>265</end>
      <status>unmodified</status>
      <modifiedWord/>
      <trackRevisions>false</trackRevisions>
    </reviewItem>
    <reviewItem>
      <errorID>af167412-aa24-4e77-a149-5f8b914b07e9</errorID>
      <errorWord>（</errorWord>
      <group>L1_Punc</group>
      <groupName>标点问题</groupName>
      <ability>L2_Punc</ability>
      <abilityName>标点符号检查</abilityName>
      <candidateList/>
      <explain>同一形式括号套用。</explain>
      <paraID>3BA7861F</paraID>
      <start>270</start>
      <end>271</end>
      <status>unmodified</status>
      <modifiedWord/>
      <trackRevisions>false</trackRevisions>
    </reviewItem>
    <reviewItem>
      <errorID>5059925d-f185-444e-9068-7ebdb5a58950</errorID>
      <errorWord>）</errorWord>
      <group>L1_Punc</group>
      <groupName>标点问题</groupName>
      <ability>L2_Punc</ability>
      <abilityName>标点符号检查</abilityName>
      <candidateList/>
      <explain>同一形式括号套用。</explain>
      <paraID>3BA7861F</paraID>
      <start>273</start>
      <end>274</end>
      <status>unmodified</status>
      <modifiedWord/>
      <trackRevisions>false</trackRevisions>
    </reviewItem>
    <reviewItem>
      <errorID>11c88b4b-6cf1-416b-9280-52f2c88fe2b7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5A810111</paraID>
      <start>0</start>
      <end>3</end>
      <status>unmodified</status>
      <modifiedWord/>
      <trackRevisions>false</trackRevisions>
    </reviewItem>
    <reviewItem>
      <errorID>bf0c2b82-81c8-4893-92c5-d1818270224e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6971156D</paraID>
      <start>0</start>
      <end>3</end>
      <status>unmodified</status>
      <modifiedWord/>
      <trackRevisions>false</trackRevisions>
    </reviewItem>
    <reviewItem>
      <errorID>6e7c944b-0b5b-406d-9576-29efb9a56fca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78BBF2CD</paraID>
      <start>0</start>
      <end>3</end>
      <status>unmodified</status>
      <modifiedWord/>
      <trackRevisions>false</trackRevisions>
    </reviewItem>
    <reviewItem>
      <errorID>36ee866a-e257-41de-8c59-78c7f5c8d26b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75F22EF8</paraID>
      <start>0</start>
      <end>3</end>
      <status>unmodified</status>
      <modifiedWord/>
      <trackRevisions>false</trackRevisions>
    </reviewItem>
    <reviewItem>
      <errorID>ccdda784-7fc3-48ed-a2b8-50d18e229102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4A2B65D9</paraID>
      <start>0</start>
      <end>3</end>
      <status>unmodified</status>
      <modifiedWord/>
      <trackRevisions>false</trackRevisions>
    </reviewItem>
    <reviewItem>
      <errorID>4fd3c09b-5f98-4be5-a8b3-b31b3acaaa5c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2797A18</paraID>
      <start>0</start>
      <end>3</end>
      <status>unmodified</status>
      <modifiedWord/>
      <trackRevisions>false</trackRevisions>
    </reviewItem>
    <reviewItem>
      <errorID>f7b9a171-3539-4921-8365-7ccb7692538a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8C7F34B</paraID>
      <start>0</start>
      <end>3</end>
      <status>unmodified</status>
      <modifiedWord/>
      <trackRevisions>false</trackRevisions>
    </reviewItem>
    <reviewItem>
      <errorID>22241539-3fdc-4c3e-a46a-a7c2ff057f55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7E316247</paraID>
      <start>0</start>
      <end>3</end>
      <status>unmodified</status>
      <modifiedWord/>
      <trackRevisions>false</trackRevisions>
    </reviewItem>
    <reviewItem>
      <errorID>831ca923-85f6-47f8-9c71-86c20390f179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2A8285A4</paraID>
      <start>0</start>
      <end>3</end>
      <status>unmodified</status>
      <modifiedWord/>
      <trackRevisions>false</trackRevisions>
    </reviewItem>
    <reviewItem>
      <errorID>78ecdac0-f295-47ea-91c2-18f2d0020c2e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58532A0E</paraID>
      <start>0</start>
      <end>3</end>
      <status>unmodified</status>
      <modifiedWord/>
      <trackRevisions>false</trackRevisions>
    </reviewItem>
    <reviewItem>
      <errorID>c731d684-cec8-4bf4-b634-d1db3f08adaa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678B3A83</paraID>
      <start>0</start>
      <end>3</end>
      <status>unmodified</status>
      <modifiedWord/>
      <trackRevisions>false</trackRevisions>
    </reviewItem>
    <reviewItem>
      <errorID>c90abc60-0fa1-4ae5-b29b-de540439f179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48C4D694</paraID>
      <start>0</start>
      <end>3</end>
      <status>unmodified</status>
      <modifiedWord/>
      <trackRevisions>false</trackRevisions>
    </reviewItem>
    <reviewItem>
      <errorID>c3fe44e7-d3a7-45b2-8b63-559a9df6146c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2C74DF6B</paraID>
      <start>0</start>
      <end>3</end>
      <status>unmodified</status>
      <modifiedWord/>
      <trackRevisions>false</trackRevisions>
    </reviewItem>
    <reviewItem>
      <errorID>02a6f5c9-23cb-4325-94e2-fec8bbbdb5ff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1BAB04AD</paraID>
      <start>0</start>
      <end>3</end>
      <status>unmodified</status>
      <modifiedWord/>
      <trackRevisions>false</trackRevisions>
    </reviewItem>
    <reviewItem>
      <errorID>c8e11722-9269-4705-bf22-ace19e3e0bbd</errorID>
      <errorWord>，</errorWord>
      <group>L1_Word</group>
      <groupName>字词问题</groupName>
      <ability>L2_Typo</ability>
      <abilityName>字词错误</abilityName>
      <candidateList>
        <item>，由</item>
      </candidateList>
      <explain/>
      <paraID>377416C7</paraID>
      <start>13</start>
      <end>14</end>
      <status>unmodified</status>
      <modifiedWord/>
      <trackRevisions>false</trackRevisions>
    </reviewItem>
    <reviewItem>
      <errorID>54feae22-dfc7-4ffd-985d-ab97d3358481</errorID>
      <errorWord>及</errorWord>
      <group>L1_Word</group>
      <groupName>字词问题</groupName>
      <ability>L2_Typo</ability>
      <abilityName>字词错误</abilityName>
      <candidateList>
        <item>及与</item>
      </candidateList>
      <explain/>
      <paraID>7490183A</paraID>
      <start>57</start>
      <end>58</end>
      <status>unmodified</status>
      <modifiedWord/>
      <trackRevisions>false</trackRevisions>
    </reviewItem>
    <reviewItem>
      <errorID>e95269cf-a30c-4bd2-9665-ec7ea9f0796d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7FCAD6B3</paraID>
      <start>0</start>
      <end>3</end>
      <status>unmodified</status>
      <modifiedWord/>
      <trackRevisions>false</trackRevisions>
    </reviewItem>
    <reviewItem>
      <errorID>9055186f-0b3b-4b38-a434-30ca54284a2a</errorID>
      <errorWord>。；</errorWord>
      <group>L1_Punc</group>
      <groupName>标点问题</groupName>
      <ability>L2_Punc</ability>
      <abilityName>标点符号检查</abilityName>
      <candidateList>
        <item>。</item>
      </candidateList>
      <explain/>
      <paraID>7514E3A9</paraID>
      <start>73</start>
      <end>75</end>
      <status>unmodified</status>
      <modifiedWord/>
      <trackRevisions>false</trackRevisions>
    </reviewItem>
    <reviewItem>
      <errorID>935e34ff-360f-40d7-b5e6-62bb702db0af</errorID>
      <errorWord>》</errorWord>
      <group>L1_Word</group>
      <groupName>字词问题</groupName>
      <ability>L2_Typo</ability>
      <abilityName>字词错误</abilityName>
      <candidateList>
        <item>》和</item>
      </candidateList>
      <explain/>
      <paraID>363C5B6A</paraID>
      <start>84</start>
      <end>85</end>
      <status>unmodified</status>
      <modifiedWord/>
      <trackRevisions>false</trackRevisions>
    </reviewItem>
    <reviewItem>
      <errorID>500cf308-96c9-41a0-833d-a1d2c7255ba5</errorID>
      <errorWord>》</errorWord>
      <group>L1_Word</group>
      <groupName>字词问题</groupName>
      <ability>L2_Typo</ability>
      <abilityName>字词错误</abilityName>
      <candidateList>
        <item>》和</item>
      </candidateList>
      <explain/>
      <paraID>49276BEE</paraID>
      <start>109</start>
      <end>110</end>
      <status>unmodified</status>
      <modifiedWord/>
      <trackRevisions>false</trackRevisions>
    </reviewItem>
    <reviewItem>
      <errorID>67eb3790-d481-46e9-910f-2fa0131f7bca</errorID>
      <errorWord>》</errorWord>
      <group>L1_Word</group>
      <groupName>字词问题</groupName>
      <ability>L2_Typo</ability>
      <abilityName>字词错误</abilityName>
      <candidateList>
        <item>》和</item>
      </candidateList>
      <explain/>
      <paraID>2521B1C7</paraID>
      <start>105</start>
      <end>106</end>
      <status>unmodified</status>
      <modifiedWord/>
      <trackRevisions>false</trackRevisions>
    </reviewItem>
    <reviewItem>
      <errorID>47fe803a-72cc-4d17-8e78-f51d87e2c76d</errorID>
      <errorWord>《</errorWord>
      <group>L1_Punc</group>
      <groupName>标点问题</groupName>
      <ability>L2_Punc</ability>
      <abilityName>标点符号检查</abilityName>
      <candidateList/>
      <explain>同一形式括号套用。</explain>
      <paraID>4954757D</paraID>
      <start>41</start>
      <end>42</end>
      <status>unmodified</status>
      <modifiedWord/>
      <trackRevisions>false</trackRevisions>
    </reviewItem>
    <reviewItem>
      <errorID>20984ec4-6528-496a-a10c-4c446ac4dac1</errorID>
      <errorWord>》</errorWord>
      <group>L1_Punc</group>
      <groupName>标点问题</groupName>
      <ability>L2_Punc</ability>
      <abilityName>标点符号检查</abilityName>
      <candidateList/>
      <explain>同一形式括号套用。</explain>
      <paraID>4954757D</paraID>
      <start>65</start>
      <end>66</end>
      <status>unmodified</status>
      <modifiedWord/>
      <trackRevisions>false</trackRevisions>
    </reviewItem>
    <reviewItem>
      <errorID>b40c9cd0-2a3b-4f0d-bc22-7d0f854f2dcd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5F2CA8</paraID>
      <start>0</start>
      <end>2</end>
      <status>unmodified</status>
      <modifiedWord/>
      <trackRevisions>false</trackRevisions>
    </reviewItem>
    <reviewItem>
      <errorID>54160d18-81a0-4b4b-ac33-b8c362337242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11081046</paraID>
      <start>0</start>
      <end>2</end>
      <status>unmodified</status>
      <modifiedWord/>
      <trackRevisions>false</trackRevisions>
    </reviewItem>
    <reviewItem>
      <errorID>2a5ee43d-4a46-4050-a4d1-703b4560dddd</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 EAC7B06</paraID>
      <start>219</start>
      <end>221</end>
      <status>unmodified</status>
      <modifiedWord/>
      <trackRevisions>false</trackRevisions>
    </reviewItem>
    <reviewItem>
      <errorID>dd40d0a9-8c02-4fea-81c3-c5e70adf1844</errorID>
      <errorWord>l、</errorWord>
      <group>L1_Format</group>
      <groupName>格式问题</groupName>
      <ability>L2_Ordinal</ability>
      <abilityName>序号格式</abilityName>
      <candidateList>
        <item>l.</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54F9D405</paraID>
      <start>0</start>
      <end>2</end>
      <status>unmodified</status>
      <modifiedWord/>
      <trackRevisions>false</trackRevisions>
    </reviewItem>
    <reviewItem>
      <errorID>2d9b00cd-8401-4688-949e-307ed2086df0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65459697</paraID>
      <start>0</start>
      <end>2</end>
      <status>unmodified</status>
      <modifiedWord/>
      <trackRevisions>false</trackRevisions>
    </reviewItem>
    <reviewItem>
      <errorID>b7de260d-c39d-431a-96b2-4a3faa250b37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5B3117DF</paraID>
      <start>0</start>
      <end>2</end>
      <status>unmodified</status>
      <modifiedWord/>
      <trackRevisions>false</trackRevisions>
    </reviewItem>
    <reviewItem>
      <errorID>9d73d259-5e28-4469-adbd-9e5b619ffcce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8A7630C</paraID>
      <start>0</start>
      <end>2</end>
      <status>unmodified</status>
      <modifiedWord/>
      <trackRevisions>false</trackRevisions>
    </reviewItem>
    <reviewItem>
      <errorID>92c76fee-399c-4f0d-9cac-62b9240ccd6c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14B2FC5A</paraID>
      <start>0</start>
      <end>2</end>
      <status>unmodified</status>
      <modifiedWord/>
      <trackRevisions>false</trackRevisions>
    </reviewItem>
    <reviewItem>
      <errorID>5f38f54b-043d-4ce7-92fb-31899672e978</errorID>
      <errorWord>人数数量</errorWord>
      <group>L1_Word</group>
      <groupName>字词问题</groupName>
      <ability>L2_Typo</ability>
      <abilityName>字词错误</abilityName>
      <candidateList>
        <item>人数</item>
      </candidateList>
      <explain/>
      <paraID>14B2FC5A</paraID>
      <start>17</start>
      <end>21</end>
      <status>unmodified</status>
      <modifiedWord/>
      <trackRevisions>false</trackRevisions>
    </reviewItem>
    <reviewItem>
      <errorID>2780b664-ada8-4258-bebb-71b26a1298a5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28654CC7</paraID>
      <start>0</start>
      <end>2</end>
      <status>unmodified</status>
      <modifiedWord/>
      <trackRevisions>false</trackRevisions>
    </reviewItem>
    <reviewItem>
      <errorID>a6e80930-449f-4d97-a10e-e1ddbe6cdd7b</errorID>
      <errorWord>人数数量</errorWord>
      <group>L1_Word</group>
      <groupName>字词问题</groupName>
      <ability>L2_Typo</ability>
      <abilityName>字词错误</abilityName>
      <candidateList>
        <item>人数</item>
      </candidateList>
      <explain/>
      <paraID>28654CC7</paraID>
      <start>17</start>
      <end>21</end>
      <status>unmodified</status>
      <modifiedWord/>
      <trackRevisions>false</trackRevisions>
    </reviewItem>
    <reviewItem>
      <errorID>2350c5e4-4bac-49a4-b79a-df0835e7df94</errorID>
      <errorWord>包含在</errorWord>
      <group>L1_Word</group>
      <groupName>字词问题</groupName>
      <ability>L2_Typo</ability>
      <abilityName>字词错误</abilityName>
      <candidateList>
        <item>包含</item>
      </candidateList>
      <explain>〈动〉里边含有：这句话～好几层意思。</explain>
      <paraID>6E5B1958</paraID>
      <start>20</start>
      <end>23</end>
      <status>unmodified</status>
      <modifiedWord/>
      <trackRevisions>false</trackRevisions>
    </reviewItem>
    <reviewItem>
      <errorID>d152f477-ca84-4af6-8fee-70ba47353df0</errorID>
      <errorWord>规定的</errorWord>
      <group>L1_Word</group>
      <groupName>字词问题</groupName>
      <ability>L2_Typo</ability>
      <abilityName>字词错误</abilityName>
      <candidateList>
        <item>规定</item>
      </candidateList>
      <explain>❶〈动〉对某一事物做出关于方式、方法或数量、质量的决定：～产品的质量标准｜不得超过～的日期。❷〈名〉所规定的内容：关于下岗职工的安排问题，上级已经有了新的～。</explain>
      <paraID> 1A51226</paraID>
      <start>23</start>
      <end>26</end>
      <status>unmodified</status>
      <modifiedWord/>
      <trackRevisions>false</trackRevisions>
    </reviewItem>
    <reviewItem>
      <errorID>cc6b7400-abc1-46b9-906d-d4dda594dba0</errorID>
      <errorWord>包含在</errorWord>
      <group>L1_Word</group>
      <groupName>字词问题</groupName>
      <ability>L2_Typo</ability>
      <abilityName>字词错误</abilityName>
      <candidateList>
        <item>包含</item>
      </candidateList>
      <explain>〈动〉里边含有：这句话～好几层意思。</explain>
      <paraID>6A7D0A7A</paraID>
      <start>20</start>
      <end>23</end>
      <status>unmodified</status>
      <modifiedWord/>
      <trackRevisions>false</trackRevisions>
    </reviewItem>
    <reviewItem>
      <errorID>a603e0c3-75b1-476c-9259-82acba6925ff</errorID>
      <errorWord>,</errorWord>
      <group>L1_Format</group>
      <groupName>格式问题</groupName>
      <ability>L2_HalfPunc</ability>
      <abilityName>全半角检查</abilityName>
      <candidateList>
        <item>，</item>
      </candidateList>
      <explain>文本全半角错误。</explain>
      <paraID>4A24C91C</paraID>
      <start>16</start>
      <end>17</end>
      <status>unmodified</status>
      <modifiedWord/>
      <trackRevisions>false</trackRevisions>
    </reviewItem>
    <reviewItem>
      <errorID>64f4993d-b9d6-414f-8a44-18a2d0ce3dfc</errorID>
      <errorWord>签定合同</errorWord>
      <group>L1_Word</group>
      <groupName>字词问题</groupName>
      <ability>L2_Typo</ability>
      <abilityName>字词错误</abilityName>
      <candidateList>
        <item>签订合同</item>
      </candidateList>
      <explain/>
      <paraID>6BB3E841</paraID>
      <start>20</start>
      <end>24</end>
      <status>unmodified</status>
      <modifiedWord/>
      <trackRevisions>false</trackRevisions>
    </reviewItem>
    <reviewItem>
      <errorID>c9c7083c-04b6-4eae-9489-e5c8a590395d</errorID>
      <errorWord>地方法规</errorWord>
      <group>L1_Political</group>
      <groupName>政治性问题</groupName>
      <ability>L2_Unpolitical</ability>
      <abilityName>政治敏感错误</abilityName>
      <candidateList>
        <item>地方性法规</item>
      </candidateList>
      <explain/>
      <paraID>162FC14E</paraID>
      <start>39</start>
      <end>43</end>
      <status>unmodified</status>
      <modifiedWord/>
      <trackRevisions>false</trackRevisions>
    </reviewItem>
    <reviewItem>
      <errorID>50bcd06e-4b77-49e0-b6c6-6ad61e5ab060</errorID>
      <errorWord>上签字并盖单位</errorWord>
      <group>L1_Word</group>
      <groupName>字词问题</groupName>
      <ability>L2_Typo</ability>
      <abilityName>字词错误</abilityName>
      <candidateList>
        <item>上签字并加盖单位</item>
      </candidateList>
      <explain/>
      <paraID>41BC66C9</paraID>
      <start>68</start>
      <end>75</end>
      <status>unmodified</status>
      <modifiedWord/>
      <trackRevisions>false</trackRevisions>
    </reviewItem>
    <reviewItem>
      <errorID>0f0c7d6e-055d-42c6-9dd1-711a170c7bae</errorID>
      <errorWord>权力</errorWord>
      <group>L1_Word</group>
      <groupName>字词问题</groupName>
      <ability>L2_Typo</ability>
      <abilityName>字词错误</abilityName>
      <candidateList>
        <item>权利</item>
      </candidateList>
      <explain/>
      <paraID> 18A76C8</paraID>
      <start>25</start>
      <end>27</end>
      <status>unmodified</status>
      <modifiedWord/>
      <trackRevisions>false</trackRevisions>
    </reviewItem>
    <reviewItem>
      <errorID>517ce0c6-6bb3-46dd-a2db-f61470e5e29d</errorID>
      <errorWord>运入</errorWord>
      <group>L1_Word</group>
      <groupName>字词问题</groupName>
      <ability>L2_Typo</ability>
      <abilityName>字词错误</abilityName>
      <candidateList>
        <item>进入</item>
      </candidateList>
      <explain>〈动〉支进到某个范围或某个时期里：～学校｜～新阶段◇～角色。</explain>
      <paraID>7739CE87</paraID>
      <start>8</start>
      <end>10</end>
      <status>unmodified</status>
      <modifiedWord/>
      <trackRevisions>false</trackRevisions>
    </reviewItem>
    <reviewItem>
      <errorID>2dc9b014-26e6-497e-8d06-c5f3da2d7819</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7A72C401</paraID>
      <start>32</start>
      <end>34</end>
      <status>unmodified</status>
      <modifiedWord/>
      <trackRevisions>false</trackRevisions>
    </reviewItem>
    <reviewItem>
      <errorID>2f6c6b10-dfa9-4bd9-a6e9-f0d14b538602</errorID>
      <errorWord>运入</errorWord>
      <group>L1_Word</group>
      <groupName>字词问题</groupName>
      <ability>L2_Typo</ability>
      <abilityName>字词错误</abilityName>
      <candidateList>
        <item>进入</item>
      </candidateList>
      <explain>〈动〉支进到某个范围或某个时期里：～学校｜～新阶段◇～角色。</explain>
      <paraID>7C94E18E</paraID>
      <start>18</start>
      <end>20</end>
      <status>unmodified</status>
      <modifiedWord/>
      <trackRevisions>false</trackRevisions>
    </reviewItem>
    <reviewItem>
      <errorID>3274da6c-8679-430c-a2df-e29e28ca5e74</errorID>
      <errorWord>涵义</errorWord>
      <group>L1_Word</group>
      <groupName>字词问题</groupName>
      <ability>L2_Alias</ability>
      <abilityName>也作/曾用词</abilityName>
      <candidateList>
        <item>含义</item>
      </candidateList>
      <explain>词汇[涵义]为不规范表述或旧称，其规范书面表述为[含义]。</explain>
      <paraID>7B5C45EE</paraID>
      <start>32</start>
      <end>34</end>
      <status>unmodified</status>
      <modifiedWord/>
      <trackRevisions>false</trackRevisions>
    </reviewItem>
    <reviewItem>
      <errorID>99d0b807-69ae-4680-931e-9a22d46263b7</errorID>
      <errorWord>涵义</errorWord>
      <group>L1_Word</group>
      <groupName>字词问题</groupName>
      <ability>L2_Alias</ability>
      <abilityName>也作/曾用词</abilityName>
      <candidateList>
        <item>含义</item>
      </candidateList>
      <explain>词汇[涵义]为不规范表述或旧称，其规范书面表述为[含义]。</explain>
      <paraID>7B5C45EE</paraID>
      <start>80</start>
      <end>82</end>
      <status>unmodified</status>
      <modifiedWord/>
      <trackRevisions>false</trackRevisions>
    </reviewItem>
    <reviewItem>
      <errorID>d85dbfd9-99b1-42b8-98c6-c881f1c448fd</errorID>
      <errorWord>共同协商</errorWord>
      <group>L1_Grammar</group>
      <groupName>语法问题</groupName>
      <ability>L2_Grammar</ability>
      <abilityName>语法错误</abilityName>
      <candidateList>
        <item>协商</item>
      </candidateList>
      <explain/>
      <paraID>64AF2D5C</paraID>
      <start>47</start>
      <end>51</end>
      <status>unmodified</status>
      <modifiedWord/>
      <trackRevisions>false</trackRevisions>
    </reviewItem>
    <reviewItem>
      <errorID>c3cfb10a-1d7c-4933-a7b9-ea82ae54e339</errorID>
      <errorWord>作</errorWord>
      <group>L1_Word</group>
      <groupName>字词问题</groupName>
      <ability>L2_Typo</ability>
      <abilityName>字词错误</abilityName>
      <candidateList>
        <item>做</item>
      </candidateList>
      <explain>存在发音相同字词的误用。</explain>
      <paraID>572ACF39</paraID>
      <start>47</start>
      <end>48</end>
      <status>unmodified</status>
      <modifiedWord/>
      <trackRevisions>false</trackRevisions>
    </reviewItem>
    <reviewItem>
      <errorID>00613baf-58c4-49f4-a24a-c8019a6927e2</errorID>
      <errorWord>察看</errorWord>
      <group>L1_Word</group>
      <groupName>字词问题</groupName>
      <ability>L2_Typo</ability>
      <abilityName>字词错误</abilityName>
      <candidateList>
        <item>查看</item>
      </candidateList>
      <explain>〈动〉检查、观察（事物的情况）：～灾情｜亲自到现场～。</explain>
      <paraID>163B2D96</paraID>
      <start>86</start>
      <end>88</end>
      <status>unmodified</status>
      <modifiedWord/>
      <trackRevisions>false</trackRevisions>
    </reviewItem>
    <reviewItem>
      <errorID>45509c50-2b70-4854-a623-4dc0e33588e3</errorID>
      <errorWord>省、 自治区、直辖市</errorWord>
      <group>L1_Political</group>
      <groupName>政治性问题</groupName>
      <ability>L2_Keyword</ability>
      <abilityName>固定表述</abilityName>
      <candidateList>
        <item>省、自治区、直辖市</item>
      </candidateList>
      <explain>词汇“省、自治区、直辖市”在特定场景下为固定表述形式，请确认此处的“省、 自治区、直辖市”是否存在不当。</explain>
      <paraID>766324E6</paraID>
      <start>44</start>
      <end>54</end>
      <status>unmodified</status>
      <modifiedWord/>
      <trackRevisions>false</trackRevisions>
    </reviewItem>
    <reviewItem>
      <errorID>51a97aad-aea9-425e-917a-9dd4dd0cd188</errorID>
      <errorWord>数</errorWord>
      <group>L1_Word</group>
      <groupName>字词问题</groupName>
      <ability>L2_Typo</ability>
      <abilityName>字词错误</abilityName>
      <candidateList>
        <item>数量</item>
      </candidateList>
      <explain/>
      <paraID>766324E6</paraID>
      <start>132</start>
      <end>133</end>
      <status>unmodified</status>
      <modifiedWord/>
      <trackRevisions>false</trackRevisions>
    </reviewItem>
    <reviewItem>
      <errorID>7c08466a-8709-4aa5-b62d-2f20b3e423ea</errorID>
      <errorWord>省、 自治区、直辖市</errorWord>
      <group>L1_Political</group>
      <groupName>政治性问题</groupName>
      <ability>L2_Keyword</ability>
      <abilityName>固定表述</abilityName>
      <candidateList>
        <item>省、自治区、直辖市</item>
      </candidateList>
      <explain>词汇“省、自治区、直辖市”在特定场景下为固定表述形式，请确认此处的“省、 自治区、直辖市”是否存在不当。</explain>
      <paraID>67266F25</paraID>
      <start>17</start>
      <end>27</end>
      <status>unmodified</status>
      <modifiedWord/>
      <trackRevisions>false</trackRevisions>
    </reviewItem>
    <reviewItem>
      <errorID>8b662cfb-3167-42f3-9088-9a77fa9a104a</errorID>
      <errorWord>施</errorWord>
      <group>L1_Word</group>
      <groupName>字词问题</groupName>
      <ability>L2_Typo</ability>
      <abilityName>字词错误</abilityName>
      <candidateList>
        <item>施工</item>
      </candidateList>
      <explain>〈动〉按照设计的规格和要求建筑房屋、桥梁、道路、水利工程等。</explain>
      <paraID>22E517E9</paraID>
      <start>40</start>
      <end>41</end>
      <status>unmodified</status>
      <modifiedWord/>
      <trackRevisions>false</trackRevisions>
    </reviewItem>
    <reviewItem>
      <errorID>51cfc5c0-56fd-4121-9672-cd740f1e1a46</errorID>
      <errorWord>接受</errorWord>
      <group>L1_Word</group>
      <groupName>字词问题</groupName>
      <ability>L2_Typo</ability>
      <abilityName>字词错误</abilityName>
      <candidateList>
        <item>接收</item>
      </candidateList>
      <explain>存在发音相同字词的误用。</explain>
      <paraID>7F1A1A4B</paraID>
      <start>20</start>
      <end>22</end>
      <status>unmodified</status>
      <modifiedWord/>
      <trackRevisions>false</trackRevisions>
    </reviewItem>
    <reviewItem>
      <errorID>7e5d797a-d9d4-44c9-a152-0e139ed76ed4</errorID>
      <errorWord>缓发</errorWord>
      <group>L1_Word</group>
      <groupName>字词问题</groupName>
      <ability>L2_Typo</ability>
      <abilityName>字词错误</abilityName>
      <candidateList>
        <item>换发</item>
      </candidateList>
      <explain/>
      <paraID>7F1A1A4B</paraID>
      <start>104</start>
      <end>106</end>
      <status>unmodified</status>
      <modifiedWord/>
      <trackRevisions>false</trackRevisions>
    </reviewItem>
    <reviewItem>
      <errorID>abec97a9-dda5-46cc-86d9-7df454f5d9c6</errorID>
      <errorWord>作</errorWord>
      <group>L1_Word</group>
      <groupName>字词问题</groupName>
      <ability>L2_Typo</ability>
      <abilityName>字词错误</abilityName>
      <candidateList>
        <item>做</item>
      </candidateList>
      <explain>（作）zuò〈动〉❶制造：～衣服｜用这木头～张桌子。❷写作：～文章。❸从事某种工作或活动：～工｜～事｜～买卖。❹举行庆祝或纪念活动：～寿｜～生日。❺充当；担任：～母亲的｜～官｜～教员｜～保育员｜今天开会由他～主席。❻当做：树皮可以～造纸的原料｜这篇文章可以～教材。❼结成（某种关系）：～亲｜～对头｜～朋友。</explain>
      <paraID>  EF0283</paraID>
      <start>59</start>
      <end>60</end>
      <status>unmodified</status>
      <modifiedWord/>
      <trackRevisions>false</trackRevisions>
    </reviewItem>
    <reviewItem>
      <errorID>1f828905-59ba-4238-9faf-c411f473cbcf</errorID>
      <errorWord>作</errorWord>
      <group>L1_Word</group>
      <groupName>字词问题</groupName>
      <ability>L2_Typo</ability>
      <abilityName>字词错误</abilityName>
      <candidateList>
        <item>做</item>
      </candidateList>
      <explain>（作）zuò〈动〉❶制造：～衣服｜用这木头～张桌子。❷写作：～文章。❸从事某种工作或活动：～工｜～事｜～买卖。❹举行庆祝或纪念活动：～寿｜～生日。❺充当；担任：～母亲的｜～官｜～教员｜～保育员｜今天开会由他～主席。❻当做：树皮可以～造纸的原料｜这篇文章可以～教材。❼结成（某种关系）：～亲｜～对头｜～朋友。</explain>
      <paraID>  EF0283</paraID>
      <start>94</start>
      <end>95</end>
      <status>unmodified</status>
      <modifiedWord/>
      <trackRevisions>false</trackRevisions>
    </reviewItem>
    <reviewItem>
      <errorID>931ed408-fbaf-41b7-bd3d-7e766694a784</errorID>
      <errorWord>予</errorWord>
      <group>L1_Word</group>
      <groupName>字词问题</groupName>
      <ability>L2_Typo</ability>
      <abilityName>字词错误</abilityName>
      <candidateList>
        <item>予以</item>
      </candidateList>
      <explain>〈动〉给以：～支持｜～警告｜～表扬｜～批评。</explain>
      <paraID>2B3FB7AF</paraID>
      <start>174</start>
      <end>175</end>
      <status>unmodified</status>
      <modifiedWord/>
      <trackRevisions>false</trackRevisions>
    </reviewItem>
    <reviewItem>
      <errorID>27c3fd70-d7dc-4fbf-bd19-3a438cf66e1b</errorID>
      <errorWord>法律、法规</errorWord>
      <group>L1_Word</group>
      <groupName>字词问题</groupName>
      <ability>L2_Typo</ability>
      <abilityName>字词错误</abilityName>
      <candidateList>
        <item>法律法规</item>
      </candidateList>
      <explain/>
      <paraID>5BB71012</paraID>
      <start>28</start>
      <end>33</end>
      <status>unmodified</status>
      <modifiedWord/>
      <trackRevisions>false</trackRevisions>
    </reviewItem>
    <reviewItem>
      <errorID>a02ab155-9f83-45a3-bbae-47a5f6f0a6ce</errorID>
      <errorWord>民工</errorWord>
      <group>L1_Word</group>
      <groupName>字词问题</groupName>
      <ability>L2_Typo</ability>
      <abilityName>字词错误</abilityName>
      <candidateList>
        <item>农民工</item>
      </candidateList>
      <explain/>
      <paraID>3EBD6AE7</paraID>
      <start>74</start>
      <end>76</end>
      <status>unmodified</status>
      <modifiedWord/>
      <trackRevisions>false</trackRevisions>
    </reviewItem>
    <reviewItem>
      <errorID>44fb9fcc-e562-42f6-8da1-3da8c17c6d89</errorID>
      <errorWord>的</errorWord>
      <group>L1_Word</group>
      <groupName>字词问题</groupName>
      <ability>L2_Typo</ability>
      <abilityName>字词错误</abilityName>
      <candidateList>
        <item>的农</item>
      </candidateList>
      <explain/>
      <paraID>15859E0C</paraID>
      <start>106</start>
      <end>107</end>
      <status>unmodified</status>
      <modifiedWord/>
      <trackRevisions>false</trackRevisions>
    </reviewItem>
    <reviewItem>
      <errorID>24f1b9da-4e92-4a65-9aa3-bf760c4aaded</errorID>
      <errorWord>加入到</errorWord>
      <group>L1_Word</group>
      <groupName>字词问题</groupName>
      <ability>L2_Typo</ability>
      <abilityName>字词错误</abilityName>
      <candidateList>
        <item>加入</item>
      </candidateList>
      <explain>〈动〉❶加上；掺进去：～食糖少许。❷参加进去：～工会｜～足球队。</explain>
      <paraID>77F2A340</paraID>
      <start>14</start>
      <end>17</end>
      <status>unmodified</status>
      <modifiedWord/>
      <trackRevisions>false</trackRevisions>
    </reviewItem>
    <reviewItem>
      <errorID>1f6a168b-41ad-4d33-bfbb-d51c7f966f6e</errorID>
      <errorWord>参加党组织生活</errorWord>
      <group>L1_Political</group>
      <groupName>政治性问题</groupName>
      <ability>L2_Keyword</ability>
      <abilityName>固定表述</abilityName>
      <candidateList>
        <item>参加党的组织生活</item>
      </candidateList>
      <explain>词汇“参加党的组织生活”在特定场景下为固定表述形式，请确认此处的“参加党组织生活”是否存在不当。</explain>
      <paraID>55940D41</paraID>
      <start>74</start>
      <end>81</end>
      <status>unmodified</status>
      <modifiedWord/>
      <trackRevisions>false</trackRevisions>
    </reviewItem>
    <reviewItem>
      <errorID>9f2db25f-d786-4e05-b318-ee39d213adbf</errorID>
      <errorWord>缺短</errorWord>
      <group>L1_Word</group>
      <groupName>字词问题</groupName>
      <ability>L2_Typo</ability>
      <abilityName>字词错误</abilityName>
      <candidateList>
        <item>短缺</item>
      </candidateList>
      <explain/>
      <paraID>3E4B1836</paraID>
      <start>24</start>
      <end>26</end>
      <status>unmodified</status>
      <modifiedWord/>
      <trackRevisions>false</trackRevisions>
    </reviewItem>
    <reviewItem>
      <errorID>7c2fb7de-3c6d-4782-93ac-64854629b95d</errorID>
      <errorWord>法律、法规</errorWord>
      <group>L1_Word</group>
      <groupName>字词问题</groupName>
      <ability>L2_Typo</ability>
      <abilityName>字词错误</abilityName>
      <candidateList>
        <item>法律法规</item>
      </candidateList>
      <explain/>
      <paraID>4AF9461C</paraID>
      <start>38</start>
      <end>43</end>
      <status>unmodified</status>
      <modifiedWord/>
      <trackRevisions>false</trackRevisions>
    </reviewItem>
    <reviewItem>
      <errorID>b7627953-0c12-492f-bd26-aaa0348240a9</errorID>
      <errorWord>~</errorWord>
      <group>L1_Format</group>
      <groupName>格式问题</groupName>
      <ability>L2_HalfPunc</ability>
      <abilityName>全半角检查</abilityName>
      <candidateList>
        <item>～</item>
      </candidateList>
      <explain>文本全半角错误。</explain>
      <paraID>29950236</paraID>
      <start>13</start>
      <end>14</end>
      <status>unmodified</status>
      <modifiedWord/>
      <trackRevisions>false</trackRevisions>
    </reviewItem>
    <reviewItem>
      <errorID>c21587fb-3f77-4662-a8b1-e8aa75b52224</errorID>
      <errorWord>~</errorWord>
      <group>L1_Format</group>
      <groupName>格式问题</groupName>
      <ability>L2_HalfPunc</ability>
      <abilityName>全半角检查</abilityName>
      <candidateList>
        <item>～</item>
      </candidateList>
      <explain>文本全半角错误。</explain>
      <paraID>4DFD9913</paraID>
      <start>13</start>
      <end>14</end>
      <status>unmodified</status>
      <modifiedWord/>
      <trackRevisions>false</trackRevisions>
    </reviewItem>
    <reviewItem>
      <errorID>8c04db3e-825d-48ca-b540-61fb0032fe10</errorID>
      <errorWord>中华人民共和国环境噪声污染防治法</errorWord>
      <group>L1_Knowledge</group>
      <groupName>知识性问题</groupName>
      <ability>L2_Knowledge</ability>
      <abilityName>其他知识</abilityName>
      <candidateList/>
      <explain>该法律于2018年12月29日由全国人民代表大会常务委员会制定，已于2022年6月5日废止，请注意检查引用是否正确。</explain>
      <paraID>4D0BEB6A</paraID>
      <start>37</start>
      <end>53</end>
      <status>unmodified</status>
      <modifiedWord/>
      <trackRevisions>false</trackRevisions>
    </reviewItem>
    <reviewItem>
      <errorID>237dde13-3068-47bd-a285-b07d10fbbc57</errorID>
      <errorWord>使用</errorWord>
      <group>L1_Grammar</group>
      <groupName>语法问题</groupName>
      <ability>L2_Grammar</ability>
      <abilityName>语法错误</abilityName>
      <candidateList>
        <item>采取</item>
      </candidateList>
      <explain>“使用～措施”搭配不当，建议修改为“采取～措施”。</explain>
      <paraID>4D0BEB6A</paraID>
      <start>125</start>
      <end>127</end>
      <status>unmodified</status>
      <modifiedWord/>
      <trackRevisions>false</trackRevisions>
    </reviewItem>
    <reviewItem>
      <errorID>128f79bf-4ed8-4be9-99ee-c74ec05917a8</errorID>
      <errorWord>--</errorWord>
      <group>L1_Punc</group>
      <groupName>标点问题</groupName>
      <ability>L2_Punc</ability>
      <abilityName>标点符号检查</abilityName>
      <candidateList>
        <item>——</item>
      </candidateList>
      <explain>破折号或连接号疑似使用错误。</explain>
      <paraID>35B9191C</paraID>
      <start>20</start>
      <end>22</end>
      <status>unmodified</status>
      <modifiedWord/>
      <trackRevisions>false</trackRevisions>
    </reviewItem>
    <reviewItem>
      <errorID>b03bb336-3069-4ebe-b406-615972bd9c53</errorID>
      <errorWord>：</errorWord>
      <group>L1_Word</group>
      <groupName>字词问题</groupName>
      <ability>L2_Typo</ability>
      <abilityName>字词错误</abilityName>
      <candidateList>
        <item>：在</item>
      </candidateList>
      <explain/>
      <paraID>2F8FE186</paraID>
      <start>25</start>
      <end>26</end>
      <status>unmodified</status>
      <modifiedWord/>
      <trackRevisions>false</trackRevisions>
    </reviewItem>
    <reviewItem>
      <errorID>521e6a86-3034-467a-9814-d2d8b94e31e5</errorID>
      <errorWord>雇用</errorWord>
      <group>L1_Word</group>
      <groupName>字词问题</groupName>
      <ability>L2_Typo</ability>
      <abilityName>字词错误</abilityName>
      <candidateList>
        <item>雇佣</item>
      </candidateList>
      <explain>〈动〉用货币购买劳动力。</explain>
      <paraID>5764CF58</paraID>
      <start>132</start>
      <end>134</end>
      <status>unmodified</status>
      <modifiedWord/>
      <trackRevisions>false</trackRevisions>
    </reviewItem>
    <reviewItem>
      <errorID>fe770330-c692-4bff-a4d5-7d6fb391f9f6</errorID>
      <errorWord>没</errorWord>
      <group>L1_Word</group>
      <groupName>字词问题</groupName>
      <ability>L2_Typo</ability>
      <abilityName>字词错误</abilityName>
      <candidateList>
        <item>没有</item>
      </candidateList>
      <explain>〈副〉❶表示“已然”的否定：他还～回来｜天还～黑呢。❷表示“曾经”的否定：老张上个星期～回来过｜银行昨天～开门。</explain>
      <paraID>51FFDE51</paraID>
      <start>83</start>
      <end>84</end>
      <status>unmodified</status>
      <modifiedWord/>
      <trackRevisions>false</trackRevisions>
    </reviewItem>
    <reviewItem>
      <errorID>6ab70d73-d962-49b9-babd-c6b016413cbb</errorID>
      <errorWord>~</errorWord>
      <group>L1_Format</group>
      <groupName>格式问题</groupName>
      <ability>L2_HalfPunc</ability>
      <abilityName>全半角检查</abilityName>
      <candidateList>
        <item>～</item>
      </candidateList>
      <explain>文本全半角错误。</explain>
      <paraID>5F2F6E53</paraID>
      <start>14</start>
      <end>15</end>
      <status>unmodified</status>
      <modifiedWord/>
      <trackRevisions>false</trackRevisions>
    </reviewItem>
    <reviewItem>
      <errorID>1fdea4c4-c832-4a5c-9bce-b6391734ccf8</errorID>
      <errorWord>施行</errorWord>
      <group>L1_Word</group>
      <groupName>字词问题</groupName>
      <ability>L2_Typo</ability>
      <abilityName>字词错误</abilityName>
      <candidateList>
        <item>实行</item>
      </candidateList>
      <explain>存在发音相同字词的误用。</explain>
      <paraID>5507408E</paraID>
      <start>12</start>
      <end>14</end>
      <status>unmodified</status>
      <modifiedWord/>
      <trackRevisions>false</trackRevisions>
    </reviewItem>
    <reviewItem>
      <errorID>c48a374e-cf35-4d33-ba3f-6d7b6165489f</errorID>
      <errorWord>法律、法规</errorWord>
      <group>L1_Word</group>
      <groupName>字词问题</groupName>
      <ability>L2_Typo</ability>
      <abilityName>字词错误</abilityName>
      <candidateList>
        <item>法律法规</item>
      </candidateList>
      <explain/>
      <paraID>69A4EBCB</paraID>
      <start>67</start>
      <end>72</end>
      <status>unmodified</status>
      <modifiedWord/>
      <trackRevisions>false</trackRevisions>
    </reviewItem>
    <reviewItem>
      <errorID>257d9e3f-a5e0-407a-9a36-92f9f384c859</errorID>
      <errorWord>施行</errorWord>
      <group>L1_Word</group>
      <groupName>字词问题</groupName>
      <ability>L2_Typo</ability>
      <abilityName>字词错误</abilityName>
      <candidateList>
        <item>实行</item>
      </candidateList>
      <explain>〈动〉用行动来实现（纲领、政策、计划等）：～改革｜～承包责任制。</explain>
      <paraID>2F099AC3</paraID>
      <start>70</start>
      <end>72</end>
      <status>unmodified</status>
      <modifiedWord/>
      <trackRevisions>false</trackRevisions>
    </reviewItem>
    <reviewItem>
      <errorID>9a6778a2-6237-463d-bc9a-03654f73faae</errorID>
      <errorWord>雇用</errorWord>
      <group>L1_Word</group>
      <groupName>字词问题</groupName>
      <ability>L2_Typo</ability>
      <abilityName>字词错误</abilityName>
      <candidateList>
        <item>雇佣</item>
      </candidateList>
      <explain>〈动〉用货币购买劳动力。</explain>
      <paraID>52271CB0</paraID>
      <start>29</start>
      <end>31</end>
      <status>unmodified</status>
      <modifiedWord/>
      <trackRevisions>false</trackRevisions>
    </reviewItem>
    <reviewItem>
      <errorID>f3890826-c5a7-4f34-b547-b8154d6b31f3</errorID>
      <errorWord>部分地</errorWord>
      <group>L1_Word</group>
      <groupName>字词问题</groupName>
      <ability>L2_Typo</ability>
      <abilityName>字词错误</abilityName>
      <candidateList>
        <item>部分</item>
      </candidateList>
      <explain>〈名〉整体中的局部；整体里的一些个体：检验机器各～的性能｜我校～师生参加了夏令营活动。</explain>
      <paraID>3109B58B</paraID>
      <start>29</start>
      <end>32</end>
      <status>unmodified</status>
      <modifiedWord/>
      <trackRevisions>false</trackRevisions>
    </reviewItem>
    <reviewItem>
      <errorID>1d830522-49da-4a08-8296-38a26ebd9487</errorID>
      <errorWord>总额</errorWord>
      <group>L1_Word</group>
      <groupName>字词问题</groupName>
      <ability>L2_Typo</ability>
      <abilityName>字词错误</abilityName>
      <candidateList>
        <item>总</item>
      </candidateList>
      <explain/>
      <paraID>2EB2BC9C</paraID>
      <start>61</start>
      <end>63</end>
      <status>unmodified</status>
      <modifiedWord/>
      <trackRevisions>false</trackRevisions>
    </reviewItem>
    <reviewItem>
      <errorID>c3eb1db1-f246-4102-ae55-eaf7cc30eb09</errorID>
      <errorWord>雇用</errorWord>
      <group>L1_Word</group>
      <groupName>字词问题</groupName>
      <ability>L2_Typo</ability>
      <abilityName>字词错误</abilityName>
      <candidateList>
        <item>雇佣</item>
      </candidateList>
      <explain>存在发音相同字词的误用。</explain>
      <paraID>4A7997DF</paraID>
      <start>26</start>
      <end>28</end>
      <status>unmodified</status>
      <modifiedWord/>
      <trackRevisions>false</trackRevisions>
    </reviewItem>
    <reviewItem>
      <errorID>1c13ad99-283d-496e-8451-87a2645363ad</errorID>
      <errorWord>~</errorWord>
      <group>L1_Format</group>
      <groupName>格式问题</groupName>
      <ability>L2_HalfPunc</ability>
      <abilityName>全半角检查</abilityName>
      <candidateList>
        <item>～</item>
      </candidateList>
      <explain>文本全半角错误。</explain>
      <paraID>5698E7CC</paraID>
      <start>113</start>
      <end>114</end>
      <status>unmodified</status>
      <modifiedWord/>
      <trackRevisions>false</trackRevisions>
    </reviewItem>
    <reviewItem>
      <errorID>2e940aa5-11a6-449b-aa12-f9e61cafdf9f</errorID>
      <errorWord>共同协商</errorWord>
      <group>L1_Grammar</group>
      <groupName>语法问题</groupName>
      <ability>L2_Grammar</ability>
      <abilityName>语法错误</abilityName>
      <candidateList>
        <item>协商</item>
      </candidateList>
      <explain/>
      <paraID>665D018B</paraID>
      <start>34</start>
      <end>38</end>
      <status>unmodified</status>
      <modifiedWord/>
      <trackRevisions>false</trackRevisions>
    </reviewItem>
    <reviewItem>
      <errorID>18565c0a-1bea-4173-8c33-8efeebf660fe</errorID>
      <errorWord>提交给</errorWord>
      <group>L1_Word</group>
      <groupName>字词问题</groupName>
      <ability>L2_Typo</ability>
      <abilityName>字词错误</abilityName>
      <candidateList>
        <item>提交</item>
      </candidateList>
      <explain/>
      <paraID>2D1F0AD3</paraID>
      <start>39</start>
      <end>42</end>
      <status>unmodified</status>
      <modifiedWord/>
      <trackRevisions>false</trackRevisions>
    </reviewItem>
    <reviewItem>
      <errorID>8fa90298-79bb-48b9-809d-0cb577ffa430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529A1697</paraID>
      <start>0</start>
      <end>3</end>
      <status>unmodified</status>
      <modifiedWord/>
      <trackRevisions>false</trackRevisions>
    </reviewItem>
    <reviewItem>
      <errorID>13903368-5dec-45dd-b79a-9a3b02488f68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529A1697</paraID>
      <start>60</start>
      <end>63</end>
      <status>unmodified</status>
      <modifiedWord/>
      <trackRevisions>false</trackRevisions>
    </reviewItem>
    <reviewItem>
      <errorID>1c6dbf85-30a8-4c4f-9a4b-75bddd23c657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529A1697</paraID>
      <start>83</start>
      <end>86</end>
      <status>unmodified</status>
      <modifiedWord/>
      <trackRevisions>false</trackRevisions>
    </reviewItem>
    <reviewItem>
      <errorID>d537ef05-eecf-44d9-bcd5-93d61927089c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529A1697</paraID>
      <start>98</start>
      <end>101</end>
      <status>unmodified</status>
      <modifiedWord/>
      <trackRevisions>false</trackRevisions>
    </reviewItem>
    <reviewItem>
      <errorID>adb3003e-d749-4186-af9b-609e5a2dad10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212010C4</paraID>
      <start>0</start>
      <end>3</end>
      <status>unmodified</status>
      <modifiedWord/>
      <trackRevisions>false</trackRevisions>
    </reviewItem>
    <reviewItem>
      <errorID>4acd4e2d-0b77-4fab-868a-998d57704867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212010C4</paraID>
      <start>82</start>
      <end>85</end>
      <status>unmodified</status>
      <modifiedWord/>
      <trackRevisions>false</trackRevisions>
    </reviewItem>
    <reviewItem>
      <errorID>ca979952-a9f8-4ee4-b0e7-471a7e2735cd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212010C4</paraID>
      <start>98</start>
      <end>101</end>
      <status>unmodified</status>
      <modifiedWord/>
      <trackRevisions>false</trackRevisions>
    </reviewItem>
    <reviewItem>
      <errorID>684a031f-194c-4ea2-b444-0fc1da8bfb57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AD1FC6B</paraID>
      <start>0</start>
      <end>3</end>
      <status>unmodified</status>
      <modifiedWord/>
      <trackRevisions>false</trackRevisions>
    </reviewItem>
    <reviewItem>
      <errorID>ff033235-2530-4857-bf8d-a48670e068fb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555CEEC6</paraID>
      <start>0</start>
      <end>3</end>
      <status>unmodified</status>
      <modifiedWord/>
      <trackRevisions>false</trackRevisions>
    </reviewItem>
    <reviewItem>
      <errorID>ca394f62-efbe-494e-aa46-3ce9063cbed1</errorID>
      <errorWord>需要</errorWord>
      <group>L1_Word</group>
      <groupName>字词问题</groupName>
      <ability>L2_Typo</ability>
      <abilityName>字词错误</abilityName>
      <candidateList>
        <item>需</item>
      </candidateList>
      <explain>❶〈动〉需要：～求｜按～分配｜完成任务还～五天时间。❷需用的东西：军～。</explain>
      <paraID>555CEEC6</paraID>
      <start>22</start>
      <end>24</end>
      <status>unmodified</status>
      <modifiedWord/>
      <trackRevisions>false</trackRevisions>
    </reviewItem>
    <reviewItem>
      <errorID>6a12ce7f-4a4a-4175-8114-0d8fdea95eed</errorID>
      <errorWord>已</errorWord>
      <group>L1_Word</group>
      <groupName>字词问题</groupName>
      <ability>L2_Typo</ability>
      <abilityName>字词错误</abilityName>
      <candidateList>
        <item>已支</item>
      </candidateList>
      <explain/>
      <paraID>44FB2A72</paraID>
      <start>70</start>
      <end>71</end>
      <status>unmodified</status>
      <modifiedWord/>
      <trackRevisions>false</trackRevisions>
    </reviewItem>
    <reviewItem>
      <errorID>c343b991-efd9-48b3-b8f8-8241e2903a7e</errorID>
      <errorWord>(</errorWord>
      <group>L1_Format</group>
      <groupName>格式问题</groupName>
      <ability>L2_HalfPunc</ability>
      <abilityName>全半角检查</abilityName>
      <candidateList>
        <item>（</item>
      </candidateList>
      <explain>文本全半角错误。</explain>
      <paraID>7D9A6551</paraID>
      <start>7</start>
      <end>8</end>
      <status>unmodified</status>
      <modifiedWord/>
      <trackRevisions>false</trackRevisions>
    </reviewItem>
    <reviewItem>
      <errorID>88753c85-a36d-49d8-8ebc-442cb3c9079d</errorID>
      <errorWord>支解</errorWord>
      <group>L1_Word</group>
      <groupName>字词问题</groupName>
      <ability>L2_Variant</ability>
      <abilityName>异形词</abilityName>
      <candidateList>
        <item>肢解</item>
      </candidateList>
      <explain>词汇[支解]的规范词形写作[肢解]。</explain>
      <paraID>4076C788</paraID>
      <start>57</start>
      <end>59</end>
      <status>unmodified</status>
      <modifiedWord/>
      <trackRevisions>false</trackRevisions>
    </reviewItem>
    <reviewItem>
      <errorID>b672babb-3550-4719-97b7-c2821b677d13</errorID>
      <errorWord>建立的</errorWord>
      <group>L1_Word</group>
      <groupName>字词问题</groupName>
      <ability>L2_Typo</ability>
      <abilityName>字词错误</abilityName>
      <candidateList>
        <item>建立</item>
      </candidateList>
      <explain>〈动〉❶开始成立：～政权｜～新的工业基地。❷开始产生；开始形成：～友谊｜～邦交。</explain>
      <paraID>75921C62</paraID>
      <start>10</start>
      <end>13</end>
      <status>unmodified</status>
      <modifiedWord/>
      <trackRevisions>false</trackRevisions>
    </reviewItem>
    <reviewItem>
      <errorID>bb9b0dac-72a0-4027-9fc9-677d6f31f028</errorID>
      <errorWord>涉及到</errorWord>
      <group>L1_Grammar</group>
      <groupName>语法问题</groupName>
      <ability>L2_Grammar</ability>
      <abilityName>语法错误</abilityName>
      <candidateList>
        <item>涉及</item>
      </candidateList>
      <explain>〈动〉牵涉到；关联到：案子～好几个人｜这个问题～面很广。</explain>
      <paraID> 8FFAD49</paraID>
      <start>65</start>
      <end>68</end>
      <status>unmodified</status>
      <modifiedWord/>
      <trackRevisions>false</trackRevisions>
    </reviewItem>
    <reviewItem>
      <errorID>49ec26ac-909e-4ab0-9eb9-f44a5bf92a05</errorID>
      <errorWord>称</errorWord>
      <group>L1_Word</group>
      <groupName>字词问题</groupName>
      <ability>L2_Typo</ability>
      <abilityName>字词错误</abilityName>
      <candidateList>
        <item>称为</item>
      </candidateList>
      <explain/>
      <paraID>6DDCAB6F</paraID>
      <start>18</start>
      <end>19</end>
      <status>unmodified</status>
      <modifiedWord/>
      <trackRevisions>false</trackRevisions>
    </reviewItem>
    <reviewItem>
      <errorID>e6b3f489-81cc-4be6-b09b-0ec92753a5b1</errorID>
      <errorWord>需要</errorWord>
      <group>L1_Word</group>
      <groupName>字词问题</groupName>
      <ability>L2_Typo</ability>
      <abilityName>字词错误</abilityName>
      <candidateList>
        <item>需</item>
      </candidateList>
      <explain>❶〈动〉需要：～求｜按～分配｜完成任务还～五天时间。❷需用的东西：军～。</explain>
      <paraID> 323B44F</paraID>
      <start>22</start>
      <end>24</end>
      <status>unmodified</status>
      <modifiedWord/>
      <trackRevisions>false</trackRevisions>
    </reviewItem>
    <reviewItem>
      <errorID>55c32915-0f69-443c-8e10-3313528b59ec</errorID>
      <errorWord>，</errorWord>
      <group>L1_Word</group>
      <groupName>字词问题</groupName>
      <ability>L2_Typo</ability>
      <abilityName>字词错误</abilityName>
      <candidateList>
        <item>，经</item>
      </candidateList>
      <explain/>
      <paraID>6B0AE904</paraID>
      <start>131</start>
      <end>132</end>
      <status>unmodified</status>
      <modifiedWord/>
      <trackRevisions>false</trackRevisions>
    </reviewItem>
    <reviewItem>
      <errorID>9d791eb7-dc00-4077-9554-a68b0d6c5ff5</errorID>
      <errorWord>（</errorWord>
      <group>L1_Punc</group>
      <groupName>标点问题</groupName>
      <ability>L2_Punc</ability>
      <abilityName>标点符号检查</abilityName>
      <candidateList>
        <item/>
      </candidateList>
      <explain>同一形式括号套用。</explain>
      <paraID>2E74CAAD</paraID>
      <start>19</start>
      <end>20</end>
      <status>unmodified</status>
      <modifiedWord/>
      <trackRevisions>false</trackRevisions>
    </reviewItem>
    <reviewItem>
      <errorID>67c322f4-80f9-4d74-95fb-6a25701fe008</errorID>
      <errorWord>(</errorWord>
      <group>L1_Punc</group>
      <groupName>标点问题</groupName>
      <ability>L2_Punc</ability>
      <abilityName>标点符号检查</abilityName>
      <candidateList/>
      <explain>同一形式括号套用。</explain>
      <paraID>2E74CAAD</paraID>
      <start>53</start>
      <end>54</end>
      <status>unmodified</status>
      <modifiedWord/>
      <trackRevisions>false</trackRevisions>
    </reviewItem>
    <reviewItem>
      <errorID>1024d0ea-605e-4a6e-9e0f-9549053fa993</errorID>
      <errorWord>)</errorWord>
      <group>L1_Punc</group>
      <groupName>标点问题</groupName>
      <ability>L2_Punc</ability>
      <abilityName>标点符号检查</abilityName>
      <candidateList/>
      <explain>同一形式括号套用。</explain>
      <paraID>2E74CAAD</paraID>
      <start>67</start>
      <end>68</end>
      <status>unmodified</status>
      <modifiedWord/>
      <trackRevisions>false</trackRevisions>
    </reviewItem>
    <reviewItem>
      <errorID>52e954e9-7b38-4947-9ca8-21345ab1aab3</errorID>
      <errorWord>）</errorWord>
      <group>L1_Punc</group>
      <groupName>标点问题</groupName>
      <ability>L2_Punc</ability>
      <abilityName>标点符号检查</abilityName>
      <candidateList/>
      <explain>同一形式括号套用。</explain>
      <paraID>2E74CAAD</paraID>
      <start>113</start>
      <end>114</end>
      <status>unmodified</status>
      <modifiedWord/>
      <trackRevisions>false</trackRevisions>
    </reviewItem>
    <reviewItem>
      <errorID>f2bc3a8e-2abc-46d4-a3fa-345b04f58ed3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5E3C5CF4</paraID>
      <start>0</start>
      <end>3</end>
      <status>unmodified</status>
      <modifiedWord/>
      <trackRevisions>false</trackRevisions>
    </reviewItem>
    <reviewItem>
      <errorID>355e31b7-e384-4d05-a7ce-da95a7c906cf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61633B38</paraID>
      <start>0</start>
      <end>3</end>
      <status>unmodified</status>
      <modifiedWord/>
      <trackRevisions>false</trackRevisions>
    </reviewItem>
    <reviewItem>
      <errorID>a07a8c00-c455-4024-838f-e169b09763e8</errorID>
      <errorWord>临近</errorWord>
      <group>L1_Word</group>
      <groupName>字词问题</groupName>
      <ability>L2_Typo</ability>
      <abilityName>字词错误</abilityName>
      <candidateList>
        <item>邻近</item>
      </candidateList>
      <explain>存在发音相同字词的误用。</explain>
      <paraID>61633B38</paraID>
      <start>110</start>
      <end>112</end>
      <status>unmodified</status>
      <modifiedWord/>
      <trackRevisions>false</trackRevisions>
    </reviewItem>
    <reviewItem>
      <errorID>5e81ba19-8577-45a4-b3e0-e564b3a91eee</errorID>
      <errorWord>需</errorWord>
      <group>L1_Word</group>
      <groupName>字词问题</groupName>
      <ability>L2_Typo</ability>
      <abilityName>字词错误</abilityName>
      <candidateList>
        <item>须</item>
      </candidateList>
      <explain>存在发音相同字词的误用。</explain>
      <paraID>75D51FA9</paraID>
      <start>60</start>
      <end>61</end>
      <status>unmodified</status>
      <modifiedWord/>
      <trackRevisions>false</trackRevisions>
    </reviewItem>
    <reviewItem>
      <errorID>62f9e23e-f4ac-4ea0-8512-41e28e0d4aa6</errorID>
      <errorWord>(</errorWord>
      <group>L1_Format</group>
      <groupName>格式问题</groupName>
      <ability>L2_HalfPunc</ability>
      <abilityName>全半角检查</abilityName>
      <candidateList>
        <item>（</item>
      </candidateList>
      <explain>文本全半角错误。</explain>
      <paraID>520B9796</paraID>
      <start>11</start>
      <end>12</end>
      <status>unmodified</status>
      <modifiedWord/>
      <trackRevisions>false</trackRevisions>
    </reviewItem>
    <reviewItem>
      <errorID>53fe7c61-7fd7-4259-905c-b034afcad8fb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44CCD1E7</paraID>
      <start>0</start>
      <end>3</end>
      <status>unmodified</status>
      <modifiedWord/>
      <trackRevisions>false</trackRevisions>
    </reviewItem>
    <reviewItem>
      <errorID>0360ff31-b477-466d-9aa7-2f41ebc8fb93</errorID>
      <errorWord>(</errorWord>
      <group>L1_Format</group>
      <groupName>格式问题</groupName>
      <ability>L2_HalfPunc</ability>
      <abilityName>全半角检查</abilityName>
      <candidateList>
        <item>（</item>
      </candidateList>
      <explain>文本全半角错误。</explain>
      <paraID>6A4A4B6E</paraID>
      <start>11</start>
      <end>12</end>
      <status>unmodified</status>
      <modifiedWord/>
      <trackRevisions>false</trackRevisions>
    </reviewItem>
    <reviewItem>
      <errorID>3cc64789-73a0-4b18-b066-063309951841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4BBE88BA</paraID>
      <start>0</start>
      <end>3</end>
      <status>unmodified</status>
      <modifiedWord/>
      <trackRevisions>false</trackRevisions>
    </reviewItem>
    <reviewItem>
      <errorID>d1772785-d121-4187-8851-284b56f7ae87</errorID>
      <errorWord>法律、法规</errorWord>
      <group>L1_Word</group>
      <groupName>字词问题</groupName>
      <ability>L2_Typo</ability>
      <abilityName>字词错误</abilityName>
      <candidateList>
        <item>法律法规</item>
      </candidateList>
      <explain/>
      <paraID>4BBE88BA</paraID>
      <start>28</start>
      <end>33</end>
      <status>unmodified</status>
      <modifiedWord/>
      <trackRevisions>false</trackRevisions>
    </reviewItem>
    <reviewItem>
      <errorID>520dce60-c08a-4b80-87db-cefd90305d1e</errorID>
      <errorWord>是</errorWord>
      <group>L1_Word</group>
      <groupName>字词问题</groupName>
      <ability>L2_Typo</ability>
      <abilityName>字词错误</abilityName>
      <candidateList>
        <item>是农</item>
      </candidateList>
      <explain/>
      <paraID>11A042AE</paraID>
      <start>31</start>
      <end>32</end>
      <status>unmodified</status>
      <modifiedWord/>
      <trackRevisions>false</trackRevisions>
    </reviewItem>
    <reviewItem>
      <errorID>b33a89e1-ded6-4048-a55e-f88eb82da23f</errorID>
      <errorWord>民工</errorWord>
      <group>L1_Word</group>
      <groupName>字词问题</groupName>
      <ability>L2_Typo</ability>
      <abilityName>字词错误</abilityName>
      <candidateList>
        <item>农民工</item>
      </candidateList>
      <explain/>
      <paraID>11A042AE</paraID>
      <start>76</start>
      <end>78</end>
      <status>unmodified</status>
      <modifiedWord/>
      <trackRevisions>false</trackRevisions>
    </reviewItem>
    <reviewItem>
      <errorID>04edf2d6-b67b-4f26-afcb-c2fe04ce989a</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11A042AE</paraID>
      <start>367</start>
      <end>369</end>
      <status>unmodified</status>
      <modifiedWord/>
      <trackRevisions>false</trackRevisions>
    </reviewItem>
    <reviewItem>
      <errorID>282eddca-8d8d-48a4-8797-1fe901a99ae9</errorID>
      <errorWord>者</errorWord>
      <group>L1_Word</group>
      <groupName>字词问题</groupName>
      <ability>L2_Typo</ability>
      <abilityName>字词错误</abilityName>
      <candidateList>
        <item>和</item>
      </candidateList>
      <explain>存在发音相近字词的误用。</explain>
      <paraID>6D4707EF</paraID>
      <start>86</start>
      <end>87</end>
      <status>unmodified</status>
      <modifiedWord/>
      <trackRevisions>false</trackRevisions>
    </reviewItem>
    <reviewItem>
      <errorID>341a6993-5be3-438c-926f-edcb4cdaaa35</errorID>
      <errorWord>(</errorWord>
      <group>L1_Format</group>
      <groupName>格式问题</groupName>
      <ability>L2_HalfPunc</ability>
      <abilityName>全半角检查</abilityName>
      <candidateList>
        <item>（</item>
      </candidateList>
      <explain>文本全半角错误。</explain>
      <paraID>3A8614CA</paraID>
      <start>11</start>
      <end>12</end>
      <status>unmodified</status>
      <modifiedWord/>
      <trackRevisions>false</trackRevisions>
    </reviewItem>
    <reviewItem>
      <errorID>0e906882-05cd-4a8b-ae04-48878241396b</errorID>
      <errorWord>位</errorWord>
      <group>L1_Word</group>
      <groupName>字词问题</groupName>
      <ability>L2_Typo</ability>
      <abilityName>字词错误</abilityName>
      <candidateList>
        <item>位农</item>
      </candidateList>
      <explain/>
      <paraID> 9B0DEC6</paraID>
      <start>86</start>
      <end>87</end>
      <status>unmodified</status>
      <modifiedWord/>
      <trackRevisions>false</trackRevisions>
    </reviewItem>
    <reviewItem>
      <errorID>1d123f2a-605f-4ffb-b06a-754cfe7e8812</errorID>
      <errorWord>&lt;</errorWord>
      <group>L1_Format</group>
      <groupName>格式问题</groupName>
      <ability>L2_HalfPunc</ability>
      <abilityName>全半角检查</abilityName>
      <candidateList>
        <item>〈</item>
      </candidateList>
      <explain>文本全半角错误。</explain>
      <paraID>1A1A1CA8</paraID>
      <start>11</start>
      <end>12</end>
      <status>unmodified</status>
      <modifiedWord/>
      <trackRevisions>false</trackRevisions>
    </reviewItem>
    <reviewItem>
      <errorID>51b2bf85-4663-4300-92f1-75597ae1e30a</errorID>
      <errorWord>&gt;</errorWord>
      <group>L1_Format</group>
      <groupName>格式问题</groupName>
      <ability>L2_HalfPunc</ability>
      <abilityName>全半角检查</abilityName>
      <candidateList>
        <item>〉</item>
      </candidateList>
      <explain>文本全半角错误。</explain>
      <paraID>1A1A1CA8</paraID>
      <start>28</start>
      <end>29</end>
      <status>unmodified</status>
      <modifiedWord/>
      <trackRevisions>false</trackRevisions>
    </reviewItem>
    <reviewItem>
      <errorID>bbc92adc-103e-448c-a424-22539cfe1ab5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1A1A1CA8</paraID>
      <start>47</start>
      <end>50</end>
      <status>unmodified</status>
      <modifiedWord/>
      <trackRevisions>false</trackRevisions>
    </reviewItem>
    <reviewItem>
      <errorID>5cfa5288-c871-4a6e-981e-2d51a6b537f8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1A1A1CA8</paraID>
      <start>105</start>
      <end>108</end>
      <status>unmodified</status>
      <modifiedWord/>
      <trackRevisions>false</trackRevisions>
    </reviewItem>
    <reviewItem>
      <errorID>318602e2-b729-4bc0-a164-45e660f34c30</errorID>
      <errorWord>(</errorWord>
      <group>L1_Format</group>
      <groupName>格式问题</groupName>
      <ability>L2_HalfPunc</ability>
      <abilityName>全半角检查</abilityName>
      <candidateList>
        <item>（</item>
      </candidateList>
      <explain>文本全半角错误。</explain>
      <paraID> 5E25392</paraID>
      <start>11</start>
      <end>12</end>
      <status>unmodified</status>
      <modifiedWord/>
      <trackRevisions>false</trackRevisions>
    </reviewItem>
    <reviewItem>
      <errorID>2a1b3a15-de57-47cb-9730-50ddd5d6cd79</errorID>
      <errorWord>、以及</errorWord>
      <group>L1_Punc</group>
      <groupName>标点问题</groupName>
      <ability>L2_Punc</ability>
      <abilityName>标点符号检查</abilityName>
      <candidateList>
        <item>，以及</item>
      </candidateList>
      <explain>连接词前后不宜使用顿号，建议使用逗号。</explain>
      <paraID>65F2DE77</paraID>
      <start>40</start>
      <end>43</end>
      <status>unmodified</status>
      <modifiedWord/>
      <trackRevisions>false</trackRevisions>
    </reviewItem>
    <reviewItem>
      <errorID>11b565c4-da53-4c86-bc32-b7f23522256b</errorID>
      <errorWord>、</errorWord>
      <group>L1_Punc</group>
      <groupName>标点问题</groupName>
      <ability>L2_Punc</ability>
      <abilityName>标点符号检查</abilityName>
      <candidateList>
        <item>.</item>
      </candidateList>
      <explain/>
      <paraID>7F7C3A1F</paraID>
      <start>1</start>
      <end>2</end>
      <status>unmodified</status>
      <modifiedWord/>
      <trackRevisions>false</trackRevisions>
    </reviewItem>
    <reviewItem>
      <errorID>f48bdae3-8d2e-4a71-b16f-656a650dccbe</errorID>
      <errorWord>、</errorWord>
      <group>L1_Punc</group>
      <groupName>标点问题</groupName>
      <ability>L2_Punc</ability>
      <abilityName>标点符号检查</abilityName>
      <candidateList>
        <item>.</item>
      </candidateList>
      <explain/>
      <paraID>30172D26</paraID>
      <start>1</start>
      <end>2</end>
      <status>unmodified</status>
      <modifiedWord/>
      <trackRevisions>false</trackRevisions>
    </reviewItem>
    <reviewItem>
      <errorID>3d8c4c28-f356-4ffd-9780-131e7d4602d9</errorID>
      <errorWord>、</errorWord>
      <group>L1_Punc</group>
      <groupName>标点问题</groupName>
      <ability>L2_Punc</ability>
      <abilityName>标点符号检查</abilityName>
      <candidateList>
        <item>.</item>
      </candidateList>
      <explain/>
      <paraID>2ADE2015</paraID>
      <start>1</start>
      <end>2</end>
      <status>unmodified</status>
      <modifiedWord/>
      <trackRevisions>false</trackRevisions>
    </reviewItem>
    <reviewItem>
      <errorID>dba2a9f6-f331-4737-b096-efeb8523cb0a</errorID>
      <errorWord>、</errorWord>
      <group>L1_Punc</group>
      <groupName>标点问题</groupName>
      <ability>L2_Punc</ability>
      <abilityName>标点符号检查</abilityName>
      <candidateList>
        <item>.</item>
      </candidateList>
      <explain/>
      <paraID>6CB59805</paraID>
      <start>1</start>
      <end>2</end>
      <status>unmodified</status>
      <modifiedWord/>
      <trackRevisions>false</trackRevisions>
    </reviewItem>
    <reviewItem>
      <errorID>910987d6-4ae0-49f4-9fd9-865b95989e51</errorID>
      <errorWord>等台帐</errorWord>
      <group>L1_Word</group>
      <groupName>字词问题</groupName>
      <ability>L2_Alias</ability>
      <abilityName>也作/曾用词</abilityName>
      <candidateList>
        <item>等台账</item>
      </candidateList>
      <explain>词汇[等台帐]为不规范表述或旧称，其规范书面表述为[等台账]。</explain>
      <paraID>6CB59805</paraID>
      <start>36</start>
      <end>39</end>
      <status>unmodified</status>
      <modifiedWord/>
      <trackRevisions>false</trackRevisions>
    </reviewItem>
    <reviewItem>
      <errorID>4bd78778-8324-43be-9cf8-2b845f3f9053</errorID>
      <errorWord>相应的台帐</errorWord>
      <group>L1_Word</group>
      <groupName>字词问题</groupName>
      <ability>L2_Alias</ability>
      <abilityName>也作/曾用词</abilityName>
      <candidateList>
        <item>相应的台账</item>
      </candidateList>
      <explain>词汇[相应的台帐]为不规范表述或旧称，其规范书面表述为[相应的台账]。</explain>
      <paraID>6CB59805</paraID>
      <start>57</start>
      <end>62</end>
      <status>unmodified</status>
      <modifiedWord/>
      <trackRevisions>false</trackRevisions>
    </reviewItem>
    <reviewItem>
      <errorID>fc07631f-e473-42b6-8440-f115c52f4469</errorID>
      <errorWord>的台帐</errorWord>
      <group>L1_Word</group>
      <groupName>字词问题</groupName>
      <ability>L2_Alias</ability>
      <abilityName>也作/曾用词</abilityName>
      <candidateList>
        <item>的台账</item>
      </candidateList>
      <explain>词汇[的台帐]为不规范表述或旧称，其规范书面表述为[的台账]。</explain>
      <paraID>6CB59805</paraID>
      <start>67</start>
      <end>70</end>
      <status>unmodified</status>
      <modifiedWord/>
      <trackRevisions>false</trackRevisions>
    </reviewItem>
    <reviewItem>
      <errorID>8fad4165-b24a-42ea-933b-c7a11979faf7</errorID>
      <errorWord>建立的</errorWord>
      <group>L1_Word</group>
      <groupName>字词问题</groupName>
      <ability>L2_Typo</ability>
      <abilityName>字词错误</abilityName>
      <candidateList>
        <item>建立</item>
      </candidateList>
      <explain>〈动〉❶开始成立：～政权｜～新的工业基地。❷开始产生；开始形成：～友谊｜～邦交。</explain>
      <paraID>60F42B35</paraID>
      <start>10</start>
      <end>13</end>
      <status>unmodified</status>
      <modifiedWord/>
      <trackRevisions>false</trackRevisions>
    </reviewItem>
    <reviewItem>
      <errorID>2fbb1a0b-e581-43e6-b1a5-342f00538a5e</errorID>
      <errorWord>台帐</errorWord>
      <group>L1_Knowledge</group>
      <groupName>知识性问题</groupName>
      <ability>L2_Knowledge</ability>
      <abilityName>其他知识</abilityName>
      <candidateList>
        <item>台账</item>
      </candidateList>
      <explain/>
      <paraID>1F42AECE</paraID>
      <start>88</start>
      <end>90</end>
      <status>unmodified</status>
      <modifiedWord/>
      <trackRevisions>false</trackRevisions>
    </reviewItem>
    <reviewItem>
      <errorID>58cdcebc-157d-4456-a5c3-9d62221ec52c</errorID>
      <errorWord>完</errorWord>
      <group>L1_Word</group>
      <groupName>字词问题</groupName>
      <ability>L2_Typo</ability>
      <abilityName>字词错误</abilityName>
      <candidateList>
        <item>完成</item>
      </candidateList>
      <explain>〈动〉按照预期的目的结束；做成：～任务｜～作业｜计划完得成。</explain>
      <paraID>1A4900D2</paraID>
      <start>5</start>
      <end>6</end>
      <status>unmodified</status>
      <modifiedWord/>
      <trackRevisions>false</trackRevisions>
    </reviewItem>
    <reviewItem>
      <errorID>14e55fb6-3399-4d60-9255-6162c09a4e5b</errorID>
      <errorWord>程</errorWord>
      <group>L1_Word</group>
      <groupName>字词问题</groupName>
      <ability>L2_Typo</ability>
      <abilityName>字词错误</abilityName>
      <candidateList>
        <item>程中</item>
      </candidateList>
      <explain/>
      <paraID>72C2EDF7</paraID>
      <start>26</start>
      <end>27</end>
      <status>unmodified</status>
      <modifiedWord/>
      <trackRevisions>false</trackRevisions>
    </reviewItem>
    <reviewItem>
      <errorID>c04cce55-1c98-4fb8-a052-1adbb341b6da</errorID>
      <errorWord>需报</errorWord>
      <group>L1_Word</group>
      <groupName>字词问题</groupName>
      <ability>L2_Typo</ability>
      <abilityName>字词错误</abilityName>
      <candidateList>
        <item>须报</item>
      </candidateList>
      <explain>存在发音相同字词的误用。</explain>
      <paraID>3C9F57AE</paraID>
      <start>208</start>
      <end>210</end>
      <status>unmodified</status>
      <modifiedWord/>
      <trackRevisions>false</trackRevisions>
    </reviewItem>
    <reviewItem>
      <errorID>aeec5335-e05f-4cef-9116-feea340bbbd9</errorID>
      <errorWord>、</errorWord>
      <group>L1_Punc</group>
      <groupName>标点问题</groupName>
      <ability>L2_Punc</ability>
      <abilityName>标点符号检查</abilityName>
      <candidateList>
        <item>.</item>
      </candidateList>
      <explain/>
      <paraID> 59BB69A</paraID>
      <start>1</start>
      <end>2</end>
      <status>unmodified</status>
      <modifiedWord/>
      <trackRevisions>false</trackRevisions>
    </reviewItem>
    <reviewItem>
      <errorID>1b71191e-1bde-4ec7-9946-3c281e6979df</errorID>
      <errorWord>、</errorWord>
      <group>L1_Punc</group>
      <groupName>标点问题</groupName>
      <ability>L2_Punc</ability>
      <abilityName>标点符号检查</abilityName>
      <candidateList>
        <item>.</item>
      </candidateList>
      <explain/>
      <paraID>666D1C86</paraID>
      <start>1</start>
      <end>2</end>
      <status>unmodified</status>
      <modifiedWord/>
      <trackRevisions>false</trackRevisions>
    </reviewItem>
    <reviewItem>
      <errorID>62324312-278f-4789-bff7-44d5cd2098e6</errorID>
      <errorWord>、</errorWord>
      <group>L1_Punc</group>
      <groupName>标点问题</groupName>
      <ability>L2_Punc</ability>
      <abilityName>标点符号检查</abilityName>
      <candidateList>
        <item>.</item>
      </candidateList>
      <explain/>
      <paraID> 92BDAF8</paraID>
      <start>1</start>
      <end>2</end>
      <status>unmodified</status>
      <modifiedWord/>
      <trackRevisions>false</trackRevisions>
    </reviewItem>
    <reviewItem>
      <errorID>adb7761b-ed79-4213-b442-1e7de487a065</errorID>
      <errorWord>、</errorWord>
      <group>L1_Punc</group>
      <groupName>标点问题</groupName>
      <ability>L2_Punc</ability>
      <abilityName>标点符号检查</abilityName>
      <candidateList>
        <item>.</item>
      </candidateList>
      <explain/>
      <paraID>3B4C25AA</paraID>
      <start>1</start>
      <end>2</end>
      <status>unmodified</status>
      <modifiedWord/>
      <trackRevisions>false</trackRevisions>
    </reviewItem>
    <reviewItem>
      <errorID>f6bdff44-d4c5-49e8-b78c-23bb39865370</errorID>
      <errorWord>、</errorWord>
      <group>L1_Punc</group>
      <groupName>标点问题</groupName>
      <ability>L2_Punc</ability>
      <abilityName>标点符号检查</abilityName>
      <candidateList>
        <item>.</item>
      </candidateList>
      <explain/>
      <paraID>26F25446</paraID>
      <start>1</start>
      <end>2</end>
      <status>unmodified</status>
      <modifiedWord/>
      <trackRevisions>false</trackRevisions>
    </reviewItem>
    <reviewItem>
      <errorID>d111de94-8f0c-4a35-a602-b41ec2cc7051</errorID>
      <errorWord>、</errorWord>
      <group>L1_Punc</group>
      <groupName>标点问题</groupName>
      <ability>L2_Punc</ability>
      <abilityName>标点符号检查</abilityName>
      <candidateList>
        <item>.</item>
      </candidateList>
      <explain/>
      <paraID>143B65AF</paraID>
      <start>1</start>
      <end>2</end>
      <status>unmodified</status>
      <modifiedWord/>
      <trackRevisions>false</trackRevisions>
    </reviewItem>
    <reviewItem>
      <errorID>4a22a2d0-1076-4939-a835-68df3c35665c</errorID>
      <errorWord>、</errorWord>
      <group>L1_Punc</group>
      <groupName>标点问题</groupName>
      <ability>L2_Punc</ability>
      <abilityName>标点符号检查</abilityName>
      <candidateList>
        <item>.</item>
      </candidateList>
      <explain/>
      <paraID>7822DBBA</paraID>
      <start>1</start>
      <end>2</end>
      <status>unmodified</status>
      <modifiedWord/>
      <trackRevisions>false</trackRevisions>
    </reviewItem>
    <reviewItem>
      <errorID>148cbbca-27f9-4178-81f2-6423c78d94fd</errorID>
      <errorWord>(</errorWord>
      <group>L1_Format</group>
      <groupName>格式问题</groupName>
      <ability>L2_HalfPunc</ability>
      <abilityName>全半角检查</abilityName>
      <candidateList>
        <item>（</item>
      </candidateList>
      <explain>文本全半角错误。</explain>
      <paraID>41158445</paraID>
      <start>10</start>
      <end>11</end>
      <status>unmodified</status>
      <modifiedWord/>
      <trackRevisions>false</trackRevisions>
    </reviewItem>
    <reviewItem>
      <errorID>f01e9674-0672-4034-8590-be0d9ba113ca</errorID>
      <errorWord>负</errorWord>
      <group>L1_Word</group>
      <groupName>字词问题</groupName>
      <ability>L2_Typo</ability>
      <abilityName>字词错误</abilityName>
      <candidateList>
        <item>负有</item>
      </candidateList>
      <explain/>
      <paraID>2A416E2C</paraID>
      <start>164</start>
      <end>165</end>
      <status>unmodified</status>
      <modifiedWord/>
      <trackRevisions>false</trackRevisions>
    </reviewItem>
    <reviewItem>
      <errorID>1bee368e-d9aa-4c6f-b6db-5b4bf8dd3965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454DDF72</paraID>
      <start>37</start>
      <end>40</end>
      <status>unmodified</status>
      <modifiedWord/>
      <trackRevisions>false</trackRevisions>
    </reviewItem>
    <reviewItem>
      <errorID>62bc5573-66ed-43f9-bb5e-35bd7519fbbf</errorID>
      <errorWord>一台帐</errorWord>
      <group>L1_Word</group>
      <groupName>字词问题</groupName>
      <ability>L2_Alias</ability>
      <abilityName>也作/曾用词</abilityName>
      <candidateList>
        <item>一台账</item>
      </candidateList>
      <explain>词汇[一台帐]为不规范表述或旧称，其规范书面表述为[一台账]。</explain>
      <paraID>454DDF72</paraID>
      <start>43</start>
      <end>46</end>
      <status>unmodified</status>
      <modifiedWord/>
      <trackRevisions>false</trackRevisions>
    </reviewItem>
    <reviewItem>
      <errorID>5081af8d-3927-4644-9870-25d9512a9586</errorID>
      <errorWord>(</errorWord>
      <group>L1_Format</group>
      <groupName>格式问题</groupName>
      <ability>L2_HalfPunc</ability>
      <abilityName>全半角检查</abilityName>
      <candidateList>
        <item>（</item>
      </candidateList>
      <explain>文本全半角错误。</explain>
      <paraID>58BA11AF</paraID>
      <start>10</start>
      <end>11</end>
      <status>unmodified</status>
      <modifiedWord/>
      <trackRevisions>false</trackRevisions>
    </reviewItem>
    <reviewItem>
      <errorID>24ee4eb1-ea6e-4740-876a-c3cc1210340c</errorID>
      <errorWord>(</errorWord>
      <group>L1_Format</group>
      <groupName>格式问题</groupName>
      <ability>L2_HalfPunc</ability>
      <abilityName>全半角检查</abilityName>
      <candidateList>
        <item>（</item>
      </candidateList>
      <explain>文本全半角错误。</explain>
      <paraID>503E0A0C</paraID>
      <start>10</start>
      <end>11</end>
      <status>unmodified</status>
      <modifiedWord/>
      <trackRevisions>false</trackRevisions>
    </reviewItem>
    <reviewItem>
      <errorID>3ebe1bbc-c3ee-401c-8fdd-52e265080b16</errorID>
      <errorWord>(</errorWord>
      <group>L1_Format</group>
      <groupName>格式问题</groupName>
      <ability>L2_HalfPunc</ability>
      <abilityName>全半角检查</abilityName>
      <candidateList>
        <item>（</item>
      </candidateList>
      <explain>文本全半角错误。</explain>
      <paraID>6077E60C</paraID>
      <start>10</start>
      <end>11</end>
      <status>unmodified</status>
      <modifiedWord/>
      <trackRevisions>false</trackRevisions>
    </reviewItem>
    <reviewItem>
      <errorID>778c4850-8cf6-4724-afc4-29da5c88a492</errorID>
      <errorWord>(</errorWord>
      <group>L1_Format</group>
      <groupName>格式问题</groupName>
      <ability>L2_HalfPunc</ability>
      <abilityName>全半角检查</abilityName>
      <candidateList>
        <item>（</item>
      </candidateList>
      <explain>文本全半角错误。</explain>
      <paraID> D5DE583</paraID>
      <start>10</start>
      <end>11</end>
      <status>unmodified</status>
      <modifiedWord/>
      <trackRevisions>false</trackRevisions>
    </reviewItem>
    <reviewItem>
      <errorID>189f237c-cb71-49f9-aecc-047b928d72f2</errorID>
      <errorWord>(</errorWord>
      <group>L1_Format</group>
      <groupName>格式问题</groupName>
      <ability>L2_HalfPunc</ability>
      <abilityName>全半角检查</abilityName>
      <candidateList>
        <item>（</item>
      </candidateList>
      <explain>文本全半角错误。</explain>
      <paraID>24713557</paraID>
      <start>10</start>
      <end>11</end>
      <status>unmodified</status>
      <modifiedWord/>
      <trackRevisions>false</trackRevisions>
    </reviewItem>
    <reviewItem>
      <errorID>f4cedcd5-ff61-460c-937d-dd6b28aaca64</errorID>
      <errorWord>(</errorWord>
      <group>L1_Format</group>
      <groupName>格式问题</groupName>
      <ability>L2_HalfPunc</ability>
      <abilityName>全半角检查</abilityName>
      <candidateList>
        <item>（</item>
      </candidateList>
      <explain>文本全半角错误。</explain>
      <paraID>67A233A8</paraID>
      <start>10</start>
      <end>11</end>
      <status>unmodified</status>
      <modifiedWord/>
      <trackRevisions>false</trackRevisions>
    </reviewItem>
    <reviewItem>
      <errorID>17dd2923-132a-4a29-8e31-da036466f76b</errorID>
      <errorWord>支解</errorWord>
      <group>L1_Word</group>
      <groupName>字词问题</groupName>
      <ability>L2_Variant</ability>
      <abilityName>异形词</abilityName>
      <candidateList>
        <item>肢解</item>
      </candidateList>
      <explain>词汇[支解]的规范词形写作[肢解]。</explain>
      <paraID>20CB0F3D</paraID>
      <start>37</start>
      <end>39</end>
      <status>unmodified</status>
      <modifiedWord/>
      <trackRevisions>false</trackRevisions>
    </reviewItem>
    <reviewItem>
      <errorID>9dce0801-d5d4-4ce6-bbb2-d1579da25ad2</errorID>
      <errorWord>；。</errorWord>
      <group>L1_Punc</group>
      <groupName>标点问题</groupName>
      <ability>L2_Punc</ability>
      <abilityName>标点符号检查</abilityName>
      <candidateList>
        <item>；</item>
      </candidateList>
      <explain/>
      <paraID>2D0BC6CA</paraID>
      <start>141</start>
      <end>143</end>
      <status>unmodified</status>
      <modifiedWord/>
      <trackRevisions>false</trackRevisions>
    </reviewItem>
    <reviewItem>
      <errorID>c3bc791a-7f9d-485b-b6d6-661f2656b569</errorID>
      <errorWord>所有的</errorWord>
      <group>L1_Word</group>
      <groupName>字词问题</groupName>
      <ability>L2_Typo</ability>
      <abilityName>字词错误</abilityName>
      <candidateList>
        <item>所有</item>
      </candidateList>
      <explain/>
      <paraID>240BED64</paraID>
      <start>10</start>
      <end>13</end>
      <status>unmodified</status>
      <modifiedWord/>
      <trackRevisions>false</trackRevisions>
    </reviewItem>
    <reviewItem>
      <errorID>f6e95cef-6bfb-4f95-8901-5953794a6221</errorID>
      <errorWord>签定</errorWord>
      <group>L1_Word</group>
      <groupName>字词问题</groupName>
      <ability>L2_Typo</ability>
      <abilityName>字词错误</abilityName>
      <candidateList>
        <item>签订</item>
      </candidateList>
      <explain>〈动〉订立条约或合同并签字：两国～了贸易议定书和支付协定。</explain>
      <paraID>4638ED78</paraID>
      <start>23</start>
      <end>25</end>
      <status>unmodified</status>
      <modifiedWord/>
      <trackRevisions>false</trackRevisions>
    </reviewItem>
    <reviewItem>
      <errorID>fb7bdd1c-bd70-4086-8f16-ae75936fa099</errorID>
      <errorWord>。</errorWord>
      <group>L1_Format</group>
      <groupName>格式问题</groupName>
      <ability>L2_HalfPunc</ability>
      <abilityName>全半角检查</abilityName>
      <candidateList>
        <item>.</item>
      </candidateList>
      <explain>文本全半角错误。</explain>
      <paraID>2E696B69</paraID>
      <start>15</start>
      <end>16</end>
      <status>unmodified</status>
      <modifiedWord/>
      <trackRevisions>false</trackRevisions>
    </reviewItem>
    <reviewItem>
      <errorID>f2d8265c-53d7-4bc5-bdbd-5890c4240460</errorID>
      <errorWord>做</errorWord>
      <group>L1_Word</group>
      <groupName>字词问题</groupName>
      <ability>L2_Typo</ability>
      <abilityName>字词错误</abilityName>
      <candidateList>
        <item>作</item>
      </candidateList>
      <explain>存在发音相同字词的误用。</explain>
      <paraID> 639E8EA</paraID>
      <start>66</start>
      <end>67</end>
      <status>unmodified</status>
      <modifiedWord/>
      <trackRevisions>false</trackRevisions>
    </reviewItem>
    <reviewItem>
      <errorID>0e44e060-6429-409f-86c1-13b04972103f</errorID>
      <errorWord>、</errorWord>
      <group>L1_Punc</group>
      <groupName>标点问题</groupName>
      <ability>L2_Punc</ability>
      <abilityName>标点符号检查</abilityName>
      <candidateList>
        <item>.</item>
      </candidateList>
      <explain/>
      <paraID>30982EB6</paraID>
      <start>1</start>
      <end>2</end>
      <status>unmodified</status>
      <modifiedWord/>
      <trackRevisions>false</trackRevisions>
    </reviewItem>
    <reviewItem>
      <errorID>ed2ef583-2a28-4864-ba70-2963c772c762</errorID>
      <errorWord>签定</errorWord>
      <group>L1_Word</group>
      <groupName>字词问题</groupName>
      <ability>L2_Typo</ability>
      <abilityName>字词错误</abilityName>
      <candidateList>
        <item>签订</item>
      </candidateList>
      <explain>〈动〉订立条约或合同并签字：两国～了贸易议定书和支付协定。</explain>
      <paraID>30982EB6</paraID>
      <start>10</start>
      <end>12</end>
      <status>unmodified</status>
      <modifiedWord/>
      <trackRevisions>false</trackRevisions>
    </reviewItem>
    <reviewItem>
      <errorID>231ce99a-c124-47b5-acf0-2541c5fcf683</errorID>
      <errorWord>；；</errorWord>
      <group>L1_Punc</group>
      <groupName>标点问题</groupName>
      <ability>L2_Punc</ability>
      <abilityName>标点符号检查</abilityName>
      <candidateList>
        <item>；</item>
      </candidateList>
      <explain/>
      <paraID>30982EB6</paraID>
      <start>104</start>
      <end>106</end>
      <status>unmodified</status>
      <modifiedWord/>
      <trackRevisions>false</trackRevisions>
    </reviewItem>
    <reviewItem>
      <errorID>943d2dc7-c64e-48b2-b401-117a2ddc8c55</errorID>
      <errorWord>、</errorWord>
      <group>L1_Punc</group>
      <groupName>标点问题</groupName>
      <ability>L2_Punc</ability>
      <abilityName>标点符号检查</abilityName>
      <candidateList>
        <item>.</item>
      </candidateList>
      <explain/>
      <paraID>2589F684</paraID>
      <start>1</start>
      <end>2</end>
      <status>unmodified</status>
      <modifiedWord/>
      <trackRevisions>false</trackRevisions>
    </reviewItem>
    <reviewItem>
      <errorID>d3948187-918e-49b0-8143-3969e3180531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45891FBF</paraID>
      <start>0</start>
      <end>3</end>
      <status>unmodified</status>
      <modifiedWord/>
      <trackRevisions>false</trackRevisions>
    </reviewItem>
    <reviewItem>
      <errorID>3240e288-4ce4-414f-8408-329ecd5296af</errorID>
      <errorWord>法律、法规</errorWord>
      <group>L1_Word</group>
      <groupName>字词问题</groupName>
      <ability>L2_Typo</ability>
      <abilityName>字词错误</abilityName>
      <candidateList>
        <item>法律法规</item>
      </candidateList>
      <explain/>
      <paraID>1F3BBC54</paraID>
      <start>165</start>
      <end>170</end>
      <status>unmodified</status>
      <modifiedWord/>
      <trackRevisions>false</trackRevisions>
    </reviewItem>
    <reviewItem>
      <errorID>3c50de13-f893-4e19-b095-62c4f7718315</errorID>
      <errorWord>法律、法规</errorWord>
      <group>L1_Word</group>
      <groupName>字词问题</groupName>
      <ability>L2_Typo</ability>
      <abilityName>字词错误</abilityName>
      <candidateList>
        <item>法律法规</item>
      </candidateList>
      <explain/>
      <paraID>1FF22381</paraID>
      <start>309</start>
      <end>314</end>
      <status>unmodified</status>
      <modifiedWord/>
      <trackRevisions>false</trackRevisions>
    </reviewItem>
    <reviewItem>
      <errorID>50c7aaad-e35a-4a3d-8b81-c630d39f1e2c</errorID>
      <errorWord>签定合同后</errorWord>
      <group>L1_Word</group>
      <groupName>字词问题</groupName>
      <ability>L2_Typo</ability>
      <abilityName>字词错误</abilityName>
      <candidateList>
        <item>签订合同后</item>
      </candidateList>
      <explain/>
      <paraID>51CCD10F</paraID>
      <start>0</start>
      <end>5</end>
      <status>unmodified</status>
      <modifiedWord/>
      <trackRevisions>false</trackRevisions>
    </reviewItem>
    <reviewItem>
      <errorID>18e70c88-a568-4fa5-98aa-6cc34045e4a1</errorID>
      <errorWord>佩带</errorWord>
      <group>L1_Word</group>
      <groupName>字词问题</groupName>
      <ability>L2_Typo</ability>
      <abilityName>字词错误</abilityName>
      <candidateList>
        <item>佩戴</item>
      </candidateList>
      <explain>存在发音相同字词的误用。</explain>
      <paraID>3B818CB5</paraID>
      <start>110</start>
      <end>112</end>
      <status>unmodified</status>
      <modifiedWord/>
      <trackRevisions>false</trackRevisions>
    </reviewItem>
    <reviewItem>
      <errorID>2fc70a75-e28e-4fc6-839a-00144270f33d</errorID>
      <errorWord>》</errorWord>
      <group>L1_Word</group>
      <groupName>字词问题</groupName>
      <ability>L2_Typo</ability>
      <abilityName>字词错误</abilityName>
      <candidateList>
        <item>》等</item>
      </candidateList>
      <explain/>
      <paraID>3EC57706</paraID>
      <start>43</start>
      <end>44</end>
      <status>unmodified</status>
      <modifiedWord/>
      <trackRevisions>false</trackRevisions>
    </reviewItem>
    <reviewItem>
      <errorID>e96d7ae4-53af-4b51-afbb-eea367e57d2b</errorID>
      <errorWord>II</errorWord>
      <group>L1_Knowledge</group>
      <groupName>知识性问题</groupName>
      <ability>L2_Knowledge</ability>
      <abilityName>其他知识</abilityName>
      <candidateList>
        <item>Ⅱ</item>
      </candidateList>
      <explain/>
      <paraID>5ECA1E5E</paraID>
      <start>3</start>
      <end>5</end>
      <status>unmodified</status>
      <modifiedWord/>
      <trackRevisions>false</trackRevisions>
    </reviewItem>
    <reviewItem>
      <errorID>b633bb92-91dd-4cbe-a8a8-3743b61fd6d2</errorID>
      <errorWord>II</errorWord>
      <group>L1_Knowledge</group>
      <groupName>知识性问题</groupName>
      <ability>L2_Knowledge</ability>
      <abilityName>其他知识</abilityName>
      <candidateList>
        <item>Ⅱ</item>
      </candidateList>
      <explain/>
      <paraID>5ECA1E5E</paraID>
      <start>34</start>
      <end>36</end>
      <status>unmodified</status>
      <modifiedWord/>
      <trackRevisions>false</trackRevisions>
    </reviewItem>
    <reviewItem>
      <errorID>ee451f54-821f-44c0-a239-968cdd690499</errorID>
      <errorWord>II</errorWord>
      <group>L1_Knowledge</group>
      <groupName>知识性问题</groupName>
      <ability>L2_Knowledge</ability>
      <abilityName>其他知识</abilityName>
      <candidateList>
        <item>Ⅱ</item>
      </candidateList>
      <explain/>
      <paraID>532016A3</paraID>
      <start>155</start>
      <end>157</end>
      <status>unmodified</status>
      <modifiedWord/>
      <trackRevisions>false</trackRevisions>
    </reviewItem>
    <reviewItem>
      <errorID>d0df4bf6-a1ac-46ef-8587-03b3fdeaff53</errorID>
      <errorWord>II</errorWord>
      <group>L1_Knowledge</group>
      <groupName>知识性问题</groupName>
      <ability>L2_Knowledge</ability>
      <abilityName>其他知识</abilityName>
      <candidateList>
        <item>Ⅱ</item>
      </candidateList>
      <explain/>
      <paraID>561064D1</paraID>
      <start>11</start>
      <end>13</end>
      <status>unmodified</status>
      <modifiedWord/>
      <trackRevisions>false</trackRevisions>
    </reviewItem>
    <reviewItem>
      <errorID>9ab3bf74-1e3d-44c4-bbd8-91f9eb146b68</errorID>
      <errorWord>II</errorWord>
      <group>L1_Knowledge</group>
      <groupName>知识性问题</groupName>
      <ability>L2_Knowledge</ability>
      <abilityName>其他知识</abilityName>
      <candidateList>
        <item>Ⅱ</item>
      </candidateList>
      <explain/>
      <paraID>20014A03</paraID>
      <start>8</start>
      <end>10</end>
      <status>unmodified</status>
      <modifiedWord/>
      <trackRevisions>false</trackRevisions>
    </reviewItem>
    <reviewItem>
      <errorID>c0f9a59f-2624-4dfa-bb05-9045929cbc70</errorID>
      <errorWord>台帐</errorWord>
      <group>L1_Word</group>
      <groupName>字词问题</groupName>
      <ability>L2_Typo</ability>
      <abilityName>字词错误</abilityName>
      <candidateList>
        <item>台账</item>
      </candidateList>
      <explain>存在发音相同字词的误用。</explain>
      <paraID>6EC73CBF</paraID>
      <start>18</start>
      <end>20</end>
      <status>unmodified</status>
      <modifiedWord/>
      <trackRevisions>false</trackRevisions>
    </reviewItem>
    <reviewItem>
      <errorID>ff0c9385-c605-4ea7-9d2d-c55162f631f7</errorID>
      <errorWord>台帐</errorWord>
      <group>L1_Word</group>
      <groupName>字词问题</groupName>
      <ability>L2_Typo</ability>
      <abilityName>字词错误</abilityName>
      <candidateList>
        <item>台账</item>
      </candidateList>
      <explain>存在发音相同字词的误用。</explain>
      <paraID>6EC73CBF</paraID>
      <start>30</start>
      <end>32</end>
      <status>unmodified</status>
      <modifiedWord/>
      <trackRevisions>false</trackRevisions>
    </reviewItem>
    <reviewItem>
      <errorID>39ff38fe-30a8-48df-8cbc-4d1f55905c53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506FA3F3</paraID>
      <start>0</start>
      <end>3</end>
      <status>unmodified</status>
      <modifiedWord/>
      <trackRevisions>false</trackRevisions>
    </reviewItem>
    <reviewItem>
      <errorID>7e27480d-e07f-4fa8-9420-6b4995d979ad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1C6A850C</paraID>
      <start>0</start>
      <end>3</end>
      <status>unmodified</status>
      <modifiedWord/>
      <trackRevisions>false</trackRevisions>
    </reviewItem>
    <reviewItem>
      <errorID>128204b7-4489-4ff9-a8f5-6ab5ec3d2d5b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244E6269</paraID>
      <start>0</start>
      <end>3</end>
      <status>unmodified</status>
      <modifiedWord/>
      <trackRevisions>false</trackRevisions>
    </reviewItem>
    <reviewItem>
      <errorID>1171f7a0-6feb-4a1d-867b-a89f3a88343f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1C14D1ED</paraID>
      <start>0</start>
      <end>3</end>
      <status>unmodified</status>
      <modifiedWord/>
      <trackRevisions>false</trackRevisions>
    </reviewItem>
    <reviewItem>
      <errorID>7101d43f-8cb0-417b-a435-957e2b58cc05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EBEBA90</paraID>
      <start>0</start>
      <end>3</end>
      <status>unmodified</status>
      <modifiedWord/>
      <trackRevisions>false</trackRevisions>
    </reviewItem>
    <reviewItem>
      <errorID>ee04aa3c-6ffb-4031-9c7b-22aa637bcd2f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5B32D220</paraID>
      <start>0</start>
      <end>3</end>
      <status>unmodified</status>
      <modifiedWord/>
      <trackRevisions>false</trackRevisions>
    </reviewItem>
    <reviewItem>
      <errorID>66e9c229-71bb-4f7e-bfee-6cf3dd0c8484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7C1DDFDE</paraID>
      <start>0</start>
      <end>3</end>
      <status>unmodified</status>
      <modifiedWord/>
      <trackRevisions>false</trackRevisions>
    </reviewItem>
    <reviewItem>
      <errorID>381eccce-2d37-45e3-8641-ddf92543a988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32DF8E8A</paraID>
      <start>0</start>
      <end>3</end>
      <status>unmodified</status>
      <modifiedWord/>
      <trackRevisions>false</trackRevisions>
    </reviewItem>
    <reviewItem>
      <errorID>3188ab6c-9c45-4a0f-8c08-9869b5af7455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72B87478</paraID>
      <start>0</start>
      <end>3</end>
      <status>unmodified</status>
      <modifiedWord/>
      <trackRevisions>false</trackRevisions>
    </reviewItem>
    <reviewItem>
      <errorID>3ceaa4bb-43ed-40d4-b884-4c41a2371675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7878E9BF</paraID>
      <start>0</start>
      <end>4</end>
      <status>unmodified</status>
      <modifiedWord/>
      <trackRevisions>false</trackRevisions>
    </reviewItem>
    <reviewItem>
      <errorID>74e98f4e-7ec4-4cf7-93ae-3add4227d2fc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63475E26</paraID>
      <start>0</start>
      <end>3</end>
      <status>unmodified</status>
      <modifiedWord/>
      <trackRevisions>false</trackRevisions>
    </reviewItem>
    <reviewItem>
      <errorID>c62c12b4-7372-4847-900c-7bfc7181008f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5ED776B5</paraID>
      <start>0</start>
      <end>3</end>
      <status>unmodified</status>
      <modifiedWord/>
      <trackRevisions>false</trackRevisions>
    </reviewItem>
    <reviewItem>
      <errorID>fa22e171-e065-469c-b2d9-ce8c1bbe638d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366035F0</paraID>
      <start>0</start>
      <end>3</end>
      <status>unmodified</status>
      <modifiedWord/>
      <trackRevisions>false</trackRevisions>
    </reviewItem>
    <reviewItem>
      <errorID>150abe67-093a-4630-905b-9444038dc3d8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54164B5F</paraID>
      <start>0</start>
      <end>3</end>
      <status>unmodified</status>
      <modifiedWord/>
      <trackRevisions>false</trackRevisions>
    </reviewItem>
    <reviewItem>
      <errorID>516db38b-5100-431f-b242-535f0ee33c72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5FFD790</paraID>
      <start>0</start>
      <end>3</end>
      <status>unmodified</status>
      <modifiedWord/>
      <trackRevisions>false</trackRevisions>
    </reviewItem>
    <reviewItem>
      <errorID>dea27b81-6de4-4810-8083-d12379a40901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484C0F17</paraID>
      <start>0</start>
      <end>3</end>
      <status>unmodified</status>
      <modifiedWord/>
      <trackRevisions>false</trackRevisions>
    </reviewItem>
    <reviewItem>
      <errorID>45e066b0-79fd-439f-8fe1-ef041aa55dad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41B4C424</paraID>
      <start>0</start>
      <end>3</end>
      <status>unmodified</status>
      <modifiedWord/>
      <trackRevisions>false</trackRevisions>
    </reviewItem>
    <reviewItem>
      <errorID>ed022f54-a575-4ed6-b5e4-5d606a3b8ccc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319D0D67</paraID>
      <start>0</start>
      <end>3</end>
      <status>unmodified</status>
      <modifiedWord/>
      <trackRevisions>false</trackRevisions>
    </reviewItem>
    <reviewItem>
      <errorID>e338e89e-c9eb-4d9f-ac96-8a262127097a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43FE7451</paraID>
      <start>0</start>
      <end>3</end>
      <status>unmodified</status>
      <modifiedWord/>
      <trackRevisions>false</trackRevisions>
    </reviewItem>
    <reviewItem>
      <errorID>2f2b2f74-1857-4cf2-bcc5-e902a9255acc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516861D6</paraID>
      <start>0</start>
      <end>3</end>
      <status>unmodified</status>
      <modifiedWord/>
      <trackRevisions>false</trackRevisions>
    </reviewItem>
    <reviewItem>
      <errorID>bc719cc9-72dc-45fb-9ad2-e710625edf1a</errorID>
      <errorWord>和和</errorWord>
      <group>L1_Word</group>
      <groupName>字词问题</groupName>
      <ability>L2_Typo</ability>
      <abilityName>字词错误</abilityName>
      <candidateList>
        <item>和</item>
      </candidateList>
      <explain>〈量〉用于洗东西换水的次数或一剂药煎的次数：衣裳已经洗了三～｜二～药。</explain>
      <paraID>1BDF5ADD</paraID>
      <start>67</start>
      <end>69</end>
      <status>unmodified</status>
      <modifiedWord/>
      <trackRevisions>false</trackRevisions>
    </reviewItem>
    <reviewItem>
      <errorID>5ca156ca-3343-4569-ad08-4d72c7dc7639</errorID>
      <errorWord>察看</errorWord>
      <group>L1_Word</group>
      <groupName>字词问题</groupName>
      <ability>L2_Typo</ability>
      <abilityName>字词错误</abilityName>
      <candidateList>
        <item>查看</item>
      </candidateList>
      <explain>存在发音相同字词的误用。</explain>
      <paraID>73FB7D37</paraID>
      <start>112</start>
      <end>114</end>
      <status>unmodified</status>
      <modifiedWord/>
      <trackRevisions>false</trackRevisions>
    </reviewItem>
    <reviewItem>
      <errorID>b134eaa0-1143-49be-b901-7f2a126c59e7</errorID>
      <errorWord>件</errorWord>
      <group>L1_Word</group>
      <groupName>字词问题</groupName>
      <ability>L2_Typo</ability>
      <abilityName>字词错误</abilityName>
      <candidateList>
        <item>件中</item>
      </candidateList>
      <explain/>
      <paraID>476A2867</paraID>
      <start>7</start>
      <end>8</end>
      <status>unmodified</status>
      <modifiedWord/>
      <trackRevisions>false</trackRevisions>
    </reviewItem>
    <reviewItem>
      <errorID>a79be0e2-c3e2-4295-afa1-5f055c92d4c1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7D6CDCAC</paraID>
      <start>0</start>
      <end>3</end>
      <status>unmodified</status>
      <modifiedWord/>
      <trackRevisions>false</trackRevisions>
    </reviewItem>
    <reviewItem>
      <errorID>fde9cb51-0b20-4edf-879c-1ee6887db4d9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3F52EED2</paraID>
      <start>0</start>
      <end>3</end>
      <status>unmodified</status>
      <modifiedWord/>
      <trackRevisions>false</trackRevisions>
    </reviewItem>
    <reviewItem>
      <errorID>1702b305-d7b5-4ccf-8f2a-2670c97bcfef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3993BAB7</paraID>
      <start>0</start>
      <end>3</end>
      <status>unmodified</status>
      <modifiedWord/>
      <trackRevisions>false</trackRevisions>
    </reviewItem>
    <reviewItem>
      <errorID>18361136-49a2-4a65-a0a4-48f95960add1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3AA377D9</paraID>
      <start>0</start>
      <end>3</end>
      <status>unmodified</status>
      <modifiedWord/>
      <trackRevisions>false</trackRevisions>
    </reviewItem>
    <reviewItem>
      <errorID>b1b54455-d00c-45b9-af6d-379d518486bb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E418DD3</paraID>
      <start>0</start>
      <end>3</end>
      <status>unmodified</status>
      <modifiedWord/>
      <trackRevisions>false</trackRevisions>
    </reviewItem>
    <reviewItem>
      <errorID>3b7559b7-7672-4042-98a6-38eeaffe78d8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1F13E20F</paraID>
      <start>0</start>
      <end>3</end>
      <status>unmodified</status>
      <modifiedWord/>
      <trackRevisions>false</trackRevisions>
    </reviewItem>
    <reviewItem>
      <errorID>8ab871a8-9ac3-4973-8793-c1de81ea60cb</errorID>
      <errorWord>法律、法规</errorWord>
      <group>L1_Word</group>
      <groupName>字词问题</groupName>
      <ability>L2_Typo</ability>
      <abilityName>字词错误</abilityName>
      <candidateList>
        <item>法律法规</item>
      </candidateList>
      <explain/>
      <paraID>326D19E8</paraID>
      <start>35</start>
      <end>40</end>
      <status>unmodified</status>
      <modifiedWord/>
      <trackRevisions>false</trackRevisions>
    </reviewItem>
    <reviewItem>
      <errorID>c247d178-d306-4718-b60a-17b937f28ae8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27FFA4C</paraID>
      <start>113</start>
      <end>114</end>
      <status>unmodified</status>
      <modifiedWord/>
      <trackRevisions>false</trackRevisions>
    </reviewItem>
    <reviewItem>
      <errorID>3aa6c141-2f61-4d52-9968-101e2f109c54</errorID>
      <errorWord>作</errorWord>
      <group>L1_Word</group>
      <groupName>字词问题</groupName>
      <ability>L2_Typo</ability>
      <abilityName>字词错误</abilityName>
      <candidateList>
        <item>做</item>
      </candidateList>
      <explain>存在发音相同字词的误用。</explain>
      <paraID>32DAF795</paraID>
      <start>304</start>
      <end>305</end>
      <status>unmodified</status>
      <modifiedWord/>
      <trackRevisions>false</trackRevisions>
    </reviewItem>
    <reviewItem>
      <errorID>25b115e5-3355-4d74-84cd-ea644ce0f3a2</errorID>
      <errorWord>费</errorWord>
      <group>L1_Word</group>
      <groupName>字词问题</groupName>
      <ability>L2_Typo</ability>
      <abilityName>字词错误</abilityName>
      <candidateList>
        <item>费用</item>
      </candidateList>
      <explain/>
      <paraID> 5323CBA</paraID>
      <start>20</start>
      <end>21</end>
      <status>unmodified</status>
      <modifiedWord/>
      <trackRevisions>false</trackRevisions>
    </reviewItem>
    <reviewItem>
      <errorID>d34d94f0-fda4-4e7c-8a4d-18c897d274a5</errorID>
      <errorWord>持</errorWord>
      <group>L1_Word</group>
      <groupName>字词问题</groupName>
      <ability>L2_Typo</ability>
      <abilityName>字词错误</abilityName>
      <candidateList>
        <item>持有</item>
      </candidateList>
      <explain/>
      <paraID>332E3573</paraID>
      <start>5</start>
      <end>6</end>
      <status>unmodified</status>
      <modifiedWord/>
      <trackRevisions>false</trackRevisions>
    </reviewItem>
    <reviewItem>
      <errorID>3dc4a6b2-e9b0-48fc-b1bd-a48be301b03a</errorID>
      <errorWord>《公路桥梁和隧道工程施工安全风险评估指南》（试行）</errorWord>
      <group>L1_Knowledge</group>
      <groupName>知识性问题</groupName>
      <ability>L2_Knowledge</ability>
      <abilityName>其他知识</abilityName>
      <candidateList>
        <item>《公路桥梁和隧道工程施工安全风险评估指南（试行）》</item>
      </candidateList>
      <explain>疑似政策文件、法律法规名称等书写不规范，请注意检查。</explain>
      <paraID>7A67C56A</paraID>
      <start>34</start>
      <end>59</end>
      <status>unmodified</status>
      <modifiedWord/>
      <trackRevisions>false</trackRevisions>
    </reviewItem>
    <reviewItem>
      <errorID>2f45bf97-81d9-44e6-8d7a-0950138431f9</errorID>
      <errorWord>管理办法》中</errorWord>
      <group>L1_Word</group>
      <groupName>字词问题</groupName>
      <ability>L2_Typo</ability>
      <abilityName>字词错误</abilityName>
      <candidateList>
        <item>管理办法》</item>
      </candidateList>
      <explain/>
      <paraID>5EB7B9CB</paraID>
      <start>65</start>
      <end>71</end>
      <status>unmodified</status>
      <modifiedWord/>
      <trackRevisions>false</trackRevisions>
    </reviewItem>
    <reviewItem>
      <errorID>9ea03652-69a0-4052-bb42-26584f112d99</errorID>
      <errorWord>提高</errorWord>
      <group>L1_Grammar</group>
      <groupName>语法问题</groupName>
      <ability>L2_Grammar</ability>
      <abilityName>语法错误</abilityName>
      <candidateList>
        <item>增强</item>
      </candidateList>
      <explain>“提高～意识”搭配不当，建议修改为“增强～意识”。</explain>
      <paraID>7903C8D4</paraID>
      <start>90</start>
      <end>92</end>
      <status>unmodified</status>
      <modifiedWord/>
      <trackRevisions>false</trackRevisions>
    </reviewItem>
    <reviewItem>
      <errorID>5847beeb-e15e-4cdf-98da-17a5aa123cea</errorID>
      <errorWord>、</errorWord>
      <group>L1_Word</group>
      <groupName>字词问题</groupName>
      <ability>L2_Typo</ability>
      <abilityName>字词错误</abilityName>
      <candidateList>
        <item>、具</item>
      </candidateList>
      <explain/>
      <paraID>54C40AFE</paraID>
      <start>42</start>
      <end>43</end>
      <status>unmodified</status>
      <modifiedWord/>
      <trackRevisions>false</trackRevisions>
    </reviewItem>
    <reviewItem>
      <errorID>0e6819c1-d6a9-4ce1-a2ec-0fc579422325</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5A324320</paraID>
      <start>0</start>
      <end>3</end>
      <status>unmodified</status>
      <modifiedWord/>
      <trackRevisions>false</trackRevisions>
    </reviewItem>
    <reviewItem>
      <errorID>8dd7794a-a749-4615-a158-9c0b21306e78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157F52EA</paraID>
      <start>0</start>
      <end>3</end>
      <status>unmodified</status>
      <modifiedWord/>
      <trackRevisions>false</trackRevisions>
    </reviewItem>
    <reviewItem>
      <errorID>f87ba383-1f62-42f4-82e0-974c5300ed60</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54DC2B13</paraID>
      <start>0</start>
      <end>3</end>
      <status>unmodified</status>
      <modifiedWord/>
      <trackRevisions>false</trackRevisions>
    </reviewItem>
    <reviewItem>
      <errorID>099ddc6f-bc6f-4a50-848a-8434ed1d0612</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2FE51547</paraID>
      <start>0</start>
      <end>3</end>
      <status>unmodified</status>
      <modifiedWord/>
      <trackRevisions>false</trackRevisions>
    </reviewItem>
    <reviewItem>
      <errorID>018f1639-32b8-447e-9ee8-9e73dc2ac034</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166910C2</paraID>
      <start>0</start>
      <end>3</end>
      <status>unmodified</status>
      <modifiedWord/>
      <trackRevisions>false</trackRevisions>
    </reviewItem>
    <reviewItem>
      <errorID>9b5f5a6f-33e6-46c1-9409-c91205db2b4b</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D40FA58</paraID>
      <start>0</start>
      <end>3</end>
      <status>unmodified</status>
      <modifiedWord/>
      <trackRevisions>false</trackRevisions>
    </reviewItem>
    <reviewItem>
      <errorID>8d6286e3-f1bd-4948-8e27-cceb805e713d</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3657347E</paraID>
      <start>0</start>
      <end>3</end>
      <status>unmodified</status>
      <modifiedWord/>
      <trackRevisions>false</trackRevisions>
    </reviewItem>
    <reviewItem>
      <errorID>2eb1747a-c048-43bb-9683-1be73e947041</errorID>
      <errorWord>(h)</errorWord>
      <group>L1_Format</group>
      <groupName>格式问题</groupName>
      <ability>L2_Ordinal</ability>
      <abilityName>序号格式</abilityName>
      <candidateList>
        <item>（h）</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60559AA9</paraID>
      <start>0</start>
      <end>3</end>
      <status>unmodified</status>
      <modifiedWord/>
      <trackRevisions>false</trackRevisions>
    </reviewItem>
    <reviewItem>
      <errorID>740b89cb-7d9a-43c1-ad02-74933b51f527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6EBBA9FD</paraID>
      <start>0</start>
      <end>2</end>
      <status>unmodified</status>
      <modifiedWord/>
      <trackRevisions>false</trackRevisions>
    </reviewItem>
    <reviewItem>
      <errorID>64327f0d-cf77-47ba-bb62-24201ebace8b</errorID>
      <errorWord>(</errorWord>
      <group>L1_Format</group>
      <groupName>格式问题</groupName>
      <ability>L2_HalfPunc</ability>
      <abilityName>全半角检查</abilityName>
      <candidateList>
        <item>（</item>
      </candidateList>
      <explain>文本全半角错误。</explain>
      <paraID> 81DB2BE</paraID>
      <start>5</start>
      <end>6</end>
      <status>unmodified</status>
      <modifiedWord/>
      <trackRevisions>false</trackRevisions>
    </reviewItem>
    <reviewItem>
      <errorID>138d00df-38d0-47fd-86dd-5466b530e4fa</errorID>
      <errorWord>，</errorWord>
      <group>L1_Word</group>
      <groupName>字词问题</groupName>
      <ability>L2_Typo</ability>
      <abilityName>字词错误</abilityName>
      <candidateList>
        <item>，将</item>
      </candidateList>
      <explain/>
      <paraID>1A93E796</paraID>
      <start>70</start>
      <end>71</end>
      <status>unmodified</status>
      <modifiedWord/>
      <trackRevisions>false</trackRevisions>
    </reviewItem>
    <reviewItem>
      <errorID>cecb9056-4a6f-4155-ae6c-928c9a61b0f4</errorID>
      <errorWord>人</errorWord>
      <group>L1_Word</group>
      <groupName>字词问题</groupName>
      <ability>L2_Typo</ability>
      <abilityName>字词错误</abilityName>
      <candidateList>
        <item>人在</item>
      </candidateList>
      <explain/>
      <paraID>136F22A0</paraID>
      <start>2</start>
      <end>3</end>
      <status>unmodified</status>
      <modifiedWord/>
      <trackRevisions>false</trackRevisions>
    </reviewItem>
    <reviewItem>
      <errorID>ea56dd80-3123-4d94-8210-e4108352bf5d</errorID>
      <errorWord>价价</errorWord>
      <group>L1_Word</group>
      <groupName>字词问题</groupName>
      <ability>L2_Typo</ability>
      <abilityName>字词错误</abilityName>
      <candidateList>
        <item>价</item>
      </candidateList>
      <explain/>
      <paraID> E40D965</paraID>
      <start>9</start>
      <end>11</end>
      <status>unmodified</status>
      <modifiedWord/>
      <trackRevisions>false</trackRevisions>
    </reviewItem>
    <reviewItem>
      <errorID>d3b9f441-c917-40c9-800d-61898dbef168</errorID>
      <errorWord>文件制订</errorWord>
      <group>L1_Word</group>
      <groupName>字词问题</groupName>
      <ability>L2_Typo</ability>
      <abilityName>字词错误</abilityName>
      <candidateList>
        <item>文件制定</item>
      </candidateList>
      <explain/>
      <paraID>5C7A040D</paraID>
      <start>119</start>
      <end>123</end>
      <status>unmodified</status>
      <modifiedWord/>
      <trackRevisions>false</trackRevisions>
    </reviewItem>
    <reviewItem>
      <errorID>c11ce2c1-54f9-4dd0-86e3-8f58f192822d</errorID>
      <errorWord>变更变更</errorWord>
      <group>L1_Word</group>
      <groupName>字词问题</groupName>
      <ability>L2_Typo</ability>
      <abilityName>字词错误</abilityName>
      <candidateList>
        <item>变更</item>
      </candidateList>
      <explain>〈动〉改变；变动：～原定赛程｜修订版的内容有些～。</explain>
      <paraID>62A8CDCC</paraID>
      <start>5</start>
      <end>9</end>
      <status>unmodified</status>
      <modifiedWord/>
      <trackRevisions>false</trackRevisions>
    </reviewItem>
    <reviewItem>
      <errorID>9e3ea7ee-f1cf-4ff4-98a8-58e736cd1003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7A620368</paraID>
      <start>0</start>
      <end>3</end>
      <status>unmodified</status>
      <modifiedWord/>
      <trackRevisions>false</trackRevisions>
    </reviewItem>
    <reviewItem>
      <errorID>cebb8173-d795-41a1-b420-91b5baa401ab</errorID>
      <errorWord>关于于</errorWord>
      <group>L1_Word</group>
      <groupName>字词问题</groupName>
      <ability>L2_Typo</ability>
      <abilityName>字词错误</abilityName>
      <candidateList>
        <item>关于</item>
      </candidateList>
      <explain>〈介〉❶引进某种行为的关系者，组成介词结构做状语：～扶贫工作，上级已经做了指示。❷引进某种事物的关系者，组成介词结构做定语（后面要加“的”），或在“是…的”式中做谓语：他读了几本～政治经济学的书｜今天在厂里开了一个会，是～环境保护方面的。‖注意a）表示关涉，用“关于”不用“对于”，如：～织女星，民间有个美丽的传说。</explain>
      <paraID>3CED3BAB</paraID>
      <start>21</start>
      <end>24</end>
      <status>unmodified</status>
      <modifiedWord/>
      <trackRevisions>false</trackRevisions>
    </reviewItem>
    <reviewItem>
      <errorID>1338089d-1552-4b4f-8753-fe6fdd872a6a</errorID>
      <errorWord>签定</errorWord>
      <group>L1_Word</group>
      <groupName>字词问题</groupName>
      <ability>L2_Typo</ability>
      <abilityName>字词错误</abilityName>
      <candidateList>
        <item>签订</item>
      </candidateList>
      <explain>〈动〉订立条约或合同并签字：两国～了贸易议定书和支付协定。</explain>
      <paraID>1B46CF0B</paraID>
      <start>43</start>
      <end>45</end>
      <status>unmodified</status>
      <modifiedWord/>
      <trackRevisions>false</trackRevisions>
    </reviewItem>
    <reviewItem>
      <errorID>39331311-d86a-40b5-92bf-6007aa8b7007</errorID>
      <errorWord>)</errorWord>
      <group>L1_Format</group>
      <groupName>格式问题</groupName>
      <ability>L2_HalfPunc</ability>
      <abilityName>全半角检查</abilityName>
      <candidateList>
        <item>）</item>
      </candidateList>
      <explain>文本全半角错误。</explain>
      <paraID>  BBD45A</paraID>
      <start>34</start>
      <end>35</end>
      <status>unmodified</status>
      <modifiedWord/>
      <trackRevisions>false</trackRevisions>
    </reviewItem>
    <reviewItem>
      <errorID>65d05016-dda2-4d0a-9c71-bf38d680d9a5</errorID>
      <errorWord>)</errorWord>
      <group>L1_Format</group>
      <groupName>格式问题</groupName>
      <ability>L2_HalfPunc</ability>
      <abilityName>全半角检查</abilityName>
      <candidateList>
        <item>）</item>
      </candidateList>
      <explain>文本全半角错误。</explain>
      <paraID>1411B23A</paraID>
      <start>37</start>
      <end>38</end>
      <status>unmodified</status>
      <modifiedWord/>
      <trackRevisions>false</trackRevisions>
    </reviewItem>
    <reviewItem>
      <errorID>da0ded6d-d8c3-4917-bad8-0c168d824269</errorID>
      <errorWord>)</errorWord>
      <group>L1_Format</group>
      <groupName>格式问题</groupName>
      <ability>L2_HalfPunc</ability>
      <abilityName>全半角检查</abilityName>
      <candidateList>
        <item>）</item>
      </candidateList>
      <explain>文本全半角错误。</explain>
      <paraID>35D42EC9</paraID>
      <start>40</start>
      <end>41</end>
      <status>unmodified</status>
      <modifiedWord/>
      <trackRevisions>false</trackRevisions>
    </reviewItem>
    <reviewItem>
      <errorID>db781d67-924c-43c4-9f92-103fa2c9d99d</errorID>
      <errorWord>,…,</errorWord>
      <group>L1_Punc</group>
      <groupName>标点问题</groupName>
      <ability>L2_Punc</ability>
      <abilityName>标点符号检查</abilityName>
      <candidateList>
        <item>,</item>
      </candidateList>
      <explain/>
      <paraID>5B78DE6B</paraID>
      <start>24</start>
      <end>27</end>
      <status>unmodified</status>
      <modifiedWord/>
      <trackRevisions>false</trackRevisions>
    </reviewItem>
    <reviewItem>
      <errorID>7775246f-da5a-4612-b67a-d711797a2c07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22E62005</paraID>
      <start>0</start>
      <end>2</end>
      <status>unmodified</status>
      <modifiedWord/>
      <trackRevisions>false</trackRevisions>
    </reviewItem>
    <reviewItem>
      <errorID>c8d2ed07-5412-465e-b0c9-81c165003256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163616B</paraID>
      <start>0</start>
      <end>2</end>
      <status>unmodified</status>
      <modifiedWord/>
      <trackRevisions>false</trackRevisions>
    </reviewItem>
    <reviewItem>
      <errorID>d0d7c92a-e7b7-42e3-92c1-7ca75987ca7b</errorID>
      <errorWord>（</errorWord>
      <group>L1_Punc</group>
      <groupName>标点问题</groupName>
      <ability>L2_Punc</ability>
      <abilityName>标点符号检查</abilityName>
      <candidateList/>
      <explain>同一形式括号套用。</explain>
      <paraID> 163616B</paraID>
      <start>76</start>
      <end>77</end>
      <status>unmodified</status>
      <modifiedWord/>
      <trackRevisions>false</trackRevisions>
    </reviewItem>
    <reviewItem>
      <errorID>d0517b00-961d-44e1-acdc-a5af8fcc6d97</errorID>
      <errorWord>）</errorWord>
      <group>L1_Punc</group>
      <groupName>标点问题</groupName>
      <ability>L2_Punc</ability>
      <abilityName>标点符号检查</abilityName>
      <candidateList/>
      <explain>同一形式括号套用。</explain>
      <paraID> 163616B</paraID>
      <start>89</start>
      <end>90</end>
      <status>unmodified</status>
      <modifiedWord/>
      <trackRevisions>false</trackRevisions>
    </reviewItem>
    <reviewItem>
      <errorID>cd24fbda-671e-473a-a3ba-8d78dea7a3d7</errorID>
      <errorWord>（</errorWord>
      <group>L1_Punc</group>
      <groupName>标点问题</groupName>
      <ability>L2_Punc</ability>
      <abilityName>标点符号检查</abilityName>
      <candidateList/>
      <explain>同一形式括号套用。</explain>
      <paraID> 163616B</paraID>
      <start>97</start>
      <end>98</end>
      <status>unmodified</status>
      <modifiedWord/>
      <trackRevisions>false</trackRevisions>
    </reviewItem>
    <reviewItem>
      <errorID>2a7fbcd7-cd41-42e0-a14d-fef635035efb</errorID>
      <errorWord>）</errorWord>
      <group>L1_Punc</group>
      <groupName>标点问题</groupName>
      <ability>L2_Punc</ability>
      <abilityName>标点符号检查</abilityName>
      <candidateList/>
      <explain>同一形式括号套用。</explain>
      <paraID> 163616B</paraID>
      <start>110</start>
      <end>111</end>
      <status>unmodified</status>
      <modifiedWord/>
      <trackRevisions>false</trackRevisions>
    </reviewItem>
    <reviewItem>
      <errorID>95bd8763-6027-4ce2-ac79-662e2a9e8a92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281762E6</paraID>
      <start>0</start>
      <end>3</end>
      <status>unmodified</status>
      <modifiedWord/>
      <trackRevisions>false</trackRevisions>
    </reviewItem>
    <reviewItem>
      <errorID>ca0f427c-1f7c-4fab-99ed-7b008045786a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4A79726E</paraID>
      <start>0</start>
      <end>3</end>
      <status>unmodified</status>
      <modifiedWord/>
      <trackRevisions>false</trackRevisions>
    </reviewItem>
    <reviewItem>
      <errorID>bad42108-70d8-499b-8eed-4c17f8e955e4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257D26A2</paraID>
      <start>0</start>
      <end>3</end>
      <status>unmodified</status>
      <modifiedWord/>
      <trackRevisions>false</trackRevisions>
    </reviewItem>
    <reviewItem>
      <errorID>01a20a6c-35f3-4815-a687-d9fb54286c9c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4E227FEC</paraID>
      <start>0</start>
      <end>3</end>
      <status>unmodified</status>
      <modifiedWord/>
      <trackRevisions>false</trackRevisions>
    </reviewItem>
    <reviewItem>
      <errorID>d4ce4c9e-bc51-46f8-a1c3-7e7b413c9db9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5B3E8F8C</paraID>
      <start>0</start>
      <end>3</end>
      <status>unmodified</status>
      <modifiedWord/>
      <trackRevisions>false</trackRevisions>
    </reviewItem>
    <reviewItem>
      <errorID>b906d956-37e8-4f6f-9e62-2a0dc0da4c97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612C23E7</paraID>
      <start>0</start>
      <end>2</end>
      <status>unmodified</status>
      <modifiedWord/>
      <trackRevisions>false</trackRevisions>
    </reviewItem>
    <reviewItem>
      <errorID>183f6819-cf8f-4e8d-b6ab-e656011242df</errorID>
      <errorWord>法律、法规</errorWord>
      <group>L1_Word</group>
      <groupName>字词问题</groupName>
      <ability>L2_Typo</ability>
      <abilityName>字词错误</abilityName>
      <candidateList>
        <item>法律法规</item>
      </candidateList>
      <explain/>
      <paraID>671135AF</paraID>
      <start>39</start>
      <end>44</end>
      <status>unmodified</status>
      <modifiedWord/>
      <trackRevisions>false</trackRevisions>
    </reviewItem>
    <reviewItem>
      <errorID>fa98ab6a-b677-4674-8bf2-dfcf6c91c0d2</errorID>
      <errorWord>法律、法规</errorWord>
      <group>L1_Word</group>
      <groupName>字词问题</groupName>
      <ability>L2_Typo</ability>
      <abilityName>字词错误</abilityName>
      <candidateList>
        <item>法律法规</item>
      </candidateList>
      <explain/>
      <paraID>671135AF</paraID>
      <start>58</start>
      <end>63</end>
      <status>unmodified</status>
      <modifiedWord/>
      <trackRevisions>false</trackRevisions>
    </reviewItem>
    <reviewItem>
      <errorID>0321375d-8a51-4d0b-a676-33b7c7fa3579</errorID>
      <errorWord>作</errorWord>
      <group>L1_Word</group>
      <groupName>字词问题</groupName>
      <ability>L2_Typo</ability>
      <abilityName>字词错误</abilityName>
      <candidateList>
        <item>做</item>
      </candidateList>
      <explain>存在发音相同字词的误用。</explain>
      <paraID> A1E6165</paraID>
      <start>59</start>
      <end>60</end>
      <status>unmodified</status>
      <modifiedWord/>
      <trackRevisions>false</trackRevisions>
    </reviewItem>
    <reviewItem>
      <errorID>81032df2-c1ce-4f28-bff4-c25b5afec4ad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1C17E4E4</paraID>
      <start>0</start>
      <end>3</end>
      <status>unmodified</status>
      <modifiedWord/>
      <trackRevisions>false</trackRevisions>
    </reviewItem>
    <reviewItem>
      <errorID>9da59de4-c695-47a4-b02f-e4cfd0d402bf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25C2AAA5</paraID>
      <start>130</start>
      <end>131</end>
      <status>unmodified</status>
      <modifiedWord/>
      <trackRevisions>false</trackRevisions>
    </reviewItem>
    <reviewItem>
      <errorID>4b447999-2166-4e98-a470-f83736b3ee9a</errorID>
      <errorWord>文字精炼</errorWord>
      <group>L1_Word</group>
      <groupName>字词问题</groupName>
      <ability>L2_Alias</ability>
      <abilityName>也作/曾用词</abilityName>
      <candidateList>
        <item>文字精练</item>
      </candidateList>
      <explain>词汇[文字精炼]为不规范表述或旧称，其规范书面表述为[文字精练]。</explain>
      <paraID>21A3774D</paraID>
      <start>152</start>
      <end>156</end>
      <status>unmodified</status>
      <modifiedWord/>
      <trackRevisions>false</trackRevisions>
    </reviewItem>
    <reviewItem>
      <errorID>3bbca044-5576-4adf-8250-f386a121d56a</errorID>
      <errorWord>及在</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51B62D8D</paraID>
      <start>8</start>
      <end>10</end>
      <status>unmodified</status>
      <modifiedWord/>
      <trackRevisions>false</trackRevisions>
    </reviewItem>
    <reviewItem>
      <errorID>c9d2ca1e-b022-439f-a67d-7ca2158fcad7</errorID>
      <errorWord>是</errorWord>
      <group>L1_Word</group>
      <groupName>字词问题</groupName>
      <ability>L2_Typo</ability>
      <abilityName>字词错误</abilityName>
      <candidateList>
        <item>是否</item>
      </candidateList>
      <explain/>
      <paraID>27C323BC</paraID>
      <start>106</start>
      <end>107</end>
      <status>unmodified</status>
      <modifiedWord/>
      <trackRevisions>false</trackRevisions>
    </reviewItem>
    <reviewItem>
      <errorID>8bd71845-e5d9-4916-a6ad-cdf369f09c53</errorID>
      <errorWord>(</errorWord>
      <group>L1_Format</group>
      <groupName>格式问题</groupName>
      <ability>L2_HalfPunc</ability>
      <abilityName>全半角检查</abilityName>
      <candidateList>
        <item>（</item>
      </candidateList>
      <explain>文本全半角错误。</explain>
      <paraID>30FDF044</paraID>
      <start>7</start>
      <end>8</end>
      <status>unmodified</status>
      <modifiedWord/>
      <trackRevisions>false</trackRevisions>
    </reviewItem>
    <reviewItem>
      <errorID>53c81b0c-6106-4a70-94fc-bf355a49b45d</errorID>
      <errorWord>属</errorWord>
      <group>L1_Word</group>
      <groupName>字词问题</groupName>
      <ability>L2_Typo</ability>
      <abilityName>字词错误</abilityName>
      <candidateList>
        <item>属于</item>
      </candidateList>
      <explain/>
      <paraID>6A729177</paraID>
      <start>43</start>
      <end>44</end>
      <status>unmodified</status>
      <modifiedWord/>
      <trackRevisions>false</trackRevisions>
    </reviewItem>
    <reviewItem>
      <errorID>66159762-1690-46d9-babd-2a709c24cd52</errorID>
      <errorWord>(</errorWord>
      <group>L1_Format</group>
      <groupName>格式问题</groupName>
      <ability>L2_HalfPunc</ability>
      <abilityName>全半角检查</abilityName>
      <candidateList>
        <item>（</item>
      </candidateList>
      <explain>文本全半角错误。</explain>
      <paraID>2D425B69</paraID>
      <start>8</start>
      <end>9</end>
      <status>unmodified</status>
      <modifiedWord/>
      <trackRevisions>false</trackRevisions>
    </reviewItem>
    <reviewItem>
      <errorID>efadf316-07b7-47ee-8433-8b2e2e5fd08c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2543604E</paraID>
      <start>0</start>
      <end>3</end>
      <status>unmodified</status>
      <modifiedWord/>
      <trackRevisions>false</trackRevisions>
    </reviewItem>
    <reviewItem>
      <errorID>717da7c6-1b7a-4b68-bb95-651a8fe275dd</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66019D61</paraID>
      <start>0</start>
      <end>3</end>
      <status>unmodified</status>
      <modifiedWord/>
      <trackRevisions>false</trackRevisions>
    </reviewItem>
    <reviewItem>
      <errorID>5b940986-b7f4-41a7-be2d-53de2ba42ca3</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1BEC2AC</paraID>
      <start>0</start>
      <end>3</end>
      <status>unmodified</status>
      <modifiedWord/>
      <trackRevisions>false</trackRevisions>
    </reviewItem>
    <reviewItem>
      <errorID>3cb3bc0d-5717-4fe6-a297-9400f042c469</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7ED25CB9</paraID>
      <start>0</start>
      <end>3</end>
      <status>unmodified</status>
      <modifiedWord/>
      <trackRevisions>false</trackRevisions>
    </reviewItem>
    <reviewItem>
      <errorID>d0e4dded-0c2c-471d-b141-a3f77190be27</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3428CDA</paraID>
      <start>0</start>
      <end>3</end>
      <status>unmodified</status>
      <modifiedWord/>
      <trackRevisions>false</trackRevisions>
    </reviewItem>
    <reviewItem>
      <errorID>8ab06184-4a26-44c8-b4cf-2c0ace995cb7</errorID>
      <errorWord>由</errorWord>
      <group>L1_Word</group>
      <groupName>字词问题</groupName>
      <ability>L2_Typo</ability>
      <abilityName>字词错误</abilityName>
      <candidateList>
        <item>由于</item>
      </candidateList>
      <explain>❶〈介〉表示原因或理由：～老师傅的耐心教导，他很快就掌握了这门技术。❷〈连〉表示原因，多与“所以”、“因此”等配合：～他工作成绩显著，因此受到了领导的表扬。</explain>
      <paraID>107CC8D5</paraID>
      <start>3</start>
      <end>4</end>
      <status>unmodified</status>
      <modifiedWord/>
      <trackRevisions>false</trackRevisions>
    </reviewItem>
    <reviewItem>
      <errorID>ecbb5e64-dd6d-4008-a74f-9030be8bed88</errorID>
      <errorWord>导致使</errorWord>
      <group>L1_Word</group>
      <groupName>字词问题</groupName>
      <ability>L2_Typo</ability>
      <abilityName>字词错误</abilityName>
      <candidateList>
        <item>导致</item>
      </candidateList>
      <explain>〈动〉引起：由一些小的矛盾～双方关系破裂。</explain>
      <paraID>107CC8D5</paraID>
      <start>11</start>
      <end>14</end>
      <status>unmodified</status>
      <modifiedWord/>
      <trackRevisions>false</trackRevisions>
    </reviewItem>
    <reviewItem>
      <errorID>08c37ccf-74c8-408c-be57-8cfe6248efc4</errorID>
      <errorWord>由于</errorWord>
      <group>L1_Word</group>
      <groupName>字词问题</groupName>
      <ability>L2_Typo</ability>
      <abilityName>字词错误</abilityName>
      <candidateList>
        <item>由</item>
      </candidateList>
      <explain>❶缘由：因～｜事～｜理～。❷〈介〉由于▲：咎～自取｜～感冒引起了肺炎。❸经过：必～之路。❹〈介〉表示经由：～南门入场。❺〈动〉顺随；听从：事不～己｜～着性子。❻〈介〉归（某人去做）：准备工作～我负责｜队长～你担任。❼〈介〉表示凭借：～此可知｜人体是～各种细胞组成的。❽〈介〉表示起点：～表及里｜～北京出发。</explain>
      <paraID>2DC55BEC</paraID>
      <start>22</start>
      <end>24</end>
      <status>unmodified</status>
      <modifiedWord/>
      <trackRevisions>false</trackRevisions>
    </reviewItem>
    <reviewItem>
      <errorID>c58a482a-927a-4c1c-a695-6c0f1935066f</errorID>
      <errorWord>从下而上</errorWord>
      <group>L1_Word</group>
      <groupName>字词问题</groupName>
      <ability>L2_Typo</ability>
      <abilityName>字词错误</abilityName>
      <candidateList>
        <item>自下而上</item>
      </candidateList>
      <explain>从下面到上面，从底下到上头。</explain>
      <paraID>550519B5</paraID>
      <start>41</start>
      <end>45</end>
      <status>unmodified</status>
      <modifiedWord/>
      <trackRevisions>false</trackRevisions>
    </reviewItem>
    <reviewItem>
      <errorID>3c7d21ba-8260-4360-b8a6-99f186ef0539</errorID>
      <errorWord>台帐管理</errorWord>
      <group>L1_Word</group>
      <groupName>字词问题</groupName>
      <ability>L2_Alias</ability>
      <abilityName>也作/曾用词</abilityName>
      <candidateList>
        <item>台账管理</item>
      </candidateList>
      <explain>词汇[台帐管理]为不规范表述或旧称，其规范书面表述为[台账管理]。</explain>
      <paraID> 4C68C48</paraID>
      <start>32</start>
      <end>36</end>
      <status>unmodified</status>
      <modifiedWord/>
      <trackRevisions>false</trackRevisions>
    </reviewItem>
    <reviewItem>
      <errorID>e0fdea7a-1406-4e65-9fe7-e9041a4e9271</errorID>
      <errorWord>设</errorWord>
      <group>L1_Word</group>
      <groupName>字词问题</groupName>
      <ability>L2_Typo</ability>
      <abilityName>字词错误</abilityName>
      <candidateList>
        <item>设和</item>
      </candidateList>
      <explain/>
      <paraID>18F530D9</paraID>
      <start>47</start>
      <end>48</end>
      <status>unmodified</status>
      <modifiedWord/>
      <trackRevisions>false</trackRevisions>
    </reviewItem>
    <reviewItem>
      <errorID>7a43c2a7-8d77-487b-bb64-d6277729bdca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18F530D9</paraID>
      <start>71</start>
      <end>72</end>
      <status>unmodified</status>
      <modifiedWord/>
      <trackRevisions>false</trackRevisions>
    </reviewItem>
    <reviewItem>
      <errorID>288f0748-dfa0-4139-8850-a473415c94ea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1C0870F9</paraID>
      <start>0</start>
      <end>3</end>
      <status>unmodified</status>
      <modifiedWord/>
      <trackRevisions>false</trackRevisions>
    </reviewItem>
    <reviewItem>
      <errorID>9d080fa0-e49d-48de-b7c2-a56b6df2fb6d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7069FF3B</paraID>
      <start>0</start>
      <end>3</end>
      <status>unmodified</status>
      <modifiedWord/>
      <trackRevisions>false</trackRevisions>
    </reviewItem>
    <reviewItem>
      <errorID>cd53b73a-38be-41cc-9c70-68e6829971b8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275431C2</paraID>
      <start>0</start>
      <end>3</end>
      <status>unmodified</status>
      <modifiedWord/>
      <trackRevisions>false</trackRevisions>
    </reviewItem>
    <reviewItem>
      <errorID>c4dc7f15-4d1f-4546-ac7d-b2ce1dea29b7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334275E8</paraID>
      <start>0</start>
      <end>3</end>
      <status>unmodified</status>
      <modifiedWord/>
      <trackRevisions>false</trackRevisions>
    </reviewItem>
    <reviewItem>
      <errorID>bf95e825-2f42-4460-85b4-d419d9ed92ce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5FB3DA14</paraID>
      <start>0</start>
      <end>3</end>
      <status>unmodified</status>
      <modifiedWord/>
      <trackRevisions>false</trackRevisions>
    </reviewItem>
    <reviewItem>
      <errorID>b48d9f01-bcd2-4b42-9d3d-d8b299313ce8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68EEF25A</paraID>
      <start>0</start>
      <end>3</end>
      <status>unmodified</status>
      <modifiedWord/>
      <trackRevisions>false</trackRevisions>
    </reviewItem>
    <reviewItem>
      <errorID>746f1d1c-7ba1-4a96-83dc-8a8664054037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450879F4</paraID>
      <start>0</start>
      <end>3</end>
      <status>unmodified</status>
      <modifiedWord/>
      <trackRevisions>false</trackRevisions>
    </reviewItem>
    <reviewItem>
      <errorID>97cde086-f6b3-4cf8-9368-ffb1132b1a65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6FE966F5</paraID>
      <start>0</start>
      <end>3</end>
      <status>unmodified</status>
      <modifiedWord/>
      <trackRevisions>false</trackRevisions>
    </reviewItem>
    <reviewItem>
      <errorID>147186fa-e7f2-47e0-90b9-a6a77355d2b6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791AA964</paraID>
      <start>0</start>
      <end>3</end>
      <status>unmodified</status>
      <modifiedWord/>
      <trackRevisions>false</trackRevisions>
    </reviewItem>
    <reviewItem>
      <errorID>4aca29d4-475d-493e-8fff-e513de6d0760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7BFF0D03</paraID>
      <start>0</start>
      <end>4</end>
      <status>unmodified</status>
      <modifiedWord/>
      <trackRevisions>false</trackRevisions>
    </reviewItem>
    <reviewItem>
      <errorID>954f763d-10dd-45a7-b153-24dcc04ac6b6</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32A06DA5</paraID>
      <start>0</start>
      <end>4</end>
      <status>unmodified</status>
      <modifiedWord/>
      <trackRevisions>false</trackRevisions>
    </reviewItem>
    <reviewItem>
      <errorID>007a8659-5086-4e5c-84ab-088b826353ee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470C2A51</paraID>
      <start>0</start>
      <end>4</end>
      <status>unmodified</status>
      <modifiedWord/>
      <trackRevisions>false</trackRevisions>
    </reviewItem>
    <reviewItem>
      <errorID>077af577-ed66-45d4-8886-1242b7bd0f82</errorID>
      <errorWord>位</errorWord>
      <group>L1_Word</group>
      <groupName>字词问题</groupName>
      <ability>L2_Typo</ability>
      <abilityName>字词错误</abilityName>
      <candidateList>
        <item>位公</item>
      </candidateList>
      <explain/>
      <paraID>6EF4FFE2</paraID>
      <start>41</start>
      <end>42</end>
      <status>unmodified</status>
      <modifiedWord/>
      <trackRevisions>false</trackRevisions>
    </reviewItem>
    <reviewItem>
      <errorID>4f22eb66-6995-40f2-af7d-58f70bd8a6e0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5C1A7596</paraID>
      <start>0</start>
      <end>3</end>
      <status>unmodified</status>
      <modifiedWord/>
      <trackRevisions>false</trackRevisions>
    </reviewItem>
    <reviewItem>
      <errorID>a29db129-713e-4a0b-a270-ea4fad3a4379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1CD4F5AC</paraID>
      <start>0</start>
      <end>3</end>
      <status>unmodified</status>
      <modifiedWord/>
      <trackRevisions>false</trackRevisions>
    </reviewItem>
    <reviewItem>
      <errorID>ae9246b5-bd99-4267-9a89-d6c6c1ad782a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5FA7C5A1</paraID>
      <start>0</start>
      <end>3</end>
      <status>unmodified</status>
      <modifiedWord/>
      <trackRevisions>false</trackRevisions>
    </reviewItem>
    <reviewItem>
      <errorID>1e333e81-a73e-485e-a2d8-fa46d9376900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654ED8C2</paraID>
      <start>0</start>
      <end>3</end>
      <status>unmodified</status>
      <modifiedWord/>
      <trackRevisions>false</trackRevisions>
    </reviewItem>
    <reviewItem>
      <errorID>14882142-6ce4-4fd3-a275-33088aebcad6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4846F12F</paraID>
      <start>0</start>
      <end>3</end>
      <status>unmodified</status>
      <modifiedWord/>
      <trackRevisions>false</trackRevisions>
    </reviewItem>
    <reviewItem>
      <errorID>6c81e692-f86e-4311-b0f2-b7daa21ed66c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51E7AA16</paraID>
      <start>0</start>
      <end>3</end>
      <status>unmodified</status>
      <modifiedWord/>
      <trackRevisions>false</trackRevisions>
    </reviewItem>
    <reviewItem>
      <errorID>42004ca8-bbab-4e92-b449-b039d39144eb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29F83538</paraID>
      <start>0</start>
      <end>3</end>
      <status>unmodified</status>
      <modifiedWord/>
      <trackRevisions>false</trackRevisions>
    </reviewItem>
    <reviewItem>
      <errorID>cf3e2754-e157-4489-b8c7-499707755423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260A4B9A</paraID>
      <start>0</start>
      <end>3</end>
      <status>unmodified</status>
      <modifiedWord/>
      <trackRevisions>false</trackRevisions>
    </reviewItem>
    <reviewItem>
      <errorID>4e10f29d-1bb0-4895-9c07-61c6dab2190b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AA011FE</paraID>
      <start>0</start>
      <end>3</end>
      <status>unmodified</status>
      <modifiedWord/>
      <trackRevisions>false</trackRevisions>
    </reviewItem>
    <reviewItem>
      <errorID>d03f84a6-2d42-4ef2-8c41-85f0a68d36c3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7E9DE873</paraID>
      <start>0</start>
      <end>3</end>
      <status>unmodified</status>
      <modifiedWord/>
      <trackRevisions>false</trackRevisions>
    </reviewItem>
    <reviewItem>
      <errorID>21e5de9f-9772-417e-a33d-1ac440e0dc9a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5EA882DE</paraID>
      <start>0</start>
      <end>3</end>
      <status>unmodified</status>
      <modifiedWord/>
      <trackRevisions>false</trackRevisions>
    </reviewItem>
    <reviewItem>
      <errorID>cd543973-cd59-441f-9b00-c8345fecd0b0</errorID>
      <errorWord>定</errorWord>
      <group>L1_Word</group>
      <groupName>字词问题</groupName>
      <ability>L2_Typo</ability>
      <abilityName>字词错误</abilityName>
      <candidateList>
        <item>定以</item>
      </candidateList>
      <explain/>
      <paraID>5EA882DE</paraID>
      <start>49</start>
      <end>50</end>
      <status>unmodified</status>
      <modifiedWord/>
      <trackRevisions>false</trackRevisions>
    </reviewItem>
    <reviewItem>
      <errorID>ad09b4da-2656-424d-9015-9b8ec1ae25b5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2F1C7F62</paraID>
      <start>0</start>
      <end>3</end>
      <status>unmodified</status>
      <modifiedWord/>
      <trackRevisions>false</trackRevisions>
    </reviewItem>
    <reviewItem>
      <errorID>9ae800c0-d280-44ae-b57c-9ed00624ee3c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63EEA653</paraID>
      <start>0</start>
      <end>3</end>
      <status>unmodified</status>
      <modifiedWord/>
      <trackRevisions>false</trackRevisions>
    </reviewItem>
    <reviewItem>
      <errorID>ab75762e-6be6-49e1-a99d-e0e354f978f4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2E33F3A2</paraID>
      <start>0</start>
      <end>3</end>
      <status>unmodified</status>
      <modifiedWord/>
      <trackRevisions>false</trackRevisions>
    </reviewItem>
    <reviewItem>
      <errorID>0500a75b-9999-41b9-a356-d801ad963a40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383133D2</paraID>
      <start>0</start>
      <end>3</end>
      <status>unmodified</status>
      <modifiedWord/>
      <trackRevisions>false</trackRevisions>
    </reviewItem>
    <reviewItem>
      <errorID>629aad66-79fa-4811-ab47-118623a9c8ce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47C375CF</paraID>
      <start>0</start>
      <end>3</end>
      <status>unmodified</status>
      <modifiedWord/>
      <trackRevisions>false</trackRevisions>
    </reviewItem>
    <reviewItem>
      <errorID>53355814-1057-45a0-8e01-50064e0ad0cf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64CFD923</paraID>
      <start>0</start>
      <end>3</end>
      <status>unmodified</status>
      <modifiedWord/>
      <trackRevisions>false</trackRevisions>
    </reviewItem>
    <reviewItem>
      <errorID>ec1dfcc3-22c0-4dc8-b312-7a29800d2c7a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26433063</paraID>
      <start>0</start>
      <end>3</end>
      <status>unmodified</status>
      <modifiedWord/>
      <trackRevisions>false</trackRevisions>
    </reviewItem>
    <reviewItem>
      <errorID>e23d99a1-ed80-452a-9a7c-fd332bb32772</errorID>
      <errorWord>》</errorWord>
      <group>L1_Word</group>
      <groupName>字词问题</groupName>
      <ability>L2_Typo</ability>
      <abilityName>字词错误</abilityName>
      <candidateList>
        <item>》等</item>
      </candidateList>
      <explain/>
      <paraID>501A2329</paraID>
      <start>83</start>
      <end>84</end>
      <status>unmodified</status>
      <modifiedWord/>
      <trackRevisions>false</trackRevisions>
    </reviewItem>
    <reviewItem>
      <errorID>d91c2125-ddcb-42c4-b24e-e95de3686382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97D446D</paraID>
      <start>0</start>
      <end>3</end>
      <status>unmodified</status>
      <modifiedWord/>
      <trackRevisions>false</trackRevisions>
    </reviewItem>
    <reviewItem>
      <errorID>7a360a6e-c13f-43cc-8417-5a940efee05b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BD744D6</paraID>
      <start>0</start>
      <end>3</end>
      <status>unmodified</status>
      <modifiedWord/>
      <trackRevisions>false</trackRevisions>
    </reviewItem>
    <reviewItem>
      <errorID>39c19af9-28c3-435e-a4a8-b5414678f0a8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52ECBF71</paraID>
      <start>0</start>
      <end>3</end>
      <status>unmodified</status>
      <modifiedWord/>
      <trackRevisions>false</trackRevisions>
    </reviewItem>
    <reviewItem>
      <errorID>0360edce-496b-46c1-9ef8-47ad817deb78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27BFCE01</paraID>
      <start>0</start>
      <end>3</end>
      <status>unmodified</status>
      <modifiedWord/>
      <trackRevisions>false</trackRevisions>
    </reviewItem>
    <reviewItem>
      <errorID>615413b5-2a2b-47c4-936c-d63ab9a480e0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428CD54C</paraID>
      <start>0</start>
      <end>3</end>
      <status>unmodified</status>
      <modifiedWord/>
      <trackRevisions>false</trackRevisions>
    </reviewItem>
    <reviewItem>
      <errorID>4ba9ef89-28ea-429e-9bd3-01ed21c64080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CE01267</paraID>
      <start>0</start>
      <end>3</end>
      <status>unmodified</status>
      <modifiedWord/>
      <trackRevisions>false</trackRevisions>
    </reviewItem>
    <reviewItem>
      <errorID>805322b7-5796-4a88-a5cb-fb1567388552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1E2153FE</paraID>
      <start>0</start>
      <end>3</end>
      <status>unmodified</status>
      <modifiedWord/>
      <trackRevisions>false</trackRevisions>
    </reviewItem>
    <reviewItem>
      <errorID>cdf33453-c19d-4c15-9b71-2e239ed517ac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3D224AB1</paraID>
      <start>0</start>
      <end>3</end>
      <status>unmodified</status>
      <modifiedWord/>
      <trackRevisions>false</trackRevisions>
    </reviewItem>
    <reviewItem>
      <errorID>7b6756a2-2e4d-4d1a-b0f4-deaea0c8d69e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2EC098EF</paraID>
      <start>0</start>
      <end>3</end>
      <status>unmodified</status>
      <modifiedWord/>
      <trackRevisions>false</trackRevisions>
    </reviewItem>
    <reviewItem>
      <errorID>1b082ca1-59e0-4dfb-8b13-34ac920b675f</errorID>
      <errorWord>提高</errorWord>
      <group>L1_Grammar</group>
      <groupName>语法问题</groupName>
      <ability>L2_Grammar</ability>
      <abilityName>语法错误</abilityName>
      <candidateList>
        <item>增强</item>
      </candidateList>
      <explain>“提高～意识”搭配不当，建议修改为“增强～意识”。</explain>
      <paraID>6EE8958D</paraID>
      <start>14</start>
      <end>16</end>
      <status>unmodified</status>
      <modifiedWord/>
      <trackRevisions>false</trackRevisions>
    </reviewItem>
    <reviewItem>
      <errorID>205c5fab-8121-4700-b142-42c744a4c886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31782FD8</paraID>
      <start>0</start>
      <end>3</end>
      <status>unmodified</status>
      <modifiedWord/>
      <trackRevisions>false</trackRevisions>
    </reviewItem>
    <reviewItem>
      <errorID>b85e3f2a-1d11-48a1-95df-4cf748603551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385A421D</paraID>
      <start>0</start>
      <end>3</end>
      <status>unmodified</status>
      <modifiedWord/>
      <trackRevisions>false</trackRevisions>
    </reviewItem>
    <reviewItem>
      <errorID>57d54b4a-8e1f-4524-8903-e7d23cde6399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3DA09781</paraID>
      <start>0</start>
      <end>3</end>
      <status>unmodified</status>
      <modifiedWord/>
      <trackRevisions>false</trackRevisions>
    </reviewItem>
    <reviewItem>
      <errorID>4b5c917d-69aa-4957-8f1e-3ca646ca998a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32E3E2C3</paraID>
      <start>0</start>
      <end>3</end>
      <status>unmodified</status>
      <modifiedWord/>
      <trackRevisions>false</trackRevisions>
    </reviewItem>
    <reviewItem>
      <errorID>f39dfb50-d751-40b3-ad97-4bd99191e5df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43E98F15</paraID>
      <start>0</start>
      <end>4</end>
      <status>unmodified</status>
      <modifiedWord/>
      <trackRevisions>false</trackRevisions>
    </reviewItem>
    <reviewItem>
      <errorID>fff32962-cdd1-4825-9aa3-65a15154d42d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2D16A005</paraID>
      <start>0</start>
      <end>4</end>
      <status>unmodified</status>
      <modifiedWord/>
      <trackRevisions>false</trackRevisions>
    </reviewItem>
    <reviewItem>
      <errorID>537b5b9a-59d2-4013-91fa-c8d45f8bbb9a</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2646923</paraID>
      <start>0</start>
      <end>4</end>
      <status>unmodified</status>
      <modifiedWord/>
      <trackRevisions>false</trackRevisions>
    </reviewItem>
    <reviewItem>
      <errorID>f8ecb815-2557-42fc-8085-baf97e5c9707</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556E2B70</paraID>
      <start>0</start>
      <end>4</end>
      <status>unmodified</status>
      <modifiedWord/>
      <trackRevisions>false</trackRevisions>
    </reviewItem>
    <reviewItem>
      <errorID>c4859ec5-c8c2-401e-810a-ee83c826b2c7</errorID>
      <errorWord>位</errorWord>
      <group>L1_Word</group>
      <groupName>字词问题</groupName>
      <ability>L2_Typo</ability>
      <abilityName>字词错误</abilityName>
      <candidateList>
        <item>位公</item>
      </candidateList>
      <explain/>
      <paraID> A9293DF</paraID>
      <start>27</start>
      <end>28</end>
      <status>unmodified</status>
      <modifiedWord/>
      <trackRevisions>false</trackRevisions>
    </reviewItem>
    <reviewItem>
      <errorID>b166b092-3805-4beb-97f5-fb930c66457a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3498C957</paraID>
      <start>0</start>
      <end>2</end>
      <status>unmodified</status>
      <modifiedWord/>
      <trackRevisions>false</trackRevisions>
    </reviewItem>
    <reviewItem>
      <errorID>c3a9ec85-0b40-49a1-9757-3f3f7b5b7bb2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1E14317C</paraID>
      <start>0</start>
      <end>2</end>
      <status>unmodified</status>
      <modifiedWord/>
      <trackRevisions>false</trackRevisions>
    </reviewItem>
    <reviewItem>
      <errorID>943fb0a1-3789-477c-8229-642899192928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75426FBE</paraID>
      <start>0</start>
      <end>2</end>
      <status>unmodified</status>
      <modifiedWord/>
      <trackRevisions>false</trackRevisions>
    </reviewItem>
    <reviewItem>
      <errorID>a7e1f52b-fabe-4d0a-b228-d44b66775864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5C4ECED8</paraID>
      <start>0</start>
      <end>2</end>
      <status>unmodified</status>
      <modifiedWord/>
      <trackRevisions>false</trackRevisions>
    </reviewItem>
    <reviewItem>
      <errorID>389f0f00-305c-4d5b-8bb7-16ed90ca8078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43CD77C6</paraID>
      <start>0</start>
      <end>2</end>
      <status>unmodified</status>
      <modifiedWord/>
      <trackRevisions>false</trackRevisions>
    </reviewItem>
    <reviewItem>
      <errorID>46cfa43e-2055-4c22-bc01-a2af0b639121</errorID>
      <errorWord>、及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58F2E13E</paraID>
      <start>5</start>
      <end>7</end>
      <status>unmodified</status>
      <modifiedWord/>
      <trackRevisions>false</trackRevisions>
    </reviewItem>
    <reviewItem>
      <errorID>a1f8a4c7-30f4-4136-b57c-ca4f7fce823d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42A92280</paraID>
      <start>0</start>
      <end>2</end>
      <status>unmodified</status>
      <modifiedWord/>
      <trackRevisions>false</trackRevisions>
    </reviewItem>
    <reviewItem>
      <errorID>1042b05e-7d40-4ba0-a9f3-515dde19da09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60C44BB0</paraID>
      <start>0</start>
      <end>3</end>
      <status>unmodified</status>
      <modifiedWord/>
      <trackRevisions>false</trackRevisions>
    </reviewItem>
    <reviewItem>
      <errorID>78660d3c-3524-45a1-99a9-b2eed8a3e4d4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66DA7CBB</paraID>
      <start>0</start>
      <end>3</end>
      <status>unmodified</status>
      <modifiedWord/>
      <trackRevisions>false</trackRevisions>
    </reviewItem>
    <reviewItem>
      <errorID>1d0fcf85-33ee-41c6-a20b-739ac5f29a93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2F23C7C5</paraID>
      <start>0</start>
      <end>3</end>
      <status>unmodified</status>
      <modifiedWord/>
      <trackRevisions>false</trackRevisions>
    </reviewItem>
    <reviewItem>
      <errorID>ee4cca42-0ba9-4b37-b422-408f2d55ccce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120FFC1E</paraID>
      <start>0</start>
      <end>3</end>
      <status>unmodified</status>
      <modifiedWord/>
      <trackRevisions>false</trackRevisions>
    </reviewItem>
    <reviewItem>
      <errorID>9b9428d6-ed2b-4690-9094-9573d9522082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683E39D2</paraID>
      <start>0</start>
      <end>3</end>
      <status>unmodified</status>
      <modifiedWord/>
      <trackRevisions>false</trackRevisions>
    </reviewItem>
    <reviewItem>
      <errorID>1365ae80-b84a-4374-be1b-7312fa4959aa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44E5F6FD</paraID>
      <start>0</start>
      <end>3</end>
      <status>unmodified</status>
      <modifiedWord/>
      <trackRevisions>false</trackRevisions>
    </reviewItem>
    <reviewItem>
      <errorID>c0d88ca4-5753-4ddc-a0ee-638405eebb0c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48AE3444</paraID>
      <start>0</start>
      <end>3</end>
      <status>unmodified</status>
      <modifiedWord/>
      <trackRevisions>false</trackRevisions>
    </reviewItem>
    <reviewItem>
      <errorID>f9eba42a-5630-4658-be8a-54bfbcac13a3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666FAAFB</paraID>
      <start>0</start>
      <end>3</end>
      <status>unmodified</status>
      <modifiedWord/>
      <trackRevisions>false</trackRevisions>
    </reviewItem>
    <reviewItem>
      <errorID>39211006-86db-4952-b3da-d1387307f780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27BA2A50</paraID>
      <start>0</start>
      <end>3</end>
      <status>unmodified</status>
      <modifiedWord/>
      <trackRevisions>false</trackRevisions>
    </reviewItem>
    <reviewItem>
      <errorID>c5117929-b810-4e0d-9943-bec8ee8e52d4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6991951B</paraID>
      <start>0</start>
      <end>3</end>
      <status>unmodified</status>
      <modifiedWord/>
      <trackRevisions>false</trackRevisions>
    </reviewItem>
    <reviewItem>
      <errorID>82525c4d-1608-4dea-8019-5601cd6ae675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6CCDDFA3</paraID>
      <start>0</start>
      <end>3</end>
      <status>unmodified</status>
      <modifiedWord/>
      <trackRevisions>false</trackRevisions>
    </reviewItem>
    <reviewItem>
      <errorID>f51fa241-2128-42f8-bf2d-873ac05a7549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67A2C4CF</paraID>
      <start>0</start>
      <end>3</end>
      <status>unmodified</status>
      <modifiedWord/>
      <trackRevisions>false</trackRevisions>
    </reviewItem>
    <reviewItem>
      <errorID>03b24aca-0d0e-4951-8ae6-51fd4f1d3589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276C6E49</paraID>
      <start>0</start>
      <end>3</end>
      <status>unmodified</status>
      <modifiedWord/>
      <trackRevisions>false</trackRevisions>
    </reviewItem>
    <reviewItem>
      <errorID>b482ecbd-2463-4cc4-85d0-ebd70aa48d95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C7A986B</paraID>
      <start>0</start>
      <end>3</end>
      <status>unmodified</status>
      <modifiedWord/>
      <trackRevisions>false</trackRevisions>
    </reviewItem>
    <reviewItem>
      <errorID>914010e2-05be-4895-ae40-25fa153e9f5e</errorID>
      <errorWord>缴纳</errorWord>
      <group>L1_Word</group>
      <groupName>字词问题</groupName>
      <ability>L2_Typo</ability>
      <abilityName>字词错误</abilityName>
      <candidateList>
        <item>交纳</item>
      </candidateList>
      <explain/>
      <paraID> C7A986B</paraID>
      <start>9</start>
      <end>11</end>
      <status>unmodified</status>
      <modifiedWord/>
      <trackRevisions>false</trackRevisions>
    </reviewItem>
    <reviewItem>
      <errorID>63fdd32b-b7c1-435a-bf7f-cf871ab2cdd2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425A2361</paraID>
      <start>0</start>
      <end>3</end>
      <status>unmodified</status>
      <modifiedWord/>
      <trackRevisions>false</trackRevisions>
    </reviewItem>
    <reviewItem>
      <errorID>75dedd8f-06aa-4e85-a88a-bdaafdc87a80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3519C1DD</paraID>
      <start>0</start>
      <end>3</end>
      <status>unmodified</status>
      <modifiedWord/>
      <trackRevisions>false</trackRevisions>
    </reviewItem>
    <reviewItem>
      <errorID>a5efc3e6-ae4b-47e3-8d41-14061a57c766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A92D549</paraID>
      <start>0</start>
      <end>3</end>
      <status>unmodified</status>
      <modifiedWord/>
      <trackRevisions>false</trackRevisions>
    </reviewItem>
    <reviewItem>
      <errorID>84c6e3e4-8007-4b99-84c8-ae8930443b56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A987A3B</paraID>
      <start>0</start>
      <end>3</end>
      <status>unmodified</status>
      <modifiedWord/>
      <trackRevisions>false</trackRevisions>
    </reviewItem>
    <reviewItem>
      <errorID>397e68ca-4a51-43a6-8ada-99a31ca7d910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A6A74E5</paraID>
      <start>0</start>
      <end>3</end>
      <status>unmodified</status>
      <modifiedWord/>
      <trackRevisions>false</trackRevisions>
    </reviewItem>
    <reviewItem>
      <errorID>343b7012-0b07-4a20-a57a-498adcdbe630</errorID>
      <errorWord>人</errorWord>
      <group>L1_Word</group>
      <groupName>字词问题</groupName>
      <ability>L2_Typo</ability>
      <abilityName>字词错误</abilityName>
      <candidateList>
        <item>人员</item>
      </candidateList>
      <explain>〈名〉担任某种职务的人：机关工作～｜值班～｜～配备。</explain>
      <paraID>39B1DA1A</paraID>
      <start>5</start>
      <end>6</end>
      <status>unmodified</status>
      <modifiedWord/>
      <trackRevisions>false</trackRevisions>
    </reviewItem>
    <reviewItem>
      <errorID>5ce0a51a-79e0-42a8-b24d-2c5ea4cc500b</errorID>
      <errorWord>万</errorWord>
      <group>L1_Word</group>
      <groupName>字词问题</groupName>
      <ability>L2_Typo</ability>
      <abilityName>字词错误</abilityName>
      <candidateList>
        <item>万元</item>
      </candidateList>
      <explain/>
      <paraID> B3CB390</paraID>
      <start>94</start>
      <end>95</end>
      <status>unmodified</status>
      <modifiedWord/>
      <trackRevisions>false</trackRevisions>
    </reviewItem>
    <reviewItem>
      <errorID>1678c120-e69b-4da4-b16b-2ce63464db9e</errorID>
      <errorWord>II</errorWord>
      <group>L1_Knowledge</group>
      <groupName>知识性问题</groupName>
      <ability>L2_Knowledge</ability>
      <abilityName>其他知识</abilityName>
      <candidateList>
        <item>Ⅱ</item>
      </candidateList>
      <explain/>
      <paraID>3077A3DD</paraID>
      <start>9</start>
      <end>11</end>
      <status>unmodified</status>
      <modifiedWord/>
      <trackRevisions>false</trackRevisions>
    </reviewItem>
    <reviewItem>
      <errorID>0c6a319f-b776-498f-a9df-767388d37bf1</errorID>
      <errorWord>II</errorWord>
      <group>L1_Knowledge</group>
      <groupName>知识性问题</groupName>
      <ability>L2_Knowledge</ability>
      <abilityName>其他知识</abilityName>
      <candidateList>
        <item>Ⅱ</item>
      </candidateList>
      <explain/>
      <paraID>461C8D9A</paraID>
      <start>13</start>
      <end>15</end>
      <status>unmodified</status>
      <modifiedWord/>
      <trackRevisions>false</trackRevisions>
    </reviewItem>
    <reviewItem>
      <errorID>aa47c557-6101-4a47-b0bc-855172cbfd5f</errorID>
      <errorWord>厚</errorWord>
      <group>L1_Word</group>
      <groupName>字词问题</groupName>
      <ability>L2_Typo</ability>
      <abilityName>字词错误</abilityName>
      <candidateList>
        <item>厚度</item>
      </candidateList>
      <explain/>
      <paraID> AB2A115</paraID>
      <start>35</start>
      <end>36</end>
      <status>unmodified</status>
      <modifiedWord/>
      <trackRevisions>false</trackRevisions>
    </reviewItem>
    <reviewItem>
      <errorID>e32c00c9-579e-45dd-9328-3e795b74e81a</errorID>
      <errorWord>作</errorWord>
      <group>L1_Word</group>
      <groupName>字词问题</groupName>
      <ability>L2_Typo</ability>
      <abilityName>字词错误</abilityName>
      <candidateList>
        <item>做</item>
      </candidateList>
      <explain>存在发音相同字词的误用。</explain>
      <paraID>3DBE1DE4</paraID>
      <start>8</start>
      <end>9</end>
      <status>unmodified</status>
      <modifiedWord/>
      <trackRevisions>false</trackRevisions>
    </reviewItem>
    <reviewItem>
      <errorID>91616d31-36e2-4746-bbe4-1791217ed05e</errorID>
      <errorWord>粉喷</errorWord>
      <group>L1_Word</group>
      <groupName>字词问题</groupName>
      <ability>L2_Typo</ability>
      <abilityName>字词错误</abilityName>
      <candidateList>
        <item>喷粉</item>
      </candidateList>
      <explain/>
      <paraID> 932B0AD</paraID>
      <start>0</start>
      <end>2</end>
      <status>unmodified</status>
      <modifiedWord/>
      <trackRevisions>false</trackRevisions>
    </reviewItem>
    <reviewItem>
      <errorID>b8a2673e-e6fa-498d-a6a8-85010e110ec8</errorID>
      <errorWord>砂袋</errorWord>
      <group>L1_Word</group>
      <groupName>字词问题</groupName>
      <ability>L2_Variant</ability>
      <abilityName>异形词</abilityName>
      <candidateList>
        <item>沙袋</item>
      </candidateList>
      <explain>词汇[砂袋]的规范词形写作[沙袋]。</explain>
      <paraID>6F7C6158</paraID>
      <start>8</start>
      <end>10</end>
      <status>unmodified</status>
      <modifiedWord/>
      <trackRevisions>false</trackRevisions>
    </reviewItem>
    <reviewItem>
      <errorID>3cddf3e0-7992-4990-94d8-42bc73a8f62f</errorID>
      <errorWord>砂袋</errorWord>
      <group>L1_Word</group>
      <groupName>字词问题</groupName>
      <ability>L2_Variant</ability>
      <abilityName>异形词</abilityName>
      <candidateList>
        <item>沙袋</item>
      </candidateList>
      <explain>词汇[砂袋]的规范词形写作[沙袋]。</explain>
      <paraID> 599F4F9</paraID>
      <start>5</start>
      <end>7</end>
      <status>unmodified</status>
      <modifiedWord/>
      <trackRevisions>false</trackRevisions>
    </reviewItem>
    <reviewItem>
      <errorID>2c5b3a22-01e5-4d3c-b1ea-c32621f78631</errorID>
      <errorWord>捧</errorWord>
      <group>L1_Word</group>
      <groupName>字词问题</groupName>
      <ability>L2_Typo</ability>
      <abilityName>字词错误</abilityName>
      <candidateList>
        <item>棒</item>
      </candidateList>
      <explain>存在字形相近字词的误用。</explain>
      <paraID>40F02D0D</paraID>
      <start>21</start>
      <end>22</end>
      <status>unmodified</status>
      <modifiedWord/>
      <trackRevisions>false</trackRevisions>
    </reviewItem>
    <reviewItem>
      <errorID>f9ee5c05-c7fb-4693-93b2-8792fe21aebe</errorID>
      <errorWord>符</errorWord>
      <group>L1_Word</group>
      <groupName>字词问题</groupName>
      <ability>L2_Typo</ability>
      <abilityName>字词错误</abilityName>
      <candidateList>
        <item>符合</item>
      </candidateList>
      <explain>〈动〉（数量、形状、情节等）相合：～事实｜这些产品不～质量标准。</explain>
      <paraID>26BB2666</paraID>
      <start>14</start>
      <end>15</end>
      <status>unmodified</status>
      <modifiedWord/>
      <trackRevisions>false</trackRevisions>
    </reviewItem>
    <reviewItem>
      <errorID>59e478a0-2ee5-4330-96d9-e1b1277898ea</errorID>
      <errorWord>制</errorWord>
      <group>L1_Word</group>
      <groupName>字词问题</groupName>
      <ability>L2_Typo</ability>
      <abilityName>字词错误</abilityName>
      <candidateList>
        <item>制作</item>
      </candidateList>
      <explain>〈动〉制造：～家具。</explain>
      <paraID>76D3E2B6</paraID>
      <start>23</start>
      <end>24</end>
      <status>unmodified</status>
      <modifiedWord/>
      <trackRevisions>false</trackRevisions>
    </reviewItem>
    <reviewItem>
      <errorID>c747b26a-71f5-4ca2-9aca-af5eac0221cb</errorID>
      <errorWord>者</errorWord>
      <group>L1_Word</group>
      <groupName>字词问题</groupName>
      <ability>L2_Typo</ability>
      <abilityName>字词错误</abilityName>
      <candidateList>
        <item>则</item>
      </candidateList>
      <explain>存在发音相近字词的误用。</explain>
      <paraID>6860C981</paraID>
      <start>37</start>
      <end>38</end>
      <status>unmodified</status>
      <modifiedWord/>
      <trackRevisions>false</trackRevisions>
    </reviewItem>
    <reviewItem>
      <errorID>acc224e8-369c-44bb-b546-be40c0d57fee</errorID>
      <errorWord>有效措</errorWord>
      <group>L1_Word</group>
      <groupName>字词问题</groupName>
      <ability>L2_Typo</ability>
      <abilityName>字词错误</abilityName>
      <candidateList>
        <item>有效措施</item>
      </candidateList>
      <explain/>
      <paraID>15665EE0</paraID>
      <start>32</start>
      <end>35</end>
      <status>unmodified</status>
      <modifiedWord/>
      <trackRevisions>false</trackRevisions>
    </reviewItem>
    <reviewItem>
      <errorID>3c1bf013-c7c4-4ebf-a2ba-a8680ca1969a</errorID>
      <errorWord>施</errorWord>
      <group>L1_Word</group>
      <groupName>字词问题</groupName>
      <ability>L2_Typo</ability>
      <abilityName>字词错误</abilityName>
      <candidateList>
        <item>未</item>
      </candidateList>
      <explain>〈副〉❶没（跟“已”相对）：尚～成年｜健康仍～恢复。❷不：～便｜～敢苟同｜～可厚非。</explain>
      <paraID> CD0178E</paraID>
      <start>0</start>
      <end>1</end>
      <status>unmodified</status>
      <modifiedWord/>
      <trackRevisions>false</trackRevisions>
    </reviewItem>
    <reviewItem>
      <errorID>1360f63c-d8c9-4d31-b8f8-49b8fda62a4b</errorID>
      <errorWord>蓬布</errorWord>
      <group>L1_Word</group>
      <groupName>字词问题</groupName>
      <ability>L2_Typo</ability>
      <abilityName>字词错误</abilityName>
      <candidateList>
        <item>篷布</item>
      </candidateList>
      <explain/>
      <paraID>6CE11BAB</paraID>
      <start>8</start>
      <end>10</end>
      <status>unmodified</status>
      <modifiedWord/>
      <trackRevisions>false</trackRevisions>
    </reviewItem>
    <reviewItem>
      <errorID>6d1c6bac-93e2-455e-963c-99a307d6d666</errorID>
      <errorWord>零乱</errorWord>
      <group>L1_Word</group>
      <groupName>字词问题</groupName>
      <ability>L2_Typo</ability>
      <abilityName>字词错误</abilityName>
      <candidateList>
        <item>凌乱</item>
      </candidateList>
      <explain>〈形〉不整齐；没有秩序：～不堪｜楼上传来～的脚步声。也作零乱。</explain>
      <paraID>4584EDDC</paraID>
      <start>18</start>
      <end>20</end>
      <status>unmodified</status>
      <modifiedWord/>
      <trackRevisions>false</trackRevisions>
    </reviewItem>
    <reviewItem>
      <errorID>2a18d55a-9324-48cf-bcd5-032e849089e4</errorID>
      <errorWord>者</errorWord>
      <group>L1_Word</group>
      <groupName>字词问题</groupName>
      <ability>L2_Typo</ability>
      <abilityName>字词错误</abilityName>
      <candidateList>
        <item>则</item>
      </candidateList>
      <explain>存在发音相近字词的误用。</explain>
      <paraID>634FDC8F</paraID>
      <start>39</start>
      <end>40</end>
      <status>unmodified</status>
      <modifiedWord/>
      <trackRevisions>false</trackRevisions>
    </reviewItem>
    <reviewItem>
      <errorID>2ce63198-aaa9-4a48-b67b-bf23edd459bc</errorID>
      <errorWord>佩带工作证</errorWord>
      <group>L1_Word</group>
      <groupName>字词问题</groupName>
      <ability>L2_Alias</ability>
      <abilityName>也作/曾用词</abilityName>
      <candidateList>
        <item>佩戴工作证</item>
      </candidateList>
      <explain>词汇[佩带工作证]为不规范表述或旧称，其规范书面表述为[佩戴工作证]。</explain>
      <paraID>7F66ED21</paraID>
      <start>9</start>
      <end>14</end>
      <status>unmodified</status>
      <modifiedWord/>
      <trackRevisions>false</trackRevisions>
    </reviewItem>
    <reviewItem>
      <errorID>f4f897b5-95bb-4e36-8f6a-0a3e0214ce32</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2BE0D116</paraID>
      <start>25</start>
      <end>27</end>
      <status>unmodified</status>
      <modifiedWord/>
      <trackRevisions>false</trackRevisions>
    </reviewItem>
    <reviewItem>
      <errorID>0abc725e-5d59-4f76-a0c1-8c6293a48e12</errorID>
      <errorWord>管理台帐</errorWord>
      <group>L1_Word</group>
      <groupName>字词问题</groupName>
      <ability>L2_Alias</ability>
      <abilityName>也作/曾用词</abilityName>
      <candidateList>
        <item>管理台账</item>
      </candidateList>
      <explain>词汇[管理台帐]为不规范表述或旧称，其规范书面表述为[管理台账]。</explain>
      <paraID>74E7CCA1</paraID>
      <start>7</start>
      <end>11</end>
      <status>unmodified</status>
      <modifiedWord/>
      <trackRevisions>false</trackRevisions>
    </reviewItem>
    <reviewItem>
      <errorID>4da295ff-3079-4d7c-9251-17e346b5fe05</errorID>
      <errorWord>者</errorWord>
      <group>L1_Word</group>
      <groupName>字词问题</groupName>
      <ability>L2_Typo</ability>
      <abilityName>字词错误</abilityName>
      <candidateList>
        <item>则</item>
      </candidateList>
      <explain>存在发音相近字词的误用。</explain>
      <paraID>4587A1F4</paraID>
      <start>38</start>
      <end>39</end>
      <status>unmodified</status>
      <modifiedWord/>
      <trackRevisions>false</trackRevisions>
    </reviewItem>
    <reviewItem>
      <errorID>08c26f02-0be0-4c62-934d-0825a65d68f7</errorID>
      <errorWord>试验台帐</errorWord>
      <group>L1_Word</group>
      <groupName>字词问题</groupName>
      <ability>L2_Alias</ability>
      <abilityName>也作/曾用词</abilityName>
      <candidateList>
        <item>试验台账</item>
      </candidateList>
      <explain>词汇[试验台帐]为不规范表述或旧称，其规范书面表述为[试验台账]。</explain>
      <paraID>19896C50</paraID>
      <start>11</start>
      <end>15</end>
      <status>unmodified</status>
      <modifiedWord/>
      <trackRevisions>false</trackRevisions>
    </reviewItem>
    <reviewItem>
      <errorID>938e88d5-60b0-47e3-b133-939bca609c68</errorID>
      <errorWord>树立</errorWord>
      <group>L1_Word</group>
      <groupName>字词问题</groupName>
      <ability>L2_Typo</ability>
      <abilityName>字词错误</abilityName>
      <candidateList>
        <item>竖立</item>
      </candidateList>
      <explain>〈动〉物体垂直，一端向上，一端接触地面或埋在地里：门前～一根旗杆。</explain>
      <paraID> DF3DF54</paraID>
      <start>10</start>
      <end>12</end>
      <status>unmodified</status>
      <modifiedWord/>
      <trackRevisions>false</trackRevisions>
    </reviewItem>
    <reviewItem>
      <errorID>bcb01d6d-5645-4e3d-8bf8-0f789d9b4ca6</errorID>
      <errorWord>得</errorWord>
      <group>L1_Word</group>
      <groupName>字词问题</groupName>
      <ability>L2_DDD</ability>
      <abilityName>的地得用法</abilityName>
      <candidateList>
        <item>的</item>
      </candidateList>
      <explain>“的”常用于连接修饰语与名词性中心语，表示属性、所属或描述。</explain>
      <paraID> DF3DF54</paraID>
      <start>16</start>
      <end>17</end>
      <status>unmodified</status>
      <modifiedWord/>
      <trackRevisions>false</trackRevisions>
    </reviewItem>
    <reviewItem>
      <errorID>c8945477-4c50-4873-9b82-9de4807c5e13</errorID>
      <errorWord>》</errorWord>
      <group>L1_Word</group>
      <groupName>字词问题</groupName>
      <ability>L2_Typo</ability>
      <abilityName>字词错误</abilityName>
      <candidateList>
        <item>》等</item>
      </candidateList>
      <explain/>
      <paraID>6E3AF288</paraID>
      <start>48</start>
      <end>49</end>
      <status>unmodified</status>
      <modifiedWord/>
      <trackRevisions>false</trackRevisions>
    </reviewItem>
    <reviewItem>
      <errorID>b40faba8-e7f7-4d65-9081-0e57bfd1d0c3</errorID>
      <errorWord>法律、法规</errorWord>
      <group>L1_Word</group>
      <groupName>字词问题</groupName>
      <ability>L2_Typo</ability>
      <abilityName>字词错误</abilityName>
      <candidateList>
        <item>法律法规</item>
      </candidateList>
      <explain/>
      <paraID>52944F49</paraID>
      <start>309</start>
      <end>314</end>
      <status>unmodified</status>
      <modifiedWord/>
      <trackRevisions>false</trackRevisions>
    </reviewItem>
    <reviewItem>
      <errorID>9f8f8760-e15e-48e7-a764-7a92793b5818</errorID>
      <errorWord>法律、法规</errorWord>
      <group>L1_Word</group>
      <groupName>字词问题</groupName>
      <ability>L2_Typo</ability>
      <abilityName>字词错误</abilityName>
      <candidateList>
        <item>法律法规</item>
      </candidateList>
      <explain/>
      <paraID>2DD38288</paraID>
      <start>126</start>
      <end>131</end>
      <status>unmodified</status>
      <modifiedWord/>
      <trackRevisions>false</trackRevisions>
    </reviewItem>
    <reviewItem>
      <errorID>87477493-c6d3-4e11-b4e4-c743c319e677</errorID>
      <errorWord>的</errorWord>
      <group>L1_Word</group>
      <groupName>字词问题</groupName>
      <ability>L2_Typo</ability>
      <abilityName>字词错误</abilityName>
      <candidateList>
        <item>的农</item>
      </candidateList>
      <explain/>
      <paraID>2DD38288</paraID>
      <start>141</start>
      <end>142</end>
      <status>unmodified</status>
      <modifiedWord/>
      <trackRevisions>false</trackRevisions>
    </reviewItem>
    <reviewItem>
      <errorID>b84d5713-0365-468d-8b7c-9790eb65c343</errorID>
      <errorWord>的</errorWord>
      <group>L1_Word</group>
      <groupName>字词问题</groupName>
      <ability>L2_Typo</ability>
      <abilityName>字词错误</abilityName>
      <candidateList>
        <item>的农</item>
      </candidateList>
      <explain/>
      <paraID>7D2D1E8E</paraID>
      <start>51</start>
      <end>52</end>
      <status>unmodified</status>
      <modifiedWord/>
      <trackRevisions>false</trackRevisions>
    </reviewItem>
    <reviewItem>
      <errorID>74db7e55-6aa7-4e8d-a8b6-c85e54903b3a</errorID>
      <errorWord>学习教育活动</errorWord>
      <group>L1_Political</group>
      <groupName>政治性问题</groupName>
      <ability>L2_Unpolitical</ability>
      <abilityName>政治敏感错误</abilityName>
      <candidateList>
        <item>学习教育</item>
      </candidateList>
      <explain/>
      <paraID>6A33C6AE</paraID>
      <start>16</start>
      <end>22</end>
      <status>unmodified</status>
      <modifiedWord/>
      <trackRevisions>false</trackRevisions>
    </reviewItem>
    <reviewItem>
      <errorID>6686d65d-5569-4ddd-beb8-91bb3ae412bb</errorID>
      <errorWord>，</errorWord>
      <group>L1_Word</group>
      <groupName>字词问题</groupName>
      <ability>L2_Typo</ability>
      <abilityName>字词错误</abilityName>
      <candidateList>
        <item>，并</item>
      </candidateList>
      <explain/>
      <paraID>24D3C220</paraID>
      <start>37</start>
      <end>38</end>
      <status>unmodified</status>
      <modifiedWord/>
      <trackRevisions>false</trackRevisions>
    </reviewItem>
    <reviewItem>
      <errorID>12eb8c55-f5e3-4ad1-9c7e-92b58145ac8c</errorID>
      <errorWord>存在有</errorWord>
      <group>L1_Word</group>
      <groupName>字词问题</groupName>
      <ability>L2_Typo</ability>
      <abilityName>字词错误</abilityName>
      <candidateList>
        <item>存在</item>
      </candidateList>
      <explain/>
      <paraID>513C0FD7</paraID>
      <start>51</start>
      <end>54</end>
      <status>unmodified</status>
      <modifiedWord/>
      <trackRevisions>false</trackRevisions>
    </reviewItem>
    <reviewItem>
      <errorID>c7a37e6f-e51e-42ee-8cd1-5487de759cd9</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4B1CE370</paraID>
      <start>159</start>
      <end>161</end>
      <status>unmodified</status>
      <modifiedWord/>
      <trackRevisions>false</trackRevisions>
    </reviewItem>
    <reviewItem>
      <errorID>ef549289-d3d9-45ce-9174-bc5125a5b6a5</errorID>
      <errorWord>台帐</errorWord>
      <group>L1_Word</group>
      <groupName>字词问题</groupName>
      <ability>L2_Typo</ability>
      <abilityName>字词错误</abilityName>
      <candidateList>
        <item>台账</item>
      </candidateList>
      <explain>存在发音相同字词的误用。</explain>
      <paraID>55F6D150</paraID>
      <start>13</start>
      <end>15</end>
      <status>unmodified</status>
      <modifiedWord/>
      <trackRevisions>false</trackRevisions>
    </reviewItem>
    <reviewItem>
      <errorID>5296331a-3a48-4f11-9013-b7de8df325ac</errorID>
      <errorWord>台帐</errorWord>
      <group>L1_Word</group>
      <groupName>字词问题</groupName>
      <ability>L2_Typo</ability>
      <abilityName>字词错误</abilityName>
      <candidateList>
        <item>台账</item>
      </candidateList>
      <explain/>
      <paraID>55F6D150</paraID>
      <start>66</start>
      <end>68</end>
      <status>unmodified</status>
      <modifiedWord/>
      <trackRevisions>false</trackRevisions>
    </reviewItem>
    <reviewItem>
      <errorID>578ebfa9-f482-4ddf-b181-c899e8e20725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6A8B30B2</paraID>
      <start>0</start>
      <end>3</end>
      <status>unmodified</status>
      <modifiedWord/>
      <trackRevisions>false</trackRevisions>
    </reviewItem>
    <reviewItem>
      <errorID>257be6ea-6618-4559-8b44-f59c0d844acf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4D43B388</paraID>
      <start>0</start>
      <end>3</end>
      <status>unmodified</status>
      <modifiedWord/>
      <trackRevisions>false</trackRevisions>
    </reviewItem>
    <reviewItem>
      <errorID>5d962787-5d67-4e3e-a16e-d7cd9900164b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4C015247</paraID>
      <start>0</start>
      <end>3</end>
      <status>unmodified</status>
      <modifiedWord/>
      <trackRevisions>false</trackRevisions>
    </reviewItem>
    <reviewItem>
      <errorID>dc71ffb5-0d3b-498a-988a-95b2e1d83292</errorID>
      <errorWord>签定</errorWord>
      <group>L1_Word</group>
      <groupName>字词问题</groupName>
      <ability>L2_Typo</ability>
      <abilityName>字词错误</abilityName>
      <candidateList>
        <item>签订</item>
      </candidateList>
      <explain>存在发音相同字词的误用。</explain>
      <paraID>3C5189F3</paraID>
      <start>79</start>
      <end>81</end>
      <status>unmodified</status>
      <modifiedWord/>
      <trackRevisions>false</trackRevisions>
    </reviewItem>
    <reviewItem>
      <errorID>bb6f2c4f-d917-4849-b30e-5ca6b609fe9b</errorID>
      <errorWord>法律、法规</errorWord>
      <group>L1_Word</group>
      <groupName>字词问题</groupName>
      <ability>L2_Typo</ability>
      <abilityName>字词错误</abilityName>
      <candidateList>
        <item>法律法规</item>
      </candidateList>
      <explain/>
      <paraID>61804E7A</paraID>
      <start>15</start>
      <end>20</end>
      <status>unmodified</status>
      <modifiedWord/>
      <trackRevisions>false</trackRevisions>
    </reviewItem>
    <reviewItem>
      <errorID>863a1d8d-41d0-401e-85b7-bf1b0eea5aba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5D196080</paraID>
      <start>0</start>
      <end>2</end>
      <status>unmodified</status>
      <modifiedWord/>
      <trackRevisions>false</trackRevisions>
    </reviewItem>
    <reviewItem>
      <errorID>d3677fe7-51cd-4725-b17b-105474937ff1</errorID>
      <errorWord>（</errorWord>
      <group>L1_Word</group>
      <groupName>字词问题</groupName>
      <ability>L2_Typo</ability>
      <abilityName>字词错误</abilityName>
      <candidateList>
        <item>（以</item>
      </candidateList>
      <explain/>
      <paraID>5D196080</paraID>
      <start>34</start>
      <end>35</end>
      <status>unmodified</status>
      <modifiedWord/>
      <trackRevisions>false</trackRevisions>
    </reviewItem>
    <reviewItem>
      <errorID>3abb717c-0b06-4de3-a479-1b9140da41ed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62C81572</paraID>
      <start>0</start>
      <end>2</end>
      <status>unmodified</status>
      <modifiedWord/>
      <trackRevisions>false</trackRevisions>
    </reviewItem>
    <reviewItem>
      <errorID>b86fb845-49b3-4416-98cc-fd2bcbb5749c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1C735F00</paraID>
      <start>0</start>
      <end>2</end>
      <status>unmodified</status>
      <modifiedWord/>
      <trackRevisions>false</trackRevisions>
    </reviewItem>
    <reviewItem>
      <errorID>835ad3ab-8a0e-47ee-b5f1-617204061262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631418D5</paraID>
      <start>0</start>
      <end>2</end>
      <status>unmodified</status>
      <modifiedWord/>
      <trackRevisions>false</trackRevisions>
    </reviewItem>
    <reviewItem>
      <errorID>adc6316e-02e6-4712-88f8-116b2df9c018</errorID>
      <errorWord>第一条的</errorWord>
      <group>L1_Word</group>
      <groupName>字词问题</groupName>
      <ability>L2_Typo</ability>
      <abilityName>字词错误</abilityName>
      <candidateList>
        <item>第一条</item>
      </candidateList>
      <explain/>
      <paraID> D2925CF</paraID>
      <start>12</start>
      <end>16</end>
      <status>unmodified</status>
      <modifiedWord/>
      <trackRevisions>false</trackRevisions>
    </reviewItem>
    <reviewItem>
      <errorID>5090e971-d361-4d4a-8fea-aca4eba13fcc</errorID>
      <errorWord>第一条的</errorWord>
      <group>L1_Word</group>
      <groupName>字词问题</groupName>
      <ability>L2_Typo</ability>
      <abilityName>字词错误</abilityName>
      <candidateList>
        <item>第一条</item>
      </candidateList>
      <explain/>
      <paraID>185F5678</paraID>
      <start>12</start>
      <end>16</end>
      <status>unmodified</status>
      <modifiedWord/>
      <trackRevisions>false</trackRevisions>
    </reviewItem>
    <reviewItem>
      <errorID>35180030-663f-418b-9d52-a576ba985f82</errorID>
      <errorWord>施工施工</errorWord>
      <group>L1_Word</group>
      <groupName>字词问题</groupName>
      <ability>L2_Typo</ability>
      <abilityName>字词错误</abilityName>
      <candidateList>
        <item>施工</item>
      </candidateList>
      <explain>〈动〉按照设计的规格和要求建筑房屋、桥梁、道路、水利工程等。</explain>
      <paraID>4A6E65FD</paraID>
      <start>127</start>
      <end>131</end>
      <status>unmodified</status>
      <modifiedWord/>
      <trackRevisions>false</trackRevisions>
    </reviewItem>
    <reviewItem>
      <errorID>c7aa071c-6c17-4a5a-b558-bbf280a73815</errorID>
      <errorWord>位</errorWord>
      <group>L1_Word</group>
      <groupName>字词问题</groupName>
      <ability>L2_Typo</ability>
      <abilityName>字词错误</abilityName>
      <candidateList>
        <item>位公</item>
      </candidateList>
      <explain/>
      <paraID> 14A7596</paraID>
      <start>25</start>
      <end>26</end>
      <status>unmodified</status>
      <modifiedWord/>
      <trackRevisions>false</trackRevisions>
    </reviewItem>
    <reviewItem>
      <errorID>7353c7c4-743b-4623-9454-6e9815928825</errorID>
      <errorWord>......</errorWord>
      <group>L1_Punc</group>
      <groupName>标点问题</groupName>
      <ability>L2_Punc</ability>
      <abilityName>标点符号检查</abilityName>
      <candidateList>
        <item>……</item>
      </candidateList>
      <explain/>
      <paraID> 9F8ADFF</paraID>
      <start>0</start>
      <end>6</end>
      <status>unmodified</status>
      <modifiedWord/>
      <trackRevisions>false</trackRevisions>
    </reviewItem>
    <reviewItem>
      <errorID>4ff57e19-b5f4-4a97-a8f6-bf90ef14b264</errorID>
      <errorWord>（</errorWord>
      <group>L1_Punc</group>
      <groupName>标点问题</groupName>
      <ability>L2_Punc</ability>
      <abilityName>标点符号检查</abilityName>
      <candidateList/>
      <explain>同一形式括号套用。</explain>
      <paraID>5F8AD748</paraID>
      <start>23</start>
      <end>24</end>
      <status>unmodified</status>
      <modifiedWord/>
      <trackRevisions>false</trackRevisions>
    </reviewItem>
    <reviewItem>
      <errorID>bd6ef065-5db3-4c85-9386-df96ba75fb0f</errorID>
      <errorWord>）</errorWord>
      <group>L1_Punc</group>
      <groupName>标点问题</groupName>
      <ability>L2_Punc</ability>
      <abilityName>标点符号检查</abilityName>
      <candidateList/>
      <explain>同一形式括号套用。</explain>
      <paraID>5F8AD748</paraID>
      <start>25</start>
      <end>26</end>
      <status>unmodified</status>
      <modifiedWord/>
      <trackRevisions>false</trackRevisions>
    </reviewItem>
    <reviewItem>
      <errorID>a948ba5b-ce76-4fd7-8b81-b196454aa205</errorID>
      <errorWord>》</errorWord>
      <group>L1_Word</group>
      <groupName>字词问题</groupName>
      <ability>L2_Typo</ability>
      <abilityName>字词错误</abilityName>
      <candidateList>
        <item>》等</item>
      </candidateList>
      <explain/>
      <paraID>46A8D23D</paraID>
      <start>87</start>
      <end>88</end>
      <status>unmodified</status>
      <modifiedWord/>
      <trackRevisions>false</trackRevisions>
    </reviewItem>
    <reviewItem>
      <errorID>08f9192c-138e-4ad5-80eb-7104111ff018</errorID>
      <errorWord>精炼</errorWord>
      <group>L1_Word</group>
      <groupName>字词问题</groupName>
      <ability>L2_Typo</ability>
      <abilityName>字词错误</abilityName>
      <candidateList>
        <item>精练</item>
      </candidateList>
      <explain/>
      <paraID>46A8D23D</paraID>
      <start>129</start>
      <end>131</end>
      <status>unmodified</status>
      <modifiedWord/>
      <trackRevisions>false</trackRevisions>
    </reviewItem>
    <reviewItem>
      <errorID>d2f64747-58c4-4302-99c0-4ab8a89870fd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3063ACFB</paraID>
      <start>0</start>
      <end>2</end>
      <status>unmodified</status>
      <modifiedWord/>
      <trackRevisions>false</trackRevisions>
    </reviewItem>
    <reviewItem>
      <errorID>34e1b038-5eb0-4085-bcc1-9e1ec86f6a1f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4557761B</paraID>
      <start>0</start>
      <end>2</end>
      <status>unmodified</status>
      <modifiedWord/>
      <trackRevisions>false</trackRevisions>
    </reviewItem>
    <reviewItem>
      <errorID>66d9c841-759a-4e4c-8465-ba7b2144a1f3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7FBB6ECC</paraID>
      <start>0</start>
      <end>2</end>
      <status>unmodified</status>
      <modifiedWord/>
      <trackRevisions>false</trackRevisions>
    </reviewItem>
    <reviewItem>
      <errorID>90918af7-b1fd-4873-81b7-89f10473d768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4892DF1</paraID>
      <start>0</start>
      <end>2</end>
      <status>unmodified</status>
      <modifiedWord/>
      <trackRevisions>false</trackRevisions>
    </reviewItem>
    <reviewItem>
      <errorID>523bda06-e35d-4cf4-9895-34a575942cd9</errorID>
      <errorWord>防止</errorWord>
      <group>L1_Word</group>
      <groupName>字词问题</groupName>
      <ability>L2_Typo</ability>
      <abilityName>字词错误</abilityName>
      <candidateList>
        <item>防治</item>
      </candidateList>
      <explain>〈动〉预防和治疗、治理（疾病、灾害等）：～结核病｜～病虫害｜～风沙。</explain>
      <paraID>40F0C5CF</paraID>
      <start>64</start>
      <end>66</end>
      <status>unmodified</status>
      <modifiedWord/>
      <trackRevisions>false</trackRevisions>
    </reviewItem>
    <reviewItem>
      <errorID>f6b462fc-17c8-4b2e-aa4e-aa2c436f1ba2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7365A954</paraID>
      <start>0</start>
      <end>2</end>
      <status>unmodified</status>
      <modifiedWord/>
      <trackRevisions>false</trackRevisions>
    </reviewItem>
    <reviewItem>
      <errorID>c044f0d0-d501-4324-ab89-284657d01459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418664CE</paraID>
      <start>0</start>
      <end>2</end>
      <status>unmodified</status>
      <modifiedWord/>
      <trackRevisions>false</trackRevisions>
    </reviewItem>
    <reviewItem>
      <errorID>d3fe0879-3a13-4129-bc4b-53e0bf711c5f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7D5D2170</paraID>
      <start>0</start>
      <end>2</end>
      <status>unmodified</status>
      <modifiedWord/>
      <trackRevisions>false</trackRevisions>
    </reviewItem>
    <reviewItem>
      <errorID>1b63892b-b7c9-40ee-89cf-8523b408acc5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6617A371</paraID>
      <start>0</start>
      <end>2</end>
      <status>unmodified</status>
      <modifiedWord/>
      <trackRevisions>false</trackRevisions>
    </reviewItem>
    <reviewItem>
      <errorID>99df9a02-eb4c-415c-9ac4-11ebb045661e</errorID>
      <errorWord>《</errorWord>
      <group>L1_Punc</group>
      <groupName>标点问题</groupName>
      <ability>L2_Punc</ability>
      <abilityName>标点符号检查</abilityName>
      <candidateList/>
      <explain>同一形式括号套用。</explain>
      <paraID>2375AFA5</paraID>
      <start>15</start>
      <end>16</end>
      <status>unmodified</status>
      <modifiedWord/>
      <trackRevisions>false</trackRevisions>
    </reviewItem>
    <reviewItem>
      <errorID>70e8ecd5-442c-47de-8626-10c388039276</errorID>
      <errorWord>》</errorWord>
      <group>L1_Punc</group>
      <groupName>标点问题</groupName>
      <ability>L2_Punc</ability>
      <abilityName>标点符号检查</abilityName>
      <candidateList/>
      <explain>同一形式括号套用。</explain>
      <paraID>2375AFA5</paraID>
      <start>39</start>
      <end>40</end>
      <status>unmodified</status>
      <modifiedWord/>
      <trackRevisions>false</trackRevisions>
    </reviewItem>
    <reviewItem>
      <errorID>79fde277-2324-46e3-95fe-d01f45b94b99</errorID>
      <errorWord>《</errorWord>
      <group>L1_Punc</group>
      <groupName>标点问题</groupName>
      <ability>L2_Punc</ability>
      <abilityName>标点符号检查</abilityName>
      <candidateList/>
      <explain>同一形式括号套用。</explain>
      <paraID>2830D441</paraID>
      <start>17</start>
      <end>18</end>
      <status>unmodified</status>
      <modifiedWord/>
      <trackRevisions>false</trackRevisions>
    </reviewItem>
    <reviewItem>
      <errorID>48ea11e8-97ac-4bf8-a491-f734fa5811ec</errorID>
      <errorWord>》</errorWord>
      <group>L1_Punc</group>
      <groupName>标点问题</groupName>
      <ability>L2_Punc</ability>
      <abilityName>标点符号检查</abilityName>
      <candidateList/>
      <explain>同一形式括号套用。</explain>
      <paraID>2830D441</paraID>
      <start>41</start>
      <end>42</end>
      <status>unmodified</status>
      <modifiedWord/>
      <trackRevisions>false</trackRevisions>
    </reviewItem>
    <reviewItem>
      <errorID>0753ff3a-98e6-46a0-8f04-e774131ef4f2</errorID>
      <errorWord>精炼</errorWord>
      <group>L1_Word</group>
      <groupName>字词问题</groupName>
      <ability>L2_Typo</ability>
      <abilityName>字词错误</abilityName>
      <candidateList>
        <item>精练</item>
      </candidateList>
      <explain/>
      <paraID>2830D441</paraID>
      <start>98</start>
      <end>100</end>
      <status>unmodified</status>
      <modifiedWord/>
      <trackRevisions>false</trackRevisions>
    </reviewItem>
    <reviewItem>
      <errorID>20e53ca6-8667-45c3-80be-5c86860f54da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4BE9159F</paraID>
      <start>0</start>
      <end>2</end>
      <status>unmodified</status>
      <modifiedWord/>
      <trackRevisions>false</trackRevisions>
    </reviewItem>
    <reviewItem>
      <errorID>5798209c-46e8-40b8-aa3c-001ba45695a3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22581AC1</paraID>
      <start>0</start>
      <end>2</end>
      <status>unmodified</status>
      <modifiedWord/>
      <trackRevisions>false</trackRevisions>
    </reviewItem>
    <reviewItem>
      <errorID>59feea43-ac08-4066-9de5-0255a20e4ca2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3D10972B</paraID>
      <start>0</start>
      <end>2</end>
      <status>unmodified</status>
      <modifiedWord/>
      <trackRevisions>false</trackRevisions>
    </reviewItem>
    <reviewItem>
      <errorID>4eaabd06-2ed9-453c-ad64-f760333e3244</errorID>
      <errorWord>，</errorWord>
      <group>L1_Word</group>
      <groupName>字词问题</groupName>
      <ability>L2_Typo</ability>
      <abilityName>字词错误</abilityName>
      <candidateList>
        <item>，将</item>
      </candidateList>
      <explain/>
      <paraID>57C44A71</paraID>
      <start>63</start>
      <end>64</end>
      <status>unmodified</status>
      <modifiedWord/>
      <trackRevisions>false</trackRevisions>
    </reviewItem>
    <reviewItem>
      <errorID>1f697f20-6fe9-4fd0-a526-536456e28e2c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33AF0C86</paraID>
      <start>0</start>
      <end>2</end>
      <status>unmodified</status>
      <modifiedWord/>
      <trackRevisions>false</trackRevisions>
    </reviewItem>
    <reviewItem>
      <errorID>5710d9e7-5c75-4b93-84fc-c548b5db5782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37A5ED4D</paraID>
      <start>0</start>
      <end>2</end>
      <status>unmodified</status>
      <modifiedWord/>
      <trackRevisions>false</trackRevisions>
    </reviewItem>
    <reviewItem>
      <errorID>b2ab4d22-1979-40c6-b119-a9c4ccfe03d7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5E183EF7</paraID>
      <start>0</start>
      <end>2</end>
      <status>unmodified</status>
      <modifiedWord/>
      <trackRevisions>false</trackRevisions>
    </reviewItem>
    <reviewItem>
      <errorID>45d516a7-56e3-4262-ab39-2a4a27cc7abf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5FC2377D</paraID>
      <start>0</start>
      <end>2</end>
      <status>unmodified</status>
      <modifiedWord/>
      <trackRevisions>false</trackRevisions>
    </reviewItem>
    <reviewItem>
      <errorID>43daed23-364f-48db-bca2-49f486e7ec45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5F00F556</paraID>
      <start>0</start>
      <end>2</end>
      <status>unmodified</status>
      <modifiedWord/>
      <trackRevisions>false</trackRevisions>
    </reviewItem>
    <reviewItem>
      <errorID>ed1c03d5-de7b-418f-a3a2-d369c4d08f2c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7E987A67</paraID>
      <start>0</start>
      <end>2</end>
      <status>unmodified</status>
      <modifiedWord/>
      <trackRevisions>false</trackRevisions>
    </reviewItem>
    <reviewItem>
      <errorID>07e633e2-294e-4a19-bfe0-de7595ad5203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11494FEC</paraID>
      <start>0</start>
      <end>2</end>
      <status>unmodified</status>
      <modifiedWord/>
      <trackRevisions>false</trackRevisions>
    </reviewItem>
    <reviewItem>
      <errorID>f7d30c45-99bb-467a-b332-504d294dbad6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11494FEC</paraID>
      <start>4</start>
      <end>5</end>
      <status>unmodified</status>
      <modifiedWord/>
      <trackRevisions>false</trackRevisions>
    </reviewItem>
    <reviewItem>
      <errorID>62c45b93-dab7-4667-8467-194775417508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75B157B4</paraID>
      <start>0</start>
      <end>2</end>
      <status>unmodified</status>
      <modifiedWord/>
      <trackRevisions>false</trackRevisions>
    </reviewItem>
    <reviewItem>
      <errorID>543eb2e3-cf23-435f-9ebe-5611fe9451fe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62B74785</paraID>
      <start>0</start>
      <end>2</end>
      <status>unmodified</status>
      <modifiedWord/>
      <trackRevisions>false</trackRevisions>
    </reviewItem>
    <reviewItem>
      <errorID>997fb29b-fa54-4579-8806-bc4f408f3be4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14B05A84</paraID>
      <start>0</start>
      <end>2</end>
      <status>unmodified</status>
      <modifiedWord/>
      <trackRevisions>false</trackRevisions>
    </reviewItem>
    <reviewItem>
      <errorID>af0043a3-767a-4b3e-af30-1f71713f98f5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8857720</paraID>
      <start>0</start>
      <end>2</end>
      <status>unmodified</status>
      <modifiedWord/>
      <trackRevisions>false</trackRevisions>
    </reviewItem>
    <reviewItem>
      <errorID>0cb575d0-17ca-486f-b935-08e70dbba0cc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70F559E8</paraID>
      <start>0</start>
      <end>2</end>
      <status>unmodified</status>
      <modifiedWord/>
      <trackRevisions>false</trackRevisions>
    </reviewItem>
    <reviewItem>
      <errorID>8bff1df2-d735-4261-b2f9-371828652851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107A22A8</paraID>
      <start>0</start>
      <end>2</end>
      <status>unmodified</status>
      <modifiedWord/>
      <trackRevisions>false</trackRevisions>
    </reviewItem>
    <reviewItem>
      <errorID>a90f8acb-e33f-48ca-bfc1-d84d2e622df8</errorID>
      <errorWord>“/</errorWord>
      <group>L1_Punc</group>
      <groupName>标点问题</groupName>
      <ability>L2_Punc</ability>
      <abilityName>标点符号检查</abilityName>
      <candidateList>
        <item>“</item>
      </candidateList>
      <explain/>
      <paraID>19F9C780</paraID>
      <start>48</start>
      <end>50</end>
      <status>unmodified</status>
      <modifiedWord/>
      <trackRevisions>false</trackRevisions>
    </reviewItem>
    <reviewItem>
      <errorID>710e538e-8ac3-4c1b-b810-006c28f34da5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75963D13</paraID>
      <start>0</start>
      <end>2</end>
      <status>unmodified</status>
      <modifiedWord/>
      <trackRevisions>false</trackRevisions>
    </reviewItem>
    <reviewItem>
      <errorID>783eb170-14bd-42c5-b57e-60aa1afcde4c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7780A4</paraID>
      <start>0</start>
      <end>2</end>
      <status>unmodified</status>
      <modifiedWord/>
      <trackRevisions>false</trackRevisions>
    </reviewItem>
    <reviewItem>
      <errorID>361d51f5-a96e-457a-8364-154e5d3b43a4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75E4E588</paraID>
      <start>0</start>
      <end>2</end>
      <status>unmodified</status>
      <modifiedWord/>
      <trackRevisions>false</trackRevisions>
    </reviewItem>
    <reviewItem>
      <errorID>5d027409-662e-4e72-b984-9c9e06609b50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4E3E941C</paraID>
      <start>0</start>
      <end>2</end>
      <status>unmodified</status>
      <modifiedWord/>
      <trackRevisions>false</trackRevisions>
    </reviewItem>
    <reviewItem>
      <errorID>b332748b-c74e-49bf-878b-f74115180c7c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4D469D91</paraID>
      <start>0</start>
      <end>2</end>
      <status>unmodified</status>
      <modifiedWord/>
      <trackRevisions>false</trackRevisions>
    </reviewItem>
    <reviewItem>
      <errorID>117a5851-c94f-413d-bac8-3b1a0887d53e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63801EA5</paraID>
      <start>0</start>
      <end>2</end>
      <status>unmodified</status>
      <modifiedWord/>
      <trackRevisions>false</trackRevisions>
    </reviewItem>
    <reviewItem>
      <errorID>ccb36050-0b26-4363-a50f-aa1b4018a927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4EDFF2B9</paraID>
      <start>0</start>
      <end>2</end>
      <status>unmodified</status>
      <modifiedWord/>
      <trackRevisions>false</trackRevisions>
    </reviewItem>
    <reviewItem>
      <errorID>f67dc134-2ab1-49c5-ab53-86f3200b2f93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3A83B0FD</paraID>
      <start>0</start>
      <end>2</end>
      <status>unmodified</status>
      <modifiedWord/>
      <trackRevisions>false</trackRevisions>
    </reviewItem>
    <reviewItem>
      <errorID>bd0c5ba0-2bbc-4344-9b45-6b5864146741</errorID>
      <errorWord>施工施工</errorWord>
      <group>L1_Word</group>
      <groupName>字词问题</groupName>
      <ability>L2_Typo</ability>
      <abilityName>字词错误</abilityName>
      <candidateList>
        <item>施工</item>
      </candidateList>
      <explain>〈动〉按照设计的规格和要求建筑房屋、桥梁、道路、水利工程等。</explain>
      <paraID>10521415</paraID>
      <start>35</start>
      <end>39</end>
      <status>unmodified</status>
      <modifiedWord/>
      <trackRevisions>false</trackRevisions>
    </reviewItem>
    <reviewItem>
      <errorID>68f671d0-8a28-4eda-adfb-d2bc7589ad4e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4F95AB77</paraID>
      <start>81</start>
      <end>84</end>
      <status>unmodified</status>
      <modifiedWord/>
      <trackRevisions>false</trackRevisions>
    </reviewItem>
    <reviewItem>
      <errorID>ce2a29d7-cab4-4999-80ce-e54951658675</errorID>
      <errorWord>总额</errorWord>
      <group>L1_Word</group>
      <groupName>字词问题</groupName>
      <ability>L2_Typo</ability>
      <abilityName>字词错误</abilityName>
      <candidateList>
        <item>总</item>
      </candidateList>
      <explain/>
      <paraID>3CB4A60D</paraID>
      <start>26</start>
      <end>28</end>
      <status>unmodified</status>
      <modifiedWord/>
      <trackRevisions>false</trackRevisions>
    </reviewItem>
    <reviewItem>
      <errorID>8c5e5fcc-e4fd-4cb8-b8ec-a6dd6b2c00ab</errorID>
      <errorWord>总额</errorWord>
      <group>L1_Word</group>
      <groupName>字词问题</groupName>
      <ability>L2_Typo</ability>
      <abilityName>字词错误</abilityName>
      <candidateList>
        <item>总</item>
      </candidateList>
      <explain/>
      <paraID>7AA7E5B1</paraID>
      <start>54</start>
      <end>56</end>
      <status>unmodified</status>
      <modifiedWord/>
      <trackRevisions>false</trackRevisions>
    </reviewItem>
    <reviewItem>
      <errorID>58447e86-5a8a-4a5a-9723-e332cad05493</errorID>
      <errorWord>&lt;</errorWord>
      <group>L1_Format</group>
      <groupName>格式问题</groupName>
      <ability>L2_HalfPunc</ability>
      <abilityName>全半角检查</abilityName>
      <candidateList>
        <item>〈</item>
      </candidateList>
      <explain>文本全半角错误。</explain>
      <paraID>  AE51C9</paraID>
      <start>59</start>
      <end>60</end>
      <status>unmodified</status>
      <modifiedWord/>
      <trackRevisions>false</trackRevisions>
    </reviewItem>
    <reviewItem>
      <errorID>6bd0c970-1423-49d4-b8dd-82bffb50ba66</errorID>
      <errorWord>&gt;</errorWord>
      <group>L1_Format</group>
      <groupName>格式问题</groupName>
      <ability>L2_HalfPunc</ability>
      <abilityName>全半角检查</abilityName>
      <candidateList>
        <item>〉</item>
      </candidateList>
      <explain>文本全半角错误。</explain>
      <paraID>  AE51C9</paraID>
      <start>74</start>
      <end>75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a941a6-71bf-48d5-bb4e-112582827f3d}">
  <ds:schemaRefs/>
</ds:datastoreItem>
</file>

<file path=docProps/app.xml><?xml version="1.0" encoding="utf-8"?>
<Properties xmlns="http://schemas.openxmlformats.org/officeDocument/2006/extended-properties" xmlns:vt="http://schemas.openxmlformats.org/officeDocument/2006/docPropsVTypes">
  <Pages>301</Pages>
  <Words>204632</Words>
  <Characters>215803</Characters>
  <TotalTime>51</TotalTime>
  <ScaleCrop>false</ScaleCrop>
  <LinksUpToDate>false</LinksUpToDate>
  <CharactersWithSpaces>226675</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2025-12-31T11:25:00Z</dcterms:created>
  <dc:creator>yang</dc:creator>
  <cp:lastModifiedBy>Z</cp:lastModifiedBy>
  <dcterms:modified xsi:type="dcterms:W3CDTF">2026-04-24T12:53:43Z</dcterms:modified>
  <dc:title>&lt;473A5C32D5D0CDB6B1EACFEEC4BFB1B8B0B85C312BC4E2CEC45C32303235313232342DB9E3B6ABCAA1BDBBCDA8D4CBCAE4CCFCB9D8D3DAD3A1B7A2B9E3B6ABCAA1B9ABC2B7B9A4B3CCBFB1B2ECC9E8BCC6A1A2BFB1B2ECC9E8BCC6D7C9D1AFBACDCAA9B9A4D7CAB8F1D4A4C9F3A1A2CAA9B9A4A1A2CAA9B</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2026-04-08T11:05:11Z</vt:filetime>
  </property>
  <property fmtid="{D5CDD505-2E9C-101B-9397-08002B2CF9AE}" pid="4" name="KSOTemplateDocerSaveRecord">
    <vt:lpwstr>eyJoZGlkIjoiOTcwM2JlY2YzYzZjYTA3MTNjNmZhMjcwZDRkYTViNWYiLCJ1c2VySWQiOiIxMjAwMjgyNjE0In0=</vt:lpwstr>
  </property>
  <property fmtid="{D5CDD505-2E9C-101B-9397-08002B2CF9AE}" pid="5" name="KSOProductBuildVer">
    <vt:lpwstr>2052-12.1.0.25225</vt:lpwstr>
  </property>
  <property fmtid="{D5CDD505-2E9C-101B-9397-08002B2CF9AE}" pid="6" name="ICV">
    <vt:lpwstr>817478949CEB4F5A8A300FCD464F1346_13</vt:lpwstr>
  </property>
</Properties>
</file>