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DF642">
      <w:pPr>
        <w:widowControl/>
        <w:shd w:val="clear" w:color="auto" w:fill="auto"/>
        <w:spacing w:line="360" w:lineRule="auto"/>
        <w:rPr>
          <w:rFonts w:hint="eastAsia" w:ascii="楷体" w:hAnsi="楷体" w:eastAsia="楷体" w:cs="楷体"/>
          <w:b/>
          <w:bCs/>
          <w:sz w:val="28"/>
          <w:szCs w:val="28"/>
          <w:highlight w:val="none"/>
          <w:lang w:bidi="ar"/>
        </w:rPr>
      </w:pPr>
      <w:r>
        <w:rPr>
          <w:rFonts w:hint="eastAsia" w:ascii="楷体" w:hAnsi="楷体" w:eastAsia="楷体" w:cs="楷体"/>
          <w:b/>
          <w:bCs/>
          <w:sz w:val="28"/>
          <w:szCs w:val="28"/>
          <w:highlight w:val="none"/>
          <w:lang w:val="en-US" w:eastAsia="zh-CN" w:bidi="ar"/>
        </w:rPr>
        <w:t>四、</w:t>
      </w:r>
      <w:r>
        <w:rPr>
          <w:rFonts w:hint="eastAsia" w:ascii="楷体" w:hAnsi="楷体" w:eastAsia="楷体" w:cs="楷体"/>
          <w:b/>
          <w:bCs/>
          <w:sz w:val="28"/>
          <w:szCs w:val="28"/>
          <w:highlight w:val="none"/>
          <w:lang w:bidi="ar"/>
        </w:rPr>
        <w:t>主要设备参数及要求</w:t>
      </w:r>
    </w:p>
    <w:p w14:paraId="0C605D77">
      <w:pPr>
        <w:shd w:val="clear" w:color="auto" w:fill="auto"/>
        <w:spacing w:line="360" w:lineRule="auto"/>
        <w:rPr>
          <w:rFonts w:hint="eastAsia" w:ascii="楷体" w:hAnsi="楷体" w:eastAsia="楷体" w:cs="楷体"/>
          <w:sz w:val="24"/>
          <w:highlight w:val="none"/>
        </w:rPr>
      </w:pPr>
      <w:r>
        <w:rPr>
          <w:rFonts w:hint="eastAsia" w:ascii="楷体" w:hAnsi="楷体" w:eastAsia="楷体" w:cs="楷体"/>
          <w:b/>
          <w:bCs/>
          <w:sz w:val="24"/>
          <w:highlight w:val="none"/>
          <w:lang w:bidi="ar"/>
        </w:rPr>
        <w:t>（一）标段一：治超系统</w:t>
      </w:r>
    </w:p>
    <w:tbl>
      <w:tblPr>
        <w:tblStyle w:val="4"/>
        <w:tblW w:w="963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158"/>
        <w:gridCol w:w="6228"/>
        <w:gridCol w:w="672"/>
        <w:gridCol w:w="745"/>
      </w:tblGrid>
      <w:tr w14:paraId="6F70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31" w:type="dxa"/>
            <w:noWrap w:val="0"/>
            <w:vAlign w:val="center"/>
          </w:tcPr>
          <w:p w14:paraId="7E22D8B1">
            <w:pPr>
              <w:widowControl/>
              <w:shd w:val="clear" w:color="auto" w:fill="auto"/>
              <w:jc w:val="center"/>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 xml:space="preserve">序号 </w:t>
            </w:r>
          </w:p>
        </w:tc>
        <w:tc>
          <w:tcPr>
            <w:tcW w:w="1158" w:type="dxa"/>
            <w:noWrap w:val="0"/>
            <w:vAlign w:val="center"/>
          </w:tcPr>
          <w:p w14:paraId="64C54F8B">
            <w:pPr>
              <w:widowControl/>
              <w:shd w:val="clear" w:color="auto" w:fill="auto"/>
              <w:jc w:val="center"/>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 xml:space="preserve">产品名称 </w:t>
            </w:r>
          </w:p>
        </w:tc>
        <w:tc>
          <w:tcPr>
            <w:tcW w:w="6228" w:type="dxa"/>
            <w:noWrap w:val="0"/>
            <w:vAlign w:val="center"/>
          </w:tcPr>
          <w:p w14:paraId="5E568360">
            <w:pPr>
              <w:widowControl/>
              <w:shd w:val="clear" w:color="auto" w:fill="auto"/>
              <w:jc w:val="center"/>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技术规格</w:t>
            </w:r>
          </w:p>
        </w:tc>
        <w:tc>
          <w:tcPr>
            <w:tcW w:w="672" w:type="dxa"/>
            <w:noWrap w:val="0"/>
            <w:vAlign w:val="center"/>
          </w:tcPr>
          <w:p w14:paraId="78482816">
            <w:pPr>
              <w:widowControl/>
              <w:shd w:val="clear" w:color="auto" w:fill="auto"/>
              <w:jc w:val="center"/>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单位</w:t>
            </w:r>
          </w:p>
        </w:tc>
        <w:tc>
          <w:tcPr>
            <w:tcW w:w="745" w:type="dxa"/>
            <w:noWrap w:val="0"/>
            <w:vAlign w:val="center"/>
          </w:tcPr>
          <w:p w14:paraId="6486A1FD">
            <w:pPr>
              <w:widowControl/>
              <w:shd w:val="clear" w:color="auto" w:fill="auto"/>
              <w:jc w:val="center"/>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 xml:space="preserve">数量 </w:t>
            </w:r>
          </w:p>
        </w:tc>
      </w:tr>
      <w:tr w14:paraId="48F1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31" w:type="dxa"/>
            <w:noWrap w:val="0"/>
            <w:vAlign w:val="center"/>
          </w:tcPr>
          <w:p w14:paraId="6139E4C2">
            <w:pPr>
              <w:widowControl/>
              <w:shd w:val="clear" w:color="auto" w:fill="auto"/>
              <w:jc w:val="center"/>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一、</w:t>
            </w:r>
          </w:p>
        </w:tc>
        <w:tc>
          <w:tcPr>
            <w:tcW w:w="8803" w:type="dxa"/>
            <w:gridSpan w:val="4"/>
            <w:noWrap w:val="0"/>
            <w:vAlign w:val="center"/>
          </w:tcPr>
          <w:p w14:paraId="1F71D233">
            <w:pPr>
              <w:widowControl/>
              <w:shd w:val="clear" w:color="auto" w:fill="auto"/>
              <w:jc w:val="left"/>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公路治超系统-云港大道不停车检测点</w:t>
            </w:r>
          </w:p>
        </w:tc>
      </w:tr>
      <w:tr w14:paraId="0EC1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31" w:type="dxa"/>
            <w:noWrap w:val="0"/>
            <w:vAlign w:val="center"/>
          </w:tcPr>
          <w:p w14:paraId="14A59EC7">
            <w:pPr>
              <w:widowControl/>
              <w:shd w:val="clear" w:color="auto" w:fill="auto"/>
              <w:jc w:val="center"/>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1</w:t>
            </w:r>
          </w:p>
        </w:tc>
        <w:tc>
          <w:tcPr>
            <w:tcW w:w="8803" w:type="dxa"/>
            <w:gridSpan w:val="4"/>
            <w:noWrap w:val="0"/>
            <w:vAlign w:val="center"/>
          </w:tcPr>
          <w:p w14:paraId="514BCA6D">
            <w:pPr>
              <w:widowControl/>
              <w:shd w:val="clear" w:color="auto" w:fill="auto"/>
              <w:jc w:val="left"/>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不停车超限超载检测系统（共4车道）</w:t>
            </w:r>
          </w:p>
        </w:tc>
      </w:tr>
      <w:tr w14:paraId="431C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31" w:type="dxa"/>
            <w:noWrap w:val="0"/>
            <w:vAlign w:val="center"/>
          </w:tcPr>
          <w:p w14:paraId="0BC965F6">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1.1</w:t>
            </w:r>
          </w:p>
        </w:tc>
        <w:tc>
          <w:tcPr>
            <w:tcW w:w="1158" w:type="dxa"/>
            <w:noWrap w:val="0"/>
            <w:vAlign w:val="center"/>
          </w:tcPr>
          <w:p w14:paraId="3BE39315">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称重平板主体</w:t>
            </w:r>
          </w:p>
        </w:tc>
        <w:tc>
          <w:tcPr>
            <w:tcW w:w="6228" w:type="dxa"/>
            <w:noWrap w:val="0"/>
            <w:vAlign w:val="center"/>
          </w:tcPr>
          <w:p w14:paraId="502F2F0C">
            <w:pPr>
              <w:shd w:val="clear" w:color="auto" w:fill="auto"/>
              <w:rPr>
                <w:rFonts w:hint="eastAsia"/>
                <w:highlight w:val="none"/>
              </w:rPr>
            </w:pPr>
            <w:r>
              <w:rPr>
                <w:rFonts w:hint="eastAsia" w:ascii="楷体" w:hAnsi="楷体" w:eastAsia="楷体" w:cs="楷体"/>
                <w:color w:val="000000"/>
                <w:kern w:val="0"/>
                <w:sz w:val="24"/>
                <w:highlight w:val="none"/>
              </w:rPr>
              <w:t>1、长度1500mm、1750mm、2000mm，有效称重宽度800mm；</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2、▲准确度等级：</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运行速度0.5~100km/h，整车总重量的准确度等级5级；</w:t>
            </w:r>
            <w:r>
              <w:rPr>
                <w:rFonts w:hint="eastAsia" w:ascii="楷体" w:hAnsi="楷体" w:eastAsia="楷体" w:cs="楷体"/>
                <w:b/>
                <w:bCs/>
                <w:color w:val="000000"/>
                <w:kern w:val="0"/>
                <w:sz w:val="24"/>
                <w:highlight w:val="none"/>
              </w:rPr>
              <w:t>（提供市场监督管理部门颁发的《中华人民共和国计量器具型式批准证书》并加盖投标人公章）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3、▲最大单轴或轴组载荷：40t，</w:t>
            </w:r>
            <w:r>
              <w:rPr>
                <w:rFonts w:hint="eastAsia" w:ascii="楷体" w:hAnsi="楷体" w:eastAsia="楷体" w:cs="楷体"/>
                <w:b/>
                <w:bCs/>
                <w:color w:val="000000"/>
                <w:kern w:val="0"/>
                <w:sz w:val="24"/>
                <w:highlight w:val="none"/>
              </w:rPr>
              <w:t>（提供市场监督管理部门颁发的《中华人民共和国计量器具型式批准证书》并加盖投标人公章）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4、最小单轴或轴组载荷：500kg；</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5、测速误差≤±1km/h</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6、台板工作温度-40～80℃；工作环境湿度小于95％；</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7、采用一体式安装方式布置高速动态平板秤台，每个秤台均能独立称重检测；</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8、单轴或轴组载荷准确度等级：E级</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9、相邻台面之间采用“无缝”拼接技术，保证车辆在碾压台面接缝行驶时也可准确检测；</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10、动态称重设备能够适应道路行车时的复杂环境，对于异常行驶行为均能准确秤量。</w:t>
            </w:r>
          </w:p>
        </w:tc>
        <w:tc>
          <w:tcPr>
            <w:tcW w:w="672" w:type="dxa"/>
            <w:noWrap w:val="0"/>
            <w:vAlign w:val="center"/>
          </w:tcPr>
          <w:p w14:paraId="453FA0C8">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台</w:t>
            </w:r>
          </w:p>
        </w:tc>
        <w:tc>
          <w:tcPr>
            <w:tcW w:w="745" w:type="dxa"/>
            <w:noWrap w:val="0"/>
            <w:vAlign w:val="center"/>
          </w:tcPr>
          <w:p w14:paraId="35473BA4">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8</w:t>
            </w:r>
          </w:p>
        </w:tc>
      </w:tr>
      <w:tr w14:paraId="3BE1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31" w:type="dxa"/>
            <w:noWrap w:val="0"/>
            <w:vAlign w:val="center"/>
          </w:tcPr>
          <w:p w14:paraId="36379274">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1.2</w:t>
            </w:r>
          </w:p>
        </w:tc>
        <w:tc>
          <w:tcPr>
            <w:tcW w:w="1158" w:type="dxa"/>
            <w:noWrap w:val="0"/>
            <w:vAlign w:val="center"/>
          </w:tcPr>
          <w:p w14:paraId="3550657D">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窄条称重传感器</w:t>
            </w:r>
          </w:p>
        </w:tc>
        <w:tc>
          <w:tcPr>
            <w:tcW w:w="6228" w:type="dxa"/>
            <w:noWrap w:val="0"/>
            <w:vAlign w:val="center"/>
          </w:tcPr>
          <w:p w14:paraId="22F8CC59">
            <w:pPr>
              <w:shd w:val="clear" w:color="auto" w:fill="auto"/>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1、▲传感器类型：窄条式；</w:t>
            </w:r>
            <w:r>
              <w:rPr>
                <w:rFonts w:hint="eastAsia" w:ascii="楷体" w:hAnsi="楷体" w:eastAsia="楷体" w:cs="楷体"/>
                <w:b/>
                <w:bCs/>
                <w:color w:val="000000"/>
                <w:kern w:val="0"/>
                <w:sz w:val="24"/>
                <w:highlight w:val="none"/>
              </w:rPr>
              <w:t>（提供省级</w:t>
            </w:r>
            <w:r>
              <w:rPr>
                <w:rFonts w:hint="eastAsia" w:ascii="楷体" w:hAnsi="楷体" w:eastAsia="楷体" w:cs="楷体"/>
                <w:b/>
                <w:bCs/>
                <w:color w:val="000000"/>
                <w:kern w:val="0"/>
                <w:sz w:val="24"/>
                <w:highlight w:val="none"/>
                <w:lang w:val="en-US" w:eastAsia="zh-CN"/>
              </w:rPr>
              <w:t>或</w:t>
            </w:r>
            <w:r>
              <w:rPr>
                <w:rFonts w:hint="eastAsia" w:ascii="楷体" w:hAnsi="楷体" w:eastAsia="楷体" w:cs="楷体"/>
                <w:b/>
                <w:bCs/>
                <w:color w:val="000000"/>
                <w:kern w:val="0"/>
                <w:sz w:val="24"/>
                <w:highlight w:val="none"/>
              </w:rPr>
              <w:t>以上市场监管部门认可的计量机构出具《计量器具型式评价报告》并加盖投标人公章）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2、长度：300mm；</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3、▲荷载能力（单轴）：40t</w:t>
            </w:r>
            <w:r>
              <w:rPr>
                <w:rFonts w:hint="eastAsia" w:ascii="楷体" w:hAnsi="楷体" w:eastAsia="楷体" w:cs="楷体"/>
                <w:b/>
                <w:bCs/>
                <w:color w:val="000000"/>
                <w:kern w:val="0"/>
                <w:sz w:val="24"/>
                <w:highlight w:val="none"/>
              </w:rPr>
              <w:t>（提供省级</w:t>
            </w:r>
            <w:r>
              <w:rPr>
                <w:rFonts w:hint="eastAsia" w:ascii="楷体" w:hAnsi="楷体" w:eastAsia="楷体" w:cs="楷体"/>
                <w:b/>
                <w:bCs/>
                <w:color w:val="000000"/>
                <w:kern w:val="0"/>
                <w:sz w:val="24"/>
                <w:highlight w:val="none"/>
                <w:lang w:val="en-US" w:eastAsia="zh-CN"/>
              </w:rPr>
              <w:t>或</w:t>
            </w:r>
            <w:r>
              <w:rPr>
                <w:rFonts w:hint="eastAsia" w:ascii="楷体" w:hAnsi="楷体" w:eastAsia="楷体" w:cs="楷体"/>
                <w:b/>
                <w:bCs/>
                <w:color w:val="000000"/>
                <w:kern w:val="0"/>
                <w:sz w:val="24"/>
                <w:highlight w:val="none"/>
              </w:rPr>
              <w:t>以上市场监管部门认可的计量机构出具《计量器具型式评价报告》并加盖投标人公章）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4、过载能力（单轴）：150%</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5、称重误差：≤±2.5%，国标5级</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6、准确称重速度范围：（0.5～100）Km/h</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7、车辆捕获率：≥95%</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8、置信度：≥95%</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9、速度误差：≤±5Km/h</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10、流量误差精度：≥99%</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11、轴数检测精度≥95%</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12、仪器寿命：MTBF≥30，000h</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13、工作电压：AC220V±10%，50Hz±4Hz，</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14、环境温度：-40～80℃</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 xml:space="preserve">15、湿度：0～95% </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16、输入阻抗：300±20Ώ输出阻抗：285±5Ώ；</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17、灵敏度：0.35±0.01</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18、蠕变（30分钟）：±0.05%F.S</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19、零点平衡：±2%FS</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20、零点温度影响：±0.05%F.S/10℃</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21、防护等级：IP68，可在水浸状态中使用</w:t>
            </w:r>
          </w:p>
        </w:tc>
        <w:tc>
          <w:tcPr>
            <w:tcW w:w="672" w:type="dxa"/>
            <w:noWrap w:val="0"/>
            <w:vAlign w:val="center"/>
          </w:tcPr>
          <w:p w14:paraId="77C6C4E0">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根</w:t>
            </w:r>
          </w:p>
        </w:tc>
        <w:tc>
          <w:tcPr>
            <w:tcW w:w="745" w:type="dxa"/>
            <w:noWrap w:val="0"/>
            <w:vAlign w:val="center"/>
          </w:tcPr>
          <w:p w14:paraId="074F9534">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48</w:t>
            </w:r>
          </w:p>
        </w:tc>
      </w:tr>
      <w:tr w14:paraId="3014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1" w:type="dxa"/>
            <w:noWrap w:val="0"/>
            <w:vAlign w:val="center"/>
          </w:tcPr>
          <w:p w14:paraId="3D5DE5FD">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1.3</w:t>
            </w:r>
          </w:p>
        </w:tc>
        <w:tc>
          <w:tcPr>
            <w:tcW w:w="1158" w:type="dxa"/>
            <w:noWrap w:val="0"/>
            <w:vAlign w:val="center"/>
          </w:tcPr>
          <w:p w14:paraId="7B093065">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车检器</w:t>
            </w:r>
          </w:p>
        </w:tc>
        <w:tc>
          <w:tcPr>
            <w:tcW w:w="6228" w:type="dxa"/>
            <w:noWrap w:val="0"/>
            <w:vAlign w:val="center"/>
          </w:tcPr>
          <w:p w14:paraId="092053E7">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电感量自调谐范围20-1500uH,Q值≥5；灵敏度4级可调；频率范围20kHz-110kHz，4级可调；响应时间≤100ms</w:t>
            </w:r>
          </w:p>
        </w:tc>
        <w:tc>
          <w:tcPr>
            <w:tcW w:w="672" w:type="dxa"/>
            <w:noWrap w:val="0"/>
            <w:vAlign w:val="center"/>
          </w:tcPr>
          <w:p w14:paraId="077CDCF6">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515D9612">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2828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31" w:type="dxa"/>
            <w:noWrap w:val="0"/>
            <w:vAlign w:val="center"/>
          </w:tcPr>
          <w:p w14:paraId="6351CE32">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1.4</w:t>
            </w:r>
          </w:p>
        </w:tc>
        <w:tc>
          <w:tcPr>
            <w:tcW w:w="1158" w:type="dxa"/>
            <w:noWrap w:val="0"/>
            <w:vAlign w:val="center"/>
          </w:tcPr>
          <w:p w14:paraId="6F9EB0B6">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线圈</w:t>
            </w:r>
          </w:p>
        </w:tc>
        <w:tc>
          <w:tcPr>
            <w:tcW w:w="6228" w:type="dxa"/>
            <w:noWrap w:val="0"/>
            <w:vAlign w:val="center"/>
          </w:tcPr>
          <w:p w14:paraId="1B2E1E27">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现场定制，使用专用地感线圈电缆，具有耐磨、防水、耐寒、耐油耐汽油混合物，不易燃烧，不易老化，环保等特点；使用温度：-60～+105℃；导体：绞合镀锡铜线；绝缘：聚氯乙烯（PVC）；护套：玻璃纤维编织+腊克涂覆；颜色：红/黄/兰/白/黑/黄绿/棕等；每车道1套，电感量100mH~200mH；含施工、线圈槽切割敷设、回补。</w:t>
            </w:r>
          </w:p>
        </w:tc>
        <w:tc>
          <w:tcPr>
            <w:tcW w:w="672" w:type="dxa"/>
            <w:noWrap w:val="0"/>
            <w:vAlign w:val="center"/>
          </w:tcPr>
          <w:p w14:paraId="06026895">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321F8DD6">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16</w:t>
            </w:r>
          </w:p>
        </w:tc>
      </w:tr>
      <w:tr w14:paraId="6667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31" w:type="dxa"/>
            <w:noWrap w:val="0"/>
            <w:vAlign w:val="center"/>
          </w:tcPr>
          <w:p w14:paraId="111C34C6">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1.5</w:t>
            </w:r>
          </w:p>
        </w:tc>
        <w:tc>
          <w:tcPr>
            <w:tcW w:w="1158" w:type="dxa"/>
            <w:noWrap w:val="0"/>
            <w:vAlign w:val="center"/>
          </w:tcPr>
          <w:p w14:paraId="4ED2E71C">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基础制作及高强无收缩灌浆料</w:t>
            </w:r>
          </w:p>
        </w:tc>
        <w:tc>
          <w:tcPr>
            <w:tcW w:w="6228" w:type="dxa"/>
            <w:noWrap w:val="0"/>
            <w:vAlign w:val="center"/>
          </w:tcPr>
          <w:p w14:paraId="4DF5060A">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1、流动度(mm)：初始值≥650，30min保留值≥550；</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2、竖向膨胀率(%)：3h 0.1~3.5,24h与3h的膨胀值差：0.02~0.5；</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3、抗压强度(MPa) ：1d≥20,3d≥20，28d≥60；</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4、对钢筋有无锈蚀作用：无；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泌水率（%）：0</w:t>
            </w:r>
          </w:p>
        </w:tc>
        <w:tc>
          <w:tcPr>
            <w:tcW w:w="672" w:type="dxa"/>
            <w:noWrap w:val="0"/>
            <w:vAlign w:val="center"/>
          </w:tcPr>
          <w:p w14:paraId="29316055">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车道</w:t>
            </w:r>
          </w:p>
        </w:tc>
        <w:tc>
          <w:tcPr>
            <w:tcW w:w="745" w:type="dxa"/>
            <w:noWrap w:val="0"/>
            <w:vAlign w:val="center"/>
          </w:tcPr>
          <w:p w14:paraId="56DBDA86">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w:t>
            </w:r>
          </w:p>
        </w:tc>
      </w:tr>
      <w:tr w14:paraId="0437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31" w:type="dxa"/>
            <w:noWrap w:val="0"/>
            <w:vAlign w:val="center"/>
          </w:tcPr>
          <w:p w14:paraId="0E3E4627">
            <w:pPr>
              <w:widowControl/>
              <w:shd w:val="clear" w:color="auto" w:fill="auto"/>
              <w:jc w:val="center"/>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2</w:t>
            </w:r>
          </w:p>
        </w:tc>
        <w:tc>
          <w:tcPr>
            <w:tcW w:w="8803" w:type="dxa"/>
            <w:gridSpan w:val="4"/>
            <w:noWrap w:val="0"/>
            <w:vAlign w:val="center"/>
          </w:tcPr>
          <w:p w14:paraId="2F647FB1">
            <w:pPr>
              <w:widowControl/>
              <w:shd w:val="clear" w:color="auto" w:fill="auto"/>
              <w:jc w:val="left"/>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前端数据采集系统</w:t>
            </w:r>
          </w:p>
        </w:tc>
      </w:tr>
      <w:tr w14:paraId="7938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31" w:type="dxa"/>
            <w:noWrap w:val="0"/>
            <w:vAlign w:val="center"/>
          </w:tcPr>
          <w:p w14:paraId="109A4833">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2.1</w:t>
            </w:r>
          </w:p>
        </w:tc>
        <w:tc>
          <w:tcPr>
            <w:tcW w:w="1158" w:type="dxa"/>
            <w:noWrap w:val="0"/>
            <w:vAlign w:val="center"/>
          </w:tcPr>
          <w:p w14:paraId="7DBBBAF9">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高速动态称重控制器</w:t>
            </w:r>
          </w:p>
        </w:tc>
        <w:tc>
          <w:tcPr>
            <w:tcW w:w="6228" w:type="dxa"/>
            <w:noWrap w:val="0"/>
            <w:vAlign w:val="center"/>
          </w:tcPr>
          <w:p w14:paraId="1A5A8C02">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1、信号输入通道：32路，接口预留，可增加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2、AD采集速率：500K</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3、AD分辨率：12位</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 xml:space="preserve">4、分度值：50Kg </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5、工作温度：-10~50℃</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6、工作电压：85~250VAC</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7、数据存储：1个月数据量（可根据使用需要扩展）</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8、密封等级：IP65</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9、摄像头数据采集：车牌号、车牌号图片、车辆场景图片</w:t>
            </w:r>
          </w:p>
        </w:tc>
        <w:tc>
          <w:tcPr>
            <w:tcW w:w="672" w:type="dxa"/>
            <w:noWrap w:val="0"/>
            <w:vAlign w:val="center"/>
          </w:tcPr>
          <w:p w14:paraId="0E21F999">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425A0EE5">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3F45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831" w:type="dxa"/>
            <w:noWrap w:val="0"/>
            <w:vAlign w:val="center"/>
          </w:tcPr>
          <w:p w14:paraId="5EC2E405">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2.2</w:t>
            </w:r>
          </w:p>
        </w:tc>
        <w:tc>
          <w:tcPr>
            <w:tcW w:w="1158" w:type="dxa"/>
            <w:noWrap w:val="0"/>
            <w:vAlign w:val="center"/>
          </w:tcPr>
          <w:p w14:paraId="52314D72">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数据采集器</w:t>
            </w:r>
          </w:p>
        </w:tc>
        <w:tc>
          <w:tcPr>
            <w:tcW w:w="6228" w:type="dxa"/>
            <w:noWrap w:val="0"/>
            <w:vAlign w:val="center"/>
          </w:tcPr>
          <w:p w14:paraId="7DEA38C4">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1、称重传感器输入通道：16个（接口预留，可增加）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2、地感传感器输入通道：4个（接口预留，可增加）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3、车检信号输出通道：4个（接口预留，可增加）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4、模拟信号并口输出通道：1个</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5、工作温度：-10~50℃</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6、工作电压：DC12V</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7、密封等级：IP65</w:t>
            </w:r>
          </w:p>
        </w:tc>
        <w:tc>
          <w:tcPr>
            <w:tcW w:w="672" w:type="dxa"/>
            <w:noWrap w:val="0"/>
            <w:vAlign w:val="center"/>
          </w:tcPr>
          <w:p w14:paraId="4B64D928">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11E3FCA8">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3619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31" w:type="dxa"/>
            <w:noWrap w:val="0"/>
            <w:vAlign w:val="center"/>
          </w:tcPr>
          <w:p w14:paraId="222CFFB1">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2.3</w:t>
            </w:r>
          </w:p>
        </w:tc>
        <w:tc>
          <w:tcPr>
            <w:tcW w:w="1158" w:type="dxa"/>
            <w:noWrap w:val="0"/>
            <w:vAlign w:val="center"/>
          </w:tcPr>
          <w:p w14:paraId="6979D24E">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称重数据处理单元</w:t>
            </w:r>
          </w:p>
        </w:tc>
        <w:tc>
          <w:tcPr>
            <w:tcW w:w="6228" w:type="dxa"/>
            <w:noWrap w:val="0"/>
            <w:vAlign w:val="center"/>
          </w:tcPr>
          <w:p w14:paraId="5D94040A">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1.保护电线连接点，确保连接点的稳定性和长期可靠性，降低故障率；</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2.管理电线，避免电线因外力拉扣而脱落或断裂；</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3.方便线路维护，提高线路的可靠性和可维护性；</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4.分配电源，将电源接到不同位置，方使实现电器设备的布局和使用；</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5.隔离故障，当线路发生故障时，接线盒会白动切断电路，保护其他设备不受故障的影响；</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6.防雷作用，有效保护传感器和相关设备；</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7.传感器输入输出32个接口</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8.线圈输入输出接口20个</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9.密封等级：IP65</w:t>
            </w:r>
          </w:p>
        </w:tc>
        <w:tc>
          <w:tcPr>
            <w:tcW w:w="672" w:type="dxa"/>
            <w:noWrap w:val="0"/>
            <w:vAlign w:val="center"/>
          </w:tcPr>
          <w:p w14:paraId="667C90EF">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2A149CA5">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0E0C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72F544A7">
            <w:pPr>
              <w:widowControl/>
              <w:shd w:val="clear" w:color="auto" w:fill="auto"/>
              <w:jc w:val="center"/>
              <w:rPr>
                <w:rFonts w:hint="eastAsia" w:ascii="楷体" w:hAnsi="楷体" w:eastAsia="楷体" w:cs="楷体"/>
                <w:color w:val="000000"/>
                <w:kern w:val="0"/>
                <w:sz w:val="24"/>
                <w:highlight w:val="none"/>
                <w:lang w:eastAsia="zh-CN"/>
              </w:rPr>
            </w:pPr>
            <w:r>
              <w:rPr>
                <w:rFonts w:hint="eastAsia" w:ascii="楷体" w:hAnsi="楷体" w:eastAsia="楷体" w:cs="楷体"/>
                <w:color w:val="000000"/>
                <w:kern w:val="0"/>
                <w:sz w:val="24"/>
                <w:highlight w:val="none"/>
              </w:rPr>
              <w:t>2.</w:t>
            </w:r>
            <w:r>
              <w:rPr>
                <w:rFonts w:hint="eastAsia" w:ascii="楷体" w:hAnsi="楷体" w:eastAsia="楷体" w:cs="楷体"/>
                <w:color w:val="000000"/>
                <w:kern w:val="0"/>
                <w:sz w:val="24"/>
                <w:highlight w:val="none"/>
                <w:lang w:val="en-US" w:eastAsia="zh-CN"/>
              </w:rPr>
              <w:t>4</w:t>
            </w:r>
          </w:p>
        </w:tc>
        <w:tc>
          <w:tcPr>
            <w:tcW w:w="1158" w:type="dxa"/>
            <w:noWrap w:val="0"/>
            <w:vAlign w:val="center"/>
          </w:tcPr>
          <w:p w14:paraId="5C45D7A4">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不停车超限超载检测系统</w:t>
            </w:r>
          </w:p>
        </w:tc>
        <w:tc>
          <w:tcPr>
            <w:tcW w:w="6228" w:type="dxa"/>
            <w:noWrap w:val="0"/>
            <w:vAlign w:val="center"/>
          </w:tcPr>
          <w:p w14:paraId="78F81142">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能自动识别车辆压线，跨道等异常，可配合高速动态称重控制系统实现跨道标定，压缝标定，超低速标定，能自动识别车辆行驶方向</w:t>
            </w:r>
          </w:p>
        </w:tc>
        <w:tc>
          <w:tcPr>
            <w:tcW w:w="672" w:type="dxa"/>
            <w:noWrap w:val="0"/>
            <w:vAlign w:val="center"/>
          </w:tcPr>
          <w:p w14:paraId="697BE8CA">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364517DC">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372F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764F67F7">
            <w:pPr>
              <w:widowControl/>
              <w:shd w:val="clear" w:color="auto" w:fill="auto"/>
              <w:jc w:val="center"/>
              <w:rPr>
                <w:rFonts w:hint="eastAsia" w:ascii="楷体" w:hAnsi="楷体" w:eastAsia="楷体" w:cs="楷体"/>
                <w:color w:val="000000"/>
                <w:kern w:val="0"/>
                <w:sz w:val="24"/>
                <w:highlight w:val="none"/>
                <w:lang w:eastAsia="zh-CN"/>
              </w:rPr>
            </w:pPr>
            <w:r>
              <w:rPr>
                <w:rFonts w:hint="eastAsia" w:ascii="楷体" w:hAnsi="楷体" w:eastAsia="楷体" w:cs="楷体"/>
                <w:color w:val="000000"/>
                <w:kern w:val="0"/>
                <w:sz w:val="24"/>
                <w:highlight w:val="none"/>
              </w:rPr>
              <w:t>2.</w:t>
            </w:r>
            <w:r>
              <w:rPr>
                <w:rFonts w:hint="eastAsia" w:ascii="楷体" w:hAnsi="楷体" w:eastAsia="楷体" w:cs="楷体"/>
                <w:color w:val="000000"/>
                <w:kern w:val="0"/>
                <w:sz w:val="24"/>
                <w:highlight w:val="none"/>
                <w:lang w:val="en-US" w:eastAsia="zh-CN"/>
              </w:rPr>
              <w:t>5</w:t>
            </w:r>
          </w:p>
        </w:tc>
        <w:tc>
          <w:tcPr>
            <w:tcW w:w="1158" w:type="dxa"/>
            <w:noWrap w:val="0"/>
            <w:vAlign w:val="center"/>
          </w:tcPr>
          <w:p w14:paraId="427E6AED">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ETL电子数据交换系统</w:t>
            </w:r>
          </w:p>
        </w:tc>
        <w:tc>
          <w:tcPr>
            <w:tcW w:w="6228" w:type="dxa"/>
            <w:noWrap w:val="0"/>
            <w:vAlign w:val="center"/>
          </w:tcPr>
          <w:p w14:paraId="4E9ACC06">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1、电子数据交互系统将不同检测点的数据、图片、视频实时同步到监控中心。</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 xml:space="preserve">2、支持不同数据库环境的数据上传； </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 xml:space="preserve">3、支持上传数据、图片的自定义设置； </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 xml:space="preserve">4、支持上位机目标的自定义配置； </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 xml:space="preserve">5、支持传输调度的自定义配置； </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6、兼容其它系统的数据上传。</w:t>
            </w:r>
          </w:p>
        </w:tc>
        <w:tc>
          <w:tcPr>
            <w:tcW w:w="672" w:type="dxa"/>
            <w:noWrap w:val="0"/>
            <w:vAlign w:val="center"/>
          </w:tcPr>
          <w:p w14:paraId="370E1EB2">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01D1372A">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7775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831" w:type="dxa"/>
            <w:noWrap w:val="0"/>
            <w:vAlign w:val="center"/>
          </w:tcPr>
          <w:p w14:paraId="1BEA7565">
            <w:pPr>
              <w:widowControl/>
              <w:shd w:val="clear" w:color="auto" w:fill="auto"/>
              <w:jc w:val="center"/>
              <w:rPr>
                <w:rFonts w:hint="eastAsia" w:ascii="楷体" w:hAnsi="楷体" w:eastAsia="楷体" w:cs="楷体"/>
                <w:color w:val="000000"/>
                <w:kern w:val="0"/>
                <w:sz w:val="24"/>
                <w:highlight w:val="none"/>
                <w:lang w:eastAsia="zh-CN"/>
              </w:rPr>
            </w:pPr>
            <w:r>
              <w:rPr>
                <w:rFonts w:hint="eastAsia" w:ascii="楷体" w:hAnsi="楷体" w:eastAsia="楷体" w:cs="楷体"/>
                <w:color w:val="000000"/>
                <w:kern w:val="0"/>
                <w:sz w:val="24"/>
                <w:highlight w:val="none"/>
              </w:rPr>
              <w:t>2.</w:t>
            </w:r>
            <w:r>
              <w:rPr>
                <w:rFonts w:hint="eastAsia" w:ascii="楷体" w:hAnsi="楷体" w:eastAsia="楷体" w:cs="楷体"/>
                <w:color w:val="000000"/>
                <w:kern w:val="0"/>
                <w:sz w:val="24"/>
                <w:highlight w:val="none"/>
                <w:lang w:val="en-US" w:eastAsia="zh-CN"/>
              </w:rPr>
              <w:t>6</w:t>
            </w:r>
          </w:p>
        </w:tc>
        <w:tc>
          <w:tcPr>
            <w:tcW w:w="1158" w:type="dxa"/>
            <w:noWrap w:val="0"/>
            <w:vAlign w:val="center"/>
          </w:tcPr>
          <w:p w14:paraId="18D0E97C">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野外机柜</w:t>
            </w:r>
          </w:p>
        </w:tc>
        <w:tc>
          <w:tcPr>
            <w:tcW w:w="6228" w:type="dxa"/>
            <w:noWrap w:val="0"/>
            <w:vAlign w:val="center"/>
          </w:tcPr>
          <w:p w14:paraId="64B4CE6D">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1、机柜规格750mm*750mm*1700mm；</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2、双开门机箱密封设计，可有效防尘；</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3、可安装制冷设备</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4、多隔层设计，方便功能扩展；</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5、户外防水；</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6、相对湿度：0～95％R.H；</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7、工作温度：-30℃～+60℃。</w:t>
            </w:r>
          </w:p>
        </w:tc>
        <w:tc>
          <w:tcPr>
            <w:tcW w:w="672" w:type="dxa"/>
            <w:noWrap w:val="0"/>
            <w:vAlign w:val="center"/>
          </w:tcPr>
          <w:p w14:paraId="10697C54">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52D73332">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6201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65195955">
            <w:pPr>
              <w:widowControl/>
              <w:shd w:val="clear" w:color="auto" w:fill="auto"/>
              <w:jc w:val="center"/>
              <w:rPr>
                <w:rFonts w:hint="eastAsia" w:ascii="楷体" w:hAnsi="楷体" w:eastAsia="楷体" w:cs="楷体"/>
                <w:color w:val="000000"/>
                <w:kern w:val="0"/>
                <w:sz w:val="24"/>
                <w:highlight w:val="none"/>
                <w:lang w:eastAsia="zh-CN"/>
              </w:rPr>
            </w:pPr>
            <w:r>
              <w:rPr>
                <w:rFonts w:hint="eastAsia" w:ascii="楷体" w:hAnsi="楷体" w:eastAsia="楷体" w:cs="楷体"/>
                <w:color w:val="000000"/>
                <w:kern w:val="0"/>
                <w:sz w:val="24"/>
                <w:highlight w:val="none"/>
              </w:rPr>
              <w:t>2.</w:t>
            </w:r>
            <w:r>
              <w:rPr>
                <w:rFonts w:hint="eastAsia" w:ascii="楷体" w:hAnsi="楷体" w:eastAsia="楷体" w:cs="楷体"/>
                <w:color w:val="000000"/>
                <w:kern w:val="0"/>
                <w:sz w:val="24"/>
                <w:highlight w:val="none"/>
                <w:lang w:val="en-US" w:eastAsia="zh-CN"/>
              </w:rPr>
              <w:t>7</w:t>
            </w:r>
          </w:p>
        </w:tc>
        <w:tc>
          <w:tcPr>
            <w:tcW w:w="1158" w:type="dxa"/>
            <w:noWrap w:val="0"/>
            <w:vAlign w:val="center"/>
          </w:tcPr>
          <w:p w14:paraId="49D63F06">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野外机柜空调</w:t>
            </w:r>
          </w:p>
        </w:tc>
        <w:tc>
          <w:tcPr>
            <w:tcW w:w="6228" w:type="dxa"/>
            <w:noWrap w:val="0"/>
            <w:vAlign w:val="center"/>
          </w:tcPr>
          <w:p w14:paraId="58E4ECAD">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1、材质：冷轧钢板；</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2、颜色RAL7035；</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3、重量：15KG；</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4、制冷剂:R134a,制冷量500W，压缩机。</w:t>
            </w:r>
          </w:p>
        </w:tc>
        <w:tc>
          <w:tcPr>
            <w:tcW w:w="672" w:type="dxa"/>
            <w:noWrap w:val="0"/>
            <w:vAlign w:val="center"/>
          </w:tcPr>
          <w:p w14:paraId="16EFA231">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04ABBADD">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3569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39C64C97">
            <w:pPr>
              <w:widowControl/>
              <w:shd w:val="clear" w:color="auto" w:fill="auto"/>
              <w:jc w:val="center"/>
              <w:rPr>
                <w:rFonts w:hint="eastAsia" w:ascii="楷体" w:hAnsi="楷体" w:eastAsia="楷体" w:cs="楷体"/>
                <w:color w:val="000000"/>
                <w:kern w:val="0"/>
                <w:sz w:val="24"/>
                <w:highlight w:val="none"/>
                <w:lang w:eastAsia="zh-CN"/>
              </w:rPr>
            </w:pPr>
            <w:r>
              <w:rPr>
                <w:rFonts w:hint="eastAsia" w:ascii="楷体" w:hAnsi="楷体" w:eastAsia="楷体" w:cs="楷体"/>
                <w:color w:val="000000"/>
                <w:kern w:val="0"/>
                <w:sz w:val="24"/>
                <w:highlight w:val="none"/>
              </w:rPr>
              <w:t>2.</w:t>
            </w:r>
            <w:r>
              <w:rPr>
                <w:rFonts w:hint="eastAsia" w:ascii="楷体" w:hAnsi="楷体" w:eastAsia="楷体" w:cs="楷体"/>
                <w:color w:val="000000"/>
                <w:kern w:val="0"/>
                <w:sz w:val="24"/>
                <w:highlight w:val="none"/>
                <w:lang w:val="en-US" w:eastAsia="zh-CN"/>
              </w:rPr>
              <w:t>8</w:t>
            </w:r>
          </w:p>
        </w:tc>
        <w:tc>
          <w:tcPr>
            <w:tcW w:w="1158" w:type="dxa"/>
            <w:noWrap w:val="0"/>
            <w:vAlign w:val="center"/>
          </w:tcPr>
          <w:p w14:paraId="1A1E099A">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以太网交换机</w:t>
            </w:r>
          </w:p>
        </w:tc>
        <w:tc>
          <w:tcPr>
            <w:tcW w:w="6228" w:type="dxa"/>
            <w:noWrap w:val="0"/>
            <w:vAlign w:val="center"/>
          </w:tcPr>
          <w:p w14:paraId="784EAD3B">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1、16个10/100/1000base-T以太网端口</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2、交换容量：32Gbps</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3、包转发率：24Mpps2</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4、无风扇，自然散热</w:t>
            </w:r>
          </w:p>
        </w:tc>
        <w:tc>
          <w:tcPr>
            <w:tcW w:w="672" w:type="dxa"/>
            <w:noWrap w:val="0"/>
            <w:vAlign w:val="center"/>
          </w:tcPr>
          <w:p w14:paraId="491EBA03">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044F5CDC">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2787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31" w:type="dxa"/>
            <w:noWrap w:val="0"/>
            <w:vAlign w:val="center"/>
          </w:tcPr>
          <w:p w14:paraId="6C1C5EAF">
            <w:pPr>
              <w:widowControl/>
              <w:shd w:val="clear" w:color="auto" w:fill="auto"/>
              <w:jc w:val="center"/>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3</w:t>
            </w:r>
          </w:p>
        </w:tc>
        <w:tc>
          <w:tcPr>
            <w:tcW w:w="8803" w:type="dxa"/>
            <w:gridSpan w:val="4"/>
            <w:noWrap w:val="0"/>
            <w:vAlign w:val="center"/>
          </w:tcPr>
          <w:p w14:paraId="7B4D08D3">
            <w:pPr>
              <w:widowControl/>
              <w:shd w:val="clear" w:color="auto" w:fill="auto"/>
              <w:jc w:val="left"/>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车牌自动识别子系统　</w:t>
            </w:r>
          </w:p>
        </w:tc>
      </w:tr>
      <w:tr w14:paraId="4CA3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335C4855">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3.1</w:t>
            </w:r>
          </w:p>
        </w:tc>
        <w:tc>
          <w:tcPr>
            <w:tcW w:w="1158" w:type="dxa"/>
            <w:noWrap w:val="0"/>
            <w:vAlign w:val="center"/>
          </w:tcPr>
          <w:p w14:paraId="2A76E479">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900W像素卡口抓拍单元</w:t>
            </w:r>
          </w:p>
        </w:tc>
        <w:tc>
          <w:tcPr>
            <w:tcW w:w="6228" w:type="dxa"/>
            <w:noWrap w:val="0"/>
            <w:vAlign w:val="center"/>
          </w:tcPr>
          <w:p w14:paraId="4C16CB3C">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1.采用1英寸900万像素全局曝光CMOS智能高清摄像机，最大分辨率可达4096*2160，帧率25帧；</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2.设备含LED补光灯；</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3.输出图片格式：JPEG；</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4.抓拍图片可看清前排司乘人员人脸；</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5.支持视频触发模式；</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6.支持车牌、车型、车身颜色、车辆主品牌及子品牌、挂坠、安全带、遮阳板等信息识别；</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7.识别车牌种类多：民用车牌，警用车牌，2012式新军用车牌，2012式武警车牌，新能源车牌；</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8.支持多种常见颜色（白、灰、黄、红、紫、绿、蓝、棕、黑）识别；</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9.可以识别多种车型：大客车、中型客车、大货车、小货车、面包车、小轿车及SUV；</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10.支持车辆检测处理器（RS-485协议）、雷达、补光灯的接入；</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11.支持远程数据上传，可将抓拍的图片上传给终端服务器、FTP服务器或者后端平台等；</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12.具有网络防雷、防浪涌等功能。</w:t>
            </w:r>
          </w:p>
        </w:tc>
        <w:tc>
          <w:tcPr>
            <w:tcW w:w="672" w:type="dxa"/>
            <w:noWrap w:val="0"/>
            <w:vAlign w:val="center"/>
          </w:tcPr>
          <w:p w14:paraId="62C0A8DD">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428D9078">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w:t>
            </w:r>
          </w:p>
        </w:tc>
      </w:tr>
      <w:tr w14:paraId="5BE2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63A1C301">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3.2</w:t>
            </w:r>
          </w:p>
        </w:tc>
        <w:tc>
          <w:tcPr>
            <w:tcW w:w="1158" w:type="dxa"/>
            <w:noWrap w:val="0"/>
            <w:vAlign w:val="center"/>
          </w:tcPr>
          <w:p w14:paraId="547447CC">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镜头</w:t>
            </w:r>
          </w:p>
        </w:tc>
        <w:tc>
          <w:tcPr>
            <w:tcW w:w="6228" w:type="dxa"/>
            <w:noWrap w:val="0"/>
            <w:vAlign w:val="center"/>
          </w:tcPr>
          <w:p w14:paraId="437BE1B7">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900万像素，定焦25mm</w:t>
            </w:r>
          </w:p>
        </w:tc>
        <w:tc>
          <w:tcPr>
            <w:tcW w:w="672" w:type="dxa"/>
            <w:noWrap w:val="0"/>
            <w:vAlign w:val="center"/>
          </w:tcPr>
          <w:p w14:paraId="21850150">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34E2DC3B">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w:t>
            </w:r>
          </w:p>
        </w:tc>
      </w:tr>
      <w:tr w14:paraId="7EC9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2984D4D2">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3.3</w:t>
            </w:r>
          </w:p>
        </w:tc>
        <w:tc>
          <w:tcPr>
            <w:tcW w:w="1158" w:type="dxa"/>
            <w:noWrap w:val="0"/>
            <w:vAlign w:val="center"/>
          </w:tcPr>
          <w:p w14:paraId="365C0DA7">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500W像素卡口抓拍单元</w:t>
            </w:r>
          </w:p>
        </w:tc>
        <w:tc>
          <w:tcPr>
            <w:tcW w:w="6228" w:type="dxa"/>
            <w:noWrap w:val="0"/>
            <w:vAlign w:val="center"/>
          </w:tcPr>
          <w:p w14:paraId="4DB5136F">
            <w:pPr>
              <w:widowControl/>
              <w:shd w:val="clear" w:color="auto" w:fill="auto"/>
              <w:spacing w:after="240"/>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 xml:space="preserve">1.采用 2/3"500 万像素高帧率彩色全局曝光 CMOS 高清智能摄像机，最大分辨率可达 2448 × 2048，帧率 25 帧； </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2.抓拍单元防护罩面板具有防尘防水功能，且内置 LED 补光灯；</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3.输出图片格式为 JPEG 格式；</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4.支持闪光灯和 LED 频闪灯同步补光；</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5.使用闪光灯补光时，抓拍图片可看清司乘人员人脸；</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6.支持 RS-485 线圈，视频等触发模式；</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7.支持车牌、车型、车身颜色、车标及车辆子品牌、挂坠、安全带、遮阳板等信息识别；</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8.支持民用车牌，警用车牌，2012 式新军用车牌，2012 式武警车牌，新能源车牌等多种车牌识别；</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9.支持多种常见颜色（白、灰、黄、红、紫、绿、蓝、棕、黑）识别；</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10.支持多种车型（大客车、小客车、大货车、小货车、面包车、皮卡、小轿车及 SUV）识别；</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11.支持车辆检测处理器（RS-485 协议）、雷达、补光灯的接入；</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12.支持远程数据上传，可将抓拍的图片上传给终端服务器、FTP 服务器或者后端平台等；</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13.具有防尘、防水滴、防浪涌等功能。</w:t>
            </w:r>
          </w:p>
        </w:tc>
        <w:tc>
          <w:tcPr>
            <w:tcW w:w="672" w:type="dxa"/>
            <w:noWrap w:val="0"/>
            <w:vAlign w:val="center"/>
          </w:tcPr>
          <w:p w14:paraId="16DA74C9">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0B953C15">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w:t>
            </w:r>
          </w:p>
        </w:tc>
      </w:tr>
      <w:tr w14:paraId="0C24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77F8C949">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3.4</w:t>
            </w:r>
          </w:p>
        </w:tc>
        <w:tc>
          <w:tcPr>
            <w:tcW w:w="1158" w:type="dxa"/>
            <w:noWrap w:val="0"/>
            <w:vAlign w:val="center"/>
          </w:tcPr>
          <w:p w14:paraId="1A83B499">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镜头</w:t>
            </w:r>
          </w:p>
        </w:tc>
        <w:tc>
          <w:tcPr>
            <w:tcW w:w="6228" w:type="dxa"/>
            <w:noWrap w:val="0"/>
            <w:vAlign w:val="center"/>
          </w:tcPr>
          <w:p w14:paraId="4F64CF7D">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500万像素，定焦25mm</w:t>
            </w:r>
          </w:p>
        </w:tc>
        <w:tc>
          <w:tcPr>
            <w:tcW w:w="672" w:type="dxa"/>
            <w:noWrap w:val="0"/>
            <w:vAlign w:val="center"/>
          </w:tcPr>
          <w:p w14:paraId="615ECC38">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602FC0B5">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w:t>
            </w:r>
          </w:p>
        </w:tc>
      </w:tr>
      <w:tr w14:paraId="38C5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31" w:type="dxa"/>
            <w:noWrap w:val="0"/>
            <w:vAlign w:val="center"/>
          </w:tcPr>
          <w:p w14:paraId="44A61131">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3.5</w:t>
            </w:r>
          </w:p>
        </w:tc>
        <w:tc>
          <w:tcPr>
            <w:tcW w:w="1158" w:type="dxa"/>
            <w:noWrap w:val="0"/>
            <w:vAlign w:val="center"/>
          </w:tcPr>
          <w:p w14:paraId="1ADB47EA">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三合一补光灯</w:t>
            </w:r>
          </w:p>
        </w:tc>
        <w:tc>
          <w:tcPr>
            <w:tcW w:w="6228" w:type="dxa"/>
            <w:noWrap w:val="0"/>
            <w:vAlign w:val="center"/>
          </w:tcPr>
          <w:p w14:paraId="40FF6500">
            <w:pPr>
              <w:shd w:val="clear" w:color="auto" w:fill="auto"/>
              <w:rPr>
                <w:rFonts w:hint="eastAsia"/>
                <w:highlight w:val="none"/>
              </w:rPr>
            </w:pPr>
            <w:r>
              <w:rPr>
                <w:rFonts w:hint="eastAsia" w:ascii="楷体" w:hAnsi="楷体" w:eastAsia="楷体" w:cs="楷体"/>
                <w:color w:val="000000"/>
                <w:kern w:val="0"/>
                <w:sz w:val="24"/>
                <w:highlight w:val="none"/>
              </w:rPr>
              <w:t>1.铝合金灯体，鳍片式散热结构，面罩采用特殊工艺的耐高温的PC材料，透光效果好</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2.采用24颗高亮度LED芯片，寿命长，稳定性好，发光效率高</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3.气体灯管质量可靠，寿命长</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4.经专业光学设计，发光均匀，目标光斑显明，有效减少光污染</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5.采用步进电机功能，实现红外滤片的切换</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6.LED控制采用先进的恒流驱动技术，电流控制准确、稳定，产品稳定性好、可靠性高，有效减少光衰</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7.气体光源回电时间小于67ms，支持超速连拍，</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8.气体补光控制具有峰值抑制功能</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9.具有电压值、电流值、故障等状态监测功能</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10.支持LED灯频闪、白光气体爆闪，红外气体爆闪</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11.支持相机误触发保护功能，触发信号输入异常时自动保护、且自动恢复</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12.灯体具计新颖别致、适应性强，安装简单，调节方便</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13.结构采用IP66设计，</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14.▲触发模式：1、同一路输入信号支持开关量和电平量触发补光灯频闪、爆闪；2、可根据摄像机信号触发补光灯工作；3、可根据数据处理信号触发补光灯工作。</w:t>
            </w:r>
            <w:r>
              <w:rPr>
                <w:rFonts w:hint="eastAsia" w:ascii="楷体" w:hAnsi="楷体" w:eastAsia="楷体" w:cs="楷体"/>
                <w:b/>
                <w:bCs/>
                <w:color w:val="000000"/>
                <w:kern w:val="0"/>
                <w:sz w:val="24"/>
                <w:highlight w:val="none"/>
              </w:rPr>
              <w:t>（符合GA/T 1202-2022《交通技术监控成像补光装置通用技术条件》和MSTL-GF-01-029:2024《安全防范视频监控系统补光装置测试规范》标准，提供由公安部或公安部门批准和监管的检测机构出具的检测报告复印件并加盖投标人公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15.增加透气孔，保持内外压强均衡，可靠防水、防尘</w:t>
            </w:r>
          </w:p>
        </w:tc>
        <w:tc>
          <w:tcPr>
            <w:tcW w:w="672" w:type="dxa"/>
            <w:noWrap w:val="0"/>
            <w:vAlign w:val="center"/>
          </w:tcPr>
          <w:p w14:paraId="32B47AA3">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3BAD29C2">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12</w:t>
            </w:r>
          </w:p>
        </w:tc>
      </w:tr>
      <w:tr w14:paraId="2A62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03D6B5FF">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3.6</w:t>
            </w:r>
          </w:p>
        </w:tc>
        <w:tc>
          <w:tcPr>
            <w:tcW w:w="1158" w:type="dxa"/>
            <w:noWrap w:val="0"/>
            <w:vAlign w:val="center"/>
          </w:tcPr>
          <w:p w14:paraId="6F03338F">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频闪灯</w:t>
            </w:r>
          </w:p>
        </w:tc>
        <w:tc>
          <w:tcPr>
            <w:tcW w:w="6228" w:type="dxa"/>
            <w:noWrap w:val="0"/>
            <w:vAlign w:val="center"/>
          </w:tcPr>
          <w:p w14:paraId="7B650CB6">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1.铝合金灯体，鳍片式散热结构，面罩采用钢化玻璃，透光效果好；</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2.高亮度LED芯片，寿命长，稳定性好，发光效率高；</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3.经专业光学设计，发光均匀，目标光斑显明，有效减少光污染；</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4.采用先进的恒流驱动技术，电流控制准确、稳定，产品稳定性好、可靠性高，有效减少光衰；</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5.支持相机误触发保护功能，触发信号输入异常时自动保护、且自动恢复；</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6.灯体设计新颖别致，体积小、重量轻、适应性强，安装简单，调节方便；</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7.结构采用IP66设计，可靠防水、防尘；</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8.不含有害金属铅、汞，绿色环保；</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9.LED频闪灯，PWM跟随触发，具有频率及占空比保护功能，发光角度10°，可覆盖1个车道，正装支架。</w:t>
            </w:r>
          </w:p>
        </w:tc>
        <w:tc>
          <w:tcPr>
            <w:tcW w:w="672" w:type="dxa"/>
            <w:noWrap w:val="0"/>
            <w:vAlign w:val="center"/>
          </w:tcPr>
          <w:p w14:paraId="551F1EF7">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58B3526A">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w:t>
            </w:r>
          </w:p>
        </w:tc>
      </w:tr>
      <w:tr w14:paraId="68F9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42B603B8">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3.</w:t>
            </w:r>
            <w:r>
              <w:rPr>
                <w:rFonts w:ascii="楷体" w:hAnsi="楷体" w:eastAsia="楷体" w:cs="楷体"/>
                <w:color w:val="000000"/>
                <w:kern w:val="0"/>
                <w:sz w:val="24"/>
                <w:highlight w:val="none"/>
              </w:rPr>
              <w:t>7</w:t>
            </w:r>
          </w:p>
        </w:tc>
        <w:tc>
          <w:tcPr>
            <w:tcW w:w="1158" w:type="dxa"/>
            <w:noWrap w:val="0"/>
            <w:vAlign w:val="center"/>
          </w:tcPr>
          <w:p w14:paraId="5F2B86B3">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设备配件及耗材</w:t>
            </w:r>
          </w:p>
        </w:tc>
        <w:tc>
          <w:tcPr>
            <w:tcW w:w="6228" w:type="dxa"/>
            <w:noWrap w:val="0"/>
            <w:vAlign w:val="center"/>
          </w:tcPr>
          <w:p w14:paraId="5FC20A72">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 xml:space="preserve">热缩管、 水晶头、 波纹管等 </w:t>
            </w:r>
          </w:p>
        </w:tc>
        <w:tc>
          <w:tcPr>
            <w:tcW w:w="672" w:type="dxa"/>
            <w:noWrap w:val="0"/>
            <w:vAlign w:val="center"/>
          </w:tcPr>
          <w:p w14:paraId="609BD155">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项</w:t>
            </w:r>
          </w:p>
        </w:tc>
        <w:tc>
          <w:tcPr>
            <w:tcW w:w="745" w:type="dxa"/>
            <w:noWrap w:val="0"/>
            <w:vAlign w:val="center"/>
          </w:tcPr>
          <w:p w14:paraId="5DB32C07">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26A7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31" w:type="dxa"/>
            <w:noWrap w:val="0"/>
            <w:vAlign w:val="center"/>
          </w:tcPr>
          <w:p w14:paraId="0FA6B38F">
            <w:pPr>
              <w:widowControl/>
              <w:shd w:val="clear" w:color="auto" w:fill="auto"/>
              <w:jc w:val="center"/>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4</w:t>
            </w:r>
          </w:p>
        </w:tc>
        <w:tc>
          <w:tcPr>
            <w:tcW w:w="8803" w:type="dxa"/>
            <w:gridSpan w:val="4"/>
            <w:noWrap w:val="0"/>
            <w:vAlign w:val="center"/>
          </w:tcPr>
          <w:p w14:paraId="610CE7E7">
            <w:pPr>
              <w:widowControl/>
              <w:shd w:val="clear" w:color="auto" w:fill="auto"/>
              <w:jc w:val="left"/>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视频监控子系统　</w:t>
            </w:r>
          </w:p>
        </w:tc>
      </w:tr>
      <w:tr w14:paraId="312B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395D7621">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4.1</w:t>
            </w:r>
          </w:p>
        </w:tc>
        <w:tc>
          <w:tcPr>
            <w:tcW w:w="1158" w:type="dxa"/>
            <w:noWrap w:val="0"/>
            <w:vAlign w:val="center"/>
          </w:tcPr>
          <w:p w14:paraId="071B02CB">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网络全景摄像机</w:t>
            </w:r>
          </w:p>
        </w:tc>
        <w:tc>
          <w:tcPr>
            <w:tcW w:w="6228" w:type="dxa"/>
            <w:noWrap w:val="0"/>
            <w:vAlign w:val="center"/>
          </w:tcPr>
          <w:p w14:paraId="28C47B44">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 支持区域入侵侦测、越界侦测、进入区域侦测和离开区域侦等智能侦测并联动跟踪</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 采用可见光补光30m，同时高效红外阵列，低功耗，照射距离最远可达150m</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 内置加热玻璃，有效除雾</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4. 支持超低照度，0.005Lux/F1.2(彩色),0.001Lux/F1.2(黑白),0 Lux with IR</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5. 支持32倍光学变倍，16倍数字变倍</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6. 支持三码流技术，每路码流可独立配置分辨率及帧率</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7. 码流平滑设置,适应不同场景下对图像质量、流畅性的不同要求</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8. 支持低码率、低延时、ROI感兴趣区域增强编码</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9. 支持隐私遮蔽颜色和马赛克配置</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10. 支持GBK字库,支持更多汉字及生僻字叠加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11. 支持SVC自适应编码技术</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12. 支持OSD颜色自选</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13. 支持3D数字降噪, 支持120dB宽动态</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14. 支持定时抓图与事件抓图功能</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15. 支持定时任务、一键守望、一键巡航功能</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16. 支持无插件Mac下的Safari浏览器的需求</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17. 支持多播功能</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18. 支持两进一出报警、一进一出音频、最大支持256G microSD卡存储</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19. IP66，抗干扰能力强，适用于严酷的电磁环境，符合GB/T17626.2/3/4/5/6四级标准</w:t>
            </w:r>
          </w:p>
        </w:tc>
        <w:tc>
          <w:tcPr>
            <w:tcW w:w="672" w:type="dxa"/>
            <w:noWrap w:val="0"/>
            <w:vAlign w:val="center"/>
          </w:tcPr>
          <w:p w14:paraId="233EF625">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64045A5D">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1A74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66208AB1">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4.2</w:t>
            </w:r>
          </w:p>
        </w:tc>
        <w:tc>
          <w:tcPr>
            <w:tcW w:w="1158" w:type="dxa"/>
            <w:noWrap w:val="0"/>
            <w:vAlign w:val="center"/>
          </w:tcPr>
          <w:p w14:paraId="2F54D555">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网络全景摄像机电源</w:t>
            </w:r>
          </w:p>
        </w:tc>
        <w:tc>
          <w:tcPr>
            <w:tcW w:w="6228" w:type="dxa"/>
            <w:noWrap w:val="0"/>
            <w:vAlign w:val="center"/>
          </w:tcPr>
          <w:p w14:paraId="5B7AC2E6">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输入220v，输出12v 2A</w:t>
            </w:r>
          </w:p>
        </w:tc>
        <w:tc>
          <w:tcPr>
            <w:tcW w:w="672" w:type="dxa"/>
            <w:noWrap w:val="0"/>
            <w:vAlign w:val="center"/>
          </w:tcPr>
          <w:p w14:paraId="7FB7A0E1">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256E1BDE">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70FE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31" w:type="dxa"/>
            <w:noWrap w:val="0"/>
            <w:vAlign w:val="center"/>
          </w:tcPr>
          <w:p w14:paraId="4B1FDB74">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4.3</w:t>
            </w:r>
          </w:p>
        </w:tc>
        <w:tc>
          <w:tcPr>
            <w:tcW w:w="1158" w:type="dxa"/>
            <w:noWrap w:val="0"/>
            <w:vAlign w:val="center"/>
          </w:tcPr>
          <w:p w14:paraId="30CDE953">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安装支架</w:t>
            </w:r>
          </w:p>
        </w:tc>
        <w:tc>
          <w:tcPr>
            <w:tcW w:w="6228" w:type="dxa"/>
            <w:noWrap w:val="0"/>
            <w:vAlign w:val="center"/>
          </w:tcPr>
          <w:p w14:paraId="5F10C867">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监控杆上吊装支架</w:t>
            </w:r>
          </w:p>
        </w:tc>
        <w:tc>
          <w:tcPr>
            <w:tcW w:w="672" w:type="dxa"/>
            <w:noWrap w:val="0"/>
            <w:vAlign w:val="center"/>
          </w:tcPr>
          <w:p w14:paraId="412D3BC1">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台</w:t>
            </w:r>
          </w:p>
        </w:tc>
        <w:tc>
          <w:tcPr>
            <w:tcW w:w="745" w:type="dxa"/>
            <w:noWrap w:val="0"/>
            <w:vAlign w:val="center"/>
          </w:tcPr>
          <w:p w14:paraId="10F5AA78">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7DF4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31" w:type="dxa"/>
            <w:noWrap w:val="0"/>
            <w:vAlign w:val="center"/>
          </w:tcPr>
          <w:p w14:paraId="445C5F4C">
            <w:pPr>
              <w:widowControl/>
              <w:shd w:val="clear" w:color="auto" w:fill="auto"/>
              <w:jc w:val="center"/>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5</w:t>
            </w:r>
          </w:p>
        </w:tc>
        <w:tc>
          <w:tcPr>
            <w:tcW w:w="8803" w:type="dxa"/>
            <w:gridSpan w:val="4"/>
            <w:noWrap w:val="0"/>
            <w:vAlign w:val="center"/>
          </w:tcPr>
          <w:p w14:paraId="2126F72F">
            <w:pPr>
              <w:widowControl/>
              <w:shd w:val="clear" w:color="auto" w:fill="auto"/>
              <w:jc w:val="left"/>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信息诱导子系统　　</w:t>
            </w:r>
          </w:p>
        </w:tc>
      </w:tr>
      <w:tr w14:paraId="148C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6D66682E">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5.1</w:t>
            </w:r>
          </w:p>
        </w:tc>
        <w:tc>
          <w:tcPr>
            <w:tcW w:w="1158" w:type="dxa"/>
            <w:noWrap w:val="0"/>
            <w:vAlign w:val="center"/>
          </w:tcPr>
          <w:p w14:paraId="66E99322">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熔纤</w:t>
            </w:r>
          </w:p>
        </w:tc>
        <w:tc>
          <w:tcPr>
            <w:tcW w:w="6228" w:type="dxa"/>
            <w:noWrap w:val="0"/>
            <w:vAlign w:val="center"/>
          </w:tcPr>
          <w:p w14:paraId="43E1EFBF">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可变信息情报板与机柜光纤熔纤连通。</w:t>
            </w:r>
          </w:p>
        </w:tc>
        <w:tc>
          <w:tcPr>
            <w:tcW w:w="672" w:type="dxa"/>
            <w:noWrap w:val="0"/>
            <w:vAlign w:val="center"/>
          </w:tcPr>
          <w:p w14:paraId="235306D2">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项</w:t>
            </w:r>
          </w:p>
        </w:tc>
        <w:tc>
          <w:tcPr>
            <w:tcW w:w="745" w:type="dxa"/>
            <w:noWrap w:val="0"/>
            <w:vAlign w:val="center"/>
          </w:tcPr>
          <w:p w14:paraId="476F9F59">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0432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31" w:type="dxa"/>
            <w:noWrap w:val="0"/>
            <w:vAlign w:val="center"/>
          </w:tcPr>
          <w:p w14:paraId="0E66ECE8">
            <w:pPr>
              <w:widowControl/>
              <w:shd w:val="clear" w:color="auto" w:fill="auto"/>
              <w:jc w:val="center"/>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6</w:t>
            </w:r>
          </w:p>
        </w:tc>
        <w:tc>
          <w:tcPr>
            <w:tcW w:w="8803" w:type="dxa"/>
            <w:gridSpan w:val="4"/>
            <w:noWrap w:val="0"/>
            <w:vAlign w:val="center"/>
          </w:tcPr>
          <w:p w14:paraId="10417885">
            <w:pPr>
              <w:widowControl/>
              <w:shd w:val="clear" w:color="auto" w:fill="auto"/>
              <w:jc w:val="left"/>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防雷接地　</w:t>
            </w:r>
          </w:p>
        </w:tc>
      </w:tr>
      <w:tr w14:paraId="1F63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27078B3F">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6.1</w:t>
            </w:r>
          </w:p>
        </w:tc>
        <w:tc>
          <w:tcPr>
            <w:tcW w:w="1158" w:type="dxa"/>
            <w:noWrap w:val="0"/>
            <w:vAlign w:val="center"/>
          </w:tcPr>
          <w:p w14:paraId="6F3E3C40">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配电模块</w:t>
            </w:r>
          </w:p>
        </w:tc>
        <w:tc>
          <w:tcPr>
            <w:tcW w:w="6228" w:type="dxa"/>
            <w:noWrap w:val="0"/>
            <w:vAlign w:val="center"/>
          </w:tcPr>
          <w:p w14:paraId="5B096E6D">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主控电源开关(4P，380V，63A，带智能管理功能)、设备分组控制空开(不小于16A)</w:t>
            </w:r>
          </w:p>
        </w:tc>
        <w:tc>
          <w:tcPr>
            <w:tcW w:w="672" w:type="dxa"/>
            <w:noWrap w:val="0"/>
            <w:vAlign w:val="center"/>
          </w:tcPr>
          <w:p w14:paraId="52C58129">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0E4E012C">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6C10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61583577">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6.2</w:t>
            </w:r>
          </w:p>
        </w:tc>
        <w:tc>
          <w:tcPr>
            <w:tcW w:w="1158" w:type="dxa"/>
            <w:noWrap w:val="0"/>
            <w:vAlign w:val="center"/>
          </w:tcPr>
          <w:p w14:paraId="3724B19A">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PDU</w:t>
            </w:r>
          </w:p>
        </w:tc>
        <w:tc>
          <w:tcPr>
            <w:tcW w:w="6228" w:type="dxa"/>
            <w:noWrap w:val="0"/>
            <w:vAlign w:val="center"/>
          </w:tcPr>
          <w:p w14:paraId="3B3CBE33">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6位带防雷模块</w:t>
            </w:r>
          </w:p>
        </w:tc>
        <w:tc>
          <w:tcPr>
            <w:tcW w:w="672" w:type="dxa"/>
            <w:noWrap w:val="0"/>
            <w:vAlign w:val="center"/>
          </w:tcPr>
          <w:p w14:paraId="01A1179E">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637205CF">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w:t>
            </w:r>
          </w:p>
        </w:tc>
      </w:tr>
      <w:tr w14:paraId="4FF7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650E8BA0">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6.3</w:t>
            </w:r>
          </w:p>
        </w:tc>
        <w:tc>
          <w:tcPr>
            <w:tcW w:w="1158" w:type="dxa"/>
            <w:noWrap w:val="0"/>
            <w:vAlign w:val="center"/>
          </w:tcPr>
          <w:p w14:paraId="1C1B6D20">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浪涌防护器</w:t>
            </w:r>
          </w:p>
        </w:tc>
        <w:tc>
          <w:tcPr>
            <w:tcW w:w="6228" w:type="dxa"/>
            <w:noWrap w:val="0"/>
            <w:vAlign w:val="center"/>
          </w:tcPr>
          <w:p w14:paraId="4C45EF6D">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1、标准放电电流：40KA；</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2、保护水平：≤1.8KV；</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3、保护等级：2级；</w:t>
            </w:r>
          </w:p>
        </w:tc>
        <w:tc>
          <w:tcPr>
            <w:tcW w:w="672" w:type="dxa"/>
            <w:noWrap w:val="0"/>
            <w:vAlign w:val="center"/>
          </w:tcPr>
          <w:p w14:paraId="6178C7C2">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4B2830C6">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1364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66374586">
            <w:pPr>
              <w:widowControl/>
              <w:shd w:val="clear" w:color="auto" w:fill="auto"/>
              <w:jc w:val="center"/>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7</w:t>
            </w:r>
          </w:p>
        </w:tc>
        <w:tc>
          <w:tcPr>
            <w:tcW w:w="8803" w:type="dxa"/>
            <w:gridSpan w:val="4"/>
            <w:noWrap w:val="0"/>
            <w:vAlign w:val="center"/>
          </w:tcPr>
          <w:p w14:paraId="643FC70E">
            <w:pPr>
              <w:widowControl/>
              <w:shd w:val="clear" w:color="auto" w:fill="auto"/>
              <w:jc w:val="left"/>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光、电缆材料　</w:t>
            </w:r>
          </w:p>
        </w:tc>
      </w:tr>
      <w:tr w14:paraId="6275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5FDD114E">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7.1</w:t>
            </w:r>
          </w:p>
        </w:tc>
        <w:tc>
          <w:tcPr>
            <w:tcW w:w="1158" w:type="dxa"/>
            <w:noWrap w:val="0"/>
            <w:vAlign w:val="center"/>
          </w:tcPr>
          <w:p w14:paraId="5173BE90">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电力电缆辅</w:t>
            </w:r>
          </w:p>
        </w:tc>
        <w:tc>
          <w:tcPr>
            <w:tcW w:w="6228" w:type="dxa"/>
            <w:noWrap w:val="0"/>
            <w:vAlign w:val="center"/>
          </w:tcPr>
          <w:p w14:paraId="343EC897">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 xml:space="preserve">RVV 2*4mm² 300/500V </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RVV 2*4平方 2芯4平国标阻燃电线电缆</w:t>
            </w:r>
          </w:p>
        </w:tc>
        <w:tc>
          <w:tcPr>
            <w:tcW w:w="672" w:type="dxa"/>
            <w:noWrap w:val="0"/>
            <w:vAlign w:val="center"/>
          </w:tcPr>
          <w:p w14:paraId="6F9E2425">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米</w:t>
            </w:r>
          </w:p>
        </w:tc>
        <w:tc>
          <w:tcPr>
            <w:tcW w:w="745" w:type="dxa"/>
            <w:noWrap w:val="0"/>
            <w:vAlign w:val="center"/>
          </w:tcPr>
          <w:p w14:paraId="0B09C5ED">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450</w:t>
            </w:r>
          </w:p>
        </w:tc>
      </w:tr>
      <w:tr w14:paraId="5091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7B087C20">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7.2</w:t>
            </w:r>
          </w:p>
        </w:tc>
        <w:tc>
          <w:tcPr>
            <w:tcW w:w="1158" w:type="dxa"/>
            <w:noWrap w:val="0"/>
            <w:vAlign w:val="center"/>
          </w:tcPr>
          <w:p w14:paraId="3291CDF8">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电力电缆辅</w:t>
            </w:r>
          </w:p>
        </w:tc>
        <w:tc>
          <w:tcPr>
            <w:tcW w:w="6228" w:type="dxa"/>
            <w:noWrap w:val="0"/>
            <w:vAlign w:val="center"/>
          </w:tcPr>
          <w:p w14:paraId="049867E7">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 xml:space="preserve">RVV 3*2.5mm² 300/500V </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RVV 3*2.5平方 3芯2.5平国标阻燃电线电缆</w:t>
            </w:r>
          </w:p>
        </w:tc>
        <w:tc>
          <w:tcPr>
            <w:tcW w:w="672" w:type="dxa"/>
            <w:noWrap w:val="0"/>
            <w:vAlign w:val="center"/>
          </w:tcPr>
          <w:p w14:paraId="54611FB4">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米</w:t>
            </w:r>
          </w:p>
        </w:tc>
        <w:tc>
          <w:tcPr>
            <w:tcW w:w="745" w:type="dxa"/>
            <w:noWrap w:val="0"/>
            <w:vAlign w:val="center"/>
          </w:tcPr>
          <w:p w14:paraId="7122FA89">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500</w:t>
            </w:r>
          </w:p>
        </w:tc>
      </w:tr>
      <w:tr w14:paraId="3086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1F29EDDA">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7.3</w:t>
            </w:r>
          </w:p>
        </w:tc>
        <w:tc>
          <w:tcPr>
            <w:tcW w:w="1158" w:type="dxa"/>
            <w:noWrap w:val="0"/>
            <w:vAlign w:val="center"/>
          </w:tcPr>
          <w:p w14:paraId="266516C6">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电力电缆辅</w:t>
            </w:r>
          </w:p>
        </w:tc>
        <w:tc>
          <w:tcPr>
            <w:tcW w:w="6228" w:type="dxa"/>
            <w:noWrap w:val="0"/>
            <w:vAlign w:val="center"/>
          </w:tcPr>
          <w:p w14:paraId="301FE99D">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 xml:space="preserve">RVV 3*1.5mm² 300/500V </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RVV 3*1.5平方 3芯1.5平国标阻燃电线电缆</w:t>
            </w:r>
          </w:p>
        </w:tc>
        <w:tc>
          <w:tcPr>
            <w:tcW w:w="672" w:type="dxa"/>
            <w:noWrap w:val="0"/>
            <w:vAlign w:val="center"/>
          </w:tcPr>
          <w:p w14:paraId="6734B761">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米</w:t>
            </w:r>
          </w:p>
        </w:tc>
        <w:tc>
          <w:tcPr>
            <w:tcW w:w="745" w:type="dxa"/>
            <w:noWrap w:val="0"/>
            <w:vAlign w:val="center"/>
          </w:tcPr>
          <w:p w14:paraId="15CC100C">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200</w:t>
            </w:r>
          </w:p>
        </w:tc>
      </w:tr>
      <w:tr w14:paraId="267F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3BBF2F23">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7.4</w:t>
            </w:r>
          </w:p>
        </w:tc>
        <w:tc>
          <w:tcPr>
            <w:tcW w:w="1158" w:type="dxa"/>
            <w:noWrap w:val="0"/>
            <w:vAlign w:val="center"/>
          </w:tcPr>
          <w:p w14:paraId="4B21A590">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光纤</w:t>
            </w:r>
          </w:p>
        </w:tc>
        <w:tc>
          <w:tcPr>
            <w:tcW w:w="6228" w:type="dxa"/>
            <w:noWrap w:val="0"/>
            <w:vAlign w:val="center"/>
          </w:tcPr>
          <w:p w14:paraId="521CBD52">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国标室外光纤4芯。现场机柜至LED 显示屏</w:t>
            </w:r>
          </w:p>
        </w:tc>
        <w:tc>
          <w:tcPr>
            <w:tcW w:w="672" w:type="dxa"/>
            <w:noWrap w:val="0"/>
            <w:vAlign w:val="center"/>
          </w:tcPr>
          <w:p w14:paraId="3C353CE1">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米</w:t>
            </w:r>
          </w:p>
        </w:tc>
        <w:tc>
          <w:tcPr>
            <w:tcW w:w="745" w:type="dxa"/>
            <w:noWrap w:val="0"/>
            <w:vAlign w:val="center"/>
          </w:tcPr>
          <w:p w14:paraId="22A67178">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500</w:t>
            </w:r>
          </w:p>
        </w:tc>
      </w:tr>
      <w:tr w14:paraId="6027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135FD025">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7.5</w:t>
            </w:r>
          </w:p>
        </w:tc>
        <w:tc>
          <w:tcPr>
            <w:tcW w:w="1158" w:type="dxa"/>
            <w:noWrap w:val="0"/>
            <w:vAlign w:val="center"/>
          </w:tcPr>
          <w:p w14:paraId="08564326">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信号线</w:t>
            </w:r>
          </w:p>
        </w:tc>
        <w:tc>
          <w:tcPr>
            <w:tcW w:w="6228" w:type="dxa"/>
            <w:noWrap w:val="0"/>
            <w:vAlign w:val="center"/>
          </w:tcPr>
          <w:p w14:paraId="38167C2A">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RVVP2*0.5平方屏蔽线控制线、信号线，现场机柜到摄像机杆。</w:t>
            </w:r>
          </w:p>
        </w:tc>
        <w:tc>
          <w:tcPr>
            <w:tcW w:w="672" w:type="dxa"/>
            <w:noWrap w:val="0"/>
            <w:vAlign w:val="center"/>
          </w:tcPr>
          <w:p w14:paraId="0F236668">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米</w:t>
            </w:r>
          </w:p>
        </w:tc>
        <w:tc>
          <w:tcPr>
            <w:tcW w:w="745" w:type="dxa"/>
            <w:noWrap w:val="0"/>
            <w:vAlign w:val="center"/>
          </w:tcPr>
          <w:p w14:paraId="41B04617">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500</w:t>
            </w:r>
          </w:p>
        </w:tc>
      </w:tr>
      <w:tr w14:paraId="13CD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0E517375">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7.6</w:t>
            </w:r>
          </w:p>
        </w:tc>
        <w:tc>
          <w:tcPr>
            <w:tcW w:w="1158" w:type="dxa"/>
            <w:noWrap w:val="0"/>
            <w:vAlign w:val="center"/>
          </w:tcPr>
          <w:p w14:paraId="53B6C190">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网线</w:t>
            </w:r>
          </w:p>
        </w:tc>
        <w:tc>
          <w:tcPr>
            <w:tcW w:w="6228" w:type="dxa"/>
            <w:noWrap w:val="0"/>
            <w:vAlign w:val="center"/>
          </w:tcPr>
          <w:p w14:paraId="0374C1DF">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非屏蔽 无氧铜高速千兆网线</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国标纯铜 符合ROHS标准 8芯超六类</w:t>
            </w:r>
          </w:p>
        </w:tc>
        <w:tc>
          <w:tcPr>
            <w:tcW w:w="672" w:type="dxa"/>
            <w:noWrap w:val="0"/>
            <w:vAlign w:val="center"/>
          </w:tcPr>
          <w:p w14:paraId="3C2EC373">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米</w:t>
            </w:r>
          </w:p>
        </w:tc>
        <w:tc>
          <w:tcPr>
            <w:tcW w:w="745" w:type="dxa"/>
            <w:noWrap w:val="0"/>
            <w:vAlign w:val="center"/>
          </w:tcPr>
          <w:p w14:paraId="040DED1F">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600</w:t>
            </w:r>
          </w:p>
        </w:tc>
      </w:tr>
      <w:tr w14:paraId="47D1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2F620E86">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7.7</w:t>
            </w:r>
          </w:p>
        </w:tc>
        <w:tc>
          <w:tcPr>
            <w:tcW w:w="1158" w:type="dxa"/>
            <w:noWrap w:val="0"/>
            <w:vAlign w:val="center"/>
          </w:tcPr>
          <w:p w14:paraId="6176A401">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PVC管</w:t>
            </w:r>
          </w:p>
        </w:tc>
        <w:tc>
          <w:tcPr>
            <w:tcW w:w="6228" w:type="dxa"/>
            <w:noWrap w:val="0"/>
            <w:vAlign w:val="center"/>
          </w:tcPr>
          <w:p w14:paraId="44D83B34">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传输电缆、网络、信号线等电线电缆套管；</w:t>
            </w:r>
          </w:p>
        </w:tc>
        <w:tc>
          <w:tcPr>
            <w:tcW w:w="672" w:type="dxa"/>
            <w:noWrap w:val="0"/>
            <w:vAlign w:val="center"/>
          </w:tcPr>
          <w:p w14:paraId="4338A02C">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米</w:t>
            </w:r>
          </w:p>
        </w:tc>
        <w:tc>
          <w:tcPr>
            <w:tcW w:w="745" w:type="dxa"/>
            <w:noWrap w:val="0"/>
            <w:vAlign w:val="center"/>
          </w:tcPr>
          <w:p w14:paraId="6E4F7E52">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600</w:t>
            </w:r>
          </w:p>
        </w:tc>
      </w:tr>
      <w:tr w14:paraId="1DF7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noWrap w:val="0"/>
            <w:vAlign w:val="center"/>
          </w:tcPr>
          <w:p w14:paraId="31C931B6">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7.8</w:t>
            </w:r>
          </w:p>
        </w:tc>
        <w:tc>
          <w:tcPr>
            <w:tcW w:w="1158" w:type="dxa"/>
            <w:noWrap w:val="0"/>
            <w:vAlign w:val="center"/>
          </w:tcPr>
          <w:p w14:paraId="2ACFD0B3">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镀锌钢管</w:t>
            </w:r>
          </w:p>
        </w:tc>
        <w:tc>
          <w:tcPr>
            <w:tcW w:w="6228" w:type="dxa"/>
            <w:noWrap w:val="0"/>
            <w:vAlign w:val="center"/>
          </w:tcPr>
          <w:p w14:paraId="603CB156">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Φ40镀锌钢管，路面或承重区域电线、电缆套管；穿线时信号线与电源线分管穿线</w:t>
            </w:r>
          </w:p>
        </w:tc>
        <w:tc>
          <w:tcPr>
            <w:tcW w:w="672" w:type="dxa"/>
            <w:noWrap w:val="0"/>
            <w:vAlign w:val="center"/>
          </w:tcPr>
          <w:p w14:paraId="38107FA6">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米</w:t>
            </w:r>
          </w:p>
        </w:tc>
        <w:tc>
          <w:tcPr>
            <w:tcW w:w="745" w:type="dxa"/>
            <w:noWrap w:val="0"/>
            <w:vAlign w:val="center"/>
          </w:tcPr>
          <w:p w14:paraId="22FE6AE9">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40</w:t>
            </w:r>
          </w:p>
        </w:tc>
      </w:tr>
      <w:tr w14:paraId="5902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1" w:type="dxa"/>
            <w:noWrap w:val="0"/>
            <w:vAlign w:val="center"/>
          </w:tcPr>
          <w:p w14:paraId="2F10A451">
            <w:pPr>
              <w:widowControl/>
              <w:shd w:val="clear" w:color="auto" w:fill="auto"/>
              <w:jc w:val="center"/>
              <w:rPr>
                <w:rFonts w:hint="eastAsia" w:ascii="楷体" w:hAnsi="楷体" w:eastAsia="楷体" w:cs="楷体"/>
                <w:b/>
                <w:bCs/>
                <w:color w:val="000000"/>
                <w:kern w:val="0"/>
                <w:sz w:val="24"/>
                <w:highlight w:val="none"/>
                <w:lang w:eastAsia="zh-CN"/>
              </w:rPr>
            </w:pPr>
            <w:r>
              <w:rPr>
                <w:rFonts w:hint="eastAsia" w:ascii="楷体" w:hAnsi="楷体" w:eastAsia="楷体" w:cs="楷体"/>
                <w:b/>
                <w:bCs/>
                <w:color w:val="000000"/>
                <w:kern w:val="0"/>
                <w:sz w:val="24"/>
                <w:highlight w:val="none"/>
                <w:lang w:val="en-US" w:eastAsia="zh-CN"/>
              </w:rPr>
              <w:t>8</w:t>
            </w:r>
          </w:p>
        </w:tc>
        <w:tc>
          <w:tcPr>
            <w:tcW w:w="8803" w:type="dxa"/>
            <w:gridSpan w:val="4"/>
            <w:noWrap w:val="0"/>
            <w:vAlign w:val="center"/>
          </w:tcPr>
          <w:p w14:paraId="6E8C0921">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b/>
                <w:bCs/>
                <w:color w:val="000000"/>
                <w:kern w:val="0"/>
                <w:sz w:val="24"/>
                <w:highlight w:val="none"/>
              </w:rPr>
              <w:t>配套施工与调试</w:t>
            </w:r>
            <w:r>
              <w:rPr>
                <w:rFonts w:hint="eastAsia" w:ascii="楷体" w:hAnsi="楷体" w:eastAsia="楷体" w:cs="楷体"/>
                <w:color w:val="000000"/>
                <w:kern w:val="0"/>
                <w:sz w:val="24"/>
                <w:highlight w:val="none"/>
              </w:rPr>
              <w:t>　</w:t>
            </w:r>
          </w:p>
        </w:tc>
      </w:tr>
      <w:tr w14:paraId="2673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1" w:type="dxa"/>
            <w:noWrap w:val="0"/>
            <w:vAlign w:val="center"/>
          </w:tcPr>
          <w:p w14:paraId="087A77B6">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lang w:val="en-US" w:eastAsia="zh-CN"/>
              </w:rPr>
              <w:t>8</w:t>
            </w:r>
            <w:r>
              <w:rPr>
                <w:rFonts w:hint="eastAsia" w:ascii="楷体" w:hAnsi="楷体" w:eastAsia="楷体" w:cs="楷体"/>
                <w:color w:val="000000"/>
                <w:kern w:val="0"/>
                <w:sz w:val="24"/>
                <w:highlight w:val="none"/>
              </w:rPr>
              <w:t>.1</w:t>
            </w:r>
          </w:p>
        </w:tc>
        <w:tc>
          <w:tcPr>
            <w:tcW w:w="1158" w:type="dxa"/>
            <w:noWrap w:val="0"/>
            <w:vAlign w:val="center"/>
          </w:tcPr>
          <w:p w14:paraId="44841B8A">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管沟开挖与回填</w:t>
            </w:r>
          </w:p>
        </w:tc>
        <w:tc>
          <w:tcPr>
            <w:tcW w:w="6228" w:type="dxa"/>
            <w:noWrap w:val="0"/>
            <w:vAlign w:val="center"/>
          </w:tcPr>
          <w:p w14:paraId="624658BB">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管沟开挖与回填</w:t>
            </w:r>
          </w:p>
        </w:tc>
        <w:tc>
          <w:tcPr>
            <w:tcW w:w="672" w:type="dxa"/>
            <w:noWrap w:val="0"/>
            <w:vAlign w:val="center"/>
          </w:tcPr>
          <w:p w14:paraId="6531744E">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米</w:t>
            </w:r>
          </w:p>
        </w:tc>
        <w:tc>
          <w:tcPr>
            <w:tcW w:w="745" w:type="dxa"/>
            <w:noWrap w:val="0"/>
            <w:vAlign w:val="center"/>
          </w:tcPr>
          <w:p w14:paraId="54006601">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400</w:t>
            </w:r>
          </w:p>
        </w:tc>
      </w:tr>
      <w:tr w14:paraId="4751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1" w:type="dxa"/>
            <w:noWrap w:val="0"/>
            <w:vAlign w:val="center"/>
          </w:tcPr>
          <w:p w14:paraId="231230D4">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lang w:val="en-US" w:eastAsia="zh-CN"/>
              </w:rPr>
              <w:t>8</w:t>
            </w:r>
            <w:r>
              <w:rPr>
                <w:rFonts w:hint="eastAsia" w:ascii="楷体" w:hAnsi="楷体" w:eastAsia="楷体" w:cs="楷体"/>
                <w:color w:val="000000"/>
                <w:kern w:val="0"/>
                <w:sz w:val="24"/>
                <w:highlight w:val="none"/>
              </w:rPr>
              <w:t>.2</w:t>
            </w:r>
          </w:p>
        </w:tc>
        <w:tc>
          <w:tcPr>
            <w:tcW w:w="1158" w:type="dxa"/>
            <w:noWrap w:val="0"/>
            <w:vAlign w:val="center"/>
          </w:tcPr>
          <w:p w14:paraId="39CBBD70">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线缆铺设</w:t>
            </w:r>
          </w:p>
        </w:tc>
        <w:tc>
          <w:tcPr>
            <w:tcW w:w="6228" w:type="dxa"/>
            <w:noWrap w:val="0"/>
            <w:vAlign w:val="center"/>
          </w:tcPr>
          <w:p w14:paraId="554C2BB1">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线缆铺设</w:t>
            </w:r>
          </w:p>
        </w:tc>
        <w:tc>
          <w:tcPr>
            <w:tcW w:w="672" w:type="dxa"/>
            <w:noWrap w:val="0"/>
            <w:vAlign w:val="center"/>
          </w:tcPr>
          <w:p w14:paraId="107BA2C8">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米</w:t>
            </w:r>
          </w:p>
        </w:tc>
        <w:tc>
          <w:tcPr>
            <w:tcW w:w="745" w:type="dxa"/>
            <w:noWrap w:val="0"/>
            <w:vAlign w:val="center"/>
          </w:tcPr>
          <w:p w14:paraId="130C7103">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400</w:t>
            </w:r>
          </w:p>
        </w:tc>
      </w:tr>
      <w:tr w14:paraId="42F8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31" w:type="dxa"/>
            <w:noWrap w:val="0"/>
            <w:vAlign w:val="center"/>
          </w:tcPr>
          <w:p w14:paraId="21230B63">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lang w:val="en-US" w:eastAsia="zh-CN"/>
              </w:rPr>
              <w:t>8</w:t>
            </w:r>
            <w:r>
              <w:rPr>
                <w:rFonts w:hint="eastAsia" w:ascii="楷体" w:hAnsi="楷体" w:eastAsia="楷体" w:cs="楷体"/>
                <w:color w:val="000000"/>
                <w:kern w:val="0"/>
                <w:sz w:val="24"/>
                <w:highlight w:val="none"/>
              </w:rPr>
              <w:t>.3</w:t>
            </w:r>
          </w:p>
        </w:tc>
        <w:tc>
          <w:tcPr>
            <w:tcW w:w="1158" w:type="dxa"/>
            <w:noWrap w:val="0"/>
            <w:vAlign w:val="center"/>
          </w:tcPr>
          <w:p w14:paraId="0EEB1868">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称重平板主体安装</w:t>
            </w:r>
          </w:p>
        </w:tc>
        <w:tc>
          <w:tcPr>
            <w:tcW w:w="6228" w:type="dxa"/>
            <w:noWrap w:val="0"/>
            <w:vAlign w:val="center"/>
          </w:tcPr>
          <w:p w14:paraId="666F70F9">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含安装称重平板、钢结构、定位、灌胶、养护、打磨等</w:t>
            </w:r>
          </w:p>
        </w:tc>
        <w:tc>
          <w:tcPr>
            <w:tcW w:w="672" w:type="dxa"/>
            <w:noWrap w:val="0"/>
            <w:vAlign w:val="center"/>
          </w:tcPr>
          <w:p w14:paraId="7376E4CA">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车道</w:t>
            </w:r>
          </w:p>
        </w:tc>
        <w:tc>
          <w:tcPr>
            <w:tcW w:w="745" w:type="dxa"/>
            <w:noWrap w:val="0"/>
            <w:vAlign w:val="center"/>
          </w:tcPr>
          <w:p w14:paraId="4913C8D2">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w:t>
            </w:r>
          </w:p>
        </w:tc>
      </w:tr>
      <w:tr w14:paraId="536D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1" w:type="dxa"/>
            <w:noWrap w:val="0"/>
            <w:vAlign w:val="center"/>
          </w:tcPr>
          <w:p w14:paraId="54960286">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lang w:val="en-US" w:eastAsia="zh-CN"/>
              </w:rPr>
              <w:t>8</w:t>
            </w:r>
            <w:r>
              <w:rPr>
                <w:rFonts w:hint="eastAsia" w:ascii="楷体" w:hAnsi="楷体" w:eastAsia="楷体" w:cs="楷体"/>
                <w:color w:val="000000"/>
                <w:kern w:val="0"/>
                <w:sz w:val="24"/>
                <w:highlight w:val="none"/>
              </w:rPr>
              <w:t>.4</w:t>
            </w:r>
          </w:p>
        </w:tc>
        <w:tc>
          <w:tcPr>
            <w:tcW w:w="1158" w:type="dxa"/>
            <w:noWrap w:val="0"/>
            <w:vAlign w:val="center"/>
          </w:tcPr>
          <w:p w14:paraId="53266E4A">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摄像机及配套电气设备安装</w:t>
            </w:r>
          </w:p>
        </w:tc>
        <w:tc>
          <w:tcPr>
            <w:tcW w:w="6228" w:type="dxa"/>
            <w:noWrap w:val="0"/>
            <w:vAlign w:val="center"/>
          </w:tcPr>
          <w:p w14:paraId="153AF4EA">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摄像机及配套电气设备安装</w:t>
            </w:r>
          </w:p>
        </w:tc>
        <w:tc>
          <w:tcPr>
            <w:tcW w:w="672" w:type="dxa"/>
            <w:noWrap w:val="0"/>
            <w:vAlign w:val="center"/>
          </w:tcPr>
          <w:p w14:paraId="22591983">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项</w:t>
            </w:r>
          </w:p>
        </w:tc>
        <w:tc>
          <w:tcPr>
            <w:tcW w:w="745" w:type="dxa"/>
            <w:noWrap w:val="0"/>
            <w:vAlign w:val="center"/>
          </w:tcPr>
          <w:p w14:paraId="60E368C4">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w:t>
            </w:r>
          </w:p>
        </w:tc>
      </w:tr>
      <w:tr w14:paraId="399F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1" w:type="dxa"/>
            <w:noWrap w:val="0"/>
            <w:vAlign w:val="center"/>
          </w:tcPr>
          <w:p w14:paraId="43F00989">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lang w:val="en-US" w:eastAsia="zh-CN"/>
              </w:rPr>
              <w:t>8</w:t>
            </w:r>
            <w:r>
              <w:rPr>
                <w:rFonts w:hint="eastAsia" w:ascii="楷体" w:hAnsi="楷体" w:eastAsia="楷体" w:cs="楷体"/>
                <w:color w:val="000000"/>
                <w:kern w:val="0"/>
                <w:sz w:val="24"/>
                <w:highlight w:val="none"/>
              </w:rPr>
              <w:t>.5</w:t>
            </w:r>
          </w:p>
        </w:tc>
        <w:tc>
          <w:tcPr>
            <w:tcW w:w="1158" w:type="dxa"/>
            <w:noWrap w:val="0"/>
            <w:vAlign w:val="center"/>
          </w:tcPr>
          <w:p w14:paraId="74405ECF">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高空作业机械</w:t>
            </w:r>
          </w:p>
        </w:tc>
        <w:tc>
          <w:tcPr>
            <w:tcW w:w="6228" w:type="dxa"/>
            <w:noWrap w:val="0"/>
            <w:vAlign w:val="center"/>
          </w:tcPr>
          <w:p w14:paraId="5E690C48">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高空作业机械</w:t>
            </w:r>
          </w:p>
        </w:tc>
        <w:tc>
          <w:tcPr>
            <w:tcW w:w="672" w:type="dxa"/>
            <w:noWrap w:val="0"/>
            <w:vAlign w:val="center"/>
          </w:tcPr>
          <w:p w14:paraId="5ABBEBB9">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项</w:t>
            </w:r>
          </w:p>
        </w:tc>
        <w:tc>
          <w:tcPr>
            <w:tcW w:w="745" w:type="dxa"/>
            <w:noWrap w:val="0"/>
            <w:vAlign w:val="center"/>
          </w:tcPr>
          <w:p w14:paraId="3AADB960">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w:t>
            </w:r>
          </w:p>
        </w:tc>
      </w:tr>
      <w:tr w14:paraId="19AD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1" w:type="dxa"/>
            <w:noWrap w:val="0"/>
            <w:vAlign w:val="center"/>
          </w:tcPr>
          <w:p w14:paraId="2010FDDA">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lang w:val="en-US" w:eastAsia="zh-CN"/>
              </w:rPr>
              <w:t>8</w:t>
            </w:r>
            <w:r>
              <w:rPr>
                <w:rFonts w:hint="eastAsia" w:ascii="楷体" w:hAnsi="楷体" w:eastAsia="楷体" w:cs="楷体"/>
                <w:color w:val="000000"/>
                <w:kern w:val="0"/>
                <w:sz w:val="24"/>
                <w:highlight w:val="none"/>
              </w:rPr>
              <w:t>.6</w:t>
            </w:r>
          </w:p>
        </w:tc>
        <w:tc>
          <w:tcPr>
            <w:tcW w:w="1158" w:type="dxa"/>
            <w:noWrap w:val="0"/>
            <w:vAlign w:val="center"/>
          </w:tcPr>
          <w:p w14:paraId="5B1021FC">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电缆标示桩</w:t>
            </w:r>
          </w:p>
        </w:tc>
        <w:tc>
          <w:tcPr>
            <w:tcW w:w="6228" w:type="dxa"/>
            <w:noWrap w:val="0"/>
            <w:vAlign w:val="center"/>
          </w:tcPr>
          <w:p w14:paraId="168794BB">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电缆标示桩</w:t>
            </w:r>
          </w:p>
        </w:tc>
        <w:tc>
          <w:tcPr>
            <w:tcW w:w="672" w:type="dxa"/>
            <w:noWrap w:val="0"/>
            <w:vAlign w:val="center"/>
          </w:tcPr>
          <w:p w14:paraId="0BE7F667">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51524A0D">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10</w:t>
            </w:r>
          </w:p>
        </w:tc>
      </w:tr>
      <w:tr w14:paraId="15AB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1" w:type="dxa"/>
            <w:noWrap w:val="0"/>
            <w:vAlign w:val="center"/>
          </w:tcPr>
          <w:p w14:paraId="17ED0AAD">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lang w:val="en-US" w:eastAsia="zh-CN"/>
              </w:rPr>
              <w:t>8</w:t>
            </w:r>
            <w:r>
              <w:rPr>
                <w:rFonts w:hint="eastAsia" w:ascii="楷体" w:hAnsi="楷体" w:eastAsia="楷体" w:cs="楷体"/>
                <w:color w:val="000000"/>
                <w:kern w:val="0"/>
                <w:sz w:val="24"/>
                <w:highlight w:val="none"/>
              </w:rPr>
              <w:t>.7</w:t>
            </w:r>
          </w:p>
        </w:tc>
        <w:tc>
          <w:tcPr>
            <w:tcW w:w="1158" w:type="dxa"/>
            <w:noWrap w:val="0"/>
            <w:vAlign w:val="center"/>
          </w:tcPr>
          <w:p w14:paraId="07365254">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检查井</w:t>
            </w:r>
          </w:p>
        </w:tc>
        <w:tc>
          <w:tcPr>
            <w:tcW w:w="6228" w:type="dxa"/>
            <w:noWrap w:val="0"/>
            <w:vAlign w:val="center"/>
          </w:tcPr>
          <w:p w14:paraId="7A0E3763">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检查井</w:t>
            </w:r>
          </w:p>
        </w:tc>
        <w:tc>
          <w:tcPr>
            <w:tcW w:w="672" w:type="dxa"/>
            <w:noWrap w:val="0"/>
            <w:vAlign w:val="center"/>
          </w:tcPr>
          <w:p w14:paraId="046F3A63">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7B6404C5">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18</w:t>
            </w:r>
          </w:p>
        </w:tc>
      </w:tr>
      <w:tr w14:paraId="13D2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1" w:type="dxa"/>
            <w:noWrap w:val="0"/>
            <w:vAlign w:val="center"/>
          </w:tcPr>
          <w:p w14:paraId="2D4C270A">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lang w:val="en-US" w:eastAsia="zh-CN"/>
              </w:rPr>
              <w:t>8</w:t>
            </w:r>
            <w:r>
              <w:rPr>
                <w:rFonts w:hint="eastAsia" w:ascii="楷体" w:hAnsi="楷体" w:eastAsia="楷体" w:cs="楷体"/>
                <w:color w:val="000000"/>
                <w:kern w:val="0"/>
                <w:sz w:val="24"/>
                <w:highlight w:val="none"/>
              </w:rPr>
              <w:t>.8</w:t>
            </w:r>
          </w:p>
        </w:tc>
        <w:tc>
          <w:tcPr>
            <w:tcW w:w="1158" w:type="dxa"/>
            <w:noWrap w:val="0"/>
            <w:vAlign w:val="center"/>
          </w:tcPr>
          <w:p w14:paraId="77925FD0">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现场安全措施</w:t>
            </w:r>
          </w:p>
        </w:tc>
        <w:tc>
          <w:tcPr>
            <w:tcW w:w="6228" w:type="dxa"/>
            <w:noWrap w:val="0"/>
            <w:vAlign w:val="center"/>
          </w:tcPr>
          <w:p w14:paraId="50798272">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按现场安全要求规范布施安全防护设施；</w:t>
            </w:r>
          </w:p>
        </w:tc>
        <w:tc>
          <w:tcPr>
            <w:tcW w:w="672" w:type="dxa"/>
            <w:noWrap w:val="0"/>
            <w:vAlign w:val="center"/>
          </w:tcPr>
          <w:p w14:paraId="35E9046D">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项</w:t>
            </w:r>
          </w:p>
        </w:tc>
        <w:tc>
          <w:tcPr>
            <w:tcW w:w="745" w:type="dxa"/>
            <w:noWrap w:val="0"/>
            <w:vAlign w:val="center"/>
          </w:tcPr>
          <w:p w14:paraId="07A6B154">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w:t>
            </w:r>
          </w:p>
        </w:tc>
      </w:tr>
      <w:tr w14:paraId="5CFB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1" w:type="dxa"/>
            <w:noWrap w:val="0"/>
            <w:vAlign w:val="center"/>
          </w:tcPr>
          <w:p w14:paraId="124B6120">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lang w:val="en-US" w:eastAsia="zh-CN"/>
              </w:rPr>
              <w:t>8</w:t>
            </w:r>
            <w:r>
              <w:rPr>
                <w:rFonts w:hint="eastAsia" w:ascii="楷体" w:hAnsi="楷体" w:eastAsia="楷体" w:cs="楷体"/>
                <w:color w:val="000000"/>
                <w:kern w:val="0"/>
                <w:sz w:val="24"/>
                <w:highlight w:val="none"/>
              </w:rPr>
              <w:t>.9</w:t>
            </w:r>
          </w:p>
        </w:tc>
        <w:tc>
          <w:tcPr>
            <w:tcW w:w="1158" w:type="dxa"/>
            <w:noWrap w:val="0"/>
            <w:vAlign w:val="center"/>
          </w:tcPr>
          <w:p w14:paraId="5262BCE5">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称重标定调试</w:t>
            </w:r>
          </w:p>
        </w:tc>
        <w:tc>
          <w:tcPr>
            <w:tcW w:w="6228" w:type="dxa"/>
            <w:noWrap w:val="0"/>
            <w:vAlign w:val="center"/>
          </w:tcPr>
          <w:p w14:paraId="42B8D89F">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按2、3、4、6轴型车辆标定调试；</w:t>
            </w:r>
          </w:p>
        </w:tc>
        <w:tc>
          <w:tcPr>
            <w:tcW w:w="672" w:type="dxa"/>
            <w:noWrap w:val="0"/>
            <w:vAlign w:val="center"/>
          </w:tcPr>
          <w:p w14:paraId="072AC8B1">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项</w:t>
            </w:r>
          </w:p>
        </w:tc>
        <w:tc>
          <w:tcPr>
            <w:tcW w:w="745" w:type="dxa"/>
            <w:noWrap w:val="0"/>
            <w:vAlign w:val="center"/>
          </w:tcPr>
          <w:p w14:paraId="5E385194">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8</w:t>
            </w:r>
          </w:p>
        </w:tc>
      </w:tr>
      <w:tr w14:paraId="137E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1" w:type="dxa"/>
            <w:noWrap w:val="0"/>
            <w:vAlign w:val="center"/>
          </w:tcPr>
          <w:p w14:paraId="460BCD08">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lang w:val="en-US" w:eastAsia="zh-CN"/>
              </w:rPr>
              <w:t>8</w:t>
            </w:r>
            <w:r>
              <w:rPr>
                <w:rFonts w:hint="eastAsia" w:ascii="楷体" w:hAnsi="楷体" w:eastAsia="楷体" w:cs="楷体"/>
                <w:color w:val="000000"/>
                <w:kern w:val="0"/>
                <w:sz w:val="24"/>
                <w:highlight w:val="none"/>
              </w:rPr>
              <w:t>.10</w:t>
            </w:r>
          </w:p>
        </w:tc>
        <w:tc>
          <w:tcPr>
            <w:tcW w:w="1158" w:type="dxa"/>
            <w:noWrap w:val="0"/>
            <w:vAlign w:val="center"/>
          </w:tcPr>
          <w:p w14:paraId="561B2150">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设备调试</w:t>
            </w:r>
          </w:p>
        </w:tc>
        <w:tc>
          <w:tcPr>
            <w:tcW w:w="6228" w:type="dxa"/>
            <w:noWrap w:val="0"/>
            <w:vAlign w:val="center"/>
          </w:tcPr>
          <w:p w14:paraId="3AE3C926">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设备调试；</w:t>
            </w:r>
          </w:p>
        </w:tc>
        <w:tc>
          <w:tcPr>
            <w:tcW w:w="672" w:type="dxa"/>
            <w:noWrap w:val="0"/>
            <w:vAlign w:val="center"/>
          </w:tcPr>
          <w:p w14:paraId="14381DFB">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项</w:t>
            </w:r>
          </w:p>
        </w:tc>
        <w:tc>
          <w:tcPr>
            <w:tcW w:w="745" w:type="dxa"/>
            <w:noWrap w:val="0"/>
            <w:vAlign w:val="center"/>
          </w:tcPr>
          <w:p w14:paraId="784A2429">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w:t>
            </w:r>
          </w:p>
        </w:tc>
      </w:tr>
      <w:tr w14:paraId="6A4D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1" w:type="dxa"/>
            <w:noWrap w:val="0"/>
            <w:vAlign w:val="center"/>
          </w:tcPr>
          <w:p w14:paraId="33D3F220">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lang w:val="en-US" w:eastAsia="zh-CN"/>
              </w:rPr>
              <w:t>8</w:t>
            </w:r>
            <w:r>
              <w:rPr>
                <w:rFonts w:hint="eastAsia" w:ascii="楷体" w:hAnsi="楷体" w:eastAsia="楷体" w:cs="楷体"/>
                <w:color w:val="000000"/>
                <w:kern w:val="0"/>
                <w:sz w:val="24"/>
                <w:highlight w:val="none"/>
              </w:rPr>
              <w:t>.11</w:t>
            </w:r>
          </w:p>
        </w:tc>
        <w:tc>
          <w:tcPr>
            <w:tcW w:w="1158" w:type="dxa"/>
            <w:noWrap w:val="0"/>
            <w:vAlign w:val="center"/>
          </w:tcPr>
          <w:p w14:paraId="6E00CDAA">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运输</w:t>
            </w:r>
          </w:p>
        </w:tc>
        <w:tc>
          <w:tcPr>
            <w:tcW w:w="6228" w:type="dxa"/>
            <w:noWrap w:val="0"/>
            <w:vAlign w:val="center"/>
          </w:tcPr>
          <w:p w14:paraId="6672D661">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设备等运输；</w:t>
            </w:r>
          </w:p>
        </w:tc>
        <w:tc>
          <w:tcPr>
            <w:tcW w:w="672" w:type="dxa"/>
            <w:noWrap w:val="0"/>
            <w:vAlign w:val="center"/>
          </w:tcPr>
          <w:p w14:paraId="6835C2C3">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项</w:t>
            </w:r>
          </w:p>
        </w:tc>
        <w:tc>
          <w:tcPr>
            <w:tcW w:w="745" w:type="dxa"/>
            <w:noWrap w:val="0"/>
            <w:vAlign w:val="center"/>
          </w:tcPr>
          <w:p w14:paraId="248C9D19">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w:t>
            </w:r>
          </w:p>
        </w:tc>
      </w:tr>
      <w:tr w14:paraId="61A8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1" w:type="dxa"/>
            <w:noWrap w:val="0"/>
            <w:vAlign w:val="center"/>
          </w:tcPr>
          <w:p w14:paraId="18B19DD6">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lang w:val="en-US" w:eastAsia="zh-CN"/>
              </w:rPr>
              <w:t>8</w:t>
            </w:r>
            <w:r>
              <w:rPr>
                <w:rFonts w:hint="eastAsia" w:ascii="楷体" w:hAnsi="楷体" w:eastAsia="楷体" w:cs="楷体"/>
                <w:color w:val="000000"/>
                <w:kern w:val="0"/>
                <w:sz w:val="24"/>
                <w:highlight w:val="none"/>
              </w:rPr>
              <w:t>.12</w:t>
            </w:r>
          </w:p>
        </w:tc>
        <w:tc>
          <w:tcPr>
            <w:tcW w:w="1158" w:type="dxa"/>
            <w:noWrap w:val="0"/>
            <w:vAlign w:val="center"/>
          </w:tcPr>
          <w:p w14:paraId="19F03F31">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系统联调</w:t>
            </w:r>
          </w:p>
        </w:tc>
        <w:tc>
          <w:tcPr>
            <w:tcW w:w="6228" w:type="dxa"/>
            <w:noWrap w:val="0"/>
            <w:vAlign w:val="center"/>
          </w:tcPr>
          <w:p w14:paraId="2645D76B">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现场；</w:t>
            </w:r>
          </w:p>
        </w:tc>
        <w:tc>
          <w:tcPr>
            <w:tcW w:w="672" w:type="dxa"/>
            <w:noWrap w:val="0"/>
            <w:vAlign w:val="center"/>
          </w:tcPr>
          <w:p w14:paraId="589BEA60">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项</w:t>
            </w:r>
          </w:p>
        </w:tc>
        <w:tc>
          <w:tcPr>
            <w:tcW w:w="745" w:type="dxa"/>
            <w:noWrap w:val="0"/>
            <w:vAlign w:val="center"/>
          </w:tcPr>
          <w:p w14:paraId="7CEA4CF3">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w:t>
            </w:r>
          </w:p>
        </w:tc>
      </w:tr>
      <w:tr w14:paraId="21A6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1" w:type="dxa"/>
            <w:noWrap w:val="0"/>
            <w:vAlign w:val="center"/>
          </w:tcPr>
          <w:p w14:paraId="751DDCA6">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lang w:val="en-US" w:eastAsia="zh-CN"/>
              </w:rPr>
              <w:t>8</w:t>
            </w:r>
            <w:r>
              <w:rPr>
                <w:rFonts w:hint="eastAsia" w:ascii="楷体" w:hAnsi="楷体" w:eastAsia="楷体" w:cs="楷体"/>
                <w:color w:val="000000"/>
                <w:kern w:val="0"/>
                <w:sz w:val="24"/>
                <w:highlight w:val="none"/>
              </w:rPr>
              <w:t>.13</w:t>
            </w:r>
          </w:p>
        </w:tc>
        <w:tc>
          <w:tcPr>
            <w:tcW w:w="1158" w:type="dxa"/>
            <w:noWrap w:val="0"/>
            <w:vAlign w:val="center"/>
          </w:tcPr>
          <w:p w14:paraId="528BB0C7">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计量检定</w:t>
            </w:r>
          </w:p>
        </w:tc>
        <w:tc>
          <w:tcPr>
            <w:tcW w:w="6228" w:type="dxa"/>
            <w:noWrap w:val="0"/>
            <w:vAlign w:val="center"/>
          </w:tcPr>
          <w:p w14:paraId="19B8C133">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配合计量单位现场检定；</w:t>
            </w:r>
          </w:p>
        </w:tc>
        <w:tc>
          <w:tcPr>
            <w:tcW w:w="672" w:type="dxa"/>
            <w:noWrap w:val="0"/>
            <w:vAlign w:val="center"/>
          </w:tcPr>
          <w:p w14:paraId="4586320B">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车道</w:t>
            </w:r>
          </w:p>
        </w:tc>
        <w:tc>
          <w:tcPr>
            <w:tcW w:w="745" w:type="dxa"/>
            <w:noWrap w:val="0"/>
            <w:vAlign w:val="center"/>
          </w:tcPr>
          <w:p w14:paraId="3227E35D">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w:t>
            </w:r>
          </w:p>
        </w:tc>
      </w:tr>
      <w:tr w14:paraId="42C1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31" w:type="dxa"/>
            <w:noWrap w:val="0"/>
            <w:vAlign w:val="center"/>
          </w:tcPr>
          <w:p w14:paraId="1FBC8A1D">
            <w:pPr>
              <w:widowControl/>
              <w:shd w:val="clear" w:color="auto" w:fill="auto"/>
              <w:jc w:val="center"/>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三</w:t>
            </w:r>
          </w:p>
        </w:tc>
        <w:tc>
          <w:tcPr>
            <w:tcW w:w="8803" w:type="dxa"/>
            <w:gridSpan w:val="4"/>
            <w:noWrap w:val="0"/>
            <w:vAlign w:val="center"/>
          </w:tcPr>
          <w:p w14:paraId="1FF34F0D">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b/>
                <w:bCs/>
                <w:color w:val="000000"/>
                <w:kern w:val="0"/>
                <w:sz w:val="24"/>
                <w:highlight w:val="none"/>
              </w:rPr>
              <w:t>交通局管理中心系统数据接入与调试</w:t>
            </w:r>
            <w:r>
              <w:rPr>
                <w:rFonts w:hint="eastAsia" w:ascii="楷体" w:hAnsi="楷体" w:eastAsia="楷体" w:cs="楷体"/>
                <w:color w:val="000000"/>
                <w:kern w:val="0"/>
                <w:sz w:val="24"/>
                <w:highlight w:val="none"/>
              </w:rPr>
              <w:t>　　</w:t>
            </w:r>
          </w:p>
        </w:tc>
      </w:tr>
      <w:tr w14:paraId="2664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1" w:type="dxa"/>
            <w:noWrap w:val="0"/>
            <w:vAlign w:val="center"/>
          </w:tcPr>
          <w:p w14:paraId="34748A37">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w:t>
            </w:r>
          </w:p>
        </w:tc>
        <w:tc>
          <w:tcPr>
            <w:tcW w:w="1158" w:type="dxa"/>
            <w:noWrap w:val="0"/>
            <w:vAlign w:val="center"/>
          </w:tcPr>
          <w:p w14:paraId="6D9510FE">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公路治超系统接入与调试</w:t>
            </w:r>
          </w:p>
        </w:tc>
        <w:tc>
          <w:tcPr>
            <w:tcW w:w="6228" w:type="dxa"/>
            <w:noWrap w:val="0"/>
            <w:vAlign w:val="center"/>
          </w:tcPr>
          <w:p w14:paraId="5EA20012">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系统需要实现车辆动态称重、车牌抓拍、不停车检测数据管理，数据采集等功能。路面无障碍；检测路面全覆盖；车辆通行速度正常；跨道可识别；超限自动报警显示；信息自动提示引导；系统监管可无人值守；7*24小时运行；维护简单。</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2、实现车辆的高速动态称重及数据通信，可实时显示车辆的车牌，轴数，总重，速度，时间等信息；</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3、显示出通行车辆的抓拍图像并进行车牌识别，车牌识别数据与不停车称重数据对应；</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4、通过不停车检测区域的车辆，检测出违规信息时，要在前方设置的可变情报板报警显示；</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5、软件界面设计简洁、功能一目了然，突出了系统的易用性，采用图形化控制，提供了极其友好的人机对话式操作环境；</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6、可记录系统运行日志，清晰罗列系统运行过程，包括设备日志和软件日志；</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7、所有连接设备状态的自检功能，可快速、准确定位系统异常设备；</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8、所有检测车辆需要在系统同一个界面中提供不少于三张通过检测区域的照片。</w:t>
            </w:r>
          </w:p>
        </w:tc>
        <w:tc>
          <w:tcPr>
            <w:tcW w:w="672" w:type="dxa"/>
            <w:noWrap w:val="0"/>
            <w:vAlign w:val="center"/>
          </w:tcPr>
          <w:p w14:paraId="2F06B264">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4F17BD01">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50B5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1" w:type="dxa"/>
            <w:noWrap w:val="0"/>
            <w:vAlign w:val="center"/>
          </w:tcPr>
          <w:p w14:paraId="241C2299">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c>
          <w:tcPr>
            <w:tcW w:w="1158" w:type="dxa"/>
            <w:noWrap w:val="0"/>
            <w:vAlign w:val="center"/>
          </w:tcPr>
          <w:p w14:paraId="1B33D1F4">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不停车（非现场）检测治超平台大数据分析系统接入与调试</w:t>
            </w:r>
          </w:p>
        </w:tc>
        <w:tc>
          <w:tcPr>
            <w:tcW w:w="6228" w:type="dxa"/>
            <w:noWrap w:val="0"/>
            <w:vAlign w:val="center"/>
          </w:tcPr>
          <w:p w14:paraId="5323B091">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 xml:space="preserve">1、支持WEB远程访问调用，即时了解治超数据情况； </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 xml:space="preserve">2、支持实时显示称重状态视频和称重数据叠加显示在室内高清拼接大屏； </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 xml:space="preserve">3、支持治超数据统计分析； </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4、不停车检测区域通行车辆车牌及相关数据的查询与管理（不同的账户，不同管理权限）；</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5、浏览、实时观察所有通行车辆数据和图像；</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 xml:space="preserve">6、支持接入其它高、低速治超数据； </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 xml:space="preserve">7、支持自定义个性化功能配置。 </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8、车辆计重原始数据的保存、加密、存储、查询和复现功能；</w:t>
            </w:r>
          </w:p>
        </w:tc>
        <w:tc>
          <w:tcPr>
            <w:tcW w:w="672" w:type="dxa"/>
            <w:noWrap w:val="0"/>
            <w:vAlign w:val="center"/>
          </w:tcPr>
          <w:p w14:paraId="2F0F7084">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1086A5A2">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3BE1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1" w:type="dxa"/>
            <w:noWrap w:val="0"/>
            <w:vAlign w:val="center"/>
          </w:tcPr>
          <w:p w14:paraId="11E41CEE">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3</w:t>
            </w:r>
          </w:p>
        </w:tc>
        <w:tc>
          <w:tcPr>
            <w:tcW w:w="1158" w:type="dxa"/>
            <w:noWrap w:val="0"/>
            <w:vAlign w:val="center"/>
          </w:tcPr>
          <w:p w14:paraId="1FFD24C2">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治超数据与智能交通指挥平台交互子系统接入与调试</w:t>
            </w:r>
          </w:p>
        </w:tc>
        <w:tc>
          <w:tcPr>
            <w:tcW w:w="6228" w:type="dxa"/>
            <w:noWrap w:val="0"/>
            <w:vAlign w:val="center"/>
          </w:tcPr>
          <w:p w14:paraId="02160333">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1、将检测数据上传到省、市级非现场执法平台；</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2、与公安、交警执法平台进行数据交互；</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3、与其它智能交通指挥平台进行数据交互；</w:t>
            </w:r>
          </w:p>
        </w:tc>
        <w:tc>
          <w:tcPr>
            <w:tcW w:w="672" w:type="dxa"/>
            <w:noWrap w:val="0"/>
            <w:vAlign w:val="center"/>
          </w:tcPr>
          <w:p w14:paraId="2D905895">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47344BA9">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044F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1" w:type="dxa"/>
            <w:noWrap w:val="0"/>
            <w:vAlign w:val="center"/>
          </w:tcPr>
          <w:p w14:paraId="376E4EC6">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w:t>
            </w:r>
          </w:p>
        </w:tc>
        <w:tc>
          <w:tcPr>
            <w:tcW w:w="1158" w:type="dxa"/>
            <w:noWrap w:val="0"/>
            <w:vAlign w:val="center"/>
          </w:tcPr>
          <w:p w14:paraId="589E0B87">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重点车辆管理系统接入与调试</w:t>
            </w:r>
          </w:p>
        </w:tc>
        <w:tc>
          <w:tcPr>
            <w:tcW w:w="6228" w:type="dxa"/>
            <w:noWrap w:val="0"/>
            <w:vAlign w:val="center"/>
          </w:tcPr>
          <w:p w14:paraId="468183FC">
            <w:pPr>
              <w:widowControl/>
              <w:shd w:val="clear" w:color="auto" w:fill="auto"/>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1、重点车辆信息管理；</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2、多次超载车辆进入重点车辆管理名单；</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3、重点车辆预警信息管理；</w:t>
            </w:r>
          </w:p>
        </w:tc>
        <w:tc>
          <w:tcPr>
            <w:tcW w:w="672" w:type="dxa"/>
            <w:noWrap w:val="0"/>
            <w:vAlign w:val="center"/>
          </w:tcPr>
          <w:p w14:paraId="4AA6D3AF">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745" w:type="dxa"/>
            <w:noWrap w:val="0"/>
            <w:vAlign w:val="center"/>
          </w:tcPr>
          <w:p w14:paraId="448E7D55">
            <w:pPr>
              <w:widowControl/>
              <w:shd w:val="clear" w:color="auto" w:fill="auto"/>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bl>
    <w:p w14:paraId="6A239F78">
      <w:pPr>
        <w:shd w:val="clear" w:color="auto" w:fill="auto"/>
        <w:spacing w:line="360" w:lineRule="auto"/>
        <w:rPr>
          <w:rFonts w:hint="eastAsia" w:ascii="楷体" w:hAnsi="楷体" w:eastAsia="楷体" w:cs="楷体"/>
          <w:b/>
          <w:bCs/>
          <w:sz w:val="24"/>
          <w:highlight w:val="none"/>
          <w:lang w:bidi="ar"/>
        </w:rPr>
      </w:pPr>
      <w:bookmarkStart w:id="1" w:name="_GoBack"/>
      <w:r>
        <w:rPr>
          <w:rFonts w:hint="eastAsia" w:ascii="楷体" w:hAnsi="楷体" w:eastAsia="楷体" w:cs="楷体"/>
          <w:b/>
          <w:bCs/>
          <w:sz w:val="24"/>
          <w:highlight w:val="none"/>
          <w:lang w:bidi="ar"/>
        </w:rPr>
        <w:t>（二）标段二：区间测速系统</w:t>
      </w:r>
    </w:p>
    <w:bookmarkEnd w:id="1"/>
    <w:tbl>
      <w:tblPr>
        <w:tblStyle w:val="4"/>
        <w:tblW w:w="5333" w:type="pct"/>
        <w:tblInd w:w="0" w:type="dxa"/>
        <w:tblLayout w:type="fixed"/>
        <w:tblCellMar>
          <w:top w:w="0" w:type="dxa"/>
          <w:left w:w="108" w:type="dxa"/>
          <w:bottom w:w="0" w:type="dxa"/>
          <w:right w:w="108" w:type="dxa"/>
        </w:tblCellMar>
      </w:tblPr>
      <w:tblGrid>
        <w:gridCol w:w="782"/>
        <w:gridCol w:w="1245"/>
        <w:gridCol w:w="5647"/>
        <w:gridCol w:w="1007"/>
        <w:gridCol w:w="1070"/>
      </w:tblGrid>
      <w:tr w14:paraId="51A19399">
        <w:tblPrEx>
          <w:tblCellMar>
            <w:top w:w="0" w:type="dxa"/>
            <w:left w:w="108" w:type="dxa"/>
            <w:bottom w:w="0" w:type="dxa"/>
            <w:right w:w="108" w:type="dxa"/>
          </w:tblCellMar>
        </w:tblPrEx>
        <w:trPr>
          <w:trHeight w:val="499" w:hRule="atLeast"/>
        </w:trPr>
        <w:tc>
          <w:tcPr>
            <w:tcW w:w="400" w:type="pct"/>
            <w:tcBorders>
              <w:top w:val="single" w:color="auto" w:sz="4" w:space="0"/>
              <w:left w:val="single" w:color="auto" w:sz="4" w:space="0"/>
              <w:bottom w:val="single" w:color="auto" w:sz="4" w:space="0"/>
              <w:right w:val="single" w:color="auto" w:sz="4" w:space="0"/>
            </w:tcBorders>
            <w:noWrap/>
            <w:vAlign w:val="center"/>
          </w:tcPr>
          <w:p w14:paraId="205E92A6">
            <w:pPr>
              <w:widowControl/>
              <w:shd w:val="clear" w:color="auto" w:fill="auto"/>
              <w:adjustRightInd w:val="0"/>
              <w:snapToGrid w:val="0"/>
              <w:jc w:val="center"/>
              <w:rPr>
                <w:rFonts w:hint="eastAsia" w:ascii="楷体" w:hAnsi="楷体" w:eastAsia="楷体" w:cs="楷体"/>
                <w:b/>
                <w:bCs/>
                <w:color w:val="000000"/>
                <w:kern w:val="0"/>
                <w:sz w:val="24"/>
                <w:highlight w:val="none"/>
              </w:rPr>
            </w:pPr>
            <w:bookmarkStart w:id="0" w:name="_Hlk212020748"/>
            <w:r>
              <w:rPr>
                <w:rFonts w:hint="eastAsia" w:ascii="楷体" w:hAnsi="楷体" w:eastAsia="楷体" w:cs="楷体"/>
                <w:b/>
                <w:bCs/>
                <w:color w:val="000000"/>
                <w:kern w:val="0"/>
                <w:sz w:val="24"/>
                <w:highlight w:val="none"/>
              </w:rPr>
              <w:t>序号</w:t>
            </w:r>
          </w:p>
        </w:tc>
        <w:tc>
          <w:tcPr>
            <w:tcW w:w="638" w:type="pct"/>
            <w:tcBorders>
              <w:top w:val="single" w:color="auto" w:sz="4" w:space="0"/>
              <w:left w:val="nil"/>
              <w:bottom w:val="single" w:color="auto" w:sz="4" w:space="0"/>
              <w:right w:val="single" w:color="auto" w:sz="4" w:space="0"/>
            </w:tcBorders>
            <w:noWrap w:val="0"/>
            <w:vAlign w:val="center"/>
          </w:tcPr>
          <w:p w14:paraId="66EBE758">
            <w:pPr>
              <w:widowControl/>
              <w:shd w:val="clear" w:color="auto" w:fill="auto"/>
              <w:adjustRightInd w:val="0"/>
              <w:snapToGrid w:val="0"/>
              <w:jc w:val="center"/>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名称</w:t>
            </w:r>
          </w:p>
        </w:tc>
        <w:tc>
          <w:tcPr>
            <w:tcW w:w="2895" w:type="pct"/>
            <w:tcBorders>
              <w:top w:val="single" w:color="auto" w:sz="4" w:space="0"/>
              <w:left w:val="nil"/>
              <w:bottom w:val="single" w:color="auto" w:sz="4" w:space="0"/>
              <w:right w:val="single" w:color="auto" w:sz="4" w:space="0"/>
            </w:tcBorders>
            <w:noWrap w:val="0"/>
            <w:vAlign w:val="center"/>
          </w:tcPr>
          <w:p w14:paraId="19354E3D">
            <w:pPr>
              <w:widowControl/>
              <w:shd w:val="clear" w:color="auto" w:fill="auto"/>
              <w:adjustRightInd w:val="0"/>
              <w:snapToGrid w:val="0"/>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规格参数</w:t>
            </w:r>
          </w:p>
        </w:tc>
        <w:tc>
          <w:tcPr>
            <w:tcW w:w="516" w:type="pct"/>
            <w:tcBorders>
              <w:top w:val="single" w:color="auto" w:sz="4" w:space="0"/>
              <w:left w:val="nil"/>
              <w:bottom w:val="single" w:color="auto" w:sz="4" w:space="0"/>
              <w:right w:val="single" w:color="auto" w:sz="4" w:space="0"/>
            </w:tcBorders>
            <w:noWrap/>
            <w:vAlign w:val="center"/>
          </w:tcPr>
          <w:p w14:paraId="11F8CF9E">
            <w:pPr>
              <w:widowControl/>
              <w:shd w:val="clear" w:color="auto" w:fill="auto"/>
              <w:adjustRightInd w:val="0"/>
              <w:snapToGrid w:val="0"/>
              <w:jc w:val="center"/>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单位</w:t>
            </w:r>
          </w:p>
        </w:tc>
        <w:tc>
          <w:tcPr>
            <w:tcW w:w="548" w:type="pct"/>
            <w:tcBorders>
              <w:top w:val="single" w:color="auto" w:sz="4" w:space="0"/>
              <w:left w:val="nil"/>
              <w:bottom w:val="single" w:color="auto" w:sz="4" w:space="0"/>
              <w:right w:val="single" w:color="auto" w:sz="4" w:space="0"/>
            </w:tcBorders>
            <w:noWrap/>
            <w:vAlign w:val="center"/>
          </w:tcPr>
          <w:p w14:paraId="261786E5">
            <w:pPr>
              <w:widowControl/>
              <w:shd w:val="clear" w:color="auto" w:fill="auto"/>
              <w:adjustRightInd w:val="0"/>
              <w:snapToGrid w:val="0"/>
              <w:jc w:val="center"/>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数量</w:t>
            </w:r>
          </w:p>
        </w:tc>
      </w:tr>
      <w:tr w14:paraId="7F16E9B8">
        <w:tblPrEx>
          <w:tblCellMar>
            <w:top w:w="0" w:type="dxa"/>
            <w:left w:w="108" w:type="dxa"/>
            <w:bottom w:w="0" w:type="dxa"/>
            <w:right w:w="108" w:type="dxa"/>
          </w:tblCellMar>
        </w:tblPrEx>
        <w:trPr>
          <w:trHeight w:val="537"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5F96612E">
            <w:pPr>
              <w:widowControl/>
              <w:shd w:val="clear" w:color="auto" w:fill="auto"/>
              <w:adjustRightInd w:val="0"/>
              <w:snapToGrid w:val="0"/>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一、区间测速系统前端设备</w:t>
            </w:r>
          </w:p>
        </w:tc>
      </w:tr>
      <w:tr w14:paraId="3B2974E5">
        <w:tblPrEx>
          <w:tblCellMar>
            <w:top w:w="0" w:type="dxa"/>
            <w:left w:w="108" w:type="dxa"/>
            <w:bottom w:w="0" w:type="dxa"/>
            <w:right w:w="108" w:type="dxa"/>
          </w:tblCellMar>
        </w:tblPrEx>
        <w:trPr>
          <w:trHeight w:val="270" w:hRule="atLeast"/>
        </w:trPr>
        <w:tc>
          <w:tcPr>
            <w:tcW w:w="400" w:type="pct"/>
            <w:tcBorders>
              <w:top w:val="nil"/>
              <w:left w:val="single" w:color="auto" w:sz="4" w:space="0"/>
              <w:bottom w:val="single" w:color="auto" w:sz="4" w:space="0"/>
              <w:right w:val="single" w:color="auto" w:sz="4" w:space="0"/>
            </w:tcBorders>
            <w:noWrap/>
            <w:vAlign w:val="center"/>
          </w:tcPr>
          <w:p w14:paraId="216E4640">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w:t>
            </w:r>
          </w:p>
        </w:tc>
        <w:tc>
          <w:tcPr>
            <w:tcW w:w="638" w:type="pct"/>
            <w:tcBorders>
              <w:top w:val="nil"/>
              <w:left w:val="nil"/>
              <w:bottom w:val="single" w:color="auto" w:sz="4" w:space="0"/>
              <w:right w:val="single" w:color="auto" w:sz="4" w:space="0"/>
            </w:tcBorders>
            <w:noWrap w:val="0"/>
            <w:vAlign w:val="center"/>
          </w:tcPr>
          <w:p w14:paraId="0894311E">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900万测速抓拍单元</w:t>
            </w:r>
          </w:p>
        </w:tc>
        <w:tc>
          <w:tcPr>
            <w:tcW w:w="2895" w:type="pct"/>
            <w:tcBorders>
              <w:top w:val="nil"/>
              <w:left w:val="nil"/>
              <w:bottom w:val="single" w:color="auto" w:sz="4" w:space="0"/>
              <w:right w:val="single" w:color="auto" w:sz="4" w:space="0"/>
            </w:tcBorders>
            <w:noWrap/>
            <w:vAlign w:val="center"/>
          </w:tcPr>
          <w:p w14:paraId="46394DBF">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 包含摄像机、室外防护罩、电源适配器等组成；</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 图像分辨率不低于4096×2336，像素≥900万；</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 设备采用先进的图像融合技术，夜间不得使用白光爆闪灯或外加频闪灯（正常环境光路口，电警可仅采用下挂灯）；</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4. 传感器：GS-CMOS，1.1英寸，视频分辨率不低于4096×2336，抓图分辨率不低于4096×2336；</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5. ▲前排人脸检测功能检查：支持车辆前排人脸检测并识别主驾驶员的性别、是否戴眼镜结构化属性信息；支持在抓拍图上叠加主/副驾驶人脸小图和主/副驾驶员的结构化属性信息，结构化属性信息可通过OSD叠加到抓拍图中。</w:t>
            </w:r>
            <w:r>
              <w:rPr>
                <w:rFonts w:hint="eastAsia" w:ascii="楷体" w:hAnsi="楷体" w:eastAsia="楷体" w:cs="楷体"/>
                <w:b/>
                <w:bCs/>
                <w:color w:val="000000"/>
                <w:kern w:val="0"/>
                <w:sz w:val="24"/>
                <w:highlight w:val="none"/>
              </w:rPr>
              <w:t>（提供由公安部或公安部门批准和监管的检测机构出具的检测报告复印件并加盖投标人公章）</w:t>
            </w:r>
          </w:p>
          <w:p w14:paraId="04E0AF4E">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6. 支持配合外接补光灯控制使用，支持闪光灯和频闪灯同步补光；</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7. 支持自动采集车道、车流量、平均速度、车辆类型、占有率、平均车头时距、平均排队长度、时间段等交通信息数据并进行统计，支持自动上传采集的交通信息数据，上传时间间隔可设置；</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8. ▲抓图特写区域范围设置功能检查：支持对抓图特写区域的范围进行设置。</w:t>
            </w:r>
            <w:r>
              <w:rPr>
                <w:rFonts w:hint="eastAsia" w:ascii="楷体" w:hAnsi="楷体" w:eastAsia="楷体" w:cs="楷体"/>
                <w:b/>
                <w:bCs/>
                <w:color w:val="000000"/>
                <w:kern w:val="0"/>
                <w:sz w:val="24"/>
                <w:highlight w:val="none"/>
              </w:rPr>
              <w:t>（提供由公安部或公安部门批准和监管的检测机构出具的检测报告复印件并加盖投标人公章）</w:t>
            </w:r>
            <w:r>
              <w:rPr>
                <w:rFonts w:hint="eastAsia" w:ascii="楷体" w:hAnsi="楷体" w:eastAsia="楷体" w:cs="楷体"/>
                <w:b/>
                <w:bCs/>
                <w:color w:val="000000"/>
                <w:kern w:val="0"/>
                <w:sz w:val="24"/>
                <w:highlight w:val="none"/>
              </w:rPr>
              <w:br w:type="textWrapping"/>
            </w:r>
            <w:r>
              <w:rPr>
                <w:rFonts w:hint="eastAsia" w:ascii="楷体" w:hAnsi="楷体" w:eastAsia="楷体" w:cs="楷体"/>
                <w:color w:val="000000"/>
                <w:kern w:val="0"/>
                <w:sz w:val="24"/>
                <w:highlight w:val="none"/>
              </w:rPr>
              <w:t>9. 支持车牌识别功能：白天识别准确率≥99%；晚上识别准确率≥99%；</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10. 支持车辆违章变道检测抓拍功能， 白天捕获率≥99%； 晚上捕获率≥99%；</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11.▲支持对超速(按所设超速阈值)行使的车辆进行检测抓拍功能， 白天捕获率≥99%； 晚上捕获率≥99%；</w:t>
            </w:r>
            <w:r>
              <w:rPr>
                <w:rFonts w:hint="eastAsia" w:ascii="楷体" w:hAnsi="楷体" w:eastAsia="楷体" w:cs="楷体"/>
                <w:b/>
                <w:bCs/>
                <w:color w:val="000000"/>
                <w:kern w:val="0"/>
                <w:sz w:val="24"/>
                <w:highlight w:val="none"/>
              </w:rPr>
              <w:t>（提供由公安部或公安部门批准和监管的检测机构出具的检测报告复印件并加盖投标人公章）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12.▲透雾模式功能检查：支持透雾模式的开启和关闭，可分别设置早晨/傍晚/白天/夜晚等不同场景下的透雾模式状态。</w:t>
            </w:r>
            <w:r>
              <w:rPr>
                <w:rFonts w:hint="eastAsia" w:ascii="楷体" w:hAnsi="楷体" w:eastAsia="楷体" w:cs="楷体"/>
                <w:b/>
                <w:bCs/>
                <w:color w:val="000000"/>
                <w:kern w:val="0"/>
                <w:sz w:val="24"/>
                <w:highlight w:val="none"/>
              </w:rPr>
              <w:t>（提供由公安部或公安部门批准和监管的检测机构出具的检测报告复印件并加盖投标人公章）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13. 支持普通卡口/人员卡口模式切换；</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14. 支持车辆逆行检测抓拍功能， 白天捕获率≥99%； 晚上捕获率≥99%；</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15. 支持通过视频触发进行车辆抓拍，支持车牌识别、车身颜色识别、车型识别，通行车辆信息捕获和违章检测功能；</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16. 支持设置卡口抓拍高速应用模式；</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17. 支持对驾驶员行车时是否有打电话动作的检测。白天识别准确率≥99%；晚上识别准确率≥99%；</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18. 支持检测并跟踪指定区域内不少于220个目标，目标包括机动车、非机动车以及行人等；</w:t>
            </w:r>
          </w:p>
        </w:tc>
        <w:tc>
          <w:tcPr>
            <w:tcW w:w="516" w:type="pct"/>
            <w:tcBorders>
              <w:top w:val="nil"/>
              <w:left w:val="nil"/>
              <w:bottom w:val="single" w:color="auto" w:sz="4" w:space="0"/>
              <w:right w:val="single" w:color="auto" w:sz="4" w:space="0"/>
            </w:tcBorders>
            <w:noWrap/>
            <w:vAlign w:val="center"/>
          </w:tcPr>
          <w:p w14:paraId="165A743D">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台</w:t>
            </w:r>
          </w:p>
        </w:tc>
        <w:tc>
          <w:tcPr>
            <w:tcW w:w="548" w:type="pct"/>
            <w:tcBorders>
              <w:top w:val="nil"/>
              <w:left w:val="nil"/>
              <w:bottom w:val="single" w:color="auto" w:sz="4" w:space="0"/>
              <w:right w:val="single" w:color="auto" w:sz="4" w:space="0"/>
            </w:tcBorders>
            <w:noWrap/>
            <w:vAlign w:val="center"/>
          </w:tcPr>
          <w:p w14:paraId="210561A1">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w:t>
            </w:r>
          </w:p>
        </w:tc>
      </w:tr>
      <w:tr w14:paraId="58586084">
        <w:tblPrEx>
          <w:tblCellMar>
            <w:top w:w="0" w:type="dxa"/>
            <w:left w:w="108" w:type="dxa"/>
            <w:bottom w:w="0" w:type="dxa"/>
            <w:right w:w="108" w:type="dxa"/>
          </w:tblCellMar>
        </w:tblPrEx>
        <w:trPr>
          <w:trHeight w:val="270" w:hRule="atLeast"/>
        </w:trPr>
        <w:tc>
          <w:tcPr>
            <w:tcW w:w="400" w:type="pct"/>
            <w:tcBorders>
              <w:top w:val="nil"/>
              <w:left w:val="single" w:color="auto" w:sz="4" w:space="0"/>
              <w:bottom w:val="single" w:color="auto" w:sz="4" w:space="0"/>
              <w:right w:val="single" w:color="auto" w:sz="4" w:space="0"/>
            </w:tcBorders>
            <w:noWrap/>
            <w:vAlign w:val="center"/>
          </w:tcPr>
          <w:p w14:paraId="3082F2CD">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c>
          <w:tcPr>
            <w:tcW w:w="638" w:type="pct"/>
            <w:tcBorders>
              <w:top w:val="nil"/>
              <w:left w:val="nil"/>
              <w:bottom w:val="single" w:color="auto" w:sz="4" w:space="0"/>
              <w:right w:val="single" w:color="auto" w:sz="4" w:space="0"/>
            </w:tcBorders>
            <w:noWrap w:val="0"/>
            <w:vAlign w:val="center"/>
          </w:tcPr>
          <w:p w14:paraId="25E33E94">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网络球机</w:t>
            </w:r>
          </w:p>
        </w:tc>
        <w:tc>
          <w:tcPr>
            <w:tcW w:w="2895" w:type="pct"/>
            <w:tcBorders>
              <w:top w:val="nil"/>
              <w:left w:val="nil"/>
              <w:bottom w:val="single" w:color="auto" w:sz="4" w:space="0"/>
              <w:right w:val="single" w:color="auto" w:sz="4" w:space="0"/>
            </w:tcBorders>
            <w:noWrap/>
            <w:vAlign w:val="center"/>
          </w:tcPr>
          <w:p w14:paraId="5713E2E7">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1、全景细节像素均不小于400万,CMOS靶面尺寸均不小于1/1.8英寸</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2、内置GPU芯片,支持深度学习算法,有效提升检测准确率</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3、全景相机内置不小于30米白光灯补光,采用暖色调和柔化处理,有效降低炫目程度；细节相机内置不小于150米柔光补光,采用倍率与补光灯功率匹配算法,补光效果更均匀</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4、设备可输出全景画面和细节画面,所有摄像机可通过IE浏览器设置云台转动位置</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5、▲全景摄像机：水平：0°~360°,连续旋转,垂直角度：0°~30°；细节摄像机水平角度：0°~340°,垂直角度：-10°~180°,旋转过程中无水平翻转</w:t>
            </w:r>
            <w:r>
              <w:rPr>
                <w:rFonts w:hint="eastAsia" w:ascii="楷体" w:hAnsi="楷体" w:eastAsia="楷体" w:cs="楷体"/>
                <w:b/>
                <w:bCs/>
                <w:color w:val="000000"/>
                <w:kern w:val="0"/>
                <w:sz w:val="24"/>
                <w:highlight w:val="none"/>
              </w:rPr>
              <w:t>（提供由公安部或公安部门批准和监管的检测机构出具的检测报告复印件并加盖投标人公章）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6、支持快速智能切换,当更换当前智能模式时设备不需重启,新智能使能后即可生效。</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7、多场景分别配置不同智能后,可进行多场景智能巡航,进行不同智能功能的分时复用</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8、▲细节镜头内置GMR磁场传感器，当镜头群组收到外力作用发生偏移时可自动复位</w:t>
            </w:r>
            <w:r>
              <w:rPr>
                <w:rFonts w:hint="eastAsia" w:ascii="楷体" w:hAnsi="楷体" w:eastAsia="楷体" w:cs="楷体"/>
                <w:b/>
                <w:bCs/>
                <w:color w:val="000000"/>
                <w:kern w:val="0"/>
                <w:sz w:val="24"/>
                <w:highlight w:val="none"/>
              </w:rPr>
              <w:t>（提供由公安部或公安部门批准和监管的检测机构出具的检测报告复印件并加盖投标人公章）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9、▲细节镜头从最小倍变倍聚焦至样机100m处人脸目标时间不大于0.3s，抓拍图片中人脸目标像素不低于70×70；从最小倍变倍聚焦至样机100m处车牌目标时间不大于0.3s，抓拍图片中车牌目标像素不低于150×50</w:t>
            </w:r>
            <w:r>
              <w:rPr>
                <w:rFonts w:hint="eastAsia" w:ascii="楷体" w:hAnsi="楷体" w:eastAsia="楷体" w:cs="楷体"/>
                <w:b/>
                <w:bCs/>
                <w:color w:val="000000"/>
                <w:kern w:val="0"/>
                <w:sz w:val="24"/>
                <w:highlight w:val="none"/>
              </w:rPr>
              <w:t>（提供由公安部或公安部门批准和监管的检测机构出具的检测报告复印件并加盖投标人公章）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10、▲全景摄像机具有4个暖光灯,细节摄像机具备6个混光灯,每个补光灯均包含红外补光模块和白光补光模块,设备支持混合补光,可单独开启红外灯和白光灯。</w:t>
            </w:r>
            <w:r>
              <w:rPr>
                <w:rFonts w:hint="eastAsia" w:ascii="楷体" w:hAnsi="楷体" w:eastAsia="楷体" w:cs="楷体"/>
                <w:b/>
                <w:bCs/>
                <w:color w:val="000000"/>
                <w:kern w:val="0"/>
                <w:sz w:val="24"/>
                <w:highlight w:val="none"/>
              </w:rPr>
              <w:t>（提供由公安部或公安部门批准和监管的检测机构出具的检测报告复印件并加盖投标人公章）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11、内置2路报警输入和1路报警输出,支持报警联动功能</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12、支持IP67防护等级,8000V防雷、防浪涌和防突波保护</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13、支持支持DC36V±25%宽电压输入</w:t>
            </w:r>
          </w:p>
        </w:tc>
        <w:tc>
          <w:tcPr>
            <w:tcW w:w="516" w:type="pct"/>
            <w:tcBorders>
              <w:top w:val="nil"/>
              <w:left w:val="nil"/>
              <w:bottom w:val="single" w:color="auto" w:sz="4" w:space="0"/>
              <w:right w:val="single" w:color="auto" w:sz="4" w:space="0"/>
            </w:tcBorders>
            <w:noWrap/>
            <w:vAlign w:val="center"/>
          </w:tcPr>
          <w:p w14:paraId="184451F2">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台</w:t>
            </w:r>
          </w:p>
        </w:tc>
        <w:tc>
          <w:tcPr>
            <w:tcW w:w="548" w:type="pct"/>
            <w:tcBorders>
              <w:top w:val="nil"/>
              <w:left w:val="nil"/>
              <w:bottom w:val="single" w:color="auto" w:sz="4" w:space="0"/>
              <w:right w:val="single" w:color="auto" w:sz="4" w:space="0"/>
            </w:tcBorders>
            <w:noWrap/>
            <w:vAlign w:val="center"/>
          </w:tcPr>
          <w:p w14:paraId="36C4DC0C">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6BFED744">
        <w:tblPrEx>
          <w:tblCellMar>
            <w:top w:w="0" w:type="dxa"/>
            <w:left w:w="108" w:type="dxa"/>
            <w:bottom w:w="0" w:type="dxa"/>
            <w:right w:w="108" w:type="dxa"/>
          </w:tblCellMar>
        </w:tblPrEx>
        <w:trPr>
          <w:trHeight w:val="270" w:hRule="atLeast"/>
        </w:trPr>
        <w:tc>
          <w:tcPr>
            <w:tcW w:w="400" w:type="pct"/>
            <w:tcBorders>
              <w:top w:val="nil"/>
              <w:left w:val="single" w:color="auto" w:sz="4" w:space="0"/>
              <w:bottom w:val="single" w:color="auto" w:sz="4" w:space="0"/>
              <w:right w:val="single" w:color="auto" w:sz="4" w:space="0"/>
            </w:tcBorders>
            <w:noWrap/>
            <w:vAlign w:val="center"/>
          </w:tcPr>
          <w:p w14:paraId="1422FE7D">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3</w:t>
            </w:r>
          </w:p>
        </w:tc>
        <w:tc>
          <w:tcPr>
            <w:tcW w:w="638" w:type="pct"/>
            <w:tcBorders>
              <w:top w:val="nil"/>
              <w:left w:val="nil"/>
              <w:bottom w:val="single" w:color="auto" w:sz="4" w:space="0"/>
              <w:right w:val="single" w:color="auto" w:sz="4" w:space="0"/>
            </w:tcBorders>
            <w:noWrap w:val="0"/>
            <w:vAlign w:val="center"/>
          </w:tcPr>
          <w:p w14:paraId="67E3810D">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终端服务器</w:t>
            </w:r>
          </w:p>
        </w:tc>
        <w:tc>
          <w:tcPr>
            <w:tcW w:w="2895" w:type="pct"/>
            <w:tcBorders>
              <w:top w:val="nil"/>
              <w:left w:val="nil"/>
              <w:bottom w:val="single" w:color="auto" w:sz="4" w:space="0"/>
              <w:right w:val="single" w:color="auto" w:sz="4" w:space="0"/>
            </w:tcBorders>
            <w:noWrap/>
            <w:vAlign w:val="center"/>
          </w:tcPr>
          <w:p w14:paraId="4B3F60D5">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 内置16个10M/100M自适应以太网口，视频接入模式最大码流支持288Mbps，卡口合成模式最大码流支持240Mbps；</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 支持同时对接4个屏幕，支持按通道设置对应的屏号，支持按行驶方向将不同方向的车辆信息发布到不同屏幕上；</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 支持将屏幕划分为6个区域，各区域可独立配置数据类型、每页停留时间、显示风格，移动速度，字体颜色，字体大小，叠加元素；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4. 支持设置最大速度阈值，控制最大显示速度；支持开启速度控制，设置安全速度阈值、告警速度阈值、超速速度阈值及对应的字体颜色，按速度区段区分显示字体颜色；</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5. 支持仅超速显示车速、卡口合成上传、违法合成上传、无牌车上传、警牌上传、车牌隐私保护等多种个性发布方式；</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6. ▲支持接收与储存违法图片，可选图片类型包括不礼让横向行人、非法加装牛眼灯；</w:t>
            </w:r>
            <w:r>
              <w:rPr>
                <w:rFonts w:hint="eastAsia" w:ascii="楷体" w:hAnsi="楷体" w:eastAsia="楷体" w:cs="楷体"/>
                <w:b/>
                <w:bCs/>
                <w:color w:val="000000"/>
                <w:kern w:val="0"/>
                <w:sz w:val="24"/>
                <w:highlight w:val="none"/>
              </w:rPr>
              <w:t>（提供由公安部或公安部门批准和监管的检测机构出具的检测报告复印件并加盖投标人公章）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7. 支持按图片类型区分设置显示内容和字体颜色、是否启用语音播报及播报内容，支持的图片类型有超速、违法变道、违法停车、预违停、违法倒车、逆行、卡口、未礼让行人、闯红灯、不按导向箭头行驶、车辆拥堵禁入、压白线、有车占道、右转不礼让行人、大弯小转、禁货；</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8. ▲支持按照抓拍时间查询和存储时间查询两种方式查询图片</w:t>
            </w:r>
            <w:r>
              <w:rPr>
                <w:rFonts w:hint="eastAsia" w:ascii="楷体" w:hAnsi="楷体" w:eastAsia="楷体" w:cs="楷体"/>
                <w:b/>
                <w:bCs/>
                <w:color w:val="000000"/>
                <w:kern w:val="0"/>
                <w:sz w:val="24"/>
                <w:highlight w:val="none"/>
              </w:rPr>
              <w:t>（提供由公安部或公安部门批准和监管的检测机构出具的检测报告复印件并加盖投标人公章）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9. 可添加IP摄像机≥16路，支持网络高清视频和图片同时接入，总码率不小于300Mbps；</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10. 支持将1/2/3/4/5/6张原始图片进行合成，支持多种合成形状选择，图片顺序可任意修改；支持去除原始图片黑边；</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11. 支持超速检测和欠速检测。可分别设定高限速和低限速值；</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12. ▲支持关联合成卡口重用，当抓拍到车辆在卡口有多种违法行为时，可以将多违法抓拍图片进行合成</w:t>
            </w:r>
            <w:r>
              <w:rPr>
                <w:rFonts w:hint="eastAsia" w:ascii="楷体" w:hAnsi="楷体" w:eastAsia="楷体" w:cs="楷体"/>
                <w:b/>
                <w:bCs/>
                <w:color w:val="000000"/>
                <w:kern w:val="0"/>
                <w:sz w:val="24"/>
                <w:highlight w:val="none"/>
              </w:rPr>
              <w:t>（提供由公安部或公安部门批准和监管的检测机构出具的检测报告复印件并加盖投标人公章）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13. 对于记录在存储介质上的视(音)频信息，取出的存储介质应能在相同型号的其他设备上正常回放，以保证设备发生故障后记录资料的留存(或复制)；</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14. ▲支持在关联合成方案配置中开启模糊匹配后，只对黄牌车抓拍图进行匹配合成</w:t>
            </w:r>
            <w:r>
              <w:rPr>
                <w:rFonts w:hint="eastAsia" w:ascii="楷体" w:hAnsi="楷体" w:eastAsia="楷体" w:cs="楷体"/>
                <w:b/>
                <w:bCs/>
                <w:color w:val="000000"/>
                <w:kern w:val="0"/>
                <w:sz w:val="24"/>
                <w:highlight w:val="none"/>
              </w:rPr>
              <w:t>（提供由公安部或公安部门批准和监管的检测机构出具的检测报告复印件并加盖投标人公章）</w:t>
            </w:r>
          </w:p>
        </w:tc>
        <w:tc>
          <w:tcPr>
            <w:tcW w:w="516" w:type="pct"/>
            <w:tcBorders>
              <w:top w:val="nil"/>
              <w:left w:val="nil"/>
              <w:bottom w:val="single" w:color="auto" w:sz="4" w:space="0"/>
              <w:right w:val="single" w:color="auto" w:sz="4" w:space="0"/>
            </w:tcBorders>
            <w:noWrap/>
            <w:vAlign w:val="center"/>
          </w:tcPr>
          <w:p w14:paraId="0E984145">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台</w:t>
            </w:r>
          </w:p>
        </w:tc>
        <w:tc>
          <w:tcPr>
            <w:tcW w:w="548" w:type="pct"/>
            <w:tcBorders>
              <w:top w:val="nil"/>
              <w:left w:val="nil"/>
              <w:bottom w:val="single" w:color="auto" w:sz="4" w:space="0"/>
              <w:right w:val="single" w:color="auto" w:sz="4" w:space="0"/>
            </w:tcBorders>
            <w:noWrap/>
            <w:vAlign w:val="center"/>
          </w:tcPr>
          <w:p w14:paraId="330D9F9E">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69A9491C">
        <w:tblPrEx>
          <w:tblCellMar>
            <w:top w:w="0" w:type="dxa"/>
            <w:left w:w="108" w:type="dxa"/>
            <w:bottom w:w="0" w:type="dxa"/>
            <w:right w:w="108" w:type="dxa"/>
          </w:tblCellMar>
        </w:tblPrEx>
        <w:trPr>
          <w:trHeight w:val="285" w:hRule="atLeast"/>
        </w:trPr>
        <w:tc>
          <w:tcPr>
            <w:tcW w:w="400" w:type="pct"/>
            <w:tcBorders>
              <w:top w:val="nil"/>
              <w:left w:val="single" w:color="auto" w:sz="4" w:space="0"/>
              <w:bottom w:val="single" w:color="auto" w:sz="4" w:space="0"/>
              <w:right w:val="single" w:color="auto" w:sz="4" w:space="0"/>
            </w:tcBorders>
            <w:noWrap/>
            <w:vAlign w:val="center"/>
          </w:tcPr>
          <w:p w14:paraId="31DC755E">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w:t>
            </w:r>
          </w:p>
        </w:tc>
        <w:tc>
          <w:tcPr>
            <w:tcW w:w="638" w:type="pct"/>
            <w:tcBorders>
              <w:top w:val="nil"/>
              <w:left w:val="nil"/>
              <w:bottom w:val="single" w:color="auto" w:sz="4" w:space="0"/>
              <w:right w:val="single" w:color="auto" w:sz="4" w:space="0"/>
            </w:tcBorders>
            <w:noWrap w:val="0"/>
            <w:vAlign w:val="center"/>
          </w:tcPr>
          <w:p w14:paraId="7CC60C15">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多合一补光灯</w:t>
            </w:r>
          </w:p>
        </w:tc>
        <w:tc>
          <w:tcPr>
            <w:tcW w:w="2895" w:type="pct"/>
            <w:tcBorders>
              <w:top w:val="nil"/>
              <w:left w:val="nil"/>
              <w:bottom w:val="single" w:color="auto" w:sz="4" w:space="0"/>
              <w:right w:val="single" w:color="auto" w:sz="4" w:space="0"/>
            </w:tcBorders>
            <w:noWrap/>
            <w:vAlign w:val="center"/>
          </w:tcPr>
          <w:p w14:paraId="66F74A7C">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 灯型：多功能一体型：支持暖光LED频闪、暖光LED爆闪、白光氙气爆闪、红外氙气爆闪四种模式；</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 光源：可见光（波长350nm～780nm）；</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 色温：氙气：5800K±200K，LED：3500K；</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4. 中心光照度：LED：≤5lx（20m平均光照度），≤20lx（20m有效光照度），≤80lx（20m频爆光照度）；氙气：≤4000lx；</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5. ▲红外爆闪透光面积功能检查：红外爆闪透光面积小于等于350cm2。</w:t>
            </w:r>
            <w:r>
              <w:rPr>
                <w:rFonts w:hint="eastAsia" w:ascii="楷体" w:hAnsi="楷体" w:eastAsia="楷体" w:cs="楷体"/>
                <w:b/>
                <w:bCs/>
                <w:color w:val="000000"/>
                <w:kern w:val="0"/>
                <w:sz w:val="24"/>
                <w:highlight w:val="none"/>
              </w:rPr>
              <w:t>（提供由公安部或公安部门批准和监管的检测机构出具的检测报告复印件并加盖投标人公章）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6. ▲白光爆闪透光面积检查：白光爆闪透光面积大于等于300cm2。</w:t>
            </w:r>
            <w:r>
              <w:rPr>
                <w:rFonts w:hint="eastAsia" w:ascii="楷体" w:hAnsi="楷体" w:eastAsia="楷体" w:cs="楷体"/>
                <w:b/>
                <w:bCs/>
                <w:color w:val="000000"/>
                <w:kern w:val="0"/>
                <w:sz w:val="24"/>
                <w:highlight w:val="none"/>
              </w:rPr>
              <w:t>（提供由公安部或公安部门批准和监管的检测机构出具的检测报告复印件并加盖投标人公章）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7. 触发方式：开关量；</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8. 光斑覆盖范围：1车道；</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9. 补光距离：16m～26m；</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10. 回电时间：≤70ms；</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11. ▲眩光阈值增量：TI≤2%。</w:t>
            </w:r>
            <w:r>
              <w:rPr>
                <w:rFonts w:hint="eastAsia" w:ascii="楷体" w:hAnsi="楷体" w:eastAsia="楷体" w:cs="楷体"/>
                <w:b/>
                <w:bCs/>
                <w:color w:val="000000"/>
                <w:kern w:val="0"/>
                <w:sz w:val="24"/>
                <w:highlight w:val="none"/>
              </w:rPr>
              <w:t>（提供由公安部或公安部门批准和监管的检测机构出具的检测报告复印件并加盖投标人公章）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12. 闪光持续时间：180μs～500μs；</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13. 爆闪计数：支持统计爆闪次数和触发次数；</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14. 闪光灯寿命：≥1000万次；</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15. 频率：100Hz；</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16. 灯珠数量：24颗（高亮LED）；</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17. 光通量：1000lm；</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18. 频闪时间统计：支持统计频闪持续时间；</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19. 红外白光切换：支持；</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20. 远程故障显示：支持在摄像机WEB上远程显示补光灯故障、正常状态</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21. ▲抖动检查：设备在输入频率50Hz、占空比3%的信号时，LED频闪灯肉眼观察无明显抖动。</w:t>
            </w:r>
            <w:r>
              <w:rPr>
                <w:rFonts w:hint="eastAsia" w:ascii="楷体" w:hAnsi="楷体" w:eastAsia="楷体" w:cs="楷体"/>
                <w:b/>
                <w:bCs/>
                <w:color w:val="000000"/>
                <w:kern w:val="0"/>
                <w:sz w:val="24"/>
                <w:highlight w:val="none"/>
              </w:rPr>
              <w:t>（提供由公安部或公安部门批准和监管的检测机构出具的检测报告复印件并加盖投标人公章）</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22. 亮度调节：氙气：1～16级亮度可调；LED：1～20级亮度可调；</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23. 功耗：≤65J；</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24. 净重：5.3kg</w:t>
            </w:r>
          </w:p>
        </w:tc>
        <w:tc>
          <w:tcPr>
            <w:tcW w:w="516" w:type="pct"/>
            <w:tcBorders>
              <w:top w:val="nil"/>
              <w:left w:val="nil"/>
              <w:bottom w:val="single" w:color="auto" w:sz="4" w:space="0"/>
              <w:right w:val="single" w:color="auto" w:sz="4" w:space="0"/>
            </w:tcBorders>
            <w:noWrap/>
            <w:vAlign w:val="center"/>
          </w:tcPr>
          <w:p w14:paraId="151974A0">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台</w:t>
            </w:r>
          </w:p>
        </w:tc>
        <w:tc>
          <w:tcPr>
            <w:tcW w:w="548" w:type="pct"/>
            <w:tcBorders>
              <w:top w:val="nil"/>
              <w:left w:val="nil"/>
              <w:bottom w:val="single" w:color="auto" w:sz="4" w:space="0"/>
              <w:right w:val="single" w:color="auto" w:sz="4" w:space="0"/>
            </w:tcBorders>
            <w:noWrap/>
            <w:vAlign w:val="center"/>
          </w:tcPr>
          <w:p w14:paraId="6A59CA28">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8</w:t>
            </w:r>
          </w:p>
        </w:tc>
      </w:tr>
      <w:bookmarkEnd w:id="0"/>
      <w:tr w14:paraId="425547F5">
        <w:tblPrEx>
          <w:tblCellMar>
            <w:top w:w="0" w:type="dxa"/>
            <w:left w:w="108" w:type="dxa"/>
            <w:bottom w:w="0" w:type="dxa"/>
            <w:right w:w="108" w:type="dxa"/>
          </w:tblCellMar>
        </w:tblPrEx>
        <w:trPr>
          <w:trHeight w:val="765" w:hRule="atLeast"/>
        </w:trPr>
        <w:tc>
          <w:tcPr>
            <w:tcW w:w="400" w:type="pct"/>
            <w:tcBorders>
              <w:top w:val="nil"/>
              <w:left w:val="single" w:color="auto" w:sz="4" w:space="0"/>
              <w:bottom w:val="single" w:color="auto" w:sz="4" w:space="0"/>
              <w:right w:val="single" w:color="auto" w:sz="4" w:space="0"/>
            </w:tcBorders>
            <w:noWrap/>
            <w:vAlign w:val="center"/>
          </w:tcPr>
          <w:p w14:paraId="3DAA808F">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5</w:t>
            </w:r>
          </w:p>
        </w:tc>
        <w:tc>
          <w:tcPr>
            <w:tcW w:w="638" w:type="pct"/>
            <w:tcBorders>
              <w:top w:val="nil"/>
              <w:left w:val="nil"/>
              <w:bottom w:val="single" w:color="auto" w:sz="4" w:space="0"/>
              <w:right w:val="single" w:color="auto" w:sz="4" w:space="0"/>
            </w:tcBorders>
            <w:noWrap w:val="0"/>
            <w:vAlign w:val="center"/>
          </w:tcPr>
          <w:p w14:paraId="13E783AD">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自动重合闸用电保护器</w:t>
            </w:r>
          </w:p>
        </w:tc>
        <w:tc>
          <w:tcPr>
            <w:tcW w:w="2895" w:type="pct"/>
            <w:tcBorders>
              <w:top w:val="nil"/>
              <w:left w:val="nil"/>
              <w:bottom w:val="single" w:color="auto" w:sz="4" w:space="0"/>
              <w:right w:val="single" w:color="auto" w:sz="4" w:space="0"/>
            </w:tcBorders>
            <w:noWrap w:val="0"/>
            <w:vAlign w:val="center"/>
          </w:tcPr>
          <w:p w14:paraId="17F3EECE">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通过实时监测供电线路的电压、电流、漏电等运行情况对用电设备和线路进行分闸保护</w:t>
            </w:r>
          </w:p>
        </w:tc>
        <w:tc>
          <w:tcPr>
            <w:tcW w:w="516" w:type="pct"/>
            <w:tcBorders>
              <w:top w:val="nil"/>
              <w:left w:val="nil"/>
              <w:bottom w:val="single" w:color="auto" w:sz="4" w:space="0"/>
              <w:right w:val="single" w:color="auto" w:sz="4" w:space="0"/>
            </w:tcBorders>
            <w:noWrap/>
            <w:vAlign w:val="center"/>
          </w:tcPr>
          <w:p w14:paraId="0B70D067">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个</w:t>
            </w:r>
          </w:p>
        </w:tc>
        <w:tc>
          <w:tcPr>
            <w:tcW w:w="548" w:type="pct"/>
            <w:tcBorders>
              <w:top w:val="nil"/>
              <w:left w:val="nil"/>
              <w:bottom w:val="single" w:color="auto" w:sz="4" w:space="0"/>
              <w:right w:val="single" w:color="auto" w:sz="4" w:space="0"/>
            </w:tcBorders>
            <w:noWrap/>
            <w:vAlign w:val="center"/>
          </w:tcPr>
          <w:p w14:paraId="034DEF50">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7B1B159C">
        <w:tblPrEx>
          <w:tblCellMar>
            <w:top w:w="0" w:type="dxa"/>
            <w:left w:w="108" w:type="dxa"/>
            <w:bottom w:w="0" w:type="dxa"/>
            <w:right w:w="108" w:type="dxa"/>
          </w:tblCellMar>
        </w:tblPrEx>
        <w:trPr>
          <w:trHeight w:val="1275" w:hRule="atLeast"/>
        </w:trPr>
        <w:tc>
          <w:tcPr>
            <w:tcW w:w="400" w:type="pct"/>
            <w:tcBorders>
              <w:top w:val="nil"/>
              <w:left w:val="single" w:color="auto" w:sz="4" w:space="0"/>
              <w:bottom w:val="single" w:color="auto" w:sz="4" w:space="0"/>
              <w:right w:val="single" w:color="auto" w:sz="4" w:space="0"/>
            </w:tcBorders>
            <w:noWrap/>
            <w:vAlign w:val="center"/>
          </w:tcPr>
          <w:p w14:paraId="5BD1D00B">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6</w:t>
            </w:r>
          </w:p>
        </w:tc>
        <w:tc>
          <w:tcPr>
            <w:tcW w:w="638" w:type="pct"/>
            <w:tcBorders>
              <w:top w:val="nil"/>
              <w:left w:val="nil"/>
              <w:bottom w:val="single" w:color="auto" w:sz="4" w:space="0"/>
              <w:right w:val="single" w:color="auto" w:sz="4" w:space="0"/>
            </w:tcBorders>
            <w:noWrap w:val="0"/>
            <w:vAlign w:val="center"/>
          </w:tcPr>
          <w:p w14:paraId="0001A6DF">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信号防雷</w:t>
            </w:r>
          </w:p>
        </w:tc>
        <w:tc>
          <w:tcPr>
            <w:tcW w:w="2895" w:type="pct"/>
            <w:tcBorders>
              <w:top w:val="nil"/>
              <w:left w:val="nil"/>
              <w:bottom w:val="single" w:color="auto" w:sz="4" w:space="0"/>
              <w:right w:val="single" w:color="auto" w:sz="4" w:space="0"/>
            </w:tcBorders>
            <w:noWrap w:val="0"/>
            <w:vAlign w:val="center"/>
          </w:tcPr>
          <w:p w14:paraId="49CCC04F">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最大工作电压：6.2V DC；电压保护水平In时Up＜800V；最大放电电流（8/20μs）：7.5KA；插入损耗：≤0.2dB；接口：RJ45；最大传输频率：100M HZ。</w:t>
            </w:r>
          </w:p>
        </w:tc>
        <w:tc>
          <w:tcPr>
            <w:tcW w:w="516" w:type="pct"/>
            <w:tcBorders>
              <w:top w:val="nil"/>
              <w:left w:val="nil"/>
              <w:bottom w:val="single" w:color="auto" w:sz="4" w:space="0"/>
              <w:right w:val="single" w:color="auto" w:sz="4" w:space="0"/>
            </w:tcBorders>
            <w:noWrap/>
            <w:vAlign w:val="center"/>
          </w:tcPr>
          <w:p w14:paraId="79C4313A">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个</w:t>
            </w:r>
          </w:p>
        </w:tc>
        <w:tc>
          <w:tcPr>
            <w:tcW w:w="548" w:type="pct"/>
            <w:tcBorders>
              <w:top w:val="nil"/>
              <w:left w:val="nil"/>
              <w:bottom w:val="single" w:color="auto" w:sz="4" w:space="0"/>
              <w:right w:val="single" w:color="auto" w:sz="4" w:space="0"/>
            </w:tcBorders>
            <w:noWrap/>
            <w:vAlign w:val="center"/>
          </w:tcPr>
          <w:p w14:paraId="4EA1153E">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w:t>
            </w:r>
          </w:p>
        </w:tc>
      </w:tr>
      <w:tr w14:paraId="6B88573F">
        <w:tblPrEx>
          <w:tblCellMar>
            <w:top w:w="0" w:type="dxa"/>
            <w:left w:w="108" w:type="dxa"/>
            <w:bottom w:w="0" w:type="dxa"/>
            <w:right w:w="108" w:type="dxa"/>
          </w:tblCellMar>
        </w:tblPrEx>
        <w:trPr>
          <w:trHeight w:val="1275" w:hRule="atLeast"/>
        </w:trPr>
        <w:tc>
          <w:tcPr>
            <w:tcW w:w="400" w:type="pct"/>
            <w:tcBorders>
              <w:top w:val="nil"/>
              <w:left w:val="single" w:color="auto" w:sz="4" w:space="0"/>
              <w:bottom w:val="single" w:color="auto" w:sz="4" w:space="0"/>
              <w:right w:val="single" w:color="auto" w:sz="4" w:space="0"/>
            </w:tcBorders>
            <w:shd w:val="clear" w:color="auto" w:fill="auto"/>
            <w:noWrap/>
            <w:vAlign w:val="center"/>
          </w:tcPr>
          <w:p w14:paraId="3A8876B4">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7</w:t>
            </w:r>
          </w:p>
        </w:tc>
        <w:tc>
          <w:tcPr>
            <w:tcW w:w="638" w:type="pct"/>
            <w:tcBorders>
              <w:top w:val="nil"/>
              <w:left w:val="nil"/>
              <w:bottom w:val="single" w:color="auto" w:sz="4" w:space="0"/>
              <w:right w:val="single" w:color="auto" w:sz="4" w:space="0"/>
            </w:tcBorders>
            <w:shd w:val="clear" w:color="000000" w:fill="FFFFFF"/>
            <w:noWrap w:val="0"/>
            <w:vAlign w:val="center"/>
          </w:tcPr>
          <w:p w14:paraId="049231E3">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电源防雷器</w:t>
            </w:r>
          </w:p>
        </w:tc>
        <w:tc>
          <w:tcPr>
            <w:tcW w:w="2895" w:type="pct"/>
            <w:tcBorders>
              <w:top w:val="nil"/>
              <w:left w:val="nil"/>
              <w:bottom w:val="single" w:color="auto" w:sz="4" w:space="0"/>
              <w:right w:val="single" w:color="auto" w:sz="4" w:space="0"/>
            </w:tcBorders>
            <w:noWrap w:val="0"/>
            <w:vAlign w:val="center"/>
          </w:tcPr>
          <w:p w14:paraId="7281DE11">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标称电压：单相220V  最大持续工作电压：385V   标称放电电流（8/20μs）：20kA  最大通流容量（8/20μs）：40kA   保护水平（8/20μs）：≤1500V</w:t>
            </w:r>
          </w:p>
        </w:tc>
        <w:tc>
          <w:tcPr>
            <w:tcW w:w="516" w:type="pct"/>
            <w:tcBorders>
              <w:top w:val="nil"/>
              <w:left w:val="nil"/>
              <w:bottom w:val="single" w:color="auto" w:sz="4" w:space="0"/>
              <w:right w:val="single" w:color="auto" w:sz="4" w:space="0"/>
            </w:tcBorders>
            <w:noWrap/>
            <w:vAlign w:val="center"/>
          </w:tcPr>
          <w:p w14:paraId="3CFC2F14">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个</w:t>
            </w:r>
          </w:p>
        </w:tc>
        <w:tc>
          <w:tcPr>
            <w:tcW w:w="548" w:type="pct"/>
            <w:tcBorders>
              <w:top w:val="nil"/>
              <w:left w:val="nil"/>
              <w:bottom w:val="single" w:color="auto" w:sz="4" w:space="0"/>
              <w:right w:val="single" w:color="auto" w:sz="4" w:space="0"/>
            </w:tcBorders>
            <w:noWrap/>
            <w:vAlign w:val="center"/>
          </w:tcPr>
          <w:p w14:paraId="29C28652">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w:t>
            </w:r>
          </w:p>
        </w:tc>
      </w:tr>
      <w:tr w14:paraId="19108A1C">
        <w:tblPrEx>
          <w:tblCellMar>
            <w:top w:w="0" w:type="dxa"/>
            <w:left w:w="108" w:type="dxa"/>
            <w:bottom w:w="0" w:type="dxa"/>
            <w:right w:w="108" w:type="dxa"/>
          </w:tblCellMar>
        </w:tblPrEx>
        <w:trPr>
          <w:trHeight w:val="765" w:hRule="atLeast"/>
        </w:trPr>
        <w:tc>
          <w:tcPr>
            <w:tcW w:w="400" w:type="pct"/>
            <w:tcBorders>
              <w:top w:val="nil"/>
              <w:left w:val="single" w:color="auto" w:sz="4" w:space="0"/>
              <w:bottom w:val="single" w:color="auto" w:sz="4" w:space="0"/>
              <w:right w:val="single" w:color="auto" w:sz="4" w:space="0"/>
            </w:tcBorders>
            <w:noWrap/>
            <w:vAlign w:val="center"/>
          </w:tcPr>
          <w:p w14:paraId="6A8871DB">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8</w:t>
            </w:r>
          </w:p>
        </w:tc>
        <w:tc>
          <w:tcPr>
            <w:tcW w:w="638" w:type="pct"/>
            <w:tcBorders>
              <w:top w:val="nil"/>
              <w:left w:val="nil"/>
              <w:bottom w:val="single" w:color="auto" w:sz="4" w:space="0"/>
              <w:right w:val="single" w:color="auto" w:sz="4" w:space="0"/>
            </w:tcBorders>
            <w:noWrap w:val="0"/>
            <w:vAlign w:val="center"/>
          </w:tcPr>
          <w:p w14:paraId="4753A608">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前端控制箱</w:t>
            </w:r>
          </w:p>
        </w:tc>
        <w:tc>
          <w:tcPr>
            <w:tcW w:w="2895" w:type="pct"/>
            <w:tcBorders>
              <w:top w:val="nil"/>
              <w:left w:val="nil"/>
              <w:bottom w:val="single" w:color="auto" w:sz="4" w:space="0"/>
              <w:right w:val="single" w:color="auto" w:sz="4" w:space="0"/>
            </w:tcBorders>
            <w:noWrap w:val="0"/>
            <w:vAlign w:val="center"/>
          </w:tcPr>
          <w:p w14:paraId="2544881C">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1.含温控、防盗报警、断电自动重启等模板；2.防护等级：IP65；3.规格：≤400*500*600mm</w:t>
            </w:r>
          </w:p>
        </w:tc>
        <w:tc>
          <w:tcPr>
            <w:tcW w:w="516" w:type="pct"/>
            <w:tcBorders>
              <w:top w:val="nil"/>
              <w:left w:val="nil"/>
              <w:bottom w:val="single" w:color="auto" w:sz="4" w:space="0"/>
              <w:right w:val="single" w:color="auto" w:sz="4" w:space="0"/>
            </w:tcBorders>
            <w:noWrap/>
            <w:vAlign w:val="center"/>
          </w:tcPr>
          <w:p w14:paraId="79C49EF0">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台</w:t>
            </w:r>
          </w:p>
        </w:tc>
        <w:tc>
          <w:tcPr>
            <w:tcW w:w="548" w:type="pct"/>
            <w:tcBorders>
              <w:top w:val="nil"/>
              <w:left w:val="nil"/>
              <w:bottom w:val="single" w:color="auto" w:sz="4" w:space="0"/>
              <w:right w:val="single" w:color="auto" w:sz="4" w:space="0"/>
            </w:tcBorders>
            <w:noWrap/>
            <w:vAlign w:val="center"/>
          </w:tcPr>
          <w:p w14:paraId="10ACDAC9">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68DF71A4">
        <w:tblPrEx>
          <w:tblCellMar>
            <w:top w:w="0" w:type="dxa"/>
            <w:left w:w="108" w:type="dxa"/>
            <w:bottom w:w="0" w:type="dxa"/>
            <w:right w:w="108" w:type="dxa"/>
          </w:tblCellMar>
        </w:tblPrEx>
        <w:trPr>
          <w:trHeight w:val="270" w:hRule="atLeast"/>
        </w:trPr>
        <w:tc>
          <w:tcPr>
            <w:tcW w:w="400" w:type="pct"/>
            <w:tcBorders>
              <w:top w:val="nil"/>
              <w:left w:val="single" w:color="auto" w:sz="4" w:space="0"/>
              <w:bottom w:val="single" w:color="auto" w:sz="4" w:space="0"/>
              <w:right w:val="single" w:color="auto" w:sz="4" w:space="0"/>
            </w:tcBorders>
            <w:noWrap/>
            <w:vAlign w:val="center"/>
          </w:tcPr>
          <w:p w14:paraId="3F9F6395">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9</w:t>
            </w:r>
          </w:p>
        </w:tc>
        <w:tc>
          <w:tcPr>
            <w:tcW w:w="638" w:type="pct"/>
            <w:tcBorders>
              <w:top w:val="nil"/>
              <w:left w:val="nil"/>
              <w:bottom w:val="single" w:color="auto" w:sz="4" w:space="0"/>
              <w:right w:val="single" w:color="auto" w:sz="4" w:space="0"/>
            </w:tcBorders>
            <w:noWrap w:val="0"/>
            <w:vAlign w:val="center"/>
          </w:tcPr>
          <w:p w14:paraId="128F784F">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超六类线缆</w:t>
            </w:r>
          </w:p>
        </w:tc>
        <w:tc>
          <w:tcPr>
            <w:tcW w:w="2895" w:type="pct"/>
            <w:tcBorders>
              <w:top w:val="nil"/>
              <w:left w:val="nil"/>
              <w:bottom w:val="single" w:color="auto" w:sz="4" w:space="0"/>
              <w:right w:val="single" w:color="auto" w:sz="4" w:space="0"/>
            </w:tcBorders>
            <w:noWrap w:val="0"/>
            <w:vAlign w:val="center"/>
          </w:tcPr>
          <w:p w14:paraId="3DC4843F">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超六类屏蔽室外网线</w:t>
            </w:r>
          </w:p>
        </w:tc>
        <w:tc>
          <w:tcPr>
            <w:tcW w:w="516" w:type="pct"/>
            <w:tcBorders>
              <w:top w:val="nil"/>
              <w:left w:val="nil"/>
              <w:bottom w:val="single" w:color="auto" w:sz="4" w:space="0"/>
              <w:right w:val="single" w:color="auto" w:sz="4" w:space="0"/>
            </w:tcBorders>
            <w:noWrap/>
            <w:vAlign w:val="center"/>
          </w:tcPr>
          <w:p w14:paraId="51BDF3F0">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米</w:t>
            </w:r>
          </w:p>
        </w:tc>
        <w:tc>
          <w:tcPr>
            <w:tcW w:w="548" w:type="pct"/>
            <w:tcBorders>
              <w:top w:val="nil"/>
              <w:left w:val="nil"/>
              <w:bottom w:val="single" w:color="auto" w:sz="4" w:space="0"/>
              <w:right w:val="single" w:color="auto" w:sz="4" w:space="0"/>
            </w:tcBorders>
            <w:noWrap/>
            <w:vAlign w:val="center"/>
          </w:tcPr>
          <w:p w14:paraId="075C58D1">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300</w:t>
            </w:r>
          </w:p>
        </w:tc>
      </w:tr>
      <w:tr w14:paraId="48B544A4">
        <w:tblPrEx>
          <w:tblCellMar>
            <w:top w:w="0" w:type="dxa"/>
            <w:left w:w="108" w:type="dxa"/>
            <w:bottom w:w="0" w:type="dxa"/>
            <w:right w:w="108" w:type="dxa"/>
          </w:tblCellMar>
        </w:tblPrEx>
        <w:trPr>
          <w:trHeight w:val="270" w:hRule="atLeast"/>
        </w:trPr>
        <w:tc>
          <w:tcPr>
            <w:tcW w:w="400" w:type="pct"/>
            <w:tcBorders>
              <w:top w:val="nil"/>
              <w:left w:val="single" w:color="auto" w:sz="4" w:space="0"/>
              <w:bottom w:val="single" w:color="auto" w:sz="4" w:space="0"/>
              <w:right w:val="single" w:color="auto" w:sz="4" w:space="0"/>
            </w:tcBorders>
            <w:noWrap/>
            <w:vAlign w:val="center"/>
          </w:tcPr>
          <w:p w14:paraId="4FCF08E5">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10</w:t>
            </w:r>
          </w:p>
        </w:tc>
        <w:tc>
          <w:tcPr>
            <w:tcW w:w="638" w:type="pct"/>
            <w:tcBorders>
              <w:top w:val="nil"/>
              <w:left w:val="nil"/>
              <w:bottom w:val="single" w:color="auto" w:sz="4" w:space="0"/>
              <w:right w:val="single" w:color="auto" w:sz="4" w:space="0"/>
            </w:tcBorders>
            <w:noWrap w:val="0"/>
            <w:vAlign w:val="center"/>
          </w:tcPr>
          <w:p w14:paraId="3B6E5279">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双绞屏蔽线</w:t>
            </w:r>
          </w:p>
        </w:tc>
        <w:tc>
          <w:tcPr>
            <w:tcW w:w="2895" w:type="pct"/>
            <w:tcBorders>
              <w:top w:val="nil"/>
              <w:left w:val="nil"/>
              <w:bottom w:val="single" w:color="auto" w:sz="4" w:space="0"/>
              <w:right w:val="single" w:color="auto" w:sz="4" w:space="0"/>
            </w:tcBorders>
            <w:noWrap w:val="0"/>
            <w:vAlign w:val="center"/>
          </w:tcPr>
          <w:p w14:paraId="074F481C">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RVSP-2*1.5mm2</w:t>
            </w:r>
          </w:p>
        </w:tc>
        <w:tc>
          <w:tcPr>
            <w:tcW w:w="516" w:type="pct"/>
            <w:tcBorders>
              <w:top w:val="nil"/>
              <w:left w:val="nil"/>
              <w:bottom w:val="single" w:color="auto" w:sz="4" w:space="0"/>
              <w:right w:val="single" w:color="auto" w:sz="4" w:space="0"/>
            </w:tcBorders>
            <w:noWrap/>
            <w:vAlign w:val="center"/>
          </w:tcPr>
          <w:p w14:paraId="31EB18BD">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米</w:t>
            </w:r>
          </w:p>
        </w:tc>
        <w:tc>
          <w:tcPr>
            <w:tcW w:w="548" w:type="pct"/>
            <w:tcBorders>
              <w:top w:val="nil"/>
              <w:left w:val="nil"/>
              <w:bottom w:val="single" w:color="auto" w:sz="4" w:space="0"/>
              <w:right w:val="single" w:color="auto" w:sz="4" w:space="0"/>
            </w:tcBorders>
            <w:noWrap/>
            <w:vAlign w:val="center"/>
          </w:tcPr>
          <w:p w14:paraId="7EA08C62">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120</w:t>
            </w:r>
          </w:p>
        </w:tc>
      </w:tr>
      <w:tr w14:paraId="0B0BEB6C">
        <w:tblPrEx>
          <w:tblCellMar>
            <w:top w:w="0" w:type="dxa"/>
            <w:left w:w="108" w:type="dxa"/>
            <w:bottom w:w="0" w:type="dxa"/>
            <w:right w:w="108" w:type="dxa"/>
          </w:tblCellMar>
        </w:tblPrEx>
        <w:trPr>
          <w:trHeight w:val="397" w:hRule="atLeast"/>
        </w:trPr>
        <w:tc>
          <w:tcPr>
            <w:tcW w:w="400" w:type="pct"/>
            <w:tcBorders>
              <w:top w:val="nil"/>
              <w:left w:val="single" w:color="auto" w:sz="4" w:space="0"/>
              <w:bottom w:val="single" w:color="auto" w:sz="4" w:space="0"/>
              <w:right w:val="single" w:color="auto" w:sz="4" w:space="0"/>
            </w:tcBorders>
            <w:noWrap/>
            <w:vAlign w:val="center"/>
          </w:tcPr>
          <w:p w14:paraId="10E9FF89">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11</w:t>
            </w:r>
          </w:p>
        </w:tc>
        <w:tc>
          <w:tcPr>
            <w:tcW w:w="638" w:type="pct"/>
            <w:tcBorders>
              <w:top w:val="nil"/>
              <w:left w:val="nil"/>
              <w:bottom w:val="single" w:color="auto" w:sz="4" w:space="0"/>
              <w:right w:val="single" w:color="auto" w:sz="4" w:space="0"/>
            </w:tcBorders>
            <w:noWrap w:val="0"/>
            <w:vAlign w:val="center"/>
          </w:tcPr>
          <w:p w14:paraId="577AE74E">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电源线</w:t>
            </w:r>
          </w:p>
        </w:tc>
        <w:tc>
          <w:tcPr>
            <w:tcW w:w="2895" w:type="pct"/>
            <w:tcBorders>
              <w:top w:val="nil"/>
              <w:left w:val="nil"/>
              <w:bottom w:val="single" w:color="auto" w:sz="4" w:space="0"/>
              <w:right w:val="single" w:color="auto" w:sz="4" w:space="0"/>
            </w:tcBorders>
            <w:noWrap w:val="0"/>
            <w:vAlign w:val="center"/>
          </w:tcPr>
          <w:p w14:paraId="6861A14D">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ZR-RVV-3*4mm2</w:t>
            </w:r>
          </w:p>
        </w:tc>
        <w:tc>
          <w:tcPr>
            <w:tcW w:w="516" w:type="pct"/>
            <w:tcBorders>
              <w:top w:val="nil"/>
              <w:left w:val="nil"/>
              <w:bottom w:val="single" w:color="auto" w:sz="4" w:space="0"/>
              <w:right w:val="single" w:color="auto" w:sz="4" w:space="0"/>
            </w:tcBorders>
            <w:noWrap/>
            <w:vAlign w:val="center"/>
          </w:tcPr>
          <w:p w14:paraId="0822CFB2">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米</w:t>
            </w:r>
          </w:p>
        </w:tc>
        <w:tc>
          <w:tcPr>
            <w:tcW w:w="548" w:type="pct"/>
            <w:tcBorders>
              <w:top w:val="nil"/>
              <w:left w:val="nil"/>
              <w:bottom w:val="single" w:color="auto" w:sz="4" w:space="0"/>
              <w:right w:val="single" w:color="auto" w:sz="4" w:space="0"/>
            </w:tcBorders>
            <w:noWrap/>
            <w:vAlign w:val="center"/>
          </w:tcPr>
          <w:p w14:paraId="0EF8ECBB">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1000</w:t>
            </w:r>
          </w:p>
        </w:tc>
      </w:tr>
      <w:tr w14:paraId="1F363569">
        <w:tblPrEx>
          <w:tblCellMar>
            <w:top w:w="0" w:type="dxa"/>
            <w:left w:w="108" w:type="dxa"/>
            <w:bottom w:w="0" w:type="dxa"/>
            <w:right w:w="108" w:type="dxa"/>
          </w:tblCellMar>
        </w:tblPrEx>
        <w:trPr>
          <w:trHeight w:val="418" w:hRule="atLeast"/>
        </w:trPr>
        <w:tc>
          <w:tcPr>
            <w:tcW w:w="400" w:type="pct"/>
            <w:tcBorders>
              <w:top w:val="nil"/>
              <w:left w:val="single" w:color="auto" w:sz="4" w:space="0"/>
              <w:bottom w:val="single" w:color="auto" w:sz="4" w:space="0"/>
              <w:right w:val="single" w:color="auto" w:sz="4" w:space="0"/>
            </w:tcBorders>
            <w:noWrap/>
            <w:vAlign w:val="center"/>
          </w:tcPr>
          <w:p w14:paraId="6CB6C4BF">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12</w:t>
            </w:r>
          </w:p>
        </w:tc>
        <w:tc>
          <w:tcPr>
            <w:tcW w:w="638" w:type="pct"/>
            <w:tcBorders>
              <w:top w:val="nil"/>
              <w:left w:val="nil"/>
              <w:bottom w:val="single" w:color="auto" w:sz="4" w:space="0"/>
              <w:right w:val="single" w:color="auto" w:sz="4" w:space="0"/>
            </w:tcBorders>
            <w:noWrap w:val="0"/>
            <w:vAlign w:val="center"/>
          </w:tcPr>
          <w:p w14:paraId="451C4029">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辅材</w:t>
            </w:r>
          </w:p>
        </w:tc>
        <w:tc>
          <w:tcPr>
            <w:tcW w:w="2895" w:type="pct"/>
            <w:tcBorders>
              <w:top w:val="nil"/>
              <w:left w:val="nil"/>
              <w:bottom w:val="single" w:color="auto" w:sz="4" w:space="0"/>
              <w:right w:val="single" w:color="auto" w:sz="4" w:space="0"/>
            </w:tcBorders>
            <w:noWrap w:val="0"/>
            <w:vAlign w:val="center"/>
          </w:tcPr>
          <w:p w14:paraId="1A0F2ABE">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相关配套辅材</w:t>
            </w:r>
          </w:p>
        </w:tc>
        <w:tc>
          <w:tcPr>
            <w:tcW w:w="516" w:type="pct"/>
            <w:tcBorders>
              <w:top w:val="nil"/>
              <w:left w:val="nil"/>
              <w:bottom w:val="single" w:color="auto" w:sz="4" w:space="0"/>
              <w:right w:val="single" w:color="auto" w:sz="4" w:space="0"/>
            </w:tcBorders>
            <w:noWrap/>
            <w:vAlign w:val="center"/>
          </w:tcPr>
          <w:p w14:paraId="2EEF89B9">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项</w:t>
            </w:r>
          </w:p>
        </w:tc>
        <w:tc>
          <w:tcPr>
            <w:tcW w:w="548" w:type="pct"/>
            <w:tcBorders>
              <w:top w:val="nil"/>
              <w:left w:val="nil"/>
              <w:bottom w:val="single" w:color="auto" w:sz="4" w:space="0"/>
              <w:right w:val="single" w:color="auto" w:sz="4" w:space="0"/>
            </w:tcBorders>
            <w:noWrap/>
            <w:vAlign w:val="center"/>
          </w:tcPr>
          <w:p w14:paraId="7E3B9A40">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w:t>
            </w:r>
          </w:p>
        </w:tc>
      </w:tr>
      <w:tr w14:paraId="66818BB7">
        <w:tblPrEx>
          <w:tblCellMar>
            <w:top w:w="0" w:type="dxa"/>
            <w:left w:w="108" w:type="dxa"/>
            <w:bottom w:w="0" w:type="dxa"/>
            <w:right w:w="108" w:type="dxa"/>
          </w:tblCellMar>
        </w:tblPrEx>
        <w:trPr>
          <w:trHeight w:val="765" w:hRule="atLeast"/>
        </w:trPr>
        <w:tc>
          <w:tcPr>
            <w:tcW w:w="400" w:type="pct"/>
            <w:tcBorders>
              <w:top w:val="nil"/>
              <w:left w:val="single" w:color="auto" w:sz="4" w:space="0"/>
              <w:bottom w:val="single" w:color="auto" w:sz="4" w:space="0"/>
              <w:right w:val="single" w:color="auto" w:sz="4" w:space="0"/>
            </w:tcBorders>
            <w:noWrap/>
            <w:vAlign w:val="center"/>
          </w:tcPr>
          <w:p w14:paraId="0C17398F">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13</w:t>
            </w:r>
          </w:p>
        </w:tc>
        <w:tc>
          <w:tcPr>
            <w:tcW w:w="638" w:type="pct"/>
            <w:tcBorders>
              <w:top w:val="nil"/>
              <w:left w:val="nil"/>
              <w:bottom w:val="single" w:color="auto" w:sz="4" w:space="0"/>
              <w:right w:val="single" w:color="auto" w:sz="4" w:space="0"/>
            </w:tcBorders>
            <w:noWrap w:val="0"/>
            <w:vAlign w:val="center"/>
          </w:tcPr>
          <w:p w14:paraId="0A85CF79">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安装调试</w:t>
            </w:r>
          </w:p>
        </w:tc>
        <w:tc>
          <w:tcPr>
            <w:tcW w:w="2895" w:type="pct"/>
            <w:tcBorders>
              <w:top w:val="nil"/>
              <w:left w:val="nil"/>
              <w:bottom w:val="single" w:color="auto" w:sz="4" w:space="0"/>
              <w:right w:val="single" w:color="auto" w:sz="4" w:space="0"/>
            </w:tcBorders>
            <w:noWrap w:val="0"/>
            <w:vAlign w:val="center"/>
          </w:tcPr>
          <w:p w14:paraId="1DFBD269">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1.调试车辆租用:调试人员调试设备用；2.调试人工:人员对安装设备进行通电调试，达到合格标准。</w:t>
            </w:r>
          </w:p>
        </w:tc>
        <w:tc>
          <w:tcPr>
            <w:tcW w:w="516" w:type="pct"/>
            <w:tcBorders>
              <w:top w:val="nil"/>
              <w:left w:val="nil"/>
              <w:bottom w:val="single" w:color="auto" w:sz="4" w:space="0"/>
              <w:right w:val="single" w:color="auto" w:sz="4" w:space="0"/>
            </w:tcBorders>
            <w:noWrap/>
            <w:vAlign w:val="center"/>
          </w:tcPr>
          <w:p w14:paraId="7E0DFFC3">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项</w:t>
            </w:r>
          </w:p>
        </w:tc>
        <w:tc>
          <w:tcPr>
            <w:tcW w:w="548" w:type="pct"/>
            <w:tcBorders>
              <w:top w:val="nil"/>
              <w:left w:val="nil"/>
              <w:bottom w:val="single" w:color="auto" w:sz="4" w:space="0"/>
              <w:right w:val="single" w:color="auto" w:sz="4" w:space="0"/>
            </w:tcBorders>
            <w:noWrap/>
            <w:vAlign w:val="center"/>
          </w:tcPr>
          <w:p w14:paraId="7691A566">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w:t>
            </w:r>
          </w:p>
        </w:tc>
      </w:tr>
      <w:tr w14:paraId="5C992E57">
        <w:tblPrEx>
          <w:tblCellMar>
            <w:top w:w="0" w:type="dxa"/>
            <w:left w:w="108" w:type="dxa"/>
            <w:bottom w:w="0" w:type="dxa"/>
            <w:right w:w="108" w:type="dxa"/>
          </w:tblCellMar>
        </w:tblPrEx>
        <w:trPr>
          <w:trHeight w:val="632"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0E9A90BA">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b/>
                <w:bCs/>
                <w:color w:val="000000"/>
                <w:kern w:val="0"/>
                <w:sz w:val="24"/>
                <w:highlight w:val="none"/>
              </w:rPr>
              <w:t>二、杆件及基础</w:t>
            </w:r>
            <w:r>
              <w:rPr>
                <w:rFonts w:hint="eastAsia" w:ascii="楷体" w:hAnsi="楷体" w:eastAsia="楷体" w:cs="楷体"/>
                <w:color w:val="000000"/>
                <w:kern w:val="0"/>
                <w:sz w:val="24"/>
                <w:highlight w:val="none"/>
              </w:rPr>
              <w:t>　</w:t>
            </w:r>
          </w:p>
        </w:tc>
      </w:tr>
      <w:tr w14:paraId="0B557199">
        <w:tblPrEx>
          <w:tblCellMar>
            <w:top w:w="0" w:type="dxa"/>
            <w:left w:w="108" w:type="dxa"/>
            <w:bottom w:w="0" w:type="dxa"/>
            <w:right w:w="108" w:type="dxa"/>
          </w:tblCellMar>
        </w:tblPrEx>
        <w:trPr>
          <w:trHeight w:val="440" w:hRule="atLeast"/>
        </w:trPr>
        <w:tc>
          <w:tcPr>
            <w:tcW w:w="400" w:type="pct"/>
            <w:tcBorders>
              <w:top w:val="nil"/>
              <w:left w:val="single" w:color="auto" w:sz="4" w:space="0"/>
              <w:bottom w:val="single" w:color="auto" w:sz="4" w:space="0"/>
              <w:right w:val="single" w:color="auto" w:sz="4" w:space="0"/>
            </w:tcBorders>
            <w:noWrap/>
            <w:vAlign w:val="center"/>
          </w:tcPr>
          <w:p w14:paraId="31B48329">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w:t>
            </w:r>
          </w:p>
        </w:tc>
        <w:tc>
          <w:tcPr>
            <w:tcW w:w="638" w:type="pct"/>
            <w:tcBorders>
              <w:top w:val="nil"/>
              <w:left w:val="nil"/>
              <w:bottom w:val="single" w:color="auto" w:sz="4" w:space="0"/>
              <w:right w:val="single" w:color="auto" w:sz="4" w:space="0"/>
            </w:tcBorders>
            <w:noWrap w:val="0"/>
            <w:vAlign w:val="center"/>
          </w:tcPr>
          <w:p w14:paraId="4591609D">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L型立杆</w:t>
            </w:r>
          </w:p>
        </w:tc>
        <w:tc>
          <w:tcPr>
            <w:tcW w:w="2895" w:type="pct"/>
            <w:tcBorders>
              <w:top w:val="nil"/>
              <w:left w:val="nil"/>
              <w:bottom w:val="single" w:color="auto" w:sz="4" w:space="0"/>
              <w:right w:val="single" w:color="auto" w:sz="4" w:space="0"/>
            </w:tcBorders>
            <w:noWrap w:val="0"/>
            <w:vAlign w:val="center"/>
          </w:tcPr>
          <w:p w14:paraId="17774E90">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6.5m高，横臂长度为16米</w:t>
            </w:r>
          </w:p>
        </w:tc>
        <w:tc>
          <w:tcPr>
            <w:tcW w:w="516" w:type="pct"/>
            <w:tcBorders>
              <w:top w:val="nil"/>
              <w:left w:val="nil"/>
              <w:bottom w:val="single" w:color="auto" w:sz="4" w:space="0"/>
              <w:right w:val="single" w:color="auto" w:sz="4" w:space="0"/>
            </w:tcBorders>
            <w:noWrap/>
            <w:vAlign w:val="center"/>
          </w:tcPr>
          <w:p w14:paraId="78F34425">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548" w:type="pct"/>
            <w:tcBorders>
              <w:top w:val="nil"/>
              <w:left w:val="nil"/>
              <w:bottom w:val="single" w:color="auto" w:sz="4" w:space="0"/>
              <w:right w:val="single" w:color="auto" w:sz="4" w:space="0"/>
            </w:tcBorders>
            <w:noWrap/>
            <w:vAlign w:val="center"/>
          </w:tcPr>
          <w:p w14:paraId="3E5A1B5A">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67E5031D">
        <w:tblPrEx>
          <w:tblCellMar>
            <w:top w:w="0" w:type="dxa"/>
            <w:left w:w="108" w:type="dxa"/>
            <w:bottom w:w="0" w:type="dxa"/>
            <w:right w:w="108" w:type="dxa"/>
          </w:tblCellMar>
        </w:tblPrEx>
        <w:trPr>
          <w:trHeight w:val="1275" w:hRule="atLeast"/>
        </w:trPr>
        <w:tc>
          <w:tcPr>
            <w:tcW w:w="400" w:type="pct"/>
            <w:tcBorders>
              <w:top w:val="nil"/>
              <w:left w:val="single" w:color="auto" w:sz="4" w:space="0"/>
              <w:bottom w:val="single" w:color="auto" w:sz="4" w:space="0"/>
              <w:right w:val="single" w:color="auto" w:sz="4" w:space="0"/>
            </w:tcBorders>
            <w:noWrap/>
            <w:vAlign w:val="center"/>
          </w:tcPr>
          <w:p w14:paraId="00BE14F2">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c>
          <w:tcPr>
            <w:tcW w:w="638" w:type="pct"/>
            <w:tcBorders>
              <w:top w:val="nil"/>
              <w:left w:val="nil"/>
              <w:bottom w:val="single" w:color="auto" w:sz="4" w:space="0"/>
              <w:right w:val="single" w:color="auto" w:sz="4" w:space="0"/>
            </w:tcBorders>
            <w:noWrap w:val="0"/>
            <w:vAlign w:val="center"/>
          </w:tcPr>
          <w:p w14:paraId="6D079D77">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L型立杆基础</w:t>
            </w:r>
          </w:p>
        </w:tc>
        <w:tc>
          <w:tcPr>
            <w:tcW w:w="2895" w:type="pct"/>
            <w:tcBorders>
              <w:top w:val="nil"/>
              <w:left w:val="nil"/>
              <w:bottom w:val="single" w:color="auto" w:sz="4" w:space="0"/>
              <w:right w:val="single" w:color="auto" w:sz="4" w:space="0"/>
            </w:tcBorders>
            <w:noWrap w:val="0"/>
            <w:vAlign w:val="center"/>
          </w:tcPr>
          <w:p w14:paraId="2546746D">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1.基础配筋:箍筋Φ8地脚螺杆Φ32</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2.避雷针:φ14热镀锌圆钢 500mm长</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3.接地极:∠50*50*2500热镀锌角钢</w:t>
            </w:r>
            <w:r>
              <w:rPr>
                <w:rFonts w:hint="eastAsia" w:ascii="楷体" w:hAnsi="楷体" w:eastAsia="楷体" w:cs="楷体"/>
                <w:color w:val="000000"/>
                <w:kern w:val="0"/>
                <w:sz w:val="24"/>
                <w:highlight w:val="none"/>
              </w:rPr>
              <w:br w:type="textWrapping"/>
            </w:r>
            <w:r>
              <w:rPr>
                <w:rFonts w:hint="eastAsia" w:ascii="楷体" w:hAnsi="楷体" w:eastAsia="楷体" w:cs="楷体"/>
                <w:color w:val="000000"/>
                <w:kern w:val="0"/>
                <w:sz w:val="24"/>
                <w:highlight w:val="none"/>
              </w:rPr>
              <w:t>4.基础：C25混凝土，1800*1800*2400mm</w:t>
            </w:r>
          </w:p>
        </w:tc>
        <w:tc>
          <w:tcPr>
            <w:tcW w:w="516" w:type="pct"/>
            <w:tcBorders>
              <w:top w:val="nil"/>
              <w:left w:val="nil"/>
              <w:bottom w:val="single" w:color="auto" w:sz="4" w:space="0"/>
              <w:right w:val="single" w:color="auto" w:sz="4" w:space="0"/>
            </w:tcBorders>
            <w:noWrap/>
            <w:vAlign w:val="center"/>
          </w:tcPr>
          <w:p w14:paraId="276D71EC">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548" w:type="pct"/>
            <w:tcBorders>
              <w:top w:val="nil"/>
              <w:left w:val="nil"/>
              <w:bottom w:val="single" w:color="auto" w:sz="4" w:space="0"/>
              <w:right w:val="single" w:color="auto" w:sz="4" w:space="0"/>
            </w:tcBorders>
            <w:noWrap/>
            <w:vAlign w:val="center"/>
          </w:tcPr>
          <w:p w14:paraId="43C5314D">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037CC3D0">
        <w:tblPrEx>
          <w:tblCellMar>
            <w:top w:w="0" w:type="dxa"/>
            <w:left w:w="108" w:type="dxa"/>
            <w:bottom w:w="0" w:type="dxa"/>
            <w:right w:w="108" w:type="dxa"/>
          </w:tblCellMar>
        </w:tblPrEx>
        <w:trPr>
          <w:trHeight w:val="483" w:hRule="atLeast"/>
        </w:trPr>
        <w:tc>
          <w:tcPr>
            <w:tcW w:w="400" w:type="pct"/>
            <w:tcBorders>
              <w:top w:val="nil"/>
              <w:left w:val="single" w:color="auto" w:sz="4" w:space="0"/>
              <w:bottom w:val="single" w:color="auto" w:sz="4" w:space="0"/>
              <w:right w:val="single" w:color="auto" w:sz="4" w:space="0"/>
            </w:tcBorders>
            <w:noWrap/>
            <w:vAlign w:val="center"/>
          </w:tcPr>
          <w:p w14:paraId="446F0DD4">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3</w:t>
            </w:r>
          </w:p>
        </w:tc>
        <w:tc>
          <w:tcPr>
            <w:tcW w:w="638" w:type="pct"/>
            <w:tcBorders>
              <w:top w:val="nil"/>
              <w:left w:val="nil"/>
              <w:bottom w:val="single" w:color="auto" w:sz="4" w:space="0"/>
              <w:right w:val="single" w:color="auto" w:sz="4" w:space="0"/>
            </w:tcBorders>
            <w:noWrap w:val="0"/>
            <w:vAlign w:val="center"/>
          </w:tcPr>
          <w:p w14:paraId="04FA1A3A">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取电套管</w:t>
            </w:r>
          </w:p>
        </w:tc>
        <w:tc>
          <w:tcPr>
            <w:tcW w:w="2895" w:type="pct"/>
            <w:tcBorders>
              <w:top w:val="nil"/>
              <w:left w:val="nil"/>
              <w:bottom w:val="single" w:color="auto" w:sz="4" w:space="0"/>
              <w:right w:val="single" w:color="auto" w:sz="4" w:space="0"/>
            </w:tcBorders>
            <w:noWrap w:val="0"/>
            <w:vAlign w:val="center"/>
          </w:tcPr>
          <w:p w14:paraId="69D1250C">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PVCΦ50*3mm</w:t>
            </w:r>
          </w:p>
        </w:tc>
        <w:tc>
          <w:tcPr>
            <w:tcW w:w="516" w:type="pct"/>
            <w:tcBorders>
              <w:top w:val="nil"/>
              <w:left w:val="nil"/>
              <w:bottom w:val="single" w:color="auto" w:sz="4" w:space="0"/>
              <w:right w:val="single" w:color="auto" w:sz="4" w:space="0"/>
            </w:tcBorders>
            <w:noWrap/>
            <w:vAlign w:val="center"/>
          </w:tcPr>
          <w:p w14:paraId="7A81038F">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米</w:t>
            </w:r>
          </w:p>
        </w:tc>
        <w:tc>
          <w:tcPr>
            <w:tcW w:w="548" w:type="pct"/>
            <w:tcBorders>
              <w:top w:val="nil"/>
              <w:left w:val="nil"/>
              <w:bottom w:val="single" w:color="auto" w:sz="4" w:space="0"/>
              <w:right w:val="single" w:color="auto" w:sz="4" w:space="0"/>
            </w:tcBorders>
            <w:noWrap/>
            <w:vAlign w:val="center"/>
          </w:tcPr>
          <w:p w14:paraId="2B5418C0">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1000</w:t>
            </w:r>
          </w:p>
        </w:tc>
      </w:tr>
      <w:tr w14:paraId="7F3C4F36">
        <w:tblPrEx>
          <w:tblCellMar>
            <w:top w:w="0" w:type="dxa"/>
            <w:left w:w="108" w:type="dxa"/>
            <w:bottom w:w="0" w:type="dxa"/>
            <w:right w:w="108" w:type="dxa"/>
          </w:tblCellMar>
        </w:tblPrEx>
        <w:trPr>
          <w:trHeight w:val="397" w:hRule="atLeast"/>
        </w:trPr>
        <w:tc>
          <w:tcPr>
            <w:tcW w:w="400" w:type="pct"/>
            <w:tcBorders>
              <w:top w:val="nil"/>
              <w:left w:val="single" w:color="auto" w:sz="4" w:space="0"/>
              <w:bottom w:val="single" w:color="auto" w:sz="4" w:space="0"/>
              <w:right w:val="single" w:color="auto" w:sz="4" w:space="0"/>
            </w:tcBorders>
            <w:noWrap/>
            <w:vAlign w:val="center"/>
          </w:tcPr>
          <w:p w14:paraId="0CA01698">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w:t>
            </w:r>
          </w:p>
        </w:tc>
        <w:tc>
          <w:tcPr>
            <w:tcW w:w="638" w:type="pct"/>
            <w:tcBorders>
              <w:top w:val="nil"/>
              <w:left w:val="nil"/>
              <w:bottom w:val="single" w:color="auto" w:sz="4" w:space="0"/>
              <w:right w:val="single" w:color="auto" w:sz="4" w:space="0"/>
            </w:tcBorders>
            <w:noWrap w:val="0"/>
            <w:vAlign w:val="center"/>
          </w:tcPr>
          <w:p w14:paraId="6596DDEC">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接地制作</w:t>
            </w:r>
          </w:p>
        </w:tc>
        <w:tc>
          <w:tcPr>
            <w:tcW w:w="2895" w:type="pct"/>
            <w:tcBorders>
              <w:top w:val="nil"/>
              <w:left w:val="nil"/>
              <w:bottom w:val="single" w:color="auto" w:sz="4" w:space="0"/>
              <w:right w:val="single" w:color="auto" w:sz="4" w:space="0"/>
            </w:tcBorders>
            <w:noWrap w:val="0"/>
            <w:vAlign w:val="center"/>
          </w:tcPr>
          <w:p w14:paraId="56820D72">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接地电阻小于4欧母，含接地材料</w:t>
            </w:r>
          </w:p>
        </w:tc>
        <w:tc>
          <w:tcPr>
            <w:tcW w:w="516" w:type="pct"/>
            <w:tcBorders>
              <w:top w:val="nil"/>
              <w:left w:val="nil"/>
              <w:bottom w:val="single" w:color="auto" w:sz="4" w:space="0"/>
              <w:right w:val="single" w:color="auto" w:sz="4" w:space="0"/>
            </w:tcBorders>
            <w:noWrap/>
            <w:vAlign w:val="center"/>
          </w:tcPr>
          <w:p w14:paraId="145288BE">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548" w:type="pct"/>
            <w:tcBorders>
              <w:top w:val="nil"/>
              <w:left w:val="nil"/>
              <w:bottom w:val="single" w:color="auto" w:sz="4" w:space="0"/>
              <w:right w:val="single" w:color="auto" w:sz="4" w:space="0"/>
            </w:tcBorders>
            <w:noWrap/>
            <w:vAlign w:val="center"/>
          </w:tcPr>
          <w:p w14:paraId="02334701">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r>
      <w:tr w14:paraId="467D3620">
        <w:tblPrEx>
          <w:tblCellMar>
            <w:top w:w="0" w:type="dxa"/>
            <w:left w:w="108" w:type="dxa"/>
            <w:bottom w:w="0" w:type="dxa"/>
            <w:right w:w="108" w:type="dxa"/>
          </w:tblCellMar>
        </w:tblPrEx>
        <w:trPr>
          <w:trHeight w:val="510" w:hRule="atLeast"/>
        </w:trPr>
        <w:tc>
          <w:tcPr>
            <w:tcW w:w="400" w:type="pct"/>
            <w:tcBorders>
              <w:top w:val="nil"/>
              <w:left w:val="single" w:color="auto" w:sz="4" w:space="0"/>
              <w:bottom w:val="single" w:color="auto" w:sz="4" w:space="0"/>
              <w:right w:val="single" w:color="auto" w:sz="4" w:space="0"/>
            </w:tcBorders>
            <w:noWrap/>
            <w:vAlign w:val="center"/>
          </w:tcPr>
          <w:p w14:paraId="518EE29C">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5</w:t>
            </w:r>
          </w:p>
        </w:tc>
        <w:tc>
          <w:tcPr>
            <w:tcW w:w="638" w:type="pct"/>
            <w:tcBorders>
              <w:top w:val="nil"/>
              <w:left w:val="nil"/>
              <w:bottom w:val="single" w:color="auto" w:sz="4" w:space="0"/>
              <w:right w:val="single" w:color="auto" w:sz="4" w:space="0"/>
            </w:tcBorders>
            <w:noWrap w:val="0"/>
            <w:vAlign w:val="center"/>
          </w:tcPr>
          <w:p w14:paraId="2D954E65">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区间测速起点终点标志牌</w:t>
            </w:r>
          </w:p>
        </w:tc>
        <w:tc>
          <w:tcPr>
            <w:tcW w:w="2895" w:type="pct"/>
            <w:tcBorders>
              <w:top w:val="nil"/>
              <w:left w:val="nil"/>
              <w:bottom w:val="single" w:color="auto" w:sz="4" w:space="0"/>
              <w:right w:val="single" w:color="auto" w:sz="4" w:space="0"/>
            </w:tcBorders>
            <w:noWrap w:val="0"/>
            <w:vAlign w:val="center"/>
          </w:tcPr>
          <w:p w14:paraId="3762FC60">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尺寸:1000mmx2000mm，铝板厚度3mm，3M高级反光膜。</w:t>
            </w:r>
          </w:p>
        </w:tc>
        <w:tc>
          <w:tcPr>
            <w:tcW w:w="516" w:type="pct"/>
            <w:tcBorders>
              <w:top w:val="nil"/>
              <w:left w:val="nil"/>
              <w:bottom w:val="single" w:color="auto" w:sz="4" w:space="0"/>
              <w:right w:val="single" w:color="auto" w:sz="4" w:space="0"/>
            </w:tcBorders>
            <w:noWrap/>
            <w:vAlign w:val="center"/>
          </w:tcPr>
          <w:p w14:paraId="63A6BBC9">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548" w:type="pct"/>
            <w:tcBorders>
              <w:top w:val="nil"/>
              <w:left w:val="nil"/>
              <w:bottom w:val="single" w:color="auto" w:sz="4" w:space="0"/>
              <w:right w:val="single" w:color="auto" w:sz="4" w:space="0"/>
            </w:tcBorders>
            <w:noWrap/>
            <w:vAlign w:val="center"/>
          </w:tcPr>
          <w:p w14:paraId="283BCA37">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w:t>
            </w:r>
          </w:p>
        </w:tc>
      </w:tr>
      <w:tr w14:paraId="0E9F125A">
        <w:tblPrEx>
          <w:tblCellMar>
            <w:top w:w="0" w:type="dxa"/>
            <w:left w:w="108" w:type="dxa"/>
            <w:bottom w:w="0" w:type="dxa"/>
            <w:right w:w="108" w:type="dxa"/>
          </w:tblCellMar>
        </w:tblPrEx>
        <w:trPr>
          <w:trHeight w:val="765" w:hRule="atLeast"/>
        </w:trPr>
        <w:tc>
          <w:tcPr>
            <w:tcW w:w="400" w:type="pct"/>
            <w:tcBorders>
              <w:top w:val="nil"/>
              <w:left w:val="single" w:color="auto" w:sz="4" w:space="0"/>
              <w:bottom w:val="single" w:color="auto" w:sz="4" w:space="0"/>
              <w:right w:val="single" w:color="auto" w:sz="4" w:space="0"/>
            </w:tcBorders>
            <w:noWrap/>
            <w:vAlign w:val="center"/>
          </w:tcPr>
          <w:p w14:paraId="6388DBF6">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6</w:t>
            </w:r>
          </w:p>
        </w:tc>
        <w:tc>
          <w:tcPr>
            <w:tcW w:w="638" w:type="pct"/>
            <w:tcBorders>
              <w:top w:val="nil"/>
              <w:left w:val="nil"/>
              <w:bottom w:val="single" w:color="auto" w:sz="4" w:space="0"/>
              <w:right w:val="single" w:color="auto" w:sz="4" w:space="0"/>
            </w:tcBorders>
            <w:noWrap w:val="0"/>
            <w:vAlign w:val="center"/>
          </w:tcPr>
          <w:p w14:paraId="493A5C46">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限速提示牌</w:t>
            </w:r>
          </w:p>
        </w:tc>
        <w:tc>
          <w:tcPr>
            <w:tcW w:w="2895" w:type="pct"/>
            <w:tcBorders>
              <w:top w:val="nil"/>
              <w:left w:val="nil"/>
              <w:bottom w:val="single" w:color="auto" w:sz="4" w:space="0"/>
              <w:right w:val="single" w:color="auto" w:sz="4" w:space="0"/>
            </w:tcBorders>
            <w:noWrap w:val="0"/>
            <w:vAlign w:val="center"/>
          </w:tcPr>
          <w:p w14:paraId="273DE4D1">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ф 1000mm，限速提示，铝板厚度 3mm，3M 钻石级反光膜。（含立杆基础800*800*1000mm）</w:t>
            </w:r>
          </w:p>
        </w:tc>
        <w:tc>
          <w:tcPr>
            <w:tcW w:w="516" w:type="pct"/>
            <w:tcBorders>
              <w:top w:val="nil"/>
              <w:left w:val="nil"/>
              <w:bottom w:val="single" w:color="auto" w:sz="4" w:space="0"/>
              <w:right w:val="single" w:color="auto" w:sz="4" w:space="0"/>
            </w:tcBorders>
            <w:noWrap/>
            <w:vAlign w:val="center"/>
          </w:tcPr>
          <w:p w14:paraId="0418B2E2">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548" w:type="pct"/>
            <w:tcBorders>
              <w:top w:val="nil"/>
              <w:left w:val="nil"/>
              <w:bottom w:val="single" w:color="auto" w:sz="4" w:space="0"/>
              <w:right w:val="single" w:color="auto" w:sz="4" w:space="0"/>
            </w:tcBorders>
            <w:noWrap/>
            <w:vAlign w:val="center"/>
          </w:tcPr>
          <w:p w14:paraId="628CC7C0">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w:t>
            </w:r>
          </w:p>
        </w:tc>
      </w:tr>
      <w:tr w14:paraId="1793E8B0">
        <w:tblPrEx>
          <w:tblCellMar>
            <w:top w:w="0" w:type="dxa"/>
            <w:left w:w="108" w:type="dxa"/>
            <w:bottom w:w="0" w:type="dxa"/>
            <w:right w:w="108" w:type="dxa"/>
          </w:tblCellMar>
        </w:tblPrEx>
        <w:trPr>
          <w:trHeight w:val="765" w:hRule="atLeast"/>
        </w:trPr>
        <w:tc>
          <w:tcPr>
            <w:tcW w:w="400" w:type="pct"/>
            <w:tcBorders>
              <w:top w:val="nil"/>
              <w:left w:val="single" w:color="auto" w:sz="4" w:space="0"/>
              <w:bottom w:val="single" w:color="auto" w:sz="4" w:space="0"/>
              <w:right w:val="single" w:color="auto" w:sz="4" w:space="0"/>
            </w:tcBorders>
            <w:noWrap/>
            <w:vAlign w:val="center"/>
          </w:tcPr>
          <w:p w14:paraId="648063DF">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7</w:t>
            </w:r>
          </w:p>
        </w:tc>
        <w:tc>
          <w:tcPr>
            <w:tcW w:w="638" w:type="pct"/>
            <w:tcBorders>
              <w:top w:val="nil"/>
              <w:left w:val="nil"/>
              <w:bottom w:val="single" w:color="auto" w:sz="4" w:space="0"/>
              <w:right w:val="single" w:color="auto" w:sz="4" w:space="0"/>
            </w:tcBorders>
            <w:noWrap w:val="0"/>
            <w:vAlign w:val="center"/>
          </w:tcPr>
          <w:p w14:paraId="7380DD7F">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区间测速预知牌</w:t>
            </w:r>
          </w:p>
        </w:tc>
        <w:tc>
          <w:tcPr>
            <w:tcW w:w="2895" w:type="pct"/>
            <w:tcBorders>
              <w:top w:val="nil"/>
              <w:left w:val="nil"/>
              <w:bottom w:val="single" w:color="auto" w:sz="4" w:space="0"/>
              <w:right w:val="single" w:color="auto" w:sz="4" w:space="0"/>
            </w:tcBorders>
            <w:noWrap w:val="0"/>
            <w:vAlign w:val="center"/>
          </w:tcPr>
          <w:p w14:paraId="45192A0B">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尺寸:1000mmx2000mm，铝板厚度3mm，3M 高级反光膜。（含立杆基础1000*1000*1500mm）</w:t>
            </w:r>
          </w:p>
        </w:tc>
        <w:tc>
          <w:tcPr>
            <w:tcW w:w="516" w:type="pct"/>
            <w:tcBorders>
              <w:top w:val="nil"/>
              <w:left w:val="nil"/>
              <w:bottom w:val="single" w:color="auto" w:sz="4" w:space="0"/>
              <w:right w:val="single" w:color="auto" w:sz="4" w:space="0"/>
            </w:tcBorders>
            <w:noWrap/>
            <w:vAlign w:val="center"/>
          </w:tcPr>
          <w:p w14:paraId="3E17385D">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548" w:type="pct"/>
            <w:tcBorders>
              <w:top w:val="nil"/>
              <w:left w:val="nil"/>
              <w:bottom w:val="single" w:color="auto" w:sz="4" w:space="0"/>
              <w:right w:val="single" w:color="auto" w:sz="4" w:space="0"/>
            </w:tcBorders>
            <w:noWrap/>
            <w:vAlign w:val="center"/>
          </w:tcPr>
          <w:p w14:paraId="445D548F">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8</w:t>
            </w:r>
          </w:p>
        </w:tc>
      </w:tr>
      <w:tr w14:paraId="6DB41F8C">
        <w:tblPrEx>
          <w:tblCellMar>
            <w:top w:w="0" w:type="dxa"/>
            <w:left w:w="108" w:type="dxa"/>
            <w:bottom w:w="0" w:type="dxa"/>
            <w:right w:w="108" w:type="dxa"/>
          </w:tblCellMar>
        </w:tblPrEx>
        <w:trPr>
          <w:trHeight w:val="270" w:hRule="atLeast"/>
        </w:trPr>
        <w:tc>
          <w:tcPr>
            <w:tcW w:w="400" w:type="pct"/>
            <w:tcBorders>
              <w:top w:val="nil"/>
              <w:left w:val="single" w:color="auto" w:sz="4" w:space="0"/>
              <w:bottom w:val="single" w:color="auto" w:sz="4" w:space="0"/>
              <w:right w:val="single" w:color="auto" w:sz="4" w:space="0"/>
            </w:tcBorders>
            <w:noWrap/>
            <w:vAlign w:val="center"/>
          </w:tcPr>
          <w:p w14:paraId="20B14C7E">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8</w:t>
            </w:r>
          </w:p>
        </w:tc>
        <w:tc>
          <w:tcPr>
            <w:tcW w:w="638" w:type="pct"/>
            <w:tcBorders>
              <w:top w:val="nil"/>
              <w:left w:val="nil"/>
              <w:bottom w:val="single" w:color="auto" w:sz="4" w:space="0"/>
              <w:right w:val="single" w:color="auto" w:sz="4" w:space="0"/>
            </w:tcBorders>
            <w:noWrap w:val="0"/>
            <w:vAlign w:val="center"/>
          </w:tcPr>
          <w:p w14:paraId="0E08D48C">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顶管（2孔）</w:t>
            </w:r>
          </w:p>
        </w:tc>
        <w:tc>
          <w:tcPr>
            <w:tcW w:w="2895" w:type="pct"/>
            <w:tcBorders>
              <w:top w:val="nil"/>
              <w:left w:val="nil"/>
              <w:bottom w:val="single" w:color="auto" w:sz="4" w:space="0"/>
              <w:right w:val="single" w:color="auto" w:sz="4" w:space="0"/>
            </w:tcBorders>
            <w:noWrap w:val="0"/>
            <w:vAlign w:val="center"/>
          </w:tcPr>
          <w:p w14:paraId="457698DE">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HDPE 2*Φ90*8mm</w:t>
            </w:r>
          </w:p>
        </w:tc>
        <w:tc>
          <w:tcPr>
            <w:tcW w:w="516" w:type="pct"/>
            <w:tcBorders>
              <w:top w:val="nil"/>
              <w:left w:val="nil"/>
              <w:bottom w:val="single" w:color="auto" w:sz="4" w:space="0"/>
              <w:right w:val="single" w:color="auto" w:sz="4" w:space="0"/>
            </w:tcBorders>
            <w:noWrap/>
            <w:vAlign w:val="center"/>
          </w:tcPr>
          <w:p w14:paraId="66096A50">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米</w:t>
            </w:r>
          </w:p>
        </w:tc>
        <w:tc>
          <w:tcPr>
            <w:tcW w:w="548" w:type="pct"/>
            <w:tcBorders>
              <w:top w:val="nil"/>
              <w:left w:val="nil"/>
              <w:bottom w:val="single" w:color="auto" w:sz="4" w:space="0"/>
              <w:right w:val="single" w:color="auto" w:sz="4" w:space="0"/>
            </w:tcBorders>
            <w:noWrap/>
            <w:vAlign w:val="center"/>
          </w:tcPr>
          <w:p w14:paraId="0F78488D">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100</w:t>
            </w:r>
          </w:p>
        </w:tc>
      </w:tr>
      <w:tr w14:paraId="7BFE00BF">
        <w:tblPrEx>
          <w:tblCellMar>
            <w:top w:w="0" w:type="dxa"/>
            <w:left w:w="108" w:type="dxa"/>
            <w:bottom w:w="0" w:type="dxa"/>
            <w:right w:w="108" w:type="dxa"/>
          </w:tblCellMar>
        </w:tblPrEx>
        <w:trPr>
          <w:trHeight w:val="510" w:hRule="atLeast"/>
        </w:trPr>
        <w:tc>
          <w:tcPr>
            <w:tcW w:w="400" w:type="pct"/>
            <w:tcBorders>
              <w:top w:val="nil"/>
              <w:left w:val="single" w:color="auto" w:sz="4" w:space="0"/>
              <w:bottom w:val="single" w:color="auto" w:sz="4" w:space="0"/>
              <w:right w:val="single" w:color="auto" w:sz="4" w:space="0"/>
            </w:tcBorders>
            <w:noWrap/>
            <w:vAlign w:val="center"/>
          </w:tcPr>
          <w:p w14:paraId="23EACE68">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9</w:t>
            </w:r>
          </w:p>
        </w:tc>
        <w:tc>
          <w:tcPr>
            <w:tcW w:w="638" w:type="pct"/>
            <w:tcBorders>
              <w:top w:val="nil"/>
              <w:left w:val="nil"/>
              <w:bottom w:val="single" w:color="auto" w:sz="4" w:space="0"/>
              <w:right w:val="single" w:color="auto" w:sz="4" w:space="0"/>
            </w:tcBorders>
            <w:noWrap w:val="0"/>
            <w:vAlign w:val="center"/>
          </w:tcPr>
          <w:p w14:paraId="5964EDF9">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线路开挖及恢复</w:t>
            </w:r>
          </w:p>
        </w:tc>
        <w:tc>
          <w:tcPr>
            <w:tcW w:w="2895" w:type="pct"/>
            <w:tcBorders>
              <w:top w:val="nil"/>
              <w:left w:val="nil"/>
              <w:bottom w:val="single" w:color="auto" w:sz="4" w:space="0"/>
              <w:right w:val="single" w:color="auto" w:sz="4" w:space="0"/>
            </w:tcBorders>
            <w:noWrap w:val="0"/>
            <w:vAlign w:val="center"/>
          </w:tcPr>
          <w:p w14:paraId="2984081B">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主供电线缆开挖及敷设，含线缆保护管。</w:t>
            </w:r>
          </w:p>
        </w:tc>
        <w:tc>
          <w:tcPr>
            <w:tcW w:w="516" w:type="pct"/>
            <w:tcBorders>
              <w:top w:val="nil"/>
              <w:left w:val="nil"/>
              <w:bottom w:val="single" w:color="auto" w:sz="4" w:space="0"/>
              <w:right w:val="single" w:color="auto" w:sz="4" w:space="0"/>
            </w:tcBorders>
            <w:noWrap/>
            <w:vAlign w:val="center"/>
          </w:tcPr>
          <w:p w14:paraId="06867E18">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米</w:t>
            </w:r>
          </w:p>
        </w:tc>
        <w:tc>
          <w:tcPr>
            <w:tcW w:w="548" w:type="pct"/>
            <w:tcBorders>
              <w:top w:val="nil"/>
              <w:left w:val="nil"/>
              <w:bottom w:val="single" w:color="auto" w:sz="4" w:space="0"/>
              <w:right w:val="single" w:color="auto" w:sz="4" w:space="0"/>
            </w:tcBorders>
            <w:noWrap/>
            <w:vAlign w:val="center"/>
          </w:tcPr>
          <w:p w14:paraId="56581250">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1000</w:t>
            </w:r>
          </w:p>
        </w:tc>
      </w:tr>
      <w:tr w14:paraId="45704F6B">
        <w:tblPrEx>
          <w:tblCellMar>
            <w:top w:w="0" w:type="dxa"/>
            <w:left w:w="108" w:type="dxa"/>
            <w:bottom w:w="0" w:type="dxa"/>
            <w:right w:w="108" w:type="dxa"/>
          </w:tblCellMar>
        </w:tblPrEx>
        <w:trPr>
          <w:trHeight w:val="270" w:hRule="atLeast"/>
        </w:trPr>
        <w:tc>
          <w:tcPr>
            <w:tcW w:w="400" w:type="pct"/>
            <w:tcBorders>
              <w:top w:val="nil"/>
              <w:left w:val="single" w:color="auto" w:sz="4" w:space="0"/>
              <w:bottom w:val="single" w:color="auto" w:sz="4" w:space="0"/>
              <w:right w:val="single" w:color="auto" w:sz="4" w:space="0"/>
            </w:tcBorders>
            <w:noWrap/>
            <w:vAlign w:val="center"/>
          </w:tcPr>
          <w:p w14:paraId="1279482C">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10</w:t>
            </w:r>
          </w:p>
        </w:tc>
        <w:tc>
          <w:tcPr>
            <w:tcW w:w="638" w:type="pct"/>
            <w:tcBorders>
              <w:top w:val="nil"/>
              <w:left w:val="nil"/>
              <w:bottom w:val="single" w:color="auto" w:sz="4" w:space="0"/>
              <w:right w:val="single" w:color="auto" w:sz="4" w:space="0"/>
            </w:tcBorders>
            <w:noWrap w:val="0"/>
            <w:vAlign w:val="center"/>
          </w:tcPr>
          <w:p w14:paraId="056B618F">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手井</w:t>
            </w:r>
          </w:p>
        </w:tc>
        <w:tc>
          <w:tcPr>
            <w:tcW w:w="2895" w:type="pct"/>
            <w:tcBorders>
              <w:top w:val="nil"/>
              <w:left w:val="nil"/>
              <w:bottom w:val="single" w:color="auto" w:sz="4" w:space="0"/>
              <w:right w:val="single" w:color="auto" w:sz="4" w:space="0"/>
            </w:tcBorders>
            <w:noWrap w:val="0"/>
            <w:vAlign w:val="center"/>
          </w:tcPr>
          <w:p w14:paraId="3A5C3BFB">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尺寸：400*400，球墨井盖</w:t>
            </w:r>
          </w:p>
        </w:tc>
        <w:tc>
          <w:tcPr>
            <w:tcW w:w="516" w:type="pct"/>
            <w:tcBorders>
              <w:top w:val="nil"/>
              <w:left w:val="nil"/>
              <w:bottom w:val="single" w:color="auto" w:sz="4" w:space="0"/>
              <w:right w:val="single" w:color="auto" w:sz="4" w:space="0"/>
            </w:tcBorders>
            <w:noWrap/>
            <w:vAlign w:val="center"/>
          </w:tcPr>
          <w:p w14:paraId="398370C8">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套</w:t>
            </w:r>
          </w:p>
        </w:tc>
        <w:tc>
          <w:tcPr>
            <w:tcW w:w="548" w:type="pct"/>
            <w:tcBorders>
              <w:top w:val="nil"/>
              <w:left w:val="nil"/>
              <w:bottom w:val="single" w:color="auto" w:sz="4" w:space="0"/>
              <w:right w:val="single" w:color="auto" w:sz="4" w:space="0"/>
            </w:tcBorders>
            <w:noWrap/>
            <w:vAlign w:val="center"/>
          </w:tcPr>
          <w:p w14:paraId="0760162F">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6</w:t>
            </w:r>
          </w:p>
        </w:tc>
      </w:tr>
      <w:tr w14:paraId="2FB7F201">
        <w:tblPrEx>
          <w:tblCellMar>
            <w:top w:w="0" w:type="dxa"/>
            <w:left w:w="108" w:type="dxa"/>
            <w:bottom w:w="0" w:type="dxa"/>
            <w:right w:w="108" w:type="dxa"/>
          </w:tblCellMar>
        </w:tblPrEx>
        <w:trPr>
          <w:trHeight w:val="647"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38558286">
            <w:pPr>
              <w:widowControl/>
              <w:shd w:val="clear" w:color="auto" w:fill="auto"/>
              <w:adjustRightInd w:val="0"/>
              <w:snapToGrid w:val="0"/>
              <w:rPr>
                <w:rFonts w:hint="eastAsia" w:ascii="楷体" w:hAnsi="楷体" w:eastAsia="楷体" w:cs="楷体"/>
                <w:b/>
                <w:bCs/>
                <w:color w:val="000000"/>
                <w:kern w:val="0"/>
                <w:sz w:val="24"/>
                <w:highlight w:val="none"/>
              </w:rPr>
            </w:pPr>
            <w:r>
              <w:rPr>
                <w:rFonts w:hint="eastAsia" w:ascii="楷体" w:hAnsi="楷体" w:eastAsia="楷体" w:cs="楷体"/>
                <w:b/>
                <w:bCs/>
                <w:color w:val="000000"/>
                <w:kern w:val="0"/>
                <w:sz w:val="24"/>
                <w:highlight w:val="none"/>
              </w:rPr>
              <w:t>三、后端设备　</w:t>
            </w:r>
          </w:p>
        </w:tc>
      </w:tr>
      <w:tr w14:paraId="133B3F45">
        <w:tblPrEx>
          <w:tblCellMar>
            <w:top w:w="0" w:type="dxa"/>
            <w:left w:w="108" w:type="dxa"/>
            <w:bottom w:w="0" w:type="dxa"/>
            <w:right w:w="108" w:type="dxa"/>
          </w:tblCellMar>
        </w:tblPrEx>
        <w:trPr>
          <w:trHeight w:val="765" w:hRule="atLeast"/>
        </w:trPr>
        <w:tc>
          <w:tcPr>
            <w:tcW w:w="400" w:type="pct"/>
            <w:tcBorders>
              <w:top w:val="nil"/>
              <w:left w:val="single" w:color="auto" w:sz="4" w:space="0"/>
              <w:bottom w:val="single" w:color="auto" w:sz="4" w:space="0"/>
              <w:right w:val="single" w:color="auto" w:sz="4" w:space="0"/>
            </w:tcBorders>
            <w:shd w:val="clear" w:color="auto" w:fill="auto"/>
            <w:noWrap/>
            <w:vAlign w:val="center"/>
          </w:tcPr>
          <w:p w14:paraId="5FEFC31C">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w:t>
            </w:r>
          </w:p>
        </w:tc>
        <w:tc>
          <w:tcPr>
            <w:tcW w:w="638" w:type="pct"/>
            <w:tcBorders>
              <w:top w:val="nil"/>
              <w:left w:val="nil"/>
              <w:bottom w:val="single" w:color="auto" w:sz="4" w:space="0"/>
              <w:right w:val="single" w:color="auto" w:sz="4" w:space="0"/>
            </w:tcBorders>
            <w:shd w:val="clear" w:color="auto" w:fill="auto"/>
            <w:noWrap w:val="0"/>
            <w:vAlign w:val="center"/>
          </w:tcPr>
          <w:p w14:paraId="4102C051">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硬盘（企业级盘）</w:t>
            </w:r>
          </w:p>
        </w:tc>
        <w:tc>
          <w:tcPr>
            <w:tcW w:w="2895" w:type="pct"/>
            <w:tcBorders>
              <w:top w:val="nil"/>
              <w:left w:val="nil"/>
              <w:bottom w:val="single" w:color="auto" w:sz="4" w:space="0"/>
              <w:right w:val="single" w:color="auto" w:sz="4" w:space="0"/>
            </w:tcBorders>
            <w:shd w:val="clear" w:color="000000" w:fill="FFFFFF"/>
            <w:noWrap w:val="0"/>
            <w:vAlign w:val="center"/>
          </w:tcPr>
          <w:p w14:paraId="6505712F">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一体化企业级SATA硬盘(8TB)，沿用交警大队原有存储服务器，增加硬盘扩容。</w:t>
            </w:r>
          </w:p>
        </w:tc>
        <w:tc>
          <w:tcPr>
            <w:tcW w:w="516" w:type="pct"/>
            <w:tcBorders>
              <w:top w:val="nil"/>
              <w:left w:val="nil"/>
              <w:bottom w:val="single" w:color="auto" w:sz="4" w:space="0"/>
              <w:right w:val="single" w:color="auto" w:sz="4" w:space="0"/>
            </w:tcBorders>
            <w:noWrap/>
            <w:vAlign w:val="center"/>
          </w:tcPr>
          <w:p w14:paraId="21FB9D30">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块</w:t>
            </w:r>
          </w:p>
        </w:tc>
        <w:tc>
          <w:tcPr>
            <w:tcW w:w="548" w:type="pct"/>
            <w:tcBorders>
              <w:top w:val="nil"/>
              <w:left w:val="nil"/>
              <w:bottom w:val="single" w:color="auto" w:sz="4" w:space="0"/>
              <w:right w:val="single" w:color="auto" w:sz="4" w:space="0"/>
            </w:tcBorders>
            <w:noWrap/>
            <w:vAlign w:val="center"/>
          </w:tcPr>
          <w:p w14:paraId="3E46F923">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8</w:t>
            </w:r>
          </w:p>
        </w:tc>
      </w:tr>
      <w:tr w14:paraId="38AE06AC">
        <w:tblPrEx>
          <w:tblCellMar>
            <w:top w:w="0" w:type="dxa"/>
            <w:left w:w="108" w:type="dxa"/>
            <w:bottom w:w="0" w:type="dxa"/>
            <w:right w:w="108" w:type="dxa"/>
          </w:tblCellMar>
        </w:tblPrEx>
        <w:trPr>
          <w:trHeight w:val="270" w:hRule="atLeast"/>
        </w:trPr>
        <w:tc>
          <w:tcPr>
            <w:tcW w:w="400" w:type="pct"/>
            <w:tcBorders>
              <w:top w:val="nil"/>
              <w:left w:val="single" w:color="auto" w:sz="4" w:space="0"/>
              <w:bottom w:val="single" w:color="auto" w:sz="4" w:space="0"/>
              <w:right w:val="single" w:color="auto" w:sz="4" w:space="0"/>
            </w:tcBorders>
            <w:noWrap/>
            <w:vAlign w:val="center"/>
          </w:tcPr>
          <w:p w14:paraId="59943D04">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c>
          <w:tcPr>
            <w:tcW w:w="638" w:type="pct"/>
            <w:tcBorders>
              <w:top w:val="nil"/>
              <w:left w:val="nil"/>
              <w:bottom w:val="single" w:color="auto" w:sz="4" w:space="0"/>
              <w:right w:val="single" w:color="auto" w:sz="4" w:space="0"/>
            </w:tcBorders>
            <w:noWrap w:val="0"/>
            <w:vAlign w:val="center"/>
          </w:tcPr>
          <w:p w14:paraId="2310657C">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接入交换机</w:t>
            </w:r>
          </w:p>
        </w:tc>
        <w:tc>
          <w:tcPr>
            <w:tcW w:w="2895" w:type="pct"/>
            <w:tcBorders>
              <w:top w:val="nil"/>
              <w:left w:val="nil"/>
              <w:bottom w:val="single" w:color="auto" w:sz="4" w:space="0"/>
              <w:right w:val="single" w:color="auto" w:sz="4" w:space="0"/>
            </w:tcBorders>
            <w:noWrap w:val="0"/>
            <w:vAlign w:val="center"/>
          </w:tcPr>
          <w:p w14:paraId="26F0818F">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≥24个千兆电口</w:t>
            </w:r>
          </w:p>
        </w:tc>
        <w:tc>
          <w:tcPr>
            <w:tcW w:w="516" w:type="pct"/>
            <w:tcBorders>
              <w:top w:val="nil"/>
              <w:left w:val="nil"/>
              <w:bottom w:val="single" w:color="auto" w:sz="4" w:space="0"/>
              <w:right w:val="single" w:color="auto" w:sz="4" w:space="0"/>
            </w:tcBorders>
            <w:noWrap/>
            <w:vAlign w:val="center"/>
          </w:tcPr>
          <w:p w14:paraId="1A93100B">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台</w:t>
            </w:r>
          </w:p>
        </w:tc>
        <w:tc>
          <w:tcPr>
            <w:tcW w:w="548" w:type="pct"/>
            <w:tcBorders>
              <w:top w:val="nil"/>
              <w:left w:val="nil"/>
              <w:bottom w:val="single" w:color="auto" w:sz="4" w:space="0"/>
              <w:right w:val="single" w:color="auto" w:sz="4" w:space="0"/>
            </w:tcBorders>
            <w:noWrap/>
            <w:vAlign w:val="center"/>
          </w:tcPr>
          <w:p w14:paraId="788CD290">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w:t>
            </w:r>
          </w:p>
        </w:tc>
      </w:tr>
      <w:tr w14:paraId="140D436E">
        <w:tblPrEx>
          <w:tblCellMar>
            <w:top w:w="0" w:type="dxa"/>
            <w:left w:w="108" w:type="dxa"/>
            <w:bottom w:w="0" w:type="dxa"/>
            <w:right w:w="108" w:type="dxa"/>
          </w:tblCellMar>
        </w:tblPrEx>
        <w:trPr>
          <w:trHeight w:val="1020" w:hRule="atLeast"/>
        </w:trPr>
        <w:tc>
          <w:tcPr>
            <w:tcW w:w="400" w:type="pct"/>
            <w:tcBorders>
              <w:top w:val="nil"/>
              <w:left w:val="single" w:color="auto" w:sz="4" w:space="0"/>
              <w:bottom w:val="single" w:color="auto" w:sz="4" w:space="0"/>
              <w:right w:val="single" w:color="auto" w:sz="4" w:space="0"/>
            </w:tcBorders>
            <w:noWrap/>
            <w:vAlign w:val="center"/>
          </w:tcPr>
          <w:p w14:paraId="46EC030C">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3</w:t>
            </w:r>
          </w:p>
        </w:tc>
        <w:tc>
          <w:tcPr>
            <w:tcW w:w="638" w:type="pct"/>
            <w:tcBorders>
              <w:top w:val="nil"/>
              <w:left w:val="nil"/>
              <w:bottom w:val="single" w:color="auto" w:sz="4" w:space="0"/>
              <w:right w:val="single" w:color="auto" w:sz="4" w:space="0"/>
            </w:tcBorders>
            <w:noWrap w:val="0"/>
            <w:vAlign w:val="center"/>
          </w:tcPr>
          <w:p w14:paraId="3103A561">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系统对接</w:t>
            </w:r>
          </w:p>
        </w:tc>
        <w:tc>
          <w:tcPr>
            <w:tcW w:w="2895" w:type="pct"/>
            <w:tcBorders>
              <w:top w:val="nil"/>
              <w:left w:val="nil"/>
              <w:bottom w:val="single" w:color="auto" w:sz="4" w:space="0"/>
              <w:right w:val="single" w:color="auto" w:sz="4" w:space="0"/>
            </w:tcBorders>
            <w:noWrap w:val="0"/>
            <w:vAlign w:val="center"/>
          </w:tcPr>
          <w:p w14:paraId="6EA09C59">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接入云安区公安局非现场违法处理中心系统，并无缝对接云浮支队电警平台与云浮市公安局卡口综合管理平台</w:t>
            </w:r>
          </w:p>
        </w:tc>
        <w:tc>
          <w:tcPr>
            <w:tcW w:w="516" w:type="pct"/>
            <w:tcBorders>
              <w:top w:val="nil"/>
              <w:left w:val="nil"/>
              <w:bottom w:val="single" w:color="auto" w:sz="4" w:space="0"/>
              <w:right w:val="single" w:color="auto" w:sz="4" w:space="0"/>
            </w:tcBorders>
            <w:noWrap/>
            <w:vAlign w:val="center"/>
          </w:tcPr>
          <w:p w14:paraId="79CFB99E">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项</w:t>
            </w:r>
          </w:p>
        </w:tc>
        <w:tc>
          <w:tcPr>
            <w:tcW w:w="548" w:type="pct"/>
            <w:tcBorders>
              <w:top w:val="nil"/>
              <w:left w:val="nil"/>
              <w:bottom w:val="single" w:color="auto" w:sz="4" w:space="0"/>
              <w:right w:val="single" w:color="auto" w:sz="4" w:space="0"/>
            </w:tcBorders>
            <w:noWrap/>
            <w:vAlign w:val="center"/>
          </w:tcPr>
          <w:p w14:paraId="1DC80727">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w:t>
            </w:r>
          </w:p>
        </w:tc>
      </w:tr>
      <w:tr w14:paraId="539D8C98">
        <w:tblPrEx>
          <w:tblCellMar>
            <w:top w:w="0" w:type="dxa"/>
            <w:left w:w="108" w:type="dxa"/>
            <w:bottom w:w="0" w:type="dxa"/>
            <w:right w:w="108" w:type="dxa"/>
          </w:tblCellMar>
        </w:tblPrEx>
        <w:trPr>
          <w:trHeight w:val="570"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736AB5DC">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b/>
                <w:bCs/>
                <w:color w:val="000000"/>
                <w:kern w:val="0"/>
                <w:sz w:val="24"/>
                <w:highlight w:val="none"/>
              </w:rPr>
              <w:t>四、其他</w:t>
            </w:r>
            <w:r>
              <w:rPr>
                <w:rFonts w:hint="eastAsia" w:ascii="楷体" w:hAnsi="楷体" w:eastAsia="楷体" w:cs="楷体"/>
                <w:color w:val="000000"/>
                <w:kern w:val="0"/>
                <w:sz w:val="24"/>
                <w:highlight w:val="none"/>
              </w:rPr>
              <w:t>　</w:t>
            </w:r>
          </w:p>
        </w:tc>
      </w:tr>
      <w:tr w14:paraId="62571B42">
        <w:tblPrEx>
          <w:tblCellMar>
            <w:top w:w="0" w:type="dxa"/>
            <w:left w:w="108" w:type="dxa"/>
            <w:bottom w:w="0" w:type="dxa"/>
            <w:right w:w="108" w:type="dxa"/>
          </w:tblCellMar>
        </w:tblPrEx>
        <w:trPr>
          <w:trHeight w:val="524" w:hRule="atLeast"/>
        </w:trPr>
        <w:tc>
          <w:tcPr>
            <w:tcW w:w="400" w:type="pct"/>
            <w:tcBorders>
              <w:top w:val="nil"/>
              <w:left w:val="single" w:color="auto" w:sz="4" w:space="0"/>
              <w:bottom w:val="single" w:color="auto" w:sz="4" w:space="0"/>
              <w:right w:val="single" w:color="auto" w:sz="4" w:space="0"/>
            </w:tcBorders>
            <w:noWrap/>
            <w:vAlign w:val="center"/>
          </w:tcPr>
          <w:p w14:paraId="501F2BBE">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w:t>
            </w:r>
          </w:p>
        </w:tc>
        <w:tc>
          <w:tcPr>
            <w:tcW w:w="638" w:type="pct"/>
            <w:tcBorders>
              <w:top w:val="nil"/>
              <w:left w:val="nil"/>
              <w:bottom w:val="single" w:color="auto" w:sz="4" w:space="0"/>
              <w:right w:val="single" w:color="auto" w:sz="4" w:space="0"/>
            </w:tcBorders>
            <w:noWrap w:val="0"/>
            <w:vAlign w:val="center"/>
          </w:tcPr>
          <w:p w14:paraId="6420FB1B">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标定费用</w:t>
            </w:r>
          </w:p>
        </w:tc>
        <w:tc>
          <w:tcPr>
            <w:tcW w:w="2895" w:type="pct"/>
            <w:tcBorders>
              <w:top w:val="nil"/>
              <w:left w:val="nil"/>
              <w:bottom w:val="single" w:color="auto" w:sz="4" w:space="0"/>
              <w:right w:val="single" w:color="auto" w:sz="4" w:space="0"/>
            </w:tcBorders>
            <w:noWrap w:val="0"/>
            <w:vAlign w:val="center"/>
          </w:tcPr>
          <w:p w14:paraId="00BAD811">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区间测速标定费用</w:t>
            </w:r>
          </w:p>
        </w:tc>
        <w:tc>
          <w:tcPr>
            <w:tcW w:w="516" w:type="pct"/>
            <w:tcBorders>
              <w:top w:val="nil"/>
              <w:left w:val="nil"/>
              <w:bottom w:val="single" w:color="auto" w:sz="4" w:space="0"/>
              <w:right w:val="single" w:color="auto" w:sz="4" w:space="0"/>
            </w:tcBorders>
            <w:noWrap/>
            <w:vAlign w:val="center"/>
          </w:tcPr>
          <w:p w14:paraId="1C3F276C">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年</w:t>
            </w:r>
          </w:p>
        </w:tc>
        <w:tc>
          <w:tcPr>
            <w:tcW w:w="548" w:type="pct"/>
            <w:tcBorders>
              <w:top w:val="nil"/>
              <w:left w:val="nil"/>
              <w:bottom w:val="single" w:color="auto" w:sz="4" w:space="0"/>
              <w:right w:val="single" w:color="auto" w:sz="4" w:space="0"/>
            </w:tcBorders>
            <w:noWrap/>
            <w:vAlign w:val="center"/>
          </w:tcPr>
          <w:p w14:paraId="53F91572">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3</w:t>
            </w:r>
          </w:p>
        </w:tc>
      </w:tr>
      <w:tr w14:paraId="78AB60CE">
        <w:tblPrEx>
          <w:tblCellMar>
            <w:top w:w="0" w:type="dxa"/>
            <w:left w:w="108" w:type="dxa"/>
            <w:bottom w:w="0" w:type="dxa"/>
            <w:right w:w="108" w:type="dxa"/>
          </w:tblCellMar>
        </w:tblPrEx>
        <w:trPr>
          <w:trHeight w:val="547" w:hRule="atLeast"/>
        </w:trPr>
        <w:tc>
          <w:tcPr>
            <w:tcW w:w="400" w:type="pct"/>
            <w:tcBorders>
              <w:top w:val="nil"/>
              <w:left w:val="single" w:color="auto" w:sz="4" w:space="0"/>
              <w:bottom w:val="single" w:color="auto" w:sz="4" w:space="0"/>
              <w:right w:val="single" w:color="auto" w:sz="4" w:space="0"/>
            </w:tcBorders>
            <w:noWrap/>
            <w:vAlign w:val="center"/>
          </w:tcPr>
          <w:p w14:paraId="7F067124">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w:t>
            </w:r>
          </w:p>
        </w:tc>
        <w:tc>
          <w:tcPr>
            <w:tcW w:w="638" w:type="pct"/>
            <w:tcBorders>
              <w:top w:val="nil"/>
              <w:left w:val="nil"/>
              <w:bottom w:val="single" w:color="auto" w:sz="4" w:space="0"/>
              <w:right w:val="single" w:color="auto" w:sz="4" w:space="0"/>
            </w:tcBorders>
            <w:noWrap w:val="0"/>
            <w:vAlign w:val="center"/>
          </w:tcPr>
          <w:p w14:paraId="2A0E6EC7">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电费</w:t>
            </w:r>
          </w:p>
        </w:tc>
        <w:tc>
          <w:tcPr>
            <w:tcW w:w="2895" w:type="pct"/>
            <w:tcBorders>
              <w:top w:val="nil"/>
              <w:left w:val="nil"/>
              <w:bottom w:val="single" w:color="auto" w:sz="4" w:space="0"/>
              <w:right w:val="single" w:color="auto" w:sz="4" w:space="0"/>
            </w:tcBorders>
            <w:noWrap w:val="0"/>
            <w:vAlign w:val="center"/>
          </w:tcPr>
          <w:p w14:paraId="42D46094">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每测速点各自取电</w:t>
            </w:r>
          </w:p>
        </w:tc>
        <w:tc>
          <w:tcPr>
            <w:tcW w:w="516" w:type="pct"/>
            <w:tcBorders>
              <w:top w:val="nil"/>
              <w:left w:val="nil"/>
              <w:bottom w:val="single" w:color="auto" w:sz="4" w:space="0"/>
              <w:right w:val="single" w:color="auto" w:sz="4" w:space="0"/>
            </w:tcBorders>
            <w:noWrap/>
            <w:vAlign w:val="center"/>
          </w:tcPr>
          <w:p w14:paraId="5F2787AF">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年</w:t>
            </w:r>
          </w:p>
        </w:tc>
        <w:tc>
          <w:tcPr>
            <w:tcW w:w="548" w:type="pct"/>
            <w:tcBorders>
              <w:top w:val="nil"/>
              <w:left w:val="nil"/>
              <w:bottom w:val="single" w:color="auto" w:sz="4" w:space="0"/>
              <w:right w:val="single" w:color="auto" w:sz="4" w:space="0"/>
            </w:tcBorders>
            <w:noWrap/>
            <w:vAlign w:val="center"/>
          </w:tcPr>
          <w:p w14:paraId="1F245C4D">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3</w:t>
            </w:r>
          </w:p>
        </w:tc>
      </w:tr>
      <w:tr w14:paraId="78153C19">
        <w:tblPrEx>
          <w:tblCellMar>
            <w:top w:w="0" w:type="dxa"/>
            <w:left w:w="108" w:type="dxa"/>
            <w:bottom w:w="0" w:type="dxa"/>
            <w:right w:w="108" w:type="dxa"/>
          </w:tblCellMar>
        </w:tblPrEx>
        <w:trPr>
          <w:trHeight w:val="270" w:hRule="atLeast"/>
        </w:trPr>
        <w:tc>
          <w:tcPr>
            <w:tcW w:w="400" w:type="pct"/>
            <w:tcBorders>
              <w:top w:val="nil"/>
              <w:left w:val="single" w:color="auto" w:sz="4" w:space="0"/>
              <w:bottom w:val="single" w:color="auto" w:sz="4" w:space="0"/>
              <w:right w:val="single" w:color="auto" w:sz="4" w:space="0"/>
            </w:tcBorders>
            <w:noWrap/>
            <w:vAlign w:val="center"/>
          </w:tcPr>
          <w:p w14:paraId="181F85D0">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3</w:t>
            </w:r>
          </w:p>
        </w:tc>
        <w:tc>
          <w:tcPr>
            <w:tcW w:w="638" w:type="pct"/>
            <w:tcBorders>
              <w:top w:val="nil"/>
              <w:left w:val="nil"/>
              <w:bottom w:val="single" w:color="auto" w:sz="4" w:space="0"/>
              <w:right w:val="single" w:color="auto" w:sz="4" w:space="0"/>
            </w:tcBorders>
            <w:noWrap w:val="0"/>
            <w:vAlign w:val="center"/>
          </w:tcPr>
          <w:p w14:paraId="7E1CFF7D">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光纤租赁费</w:t>
            </w:r>
          </w:p>
        </w:tc>
        <w:tc>
          <w:tcPr>
            <w:tcW w:w="2895" w:type="pct"/>
            <w:tcBorders>
              <w:top w:val="nil"/>
              <w:left w:val="nil"/>
              <w:bottom w:val="single" w:color="auto" w:sz="4" w:space="0"/>
              <w:right w:val="single" w:color="auto" w:sz="4" w:space="0"/>
            </w:tcBorders>
            <w:noWrap w:val="0"/>
            <w:vAlign w:val="center"/>
          </w:tcPr>
          <w:p w14:paraId="303A8BF7">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50M,共2条</w:t>
            </w:r>
          </w:p>
        </w:tc>
        <w:tc>
          <w:tcPr>
            <w:tcW w:w="516" w:type="pct"/>
            <w:tcBorders>
              <w:top w:val="nil"/>
              <w:left w:val="nil"/>
              <w:bottom w:val="single" w:color="auto" w:sz="4" w:space="0"/>
              <w:right w:val="single" w:color="auto" w:sz="4" w:space="0"/>
            </w:tcBorders>
            <w:noWrap/>
            <w:vAlign w:val="center"/>
          </w:tcPr>
          <w:p w14:paraId="25E59C20">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年</w:t>
            </w:r>
          </w:p>
        </w:tc>
        <w:tc>
          <w:tcPr>
            <w:tcW w:w="548" w:type="pct"/>
            <w:tcBorders>
              <w:top w:val="nil"/>
              <w:left w:val="nil"/>
              <w:bottom w:val="single" w:color="auto" w:sz="4" w:space="0"/>
              <w:right w:val="single" w:color="auto" w:sz="4" w:space="0"/>
            </w:tcBorders>
            <w:noWrap/>
            <w:vAlign w:val="center"/>
          </w:tcPr>
          <w:p w14:paraId="4574A93C">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3</w:t>
            </w:r>
          </w:p>
        </w:tc>
      </w:tr>
      <w:tr w14:paraId="32752D41">
        <w:tblPrEx>
          <w:tblCellMar>
            <w:top w:w="0" w:type="dxa"/>
            <w:left w:w="108" w:type="dxa"/>
            <w:bottom w:w="0" w:type="dxa"/>
            <w:right w:w="108" w:type="dxa"/>
          </w:tblCellMar>
        </w:tblPrEx>
        <w:trPr>
          <w:trHeight w:val="510" w:hRule="atLeast"/>
        </w:trPr>
        <w:tc>
          <w:tcPr>
            <w:tcW w:w="400" w:type="pct"/>
            <w:tcBorders>
              <w:top w:val="nil"/>
              <w:left w:val="single" w:color="auto" w:sz="4" w:space="0"/>
              <w:bottom w:val="single" w:color="auto" w:sz="4" w:space="0"/>
              <w:right w:val="single" w:color="auto" w:sz="4" w:space="0"/>
            </w:tcBorders>
            <w:noWrap/>
            <w:vAlign w:val="center"/>
          </w:tcPr>
          <w:p w14:paraId="2650F2CE">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w:t>
            </w:r>
          </w:p>
        </w:tc>
        <w:tc>
          <w:tcPr>
            <w:tcW w:w="638" w:type="pct"/>
            <w:tcBorders>
              <w:top w:val="nil"/>
              <w:left w:val="nil"/>
              <w:bottom w:val="single" w:color="auto" w:sz="4" w:space="0"/>
              <w:right w:val="single" w:color="auto" w:sz="4" w:space="0"/>
            </w:tcBorders>
            <w:noWrap w:val="0"/>
            <w:vAlign w:val="center"/>
          </w:tcPr>
          <w:p w14:paraId="36397BE2">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运维服务</w:t>
            </w:r>
          </w:p>
        </w:tc>
        <w:tc>
          <w:tcPr>
            <w:tcW w:w="2895" w:type="pct"/>
            <w:tcBorders>
              <w:top w:val="nil"/>
              <w:left w:val="nil"/>
              <w:bottom w:val="single" w:color="auto" w:sz="4" w:space="0"/>
              <w:right w:val="single" w:color="auto" w:sz="4" w:space="0"/>
            </w:tcBorders>
            <w:noWrap w:val="0"/>
            <w:vAlign w:val="center"/>
          </w:tcPr>
          <w:p w14:paraId="48BC9116">
            <w:pPr>
              <w:widowControl/>
              <w:shd w:val="clear" w:color="auto" w:fill="auto"/>
              <w:adjustRightInd w:val="0"/>
              <w:snapToGrid w:val="0"/>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提供整个项目合同期内3年运维服务（包含硬件以及线路维护服务）</w:t>
            </w:r>
          </w:p>
        </w:tc>
        <w:tc>
          <w:tcPr>
            <w:tcW w:w="516" w:type="pct"/>
            <w:tcBorders>
              <w:top w:val="nil"/>
              <w:left w:val="nil"/>
              <w:bottom w:val="single" w:color="auto" w:sz="4" w:space="0"/>
              <w:right w:val="single" w:color="auto" w:sz="4" w:space="0"/>
            </w:tcBorders>
            <w:noWrap/>
            <w:vAlign w:val="center"/>
          </w:tcPr>
          <w:p w14:paraId="3C57BB94">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项</w:t>
            </w:r>
          </w:p>
        </w:tc>
        <w:tc>
          <w:tcPr>
            <w:tcW w:w="548" w:type="pct"/>
            <w:tcBorders>
              <w:top w:val="nil"/>
              <w:left w:val="nil"/>
              <w:bottom w:val="single" w:color="auto" w:sz="4" w:space="0"/>
              <w:right w:val="single" w:color="auto" w:sz="4" w:space="0"/>
            </w:tcBorders>
            <w:noWrap/>
            <w:vAlign w:val="center"/>
          </w:tcPr>
          <w:p w14:paraId="5DC159DF">
            <w:pPr>
              <w:widowControl/>
              <w:shd w:val="clear" w:color="auto" w:fill="auto"/>
              <w:adjustRightInd w:val="0"/>
              <w:snapToGrid w:val="0"/>
              <w:jc w:val="center"/>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w:t>
            </w:r>
          </w:p>
        </w:tc>
      </w:tr>
    </w:tbl>
    <w:p w14:paraId="527DE04C">
      <w:pPr>
        <w:shd w:val="clear" w:color="auto" w:fill="auto"/>
        <w:spacing w:line="360" w:lineRule="auto"/>
        <w:rPr>
          <w:rFonts w:hint="eastAsia" w:ascii="楷体" w:hAnsi="楷体" w:eastAsia="楷体" w:cs="楷体"/>
          <w:b/>
          <w:bCs/>
          <w:sz w:val="24"/>
          <w:highlight w:val="none"/>
          <w:lang w:bidi="ar"/>
        </w:rPr>
      </w:pPr>
    </w:p>
    <w:p w14:paraId="13A96A2B"/>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C4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1"/>
    <w:basedOn w:val="1"/>
    <w:next w:val="3"/>
    <w:qFormat/>
    <w:uiPriority w:val="0"/>
    <w:pPr>
      <w:spacing w:line="360" w:lineRule="auto"/>
      <w:ind w:firstLine="480" w:firstLineChars="200"/>
    </w:pPr>
    <w:rPr>
      <w:rFonts w:ascii="宋体" w:hAnsi="宋体"/>
      <w:iCs/>
      <w:color w:val="FF0000"/>
      <w:sz w:val="24"/>
      <w:szCs w:val="28"/>
      <w:u w:val="wave"/>
    </w:rPr>
  </w:style>
  <w:style w:type="paragraph" w:customStyle="1" w:styleId="3">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2026-04-07T08:07:50Z</dcterms:created>
  <dc:creator>Administrator</dc:creator>
  <cp:lastModifiedBy>Administrator</cp:lastModifiedBy>
  <dcterms:modified xsi:type="dcterms:W3CDTF">2026-04-07T08:14:02Z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eyJoZGlkIjoiNjczNzNiYTE4ZDA5MzdkY2MyMzNmZWYwNmFkMGMyYjgiLCJ1c2VySWQiOiI2NzA0MzA2MTEifQ==</vt:lpwstr>
  </property>
  <property fmtid="{D5CDD505-2E9C-101B-9397-08002B2CF9AE}" pid="4" name="ICV">
    <vt:lpwstr>7EECDFB1B30C46A6BAF5F0BF1E39C9CF_12</vt:lpwstr>
  </property>
</Properties>
</file>