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6EBF0BF">
      <w:pPr>
        <w:pStyle w:val="2"/>
        <w:numPr>
          <w:ilvl w:val="0"/>
          <w:numId w:val="1"/>
        </w:numPr>
        <w:snapToGrid w:val="0"/>
        <w:spacing w:before="0" w:line="360" w:lineRule="auto"/>
        <w:ind w:left="0" w:right="0"/>
        <w:rPr>
          <w:sz w:val="32"/>
          <w:szCs w:val="32"/>
          <w:highlight w:val="none"/>
        </w:rPr>
      </w:pPr>
      <w:bookmarkStart w:id="0" w:name="_Toc30188"/>
      <w:r>
        <w:rPr>
          <w:sz w:val="32"/>
          <w:szCs w:val="32"/>
          <w:highlight w:val="none"/>
        </w:rPr>
        <w:t>评标办法（</w:t>
      </w:r>
      <w:r>
        <w:rPr>
          <w:rFonts w:hint="eastAsia"/>
          <w:sz w:val="32"/>
          <w:szCs w:val="32"/>
          <w:highlight w:val="none"/>
          <w:lang w:eastAsia="zh-CN"/>
        </w:rPr>
        <w:t>双信封的综合评分法</w:t>
      </w:r>
      <w:r>
        <w:rPr>
          <w:sz w:val="32"/>
          <w:szCs w:val="32"/>
          <w:highlight w:val="none"/>
        </w:rPr>
        <w:t>法）</w:t>
      </w:r>
      <w:bookmarkEnd w:id="0"/>
    </w:p>
    <w:p w14:paraId="050B1111">
      <w:pPr>
        <w:pStyle w:val="3"/>
        <w:rPr>
          <w:szCs w:val="24"/>
          <w:highlight w:val="none"/>
          <w:vertAlign w:val="superscript"/>
        </w:rPr>
      </w:pPr>
      <w:bookmarkStart w:id="1" w:name="_TOC_250247"/>
      <w:bookmarkEnd w:id="1"/>
      <w:bookmarkStart w:id="2" w:name="_Toc513216148"/>
      <w:r>
        <w:rPr>
          <w:szCs w:val="24"/>
          <w:highlight w:val="none"/>
        </w:rPr>
        <w:t>评标办法前附表</w:t>
      </w:r>
      <w:bookmarkEnd w:id="2"/>
    </w:p>
    <w:tbl>
      <w:tblPr>
        <w:tblStyle w:val="6"/>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83"/>
        <w:gridCol w:w="737"/>
        <w:gridCol w:w="8100"/>
      </w:tblGrid>
      <w:tr w14:paraId="1FC761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9" w:hRule="atLeast"/>
        </w:trPr>
        <w:tc>
          <w:tcPr>
            <w:tcW w:w="1620" w:type="dxa"/>
            <w:gridSpan w:val="2"/>
            <w:noWrap w:val="0"/>
            <w:vAlign w:val="center"/>
          </w:tcPr>
          <w:p w14:paraId="5278C1E6">
            <w:pPr>
              <w:spacing w:line="400" w:lineRule="exact"/>
              <w:jc w:val="center"/>
              <w:rPr>
                <w:rFonts w:hint="eastAsia" w:ascii="宋体" w:hAnsi="宋体" w:eastAsia="宋体" w:cs="宋体"/>
                <w:b/>
                <w:sz w:val="22"/>
                <w:szCs w:val="22"/>
                <w:highlight w:val="none"/>
              </w:rPr>
            </w:pPr>
            <w:r>
              <w:rPr>
                <w:rFonts w:hint="eastAsia" w:ascii="宋体" w:hAnsi="宋体" w:eastAsia="宋体" w:cs="宋体"/>
                <w:b/>
                <w:sz w:val="22"/>
                <w:szCs w:val="22"/>
                <w:highlight w:val="none"/>
              </w:rPr>
              <w:t>条款号</w:t>
            </w:r>
          </w:p>
        </w:tc>
        <w:tc>
          <w:tcPr>
            <w:tcW w:w="8100" w:type="dxa"/>
            <w:noWrap w:val="0"/>
            <w:vAlign w:val="center"/>
          </w:tcPr>
          <w:p w14:paraId="7F50482A">
            <w:pPr>
              <w:spacing w:line="400" w:lineRule="exact"/>
              <w:jc w:val="center"/>
              <w:rPr>
                <w:rFonts w:hint="eastAsia" w:ascii="宋体" w:hAnsi="宋体" w:eastAsia="宋体" w:cs="宋体"/>
                <w:b/>
                <w:sz w:val="22"/>
                <w:szCs w:val="22"/>
                <w:highlight w:val="none"/>
              </w:rPr>
            </w:pPr>
            <w:r>
              <w:rPr>
                <w:rFonts w:hint="eastAsia" w:ascii="宋体" w:hAnsi="宋体" w:eastAsia="宋体" w:cs="宋体"/>
                <w:b/>
                <w:sz w:val="22"/>
                <w:szCs w:val="22"/>
                <w:highlight w:val="none"/>
              </w:rPr>
              <w:t>评审因素与标准</w:t>
            </w:r>
          </w:p>
        </w:tc>
      </w:tr>
      <w:tr w14:paraId="441228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14" w:hRule="atLeast"/>
        </w:trPr>
        <w:tc>
          <w:tcPr>
            <w:tcW w:w="883" w:type="dxa"/>
            <w:noWrap w:val="0"/>
            <w:vAlign w:val="center"/>
          </w:tcPr>
          <w:p w14:paraId="1E4A6C92">
            <w:pPr>
              <w:spacing w:line="400" w:lineRule="exact"/>
              <w:jc w:val="center"/>
              <w:rPr>
                <w:rFonts w:hint="eastAsia" w:ascii="宋体" w:hAnsi="宋体" w:eastAsia="宋体" w:cs="宋体"/>
                <w:bCs/>
                <w:sz w:val="22"/>
                <w:szCs w:val="22"/>
                <w:highlight w:val="none"/>
              </w:rPr>
            </w:pPr>
            <w:r>
              <w:rPr>
                <w:rFonts w:hint="eastAsia" w:ascii="宋体" w:hAnsi="宋体" w:eastAsia="宋体" w:cs="宋体"/>
                <w:bCs/>
                <w:sz w:val="22"/>
                <w:szCs w:val="22"/>
                <w:highlight w:val="none"/>
              </w:rPr>
              <w:t>1</w:t>
            </w:r>
          </w:p>
        </w:tc>
        <w:tc>
          <w:tcPr>
            <w:tcW w:w="737" w:type="dxa"/>
            <w:noWrap w:val="0"/>
            <w:vAlign w:val="center"/>
          </w:tcPr>
          <w:p w14:paraId="55D2D262">
            <w:pPr>
              <w:spacing w:line="400" w:lineRule="exact"/>
              <w:jc w:val="center"/>
              <w:rPr>
                <w:rFonts w:hint="eastAsia" w:ascii="宋体" w:hAnsi="宋体" w:eastAsia="宋体" w:cs="宋体"/>
                <w:bCs/>
                <w:sz w:val="22"/>
                <w:szCs w:val="22"/>
                <w:highlight w:val="none"/>
              </w:rPr>
            </w:pPr>
            <w:r>
              <w:rPr>
                <w:rFonts w:hint="eastAsia" w:ascii="宋体" w:hAnsi="宋体" w:eastAsia="宋体" w:cs="宋体"/>
                <w:bCs/>
                <w:sz w:val="22"/>
                <w:szCs w:val="22"/>
                <w:highlight w:val="none"/>
              </w:rPr>
              <w:t>评标方法</w:t>
            </w:r>
          </w:p>
        </w:tc>
        <w:tc>
          <w:tcPr>
            <w:tcW w:w="8100" w:type="dxa"/>
            <w:noWrap w:val="0"/>
            <w:vAlign w:val="center"/>
          </w:tcPr>
          <w:p w14:paraId="05DA5111">
            <w:pPr>
              <w:keepNext w:val="0"/>
              <w:keepLines w:val="0"/>
              <w:widowControl/>
              <w:suppressLineNumbers w:val="0"/>
              <w:spacing w:line="360" w:lineRule="auto"/>
              <w:jc w:val="left"/>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 xml:space="preserve">综合评分相等时，评标委员会依次按照以下优先顺序推荐中标候选人或确定中标人： </w:t>
            </w:r>
          </w:p>
          <w:p w14:paraId="36778F50">
            <w:pPr>
              <w:keepNext w:val="0"/>
              <w:keepLines w:val="0"/>
              <w:widowControl/>
              <w:suppressLineNumbers w:val="0"/>
              <w:spacing w:line="360" w:lineRule="auto"/>
              <w:jc w:val="left"/>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（1）评标价低的</w:t>
            </w:r>
            <w:bookmarkStart w:id="3" w:name="_GoBack"/>
            <w:bookmarkEnd w:id="3"/>
            <w:r>
              <w:rPr>
                <w:rFonts w:hint="eastAsia" w:ascii="宋体" w:hAnsi="宋体" w:eastAsia="宋体" w:cs="宋体"/>
                <w:i w:val="0"/>
                <w:iCs w:val="0"/>
                <w:color w:val="000000"/>
                <w:kern w:val="0"/>
                <w:sz w:val="20"/>
                <w:szCs w:val="20"/>
                <w:highlight w:val="none"/>
                <w:u w:val="none"/>
                <w:lang w:val="en-US" w:eastAsia="zh-CN" w:bidi="ar"/>
              </w:rPr>
              <w:t xml:space="preserve">优先； </w:t>
            </w:r>
          </w:p>
          <w:p w14:paraId="452110F2">
            <w:pPr>
              <w:keepNext w:val="0"/>
              <w:keepLines w:val="0"/>
              <w:widowControl/>
              <w:suppressLineNumbers w:val="0"/>
              <w:spacing w:line="360" w:lineRule="auto"/>
              <w:jc w:val="left"/>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 xml:space="preserve">（2）以投标人企业最新年度净资产较高的优先[如果联合体参加投标的 ，本款中最新年度净资产以承担施工任务的联合体成员方（数量不止1家，按就高不就低的原则确定）的情况为准。]； </w:t>
            </w:r>
          </w:p>
          <w:p w14:paraId="6BCE57BC">
            <w:pPr>
              <w:keepNext w:val="0"/>
              <w:keepLines w:val="0"/>
              <w:widowControl/>
              <w:suppressLineNumbers w:val="0"/>
              <w:spacing w:line="360" w:lineRule="auto"/>
              <w:jc w:val="left"/>
              <w:textAlignment w:val="center"/>
              <w:rPr>
                <w:rFonts w:hint="eastAsia" w:ascii="宋体" w:hAnsi="宋体" w:eastAsia="宋体" w:cs="宋体"/>
                <w:b/>
                <w:sz w:val="22"/>
                <w:szCs w:val="22"/>
                <w:highlight w:val="none"/>
              </w:rPr>
            </w:pPr>
            <w:r>
              <w:rPr>
                <w:rFonts w:hint="eastAsia" w:ascii="宋体" w:hAnsi="宋体" w:eastAsia="宋体" w:cs="宋体"/>
                <w:i w:val="0"/>
                <w:iCs w:val="0"/>
                <w:color w:val="000000"/>
                <w:kern w:val="0"/>
                <w:sz w:val="20"/>
                <w:szCs w:val="20"/>
                <w:highlight w:val="none"/>
                <w:u w:val="none"/>
                <w:lang w:val="en-US" w:eastAsia="zh-CN" w:bidi="ar"/>
              </w:rPr>
              <w:t>（3）评标委员会视投标人情况综合比较，投票确定其名次。</w:t>
            </w:r>
          </w:p>
        </w:tc>
      </w:tr>
      <w:tr w14:paraId="1728B1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84" w:hRule="atLeast"/>
        </w:trPr>
        <w:tc>
          <w:tcPr>
            <w:tcW w:w="883" w:type="dxa"/>
            <w:noWrap w:val="0"/>
            <w:vAlign w:val="center"/>
          </w:tcPr>
          <w:p w14:paraId="491B8616">
            <w:pPr>
              <w:spacing w:line="400" w:lineRule="exact"/>
              <w:jc w:val="center"/>
              <w:rPr>
                <w:rFonts w:hint="eastAsia" w:ascii="宋体" w:hAnsi="宋体" w:eastAsia="宋体" w:cs="宋体"/>
                <w:sz w:val="22"/>
                <w:szCs w:val="22"/>
                <w:highlight w:val="none"/>
              </w:rPr>
            </w:pPr>
            <w:r>
              <w:rPr>
                <w:rFonts w:hint="eastAsia" w:ascii="宋体" w:hAnsi="宋体" w:eastAsia="宋体" w:cs="宋体"/>
                <w:sz w:val="22"/>
                <w:szCs w:val="22"/>
                <w:highlight w:val="none"/>
              </w:rPr>
              <w:t>2.1.1</w:t>
            </w:r>
          </w:p>
          <w:p w14:paraId="7B966E41">
            <w:pPr>
              <w:spacing w:line="400" w:lineRule="exact"/>
              <w:jc w:val="center"/>
              <w:rPr>
                <w:rFonts w:hint="eastAsia" w:ascii="宋体" w:hAnsi="宋体" w:eastAsia="宋体" w:cs="宋体"/>
                <w:sz w:val="22"/>
                <w:szCs w:val="22"/>
                <w:highlight w:val="none"/>
              </w:rPr>
            </w:pPr>
          </w:p>
        </w:tc>
        <w:tc>
          <w:tcPr>
            <w:tcW w:w="737" w:type="dxa"/>
            <w:noWrap w:val="0"/>
            <w:vAlign w:val="center"/>
          </w:tcPr>
          <w:p w14:paraId="4DCDC64C">
            <w:pPr>
              <w:spacing w:line="400" w:lineRule="exact"/>
              <w:rPr>
                <w:rFonts w:hint="eastAsia" w:ascii="宋体" w:hAnsi="宋体" w:eastAsia="宋体" w:cs="宋体"/>
                <w:sz w:val="22"/>
                <w:szCs w:val="22"/>
                <w:highlight w:val="none"/>
              </w:rPr>
            </w:pPr>
            <w:r>
              <w:rPr>
                <w:rFonts w:hint="eastAsia" w:ascii="宋体" w:hAnsi="宋体" w:eastAsia="宋体" w:cs="宋体"/>
                <w:sz w:val="22"/>
                <w:szCs w:val="22"/>
                <w:highlight w:val="none"/>
              </w:rPr>
              <w:t>形式评审与响应性评审标准</w:t>
            </w:r>
          </w:p>
        </w:tc>
        <w:tc>
          <w:tcPr>
            <w:tcW w:w="8100" w:type="dxa"/>
            <w:noWrap w:val="0"/>
            <w:vAlign w:val="center"/>
          </w:tcPr>
          <w:p w14:paraId="2753BA8B">
            <w:pPr>
              <w:spacing w:line="360" w:lineRule="auto"/>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第一个信封（商务及技术文件）的评审标准：</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（1）投标文件按照招标文件规定的格式、内容填写，字迹清晰可辨：</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a.投标函按招标文件规定填报了项目名称、标段号（如有)、补遗书编号（如有)、工期、工程质量要求及安全目标；</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b.投标函附录的所有数据均符合招标文件规定；</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c.投标文件组成齐全完整，内容均按规定填写。</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（2）投标文件上法定代表人或其委托代理人的签字、投标人的单位章盖章齐全，符合招标文件规定。</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（3）投标人按照招标文件的规定提供了投标保证金：</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a.投标保证金金额符合招标文件规定的金额，且投标保证金有效期不少于投标有效期；</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b.若投标保证金采用现金或支票形式提交，投标人应在投标人须知3.4.1款规定的时间，将投标保证金由投标人的基本账户转入招标人指定账户；</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c．若投标保证金采用电子保函形式提交，电子保函满足招标文件要求。</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（4）投标人法定代表人授权委托代理人签署投标文件的，需提交授权委托书，且授权人和被授权人均在授权委托书上签名，未使用印章、签名章或其他电子制版签名代替。</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（5）投标人法定代表人亲自签署投标文件的，提供了法定代表人身份证明，且法定代表人在法定代表人身份证明上签名，未使用印章、签名章或其他电子制版签名代替。</w:t>
            </w:r>
          </w:p>
          <w:p w14:paraId="122FCA66">
            <w:pPr>
              <w:spacing w:line="360" w:lineRule="auto"/>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（6）投标人以联合体形式投标时，联合体满足招标文件的要求：投标人按照招标文件提供的格式签订了联合体协议书，明确各方承担连带责任，并明确了联合体牵头人。</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（7）如投标人不具备拟分包工程所需的某专项工程相应资质或投标人如有分包计划，符合招标文件第二章“投标人须知 ” 第 1.11 款规定，且按招标文件第九章“投标文件格式 ”的要求填写了“拟分包项目情况表 ”。</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（8）同一投标人未提交两个以上不同的投标文件，但招标文件要求提交备选投标的除外。</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（9）投标文件中未出现有关投标报价的内容。</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（10）投标文件载明的招标项目完成期限未超过招标文件规定的时限。</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（11）投标文件对招标文件的实质性要求和条件作出响应。</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（12）权利义务符合招标文件规定：</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a.投标人应接受招标文件规定的风险划分原则，未提出新的风险划分办法；</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b.投标人未增加发包人的责任范围，或减少投标人义务；</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c.投标人未提出不同的工程验收、计量、支付办法；</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d.投标人对合同纠纷、事故处理办法未提出异议；</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e.投标人在投标活动中无欺诈行为；</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f.投标人未对合同条款有重要保留。</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（13）投标文件及其他要求符合招标文件第二章“投标人须知第3.7.4项规定。</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（14）经云浮市公共资源交易服务平台交易系统检测投标文件存在投标端网络IP地址、网卡MAC地址、CPU序列号、硬盘序列号、主板序列号、软件制作码一致的。</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第二个信封（报价文件）的评审标准：</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 xml:space="preserve">（1）投标文件按照招标文件规定的格式、内容填写，字迹清晰可辩： </w:t>
            </w:r>
          </w:p>
          <w:p w14:paraId="28DC0A93">
            <w:pPr>
              <w:spacing w:line="360" w:lineRule="auto"/>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 xml:space="preserve">a. 投标函按招标文件规定填报了项目名称、标段号（如有)、补遗书编号（如有)、投标总报价（包括大写金额和小写金额)； </w:t>
            </w:r>
          </w:p>
          <w:p w14:paraId="42E953C0">
            <w:pPr>
              <w:spacing w:line="360" w:lineRule="auto"/>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 xml:space="preserve">b. 投标文件组成齐全完整，内容均按规定填写。 </w:t>
            </w:r>
          </w:p>
          <w:p w14:paraId="1A8AC33E">
            <w:pPr>
              <w:spacing w:line="360" w:lineRule="auto"/>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（2）投标文件上法定代表人或其委托代理人的签字、投标人的单位章盖章齐全，符合招标文件规定。</w:t>
            </w:r>
          </w:p>
          <w:p w14:paraId="00D4855D">
            <w:pPr>
              <w:spacing w:line="360" w:lineRule="auto"/>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 xml:space="preserve">（3）投标总报价报价未超过招标文件设定的最高投标限价（如有)及最高评标限价（如有）。 </w:t>
            </w:r>
          </w:p>
          <w:p w14:paraId="4A8CA8DC">
            <w:pPr>
              <w:spacing w:line="360" w:lineRule="auto"/>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 xml:space="preserve">（4）投标总报价的大写金额能够确定具体数值。 </w:t>
            </w:r>
          </w:p>
          <w:p w14:paraId="411C3C99">
            <w:pPr>
              <w:spacing w:line="360" w:lineRule="auto"/>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（5）同一投标人未提交两个以上不同的投标报价，但招标文件要求提交备选投标的除外。</w:t>
            </w:r>
          </w:p>
        </w:tc>
      </w:tr>
      <w:tr w14:paraId="293C19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82" w:hRule="atLeast"/>
        </w:trPr>
        <w:tc>
          <w:tcPr>
            <w:tcW w:w="883" w:type="dxa"/>
            <w:noWrap w:val="0"/>
            <w:vAlign w:val="center"/>
          </w:tcPr>
          <w:p w14:paraId="60C3FC9C">
            <w:pPr>
              <w:spacing w:line="400" w:lineRule="exact"/>
              <w:jc w:val="center"/>
              <w:rPr>
                <w:rFonts w:hint="eastAsia" w:ascii="宋体" w:hAnsi="宋体" w:eastAsia="宋体" w:cs="宋体"/>
                <w:sz w:val="22"/>
                <w:szCs w:val="22"/>
                <w:highlight w:val="none"/>
              </w:rPr>
            </w:pPr>
            <w:r>
              <w:rPr>
                <w:rFonts w:hint="eastAsia" w:ascii="宋体" w:hAnsi="宋体" w:eastAsia="宋体" w:cs="宋体"/>
                <w:sz w:val="22"/>
                <w:szCs w:val="22"/>
                <w:highlight w:val="none"/>
              </w:rPr>
              <w:t>2.1.2</w:t>
            </w:r>
          </w:p>
        </w:tc>
        <w:tc>
          <w:tcPr>
            <w:tcW w:w="737" w:type="dxa"/>
            <w:noWrap w:val="0"/>
            <w:vAlign w:val="center"/>
          </w:tcPr>
          <w:p w14:paraId="43FC0BB5">
            <w:pPr>
              <w:spacing w:line="400" w:lineRule="exact"/>
              <w:ind w:firstLine="22" w:firstLineChars="10"/>
              <w:rPr>
                <w:rFonts w:hint="eastAsia" w:ascii="宋体" w:hAnsi="宋体" w:eastAsia="宋体" w:cs="宋体"/>
                <w:sz w:val="22"/>
                <w:szCs w:val="22"/>
                <w:highlight w:val="none"/>
              </w:rPr>
            </w:pPr>
            <w:r>
              <w:rPr>
                <w:rFonts w:hint="eastAsia" w:ascii="宋体" w:hAnsi="宋体" w:eastAsia="宋体" w:cs="宋体"/>
                <w:sz w:val="22"/>
                <w:szCs w:val="22"/>
                <w:highlight w:val="none"/>
              </w:rPr>
              <w:t>资格评审标准</w:t>
            </w:r>
          </w:p>
        </w:tc>
        <w:tc>
          <w:tcPr>
            <w:tcW w:w="8100" w:type="dxa"/>
            <w:noWrap w:val="0"/>
            <w:vAlign w:val="top"/>
          </w:tcPr>
          <w:p w14:paraId="0E94BE89">
            <w:pPr>
              <w:numPr>
                <w:ilvl w:val="0"/>
                <w:numId w:val="2"/>
              </w:numPr>
              <w:spacing w:line="380" w:lineRule="exact"/>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投标人具备有效的营业执照、资质证书、安全生产许可证和基本账户开户许可证（如企业所在地已取消企业银行账户许可而无法提供开户许可证的，则需附上开户银行出具的“基本存款账户信息”或“人民银行账户管理系统查询的基本账户信息截图”）；</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（2）投标人的资质等级符合招标文件附录1规定；</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（3）投标人的财务状况符合招标文件附录2规定；</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（4）投标人的类似项目业绩符合招标文件附录3规定；</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（5）投标人的信誉符合招标文件附录4规定；</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（6）投标人的项目总负责人、项目经理、项目总工、设计负责人资格，项目经理、项目总工及、设计负责人的签字、在岗情况符合招标文件附录5规定；</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（7）投标人的其他要求符合招标文件附录6规定；</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（8）投标人不存在第二章“投标人须知”第1.4.3项或第1.4.4项规定的任何一种情形；</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（9）以联合体形式参与投标的，联合体各方均未再以自己名义单独或参加其他联合体在同一项目包中投标；独立参与投标的，投标人未同时参加联合体在同一项目包中投标。</w:t>
            </w:r>
          </w:p>
        </w:tc>
      </w:tr>
    </w:tbl>
    <w:p w14:paraId="48339B3B">
      <w:pPr>
        <w:spacing w:line="400" w:lineRule="exact"/>
        <w:ind w:right="420"/>
        <w:jc w:val="right"/>
        <w:rPr>
          <w:szCs w:val="21"/>
          <w:highlight w:val="none"/>
        </w:rPr>
      </w:pPr>
    </w:p>
    <w:tbl>
      <w:tblPr>
        <w:tblStyle w:val="6"/>
        <w:tblW w:w="9360"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1"/>
        <w:gridCol w:w="142"/>
        <w:gridCol w:w="386"/>
        <w:gridCol w:w="645"/>
        <w:gridCol w:w="528"/>
        <w:gridCol w:w="162"/>
        <w:gridCol w:w="840"/>
        <w:gridCol w:w="1459"/>
        <w:gridCol w:w="4347"/>
      </w:tblGrid>
      <w:tr w14:paraId="18D8F8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6" w:hRule="atLeast"/>
        </w:trPr>
        <w:tc>
          <w:tcPr>
            <w:tcW w:w="993" w:type="dxa"/>
            <w:gridSpan w:val="2"/>
            <w:noWrap w:val="0"/>
            <w:vAlign w:val="top"/>
          </w:tcPr>
          <w:p w14:paraId="1E00FA2D">
            <w:pPr>
              <w:spacing w:line="400" w:lineRule="exact"/>
              <w:jc w:val="center"/>
              <w:rPr>
                <w:rFonts w:hint="eastAsia" w:ascii="宋体" w:hAnsi="宋体" w:eastAsia="宋体" w:cs="宋体"/>
                <w:b/>
                <w:sz w:val="22"/>
                <w:szCs w:val="22"/>
                <w:highlight w:val="none"/>
              </w:rPr>
            </w:pPr>
            <w:r>
              <w:rPr>
                <w:rFonts w:hint="eastAsia" w:ascii="宋体" w:hAnsi="宋体" w:eastAsia="宋体" w:cs="宋体"/>
                <w:b/>
                <w:sz w:val="22"/>
                <w:szCs w:val="22"/>
                <w:highlight w:val="none"/>
              </w:rPr>
              <w:t>条款号</w:t>
            </w:r>
          </w:p>
        </w:tc>
        <w:tc>
          <w:tcPr>
            <w:tcW w:w="1559" w:type="dxa"/>
            <w:gridSpan w:val="3"/>
            <w:noWrap w:val="0"/>
            <w:vAlign w:val="top"/>
          </w:tcPr>
          <w:p w14:paraId="29E1CFD8">
            <w:pPr>
              <w:spacing w:line="400" w:lineRule="exact"/>
              <w:jc w:val="center"/>
              <w:rPr>
                <w:rFonts w:hint="eastAsia" w:ascii="宋体" w:hAnsi="宋体" w:eastAsia="宋体" w:cs="宋体"/>
                <w:b/>
                <w:sz w:val="22"/>
                <w:szCs w:val="22"/>
                <w:highlight w:val="none"/>
              </w:rPr>
            </w:pPr>
            <w:r>
              <w:rPr>
                <w:rFonts w:hint="eastAsia" w:ascii="宋体" w:hAnsi="宋体" w:eastAsia="宋体" w:cs="宋体"/>
                <w:b/>
                <w:sz w:val="22"/>
                <w:szCs w:val="22"/>
                <w:highlight w:val="none"/>
              </w:rPr>
              <w:t>条款内容</w:t>
            </w:r>
          </w:p>
        </w:tc>
        <w:tc>
          <w:tcPr>
            <w:tcW w:w="6808" w:type="dxa"/>
            <w:gridSpan w:val="4"/>
            <w:noWrap w:val="0"/>
            <w:vAlign w:val="top"/>
          </w:tcPr>
          <w:p w14:paraId="52C8FD5D">
            <w:pPr>
              <w:spacing w:line="400" w:lineRule="exact"/>
              <w:jc w:val="center"/>
              <w:rPr>
                <w:rFonts w:hint="eastAsia" w:ascii="宋体" w:hAnsi="宋体" w:eastAsia="宋体" w:cs="宋体"/>
                <w:b/>
                <w:sz w:val="22"/>
                <w:szCs w:val="22"/>
                <w:highlight w:val="none"/>
              </w:rPr>
            </w:pPr>
            <w:r>
              <w:rPr>
                <w:rFonts w:hint="eastAsia" w:ascii="宋体" w:hAnsi="宋体" w:eastAsia="宋体" w:cs="宋体"/>
                <w:b/>
                <w:sz w:val="22"/>
                <w:szCs w:val="22"/>
                <w:highlight w:val="none"/>
              </w:rPr>
              <w:t>编列内容</w:t>
            </w:r>
          </w:p>
        </w:tc>
      </w:tr>
      <w:tr w14:paraId="25E3EF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93" w:hRule="atLeast"/>
        </w:trPr>
        <w:tc>
          <w:tcPr>
            <w:tcW w:w="993" w:type="dxa"/>
            <w:gridSpan w:val="2"/>
            <w:noWrap w:val="0"/>
            <w:vAlign w:val="center"/>
          </w:tcPr>
          <w:p w14:paraId="40FD5322">
            <w:pPr>
              <w:spacing w:line="400" w:lineRule="exact"/>
              <w:jc w:val="center"/>
              <w:rPr>
                <w:rFonts w:hint="eastAsia" w:ascii="宋体" w:hAnsi="宋体" w:eastAsia="宋体" w:cs="宋体"/>
                <w:sz w:val="22"/>
                <w:szCs w:val="22"/>
                <w:highlight w:val="none"/>
              </w:rPr>
            </w:pPr>
            <w:r>
              <w:rPr>
                <w:rFonts w:hint="eastAsia" w:ascii="宋体" w:hAnsi="宋体" w:eastAsia="宋体" w:cs="宋体"/>
                <w:sz w:val="22"/>
                <w:szCs w:val="22"/>
                <w:highlight w:val="none"/>
              </w:rPr>
              <w:t>2.2.1</w:t>
            </w:r>
          </w:p>
        </w:tc>
        <w:tc>
          <w:tcPr>
            <w:tcW w:w="1559" w:type="dxa"/>
            <w:gridSpan w:val="3"/>
            <w:noWrap w:val="0"/>
            <w:vAlign w:val="center"/>
          </w:tcPr>
          <w:p w14:paraId="3A00E61D">
            <w:pPr>
              <w:spacing w:line="400" w:lineRule="exact"/>
              <w:jc w:val="center"/>
              <w:rPr>
                <w:rFonts w:hint="eastAsia" w:ascii="宋体" w:hAnsi="宋体" w:eastAsia="宋体" w:cs="宋体"/>
                <w:sz w:val="22"/>
                <w:szCs w:val="22"/>
                <w:highlight w:val="none"/>
              </w:rPr>
            </w:pPr>
            <w:r>
              <w:rPr>
                <w:rFonts w:hint="eastAsia" w:ascii="宋体" w:hAnsi="宋体" w:eastAsia="宋体" w:cs="宋体"/>
                <w:sz w:val="22"/>
                <w:szCs w:val="22"/>
                <w:highlight w:val="none"/>
              </w:rPr>
              <w:t>分值构成</w:t>
            </w:r>
          </w:p>
          <w:p w14:paraId="585F40FF">
            <w:pPr>
              <w:spacing w:line="400" w:lineRule="exact"/>
              <w:jc w:val="center"/>
              <w:rPr>
                <w:rFonts w:hint="eastAsia" w:ascii="宋体" w:hAnsi="宋体" w:eastAsia="宋体" w:cs="宋体"/>
                <w:sz w:val="22"/>
                <w:szCs w:val="22"/>
                <w:highlight w:val="none"/>
              </w:rPr>
            </w:pPr>
            <w:r>
              <w:rPr>
                <w:rFonts w:hint="eastAsia" w:ascii="宋体" w:hAnsi="宋体" w:eastAsia="宋体" w:cs="宋体"/>
                <w:sz w:val="22"/>
                <w:szCs w:val="22"/>
                <w:highlight w:val="none"/>
              </w:rPr>
              <w:t>（总分100分）</w:t>
            </w:r>
          </w:p>
        </w:tc>
        <w:tc>
          <w:tcPr>
            <w:tcW w:w="6808" w:type="dxa"/>
            <w:gridSpan w:val="4"/>
            <w:noWrap w:val="0"/>
            <w:vAlign w:val="top"/>
          </w:tcPr>
          <w:p w14:paraId="5ADCFECD">
            <w:pPr>
              <w:spacing w:line="400" w:lineRule="exact"/>
              <w:rPr>
                <w:rFonts w:hint="eastAsia" w:ascii="宋体" w:hAnsi="宋体" w:eastAsia="宋体" w:cs="宋体"/>
                <w:sz w:val="22"/>
                <w:szCs w:val="22"/>
                <w:highlight w:val="none"/>
              </w:rPr>
            </w:pPr>
            <w:r>
              <w:rPr>
                <w:rFonts w:hint="eastAsia" w:ascii="宋体" w:hAnsi="宋体" w:eastAsia="宋体" w:cs="宋体"/>
                <w:sz w:val="22"/>
                <w:szCs w:val="22"/>
                <w:highlight w:val="none"/>
                <w:lang w:val="en-US" w:eastAsia="zh-CN"/>
              </w:rPr>
              <w:t xml:space="preserve">第一个信封（商务及技术文件）评分分值构成： </w:t>
            </w:r>
          </w:p>
          <w:p w14:paraId="61F6B09A">
            <w:pPr>
              <w:spacing w:line="400" w:lineRule="exact"/>
              <w:rPr>
                <w:rFonts w:hint="eastAsia" w:ascii="宋体" w:hAnsi="宋体" w:eastAsia="宋体" w:cs="宋体"/>
                <w:sz w:val="22"/>
                <w:szCs w:val="22"/>
                <w:highlight w:val="none"/>
              </w:rPr>
            </w:pPr>
            <w:r>
              <w:rPr>
                <w:rFonts w:hint="eastAsia" w:ascii="宋体" w:hAnsi="宋体" w:eastAsia="宋体" w:cs="宋体"/>
                <w:sz w:val="22"/>
                <w:szCs w:val="22"/>
                <w:highlight w:val="none"/>
                <w:lang w:val="en-US" w:eastAsia="zh-CN"/>
              </w:rPr>
              <w:t>施工组织设计（A）：</w:t>
            </w:r>
            <w:r>
              <w:rPr>
                <w:rFonts w:hint="eastAsia" w:eastAsia="宋体" w:cs="宋体"/>
                <w:sz w:val="22"/>
                <w:szCs w:val="22"/>
                <w:highlight w:val="none"/>
                <w:lang w:val="en-US" w:eastAsia="zh-CN"/>
              </w:rPr>
              <w:t>10</w:t>
            </w:r>
            <w:r>
              <w:rPr>
                <w:rFonts w:hint="eastAsia" w:ascii="宋体" w:hAnsi="宋体" w:eastAsia="宋体" w:cs="宋体"/>
                <w:sz w:val="22"/>
                <w:szCs w:val="22"/>
                <w:highlight w:val="none"/>
                <w:lang w:val="en-US" w:eastAsia="zh-CN"/>
              </w:rPr>
              <w:t xml:space="preserve"> 分 </w:t>
            </w:r>
          </w:p>
          <w:p w14:paraId="74170FC2">
            <w:pPr>
              <w:spacing w:line="400" w:lineRule="exact"/>
              <w:rPr>
                <w:rFonts w:hint="eastAsia" w:ascii="宋体" w:hAnsi="宋体" w:eastAsia="宋体" w:cs="宋体"/>
                <w:sz w:val="22"/>
                <w:szCs w:val="22"/>
                <w:highlight w:val="none"/>
              </w:rPr>
            </w:pPr>
            <w:r>
              <w:rPr>
                <w:rFonts w:hint="eastAsia" w:ascii="宋体" w:hAnsi="宋体" w:eastAsia="宋体" w:cs="宋体"/>
                <w:sz w:val="22"/>
                <w:szCs w:val="22"/>
                <w:highlight w:val="none"/>
                <w:lang w:val="en-US" w:eastAsia="zh-CN"/>
              </w:rPr>
              <w:t xml:space="preserve">主要人员 (B)： </w:t>
            </w:r>
            <w:r>
              <w:rPr>
                <w:rFonts w:hint="eastAsia" w:eastAsia="宋体" w:cs="宋体"/>
                <w:sz w:val="22"/>
                <w:szCs w:val="22"/>
                <w:highlight w:val="none"/>
                <w:lang w:val="en-US" w:eastAsia="zh-CN"/>
              </w:rPr>
              <w:t>10</w:t>
            </w:r>
            <w:r>
              <w:rPr>
                <w:rFonts w:hint="eastAsia" w:ascii="宋体" w:hAnsi="宋体" w:eastAsia="宋体" w:cs="宋体"/>
                <w:sz w:val="22"/>
                <w:szCs w:val="22"/>
                <w:highlight w:val="none"/>
                <w:lang w:val="en-US" w:eastAsia="zh-CN"/>
              </w:rPr>
              <w:t xml:space="preserve"> 分 </w:t>
            </w:r>
          </w:p>
          <w:p w14:paraId="40E62C5E">
            <w:pPr>
              <w:spacing w:line="400" w:lineRule="exact"/>
              <w:rPr>
                <w:rFonts w:hint="eastAsia" w:ascii="宋体" w:hAnsi="宋体" w:eastAsia="宋体" w:cs="宋体"/>
                <w:sz w:val="22"/>
                <w:szCs w:val="22"/>
                <w:highlight w:val="none"/>
              </w:rPr>
            </w:pPr>
            <w:r>
              <w:rPr>
                <w:rFonts w:hint="eastAsia" w:ascii="宋体" w:hAnsi="宋体" w:eastAsia="宋体" w:cs="宋体"/>
                <w:sz w:val="22"/>
                <w:szCs w:val="22"/>
                <w:highlight w:val="none"/>
                <w:lang w:val="en-US" w:eastAsia="zh-CN"/>
              </w:rPr>
              <w:t xml:space="preserve">其他因素 (D) </w:t>
            </w:r>
          </w:p>
          <w:p w14:paraId="2E9FA0AC">
            <w:pPr>
              <w:spacing w:line="400" w:lineRule="exact"/>
              <w:rPr>
                <w:rFonts w:hint="eastAsia" w:ascii="宋体" w:hAnsi="宋体" w:eastAsia="宋体" w:cs="宋体"/>
                <w:sz w:val="22"/>
                <w:szCs w:val="22"/>
                <w:highlight w:val="none"/>
              </w:rPr>
            </w:pPr>
            <w:r>
              <w:rPr>
                <w:rFonts w:hint="eastAsia" w:ascii="宋体" w:hAnsi="宋体" w:eastAsia="宋体" w:cs="宋体"/>
                <w:sz w:val="22"/>
                <w:szCs w:val="22"/>
                <w:highlight w:val="none"/>
                <w:lang w:val="en-US" w:eastAsia="zh-CN"/>
              </w:rPr>
              <w:t>技术能力 ：</w:t>
            </w:r>
            <w:r>
              <w:rPr>
                <w:rFonts w:hint="eastAsia" w:eastAsia="宋体" w:cs="宋体"/>
                <w:sz w:val="22"/>
                <w:szCs w:val="22"/>
                <w:highlight w:val="none"/>
                <w:lang w:val="en-US" w:eastAsia="zh-CN"/>
              </w:rPr>
              <w:t>10</w:t>
            </w:r>
            <w:r>
              <w:rPr>
                <w:rFonts w:hint="eastAsia" w:ascii="宋体" w:hAnsi="宋体" w:eastAsia="宋体" w:cs="宋体"/>
                <w:sz w:val="22"/>
                <w:szCs w:val="22"/>
                <w:highlight w:val="none"/>
                <w:lang w:val="en-US" w:eastAsia="zh-CN"/>
              </w:rPr>
              <w:t xml:space="preserve"> 分 </w:t>
            </w:r>
          </w:p>
          <w:p w14:paraId="5A8EA361">
            <w:pPr>
              <w:spacing w:line="400" w:lineRule="exact"/>
              <w:rPr>
                <w:rFonts w:hint="eastAsia" w:ascii="宋体" w:hAnsi="宋体" w:eastAsia="宋体" w:cs="宋体"/>
                <w:sz w:val="22"/>
                <w:szCs w:val="22"/>
                <w:highlight w:val="none"/>
              </w:rPr>
            </w:pPr>
            <w:r>
              <w:rPr>
                <w:rFonts w:hint="eastAsia" w:ascii="宋体" w:hAnsi="宋体" w:eastAsia="宋体" w:cs="宋体"/>
                <w:sz w:val="22"/>
                <w:szCs w:val="22"/>
                <w:highlight w:val="none"/>
                <w:lang w:val="en-US" w:eastAsia="zh-CN"/>
              </w:rPr>
              <w:t>财务能力：</w:t>
            </w:r>
            <w:r>
              <w:rPr>
                <w:rFonts w:hint="eastAsia" w:eastAsia="宋体" w:cs="宋体"/>
                <w:sz w:val="22"/>
                <w:szCs w:val="22"/>
                <w:highlight w:val="none"/>
                <w:lang w:val="en-US" w:eastAsia="zh-CN"/>
              </w:rPr>
              <w:t>5</w:t>
            </w:r>
            <w:r>
              <w:rPr>
                <w:rFonts w:hint="eastAsia" w:ascii="宋体" w:hAnsi="宋体" w:eastAsia="宋体" w:cs="宋体"/>
                <w:sz w:val="22"/>
                <w:szCs w:val="22"/>
                <w:highlight w:val="none"/>
                <w:lang w:val="en-US" w:eastAsia="zh-CN"/>
              </w:rPr>
              <w:t xml:space="preserve"> 分 </w:t>
            </w:r>
          </w:p>
          <w:p w14:paraId="4F2D4E13">
            <w:pPr>
              <w:spacing w:line="400" w:lineRule="exact"/>
              <w:rPr>
                <w:rFonts w:hint="eastAsia" w:ascii="宋体" w:hAnsi="宋体" w:eastAsia="宋体" w:cs="宋体"/>
                <w:sz w:val="22"/>
                <w:szCs w:val="22"/>
                <w:highlight w:val="none"/>
              </w:rPr>
            </w:pPr>
            <w:r>
              <w:rPr>
                <w:rFonts w:hint="eastAsia" w:ascii="宋体" w:hAnsi="宋体" w:eastAsia="宋体" w:cs="宋体"/>
                <w:sz w:val="22"/>
                <w:szCs w:val="22"/>
                <w:highlight w:val="none"/>
                <w:lang w:val="en-US" w:eastAsia="zh-CN"/>
              </w:rPr>
              <w:t xml:space="preserve">业绩： </w:t>
            </w:r>
            <w:r>
              <w:rPr>
                <w:rFonts w:hint="eastAsia" w:eastAsia="宋体" w:cs="宋体"/>
                <w:sz w:val="22"/>
                <w:szCs w:val="22"/>
                <w:highlight w:val="none"/>
                <w:lang w:val="en-US" w:eastAsia="zh-CN"/>
              </w:rPr>
              <w:t>10</w:t>
            </w:r>
            <w:r>
              <w:rPr>
                <w:rFonts w:hint="eastAsia" w:ascii="宋体" w:hAnsi="宋体" w:eastAsia="宋体" w:cs="宋体"/>
                <w:sz w:val="22"/>
                <w:szCs w:val="22"/>
                <w:highlight w:val="none"/>
                <w:lang w:val="en-US" w:eastAsia="zh-CN"/>
              </w:rPr>
              <w:t xml:space="preserve">分 </w:t>
            </w:r>
          </w:p>
          <w:p w14:paraId="2D340045">
            <w:pPr>
              <w:spacing w:line="400" w:lineRule="exact"/>
              <w:rPr>
                <w:rFonts w:hint="eastAsia" w:ascii="宋体" w:hAnsi="宋体" w:eastAsia="宋体" w:cs="宋体"/>
                <w:sz w:val="22"/>
                <w:szCs w:val="22"/>
                <w:highlight w:val="none"/>
              </w:rPr>
            </w:pPr>
            <w:r>
              <w:rPr>
                <w:rFonts w:hint="eastAsia" w:ascii="宋体" w:hAnsi="宋体" w:eastAsia="宋体" w:cs="宋体"/>
                <w:sz w:val="22"/>
                <w:szCs w:val="22"/>
                <w:highlight w:val="none"/>
                <w:lang w:val="en-US" w:eastAsia="zh-CN"/>
              </w:rPr>
              <w:t>履约信誉：</w:t>
            </w:r>
            <w:r>
              <w:rPr>
                <w:rFonts w:hint="eastAsia" w:eastAsia="宋体" w:cs="宋体"/>
                <w:sz w:val="22"/>
                <w:szCs w:val="22"/>
                <w:highlight w:val="none"/>
                <w:lang w:val="en-US" w:eastAsia="zh-CN"/>
              </w:rPr>
              <w:t>5</w:t>
            </w:r>
            <w:r>
              <w:rPr>
                <w:rFonts w:hint="eastAsia" w:ascii="宋体" w:hAnsi="宋体" w:eastAsia="宋体" w:cs="宋体"/>
                <w:sz w:val="22"/>
                <w:szCs w:val="22"/>
                <w:highlight w:val="none"/>
                <w:lang w:val="en-US" w:eastAsia="zh-CN"/>
              </w:rPr>
              <w:t xml:space="preserve"> 分 </w:t>
            </w:r>
          </w:p>
          <w:p w14:paraId="11559889">
            <w:pPr>
              <w:spacing w:line="400" w:lineRule="exact"/>
              <w:rPr>
                <w:rFonts w:hint="eastAsia" w:ascii="宋体" w:hAnsi="宋体" w:eastAsia="宋体" w:cs="宋体"/>
                <w:sz w:val="22"/>
                <w:szCs w:val="22"/>
                <w:highlight w:val="none"/>
              </w:rPr>
            </w:pPr>
            <w:r>
              <w:rPr>
                <w:rFonts w:hint="eastAsia" w:ascii="宋体" w:hAnsi="宋体" w:eastAsia="宋体" w:cs="宋体"/>
                <w:sz w:val="22"/>
                <w:szCs w:val="22"/>
                <w:highlight w:val="none"/>
                <w:lang w:val="en-US" w:eastAsia="zh-CN"/>
              </w:rPr>
              <w:t xml:space="preserve">第二个信封（报价文件）评分分值构成： </w:t>
            </w:r>
          </w:p>
          <w:p w14:paraId="6A255434">
            <w:pPr>
              <w:spacing w:line="400" w:lineRule="exact"/>
              <w:rPr>
                <w:rFonts w:hint="eastAsia" w:ascii="宋体" w:hAnsi="宋体" w:eastAsia="宋体" w:cs="宋体"/>
                <w:sz w:val="22"/>
                <w:szCs w:val="22"/>
                <w:highlight w:val="none"/>
              </w:rPr>
            </w:pPr>
            <w:r>
              <w:rPr>
                <w:rFonts w:hint="eastAsia" w:ascii="宋体" w:hAnsi="宋体" w:eastAsia="宋体" w:cs="宋体"/>
                <w:sz w:val="22"/>
                <w:szCs w:val="22"/>
                <w:highlight w:val="none"/>
                <w:lang w:val="en-US" w:eastAsia="zh-CN"/>
              </w:rPr>
              <w:t xml:space="preserve">评 标 价 (C)： </w:t>
            </w:r>
            <w:r>
              <w:rPr>
                <w:rFonts w:hint="eastAsia" w:eastAsia="宋体" w:cs="宋体"/>
                <w:sz w:val="22"/>
                <w:szCs w:val="22"/>
                <w:highlight w:val="none"/>
                <w:lang w:val="en-US" w:eastAsia="zh-CN"/>
              </w:rPr>
              <w:t>50</w:t>
            </w:r>
            <w:r>
              <w:rPr>
                <w:rFonts w:hint="eastAsia" w:ascii="宋体" w:hAnsi="宋体" w:eastAsia="宋体" w:cs="宋体"/>
                <w:sz w:val="22"/>
                <w:szCs w:val="22"/>
                <w:highlight w:val="none"/>
                <w:lang w:val="en-US" w:eastAsia="zh-CN"/>
              </w:rPr>
              <w:t xml:space="preserve"> 分</w:t>
            </w:r>
          </w:p>
        </w:tc>
      </w:tr>
      <w:tr w14:paraId="169A1D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9" w:hRule="atLeast"/>
        </w:trPr>
        <w:tc>
          <w:tcPr>
            <w:tcW w:w="993" w:type="dxa"/>
            <w:gridSpan w:val="2"/>
            <w:noWrap w:val="0"/>
            <w:vAlign w:val="center"/>
          </w:tcPr>
          <w:p w14:paraId="7A449C31">
            <w:pPr>
              <w:spacing w:line="400" w:lineRule="exact"/>
              <w:jc w:val="center"/>
              <w:rPr>
                <w:rFonts w:hint="eastAsia" w:ascii="宋体" w:hAnsi="宋体" w:eastAsia="宋体" w:cs="宋体"/>
                <w:sz w:val="22"/>
                <w:szCs w:val="22"/>
                <w:highlight w:val="none"/>
                <w:lang w:eastAsia="zh-CN"/>
              </w:rPr>
            </w:pPr>
            <w:r>
              <w:rPr>
                <w:rFonts w:hint="eastAsia" w:ascii="宋体" w:hAnsi="宋体" w:eastAsia="宋体" w:cs="宋体"/>
                <w:sz w:val="22"/>
                <w:szCs w:val="22"/>
                <w:highlight w:val="none"/>
              </w:rPr>
              <w:t>2.2.</w:t>
            </w:r>
            <w:r>
              <w:rPr>
                <w:rFonts w:hint="eastAsia" w:eastAsia="宋体" w:cs="宋体"/>
                <w:sz w:val="22"/>
                <w:szCs w:val="22"/>
                <w:highlight w:val="none"/>
                <w:lang w:val="en-US" w:eastAsia="zh-CN"/>
              </w:rPr>
              <w:t>2</w:t>
            </w:r>
          </w:p>
        </w:tc>
        <w:tc>
          <w:tcPr>
            <w:tcW w:w="1559" w:type="dxa"/>
            <w:gridSpan w:val="3"/>
            <w:noWrap w:val="0"/>
            <w:vAlign w:val="center"/>
          </w:tcPr>
          <w:p w14:paraId="14A83C4B">
            <w:pPr>
              <w:spacing w:line="400" w:lineRule="exact"/>
              <w:jc w:val="center"/>
              <w:rPr>
                <w:rFonts w:hint="eastAsia" w:ascii="宋体" w:hAnsi="宋体" w:eastAsia="宋体" w:cs="宋体"/>
                <w:sz w:val="22"/>
                <w:szCs w:val="22"/>
                <w:highlight w:val="none"/>
              </w:rPr>
            </w:pPr>
            <w:r>
              <w:rPr>
                <w:rFonts w:hint="eastAsia" w:ascii="宋体" w:hAnsi="宋体" w:eastAsia="宋体" w:cs="宋体"/>
                <w:sz w:val="22"/>
                <w:szCs w:val="22"/>
                <w:highlight w:val="none"/>
                <w:lang w:val="en-US" w:eastAsia="zh-CN"/>
              </w:rPr>
              <w:t xml:space="preserve">评标基准 </w:t>
            </w:r>
          </w:p>
          <w:p w14:paraId="355027A7">
            <w:pPr>
              <w:spacing w:line="400" w:lineRule="exact"/>
              <w:jc w:val="center"/>
              <w:rPr>
                <w:rFonts w:hint="eastAsia" w:ascii="宋体" w:hAnsi="宋体" w:eastAsia="宋体" w:cs="宋体"/>
                <w:sz w:val="22"/>
                <w:szCs w:val="22"/>
                <w:highlight w:val="none"/>
              </w:rPr>
            </w:pPr>
            <w:r>
              <w:rPr>
                <w:rFonts w:hint="eastAsia" w:ascii="宋体" w:hAnsi="宋体" w:eastAsia="宋体" w:cs="宋体"/>
                <w:sz w:val="22"/>
                <w:szCs w:val="22"/>
                <w:highlight w:val="none"/>
                <w:lang w:val="en-US" w:eastAsia="zh-CN"/>
              </w:rPr>
              <w:t xml:space="preserve">价计算方 </w:t>
            </w:r>
          </w:p>
          <w:p w14:paraId="75796D93">
            <w:pPr>
              <w:spacing w:line="400" w:lineRule="exact"/>
              <w:jc w:val="center"/>
              <w:rPr>
                <w:rFonts w:hint="eastAsia" w:ascii="宋体" w:hAnsi="宋体" w:eastAsia="宋体" w:cs="宋体"/>
                <w:sz w:val="22"/>
                <w:szCs w:val="22"/>
                <w:highlight w:val="none"/>
              </w:rPr>
            </w:pPr>
            <w:r>
              <w:rPr>
                <w:rFonts w:hint="eastAsia" w:ascii="宋体" w:hAnsi="宋体" w:eastAsia="宋体" w:cs="宋体"/>
                <w:sz w:val="22"/>
                <w:szCs w:val="22"/>
                <w:highlight w:val="none"/>
                <w:lang w:val="en-US" w:eastAsia="zh-CN"/>
              </w:rPr>
              <w:t>法</w:t>
            </w:r>
          </w:p>
        </w:tc>
        <w:tc>
          <w:tcPr>
            <w:tcW w:w="6808" w:type="dxa"/>
            <w:gridSpan w:val="4"/>
            <w:noWrap w:val="0"/>
            <w:vAlign w:val="top"/>
          </w:tcPr>
          <w:p w14:paraId="0BE41209">
            <w:pPr>
              <w:spacing w:line="360" w:lineRule="atLeast"/>
              <w:rPr>
                <w:rFonts w:hint="eastAsia" w:ascii="宋体" w:hAnsi="宋体" w:eastAsia="宋体" w:cs="宋体"/>
                <w:sz w:val="22"/>
                <w:szCs w:val="22"/>
                <w:highlight w:val="none"/>
              </w:rPr>
            </w:pPr>
            <w:r>
              <w:rPr>
                <w:rFonts w:hint="eastAsia" w:ascii="宋体" w:hAnsi="宋体" w:eastAsia="宋体" w:cs="宋体"/>
                <w:sz w:val="22"/>
                <w:szCs w:val="22"/>
                <w:highlight w:val="none"/>
                <w:lang w:val="en-US" w:eastAsia="zh-CN"/>
              </w:rPr>
              <w:t xml:space="preserve">评标基准价的计算： </w:t>
            </w:r>
          </w:p>
          <w:p w14:paraId="746745EA">
            <w:pPr>
              <w:spacing w:line="360" w:lineRule="atLeast"/>
              <w:rPr>
                <w:rFonts w:hint="eastAsia" w:ascii="宋体" w:hAnsi="宋体" w:eastAsia="宋体" w:cs="宋体"/>
                <w:sz w:val="22"/>
                <w:szCs w:val="22"/>
                <w:highlight w:val="none"/>
              </w:rPr>
            </w:pPr>
            <w:r>
              <w:rPr>
                <w:rFonts w:hint="eastAsia" w:ascii="宋体" w:hAnsi="宋体" w:eastAsia="宋体" w:cs="宋体"/>
                <w:sz w:val="22"/>
                <w:szCs w:val="22"/>
                <w:highlight w:val="none"/>
                <w:lang w:val="en-US" w:eastAsia="zh-CN"/>
              </w:rPr>
              <w:t xml:space="preserve">在开标现场，招标人将当场计算并宣布评标基准价。 </w:t>
            </w:r>
          </w:p>
          <w:p w14:paraId="0A59AD9F">
            <w:pPr>
              <w:spacing w:line="360" w:lineRule="atLeast"/>
              <w:rPr>
                <w:rFonts w:hint="eastAsia" w:ascii="宋体" w:hAnsi="宋体" w:eastAsia="宋体" w:cs="宋体"/>
                <w:sz w:val="22"/>
                <w:szCs w:val="22"/>
                <w:highlight w:val="none"/>
              </w:rPr>
            </w:pPr>
            <w:r>
              <w:rPr>
                <w:rFonts w:hint="eastAsia" w:ascii="宋体" w:hAnsi="宋体" w:eastAsia="宋体" w:cs="宋体"/>
                <w:sz w:val="22"/>
                <w:szCs w:val="22"/>
                <w:highlight w:val="none"/>
                <w:lang w:val="en-US" w:eastAsia="zh-CN"/>
              </w:rPr>
              <w:t xml:space="preserve">（1）评标价的确定： </w:t>
            </w:r>
          </w:p>
          <w:p w14:paraId="1CD30D3C">
            <w:pPr>
              <w:spacing w:line="360" w:lineRule="atLeast"/>
              <w:rPr>
                <w:rFonts w:hint="eastAsia" w:ascii="宋体" w:hAnsi="宋体" w:eastAsia="宋体" w:cs="宋体"/>
                <w:sz w:val="22"/>
                <w:szCs w:val="22"/>
                <w:highlight w:val="none"/>
              </w:rPr>
            </w:pPr>
            <w:r>
              <w:rPr>
                <w:rFonts w:hint="eastAsia" w:ascii="宋体" w:hAnsi="宋体" w:eastAsia="宋体" w:cs="宋体"/>
                <w:sz w:val="22"/>
                <w:szCs w:val="22"/>
                <w:highlight w:val="none"/>
                <w:lang w:val="en-US" w:eastAsia="zh-CN"/>
              </w:rPr>
              <w:t>评标价＝投标函文字报价</w:t>
            </w:r>
            <w:r>
              <w:rPr>
                <w:rFonts w:hint="eastAsia" w:eastAsia="宋体" w:cs="宋体"/>
                <w:sz w:val="22"/>
                <w:szCs w:val="22"/>
                <w:highlight w:val="none"/>
                <w:lang w:val="en-US" w:eastAsia="zh-CN"/>
              </w:rPr>
              <w:t>-安全生产费</w:t>
            </w:r>
            <w:r>
              <w:rPr>
                <w:rFonts w:hint="eastAsia" w:ascii="宋体" w:hAnsi="宋体" w:eastAsia="宋体" w:cs="宋体"/>
                <w:sz w:val="22"/>
                <w:szCs w:val="22"/>
                <w:highlight w:val="none"/>
                <w:lang w:val="en-US" w:eastAsia="zh-CN"/>
              </w:rPr>
              <w:t xml:space="preserve"> </w:t>
            </w:r>
          </w:p>
          <w:p w14:paraId="5ABCC686">
            <w:pPr>
              <w:spacing w:line="360" w:lineRule="atLeast"/>
              <w:rPr>
                <w:rFonts w:hint="eastAsia" w:ascii="宋体" w:hAnsi="宋体" w:eastAsia="宋体" w:cs="宋体"/>
                <w:sz w:val="22"/>
                <w:szCs w:val="22"/>
                <w:highlight w:val="none"/>
              </w:rPr>
            </w:pPr>
            <w:r>
              <w:rPr>
                <w:rFonts w:hint="eastAsia" w:ascii="宋体" w:hAnsi="宋体" w:eastAsia="宋体" w:cs="宋体"/>
                <w:sz w:val="22"/>
                <w:szCs w:val="22"/>
                <w:highlight w:val="none"/>
                <w:lang w:val="en-US" w:eastAsia="zh-CN"/>
              </w:rPr>
              <w:t xml:space="preserve">（2）评标价平均值的计算： </w:t>
            </w:r>
          </w:p>
          <w:p w14:paraId="5DB68C99">
            <w:pPr>
              <w:spacing w:line="360" w:lineRule="atLeast"/>
              <w:rPr>
                <w:rFonts w:hint="eastAsia" w:ascii="宋体" w:hAnsi="宋体" w:eastAsia="宋体" w:cs="宋体"/>
                <w:sz w:val="22"/>
                <w:szCs w:val="22"/>
                <w:highlight w:val="none"/>
              </w:rPr>
            </w:pPr>
            <w:r>
              <w:rPr>
                <w:rFonts w:hint="eastAsia" w:ascii="宋体" w:hAnsi="宋体" w:eastAsia="宋体" w:cs="宋体"/>
                <w:sz w:val="22"/>
                <w:szCs w:val="22"/>
                <w:highlight w:val="none"/>
                <w:lang w:val="en-US" w:eastAsia="zh-CN"/>
              </w:rPr>
              <w:t xml:space="preserve">①按第一个信封（商务及技术文件）评审得分由高到低的顺序选取前5名（若不足5名，则选取相应数量），对其第二个信封（报价文件）的评标价作算术平均（根据第二章“投标人须知”第5.2.4项规定在开标现场被宣布为不应进入评标基准价计算的评标价除外），将该平均值作为评标价平均值。 </w:t>
            </w:r>
          </w:p>
          <w:p w14:paraId="0C06745F">
            <w:pPr>
              <w:spacing w:line="360" w:lineRule="atLeast"/>
              <w:rPr>
                <w:rFonts w:hint="eastAsia" w:ascii="宋体" w:hAnsi="宋体" w:eastAsia="宋体" w:cs="宋体"/>
                <w:sz w:val="22"/>
                <w:szCs w:val="22"/>
                <w:highlight w:val="none"/>
              </w:rPr>
            </w:pPr>
            <w:r>
              <w:rPr>
                <w:rFonts w:hint="eastAsia" w:ascii="宋体" w:hAnsi="宋体" w:eastAsia="宋体" w:cs="宋体"/>
                <w:sz w:val="22"/>
                <w:szCs w:val="22"/>
                <w:highlight w:val="none"/>
                <w:lang w:val="en-US" w:eastAsia="zh-CN"/>
              </w:rPr>
              <w:t xml:space="preserve">②参与评标价平均值计算的评标价的范围：最高投标限价的85%≤参与评标价平均值计算的评标价≤最高投标限价的100%；（注：小于最高投标限价的85%的评标价不参与评标价平均值的计算，但仍参与评标价的得分计算。） </w:t>
            </w:r>
          </w:p>
          <w:p w14:paraId="691CDCBC">
            <w:pPr>
              <w:spacing w:line="360" w:lineRule="atLeast"/>
              <w:rPr>
                <w:rFonts w:hint="eastAsia" w:eastAsia="宋体" w:cs="宋体"/>
                <w:sz w:val="22"/>
                <w:szCs w:val="22"/>
                <w:highlight w:val="none"/>
                <w:lang w:val="en-US" w:eastAsia="zh-CN"/>
              </w:rPr>
            </w:pPr>
            <w:r>
              <w:rPr>
                <w:rFonts w:hint="eastAsia" w:ascii="宋体" w:hAnsi="宋体" w:eastAsia="宋体" w:cs="宋体"/>
                <w:sz w:val="22"/>
                <w:szCs w:val="22"/>
                <w:highlight w:val="none"/>
                <w:lang w:val="en-US" w:eastAsia="zh-CN"/>
              </w:rPr>
              <w:t>③若投标人的评标价均小于最高投标限价的85%时，则以最高投标限价的85%为评标价平均值。评标委员会可对评标价小于85％的启动澄清程序，要求投标人作出书面说明并提供相关证明材料，若投标人不能合理说明或者不能提供相关证明资料的，评标委员会认定该投标人以低于成本报价竞标，否决其投标。当所有投标人的投标因此种情况被否决；或当因此种情况被否决部分投标人后，有效投标人不足三家，评标委员会认为竞争不足的情况出现时，评标委员会可以否决全部投标。未否决全部投标的，评标委员会应当在评标报告中阐明理由并推荐中标候选人。即使某投标文件第二个信封未通过形式评审与响应性评审，如其评标价处于参与评标价平均值计算的评标价的范围内，其评标价仍应参与有效</w:t>
            </w:r>
            <w:r>
              <w:rPr>
                <w:rFonts w:hint="eastAsia" w:eastAsia="宋体" w:cs="宋体"/>
                <w:sz w:val="22"/>
                <w:szCs w:val="22"/>
                <w:highlight w:val="none"/>
                <w:lang w:val="en-US" w:eastAsia="zh-CN"/>
              </w:rPr>
              <w:t>。</w:t>
            </w:r>
          </w:p>
          <w:p w14:paraId="0F867C2F">
            <w:pPr>
              <w:spacing w:line="360" w:lineRule="atLeast"/>
              <w:rPr>
                <w:rFonts w:hint="default" w:eastAsia="宋体" w:cs="宋体"/>
                <w:sz w:val="22"/>
                <w:szCs w:val="22"/>
                <w:highlight w:val="none"/>
                <w:lang w:val="en-US" w:eastAsia="zh-CN"/>
              </w:rPr>
            </w:pPr>
            <w:r>
              <w:rPr>
                <w:rFonts w:hint="eastAsia" w:ascii="宋体" w:hAnsi="宋体" w:eastAsia="宋体" w:cs="宋体"/>
                <w:sz w:val="22"/>
                <w:szCs w:val="22"/>
                <w:highlight w:val="none"/>
                <w:lang w:val="en-US" w:eastAsia="zh-CN"/>
              </w:rPr>
              <w:t>（3）评标基准价的确定：评标基准价=评标价的平均值</w:t>
            </w:r>
          </w:p>
        </w:tc>
      </w:tr>
      <w:tr w14:paraId="4AED20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9" w:hRule="atLeast"/>
        </w:trPr>
        <w:tc>
          <w:tcPr>
            <w:tcW w:w="993" w:type="dxa"/>
            <w:gridSpan w:val="2"/>
            <w:noWrap w:val="0"/>
            <w:vAlign w:val="center"/>
          </w:tcPr>
          <w:p w14:paraId="14FC2F8F">
            <w:pPr>
              <w:spacing w:line="400" w:lineRule="exact"/>
              <w:jc w:val="center"/>
              <w:rPr>
                <w:rFonts w:hint="eastAsia" w:ascii="宋体" w:hAnsi="宋体" w:eastAsia="宋体" w:cs="宋体"/>
                <w:sz w:val="22"/>
                <w:szCs w:val="22"/>
                <w:highlight w:val="none"/>
              </w:rPr>
            </w:pPr>
            <w:r>
              <w:rPr>
                <w:rFonts w:hint="eastAsia" w:ascii="宋体" w:hAnsi="宋体" w:eastAsia="宋体" w:cs="宋体"/>
                <w:sz w:val="22"/>
                <w:szCs w:val="22"/>
                <w:highlight w:val="none"/>
                <w:lang w:val="en-US" w:eastAsia="zh-CN"/>
              </w:rPr>
              <w:t>2.2.3</w:t>
            </w:r>
          </w:p>
        </w:tc>
        <w:tc>
          <w:tcPr>
            <w:tcW w:w="1559" w:type="dxa"/>
            <w:gridSpan w:val="3"/>
            <w:noWrap w:val="0"/>
            <w:vAlign w:val="center"/>
          </w:tcPr>
          <w:p w14:paraId="70DD7DF9">
            <w:pPr>
              <w:spacing w:line="400" w:lineRule="exact"/>
              <w:jc w:val="center"/>
              <w:rPr>
                <w:rFonts w:hint="eastAsia" w:ascii="宋体" w:hAnsi="宋体" w:eastAsia="宋体" w:cs="宋体"/>
                <w:sz w:val="22"/>
                <w:szCs w:val="22"/>
                <w:highlight w:val="none"/>
              </w:rPr>
            </w:pPr>
            <w:r>
              <w:rPr>
                <w:rFonts w:hint="eastAsia" w:ascii="宋体" w:hAnsi="宋体" w:eastAsia="宋体" w:cs="宋体"/>
                <w:sz w:val="22"/>
                <w:szCs w:val="22"/>
                <w:highlight w:val="none"/>
                <w:lang w:val="en-US" w:eastAsia="zh-CN"/>
              </w:rPr>
              <w:t>投标报价的偏差率计算公式</w:t>
            </w:r>
          </w:p>
        </w:tc>
        <w:tc>
          <w:tcPr>
            <w:tcW w:w="6808" w:type="dxa"/>
            <w:gridSpan w:val="4"/>
            <w:noWrap w:val="0"/>
            <w:vAlign w:val="center"/>
          </w:tcPr>
          <w:p w14:paraId="2688867D">
            <w:pPr>
              <w:spacing w:line="360" w:lineRule="atLeast"/>
              <w:jc w:val="both"/>
              <w:rPr>
                <w:rFonts w:hint="eastAsia" w:ascii="宋体" w:hAnsi="宋体" w:eastAsia="宋体" w:cs="宋体"/>
                <w:sz w:val="22"/>
                <w:szCs w:val="22"/>
                <w:highlight w:val="none"/>
                <w:lang w:val="en-US" w:eastAsia="zh-CN"/>
              </w:rPr>
            </w:pPr>
            <w:r>
              <w:rPr>
                <w:rFonts w:hint="eastAsia" w:ascii="宋体" w:hAnsi="宋体" w:eastAsia="宋体" w:cs="宋体"/>
                <w:sz w:val="22"/>
                <w:szCs w:val="22"/>
                <w:highlight w:val="none"/>
                <w:lang w:val="en-US" w:eastAsia="zh-CN"/>
              </w:rPr>
              <w:t>偏差率=100% ×(投标人评标价－评标基准价)/评标基准价</w:t>
            </w:r>
          </w:p>
        </w:tc>
      </w:tr>
      <w:tr w14:paraId="36294C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6" w:hRule="atLeast"/>
        </w:trPr>
        <w:tc>
          <w:tcPr>
            <w:tcW w:w="993" w:type="dxa"/>
            <w:gridSpan w:val="2"/>
            <w:noWrap w:val="0"/>
            <w:vAlign w:val="center"/>
          </w:tcPr>
          <w:p w14:paraId="752F54BB">
            <w:pPr>
              <w:spacing w:line="400" w:lineRule="exact"/>
              <w:jc w:val="center"/>
              <w:rPr>
                <w:rFonts w:hint="eastAsia" w:ascii="宋体" w:hAnsi="宋体" w:eastAsia="宋体" w:cs="宋体"/>
                <w:sz w:val="22"/>
                <w:szCs w:val="22"/>
                <w:highlight w:val="none"/>
              </w:rPr>
            </w:pPr>
            <w:r>
              <w:rPr>
                <w:rFonts w:hint="eastAsia" w:ascii="宋体" w:hAnsi="宋体" w:eastAsia="宋体" w:cs="宋体"/>
                <w:sz w:val="22"/>
                <w:szCs w:val="22"/>
                <w:highlight w:val="none"/>
              </w:rPr>
              <w:t>3.2.4</w:t>
            </w:r>
          </w:p>
        </w:tc>
        <w:tc>
          <w:tcPr>
            <w:tcW w:w="1559" w:type="dxa"/>
            <w:gridSpan w:val="3"/>
            <w:noWrap w:val="0"/>
            <w:vAlign w:val="center"/>
          </w:tcPr>
          <w:p w14:paraId="0927D8BE">
            <w:pPr>
              <w:spacing w:line="400" w:lineRule="exact"/>
              <w:jc w:val="center"/>
              <w:rPr>
                <w:rFonts w:hint="eastAsia" w:ascii="宋体" w:hAnsi="宋体" w:eastAsia="宋体" w:cs="宋体"/>
                <w:sz w:val="22"/>
                <w:szCs w:val="22"/>
                <w:highlight w:val="none"/>
              </w:rPr>
            </w:pPr>
            <w:r>
              <w:rPr>
                <w:rFonts w:hint="eastAsia" w:ascii="宋体" w:hAnsi="宋体" w:eastAsia="宋体" w:cs="宋体"/>
                <w:sz w:val="22"/>
                <w:szCs w:val="22"/>
                <w:highlight w:val="none"/>
              </w:rPr>
              <w:t>通过第一个信封详细评审的投标人数量</w:t>
            </w:r>
          </w:p>
        </w:tc>
        <w:tc>
          <w:tcPr>
            <w:tcW w:w="6808" w:type="dxa"/>
            <w:gridSpan w:val="4"/>
            <w:noWrap w:val="0"/>
            <w:vAlign w:val="center"/>
          </w:tcPr>
          <w:p w14:paraId="748F58EF">
            <w:pPr>
              <w:spacing w:line="400" w:lineRule="exact"/>
              <w:rPr>
                <w:rFonts w:hint="eastAsia" w:ascii="宋体" w:hAnsi="宋体" w:eastAsia="宋体" w:cs="宋体"/>
                <w:bCs/>
                <w:sz w:val="22"/>
                <w:szCs w:val="22"/>
                <w:highlight w:val="none"/>
              </w:rPr>
            </w:pPr>
            <w:r>
              <w:rPr>
                <w:rFonts w:hint="eastAsia" w:ascii="宋体" w:hAnsi="宋体" w:eastAsia="宋体" w:cs="宋体"/>
                <w:bCs/>
                <w:sz w:val="22"/>
                <w:szCs w:val="22"/>
                <w:highlight w:val="none"/>
                <w:lang w:val="en-US" w:eastAsia="zh-CN"/>
              </w:rPr>
              <w:t>按照投标人的商务和技术得分由高到低排序，选择前5名（不少于3名但不足5名时，按全部实际数量）通过详细评审。</w:t>
            </w:r>
          </w:p>
        </w:tc>
      </w:tr>
      <w:tr w14:paraId="7DB7B6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3" w:hRule="atLeast"/>
        </w:trPr>
        <w:tc>
          <w:tcPr>
            <w:tcW w:w="5013" w:type="dxa"/>
            <w:gridSpan w:val="8"/>
            <w:noWrap w:val="0"/>
            <w:vAlign w:val="center"/>
          </w:tcPr>
          <w:p w14:paraId="23881B34">
            <w:pPr>
              <w:spacing w:line="400" w:lineRule="exact"/>
              <w:jc w:val="center"/>
              <w:rPr>
                <w:rFonts w:hint="eastAsia" w:ascii="宋体" w:hAnsi="宋体" w:eastAsia="宋体" w:cs="宋体"/>
                <w:sz w:val="22"/>
                <w:szCs w:val="22"/>
                <w:highlight w:val="none"/>
              </w:rPr>
            </w:pPr>
            <w:r>
              <w:rPr>
                <w:rFonts w:hint="eastAsia" w:ascii="宋体" w:hAnsi="宋体" w:eastAsia="宋体" w:cs="宋体"/>
                <w:sz w:val="22"/>
                <w:szCs w:val="22"/>
                <w:highlight w:val="none"/>
              </w:rPr>
              <w:t>评分因素与权重分值</w:t>
            </w:r>
          </w:p>
        </w:tc>
        <w:tc>
          <w:tcPr>
            <w:tcW w:w="4347" w:type="dxa"/>
            <w:vMerge w:val="restart"/>
            <w:noWrap w:val="0"/>
            <w:vAlign w:val="center"/>
          </w:tcPr>
          <w:p w14:paraId="12F89856">
            <w:pPr>
              <w:spacing w:line="400" w:lineRule="exact"/>
              <w:jc w:val="center"/>
              <w:rPr>
                <w:rFonts w:hint="eastAsia" w:ascii="宋体" w:hAnsi="宋体" w:eastAsia="宋体" w:cs="宋体"/>
                <w:sz w:val="22"/>
                <w:szCs w:val="22"/>
                <w:highlight w:val="none"/>
              </w:rPr>
            </w:pPr>
            <w:r>
              <w:rPr>
                <w:rFonts w:hint="eastAsia" w:ascii="宋体" w:hAnsi="宋体" w:eastAsia="宋体" w:cs="宋体"/>
                <w:sz w:val="22"/>
                <w:szCs w:val="22"/>
                <w:highlight w:val="none"/>
              </w:rPr>
              <w:t>评分标准</w:t>
            </w:r>
          </w:p>
        </w:tc>
      </w:tr>
      <w:tr w14:paraId="124569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5" w:hRule="atLeast"/>
        </w:trPr>
        <w:tc>
          <w:tcPr>
            <w:tcW w:w="851" w:type="dxa"/>
            <w:noWrap w:val="0"/>
            <w:vAlign w:val="center"/>
          </w:tcPr>
          <w:p w14:paraId="4556902C">
            <w:pPr>
              <w:spacing w:line="400" w:lineRule="exact"/>
              <w:jc w:val="center"/>
              <w:rPr>
                <w:rFonts w:hint="eastAsia" w:ascii="宋体" w:hAnsi="宋体" w:eastAsia="宋体" w:cs="宋体"/>
                <w:sz w:val="22"/>
                <w:szCs w:val="22"/>
                <w:highlight w:val="none"/>
              </w:rPr>
            </w:pPr>
            <w:r>
              <w:rPr>
                <w:rFonts w:hint="eastAsia" w:ascii="宋体" w:hAnsi="宋体" w:eastAsia="宋体" w:cs="宋体"/>
                <w:sz w:val="22"/>
                <w:szCs w:val="22"/>
                <w:highlight w:val="none"/>
              </w:rPr>
              <w:t>条款号</w:t>
            </w:r>
          </w:p>
        </w:tc>
        <w:tc>
          <w:tcPr>
            <w:tcW w:w="1173" w:type="dxa"/>
            <w:gridSpan w:val="3"/>
            <w:noWrap w:val="0"/>
            <w:vAlign w:val="center"/>
          </w:tcPr>
          <w:p w14:paraId="6124C2EE">
            <w:pPr>
              <w:spacing w:line="400" w:lineRule="exact"/>
              <w:jc w:val="center"/>
              <w:rPr>
                <w:rFonts w:hint="eastAsia" w:ascii="宋体" w:hAnsi="宋体" w:eastAsia="宋体" w:cs="宋体"/>
                <w:sz w:val="22"/>
                <w:szCs w:val="22"/>
                <w:highlight w:val="none"/>
              </w:rPr>
            </w:pPr>
            <w:r>
              <w:rPr>
                <w:rFonts w:hint="eastAsia" w:ascii="宋体" w:hAnsi="宋体" w:eastAsia="宋体" w:cs="宋体"/>
                <w:sz w:val="22"/>
                <w:szCs w:val="22"/>
                <w:highlight w:val="none"/>
              </w:rPr>
              <w:t>评分因素</w:t>
            </w:r>
          </w:p>
        </w:tc>
        <w:tc>
          <w:tcPr>
            <w:tcW w:w="690" w:type="dxa"/>
            <w:gridSpan w:val="2"/>
            <w:noWrap w:val="0"/>
            <w:vAlign w:val="center"/>
          </w:tcPr>
          <w:p w14:paraId="2D86F8A8">
            <w:pPr>
              <w:spacing w:line="400" w:lineRule="exact"/>
              <w:jc w:val="center"/>
              <w:rPr>
                <w:rFonts w:hint="eastAsia" w:ascii="宋体" w:hAnsi="宋体" w:eastAsia="宋体" w:cs="宋体"/>
                <w:sz w:val="22"/>
                <w:szCs w:val="22"/>
                <w:highlight w:val="none"/>
              </w:rPr>
            </w:pPr>
            <w:r>
              <w:rPr>
                <w:rFonts w:hint="eastAsia" w:ascii="宋体" w:hAnsi="宋体" w:eastAsia="宋体" w:cs="宋体"/>
                <w:sz w:val="22"/>
                <w:szCs w:val="22"/>
                <w:highlight w:val="none"/>
              </w:rPr>
              <w:t>评分因素权重</w:t>
            </w:r>
          </w:p>
        </w:tc>
        <w:tc>
          <w:tcPr>
            <w:tcW w:w="840" w:type="dxa"/>
            <w:noWrap w:val="0"/>
            <w:vAlign w:val="center"/>
          </w:tcPr>
          <w:p w14:paraId="61DDBA04">
            <w:pPr>
              <w:spacing w:line="400" w:lineRule="exact"/>
              <w:jc w:val="center"/>
              <w:rPr>
                <w:rFonts w:hint="eastAsia" w:ascii="宋体" w:hAnsi="宋体" w:eastAsia="宋体" w:cs="宋体"/>
                <w:sz w:val="22"/>
                <w:szCs w:val="22"/>
                <w:highlight w:val="none"/>
              </w:rPr>
            </w:pPr>
            <w:r>
              <w:rPr>
                <w:rFonts w:hint="eastAsia" w:ascii="宋体" w:hAnsi="宋体" w:eastAsia="宋体" w:cs="宋体"/>
                <w:sz w:val="22"/>
                <w:szCs w:val="22"/>
                <w:highlight w:val="none"/>
                <w:lang w:val="en-US" w:eastAsia="zh-CN"/>
              </w:rPr>
              <w:t>评分因素权重分项</w:t>
            </w:r>
          </w:p>
        </w:tc>
        <w:tc>
          <w:tcPr>
            <w:tcW w:w="1459" w:type="dxa"/>
            <w:noWrap w:val="0"/>
            <w:vAlign w:val="center"/>
          </w:tcPr>
          <w:p w14:paraId="57B80B1E">
            <w:pPr>
              <w:spacing w:line="400" w:lineRule="exact"/>
              <w:jc w:val="center"/>
              <w:rPr>
                <w:rFonts w:hint="eastAsia" w:ascii="宋体" w:hAnsi="宋体" w:eastAsia="宋体" w:cs="宋体"/>
                <w:sz w:val="22"/>
                <w:szCs w:val="22"/>
                <w:highlight w:val="none"/>
              </w:rPr>
            </w:pPr>
            <w:r>
              <w:rPr>
                <w:rFonts w:hint="eastAsia" w:ascii="宋体" w:hAnsi="宋体" w:eastAsia="宋体" w:cs="宋体"/>
                <w:sz w:val="22"/>
                <w:szCs w:val="22"/>
                <w:highlight w:val="none"/>
              </w:rPr>
              <w:t>各评分因素细分项</w:t>
            </w:r>
          </w:p>
        </w:tc>
        <w:tc>
          <w:tcPr>
            <w:tcW w:w="4347" w:type="dxa"/>
            <w:vMerge w:val="continue"/>
            <w:noWrap w:val="0"/>
            <w:vAlign w:val="center"/>
          </w:tcPr>
          <w:p w14:paraId="6B692933">
            <w:pPr>
              <w:spacing w:line="400" w:lineRule="exact"/>
              <w:jc w:val="center"/>
              <w:rPr>
                <w:rFonts w:hint="eastAsia" w:ascii="宋体" w:hAnsi="宋体" w:eastAsia="宋体" w:cs="宋体"/>
                <w:sz w:val="22"/>
                <w:szCs w:val="22"/>
                <w:highlight w:val="none"/>
              </w:rPr>
            </w:pPr>
          </w:p>
        </w:tc>
      </w:tr>
      <w:tr w14:paraId="1C2BB2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5" w:hRule="atLeast"/>
        </w:trPr>
        <w:tc>
          <w:tcPr>
            <w:tcW w:w="851" w:type="dxa"/>
            <w:vMerge w:val="restart"/>
            <w:noWrap w:val="0"/>
            <w:vAlign w:val="center"/>
          </w:tcPr>
          <w:p w14:paraId="3149EDF2">
            <w:pPr>
              <w:spacing w:line="400" w:lineRule="exact"/>
              <w:jc w:val="center"/>
              <w:rPr>
                <w:rFonts w:hint="eastAsia" w:ascii="宋体" w:hAnsi="宋体" w:eastAsia="宋体" w:cs="宋体"/>
                <w:sz w:val="22"/>
                <w:szCs w:val="22"/>
                <w:highlight w:val="none"/>
                <w:lang w:eastAsia="zh-CN"/>
              </w:rPr>
            </w:pPr>
            <w:r>
              <w:rPr>
                <w:rFonts w:hint="eastAsia" w:ascii="宋体" w:hAnsi="宋体" w:eastAsia="宋体" w:cs="宋体"/>
                <w:sz w:val="22"/>
                <w:szCs w:val="22"/>
                <w:highlight w:val="none"/>
              </w:rPr>
              <w:t>2.2.</w:t>
            </w:r>
            <w:r>
              <w:rPr>
                <w:rFonts w:hint="eastAsia" w:eastAsia="宋体" w:cs="宋体"/>
                <w:sz w:val="22"/>
                <w:szCs w:val="22"/>
                <w:highlight w:val="none"/>
                <w:lang w:val="en-US" w:eastAsia="zh-CN"/>
              </w:rPr>
              <w:t>4</w:t>
            </w:r>
          </w:p>
          <w:p w14:paraId="58AEB6F2">
            <w:pPr>
              <w:spacing w:line="400" w:lineRule="exact"/>
              <w:jc w:val="center"/>
              <w:rPr>
                <w:rFonts w:hint="eastAsia" w:ascii="宋体" w:hAnsi="宋体" w:eastAsia="宋体" w:cs="宋体"/>
                <w:sz w:val="22"/>
                <w:szCs w:val="22"/>
                <w:highlight w:val="none"/>
              </w:rPr>
            </w:pPr>
            <w:r>
              <w:rPr>
                <w:rFonts w:hint="eastAsia" w:ascii="宋体" w:hAnsi="宋体" w:eastAsia="宋体" w:cs="宋体"/>
                <w:sz w:val="22"/>
                <w:szCs w:val="22"/>
                <w:highlight w:val="none"/>
              </w:rPr>
              <w:t>（1）</w:t>
            </w:r>
          </w:p>
        </w:tc>
        <w:tc>
          <w:tcPr>
            <w:tcW w:w="1173" w:type="dxa"/>
            <w:gridSpan w:val="3"/>
            <w:vMerge w:val="restart"/>
            <w:noWrap w:val="0"/>
            <w:vAlign w:val="center"/>
          </w:tcPr>
          <w:p w14:paraId="462CED42">
            <w:pPr>
              <w:spacing w:line="400" w:lineRule="exact"/>
              <w:jc w:val="center"/>
              <w:rPr>
                <w:rFonts w:hint="eastAsia" w:ascii="宋体" w:hAnsi="宋体" w:eastAsia="宋体" w:cs="宋体"/>
                <w:sz w:val="22"/>
                <w:szCs w:val="22"/>
                <w:highlight w:val="none"/>
              </w:rPr>
            </w:pPr>
            <w:r>
              <w:rPr>
                <w:rFonts w:hint="eastAsia" w:ascii="宋体" w:hAnsi="宋体" w:eastAsia="宋体" w:cs="宋体"/>
                <w:sz w:val="22"/>
                <w:szCs w:val="22"/>
                <w:highlight w:val="none"/>
              </w:rPr>
              <w:t>施工组织设计</w:t>
            </w:r>
          </w:p>
        </w:tc>
        <w:tc>
          <w:tcPr>
            <w:tcW w:w="690" w:type="dxa"/>
            <w:gridSpan w:val="2"/>
            <w:vMerge w:val="restart"/>
            <w:noWrap w:val="0"/>
            <w:vAlign w:val="center"/>
          </w:tcPr>
          <w:p w14:paraId="6601432D">
            <w:pPr>
              <w:spacing w:line="400" w:lineRule="exact"/>
              <w:jc w:val="center"/>
              <w:rPr>
                <w:rFonts w:hint="eastAsia" w:ascii="宋体" w:hAnsi="宋体" w:eastAsia="宋体" w:cs="宋体"/>
                <w:b/>
                <w:sz w:val="22"/>
                <w:szCs w:val="22"/>
                <w:highlight w:val="none"/>
              </w:rPr>
            </w:pPr>
            <w:r>
              <w:rPr>
                <w:rFonts w:hint="eastAsia" w:eastAsia="宋体" w:cs="宋体"/>
                <w:b/>
                <w:sz w:val="22"/>
                <w:szCs w:val="22"/>
                <w:highlight w:val="none"/>
                <w:u w:val="single"/>
                <w:lang w:val="en-US" w:eastAsia="zh-CN"/>
              </w:rPr>
              <w:t>5</w:t>
            </w:r>
            <w:r>
              <w:rPr>
                <w:rFonts w:hint="eastAsia" w:ascii="宋体" w:hAnsi="宋体" w:eastAsia="宋体" w:cs="宋体"/>
                <w:b/>
                <w:sz w:val="22"/>
                <w:szCs w:val="22"/>
                <w:highlight w:val="none"/>
              </w:rPr>
              <w:t>分</w:t>
            </w:r>
          </w:p>
        </w:tc>
        <w:tc>
          <w:tcPr>
            <w:tcW w:w="840" w:type="dxa"/>
            <w:vMerge w:val="restart"/>
            <w:noWrap w:val="0"/>
            <w:vAlign w:val="center"/>
          </w:tcPr>
          <w:p w14:paraId="544170D3">
            <w:pPr>
              <w:spacing w:line="400" w:lineRule="exact"/>
              <w:jc w:val="center"/>
              <w:rPr>
                <w:rFonts w:hint="eastAsia" w:ascii="宋体" w:hAnsi="宋体" w:eastAsia="宋体" w:cs="宋体"/>
                <w:sz w:val="22"/>
                <w:szCs w:val="22"/>
                <w:highlight w:val="none"/>
              </w:rPr>
            </w:pPr>
            <w:r>
              <w:rPr>
                <w:rFonts w:hint="eastAsia" w:ascii="宋体" w:hAnsi="宋体" w:eastAsia="宋体" w:cs="宋体"/>
                <w:sz w:val="22"/>
                <w:szCs w:val="22"/>
                <w:highlight w:val="none"/>
                <w:lang w:val="en-US" w:eastAsia="zh-CN"/>
              </w:rPr>
              <w:t>总体实施方案</w:t>
            </w:r>
          </w:p>
          <w:p w14:paraId="15835CC1">
            <w:pPr>
              <w:spacing w:line="400" w:lineRule="exact"/>
              <w:jc w:val="center"/>
              <w:rPr>
                <w:rFonts w:hint="eastAsia" w:ascii="宋体" w:hAnsi="宋体" w:eastAsia="宋体" w:cs="宋体"/>
                <w:sz w:val="22"/>
                <w:szCs w:val="22"/>
                <w:highlight w:val="none"/>
              </w:rPr>
            </w:pPr>
          </w:p>
        </w:tc>
        <w:tc>
          <w:tcPr>
            <w:tcW w:w="1459" w:type="dxa"/>
            <w:noWrap w:val="0"/>
            <w:vAlign w:val="center"/>
          </w:tcPr>
          <w:p w14:paraId="77371EF8">
            <w:pPr>
              <w:spacing w:line="400" w:lineRule="exact"/>
              <w:jc w:val="center"/>
              <w:rPr>
                <w:rFonts w:hint="eastAsia" w:ascii="宋体" w:hAnsi="宋体" w:eastAsia="宋体" w:cs="宋体"/>
                <w:highlight w:val="none"/>
              </w:rPr>
            </w:pPr>
            <w:r>
              <w:rPr>
                <w:rFonts w:hint="eastAsia" w:ascii="宋体" w:hAnsi="宋体" w:eastAsia="宋体" w:cs="宋体"/>
                <w:highlight w:val="none"/>
                <w:lang w:val="en-US" w:eastAsia="zh-CN"/>
              </w:rPr>
              <w:t>总体施工组</w:t>
            </w:r>
          </w:p>
          <w:p w14:paraId="37CAE807">
            <w:pPr>
              <w:spacing w:line="400" w:lineRule="exact"/>
              <w:jc w:val="center"/>
              <w:rPr>
                <w:rFonts w:hint="eastAsia" w:ascii="宋体" w:hAnsi="宋体" w:eastAsia="宋体" w:cs="宋体"/>
                <w:highlight w:val="none"/>
              </w:rPr>
            </w:pPr>
            <w:r>
              <w:rPr>
                <w:rFonts w:hint="eastAsia" w:ascii="宋体" w:hAnsi="宋体" w:eastAsia="宋体" w:cs="宋体"/>
                <w:highlight w:val="none"/>
                <w:lang w:val="en-US" w:eastAsia="zh-CN"/>
              </w:rPr>
              <w:t>织布置及规</w:t>
            </w:r>
          </w:p>
          <w:p w14:paraId="26315233">
            <w:pPr>
              <w:spacing w:line="400" w:lineRule="exact"/>
              <w:jc w:val="center"/>
              <w:rPr>
                <w:rFonts w:hint="eastAsia" w:ascii="宋体" w:hAnsi="宋体" w:eastAsia="宋体" w:cs="宋体"/>
                <w:highlight w:val="none"/>
              </w:rPr>
            </w:pPr>
            <w:r>
              <w:rPr>
                <w:rFonts w:hint="eastAsia" w:ascii="宋体" w:hAnsi="宋体" w:eastAsia="宋体" w:cs="宋体"/>
                <w:highlight w:val="none"/>
                <w:lang w:val="en-US" w:eastAsia="zh-CN"/>
              </w:rPr>
              <w:t>划</w:t>
            </w:r>
          </w:p>
        </w:tc>
        <w:tc>
          <w:tcPr>
            <w:tcW w:w="4347" w:type="dxa"/>
            <w:noWrap w:val="0"/>
            <w:vAlign w:val="center"/>
          </w:tcPr>
          <w:p w14:paraId="128570B1">
            <w:pPr>
              <w:spacing w:line="400" w:lineRule="exact"/>
              <w:rPr>
                <w:rFonts w:hint="eastAsia" w:ascii="宋体" w:hAnsi="宋体" w:eastAsia="宋体" w:cs="宋体"/>
                <w:sz w:val="22"/>
                <w:szCs w:val="22"/>
                <w:highlight w:val="none"/>
              </w:rPr>
            </w:pPr>
            <w:r>
              <w:rPr>
                <w:rFonts w:hint="eastAsia" w:ascii="宋体" w:hAnsi="宋体" w:eastAsia="宋体" w:cs="宋体"/>
                <w:sz w:val="22"/>
                <w:szCs w:val="22"/>
                <w:highlight w:val="none"/>
                <w:lang w:val="en-US" w:eastAsia="zh-CN"/>
              </w:rPr>
              <w:t>（1）对项目的基本情况了解全面、准确，施工总体布置规划、施工进度计划科学合理、可操作性强，按《广东省公路工程施工标准化指南》及《公路工程施工安全防护设施技术指南》执行，得</w:t>
            </w:r>
            <w:r>
              <w:rPr>
                <w:rFonts w:hint="eastAsia" w:ascii="宋体" w:hAnsi="宋体" w:eastAsia="宋体" w:cs="宋体"/>
                <w:sz w:val="22"/>
                <w:szCs w:val="22"/>
                <w:highlight w:val="none"/>
              </w:rPr>
              <w:t>0.6~1</w:t>
            </w:r>
            <w:r>
              <w:rPr>
                <w:rFonts w:hint="eastAsia" w:ascii="宋体" w:hAnsi="宋体" w:eastAsia="宋体" w:cs="宋体"/>
                <w:sz w:val="22"/>
                <w:szCs w:val="22"/>
                <w:highlight w:val="none"/>
                <w:lang w:val="en-US" w:eastAsia="zh-CN"/>
              </w:rPr>
              <w:t xml:space="preserve">分； </w:t>
            </w:r>
          </w:p>
          <w:p w14:paraId="7A0A3F94">
            <w:pPr>
              <w:spacing w:line="400" w:lineRule="exact"/>
              <w:rPr>
                <w:rFonts w:hint="eastAsia" w:ascii="宋体" w:hAnsi="宋体" w:eastAsia="宋体" w:cs="宋体"/>
                <w:sz w:val="22"/>
                <w:szCs w:val="22"/>
                <w:highlight w:val="none"/>
              </w:rPr>
            </w:pPr>
            <w:r>
              <w:rPr>
                <w:rFonts w:hint="eastAsia" w:ascii="宋体" w:hAnsi="宋体" w:eastAsia="宋体" w:cs="宋体"/>
                <w:sz w:val="22"/>
                <w:szCs w:val="22"/>
                <w:highlight w:val="none"/>
                <w:lang w:val="en-US" w:eastAsia="zh-CN"/>
              </w:rPr>
              <w:t>（2）满足工程建设需要，施工总体布置规划、施工进度计划基本可行，得</w:t>
            </w:r>
            <w:r>
              <w:rPr>
                <w:rFonts w:hint="eastAsia" w:ascii="宋体" w:hAnsi="宋体" w:eastAsia="宋体" w:cs="宋体"/>
                <w:sz w:val="22"/>
                <w:szCs w:val="22"/>
                <w:highlight w:val="none"/>
              </w:rPr>
              <w:t>0.3~0.6</w:t>
            </w:r>
            <w:r>
              <w:rPr>
                <w:rFonts w:hint="eastAsia" w:ascii="宋体" w:hAnsi="宋体" w:eastAsia="宋体" w:cs="宋体"/>
                <w:sz w:val="22"/>
                <w:szCs w:val="22"/>
                <w:highlight w:val="none"/>
                <w:lang w:val="en-US" w:eastAsia="zh-CN"/>
              </w:rPr>
              <w:t xml:space="preserve">分； </w:t>
            </w:r>
          </w:p>
          <w:p w14:paraId="1E1BF947">
            <w:pPr>
              <w:spacing w:line="400" w:lineRule="exact"/>
              <w:rPr>
                <w:rFonts w:hint="eastAsia" w:ascii="宋体" w:hAnsi="宋体" w:eastAsia="宋体" w:cs="宋体"/>
                <w:sz w:val="22"/>
                <w:szCs w:val="22"/>
                <w:highlight w:val="none"/>
              </w:rPr>
            </w:pPr>
            <w:r>
              <w:rPr>
                <w:rFonts w:hint="eastAsia" w:ascii="宋体" w:hAnsi="宋体" w:eastAsia="宋体" w:cs="宋体"/>
                <w:sz w:val="22"/>
                <w:szCs w:val="22"/>
                <w:highlight w:val="none"/>
                <w:lang w:val="en-US" w:eastAsia="zh-CN"/>
              </w:rPr>
              <w:t>（3）一般但不被评定为不响应的,得</w:t>
            </w:r>
            <w:r>
              <w:rPr>
                <w:rFonts w:hint="eastAsia" w:ascii="宋体" w:hAnsi="宋体" w:eastAsia="宋体" w:cs="宋体"/>
                <w:sz w:val="22"/>
                <w:szCs w:val="22"/>
                <w:highlight w:val="none"/>
              </w:rPr>
              <w:t>0~0.3</w:t>
            </w:r>
            <w:r>
              <w:rPr>
                <w:rFonts w:hint="eastAsia" w:ascii="宋体" w:hAnsi="宋体" w:eastAsia="宋体" w:cs="宋体"/>
                <w:sz w:val="22"/>
                <w:szCs w:val="22"/>
                <w:highlight w:val="none"/>
                <w:lang w:val="en-US" w:eastAsia="zh-CN"/>
              </w:rPr>
              <w:t>分。</w:t>
            </w:r>
          </w:p>
        </w:tc>
      </w:tr>
      <w:tr w14:paraId="3D18F7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5" w:hRule="atLeast"/>
        </w:trPr>
        <w:tc>
          <w:tcPr>
            <w:tcW w:w="851" w:type="dxa"/>
            <w:vMerge w:val="continue"/>
            <w:noWrap w:val="0"/>
            <w:vAlign w:val="center"/>
          </w:tcPr>
          <w:p w14:paraId="5BC6A4A1">
            <w:pPr>
              <w:spacing w:line="400" w:lineRule="exact"/>
              <w:jc w:val="center"/>
              <w:rPr>
                <w:rFonts w:hint="eastAsia" w:ascii="宋体" w:hAnsi="宋体" w:eastAsia="宋体" w:cs="宋体"/>
                <w:sz w:val="22"/>
                <w:szCs w:val="22"/>
                <w:highlight w:val="none"/>
              </w:rPr>
            </w:pPr>
          </w:p>
        </w:tc>
        <w:tc>
          <w:tcPr>
            <w:tcW w:w="1173" w:type="dxa"/>
            <w:gridSpan w:val="3"/>
            <w:vMerge w:val="continue"/>
            <w:noWrap w:val="0"/>
            <w:vAlign w:val="center"/>
          </w:tcPr>
          <w:p w14:paraId="7634BD34">
            <w:pPr>
              <w:spacing w:line="400" w:lineRule="exact"/>
              <w:jc w:val="center"/>
              <w:rPr>
                <w:rFonts w:hint="eastAsia" w:ascii="宋体" w:hAnsi="宋体" w:eastAsia="宋体" w:cs="宋体"/>
                <w:sz w:val="22"/>
                <w:szCs w:val="22"/>
                <w:highlight w:val="none"/>
              </w:rPr>
            </w:pPr>
          </w:p>
        </w:tc>
        <w:tc>
          <w:tcPr>
            <w:tcW w:w="690" w:type="dxa"/>
            <w:gridSpan w:val="2"/>
            <w:vMerge w:val="continue"/>
            <w:noWrap w:val="0"/>
            <w:vAlign w:val="center"/>
          </w:tcPr>
          <w:p w14:paraId="0F8E58A2">
            <w:pPr>
              <w:spacing w:line="400" w:lineRule="exact"/>
              <w:jc w:val="center"/>
              <w:rPr>
                <w:rFonts w:hint="eastAsia" w:ascii="宋体" w:hAnsi="宋体" w:eastAsia="宋体" w:cs="宋体"/>
                <w:sz w:val="22"/>
                <w:szCs w:val="22"/>
                <w:highlight w:val="none"/>
                <w:u w:val="single"/>
              </w:rPr>
            </w:pPr>
          </w:p>
        </w:tc>
        <w:tc>
          <w:tcPr>
            <w:tcW w:w="840" w:type="dxa"/>
            <w:vMerge w:val="continue"/>
            <w:noWrap w:val="0"/>
            <w:vAlign w:val="center"/>
          </w:tcPr>
          <w:p w14:paraId="3CF123A8">
            <w:pPr>
              <w:spacing w:line="400" w:lineRule="exact"/>
              <w:jc w:val="center"/>
              <w:rPr>
                <w:rFonts w:hint="eastAsia" w:ascii="宋体" w:hAnsi="宋体" w:eastAsia="宋体" w:cs="宋体"/>
                <w:sz w:val="22"/>
                <w:szCs w:val="22"/>
                <w:highlight w:val="none"/>
              </w:rPr>
            </w:pPr>
          </w:p>
        </w:tc>
        <w:tc>
          <w:tcPr>
            <w:tcW w:w="1459" w:type="dxa"/>
            <w:noWrap w:val="0"/>
            <w:vAlign w:val="center"/>
          </w:tcPr>
          <w:p w14:paraId="593BD37C">
            <w:pPr>
              <w:spacing w:line="400" w:lineRule="exact"/>
              <w:jc w:val="center"/>
              <w:rPr>
                <w:rFonts w:hint="eastAsia" w:ascii="宋体" w:hAnsi="宋体" w:eastAsia="宋体" w:cs="宋体"/>
                <w:highlight w:val="none"/>
              </w:rPr>
            </w:pPr>
            <w:r>
              <w:rPr>
                <w:rFonts w:hint="eastAsia" w:ascii="宋体" w:hAnsi="宋体" w:eastAsia="宋体" w:cs="宋体"/>
                <w:highlight w:val="none"/>
                <w:lang w:val="en-US" w:eastAsia="zh-CN"/>
              </w:rPr>
              <w:t>重点、难点</w:t>
            </w:r>
          </w:p>
          <w:p w14:paraId="108B0B11">
            <w:pPr>
              <w:spacing w:line="400" w:lineRule="exact"/>
              <w:jc w:val="center"/>
              <w:rPr>
                <w:rFonts w:hint="eastAsia" w:ascii="宋体" w:hAnsi="宋体" w:eastAsia="宋体" w:cs="宋体"/>
                <w:highlight w:val="none"/>
              </w:rPr>
            </w:pPr>
            <w:r>
              <w:rPr>
                <w:rFonts w:hint="eastAsia" w:ascii="宋体" w:hAnsi="宋体" w:eastAsia="宋体" w:cs="宋体"/>
                <w:highlight w:val="none"/>
                <w:lang w:val="en-US" w:eastAsia="zh-CN"/>
              </w:rPr>
              <w:t>和关键工程</w:t>
            </w:r>
          </w:p>
          <w:p w14:paraId="4F263133">
            <w:pPr>
              <w:spacing w:line="400" w:lineRule="exact"/>
              <w:jc w:val="center"/>
              <w:rPr>
                <w:rFonts w:hint="eastAsia" w:ascii="宋体" w:hAnsi="宋体" w:eastAsia="宋体" w:cs="宋体"/>
                <w:highlight w:val="none"/>
              </w:rPr>
            </w:pPr>
            <w:r>
              <w:rPr>
                <w:rFonts w:hint="eastAsia" w:ascii="宋体" w:hAnsi="宋体" w:eastAsia="宋体" w:cs="宋体"/>
                <w:highlight w:val="none"/>
                <w:lang w:val="en-US" w:eastAsia="zh-CN"/>
              </w:rPr>
              <w:t>的施工方案</w:t>
            </w:r>
          </w:p>
          <w:p w14:paraId="7C5511AC">
            <w:pPr>
              <w:spacing w:line="400" w:lineRule="exact"/>
              <w:jc w:val="center"/>
              <w:rPr>
                <w:rFonts w:hint="eastAsia" w:ascii="宋体" w:hAnsi="宋体" w:eastAsia="宋体" w:cs="宋体"/>
                <w:highlight w:val="none"/>
              </w:rPr>
            </w:pPr>
            <w:r>
              <w:rPr>
                <w:rFonts w:hint="eastAsia" w:ascii="宋体" w:hAnsi="宋体" w:eastAsia="宋体" w:cs="宋体"/>
                <w:highlight w:val="none"/>
                <w:lang w:val="en-US" w:eastAsia="zh-CN"/>
              </w:rPr>
              <w:t>与技术措施</w:t>
            </w:r>
          </w:p>
        </w:tc>
        <w:tc>
          <w:tcPr>
            <w:tcW w:w="4347" w:type="dxa"/>
            <w:noWrap w:val="0"/>
            <w:vAlign w:val="center"/>
          </w:tcPr>
          <w:p w14:paraId="4D13A929">
            <w:pPr>
              <w:spacing w:line="400" w:lineRule="exact"/>
              <w:rPr>
                <w:rFonts w:hint="eastAsia" w:ascii="宋体" w:hAnsi="宋体" w:eastAsia="宋体" w:cs="宋体"/>
                <w:sz w:val="22"/>
                <w:szCs w:val="22"/>
                <w:highlight w:val="none"/>
                <w:lang w:val="en-US" w:eastAsia="zh-CN"/>
              </w:rPr>
            </w:pPr>
            <w:r>
              <w:rPr>
                <w:rFonts w:hint="eastAsia" w:ascii="宋体" w:hAnsi="宋体" w:eastAsia="宋体" w:cs="宋体"/>
                <w:sz w:val="22"/>
                <w:szCs w:val="22"/>
                <w:highlight w:val="none"/>
                <w:lang w:val="en-US" w:eastAsia="zh-CN"/>
              </w:rPr>
              <w:t>（1）对项目重点、难点和关键工程认识分析透彻，能充分发挥自身优势，积极采用“四新”技术，制定的施工方案与技术措施针对性和可操作性强，重点突出的，按《广东省公路工程施工标准化指南》及《公路工程施工安全防护设施技术指南》执行，得</w:t>
            </w:r>
            <w:r>
              <w:rPr>
                <w:rFonts w:hint="eastAsia" w:ascii="宋体" w:hAnsi="宋体" w:eastAsia="宋体" w:cs="宋体"/>
                <w:sz w:val="22"/>
                <w:szCs w:val="22"/>
                <w:highlight w:val="none"/>
              </w:rPr>
              <w:t>1~2</w:t>
            </w:r>
            <w:r>
              <w:rPr>
                <w:rFonts w:hint="eastAsia" w:ascii="宋体" w:hAnsi="宋体" w:eastAsia="宋体" w:cs="宋体"/>
                <w:sz w:val="22"/>
                <w:szCs w:val="22"/>
                <w:highlight w:val="none"/>
                <w:lang w:val="en-US" w:eastAsia="zh-CN"/>
              </w:rPr>
              <w:t xml:space="preserve">分； </w:t>
            </w:r>
          </w:p>
          <w:p w14:paraId="396B8C88">
            <w:pPr>
              <w:spacing w:line="400" w:lineRule="exact"/>
              <w:rPr>
                <w:rFonts w:hint="eastAsia" w:ascii="宋体" w:hAnsi="宋体" w:eastAsia="宋体" w:cs="宋体"/>
                <w:sz w:val="22"/>
                <w:szCs w:val="22"/>
                <w:highlight w:val="none"/>
                <w:lang w:val="en-US" w:eastAsia="zh-CN"/>
              </w:rPr>
            </w:pPr>
            <w:r>
              <w:rPr>
                <w:rFonts w:hint="eastAsia" w:ascii="宋体" w:hAnsi="宋体" w:eastAsia="宋体" w:cs="宋体"/>
                <w:sz w:val="22"/>
                <w:szCs w:val="22"/>
                <w:highlight w:val="none"/>
                <w:lang w:val="en-US" w:eastAsia="zh-CN"/>
              </w:rPr>
              <w:t>（2）对项目重点、难点和关键工程认识基本到位，施工方案与技术措施基本可行，重点较为突出的，得</w:t>
            </w:r>
            <w:r>
              <w:rPr>
                <w:rFonts w:hint="eastAsia" w:ascii="宋体" w:hAnsi="宋体" w:eastAsia="宋体" w:cs="宋体"/>
                <w:sz w:val="22"/>
                <w:szCs w:val="22"/>
                <w:highlight w:val="none"/>
              </w:rPr>
              <w:t>0.5~1</w:t>
            </w:r>
            <w:r>
              <w:rPr>
                <w:rFonts w:hint="eastAsia" w:ascii="宋体" w:hAnsi="宋体" w:eastAsia="宋体" w:cs="宋体"/>
                <w:sz w:val="22"/>
                <w:szCs w:val="22"/>
                <w:highlight w:val="none"/>
                <w:lang w:val="en-US" w:eastAsia="zh-CN"/>
              </w:rPr>
              <w:t xml:space="preserve">分； </w:t>
            </w:r>
          </w:p>
          <w:p w14:paraId="3343193D">
            <w:pPr>
              <w:spacing w:line="400" w:lineRule="exact"/>
              <w:rPr>
                <w:rFonts w:hint="eastAsia" w:ascii="宋体" w:hAnsi="宋体" w:eastAsia="宋体" w:cs="宋体"/>
                <w:sz w:val="22"/>
                <w:szCs w:val="22"/>
                <w:highlight w:val="none"/>
                <w:lang w:val="en-US" w:eastAsia="zh-CN"/>
              </w:rPr>
            </w:pPr>
            <w:r>
              <w:rPr>
                <w:rFonts w:hint="eastAsia" w:ascii="宋体" w:hAnsi="宋体" w:eastAsia="宋体" w:cs="宋体"/>
                <w:sz w:val="22"/>
                <w:szCs w:val="22"/>
                <w:highlight w:val="none"/>
                <w:lang w:val="en-US" w:eastAsia="zh-CN"/>
              </w:rPr>
              <w:t>（3）一般但不被评定为不响应的, 得</w:t>
            </w:r>
            <w:r>
              <w:rPr>
                <w:rFonts w:hint="eastAsia" w:ascii="宋体" w:hAnsi="宋体" w:eastAsia="宋体" w:cs="宋体"/>
                <w:sz w:val="22"/>
                <w:szCs w:val="22"/>
                <w:highlight w:val="none"/>
              </w:rPr>
              <w:t>0~0.5</w:t>
            </w:r>
            <w:r>
              <w:rPr>
                <w:rFonts w:hint="eastAsia" w:ascii="宋体" w:hAnsi="宋体" w:eastAsia="宋体" w:cs="宋体"/>
                <w:sz w:val="22"/>
                <w:szCs w:val="22"/>
                <w:highlight w:val="none"/>
                <w:lang w:val="en-US" w:eastAsia="zh-CN"/>
              </w:rPr>
              <w:t>分。</w:t>
            </w:r>
          </w:p>
        </w:tc>
      </w:tr>
      <w:tr w14:paraId="27C498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5" w:hRule="atLeast"/>
        </w:trPr>
        <w:tc>
          <w:tcPr>
            <w:tcW w:w="851" w:type="dxa"/>
            <w:vMerge w:val="continue"/>
            <w:noWrap w:val="0"/>
            <w:vAlign w:val="center"/>
          </w:tcPr>
          <w:p w14:paraId="5190FC03">
            <w:pPr>
              <w:spacing w:line="400" w:lineRule="exact"/>
              <w:jc w:val="center"/>
              <w:rPr>
                <w:rFonts w:hint="eastAsia" w:ascii="宋体" w:hAnsi="宋体" w:eastAsia="宋体" w:cs="宋体"/>
                <w:sz w:val="22"/>
                <w:szCs w:val="22"/>
                <w:highlight w:val="none"/>
              </w:rPr>
            </w:pPr>
          </w:p>
        </w:tc>
        <w:tc>
          <w:tcPr>
            <w:tcW w:w="1173" w:type="dxa"/>
            <w:gridSpan w:val="3"/>
            <w:vMerge w:val="continue"/>
            <w:noWrap w:val="0"/>
            <w:vAlign w:val="center"/>
          </w:tcPr>
          <w:p w14:paraId="48AC32CF">
            <w:pPr>
              <w:spacing w:line="400" w:lineRule="exact"/>
              <w:jc w:val="center"/>
              <w:rPr>
                <w:rFonts w:hint="eastAsia" w:ascii="宋体" w:hAnsi="宋体" w:eastAsia="宋体" w:cs="宋体"/>
                <w:sz w:val="22"/>
                <w:szCs w:val="22"/>
                <w:highlight w:val="none"/>
              </w:rPr>
            </w:pPr>
          </w:p>
        </w:tc>
        <w:tc>
          <w:tcPr>
            <w:tcW w:w="690" w:type="dxa"/>
            <w:gridSpan w:val="2"/>
            <w:vMerge w:val="continue"/>
            <w:noWrap w:val="0"/>
            <w:vAlign w:val="center"/>
          </w:tcPr>
          <w:p w14:paraId="2B11171B">
            <w:pPr>
              <w:spacing w:line="400" w:lineRule="exact"/>
              <w:jc w:val="center"/>
              <w:rPr>
                <w:rFonts w:hint="eastAsia" w:ascii="宋体" w:hAnsi="宋体" w:eastAsia="宋体" w:cs="宋体"/>
                <w:sz w:val="22"/>
                <w:szCs w:val="22"/>
                <w:highlight w:val="none"/>
                <w:u w:val="single"/>
              </w:rPr>
            </w:pPr>
          </w:p>
        </w:tc>
        <w:tc>
          <w:tcPr>
            <w:tcW w:w="840" w:type="dxa"/>
            <w:vMerge w:val="continue"/>
            <w:noWrap w:val="0"/>
            <w:vAlign w:val="center"/>
          </w:tcPr>
          <w:p w14:paraId="66221B59">
            <w:pPr>
              <w:spacing w:line="400" w:lineRule="exact"/>
              <w:jc w:val="center"/>
              <w:rPr>
                <w:rFonts w:hint="eastAsia" w:ascii="宋体" w:hAnsi="宋体" w:eastAsia="宋体" w:cs="宋体"/>
                <w:sz w:val="22"/>
                <w:szCs w:val="22"/>
                <w:highlight w:val="none"/>
              </w:rPr>
            </w:pPr>
          </w:p>
        </w:tc>
        <w:tc>
          <w:tcPr>
            <w:tcW w:w="1459" w:type="dxa"/>
            <w:noWrap w:val="0"/>
            <w:vAlign w:val="center"/>
          </w:tcPr>
          <w:p w14:paraId="7380016C">
            <w:pPr>
              <w:spacing w:line="400" w:lineRule="exact"/>
              <w:jc w:val="center"/>
              <w:rPr>
                <w:rFonts w:hint="eastAsia" w:ascii="宋体" w:hAnsi="宋体" w:eastAsia="宋体" w:cs="宋体"/>
                <w:highlight w:val="none"/>
              </w:rPr>
            </w:pPr>
            <w:r>
              <w:rPr>
                <w:rFonts w:hint="eastAsia" w:ascii="宋体" w:hAnsi="宋体" w:eastAsia="宋体" w:cs="宋体"/>
                <w:highlight w:val="none"/>
                <w:lang w:val="en-US" w:eastAsia="zh-CN"/>
              </w:rPr>
              <w:t>工期、质量、安全、环保水保、文明施工保证措施</w:t>
            </w:r>
          </w:p>
        </w:tc>
        <w:tc>
          <w:tcPr>
            <w:tcW w:w="4347" w:type="dxa"/>
            <w:noWrap w:val="0"/>
            <w:vAlign w:val="center"/>
          </w:tcPr>
          <w:p w14:paraId="255A7AFD">
            <w:pPr>
              <w:spacing w:line="400" w:lineRule="exact"/>
              <w:rPr>
                <w:rFonts w:hint="eastAsia" w:ascii="宋体" w:hAnsi="宋体" w:eastAsia="宋体" w:cs="宋体"/>
                <w:sz w:val="22"/>
                <w:szCs w:val="22"/>
                <w:highlight w:val="none"/>
              </w:rPr>
            </w:pPr>
            <w:r>
              <w:rPr>
                <w:rFonts w:hint="eastAsia" w:ascii="宋体" w:hAnsi="宋体" w:eastAsia="宋体" w:cs="宋体"/>
                <w:sz w:val="22"/>
                <w:szCs w:val="22"/>
                <w:highlight w:val="none"/>
                <w:lang w:val="en-US" w:eastAsia="zh-CN"/>
              </w:rPr>
              <w:t>（1）能够准确预判分析工期、质量、安全、环保、水保、文明施工目标实现的主要影响因素，拟采取预防保证措施针对性强、科学有效，重点突出的，按《广东省公路工程施工标准化指南》及《公路工程施工安全防护设施技术指南》执行，得</w:t>
            </w:r>
            <w:r>
              <w:rPr>
                <w:rFonts w:hint="eastAsia" w:ascii="宋体" w:hAnsi="宋体" w:eastAsia="宋体" w:cs="宋体"/>
                <w:sz w:val="22"/>
                <w:szCs w:val="22"/>
                <w:highlight w:val="none"/>
              </w:rPr>
              <w:t>1~2</w:t>
            </w:r>
          </w:p>
          <w:p w14:paraId="0CE5F5F1">
            <w:pPr>
              <w:spacing w:line="400" w:lineRule="exact"/>
              <w:rPr>
                <w:rFonts w:hint="eastAsia" w:ascii="宋体" w:hAnsi="宋体" w:eastAsia="宋体" w:cs="宋体"/>
                <w:sz w:val="22"/>
                <w:szCs w:val="22"/>
                <w:highlight w:val="none"/>
              </w:rPr>
            </w:pPr>
            <w:r>
              <w:rPr>
                <w:rFonts w:hint="eastAsia" w:ascii="宋体" w:hAnsi="宋体" w:eastAsia="宋体" w:cs="宋体"/>
                <w:sz w:val="22"/>
                <w:szCs w:val="22"/>
                <w:highlight w:val="none"/>
                <w:lang w:val="en-US" w:eastAsia="zh-CN"/>
              </w:rPr>
              <w:t xml:space="preserve">分； </w:t>
            </w:r>
          </w:p>
          <w:p w14:paraId="270FF0E7">
            <w:pPr>
              <w:spacing w:line="400" w:lineRule="exact"/>
              <w:rPr>
                <w:rFonts w:hint="eastAsia" w:ascii="宋体" w:hAnsi="宋体" w:eastAsia="宋体" w:cs="宋体"/>
                <w:sz w:val="22"/>
                <w:szCs w:val="22"/>
                <w:highlight w:val="none"/>
              </w:rPr>
            </w:pPr>
            <w:r>
              <w:rPr>
                <w:rFonts w:hint="eastAsia" w:ascii="宋体" w:hAnsi="宋体" w:eastAsia="宋体" w:cs="宋体"/>
                <w:sz w:val="22"/>
                <w:szCs w:val="22"/>
                <w:highlight w:val="none"/>
                <w:lang w:val="en-US" w:eastAsia="zh-CN"/>
              </w:rPr>
              <w:t>（2）对工期、质量、安全、环保、水保等风险有一定认识，预防保证措施基本可行，重点较为突出的，得</w:t>
            </w:r>
            <w:r>
              <w:rPr>
                <w:rFonts w:hint="eastAsia" w:ascii="宋体" w:hAnsi="宋体" w:eastAsia="宋体" w:cs="宋体"/>
                <w:sz w:val="22"/>
                <w:szCs w:val="22"/>
                <w:highlight w:val="none"/>
              </w:rPr>
              <w:t>0.5~1</w:t>
            </w:r>
            <w:r>
              <w:rPr>
                <w:rFonts w:hint="eastAsia" w:ascii="宋体" w:hAnsi="宋体" w:eastAsia="宋体" w:cs="宋体"/>
                <w:sz w:val="22"/>
                <w:szCs w:val="22"/>
                <w:highlight w:val="none"/>
                <w:lang w:val="en-US" w:eastAsia="zh-CN"/>
              </w:rPr>
              <w:t xml:space="preserve">分； </w:t>
            </w:r>
          </w:p>
          <w:p w14:paraId="3BB5C733">
            <w:pPr>
              <w:spacing w:line="400" w:lineRule="exact"/>
              <w:rPr>
                <w:rFonts w:hint="eastAsia" w:ascii="宋体" w:hAnsi="宋体" w:eastAsia="宋体" w:cs="宋体"/>
                <w:sz w:val="22"/>
                <w:szCs w:val="22"/>
                <w:highlight w:val="none"/>
              </w:rPr>
            </w:pPr>
            <w:r>
              <w:rPr>
                <w:rFonts w:hint="eastAsia" w:ascii="宋体" w:hAnsi="宋体" w:eastAsia="宋体" w:cs="宋体"/>
                <w:sz w:val="22"/>
                <w:szCs w:val="22"/>
                <w:highlight w:val="none"/>
                <w:lang w:val="en-US" w:eastAsia="zh-CN"/>
              </w:rPr>
              <w:t xml:space="preserve">（3）一般但不被评定为不响应的, </w:t>
            </w:r>
            <w:r>
              <w:rPr>
                <w:rFonts w:hint="eastAsia" w:eastAsia="宋体" w:cs="宋体"/>
                <w:sz w:val="22"/>
                <w:szCs w:val="22"/>
                <w:highlight w:val="none"/>
                <w:lang w:val="en-US" w:eastAsia="zh-CN"/>
              </w:rPr>
              <w:t>得</w:t>
            </w:r>
            <w:r>
              <w:rPr>
                <w:rFonts w:hint="eastAsia" w:ascii="宋体" w:hAnsi="宋体" w:eastAsia="宋体" w:cs="宋体"/>
                <w:sz w:val="22"/>
                <w:szCs w:val="22"/>
                <w:highlight w:val="none"/>
              </w:rPr>
              <w:t>0~0.5</w:t>
            </w:r>
            <w:r>
              <w:rPr>
                <w:rFonts w:hint="eastAsia" w:ascii="宋体" w:hAnsi="宋体" w:eastAsia="宋体" w:cs="宋体"/>
                <w:sz w:val="22"/>
                <w:szCs w:val="22"/>
                <w:highlight w:val="none"/>
                <w:lang w:val="en-US" w:eastAsia="zh-CN"/>
              </w:rPr>
              <w:t>分。</w:t>
            </w:r>
          </w:p>
        </w:tc>
      </w:tr>
      <w:tr w14:paraId="158922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5" w:hRule="atLeast"/>
        </w:trPr>
        <w:tc>
          <w:tcPr>
            <w:tcW w:w="851" w:type="dxa"/>
            <w:vMerge w:val="continue"/>
            <w:noWrap w:val="0"/>
            <w:vAlign w:val="center"/>
          </w:tcPr>
          <w:p w14:paraId="5146E2F5">
            <w:pPr>
              <w:spacing w:line="400" w:lineRule="exact"/>
              <w:jc w:val="center"/>
              <w:rPr>
                <w:rFonts w:hint="eastAsia" w:ascii="宋体" w:hAnsi="宋体" w:eastAsia="宋体" w:cs="宋体"/>
                <w:sz w:val="22"/>
                <w:szCs w:val="22"/>
                <w:highlight w:val="none"/>
              </w:rPr>
            </w:pPr>
          </w:p>
        </w:tc>
        <w:tc>
          <w:tcPr>
            <w:tcW w:w="1173" w:type="dxa"/>
            <w:gridSpan w:val="3"/>
            <w:vMerge w:val="restart"/>
            <w:noWrap w:val="0"/>
            <w:vAlign w:val="center"/>
          </w:tcPr>
          <w:p w14:paraId="6A2B7F83">
            <w:pPr>
              <w:spacing w:line="400" w:lineRule="exact"/>
              <w:jc w:val="center"/>
              <w:rPr>
                <w:rFonts w:hint="eastAsia" w:ascii="宋体" w:hAnsi="宋体" w:eastAsia="宋体" w:cs="宋体"/>
                <w:sz w:val="22"/>
                <w:szCs w:val="22"/>
                <w:highlight w:val="none"/>
                <w:lang w:eastAsia="zh-CN"/>
              </w:rPr>
            </w:pPr>
            <w:r>
              <w:rPr>
                <w:rFonts w:hint="eastAsia" w:eastAsia="宋体" w:cs="宋体"/>
                <w:sz w:val="22"/>
                <w:szCs w:val="22"/>
                <w:highlight w:val="none"/>
                <w:lang w:eastAsia="zh-CN"/>
              </w:rPr>
              <w:t>设计方案</w:t>
            </w:r>
          </w:p>
        </w:tc>
        <w:tc>
          <w:tcPr>
            <w:tcW w:w="690" w:type="dxa"/>
            <w:gridSpan w:val="2"/>
            <w:vMerge w:val="restart"/>
            <w:noWrap w:val="0"/>
            <w:vAlign w:val="center"/>
          </w:tcPr>
          <w:p w14:paraId="24213C71">
            <w:pPr>
              <w:spacing w:line="400" w:lineRule="exact"/>
              <w:jc w:val="center"/>
              <w:rPr>
                <w:rFonts w:hint="eastAsia" w:ascii="宋体" w:hAnsi="宋体" w:eastAsia="宋体" w:cs="宋体"/>
                <w:sz w:val="22"/>
                <w:szCs w:val="22"/>
                <w:highlight w:val="none"/>
                <w:u w:val="single"/>
              </w:rPr>
            </w:pPr>
            <w:r>
              <w:rPr>
                <w:rFonts w:hint="eastAsia" w:eastAsia="宋体" w:cs="宋体"/>
                <w:b/>
                <w:sz w:val="22"/>
                <w:szCs w:val="22"/>
                <w:highlight w:val="none"/>
                <w:u w:val="single"/>
                <w:lang w:val="en-US" w:eastAsia="zh-CN"/>
              </w:rPr>
              <w:t>5</w:t>
            </w:r>
            <w:r>
              <w:rPr>
                <w:rFonts w:hint="eastAsia" w:ascii="宋体" w:hAnsi="宋体" w:eastAsia="宋体" w:cs="宋体"/>
                <w:b/>
                <w:sz w:val="22"/>
                <w:szCs w:val="22"/>
                <w:highlight w:val="none"/>
              </w:rPr>
              <w:t>分</w:t>
            </w:r>
          </w:p>
        </w:tc>
        <w:tc>
          <w:tcPr>
            <w:tcW w:w="840" w:type="dxa"/>
            <w:vMerge w:val="restart"/>
            <w:noWrap w:val="0"/>
            <w:vAlign w:val="center"/>
          </w:tcPr>
          <w:p w14:paraId="38FF3F3F">
            <w:pPr>
              <w:spacing w:line="400" w:lineRule="exact"/>
              <w:jc w:val="center"/>
              <w:rPr>
                <w:rFonts w:hint="eastAsia" w:ascii="宋体" w:hAnsi="宋体" w:eastAsia="宋体" w:cs="宋体"/>
                <w:sz w:val="22"/>
                <w:szCs w:val="22"/>
                <w:highlight w:val="none"/>
                <w:lang w:val="en-US" w:eastAsia="zh-CN"/>
              </w:rPr>
            </w:pPr>
            <w:r>
              <w:rPr>
                <w:rFonts w:hint="eastAsia" w:ascii="宋体" w:hAnsi="宋体" w:eastAsia="宋体" w:cs="宋体"/>
                <w:sz w:val="22"/>
                <w:szCs w:val="22"/>
                <w:highlight w:val="none"/>
                <w:lang w:val="en-US" w:eastAsia="zh-CN"/>
              </w:rPr>
              <w:t xml:space="preserve">设计 方案 </w:t>
            </w:r>
          </w:p>
          <w:p w14:paraId="26BC3253">
            <w:pPr>
              <w:spacing w:line="400" w:lineRule="exact"/>
              <w:jc w:val="center"/>
              <w:rPr>
                <w:rFonts w:hint="eastAsia" w:ascii="宋体" w:hAnsi="宋体" w:eastAsia="宋体" w:cs="宋体"/>
                <w:sz w:val="22"/>
                <w:szCs w:val="22"/>
                <w:highlight w:val="none"/>
                <w:lang w:val="en-US" w:eastAsia="zh-CN"/>
              </w:rPr>
            </w:pPr>
          </w:p>
        </w:tc>
        <w:tc>
          <w:tcPr>
            <w:tcW w:w="1459" w:type="dxa"/>
            <w:noWrap w:val="0"/>
            <w:vAlign w:val="center"/>
          </w:tcPr>
          <w:p w14:paraId="5A581DD3">
            <w:pPr>
              <w:spacing w:line="400" w:lineRule="exact"/>
              <w:jc w:val="center"/>
              <w:rPr>
                <w:rFonts w:hint="eastAsia" w:ascii="宋体" w:hAnsi="宋体" w:eastAsia="宋体" w:cs="宋体"/>
                <w:b/>
                <w:sz w:val="22"/>
                <w:szCs w:val="22"/>
                <w:highlight w:val="none"/>
                <w:u w:val="single"/>
              </w:rPr>
            </w:pPr>
            <w:r>
              <w:rPr>
                <w:rFonts w:ascii="宋体" w:hAnsi="宋体"/>
                <w:highlight w:val="none"/>
              </w:rPr>
              <w:t>对招标项目的理解和总体设计思路</w:t>
            </w:r>
          </w:p>
        </w:tc>
        <w:tc>
          <w:tcPr>
            <w:tcW w:w="4347" w:type="dxa"/>
            <w:noWrap w:val="0"/>
            <w:vAlign w:val="center"/>
          </w:tcPr>
          <w:p w14:paraId="51EC14D5">
            <w:pPr>
              <w:spacing w:line="400" w:lineRule="exact"/>
              <w:rPr>
                <w:rFonts w:hint="eastAsia" w:ascii="宋体" w:hAnsi="宋体" w:eastAsia="宋体" w:cs="宋体"/>
                <w:sz w:val="22"/>
                <w:szCs w:val="22"/>
                <w:highlight w:val="none"/>
              </w:rPr>
            </w:pPr>
            <w:r>
              <w:rPr>
                <w:rFonts w:hint="eastAsia" w:ascii="宋体" w:hAnsi="宋体" w:eastAsia="宋体" w:cs="宋体"/>
                <w:sz w:val="22"/>
                <w:szCs w:val="22"/>
                <w:highlight w:val="none"/>
              </w:rPr>
              <w:t>根据对勘察设计工作范围和任务描述准确程度和总体设计思路清晰、切实可行的程度:一般得0~0.5分、良好得0.5~1分、优秀得1~2分。</w:t>
            </w:r>
          </w:p>
        </w:tc>
      </w:tr>
      <w:tr w14:paraId="284B21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5" w:hRule="atLeast"/>
        </w:trPr>
        <w:tc>
          <w:tcPr>
            <w:tcW w:w="851" w:type="dxa"/>
            <w:vMerge w:val="continue"/>
            <w:noWrap w:val="0"/>
            <w:vAlign w:val="center"/>
          </w:tcPr>
          <w:p w14:paraId="541ED4A3">
            <w:pPr>
              <w:spacing w:line="400" w:lineRule="exact"/>
              <w:jc w:val="center"/>
              <w:rPr>
                <w:rFonts w:hint="eastAsia" w:ascii="宋体" w:hAnsi="宋体" w:eastAsia="宋体" w:cs="宋体"/>
                <w:sz w:val="22"/>
                <w:szCs w:val="22"/>
                <w:highlight w:val="none"/>
              </w:rPr>
            </w:pPr>
          </w:p>
        </w:tc>
        <w:tc>
          <w:tcPr>
            <w:tcW w:w="1173" w:type="dxa"/>
            <w:gridSpan w:val="3"/>
            <w:vMerge w:val="continue"/>
            <w:noWrap w:val="0"/>
            <w:vAlign w:val="center"/>
          </w:tcPr>
          <w:p w14:paraId="0C84F6CA">
            <w:pPr>
              <w:spacing w:line="400" w:lineRule="exact"/>
              <w:jc w:val="center"/>
              <w:rPr>
                <w:rFonts w:hint="eastAsia" w:ascii="宋体" w:hAnsi="宋体" w:eastAsia="宋体" w:cs="宋体"/>
                <w:sz w:val="22"/>
                <w:szCs w:val="22"/>
                <w:highlight w:val="none"/>
              </w:rPr>
            </w:pPr>
          </w:p>
        </w:tc>
        <w:tc>
          <w:tcPr>
            <w:tcW w:w="690" w:type="dxa"/>
            <w:gridSpan w:val="2"/>
            <w:vMerge w:val="continue"/>
            <w:noWrap w:val="0"/>
            <w:vAlign w:val="center"/>
          </w:tcPr>
          <w:p w14:paraId="076BFFA5">
            <w:pPr>
              <w:spacing w:line="400" w:lineRule="exact"/>
              <w:jc w:val="center"/>
              <w:rPr>
                <w:rFonts w:hint="eastAsia" w:ascii="宋体" w:hAnsi="宋体" w:eastAsia="宋体" w:cs="宋体"/>
                <w:sz w:val="22"/>
                <w:szCs w:val="22"/>
                <w:highlight w:val="none"/>
                <w:u w:val="single"/>
              </w:rPr>
            </w:pPr>
          </w:p>
        </w:tc>
        <w:tc>
          <w:tcPr>
            <w:tcW w:w="840" w:type="dxa"/>
            <w:vMerge w:val="continue"/>
            <w:noWrap w:val="0"/>
            <w:vAlign w:val="center"/>
          </w:tcPr>
          <w:p w14:paraId="488DD727">
            <w:pPr>
              <w:spacing w:line="400" w:lineRule="exact"/>
              <w:jc w:val="center"/>
              <w:rPr>
                <w:rFonts w:hint="eastAsia" w:ascii="宋体" w:hAnsi="宋体" w:eastAsia="宋体" w:cs="宋体"/>
                <w:sz w:val="22"/>
                <w:szCs w:val="22"/>
                <w:highlight w:val="none"/>
              </w:rPr>
            </w:pPr>
          </w:p>
        </w:tc>
        <w:tc>
          <w:tcPr>
            <w:tcW w:w="1459" w:type="dxa"/>
            <w:noWrap w:val="0"/>
            <w:vAlign w:val="center"/>
          </w:tcPr>
          <w:p w14:paraId="1B8FF3AE">
            <w:pPr>
              <w:spacing w:line="400" w:lineRule="exact"/>
              <w:jc w:val="center"/>
              <w:rPr>
                <w:rFonts w:hint="eastAsia" w:ascii="宋体" w:hAnsi="宋体" w:eastAsia="宋体" w:cs="宋体"/>
                <w:b/>
                <w:sz w:val="22"/>
                <w:szCs w:val="22"/>
                <w:highlight w:val="none"/>
                <w:u w:val="single"/>
              </w:rPr>
            </w:pPr>
            <w:r>
              <w:rPr>
                <w:rFonts w:ascii="宋体" w:hAnsi="宋体"/>
                <w:highlight w:val="none"/>
              </w:rPr>
              <w:t>招标项目设计的特点、关键技术问题的认识及其对策措施</w:t>
            </w:r>
          </w:p>
        </w:tc>
        <w:tc>
          <w:tcPr>
            <w:tcW w:w="4347" w:type="dxa"/>
            <w:noWrap w:val="0"/>
            <w:vAlign w:val="center"/>
          </w:tcPr>
          <w:p w14:paraId="0BB73487">
            <w:pPr>
              <w:spacing w:line="400" w:lineRule="exact"/>
              <w:rPr>
                <w:rFonts w:hint="eastAsia" w:ascii="宋体" w:hAnsi="宋体" w:eastAsia="宋体" w:cs="宋体"/>
                <w:sz w:val="22"/>
                <w:szCs w:val="22"/>
                <w:highlight w:val="none"/>
              </w:rPr>
            </w:pPr>
            <w:r>
              <w:rPr>
                <w:rFonts w:hint="eastAsia" w:ascii="宋体" w:hAnsi="宋体" w:eastAsia="宋体" w:cs="宋体"/>
                <w:sz w:val="22"/>
                <w:szCs w:val="22"/>
                <w:highlight w:val="none"/>
              </w:rPr>
              <w:t>根据对项目特点、关键技术问题的把握程度和设计应着重解决的技术问题所提出处理措施的可行性程度，平纵面设计详细程度:一般得0~0.5分、良好得0.5~1分、优秀得1~2分。</w:t>
            </w:r>
          </w:p>
        </w:tc>
      </w:tr>
      <w:tr w14:paraId="03A341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5" w:hRule="atLeast"/>
        </w:trPr>
        <w:tc>
          <w:tcPr>
            <w:tcW w:w="851" w:type="dxa"/>
            <w:vMerge w:val="continue"/>
            <w:noWrap w:val="0"/>
            <w:vAlign w:val="center"/>
          </w:tcPr>
          <w:p w14:paraId="6CAAD9ED">
            <w:pPr>
              <w:spacing w:line="400" w:lineRule="exact"/>
              <w:jc w:val="center"/>
              <w:rPr>
                <w:rFonts w:hint="eastAsia" w:ascii="宋体" w:hAnsi="宋体" w:eastAsia="宋体" w:cs="宋体"/>
                <w:sz w:val="22"/>
                <w:szCs w:val="22"/>
                <w:highlight w:val="none"/>
              </w:rPr>
            </w:pPr>
          </w:p>
        </w:tc>
        <w:tc>
          <w:tcPr>
            <w:tcW w:w="1173" w:type="dxa"/>
            <w:gridSpan w:val="3"/>
            <w:vMerge w:val="continue"/>
            <w:noWrap w:val="0"/>
            <w:vAlign w:val="center"/>
          </w:tcPr>
          <w:p w14:paraId="4293CA4B">
            <w:pPr>
              <w:spacing w:line="400" w:lineRule="exact"/>
              <w:jc w:val="center"/>
              <w:rPr>
                <w:rFonts w:hint="eastAsia" w:ascii="宋体" w:hAnsi="宋体" w:eastAsia="宋体" w:cs="宋体"/>
                <w:sz w:val="22"/>
                <w:szCs w:val="22"/>
                <w:highlight w:val="none"/>
              </w:rPr>
            </w:pPr>
          </w:p>
        </w:tc>
        <w:tc>
          <w:tcPr>
            <w:tcW w:w="690" w:type="dxa"/>
            <w:gridSpan w:val="2"/>
            <w:vMerge w:val="continue"/>
            <w:noWrap w:val="0"/>
            <w:vAlign w:val="center"/>
          </w:tcPr>
          <w:p w14:paraId="59AFBE6B">
            <w:pPr>
              <w:spacing w:line="400" w:lineRule="exact"/>
              <w:jc w:val="center"/>
              <w:rPr>
                <w:rFonts w:hint="eastAsia" w:ascii="宋体" w:hAnsi="宋体" w:eastAsia="宋体" w:cs="宋体"/>
                <w:sz w:val="22"/>
                <w:szCs w:val="22"/>
                <w:highlight w:val="none"/>
                <w:u w:val="single"/>
              </w:rPr>
            </w:pPr>
          </w:p>
        </w:tc>
        <w:tc>
          <w:tcPr>
            <w:tcW w:w="840" w:type="dxa"/>
            <w:vMerge w:val="continue"/>
            <w:noWrap w:val="0"/>
            <w:vAlign w:val="center"/>
          </w:tcPr>
          <w:p w14:paraId="709FC65B">
            <w:pPr>
              <w:spacing w:line="400" w:lineRule="exact"/>
              <w:jc w:val="center"/>
              <w:rPr>
                <w:rFonts w:hint="eastAsia" w:ascii="宋体" w:hAnsi="宋体" w:eastAsia="宋体" w:cs="宋体"/>
                <w:sz w:val="22"/>
                <w:szCs w:val="22"/>
                <w:highlight w:val="none"/>
              </w:rPr>
            </w:pPr>
          </w:p>
        </w:tc>
        <w:tc>
          <w:tcPr>
            <w:tcW w:w="1459" w:type="dxa"/>
            <w:noWrap w:val="0"/>
            <w:vAlign w:val="center"/>
          </w:tcPr>
          <w:p w14:paraId="01D5287E">
            <w:pPr>
              <w:spacing w:line="400" w:lineRule="exact"/>
              <w:jc w:val="center"/>
              <w:rPr>
                <w:rFonts w:hint="eastAsia" w:ascii="宋体" w:hAnsi="宋体" w:eastAsia="宋体" w:cs="宋体"/>
                <w:highlight w:val="none"/>
              </w:rPr>
            </w:pPr>
            <w:r>
              <w:rPr>
                <w:rFonts w:hint="eastAsia" w:ascii="宋体" w:hAnsi="宋体" w:eastAsia="宋体" w:cs="宋体"/>
                <w:highlight w:val="none"/>
              </w:rPr>
              <w:t>设计工作量、计划安排及保障措施</w:t>
            </w:r>
          </w:p>
        </w:tc>
        <w:tc>
          <w:tcPr>
            <w:tcW w:w="4347" w:type="dxa"/>
            <w:noWrap w:val="0"/>
            <w:vAlign w:val="center"/>
          </w:tcPr>
          <w:p w14:paraId="4446F20B">
            <w:pPr>
              <w:spacing w:line="400" w:lineRule="exact"/>
              <w:rPr>
                <w:rFonts w:hint="eastAsia" w:ascii="宋体" w:hAnsi="宋体" w:eastAsia="宋体" w:cs="宋体"/>
                <w:sz w:val="22"/>
                <w:szCs w:val="22"/>
                <w:highlight w:val="none"/>
              </w:rPr>
            </w:pPr>
            <w:r>
              <w:rPr>
                <w:rFonts w:hint="eastAsia" w:ascii="宋体" w:hAnsi="宋体" w:eastAsia="宋体" w:cs="宋体"/>
                <w:sz w:val="22"/>
                <w:szCs w:val="22"/>
                <w:highlight w:val="none"/>
              </w:rPr>
              <w:t>根据工作计划实施、安排的合理程度，保障措施的完善及可实施性，一般得0~0.3分、良好得0.3~0.6分、优秀得0.6~1分</w:t>
            </w:r>
          </w:p>
        </w:tc>
      </w:tr>
      <w:tr w14:paraId="4DE06F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5" w:hRule="atLeast"/>
        </w:trPr>
        <w:tc>
          <w:tcPr>
            <w:tcW w:w="851" w:type="dxa"/>
            <w:vMerge w:val="restart"/>
            <w:noWrap w:val="0"/>
            <w:vAlign w:val="center"/>
          </w:tcPr>
          <w:p w14:paraId="688AC760">
            <w:pPr>
              <w:spacing w:line="400" w:lineRule="exact"/>
              <w:jc w:val="center"/>
              <w:rPr>
                <w:rFonts w:hint="eastAsia" w:ascii="宋体" w:hAnsi="宋体" w:eastAsia="宋体" w:cs="宋体"/>
                <w:sz w:val="22"/>
                <w:szCs w:val="22"/>
                <w:highlight w:val="none"/>
                <w:lang w:eastAsia="zh-CN"/>
              </w:rPr>
            </w:pPr>
            <w:r>
              <w:rPr>
                <w:rFonts w:hint="eastAsia" w:ascii="宋体" w:hAnsi="宋体" w:eastAsia="宋体" w:cs="宋体"/>
                <w:sz w:val="22"/>
                <w:szCs w:val="22"/>
                <w:highlight w:val="none"/>
              </w:rPr>
              <w:t>2.2.</w:t>
            </w:r>
            <w:r>
              <w:rPr>
                <w:rFonts w:hint="eastAsia" w:eastAsia="宋体" w:cs="宋体"/>
                <w:sz w:val="22"/>
                <w:szCs w:val="22"/>
                <w:highlight w:val="none"/>
                <w:lang w:val="en-US" w:eastAsia="zh-CN"/>
              </w:rPr>
              <w:t>4</w:t>
            </w:r>
          </w:p>
          <w:p w14:paraId="52DE3E75">
            <w:pPr>
              <w:spacing w:line="400" w:lineRule="exact"/>
              <w:jc w:val="center"/>
              <w:rPr>
                <w:rFonts w:hint="eastAsia" w:ascii="宋体" w:hAnsi="宋体" w:eastAsia="宋体" w:cs="宋体"/>
                <w:sz w:val="22"/>
                <w:szCs w:val="22"/>
                <w:highlight w:val="none"/>
              </w:rPr>
            </w:pPr>
            <w:r>
              <w:rPr>
                <w:rFonts w:hint="eastAsia" w:ascii="宋体" w:hAnsi="宋体" w:eastAsia="宋体" w:cs="宋体"/>
                <w:sz w:val="22"/>
                <w:szCs w:val="22"/>
                <w:highlight w:val="none"/>
              </w:rPr>
              <w:t>（2）</w:t>
            </w:r>
          </w:p>
        </w:tc>
        <w:tc>
          <w:tcPr>
            <w:tcW w:w="1173" w:type="dxa"/>
            <w:gridSpan w:val="3"/>
            <w:vMerge w:val="restart"/>
            <w:noWrap w:val="0"/>
            <w:vAlign w:val="center"/>
          </w:tcPr>
          <w:p w14:paraId="1778E0F3">
            <w:pPr>
              <w:spacing w:line="400" w:lineRule="exact"/>
              <w:jc w:val="center"/>
              <w:rPr>
                <w:rFonts w:hint="eastAsia" w:ascii="宋体" w:hAnsi="宋体" w:eastAsia="宋体" w:cs="宋体"/>
                <w:sz w:val="22"/>
                <w:szCs w:val="22"/>
                <w:highlight w:val="none"/>
              </w:rPr>
            </w:pPr>
            <w:r>
              <w:rPr>
                <w:rFonts w:hint="eastAsia" w:ascii="宋体" w:hAnsi="宋体" w:eastAsia="宋体" w:cs="宋体"/>
                <w:sz w:val="22"/>
                <w:szCs w:val="22"/>
                <w:highlight w:val="none"/>
              </w:rPr>
              <w:t>主要人员</w:t>
            </w:r>
          </w:p>
        </w:tc>
        <w:tc>
          <w:tcPr>
            <w:tcW w:w="690" w:type="dxa"/>
            <w:gridSpan w:val="2"/>
            <w:vMerge w:val="restart"/>
            <w:noWrap w:val="0"/>
            <w:vAlign w:val="center"/>
          </w:tcPr>
          <w:p w14:paraId="02066DC8">
            <w:pPr>
              <w:spacing w:line="400" w:lineRule="exact"/>
              <w:jc w:val="center"/>
              <w:rPr>
                <w:rFonts w:hint="eastAsia" w:ascii="宋体" w:hAnsi="宋体" w:eastAsia="宋体" w:cs="宋体"/>
                <w:b/>
                <w:sz w:val="22"/>
                <w:szCs w:val="22"/>
                <w:highlight w:val="none"/>
                <w:u w:val="single"/>
              </w:rPr>
            </w:pPr>
            <w:r>
              <w:rPr>
                <w:rFonts w:hint="eastAsia" w:eastAsia="宋体" w:cs="宋体"/>
                <w:b/>
                <w:sz w:val="22"/>
                <w:szCs w:val="22"/>
                <w:highlight w:val="none"/>
                <w:u w:val="single"/>
                <w:lang w:val="en-US" w:eastAsia="zh-CN"/>
              </w:rPr>
              <w:t>10</w:t>
            </w:r>
            <w:r>
              <w:rPr>
                <w:rFonts w:hint="eastAsia" w:ascii="宋体" w:hAnsi="宋体" w:eastAsia="宋体" w:cs="宋体"/>
                <w:b/>
                <w:sz w:val="22"/>
                <w:szCs w:val="22"/>
                <w:highlight w:val="none"/>
                <w:u w:val="single"/>
              </w:rPr>
              <w:t>分</w:t>
            </w:r>
          </w:p>
        </w:tc>
        <w:tc>
          <w:tcPr>
            <w:tcW w:w="840" w:type="dxa"/>
            <w:noWrap w:val="0"/>
            <w:vAlign w:val="center"/>
          </w:tcPr>
          <w:p w14:paraId="2FBC4C69">
            <w:pPr>
              <w:spacing w:line="400" w:lineRule="exact"/>
              <w:jc w:val="center"/>
              <w:rPr>
                <w:rFonts w:hint="eastAsia" w:ascii="宋体" w:hAnsi="宋体" w:eastAsia="宋体" w:cs="宋体"/>
                <w:sz w:val="22"/>
                <w:szCs w:val="22"/>
                <w:highlight w:val="none"/>
              </w:rPr>
            </w:pPr>
            <w:r>
              <w:rPr>
                <w:rFonts w:hint="eastAsia" w:ascii="宋体" w:hAnsi="宋体" w:eastAsia="宋体" w:cs="宋体"/>
                <w:sz w:val="22"/>
                <w:szCs w:val="22"/>
                <w:highlight w:val="none"/>
              </w:rPr>
              <w:t>项目经理任职资格与业绩</w:t>
            </w:r>
          </w:p>
        </w:tc>
        <w:tc>
          <w:tcPr>
            <w:tcW w:w="1459" w:type="dxa"/>
            <w:noWrap w:val="0"/>
            <w:vAlign w:val="center"/>
          </w:tcPr>
          <w:p w14:paraId="63F1C884">
            <w:pPr>
              <w:spacing w:line="400" w:lineRule="exact"/>
              <w:jc w:val="center"/>
              <w:rPr>
                <w:rFonts w:hint="eastAsia" w:ascii="宋体" w:hAnsi="宋体" w:eastAsia="宋体" w:cs="宋体"/>
                <w:b/>
                <w:sz w:val="22"/>
                <w:szCs w:val="22"/>
                <w:highlight w:val="none"/>
                <w:u w:val="single"/>
              </w:rPr>
            </w:pPr>
            <w:r>
              <w:rPr>
                <w:rFonts w:hint="eastAsia" w:eastAsia="宋体" w:cs="宋体"/>
                <w:b/>
                <w:sz w:val="22"/>
                <w:szCs w:val="22"/>
                <w:highlight w:val="none"/>
                <w:u w:val="single"/>
                <w:lang w:val="en-US" w:eastAsia="zh-CN"/>
              </w:rPr>
              <w:t>4</w:t>
            </w:r>
            <w:r>
              <w:rPr>
                <w:rFonts w:hint="eastAsia" w:ascii="宋体" w:hAnsi="宋体" w:eastAsia="宋体" w:cs="宋体"/>
                <w:b/>
                <w:sz w:val="22"/>
                <w:szCs w:val="22"/>
                <w:highlight w:val="none"/>
              </w:rPr>
              <w:t>分</w:t>
            </w:r>
          </w:p>
        </w:tc>
        <w:tc>
          <w:tcPr>
            <w:tcW w:w="4347" w:type="dxa"/>
            <w:noWrap w:val="0"/>
            <w:vAlign w:val="center"/>
          </w:tcPr>
          <w:p w14:paraId="75A769FE">
            <w:pPr>
              <w:spacing w:line="400" w:lineRule="exact"/>
              <w:rPr>
                <w:rFonts w:hint="eastAsia" w:ascii="宋体" w:hAnsi="宋体" w:eastAsia="宋体" w:cs="宋体"/>
                <w:sz w:val="22"/>
                <w:szCs w:val="22"/>
                <w:highlight w:val="none"/>
                <w:lang w:eastAsia="zh-CN"/>
              </w:rPr>
            </w:pPr>
            <w:r>
              <w:rPr>
                <w:rFonts w:hint="eastAsia" w:ascii="宋体" w:hAnsi="宋体" w:eastAsia="宋体" w:cs="宋体"/>
                <w:sz w:val="22"/>
                <w:szCs w:val="22"/>
                <w:highlight w:val="none"/>
                <w:lang w:eastAsia="zh-CN"/>
              </w:rPr>
              <w:t>满足资格审查条件（项目经理最低要求）得基本分</w:t>
            </w:r>
            <w:r>
              <w:rPr>
                <w:rFonts w:hint="eastAsia" w:eastAsia="宋体" w:cs="宋体"/>
                <w:sz w:val="22"/>
                <w:szCs w:val="22"/>
                <w:highlight w:val="none"/>
                <w:lang w:val="en-US" w:eastAsia="zh-CN"/>
              </w:rPr>
              <w:t>2</w:t>
            </w:r>
            <w:r>
              <w:rPr>
                <w:rFonts w:hint="eastAsia" w:ascii="宋体" w:hAnsi="宋体" w:eastAsia="宋体" w:cs="宋体"/>
                <w:sz w:val="22"/>
                <w:szCs w:val="22"/>
                <w:highlight w:val="none"/>
                <w:lang w:eastAsia="zh-CN"/>
              </w:rPr>
              <w:t>分；此外，满足资格审查最低条件基础上：</w:t>
            </w:r>
          </w:p>
          <w:p w14:paraId="18C87D58">
            <w:pPr>
              <w:spacing w:line="400" w:lineRule="exact"/>
              <w:rPr>
                <w:rFonts w:hint="eastAsia" w:ascii="宋体" w:hAnsi="宋体" w:eastAsia="宋体" w:cs="宋体"/>
                <w:sz w:val="22"/>
                <w:szCs w:val="22"/>
                <w:highlight w:val="none"/>
              </w:rPr>
            </w:pPr>
            <w:r>
              <w:rPr>
                <w:rFonts w:hint="eastAsia" w:ascii="宋体" w:hAnsi="宋体" w:eastAsia="宋体" w:cs="宋体"/>
                <w:sz w:val="22"/>
                <w:szCs w:val="22"/>
                <w:highlight w:val="none"/>
              </w:rPr>
              <w:t>项目</w:t>
            </w:r>
            <w:r>
              <w:rPr>
                <w:rFonts w:hint="eastAsia" w:ascii="宋体" w:hAnsi="宋体" w:eastAsia="宋体" w:cs="宋体"/>
                <w:sz w:val="22"/>
                <w:szCs w:val="22"/>
                <w:highlight w:val="none"/>
                <w:lang w:eastAsia="zh-CN"/>
              </w:rPr>
              <w:t>经理</w:t>
            </w:r>
            <w:r>
              <w:rPr>
                <w:rFonts w:hint="eastAsia" w:ascii="宋体" w:hAnsi="宋体" w:eastAsia="宋体" w:cs="宋体"/>
                <w:sz w:val="22"/>
                <w:szCs w:val="22"/>
                <w:highlight w:val="none"/>
              </w:rPr>
              <w:t>具有</w:t>
            </w:r>
            <w:r>
              <w:rPr>
                <w:rFonts w:hint="eastAsia" w:ascii="宋体" w:hAnsi="宋体" w:eastAsia="宋体" w:cs="宋体"/>
                <w:sz w:val="22"/>
                <w:szCs w:val="22"/>
                <w:highlight w:val="none"/>
                <w:lang w:eastAsia="zh-CN"/>
              </w:rPr>
              <w:t>路桥相关专业中级职称</w:t>
            </w:r>
            <w:r>
              <w:rPr>
                <w:rFonts w:hint="eastAsia" w:ascii="宋体" w:hAnsi="宋体" w:eastAsia="宋体" w:cs="宋体"/>
                <w:sz w:val="22"/>
                <w:szCs w:val="22"/>
                <w:highlight w:val="none"/>
              </w:rPr>
              <w:t>的，加</w:t>
            </w:r>
            <w:r>
              <w:rPr>
                <w:rFonts w:hint="eastAsia" w:eastAsia="宋体" w:cs="宋体"/>
                <w:sz w:val="22"/>
                <w:szCs w:val="22"/>
                <w:highlight w:val="none"/>
                <w:lang w:val="en-US" w:eastAsia="zh-CN"/>
              </w:rPr>
              <w:t>1</w:t>
            </w:r>
            <w:r>
              <w:rPr>
                <w:rFonts w:hint="eastAsia" w:ascii="宋体" w:hAnsi="宋体" w:eastAsia="宋体" w:cs="宋体"/>
                <w:sz w:val="22"/>
                <w:szCs w:val="22"/>
                <w:highlight w:val="none"/>
              </w:rPr>
              <w:t>分</w:t>
            </w:r>
            <w:r>
              <w:rPr>
                <w:rFonts w:hint="eastAsia" w:ascii="宋体" w:hAnsi="宋体" w:eastAsia="宋体" w:cs="宋体"/>
                <w:sz w:val="22"/>
                <w:szCs w:val="22"/>
                <w:highlight w:val="none"/>
                <w:lang w:eastAsia="zh-CN"/>
              </w:rPr>
              <w:t>，具有路桥相关专业高级或以上职称的，加</w:t>
            </w:r>
            <w:r>
              <w:rPr>
                <w:rFonts w:hint="eastAsia" w:ascii="宋体" w:hAnsi="宋体" w:eastAsia="宋体" w:cs="宋体"/>
                <w:sz w:val="22"/>
                <w:szCs w:val="22"/>
                <w:highlight w:val="none"/>
                <w:lang w:val="en-US" w:eastAsia="zh-CN"/>
              </w:rPr>
              <w:t>2分，本项最高加2分</w:t>
            </w:r>
            <w:r>
              <w:rPr>
                <w:rFonts w:hint="eastAsia" w:ascii="宋体" w:hAnsi="宋体" w:eastAsia="宋体" w:cs="宋体"/>
                <w:sz w:val="22"/>
                <w:szCs w:val="22"/>
                <w:highlight w:val="none"/>
              </w:rPr>
              <w:t>；</w:t>
            </w:r>
          </w:p>
        </w:tc>
      </w:tr>
      <w:tr w14:paraId="08ED60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5" w:hRule="atLeast"/>
        </w:trPr>
        <w:tc>
          <w:tcPr>
            <w:tcW w:w="851" w:type="dxa"/>
            <w:vMerge w:val="continue"/>
            <w:noWrap w:val="0"/>
            <w:vAlign w:val="center"/>
          </w:tcPr>
          <w:p w14:paraId="40305501">
            <w:pPr>
              <w:spacing w:line="400" w:lineRule="exact"/>
              <w:jc w:val="center"/>
              <w:rPr>
                <w:rFonts w:hint="eastAsia" w:ascii="宋体" w:hAnsi="宋体" w:eastAsia="宋体" w:cs="宋体"/>
                <w:sz w:val="22"/>
                <w:szCs w:val="22"/>
                <w:highlight w:val="none"/>
              </w:rPr>
            </w:pPr>
          </w:p>
        </w:tc>
        <w:tc>
          <w:tcPr>
            <w:tcW w:w="1173" w:type="dxa"/>
            <w:gridSpan w:val="3"/>
            <w:vMerge w:val="continue"/>
            <w:noWrap w:val="0"/>
            <w:vAlign w:val="center"/>
          </w:tcPr>
          <w:p w14:paraId="02A998E8">
            <w:pPr>
              <w:spacing w:line="400" w:lineRule="exact"/>
              <w:jc w:val="center"/>
              <w:rPr>
                <w:rFonts w:hint="eastAsia" w:ascii="宋体" w:hAnsi="宋体" w:eastAsia="宋体" w:cs="宋体"/>
                <w:sz w:val="22"/>
                <w:szCs w:val="22"/>
                <w:highlight w:val="none"/>
              </w:rPr>
            </w:pPr>
          </w:p>
        </w:tc>
        <w:tc>
          <w:tcPr>
            <w:tcW w:w="690" w:type="dxa"/>
            <w:gridSpan w:val="2"/>
            <w:vMerge w:val="continue"/>
            <w:noWrap w:val="0"/>
            <w:vAlign w:val="center"/>
          </w:tcPr>
          <w:p w14:paraId="7E30F2FA">
            <w:pPr>
              <w:spacing w:line="400" w:lineRule="exact"/>
              <w:jc w:val="center"/>
              <w:rPr>
                <w:rFonts w:hint="eastAsia" w:ascii="宋体" w:hAnsi="宋体" w:eastAsia="宋体" w:cs="宋体"/>
                <w:b/>
                <w:sz w:val="22"/>
                <w:szCs w:val="22"/>
                <w:highlight w:val="none"/>
                <w:u w:val="single"/>
              </w:rPr>
            </w:pPr>
          </w:p>
        </w:tc>
        <w:tc>
          <w:tcPr>
            <w:tcW w:w="840" w:type="dxa"/>
            <w:noWrap w:val="0"/>
            <w:vAlign w:val="center"/>
          </w:tcPr>
          <w:p w14:paraId="2EA6B22F">
            <w:pPr>
              <w:spacing w:line="400" w:lineRule="exact"/>
              <w:jc w:val="center"/>
              <w:rPr>
                <w:rFonts w:hint="eastAsia" w:ascii="宋体" w:hAnsi="宋体" w:eastAsia="宋体" w:cs="宋体"/>
                <w:sz w:val="22"/>
                <w:szCs w:val="22"/>
                <w:highlight w:val="none"/>
              </w:rPr>
            </w:pPr>
            <w:r>
              <w:rPr>
                <w:rFonts w:hint="eastAsia" w:ascii="宋体" w:hAnsi="宋体" w:eastAsia="宋体" w:cs="宋体"/>
                <w:sz w:val="22"/>
                <w:szCs w:val="22"/>
                <w:highlight w:val="none"/>
              </w:rPr>
              <w:t>项目总工任职资格与业绩</w:t>
            </w:r>
          </w:p>
        </w:tc>
        <w:tc>
          <w:tcPr>
            <w:tcW w:w="1459" w:type="dxa"/>
            <w:noWrap w:val="0"/>
            <w:vAlign w:val="center"/>
          </w:tcPr>
          <w:p w14:paraId="1E8B37FF">
            <w:pPr>
              <w:spacing w:line="400" w:lineRule="exact"/>
              <w:jc w:val="center"/>
              <w:rPr>
                <w:rFonts w:hint="eastAsia" w:ascii="宋体" w:hAnsi="宋体" w:eastAsia="宋体" w:cs="宋体"/>
                <w:b/>
                <w:sz w:val="22"/>
                <w:szCs w:val="22"/>
                <w:highlight w:val="none"/>
                <w:u w:val="single"/>
              </w:rPr>
            </w:pPr>
            <w:r>
              <w:rPr>
                <w:rFonts w:hint="eastAsia" w:eastAsia="宋体" w:cs="宋体"/>
                <w:b/>
                <w:sz w:val="22"/>
                <w:szCs w:val="22"/>
                <w:highlight w:val="none"/>
                <w:u w:val="single"/>
                <w:lang w:val="en-US" w:eastAsia="zh-CN"/>
              </w:rPr>
              <w:t>2</w:t>
            </w:r>
            <w:r>
              <w:rPr>
                <w:rFonts w:hint="eastAsia" w:ascii="宋体" w:hAnsi="宋体" w:eastAsia="宋体" w:cs="宋体"/>
                <w:b/>
                <w:sz w:val="22"/>
                <w:szCs w:val="22"/>
                <w:highlight w:val="none"/>
              </w:rPr>
              <w:t>分</w:t>
            </w:r>
          </w:p>
        </w:tc>
        <w:tc>
          <w:tcPr>
            <w:tcW w:w="4347" w:type="dxa"/>
            <w:noWrap w:val="0"/>
            <w:vAlign w:val="center"/>
          </w:tcPr>
          <w:p w14:paraId="4CA1F8C6">
            <w:pPr>
              <w:spacing w:line="400" w:lineRule="exact"/>
              <w:rPr>
                <w:rFonts w:hint="eastAsia" w:ascii="宋体" w:hAnsi="宋体" w:eastAsia="宋体" w:cs="宋体"/>
                <w:sz w:val="22"/>
                <w:szCs w:val="22"/>
                <w:highlight w:val="none"/>
              </w:rPr>
            </w:pPr>
            <w:r>
              <w:rPr>
                <w:rFonts w:hint="eastAsia" w:ascii="宋体" w:hAnsi="宋体" w:eastAsia="宋体" w:cs="宋体"/>
                <w:sz w:val="22"/>
                <w:szCs w:val="22"/>
                <w:highlight w:val="none"/>
                <w:lang w:eastAsia="zh-CN"/>
              </w:rPr>
              <w:t>满足资格审查条件（项目总工最低要求）得基本分</w:t>
            </w:r>
            <w:r>
              <w:rPr>
                <w:rFonts w:hint="eastAsia" w:eastAsia="宋体" w:cs="宋体"/>
                <w:sz w:val="22"/>
                <w:szCs w:val="22"/>
                <w:highlight w:val="none"/>
                <w:lang w:val="en-US" w:eastAsia="zh-CN"/>
              </w:rPr>
              <w:t>2</w:t>
            </w:r>
            <w:r>
              <w:rPr>
                <w:rFonts w:hint="eastAsia" w:ascii="宋体" w:hAnsi="宋体" w:eastAsia="宋体" w:cs="宋体"/>
                <w:sz w:val="22"/>
                <w:szCs w:val="22"/>
                <w:highlight w:val="none"/>
                <w:lang w:eastAsia="zh-CN"/>
              </w:rPr>
              <w:t>分；</w:t>
            </w:r>
          </w:p>
        </w:tc>
      </w:tr>
      <w:tr w14:paraId="7B8943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06" w:hRule="atLeast"/>
        </w:trPr>
        <w:tc>
          <w:tcPr>
            <w:tcW w:w="851" w:type="dxa"/>
            <w:vMerge w:val="continue"/>
            <w:noWrap w:val="0"/>
            <w:vAlign w:val="center"/>
          </w:tcPr>
          <w:p w14:paraId="5D0C95AC">
            <w:pPr>
              <w:spacing w:line="400" w:lineRule="exact"/>
              <w:jc w:val="center"/>
              <w:rPr>
                <w:rFonts w:hint="eastAsia" w:ascii="宋体" w:hAnsi="宋体" w:eastAsia="宋体" w:cs="宋体"/>
                <w:sz w:val="22"/>
                <w:szCs w:val="22"/>
                <w:highlight w:val="none"/>
              </w:rPr>
            </w:pPr>
          </w:p>
        </w:tc>
        <w:tc>
          <w:tcPr>
            <w:tcW w:w="1173" w:type="dxa"/>
            <w:gridSpan w:val="3"/>
            <w:vMerge w:val="continue"/>
            <w:noWrap w:val="0"/>
            <w:vAlign w:val="center"/>
          </w:tcPr>
          <w:p w14:paraId="5DC5C764">
            <w:pPr>
              <w:spacing w:line="400" w:lineRule="exact"/>
              <w:jc w:val="center"/>
              <w:rPr>
                <w:rFonts w:hint="eastAsia" w:ascii="宋体" w:hAnsi="宋体" w:eastAsia="宋体" w:cs="宋体"/>
                <w:sz w:val="22"/>
                <w:szCs w:val="22"/>
                <w:highlight w:val="none"/>
              </w:rPr>
            </w:pPr>
          </w:p>
        </w:tc>
        <w:tc>
          <w:tcPr>
            <w:tcW w:w="690" w:type="dxa"/>
            <w:gridSpan w:val="2"/>
            <w:vMerge w:val="continue"/>
            <w:noWrap w:val="0"/>
            <w:vAlign w:val="center"/>
          </w:tcPr>
          <w:p w14:paraId="61055137">
            <w:pPr>
              <w:spacing w:line="400" w:lineRule="exact"/>
              <w:jc w:val="center"/>
              <w:rPr>
                <w:rFonts w:hint="eastAsia" w:ascii="宋体" w:hAnsi="宋体" w:eastAsia="宋体" w:cs="宋体"/>
                <w:b/>
                <w:sz w:val="22"/>
                <w:szCs w:val="22"/>
                <w:highlight w:val="none"/>
                <w:u w:val="single"/>
              </w:rPr>
            </w:pPr>
          </w:p>
        </w:tc>
        <w:tc>
          <w:tcPr>
            <w:tcW w:w="840" w:type="dxa"/>
            <w:noWrap w:val="0"/>
            <w:vAlign w:val="center"/>
          </w:tcPr>
          <w:p w14:paraId="20583A04">
            <w:pPr>
              <w:spacing w:line="400" w:lineRule="exact"/>
              <w:jc w:val="center"/>
              <w:rPr>
                <w:rFonts w:hint="eastAsia" w:ascii="宋体" w:hAnsi="宋体" w:eastAsia="宋体" w:cs="宋体"/>
                <w:sz w:val="22"/>
                <w:szCs w:val="22"/>
                <w:highlight w:val="none"/>
                <w:lang w:eastAsia="zh-CN"/>
              </w:rPr>
            </w:pPr>
            <w:r>
              <w:rPr>
                <w:rFonts w:hint="eastAsia" w:eastAsia="宋体" w:cs="宋体"/>
                <w:sz w:val="22"/>
                <w:szCs w:val="22"/>
                <w:highlight w:val="none"/>
                <w:lang w:eastAsia="zh-CN"/>
              </w:rPr>
              <w:t>设计负责人资格与业绩</w:t>
            </w:r>
          </w:p>
        </w:tc>
        <w:tc>
          <w:tcPr>
            <w:tcW w:w="1459" w:type="dxa"/>
            <w:noWrap w:val="0"/>
            <w:vAlign w:val="center"/>
          </w:tcPr>
          <w:p w14:paraId="47577918">
            <w:pPr>
              <w:spacing w:line="400" w:lineRule="exact"/>
              <w:jc w:val="center"/>
              <w:rPr>
                <w:rFonts w:hint="eastAsia" w:eastAsia="宋体" w:cs="宋体"/>
                <w:b/>
                <w:sz w:val="22"/>
                <w:szCs w:val="22"/>
                <w:highlight w:val="none"/>
                <w:u w:val="single"/>
                <w:lang w:val="en-US" w:eastAsia="zh-CN"/>
              </w:rPr>
            </w:pPr>
            <w:r>
              <w:rPr>
                <w:rFonts w:hint="eastAsia" w:eastAsia="宋体" w:cs="宋体"/>
                <w:b/>
                <w:sz w:val="22"/>
                <w:szCs w:val="22"/>
                <w:highlight w:val="none"/>
                <w:u w:val="single"/>
                <w:lang w:val="en-US" w:eastAsia="zh-CN"/>
              </w:rPr>
              <w:t>4</w:t>
            </w:r>
            <w:r>
              <w:rPr>
                <w:rFonts w:hint="eastAsia" w:ascii="宋体" w:hAnsi="宋体" w:eastAsia="宋体" w:cs="宋体"/>
                <w:b/>
                <w:sz w:val="22"/>
                <w:szCs w:val="22"/>
                <w:highlight w:val="none"/>
              </w:rPr>
              <w:t>分</w:t>
            </w:r>
          </w:p>
        </w:tc>
        <w:tc>
          <w:tcPr>
            <w:tcW w:w="4347" w:type="dxa"/>
            <w:noWrap w:val="0"/>
            <w:vAlign w:val="center"/>
          </w:tcPr>
          <w:p w14:paraId="483B7EBC">
            <w:pPr>
              <w:spacing w:line="400" w:lineRule="exact"/>
              <w:rPr>
                <w:rFonts w:hint="eastAsia" w:ascii="宋体" w:hAnsi="宋体" w:eastAsia="宋体" w:cs="宋体"/>
                <w:sz w:val="22"/>
                <w:szCs w:val="22"/>
                <w:highlight w:val="none"/>
                <w:lang w:eastAsia="zh-CN"/>
              </w:rPr>
            </w:pPr>
            <w:r>
              <w:rPr>
                <w:rFonts w:hint="eastAsia" w:ascii="宋体" w:hAnsi="宋体" w:eastAsia="宋体" w:cs="宋体"/>
                <w:sz w:val="22"/>
                <w:szCs w:val="22"/>
                <w:highlight w:val="none"/>
                <w:lang w:eastAsia="zh-CN"/>
              </w:rPr>
              <w:t>满足资格审查条件（</w:t>
            </w:r>
            <w:r>
              <w:rPr>
                <w:rFonts w:hint="eastAsia" w:eastAsia="宋体" w:cs="宋体"/>
                <w:sz w:val="22"/>
                <w:szCs w:val="22"/>
                <w:highlight w:val="none"/>
                <w:lang w:eastAsia="zh-CN"/>
              </w:rPr>
              <w:t>设计</w:t>
            </w:r>
            <w:r>
              <w:rPr>
                <w:rFonts w:hint="eastAsia" w:ascii="宋体" w:hAnsi="宋体" w:eastAsia="宋体" w:cs="宋体"/>
                <w:sz w:val="22"/>
                <w:szCs w:val="22"/>
                <w:highlight w:val="none"/>
                <w:lang w:eastAsia="zh-CN"/>
              </w:rPr>
              <w:t>负责人最低要求）得基本分</w:t>
            </w:r>
            <w:r>
              <w:rPr>
                <w:rFonts w:hint="eastAsia" w:eastAsia="宋体" w:cs="宋体"/>
                <w:sz w:val="22"/>
                <w:szCs w:val="22"/>
                <w:highlight w:val="none"/>
                <w:lang w:val="en-US" w:eastAsia="zh-CN"/>
              </w:rPr>
              <w:t>2</w:t>
            </w:r>
            <w:r>
              <w:rPr>
                <w:rFonts w:hint="eastAsia" w:ascii="宋体" w:hAnsi="宋体" w:eastAsia="宋体" w:cs="宋体"/>
                <w:sz w:val="22"/>
                <w:szCs w:val="22"/>
                <w:highlight w:val="none"/>
                <w:lang w:eastAsia="zh-CN"/>
              </w:rPr>
              <w:t>分；此外，满足资格审查最低条件基础上：</w:t>
            </w:r>
          </w:p>
          <w:p w14:paraId="6B124646">
            <w:pPr>
              <w:spacing w:line="400" w:lineRule="exact"/>
              <w:rPr>
                <w:rFonts w:hint="eastAsia" w:ascii="宋体" w:hAnsi="宋体" w:eastAsia="宋体" w:cs="宋体"/>
                <w:sz w:val="22"/>
                <w:szCs w:val="22"/>
                <w:highlight w:val="none"/>
              </w:rPr>
            </w:pPr>
            <w:r>
              <w:rPr>
                <w:rFonts w:hint="eastAsia" w:eastAsia="宋体" w:cs="宋体"/>
                <w:sz w:val="22"/>
                <w:szCs w:val="22"/>
                <w:highlight w:val="none"/>
                <w:lang w:eastAsia="zh-CN"/>
              </w:rPr>
              <w:t>设计</w:t>
            </w:r>
            <w:r>
              <w:rPr>
                <w:rFonts w:hint="eastAsia" w:ascii="宋体" w:hAnsi="宋体" w:eastAsia="宋体" w:cs="宋体"/>
                <w:sz w:val="22"/>
                <w:szCs w:val="22"/>
                <w:highlight w:val="none"/>
              </w:rPr>
              <w:t>负责人同时具有公路工程一级建造师的，加</w:t>
            </w:r>
            <w:r>
              <w:rPr>
                <w:rFonts w:hint="eastAsia" w:eastAsia="宋体" w:cs="宋体"/>
                <w:sz w:val="22"/>
                <w:szCs w:val="22"/>
                <w:highlight w:val="none"/>
                <w:lang w:val="en-US" w:eastAsia="zh-CN"/>
              </w:rPr>
              <w:t>1</w:t>
            </w:r>
            <w:r>
              <w:rPr>
                <w:rFonts w:hint="eastAsia" w:ascii="宋体" w:hAnsi="宋体" w:eastAsia="宋体" w:cs="宋体"/>
                <w:sz w:val="22"/>
                <w:szCs w:val="22"/>
                <w:highlight w:val="none"/>
              </w:rPr>
              <w:t>分</w:t>
            </w:r>
            <w:r>
              <w:rPr>
                <w:rFonts w:hint="eastAsia" w:eastAsia="宋体" w:cs="宋体"/>
                <w:sz w:val="22"/>
                <w:szCs w:val="22"/>
                <w:highlight w:val="none"/>
                <w:lang w:eastAsia="zh-CN"/>
              </w:rPr>
              <w:t>，</w:t>
            </w:r>
            <w:r>
              <w:rPr>
                <w:rFonts w:hint="eastAsia" w:ascii="宋体" w:hAnsi="宋体" w:eastAsia="宋体" w:cs="宋体"/>
                <w:sz w:val="22"/>
                <w:szCs w:val="22"/>
                <w:highlight w:val="none"/>
                <w:lang w:eastAsia="zh-CN"/>
              </w:rPr>
              <w:t>具有路桥相关专业高级或以上职称的，加</w:t>
            </w:r>
            <w:r>
              <w:rPr>
                <w:rFonts w:hint="eastAsia" w:ascii="宋体" w:hAnsi="宋体" w:eastAsia="宋体" w:cs="宋体"/>
                <w:sz w:val="22"/>
                <w:szCs w:val="22"/>
                <w:highlight w:val="none"/>
                <w:lang w:val="en-US" w:eastAsia="zh-CN"/>
              </w:rPr>
              <w:t>1分，本项最高加2分</w:t>
            </w:r>
            <w:r>
              <w:rPr>
                <w:rFonts w:hint="eastAsia" w:ascii="宋体" w:hAnsi="宋体" w:eastAsia="宋体" w:cs="宋体"/>
                <w:sz w:val="22"/>
                <w:szCs w:val="22"/>
                <w:highlight w:val="none"/>
              </w:rPr>
              <w:t>；</w:t>
            </w:r>
          </w:p>
        </w:tc>
      </w:tr>
      <w:tr w14:paraId="0C4184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5" w:hRule="atLeast"/>
        </w:trPr>
        <w:tc>
          <w:tcPr>
            <w:tcW w:w="851" w:type="dxa"/>
            <w:noWrap w:val="0"/>
            <w:vAlign w:val="center"/>
          </w:tcPr>
          <w:p w14:paraId="5A17F2C6">
            <w:pPr>
              <w:spacing w:line="400" w:lineRule="exact"/>
              <w:jc w:val="center"/>
              <w:rPr>
                <w:rFonts w:hint="eastAsia" w:ascii="宋体" w:hAnsi="宋体" w:eastAsia="宋体" w:cs="宋体"/>
                <w:sz w:val="22"/>
                <w:szCs w:val="22"/>
                <w:highlight w:val="none"/>
                <w:lang w:eastAsia="zh-CN"/>
              </w:rPr>
            </w:pPr>
            <w:r>
              <w:rPr>
                <w:rFonts w:hint="eastAsia" w:ascii="宋体" w:hAnsi="宋体" w:eastAsia="宋体" w:cs="宋体"/>
                <w:sz w:val="22"/>
                <w:szCs w:val="22"/>
                <w:highlight w:val="none"/>
              </w:rPr>
              <w:t>2.2.</w:t>
            </w:r>
            <w:r>
              <w:rPr>
                <w:rFonts w:hint="eastAsia" w:eastAsia="宋体" w:cs="宋体"/>
                <w:sz w:val="22"/>
                <w:szCs w:val="22"/>
                <w:highlight w:val="none"/>
                <w:lang w:val="en-US" w:eastAsia="zh-CN"/>
              </w:rPr>
              <w:t>4</w:t>
            </w:r>
          </w:p>
          <w:p w14:paraId="2E354856">
            <w:pPr>
              <w:spacing w:line="400" w:lineRule="exact"/>
              <w:jc w:val="center"/>
              <w:rPr>
                <w:rFonts w:hint="eastAsia" w:ascii="宋体" w:hAnsi="宋体" w:eastAsia="宋体" w:cs="宋体"/>
                <w:sz w:val="22"/>
                <w:szCs w:val="22"/>
                <w:highlight w:val="none"/>
              </w:rPr>
            </w:pPr>
            <w:r>
              <w:rPr>
                <w:rFonts w:hint="eastAsia" w:ascii="宋体" w:hAnsi="宋体" w:eastAsia="宋体" w:cs="宋体"/>
                <w:sz w:val="22"/>
                <w:szCs w:val="22"/>
                <w:highlight w:val="none"/>
              </w:rPr>
              <w:t>（</w:t>
            </w:r>
            <w:r>
              <w:rPr>
                <w:rFonts w:hint="eastAsia" w:ascii="宋体" w:hAnsi="宋体" w:eastAsia="宋体" w:cs="宋体"/>
                <w:sz w:val="22"/>
                <w:szCs w:val="22"/>
                <w:highlight w:val="none"/>
                <w:lang w:val="en-US" w:eastAsia="zh-CN"/>
              </w:rPr>
              <w:t>3</w:t>
            </w:r>
            <w:r>
              <w:rPr>
                <w:rFonts w:hint="eastAsia" w:ascii="宋体" w:hAnsi="宋体" w:eastAsia="宋体" w:cs="宋体"/>
                <w:sz w:val="22"/>
                <w:szCs w:val="22"/>
                <w:highlight w:val="none"/>
              </w:rPr>
              <w:t>）</w:t>
            </w:r>
          </w:p>
        </w:tc>
        <w:tc>
          <w:tcPr>
            <w:tcW w:w="1173" w:type="dxa"/>
            <w:gridSpan w:val="3"/>
            <w:noWrap w:val="0"/>
            <w:vAlign w:val="center"/>
          </w:tcPr>
          <w:p w14:paraId="060E0749">
            <w:pPr>
              <w:spacing w:line="400" w:lineRule="exact"/>
              <w:jc w:val="center"/>
              <w:rPr>
                <w:rFonts w:hint="eastAsia" w:ascii="宋体" w:hAnsi="宋体" w:eastAsia="宋体" w:cs="宋体"/>
                <w:sz w:val="22"/>
                <w:szCs w:val="22"/>
                <w:highlight w:val="none"/>
              </w:rPr>
            </w:pPr>
            <w:r>
              <w:rPr>
                <w:rFonts w:hint="eastAsia" w:eastAsia="宋体" w:cs="宋体"/>
                <w:sz w:val="22"/>
                <w:szCs w:val="22"/>
                <w:highlight w:val="none"/>
                <w:lang w:eastAsia="zh-CN"/>
              </w:rPr>
              <w:t>评标价</w:t>
            </w:r>
          </w:p>
        </w:tc>
        <w:tc>
          <w:tcPr>
            <w:tcW w:w="690" w:type="dxa"/>
            <w:gridSpan w:val="2"/>
            <w:noWrap w:val="0"/>
            <w:vAlign w:val="center"/>
          </w:tcPr>
          <w:p w14:paraId="0B4CC131">
            <w:pPr>
              <w:spacing w:line="400" w:lineRule="exact"/>
              <w:jc w:val="center"/>
              <w:rPr>
                <w:rFonts w:hint="eastAsia" w:ascii="宋体" w:hAnsi="宋体" w:eastAsia="宋体" w:cs="宋体"/>
                <w:b/>
                <w:sz w:val="22"/>
                <w:szCs w:val="22"/>
                <w:highlight w:val="none"/>
                <w:u w:val="single"/>
              </w:rPr>
            </w:pPr>
            <w:r>
              <w:rPr>
                <w:rFonts w:hint="eastAsia" w:eastAsia="宋体" w:cs="宋体"/>
                <w:b/>
                <w:sz w:val="22"/>
                <w:szCs w:val="22"/>
                <w:highlight w:val="none"/>
                <w:u w:val="single"/>
                <w:lang w:val="en-US" w:eastAsia="zh-CN"/>
              </w:rPr>
              <w:t>50</w:t>
            </w:r>
            <w:r>
              <w:rPr>
                <w:rFonts w:hint="eastAsia" w:ascii="宋体" w:hAnsi="宋体" w:eastAsia="宋体" w:cs="宋体"/>
                <w:b/>
                <w:sz w:val="22"/>
                <w:szCs w:val="22"/>
                <w:highlight w:val="none"/>
                <w:u w:val="single"/>
              </w:rPr>
              <w:t>分</w:t>
            </w:r>
          </w:p>
        </w:tc>
        <w:tc>
          <w:tcPr>
            <w:tcW w:w="6646" w:type="dxa"/>
            <w:gridSpan w:val="3"/>
            <w:noWrap w:val="0"/>
            <w:vAlign w:val="center"/>
          </w:tcPr>
          <w:p w14:paraId="657B80E2">
            <w:pPr>
              <w:spacing w:line="400" w:lineRule="exact"/>
              <w:rPr>
                <w:rFonts w:hint="eastAsia" w:ascii="宋体" w:hAnsi="宋体" w:eastAsia="宋体" w:cs="宋体"/>
                <w:sz w:val="22"/>
                <w:szCs w:val="22"/>
                <w:highlight w:val="none"/>
              </w:rPr>
            </w:pPr>
            <w:r>
              <w:rPr>
                <w:rFonts w:hint="eastAsia" w:ascii="宋体" w:hAnsi="宋体" w:eastAsia="宋体" w:cs="宋体"/>
                <w:sz w:val="22"/>
                <w:szCs w:val="22"/>
                <w:highlight w:val="none"/>
                <w:lang w:val="en-US" w:eastAsia="zh-CN"/>
              </w:rPr>
              <w:t xml:space="preserve">评标价得分计算公式示例： </w:t>
            </w:r>
          </w:p>
          <w:p w14:paraId="31D72C21">
            <w:pPr>
              <w:spacing w:line="400" w:lineRule="exact"/>
              <w:rPr>
                <w:rFonts w:hint="eastAsia" w:ascii="宋体" w:hAnsi="宋体" w:eastAsia="宋体" w:cs="宋体"/>
                <w:sz w:val="22"/>
                <w:szCs w:val="22"/>
                <w:highlight w:val="none"/>
              </w:rPr>
            </w:pPr>
            <w:r>
              <w:rPr>
                <w:rFonts w:hint="eastAsia" w:ascii="宋体" w:hAnsi="宋体" w:eastAsia="宋体" w:cs="宋体"/>
                <w:sz w:val="22"/>
                <w:szCs w:val="22"/>
                <w:highlight w:val="none"/>
                <w:lang w:val="en-US" w:eastAsia="zh-CN"/>
              </w:rPr>
              <w:t>(1)如果投标人的评标价&gt;评标基准价，则评标价得分＝F-偏差率×100 × D1；D1=</w:t>
            </w:r>
            <w:r>
              <w:rPr>
                <w:rFonts w:hint="eastAsia" w:eastAsia="宋体" w:cs="宋体"/>
                <w:sz w:val="22"/>
                <w:szCs w:val="22"/>
                <w:highlight w:val="none"/>
                <w:lang w:val="en-US" w:eastAsia="zh-CN"/>
              </w:rPr>
              <w:t>0.2</w:t>
            </w:r>
            <w:r>
              <w:rPr>
                <w:rFonts w:hint="eastAsia" w:ascii="宋体" w:hAnsi="宋体" w:eastAsia="宋体" w:cs="宋体"/>
                <w:sz w:val="22"/>
                <w:szCs w:val="22"/>
                <w:highlight w:val="none"/>
                <w:lang w:val="en-US" w:eastAsia="zh-CN"/>
              </w:rPr>
              <w:t xml:space="preserve"> ； </w:t>
            </w:r>
          </w:p>
          <w:p w14:paraId="0BB9CC26">
            <w:pPr>
              <w:spacing w:line="400" w:lineRule="exact"/>
              <w:rPr>
                <w:rFonts w:hint="eastAsia" w:ascii="宋体" w:hAnsi="宋体" w:eastAsia="宋体" w:cs="宋体"/>
                <w:sz w:val="22"/>
                <w:szCs w:val="22"/>
                <w:highlight w:val="none"/>
              </w:rPr>
            </w:pPr>
            <w:r>
              <w:rPr>
                <w:rFonts w:hint="eastAsia" w:ascii="宋体" w:hAnsi="宋体" w:eastAsia="宋体" w:cs="宋体"/>
                <w:sz w:val="22"/>
                <w:szCs w:val="22"/>
                <w:highlight w:val="none"/>
                <w:lang w:val="en-US" w:eastAsia="zh-CN"/>
              </w:rPr>
              <w:t>(2)如果投标人的评标价≤评标基准价，则评标价得分＝F＋偏差率× 100×D2；D2＝</w:t>
            </w:r>
            <w:r>
              <w:rPr>
                <w:rFonts w:hint="eastAsia" w:eastAsia="宋体" w:cs="宋体"/>
                <w:sz w:val="22"/>
                <w:szCs w:val="22"/>
                <w:highlight w:val="none"/>
                <w:lang w:val="en-US" w:eastAsia="zh-CN"/>
              </w:rPr>
              <w:t>0.1</w:t>
            </w:r>
            <w:r>
              <w:rPr>
                <w:rFonts w:hint="eastAsia" w:ascii="宋体" w:hAnsi="宋体" w:eastAsia="宋体" w:cs="宋体"/>
                <w:sz w:val="22"/>
                <w:szCs w:val="22"/>
                <w:highlight w:val="none"/>
                <w:lang w:val="en-US" w:eastAsia="zh-CN"/>
              </w:rPr>
              <w:t xml:space="preserve">。 </w:t>
            </w:r>
          </w:p>
          <w:p w14:paraId="707A6672">
            <w:pPr>
              <w:spacing w:line="400" w:lineRule="exact"/>
              <w:rPr>
                <w:rFonts w:hint="eastAsia" w:ascii="宋体" w:hAnsi="宋体" w:eastAsia="宋体" w:cs="宋体"/>
                <w:sz w:val="22"/>
                <w:szCs w:val="22"/>
                <w:highlight w:val="none"/>
              </w:rPr>
            </w:pPr>
            <w:r>
              <w:rPr>
                <w:rFonts w:hint="eastAsia" w:ascii="宋体" w:hAnsi="宋体" w:eastAsia="宋体" w:cs="宋体"/>
                <w:sz w:val="22"/>
                <w:szCs w:val="22"/>
                <w:highlight w:val="none"/>
                <w:lang w:val="en-US" w:eastAsia="zh-CN"/>
              </w:rPr>
              <w:t>其中：原则上D1是D2的2或3倍。F=</w:t>
            </w:r>
            <w:r>
              <w:rPr>
                <w:rFonts w:hint="eastAsia" w:eastAsia="宋体" w:cs="宋体"/>
                <w:sz w:val="22"/>
                <w:szCs w:val="22"/>
                <w:highlight w:val="none"/>
                <w:lang w:val="en-US" w:eastAsia="zh-CN"/>
              </w:rPr>
              <w:t>50</w:t>
            </w:r>
            <w:r>
              <w:rPr>
                <w:rFonts w:hint="eastAsia" w:ascii="宋体" w:hAnsi="宋体" w:eastAsia="宋体" w:cs="宋体"/>
                <w:sz w:val="22"/>
                <w:szCs w:val="22"/>
                <w:highlight w:val="none"/>
                <w:lang w:val="en-US" w:eastAsia="zh-CN"/>
              </w:rPr>
              <w:t xml:space="preserve"> </w:t>
            </w:r>
          </w:p>
          <w:p w14:paraId="46BE1E24">
            <w:pPr>
              <w:spacing w:line="400" w:lineRule="exact"/>
              <w:rPr>
                <w:rFonts w:hint="eastAsia" w:ascii="宋体" w:hAnsi="宋体" w:eastAsia="宋体" w:cs="宋体"/>
                <w:sz w:val="22"/>
                <w:szCs w:val="22"/>
                <w:highlight w:val="none"/>
              </w:rPr>
            </w:pPr>
            <w:r>
              <w:rPr>
                <w:rFonts w:hint="eastAsia" w:ascii="宋体" w:hAnsi="宋体" w:eastAsia="宋体" w:cs="宋体"/>
                <w:sz w:val="22"/>
                <w:szCs w:val="22"/>
                <w:highlight w:val="none"/>
                <w:lang w:val="en-US" w:eastAsia="zh-CN"/>
              </w:rPr>
              <w:t>注：评标价得分四舍五入至小数点后四位。</w:t>
            </w:r>
          </w:p>
        </w:tc>
      </w:tr>
      <w:tr w14:paraId="3771C9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5" w:hRule="atLeast"/>
        </w:trPr>
        <w:tc>
          <w:tcPr>
            <w:tcW w:w="851" w:type="dxa"/>
            <w:vMerge w:val="restart"/>
            <w:noWrap w:val="0"/>
            <w:vAlign w:val="center"/>
          </w:tcPr>
          <w:p w14:paraId="0514FD1B">
            <w:pPr>
              <w:spacing w:line="400" w:lineRule="exact"/>
              <w:jc w:val="center"/>
              <w:rPr>
                <w:rFonts w:hint="eastAsia" w:ascii="宋体" w:hAnsi="宋体" w:eastAsia="宋体" w:cs="宋体"/>
                <w:sz w:val="22"/>
                <w:szCs w:val="22"/>
                <w:highlight w:val="none"/>
                <w:lang w:eastAsia="zh-CN"/>
              </w:rPr>
            </w:pPr>
            <w:r>
              <w:rPr>
                <w:rFonts w:hint="eastAsia" w:ascii="宋体" w:hAnsi="宋体" w:eastAsia="宋体" w:cs="宋体"/>
                <w:sz w:val="22"/>
                <w:szCs w:val="22"/>
                <w:highlight w:val="none"/>
              </w:rPr>
              <w:t>2.2.</w:t>
            </w:r>
            <w:r>
              <w:rPr>
                <w:rFonts w:hint="eastAsia" w:eastAsia="宋体" w:cs="宋体"/>
                <w:sz w:val="22"/>
                <w:szCs w:val="22"/>
                <w:highlight w:val="none"/>
                <w:lang w:val="en-US" w:eastAsia="zh-CN"/>
              </w:rPr>
              <w:t>4</w:t>
            </w:r>
          </w:p>
          <w:p w14:paraId="67073781">
            <w:pPr>
              <w:spacing w:line="400" w:lineRule="exact"/>
              <w:jc w:val="center"/>
              <w:rPr>
                <w:rFonts w:hint="eastAsia" w:ascii="宋体" w:hAnsi="宋体" w:eastAsia="宋体" w:cs="宋体"/>
                <w:sz w:val="22"/>
                <w:szCs w:val="22"/>
                <w:highlight w:val="none"/>
              </w:rPr>
            </w:pPr>
            <w:r>
              <w:rPr>
                <w:rFonts w:hint="eastAsia" w:ascii="宋体" w:hAnsi="宋体" w:eastAsia="宋体" w:cs="宋体"/>
                <w:sz w:val="22"/>
                <w:szCs w:val="22"/>
                <w:highlight w:val="none"/>
              </w:rPr>
              <w:t>（3）</w:t>
            </w:r>
          </w:p>
        </w:tc>
        <w:tc>
          <w:tcPr>
            <w:tcW w:w="528" w:type="dxa"/>
            <w:gridSpan w:val="2"/>
            <w:vMerge w:val="restart"/>
            <w:noWrap w:val="0"/>
            <w:vAlign w:val="center"/>
          </w:tcPr>
          <w:p w14:paraId="283F8B16">
            <w:pPr>
              <w:spacing w:line="400" w:lineRule="exact"/>
              <w:jc w:val="center"/>
              <w:rPr>
                <w:rFonts w:hint="eastAsia" w:ascii="宋体" w:hAnsi="宋体" w:eastAsia="宋体" w:cs="宋体"/>
                <w:sz w:val="22"/>
                <w:szCs w:val="22"/>
                <w:highlight w:val="none"/>
              </w:rPr>
            </w:pPr>
            <w:r>
              <w:rPr>
                <w:rFonts w:hint="eastAsia" w:ascii="宋体" w:hAnsi="宋体" w:eastAsia="宋体" w:cs="宋体"/>
                <w:sz w:val="22"/>
                <w:szCs w:val="22"/>
                <w:highlight w:val="none"/>
              </w:rPr>
              <w:t>其他因素</w:t>
            </w:r>
          </w:p>
        </w:tc>
        <w:tc>
          <w:tcPr>
            <w:tcW w:w="645" w:type="dxa"/>
            <w:noWrap w:val="0"/>
            <w:vAlign w:val="center"/>
          </w:tcPr>
          <w:p w14:paraId="56329F54">
            <w:pPr>
              <w:spacing w:line="400" w:lineRule="exact"/>
              <w:jc w:val="center"/>
              <w:rPr>
                <w:rFonts w:hint="eastAsia" w:ascii="宋体" w:hAnsi="宋体" w:eastAsia="宋体" w:cs="宋体"/>
                <w:sz w:val="22"/>
                <w:szCs w:val="22"/>
                <w:highlight w:val="none"/>
              </w:rPr>
            </w:pPr>
            <w:r>
              <w:rPr>
                <w:rFonts w:hint="eastAsia" w:ascii="宋体" w:hAnsi="宋体" w:eastAsia="宋体" w:cs="宋体"/>
                <w:sz w:val="22"/>
                <w:szCs w:val="22"/>
                <w:highlight w:val="none"/>
              </w:rPr>
              <w:t>技术能力</w:t>
            </w:r>
          </w:p>
        </w:tc>
        <w:tc>
          <w:tcPr>
            <w:tcW w:w="690" w:type="dxa"/>
            <w:gridSpan w:val="2"/>
            <w:noWrap w:val="0"/>
            <w:vAlign w:val="center"/>
          </w:tcPr>
          <w:p w14:paraId="0E132107">
            <w:pPr>
              <w:spacing w:line="400" w:lineRule="exact"/>
              <w:jc w:val="center"/>
              <w:rPr>
                <w:rFonts w:hint="eastAsia" w:ascii="宋体" w:hAnsi="宋体" w:eastAsia="宋体" w:cs="宋体"/>
                <w:b/>
                <w:sz w:val="22"/>
                <w:szCs w:val="22"/>
                <w:highlight w:val="none"/>
                <w:u w:val="single"/>
              </w:rPr>
            </w:pPr>
            <w:r>
              <w:rPr>
                <w:rFonts w:hint="eastAsia" w:eastAsia="宋体" w:cs="宋体"/>
                <w:b/>
                <w:sz w:val="22"/>
                <w:szCs w:val="22"/>
                <w:highlight w:val="none"/>
                <w:u w:val="single"/>
                <w:lang w:val="en-US" w:eastAsia="zh-CN"/>
              </w:rPr>
              <w:t>10</w:t>
            </w:r>
            <w:r>
              <w:rPr>
                <w:rFonts w:hint="eastAsia" w:ascii="宋体" w:hAnsi="宋体" w:eastAsia="宋体" w:cs="宋体"/>
                <w:b/>
                <w:sz w:val="22"/>
                <w:szCs w:val="22"/>
                <w:highlight w:val="none"/>
                <w:u w:val="single"/>
              </w:rPr>
              <w:t>分</w:t>
            </w:r>
          </w:p>
        </w:tc>
        <w:tc>
          <w:tcPr>
            <w:tcW w:w="6646" w:type="dxa"/>
            <w:gridSpan w:val="3"/>
            <w:noWrap w:val="0"/>
            <w:vAlign w:val="center"/>
          </w:tcPr>
          <w:p w14:paraId="5BDC2E6F">
            <w:pPr>
              <w:spacing w:line="400" w:lineRule="exact"/>
              <w:rPr>
                <w:rFonts w:hint="eastAsia" w:ascii="宋体" w:hAnsi="宋体" w:eastAsia="宋体" w:cs="宋体"/>
                <w:sz w:val="22"/>
                <w:szCs w:val="22"/>
                <w:highlight w:val="none"/>
                <w:lang w:val="en-US" w:eastAsia="zh-CN"/>
              </w:rPr>
            </w:pPr>
            <w:r>
              <w:rPr>
                <w:rFonts w:hint="eastAsia" w:ascii="宋体" w:hAnsi="宋体" w:eastAsia="宋体" w:cs="宋体"/>
                <w:sz w:val="22"/>
                <w:szCs w:val="22"/>
                <w:highlight w:val="none"/>
                <w:lang w:val="en-US" w:eastAsia="zh-CN"/>
              </w:rPr>
              <w:t>(1)投标人获得过建设工程有关的国家级工法、专利(发明专利或实用新型专利)、国家级科学技术进步奖、鲁班奖、詹天佑奖、优质工程奖，主编或参编过国家标准，每项加2分;</w:t>
            </w:r>
          </w:p>
          <w:p w14:paraId="449FE847">
            <w:pPr>
              <w:spacing w:line="400" w:lineRule="exact"/>
              <w:rPr>
                <w:rFonts w:hint="eastAsia" w:ascii="宋体" w:hAnsi="宋体" w:eastAsia="宋体" w:cs="宋体"/>
                <w:sz w:val="22"/>
                <w:szCs w:val="22"/>
                <w:highlight w:val="none"/>
                <w:lang w:val="en-US" w:eastAsia="zh-CN"/>
              </w:rPr>
            </w:pPr>
            <w:r>
              <w:rPr>
                <w:rFonts w:hint="eastAsia" w:ascii="宋体" w:hAnsi="宋体" w:eastAsia="宋体" w:cs="宋体"/>
                <w:sz w:val="22"/>
                <w:szCs w:val="22"/>
                <w:highlight w:val="none"/>
                <w:lang w:val="en-US" w:eastAsia="zh-CN"/>
              </w:rPr>
              <w:t>(2)投标人获得省级科学技术进步奖、优质工程奖，主编或参编过的行业或地方(指省级)标准，每项加1分;</w:t>
            </w:r>
          </w:p>
          <w:p w14:paraId="70A5722E">
            <w:pPr>
              <w:spacing w:line="400" w:lineRule="exact"/>
              <w:rPr>
                <w:rFonts w:hint="eastAsia" w:ascii="宋体" w:hAnsi="宋体" w:eastAsia="宋体" w:cs="宋体"/>
                <w:sz w:val="22"/>
                <w:szCs w:val="22"/>
                <w:highlight w:val="none"/>
                <w:lang w:val="en-US" w:eastAsia="zh-CN"/>
              </w:rPr>
            </w:pPr>
            <w:r>
              <w:rPr>
                <w:rFonts w:hint="eastAsia" w:ascii="宋体" w:hAnsi="宋体" w:eastAsia="宋体" w:cs="宋体"/>
                <w:sz w:val="22"/>
                <w:szCs w:val="22"/>
                <w:highlight w:val="none"/>
                <w:lang w:val="en-US" w:eastAsia="zh-CN"/>
              </w:rPr>
              <w:t>注:技术能力加分最高10分，同一事项按较高分只计一次。国家级科学技术进步奖颁发部门为国务院(查询网址:国家科学技术奖励工作办公室</w:t>
            </w:r>
          </w:p>
          <w:p w14:paraId="42B376AF">
            <w:pPr>
              <w:spacing w:line="400" w:lineRule="exact"/>
              <w:rPr>
                <w:rFonts w:hint="eastAsia" w:ascii="宋体" w:hAnsi="宋体" w:eastAsia="宋体" w:cs="宋体"/>
                <w:sz w:val="22"/>
                <w:szCs w:val="22"/>
                <w:highlight w:val="none"/>
                <w:lang w:val="en-US" w:eastAsia="zh-CN"/>
              </w:rPr>
            </w:pPr>
            <w:r>
              <w:rPr>
                <w:rFonts w:hint="eastAsia" w:ascii="宋体" w:hAnsi="宋体" w:eastAsia="宋体" w:cs="宋体"/>
                <w:sz w:val="22"/>
                <w:szCs w:val="22"/>
                <w:highlight w:val="none"/>
                <w:lang w:val="en-US" w:eastAsia="zh-CN"/>
              </w:rPr>
              <w:t>http://www.nosta.gov.cn/)，鲁班奖颁发部门为中国建筑业协会(中国建筑业协会http://www.zgjzy.org.cn/) 詹天佑奖颁发部门为中国土木工程学会(查询网址:中国土木工程学会http://123.57.212.98/)，专利证书须提供网址查询结果截图和证书文件，国家或行业标准须提供网址查询结果截图和标准文件。若投标人为联合体投标，此处仅计算联合体牵头人的荣誉计分。</w:t>
            </w:r>
          </w:p>
        </w:tc>
      </w:tr>
      <w:tr w14:paraId="40C356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5" w:hRule="atLeast"/>
        </w:trPr>
        <w:tc>
          <w:tcPr>
            <w:tcW w:w="851" w:type="dxa"/>
            <w:vMerge w:val="continue"/>
            <w:noWrap w:val="0"/>
            <w:vAlign w:val="center"/>
          </w:tcPr>
          <w:p w14:paraId="462145D8">
            <w:pPr>
              <w:spacing w:line="400" w:lineRule="exact"/>
              <w:jc w:val="center"/>
              <w:rPr>
                <w:rFonts w:hint="eastAsia" w:ascii="宋体" w:hAnsi="宋体" w:eastAsia="宋体" w:cs="宋体"/>
                <w:sz w:val="22"/>
                <w:szCs w:val="22"/>
                <w:highlight w:val="none"/>
              </w:rPr>
            </w:pPr>
          </w:p>
        </w:tc>
        <w:tc>
          <w:tcPr>
            <w:tcW w:w="528" w:type="dxa"/>
            <w:gridSpan w:val="2"/>
            <w:vMerge w:val="continue"/>
            <w:noWrap w:val="0"/>
            <w:vAlign w:val="center"/>
          </w:tcPr>
          <w:p w14:paraId="0E6C4D68">
            <w:pPr>
              <w:spacing w:line="400" w:lineRule="exact"/>
              <w:jc w:val="center"/>
              <w:rPr>
                <w:rFonts w:hint="eastAsia" w:ascii="宋体" w:hAnsi="宋体" w:eastAsia="宋体" w:cs="宋体"/>
                <w:sz w:val="22"/>
                <w:szCs w:val="22"/>
                <w:highlight w:val="none"/>
              </w:rPr>
            </w:pPr>
          </w:p>
        </w:tc>
        <w:tc>
          <w:tcPr>
            <w:tcW w:w="645" w:type="dxa"/>
            <w:noWrap w:val="0"/>
            <w:vAlign w:val="center"/>
          </w:tcPr>
          <w:p w14:paraId="5E390818">
            <w:pPr>
              <w:spacing w:line="400" w:lineRule="exact"/>
              <w:jc w:val="center"/>
              <w:rPr>
                <w:rFonts w:hint="eastAsia" w:ascii="宋体" w:hAnsi="宋体" w:eastAsia="宋体" w:cs="宋体"/>
                <w:sz w:val="22"/>
                <w:szCs w:val="22"/>
                <w:highlight w:val="none"/>
                <w:lang w:eastAsia="zh-CN"/>
              </w:rPr>
            </w:pPr>
            <w:r>
              <w:rPr>
                <w:rFonts w:hint="eastAsia" w:eastAsia="宋体" w:cs="宋体"/>
                <w:sz w:val="22"/>
                <w:szCs w:val="22"/>
                <w:highlight w:val="none"/>
                <w:lang w:eastAsia="zh-CN"/>
              </w:rPr>
              <w:t>财务能力</w:t>
            </w:r>
          </w:p>
        </w:tc>
        <w:tc>
          <w:tcPr>
            <w:tcW w:w="690" w:type="dxa"/>
            <w:gridSpan w:val="2"/>
            <w:noWrap w:val="0"/>
            <w:vAlign w:val="center"/>
          </w:tcPr>
          <w:p w14:paraId="1640F92F">
            <w:pPr>
              <w:spacing w:line="400" w:lineRule="exact"/>
              <w:jc w:val="center"/>
              <w:rPr>
                <w:rFonts w:hint="eastAsia" w:ascii="宋体" w:hAnsi="宋体" w:eastAsia="宋体" w:cs="宋体"/>
                <w:b/>
                <w:sz w:val="22"/>
                <w:szCs w:val="22"/>
                <w:highlight w:val="none"/>
                <w:u w:val="single"/>
              </w:rPr>
            </w:pPr>
            <w:r>
              <w:rPr>
                <w:rFonts w:hint="eastAsia" w:eastAsia="宋体" w:cs="宋体"/>
                <w:b/>
                <w:sz w:val="22"/>
                <w:szCs w:val="22"/>
                <w:highlight w:val="none"/>
                <w:u w:val="single"/>
                <w:lang w:val="en-US" w:eastAsia="zh-CN"/>
              </w:rPr>
              <w:t>5</w:t>
            </w:r>
            <w:r>
              <w:rPr>
                <w:rFonts w:hint="eastAsia" w:ascii="宋体" w:hAnsi="宋体" w:eastAsia="宋体" w:cs="宋体"/>
                <w:b/>
                <w:sz w:val="22"/>
                <w:szCs w:val="22"/>
                <w:highlight w:val="none"/>
                <w:u w:val="single"/>
              </w:rPr>
              <w:t>分</w:t>
            </w:r>
          </w:p>
        </w:tc>
        <w:tc>
          <w:tcPr>
            <w:tcW w:w="6646" w:type="dxa"/>
            <w:gridSpan w:val="3"/>
            <w:noWrap w:val="0"/>
            <w:vAlign w:val="center"/>
          </w:tcPr>
          <w:p w14:paraId="4F0028C4">
            <w:pPr>
              <w:spacing w:line="400" w:lineRule="exact"/>
              <w:rPr>
                <w:rFonts w:hint="eastAsia" w:ascii="宋体" w:hAnsi="宋体" w:eastAsia="宋体" w:cs="宋体"/>
                <w:sz w:val="22"/>
                <w:szCs w:val="22"/>
                <w:highlight w:val="none"/>
                <w:lang w:val="en-US" w:eastAsia="zh-CN"/>
              </w:rPr>
            </w:pPr>
            <w:r>
              <w:rPr>
                <w:rFonts w:hint="eastAsia" w:ascii="宋体" w:hAnsi="宋体" w:eastAsia="宋体" w:cs="宋体"/>
                <w:sz w:val="22"/>
                <w:szCs w:val="22"/>
                <w:highlight w:val="none"/>
                <w:lang w:val="en-US" w:eastAsia="zh-CN"/>
              </w:rPr>
              <w:t xml:space="preserve">满足资格审查条件(财务最低要求)得1分；在此基础上， </w:t>
            </w:r>
          </w:p>
          <w:p w14:paraId="20D115BD">
            <w:pPr>
              <w:spacing w:line="400" w:lineRule="exact"/>
              <w:rPr>
                <w:rFonts w:hint="eastAsia" w:ascii="宋体" w:hAnsi="宋体" w:eastAsia="宋体" w:cs="宋体"/>
                <w:sz w:val="22"/>
                <w:szCs w:val="22"/>
                <w:highlight w:val="none"/>
                <w:lang w:val="en-US" w:eastAsia="zh-CN"/>
              </w:rPr>
            </w:pPr>
            <w:r>
              <w:rPr>
                <w:rFonts w:hint="eastAsia" w:ascii="宋体" w:hAnsi="宋体" w:eastAsia="宋体" w:cs="宋体"/>
                <w:sz w:val="22"/>
                <w:szCs w:val="22"/>
                <w:highlight w:val="none"/>
                <w:lang w:val="en-US" w:eastAsia="zh-CN"/>
              </w:rPr>
              <w:t xml:space="preserve">（1）营运资金在5000万元基础上，每增加1000万元（尾数不计）加0.5分。最高加分不超过2分。 </w:t>
            </w:r>
          </w:p>
          <w:p w14:paraId="193C22A9">
            <w:pPr>
              <w:spacing w:line="400" w:lineRule="exact"/>
              <w:rPr>
                <w:rFonts w:hint="eastAsia" w:ascii="宋体" w:hAnsi="宋体" w:eastAsia="宋体" w:cs="宋体"/>
                <w:sz w:val="22"/>
                <w:szCs w:val="22"/>
                <w:highlight w:val="none"/>
                <w:lang w:val="en-US" w:eastAsia="zh-CN"/>
              </w:rPr>
            </w:pPr>
            <w:r>
              <w:rPr>
                <w:rFonts w:hint="eastAsia" w:ascii="宋体" w:hAnsi="宋体" w:eastAsia="宋体" w:cs="宋体"/>
                <w:sz w:val="22"/>
                <w:szCs w:val="22"/>
                <w:highlight w:val="none"/>
                <w:lang w:val="en-US" w:eastAsia="zh-CN"/>
              </w:rPr>
              <w:t xml:space="preserve">（2）近三个年度的年平均营业总收入在5000万元基础上，每增加1000万元（尾数不计）加0.5分。最高加分不超过1分。 </w:t>
            </w:r>
          </w:p>
          <w:p w14:paraId="6098BC8E">
            <w:pPr>
              <w:spacing w:line="400" w:lineRule="exact"/>
              <w:rPr>
                <w:rFonts w:hint="eastAsia" w:ascii="宋体" w:hAnsi="宋体" w:eastAsia="宋体" w:cs="宋体"/>
                <w:sz w:val="22"/>
                <w:szCs w:val="22"/>
                <w:highlight w:val="none"/>
                <w:lang w:val="en-US" w:eastAsia="zh-CN"/>
              </w:rPr>
            </w:pPr>
            <w:r>
              <w:rPr>
                <w:rFonts w:hint="eastAsia" w:ascii="宋体" w:hAnsi="宋体" w:eastAsia="宋体" w:cs="宋体"/>
                <w:sz w:val="22"/>
                <w:szCs w:val="22"/>
                <w:highlight w:val="none"/>
                <w:lang w:val="en-US" w:eastAsia="zh-CN"/>
              </w:rPr>
              <w:t>（3）近三个年度连续盈利加1分。</w:t>
            </w:r>
          </w:p>
          <w:p w14:paraId="6F206E93">
            <w:pPr>
              <w:spacing w:line="400" w:lineRule="exact"/>
              <w:rPr>
                <w:rFonts w:hint="eastAsia" w:ascii="宋体" w:hAnsi="宋体" w:eastAsia="宋体" w:cs="宋体"/>
                <w:sz w:val="22"/>
                <w:szCs w:val="22"/>
                <w:highlight w:val="none"/>
                <w:lang w:val="en-US" w:eastAsia="zh-CN"/>
              </w:rPr>
            </w:pPr>
            <w:r>
              <w:rPr>
                <w:rFonts w:hint="eastAsia" w:ascii="宋体" w:hAnsi="宋体" w:eastAsia="宋体" w:cs="宋体"/>
                <w:sz w:val="22"/>
                <w:szCs w:val="22"/>
                <w:highlight w:val="none"/>
                <w:lang w:val="en-US" w:eastAsia="zh-CN"/>
              </w:rPr>
              <w:t>注:若为联合体投标，以联合体牵头单位数据为准。</w:t>
            </w:r>
          </w:p>
        </w:tc>
      </w:tr>
      <w:tr w14:paraId="16C57D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5" w:hRule="atLeast"/>
        </w:trPr>
        <w:tc>
          <w:tcPr>
            <w:tcW w:w="851" w:type="dxa"/>
            <w:vMerge w:val="continue"/>
            <w:noWrap w:val="0"/>
            <w:vAlign w:val="center"/>
          </w:tcPr>
          <w:p w14:paraId="26646B6E">
            <w:pPr>
              <w:spacing w:line="400" w:lineRule="exact"/>
              <w:jc w:val="center"/>
              <w:rPr>
                <w:rFonts w:hint="eastAsia" w:ascii="宋体" w:hAnsi="宋体" w:eastAsia="宋体" w:cs="宋体"/>
                <w:sz w:val="22"/>
                <w:szCs w:val="22"/>
                <w:highlight w:val="none"/>
              </w:rPr>
            </w:pPr>
          </w:p>
        </w:tc>
        <w:tc>
          <w:tcPr>
            <w:tcW w:w="528" w:type="dxa"/>
            <w:gridSpan w:val="2"/>
            <w:vMerge w:val="continue"/>
            <w:noWrap w:val="0"/>
            <w:vAlign w:val="center"/>
          </w:tcPr>
          <w:p w14:paraId="452B2C1E">
            <w:pPr>
              <w:spacing w:line="400" w:lineRule="exact"/>
              <w:jc w:val="center"/>
              <w:rPr>
                <w:rFonts w:hint="eastAsia" w:ascii="宋体" w:hAnsi="宋体" w:eastAsia="宋体" w:cs="宋体"/>
                <w:sz w:val="22"/>
                <w:szCs w:val="22"/>
                <w:highlight w:val="none"/>
              </w:rPr>
            </w:pPr>
          </w:p>
        </w:tc>
        <w:tc>
          <w:tcPr>
            <w:tcW w:w="645" w:type="dxa"/>
            <w:noWrap w:val="0"/>
            <w:vAlign w:val="center"/>
          </w:tcPr>
          <w:p w14:paraId="5A5264FC">
            <w:pPr>
              <w:spacing w:line="400" w:lineRule="exact"/>
              <w:jc w:val="center"/>
              <w:rPr>
                <w:rFonts w:hint="eastAsia" w:ascii="宋体" w:hAnsi="宋体" w:eastAsia="宋体" w:cs="宋体"/>
                <w:sz w:val="22"/>
                <w:szCs w:val="22"/>
                <w:highlight w:val="none"/>
              </w:rPr>
            </w:pPr>
            <w:r>
              <w:rPr>
                <w:rFonts w:hint="eastAsia" w:ascii="宋体" w:hAnsi="宋体" w:eastAsia="宋体" w:cs="宋体"/>
                <w:sz w:val="22"/>
                <w:szCs w:val="22"/>
                <w:highlight w:val="none"/>
                <w:lang w:val="en-US" w:eastAsia="zh-CN"/>
              </w:rPr>
              <w:t xml:space="preserve">类似 </w:t>
            </w:r>
          </w:p>
          <w:p w14:paraId="46155B44">
            <w:pPr>
              <w:spacing w:line="400" w:lineRule="exact"/>
              <w:jc w:val="center"/>
              <w:rPr>
                <w:rFonts w:hint="eastAsia" w:ascii="宋体" w:hAnsi="宋体" w:eastAsia="宋体" w:cs="宋体"/>
                <w:sz w:val="22"/>
                <w:szCs w:val="22"/>
                <w:highlight w:val="none"/>
              </w:rPr>
            </w:pPr>
            <w:r>
              <w:rPr>
                <w:rFonts w:hint="eastAsia" w:ascii="宋体" w:hAnsi="宋体" w:eastAsia="宋体" w:cs="宋体"/>
                <w:sz w:val="22"/>
                <w:szCs w:val="22"/>
                <w:highlight w:val="none"/>
                <w:lang w:val="en-US" w:eastAsia="zh-CN"/>
              </w:rPr>
              <w:t xml:space="preserve">项目 </w:t>
            </w:r>
          </w:p>
          <w:p w14:paraId="245B48C3">
            <w:pPr>
              <w:spacing w:line="400" w:lineRule="exact"/>
              <w:jc w:val="center"/>
              <w:rPr>
                <w:rFonts w:hint="eastAsia" w:ascii="宋体" w:hAnsi="宋体" w:eastAsia="宋体" w:cs="宋体"/>
                <w:sz w:val="22"/>
                <w:szCs w:val="22"/>
                <w:highlight w:val="none"/>
              </w:rPr>
            </w:pPr>
            <w:r>
              <w:rPr>
                <w:rFonts w:hint="eastAsia" w:ascii="宋体" w:hAnsi="宋体" w:eastAsia="宋体" w:cs="宋体"/>
                <w:sz w:val="22"/>
                <w:szCs w:val="22"/>
                <w:highlight w:val="none"/>
                <w:lang w:val="en-US" w:eastAsia="zh-CN"/>
              </w:rPr>
              <w:t>业绩</w:t>
            </w:r>
          </w:p>
        </w:tc>
        <w:tc>
          <w:tcPr>
            <w:tcW w:w="690" w:type="dxa"/>
            <w:gridSpan w:val="2"/>
            <w:noWrap w:val="0"/>
            <w:vAlign w:val="center"/>
          </w:tcPr>
          <w:p w14:paraId="69CC0022">
            <w:pPr>
              <w:spacing w:line="400" w:lineRule="exact"/>
              <w:jc w:val="center"/>
              <w:rPr>
                <w:rFonts w:hint="eastAsia" w:ascii="宋体" w:hAnsi="宋体" w:eastAsia="宋体" w:cs="宋体"/>
                <w:b/>
                <w:sz w:val="22"/>
                <w:szCs w:val="22"/>
                <w:highlight w:val="none"/>
                <w:u w:val="single"/>
              </w:rPr>
            </w:pPr>
            <w:r>
              <w:rPr>
                <w:rFonts w:hint="eastAsia" w:eastAsia="宋体" w:cs="宋体"/>
                <w:b/>
                <w:sz w:val="22"/>
                <w:szCs w:val="22"/>
                <w:highlight w:val="none"/>
                <w:u w:val="single"/>
                <w:lang w:val="en-US" w:eastAsia="zh-CN"/>
              </w:rPr>
              <w:t>10</w:t>
            </w:r>
            <w:r>
              <w:rPr>
                <w:rFonts w:hint="eastAsia" w:ascii="宋体" w:hAnsi="宋体" w:eastAsia="宋体" w:cs="宋体"/>
                <w:b/>
                <w:sz w:val="22"/>
                <w:szCs w:val="22"/>
                <w:highlight w:val="none"/>
                <w:u w:val="single"/>
              </w:rPr>
              <w:t>分</w:t>
            </w:r>
          </w:p>
        </w:tc>
        <w:tc>
          <w:tcPr>
            <w:tcW w:w="6646" w:type="dxa"/>
            <w:gridSpan w:val="3"/>
            <w:noWrap w:val="0"/>
            <w:vAlign w:val="center"/>
          </w:tcPr>
          <w:p w14:paraId="5A263774">
            <w:pPr>
              <w:spacing w:line="400" w:lineRule="exact"/>
              <w:rPr>
                <w:rFonts w:hint="eastAsia" w:ascii="宋体" w:hAnsi="宋体" w:eastAsia="宋体" w:cs="宋体"/>
                <w:sz w:val="22"/>
                <w:szCs w:val="22"/>
                <w:highlight w:val="none"/>
                <w:lang w:val="en-US" w:eastAsia="zh-CN"/>
              </w:rPr>
            </w:pPr>
            <w:r>
              <w:rPr>
                <w:rFonts w:hint="eastAsia" w:ascii="宋体" w:hAnsi="宋体" w:eastAsia="宋体" w:cs="宋体"/>
                <w:sz w:val="22"/>
                <w:szCs w:val="22"/>
                <w:highlight w:val="none"/>
                <w:lang w:val="en-US" w:eastAsia="zh-CN"/>
              </w:rPr>
              <w:t xml:space="preserve">满足资格条件（业绩最低要求）的得基本分1分，在此基础上： </w:t>
            </w:r>
          </w:p>
          <w:p w14:paraId="17E04FC6">
            <w:pPr>
              <w:spacing w:line="400" w:lineRule="exact"/>
              <w:rPr>
                <w:rFonts w:hint="eastAsia" w:ascii="宋体" w:hAnsi="宋体" w:eastAsia="宋体" w:cs="宋体"/>
                <w:sz w:val="22"/>
                <w:szCs w:val="22"/>
                <w:highlight w:val="none"/>
                <w:lang w:val="en-US" w:eastAsia="zh-CN"/>
              </w:rPr>
            </w:pPr>
            <w:r>
              <w:rPr>
                <w:rFonts w:hint="eastAsia" w:ascii="宋体" w:hAnsi="宋体" w:eastAsia="宋体" w:cs="宋体"/>
                <w:sz w:val="22"/>
                <w:szCs w:val="22"/>
                <w:highlight w:val="none"/>
                <w:lang w:val="en-US" w:eastAsia="zh-CN"/>
              </w:rPr>
              <w:t xml:space="preserve">（1）每累计增加10km（尾数不计）类似工程设计，加1分，最高加3分； </w:t>
            </w:r>
          </w:p>
          <w:p w14:paraId="7ED32AB5">
            <w:pPr>
              <w:spacing w:line="400" w:lineRule="exact"/>
              <w:rPr>
                <w:rFonts w:hint="eastAsia" w:ascii="宋体" w:hAnsi="宋体" w:eastAsia="宋体" w:cs="宋体"/>
                <w:sz w:val="22"/>
                <w:szCs w:val="22"/>
                <w:highlight w:val="none"/>
                <w:lang w:val="en-US" w:eastAsia="zh-CN"/>
              </w:rPr>
            </w:pPr>
            <w:r>
              <w:rPr>
                <w:rFonts w:hint="eastAsia" w:ascii="宋体" w:hAnsi="宋体" w:eastAsia="宋体" w:cs="宋体"/>
                <w:sz w:val="22"/>
                <w:szCs w:val="22"/>
                <w:highlight w:val="none"/>
                <w:lang w:val="en-US" w:eastAsia="zh-CN"/>
              </w:rPr>
              <w:t xml:space="preserve">（2）每累计增加10km（尾数不计）类似工程，四级或以上公路施工工程，加2分，最高加6分。 </w:t>
            </w:r>
          </w:p>
          <w:p w14:paraId="66430E35">
            <w:pPr>
              <w:spacing w:line="400" w:lineRule="exact"/>
              <w:rPr>
                <w:rFonts w:hint="eastAsia" w:ascii="宋体" w:hAnsi="宋体" w:eastAsia="宋体" w:cs="宋体"/>
                <w:sz w:val="22"/>
                <w:szCs w:val="22"/>
                <w:highlight w:val="none"/>
                <w:lang w:val="en-US" w:eastAsia="zh-CN"/>
              </w:rPr>
            </w:pPr>
            <w:r>
              <w:rPr>
                <w:rFonts w:hint="eastAsia" w:ascii="宋体" w:hAnsi="宋体" w:eastAsia="宋体" w:cs="宋体"/>
                <w:sz w:val="22"/>
                <w:szCs w:val="22"/>
                <w:highlight w:val="none"/>
                <w:lang w:val="en-US" w:eastAsia="zh-CN"/>
              </w:rPr>
              <w:t>注：年份以2020年1月1日至投标截止日止。</w:t>
            </w:r>
          </w:p>
        </w:tc>
      </w:tr>
      <w:tr w14:paraId="581BDA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5" w:hRule="atLeast"/>
        </w:trPr>
        <w:tc>
          <w:tcPr>
            <w:tcW w:w="851" w:type="dxa"/>
            <w:vMerge w:val="continue"/>
            <w:noWrap w:val="0"/>
            <w:vAlign w:val="center"/>
          </w:tcPr>
          <w:p w14:paraId="357ADB57">
            <w:pPr>
              <w:spacing w:line="400" w:lineRule="exact"/>
              <w:jc w:val="center"/>
              <w:rPr>
                <w:rFonts w:hint="eastAsia" w:ascii="宋体" w:hAnsi="宋体" w:eastAsia="宋体" w:cs="宋体"/>
                <w:sz w:val="22"/>
                <w:szCs w:val="22"/>
                <w:highlight w:val="none"/>
              </w:rPr>
            </w:pPr>
          </w:p>
        </w:tc>
        <w:tc>
          <w:tcPr>
            <w:tcW w:w="528" w:type="dxa"/>
            <w:gridSpan w:val="2"/>
            <w:vMerge w:val="continue"/>
            <w:noWrap w:val="0"/>
            <w:vAlign w:val="center"/>
          </w:tcPr>
          <w:p w14:paraId="2295F450">
            <w:pPr>
              <w:spacing w:line="400" w:lineRule="exact"/>
              <w:jc w:val="center"/>
              <w:rPr>
                <w:rFonts w:hint="eastAsia" w:ascii="宋体" w:hAnsi="宋体" w:eastAsia="宋体" w:cs="宋体"/>
                <w:sz w:val="22"/>
                <w:szCs w:val="22"/>
                <w:highlight w:val="none"/>
              </w:rPr>
            </w:pPr>
          </w:p>
        </w:tc>
        <w:tc>
          <w:tcPr>
            <w:tcW w:w="645" w:type="dxa"/>
            <w:noWrap w:val="0"/>
            <w:vAlign w:val="center"/>
          </w:tcPr>
          <w:p w14:paraId="57E3FFDC">
            <w:pPr>
              <w:spacing w:line="400" w:lineRule="exact"/>
              <w:jc w:val="center"/>
              <w:rPr>
                <w:rFonts w:hint="eastAsia" w:ascii="宋体" w:hAnsi="宋体" w:eastAsia="宋体" w:cs="宋体"/>
                <w:i w:val="0"/>
                <w:iCs w:val="0"/>
                <w:sz w:val="22"/>
                <w:szCs w:val="22"/>
                <w:highlight w:val="none"/>
              </w:rPr>
            </w:pPr>
            <w:r>
              <w:rPr>
                <w:rFonts w:hint="eastAsia" w:ascii="宋体" w:hAnsi="宋体" w:eastAsia="宋体" w:cs="宋体"/>
                <w:i w:val="0"/>
                <w:iCs w:val="0"/>
                <w:sz w:val="22"/>
                <w:szCs w:val="22"/>
                <w:highlight w:val="none"/>
                <w:lang w:val="en-US" w:eastAsia="zh-CN"/>
              </w:rPr>
              <w:t xml:space="preserve">履约 </w:t>
            </w:r>
          </w:p>
          <w:p w14:paraId="6A553A6E">
            <w:pPr>
              <w:spacing w:line="400" w:lineRule="exact"/>
              <w:jc w:val="center"/>
              <w:rPr>
                <w:rFonts w:hint="eastAsia" w:ascii="宋体" w:hAnsi="宋体" w:eastAsia="宋体" w:cs="宋体"/>
                <w:i w:val="0"/>
                <w:iCs w:val="0"/>
                <w:sz w:val="22"/>
                <w:szCs w:val="22"/>
                <w:highlight w:val="none"/>
              </w:rPr>
            </w:pPr>
            <w:r>
              <w:rPr>
                <w:rFonts w:hint="eastAsia" w:ascii="宋体" w:hAnsi="宋体" w:eastAsia="宋体" w:cs="宋体"/>
                <w:i w:val="0"/>
                <w:iCs w:val="0"/>
                <w:sz w:val="22"/>
                <w:szCs w:val="22"/>
                <w:highlight w:val="none"/>
                <w:lang w:val="en-US" w:eastAsia="zh-CN"/>
              </w:rPr>
              <w:t>信誉</w:t>
            </w:r>
          </w:p>
        </w:tc>
        <w:tc>
          <w:tcPr>
            <w:tcW w:w="690" w:type="dxa"/>
            <w:gridSpan w:val="2"/>
            <w:noWrap w:val="0"/>
            <w:vAlign w:val="center"/>
          </w:tcPr>
          <w:p w14:paraId="72368683">
            <w:pPr>
              <w:spacing w:line="400" w:lineRule="exact"/>
              <w:jc w:val="center"/>
              <w:rPr>
                <w:rFonts w:hint="eastAsia" w:ascii="宋体" w:hAnsi="宋体" w:eastAsia="宋体" w:cs="宋体"/>
                <w:b/>
                <w:sz w:val="22"/>
                <w:szCs w:val="22"/>
                <w:highlight w:val="none"/>
                <w:u w:val="single"/>
              </w:rPr>
            </w:pPr>
            <w:r>
              <w:rPr>
                <w:rFonts w:hint="eastAsia" w:eastAsia="宋体" w:cs="宋体"/>
                <w:b/>
                <w:sz w:val="22"/>
                <w:szCs w:val="22"/>
                <w:highlight w:val="none"/>
                <w:u w:val="single"/>
                <w:lang w:val="en-US" w:eastAsia="zh-CN"/>
              </w:rPr>
              <w:t>5</w:t>
            </w:r>
            <w:r>
              <w:rPr>
                <w:rFonts w:hint="eastAsia" w:ascii="宋体" w:hAnsi="宋体" w:eastAsia="宋体" w:cs="宋体"/>
                <w:b/>
                <w:sz w:val="22"/>
                <w:szCs w:val="22"/>
                <w:highlight w:val="none"/>
                <w:u w:val="single"/>
              </w:rPr>
              <w:t>分</w:t>
            </w:r>
          </w:p>
        </w:tc>
        <w:tc>
          <w:tcPr>
            <w:tcW w:w="6646" w:type="dxa"/>
            <w:gridSpan w:val="3"/>
            <w:noWrap w:val="0"/>
            <w:vAlign w:val="center"/>
          </w:tcPr>
          <w:p w14:paraId="58545E5D">
            <w:pPr>
              <w:spacing w:line="400" w:lineRule="exact"/>
              <w:rPr>
                <w:rFonts w:hint="eastAsia" w:ascii="宋体" w:hAnsi="宋体" w:eastAsia="宋体" w:cs="宋体"/>
                <w:sz w:val="22"/>
                <w:szCs w:val="22"/>
                <w:highlight w:val="none"/>
              </w:rPr>
            </w:pPr>
            <w:r>
              <w:rPr>
                <w:rFonts w:hint="eastAsia" w:ascii="宋体" w:hAnsi="宋体" w:eastAsia="宋体" w:cs="宋体"/>
                <w:sz w:val="22"/>
                <w:szCs w:val="22"/>
                <w:highlight w:val="none"/>
                <w:lang w:val="en-US" w:eastAsia="zh-CN"/>
              </w:rPr>
              <w:t>履约情况（</w:t>
            </w:r>
            <w:r>
              <w:rPr>
                <w:rFonts w:hint="eastAsia" w:eastAsia="宋体" w:cs="宋体"/>
                <w:sz w:val="22"/>
                <w:szCs w:val="22"/>
                <w:highlight w:val="none"/>
                <w:lang w:val="en-US" w:eastAsia="zh-CN"/>
              </w:rPr>
              <w:t>5</w:t>
            </w:r>
            <w:r>
              <w:rPr>
                <w:rFonts w:hint="eastAsia" w:ascii="宋体" w:hAnsi="宋体" w:eastAsia="宋体" w:cs="宋体"/>
                <w:sz w:val="22"/>
                <w:szCs w:val="22"/>
                <w:highlight w:val="none"/>
                <w:lang w:val="en-US" w:eastAsia="zh-CN"/>
              </w:rPr>
              <w:t xml:space="preserve">分） </w:t>
            </w:r>
          </w:p>
          <w:p w14:paraId="717BA2D3">
            <w:pPr>
              <w:spacing w:line="400" w:lineRule="exact"/>
              <w:rPr>
                <w:rFonts w:hint="eastAsia" w:ascii="宋体" w:hAnsi="宋体" w:eastAsia="宋体" w:cs="宋体"/>
                <w:sz w:val="22"/>
                <w:szCs w:val="22"/>
                <w:highlight w:val="none"/>
              </w:rPr>
            </w:pPr>
            <w:r>
              <w:rPr>
                <w:rFonts w:hint="eastAsia" w:eastAsia="宋体" w:cs="宋体"/>
                <w:sz w:val="22"/>
                <w:szCs w:val="22"/>
                <w:highlight w:val="none"/>
                <w:lang w:val="en-US" w:eastAsia="zh-CN"/>
              </w:rPr>
              <w:t>联合体各方均</w:t>
            </w:r>
            <w:r>
              <w:rPr>
                <w:rFonts w:hint="eastAsia" w:ascii="宋体" w:hAnsi="宋体" w:eastAsia="宋体" w:cs="宋体"/>
                <w:sz w:val="22"/>
                <w:szCs w:val="22"/>
                <w:highlight w:val="none"/>
                <w:lang w:val="en-US" w:eastAsia="zh-CN"/>
              </w:rPr>
              <w:t xml:space="preserve">没出现下述情形得满分； </w:t>
            </w:r>
          </w:p>
          <w:p w14:paraId="6EF63EA9">
            <w:pPr>
              <w:spacing w:line="400" w:lineRule="exact"/>
              <w:ind w:firstLine="479" w:firstLineChars="218"/>
              <w:rPr>
                <w:rFonts w:hint="eastAsia" w:ascii="宋体" w:hAnsi="宋体" w:eastAsia="宋体" w:cs="宋体"/>
                <w:sz w:val="22"/>
                <w:szCs w:val="22"/>
                <w:highlight w:val="none"/>
              </w:rPr>
            </w:pPr>
            <w:r>
              <w:rPr>
                <w:rFonts w:hint="eastAsia" w:ascii="宋体" w:hAnsi="宋体" w:eastAsia="宋体" w:cs="宋体"/>
                <w:sz w:val="22"/>
                <w:szCs w:val="22"/>
                <w:highlight w:val="none"/>
                <w:lang w:val="en-US" w:eastAsia="zh-CN"/>
              </w:rPr>
              <w:t xml:space="preserve">投标文件递交截止日前1年内，投标人因公路工程（含附属设施）质量、安全 、履约或招标投标问题等原因被： </w:t>
            </w:r>
          </w:p>
          <w:p w14:paraId="26EEEB4C">
            <w:pPr>
              <w:spacing w:line="400" w:lineRule="exact"/>
              <w:ind w:firstLine="479" w:firstLineChars="218"/>
              <w:rPr>
                <w:rFonts w:hint="eastAsia" w:ascii="宋体" w:hAnsi="宋体" w:eastAsia="宋体" w:cs="宋体"/>
                <w:sz w:val="22"/>
                <w:szCs w:val="22"/>
                <w:highlight w:val="none"/>
              </w:rPr>
            </w:pPr>
            <w:r>
              <w:rPr>
                <w:rFonts w:hint="eastAsia" w:ascii="宋体" w:hAnsi="宋体" w:eastAsia="宋体" w:cs="宋体"/>
                <w:sz w:val="22"/>
                <w:szCs w:val="22"/>
                <w:highlight w:val="none"/>
                <w:lang w:val="en-US" w:eastAsia="zh-CN"/>
              </w:rPr>
              <w:t xml:space="preserve">（1）交通运输部行政处罚的，扣 5 分/次。 </w:t>
            </w:r>
          </w:p>
          <w:p w14:paraId="5A27A9A9">
            <w:pPr>
              <w:spacing w:line="400" w:lineRule="exact"/>
              <w:ind w:firstLine="479" w:firstLineChars="218"/>
              <w:rPr>
                <w:rFonts w:hint="eastAsia" w:ascii="宋体" w:hAnsi="宋体" w:eastAsia="宋体" w:cs="宋体"/>
                <w:sz w:val="22"/>
                <w:szCs w:val="22"/>
                <w:highlight w:val="none"/>
              </w:rPr>
            </w:pPr>
            <w:r>
              <w:rPr>
                <w:rFonts w:hint="eastAsia" w:ascii="宋体" w:hAnsi="宋体" w:eastAsia="宋体" w:cs="宋体"/>
                <w:sz w:val="22"/>
                <w:szCs w:val="22"/>
                <w:highlight w:val="none"/>
                <w:lang w:val="en-US" w:eastAsia="zh-CN"/>
              </w:rPr>
              <w:t xml:space="preserve">（2）广东省交通运输厅行政处罚的，扣 3 分/次。 </w:t>
            </w:r>
          </w:p>
          <w:p w14:paraId="22C39335">
            <w:pPr>
              <w:spacing w:line="400" w:lineRule="exact"/>
              <w:ind w:firstLine="479" w:firstLineChars="218"/>
              <w:rPr>
                <w:rFonts w:hint="eastAsia" w:ascii="宋体" w:hAnsi="宋体" w:eastAsia="宋体" w:cs="宋体"/>
                <w:sz w:val="22"/>
                <w:szCs w:val="22"/>
                <w:highlight w:val="none"/>
              </w:rPr>
            </w:pPr>
            <w:r>
              <w:rPr>
                <w:rFonts w:hint="eastAsia" w:ascii="宋体" w:hAnsi="宋体" w:eastAsia="宋体" w:cs="宋体"/>
                <w:sz w:val="22"/>
                <w:szCs w:val="22"/>
                <w:highlight w:val="none"/>
                <w:lang w:val="en-US" w:eastAsia="zh-CN"/>
              </w:rPr>
              <w:t xml:space="preserve">（3）招标项目所在地地级以上市交通运输局行政处罚的，扣 1.5 分/次。 </w:t>
            </w:r>
          </w:p>
          <w:p w14:paraId="45033DCA">
            <w:pPr>
              <w:spacing w:line="400" w:lineRule="exact"/>
              <w:ind w:firstLine="479" w:firstLineChars="218"/>
              <w:rPr>
                <w:rFonts w:hint="eastAsia" w:ascii="宋体" w:hAnsi="宋体" w:eastAsia="宋体" w:cs="宋体"/>
                <w:sz w:val="22"/>
                <w:szCs w:val="22"/>
                <w:highlight w:val="none"/>
              </w:rPr>
            </w:pPr>
            <w:r>
              <w:rPr>
                <w:rFonts w:hint="eastAsia" w:ascii="宋体" w:hAnsi="宋体" w:eastAsia="宋体" w:cs="宋体"/>
                <w:sz w:val="22"/>
                <w:szCs w:val="22"/>
                <w:highlight w:val="none"/>
                <w:lang w:val="en-US" w:eastAsia="zh-CN"/>
              </w:rPr>
              <w:t xml:space="preserve">（4）广东省交通运输厅正式约谈的，扣 0.1 分/次。 </w:t>
            </w:r>
          </w:p>
          <w:p w14:paraId="788F0125">
            <w:pPr>
              <w:spacing w:line="400" w:lineRule="exact"/>
              <w:rPr>
                <w:rFonts w:hint="eastAsia" w:ascii="宋体" w:hAnsi="宋体" w:eastAsia="宋体" w:cs="宋体"/>
                <w:sz w:val="22"/>
                <w:szCs w:val="22"/>
                <w:highlight w:val="none"/>
              </w:rPr>
            </w:pPr>
            <w:r>
              <w:rPr>
                <w:rFonts w:hint="eastAsia" w:ascii="宋体" w:hAnsi="宋体" w:eastAsia="宋体" w:cs="宋体"/>
                <w:sz w:val="22"/>
                <w:szCs w:val="22"/>
                <w:highlight w:val="none"/>
                <w:lang w:val="en-US" w:eastAsia="zh-CN"/>
              </w:rPr>
              <w:t>同一事项同时被多个部门行政处罚或正式约谈只按最高的扣分计算1次。如果扣完本项分值，可以从总分中扣。</w:t>
            </w:r>
          </w:p>
        </w:tc>
      </w:tr>
      <w:tr w14:paraId="05A11D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5" w:hRule="atLeast"/>
        </w:trPr>
        <w:tc>
          <w:tcPr>
            <w:tcW w:w="9360" w:type="dxa"/>
            <w:gridSpan w:val="9"/>
            <w:noWrap w:val="0"/>
            <w:vAlign w:val="center"/>
          </w:tcPr>
          <w:p w14:paraId="1E02C0BB">
            <w:pPr>
              <w:spacing w:line="400" w:lineRule="exact"/>
              <w:rPr>
                <w:rFonts w:hint="eastAsia" w:ascii="宋体" w:hAnsi="宋体" w:eastAsia="宋体" w:cs="宋体"/>
                <w:b/>
                <w:sz w:val="22"/>
                <w:szCs w:val="22"/>
                <w:highlight w:val="none"/>
              </w:rPr>
            </w:pPr>
            <w:r>
              <w:rPr>
                <w:rFonts w:hint="eastAsia" w:ascii="宋体" w:hAnsi="宋体" w:eastAsia="宋体" w:cs="宋体"/>
                <w:b/>
                <w:sz w:val="22"/>
                <w:szCs w:val="22"/>
                <w:highlight w:val="none"/>
              </w:rPr>
              <w:t>需要补充的其他内容：</w:t>
            </w:r>
          </w:p>
        </w:tc>
      </w:tr>
      <w:tr w14:paraId="334694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5" w:hRule="atLeast"/>
        </w:trPr>
        <w:tc>
          <w:tcPr>
            <w:tcW w:w="993" w:type="dxa"/>
            <w:gridSpan w:val="2"/>
            <w:noWrap w:val="0"/>
            <w:vAlign w:val="center"/>
          </w:tcPr>
          <w:p w14:paraId="133E7B9F">
            <w:pPr>
              <w:spacing w:line="400" w:lineRule="exact"/>
              <w:jc w:val="center"/>
              <w:rPr>
                <w:rFonts w:hint="eastAsia" w:ascii="宋体" w:hAnsi="宋体" w:eastAsia="宋体" w:cs="宋体"/>
                <w:sz w:val="22"/>
                <w:szCs w:val="22"/>
                <w:highlight w:val="none"/>
              </w:rPr>
            </w:pPr>
            <w:r>
              <w:rPr>
                <w:rFonts w:hint="eastAsia" w:ascii="宋体" w:hAnsi="宋体" w:eastAsia="宋体" w:cs="宋体"/>
                <w:sz w:val="22"/>
                <w:szCs w:val="22"/>
                <w:highlight w:val="none"/>
              </w:rPr>
              <w:t>条款号</w:t>
            </w:r>
          </w:p>
        </w:tc>
        <w:tc>
          <w:tcPr>
            <w:tcW w:w="8367" w:type="dxa"/>
            <w:gridSpan w:val="7"/>
            <w:noWrap w:val="0"/>
            <w:vAlign w:val="center"/>
          </w:tcPr>
          <w:p w14:paraId="4B87DC1E">
            <w:pPr>
              <w:spacing w:line="400" w:lineRule="exact"/>
              <w:jc w:val="center"/>
              <w:rPr>
                <w:rFonts w:hint="eastAsia" w:ascii="宋体" w:hAnsi="宋体" w:eastAsia="宋体" w:cs="宋体"/>
                <w:sz w:val="22"/>
                <w:szCs w:val="22"/>
                <w:highlight w:val="none"/>
              </w:rPr>
            </w:pPr>
            <w:r>
              <w:rPr>
                <w:rFonts w:hint="eastAsia" w:ascii="宋体" w:hAnsi="宋体" w:eastAsia="宋体" w:cs="宋体"/>
                <w:sz w:val="22"/>
                <w:szCs w:val="22"/>
                <w:highlight w:val="none"/>
              </w:rPr>
              <w:t>补充或修改的内容</w:t>
            </w:r>
          </w:p>
        </w:tc>
      </w:tr>
      <w:tr w14:paraId="24A548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5" w:hRule="atLeast"/>
        </w:trPr>
        <w:tc>
          <w:tcPr>
            <w:tcW w:w="993" w:type="dxa"/>
            <w:gridSpan w:val="2"/>
            <w:noWrap w:val="0"/>
            <w:vAlign w:val="center"/>
          </w:tcPr>
          <w:p w14:paraId="4C39B11D">
            <w:pPr>
              <w:spacing w:line="400" w:lineRule="exact"/>
              <w:jc w:val="center"/>
              <w:rPr>
                <w:rFonts w:hint="eastAsia" w:ascii="宋体" w:hAnsi="宋体" w:eastAsia="宋体" w:cs="宋体"/>
                <w:sz w:val="22"/>
                <w:szCs w:val="22"/>
                <w:highlight w:val="none"/>
              </w:rPr>
            </w:pPr>
            <w:r>
              <w:rPr>
                <w:rFonts w:hint="eastAsia" w:ascii="宋体" w:hAnsi="宋体" w:eastAsia="宋体" w:cs="宋体"/>
                <w:sz w:val="22"/>
                <w:szCs w:val="22"/>
                <w:highlight w:val="none"/>
              </w:rPr>
              <w:t>1</w:t>
            </w:r>
          </w:p>
        </w:tc>
        <w:tc>
          <w:tcPr>
            <w:tcW w:w="8367" w:type="dxa"/>
            <w:gridSpan w:val="7"/>
            <w:noWrap w:val="0"/>
            <w:vAlign w:val="center"/>
          </w:tcPr>
          <w:p w14:paraId="10BDD362">
            <w:pPr>
              <w:spacing w:line="400" w:lineRule="exact"/>
              <w:ind w:firstLine="479" w:firstLineChars="218"/>
              <w:rPr>
                <w:rFonts w:hint="eastAsia" w:ascii="宋体" w:hAnsi="宋体" w:eastAsia="宋体" w:cs="宋体"/>
                <w:sz w:val="22"/>
                <w:szCs w:val="22"/>
                <w:highlight w:val="none"/>
              </w:rPr>
            </w:pPr>
            <w:r>
              <w:rPr>
                <w:rFonts w:hint="eastAsia" w:ascii="宋体" w:hAnsi="宋体" w:eastAsia="宋体" w:cs="宋体"/>
                <w:sz w:val="22"/>
                <w:szCs w:val="22"/>
                <w:highlight w:val="none"/>
                <w:lang w:val="en-US" w:eastAsia="zh-CN"/>
              </w:rPr>
              <w:t xml:space="preserve">评标办法范本原文增加 3.9.3 款-3.9.6 款: </w:t>
            </w:r>
          </w:p>
          <w:p w14:paraId="3F243822">
            <w:pPr>
              <w:spacing w:line="400" w:lineRule="exact"/>
              <w:ind w:firstLine="479" w:firstLineChars="218"/>
              <w:rPr>
                <w:rFonts w:hint="eastAsia" w:ascii="宋体" w:hAnsi="宋体" w:eastAsia="宋体" w:cs="宋体"/>
                <w:sz w:val="22"/>
                <w:szCs w:val="22"/>
                <w:highlight w:val="none"/>
              </w:rPr>
            </w:pPr>
            <w:r>
              <w:rPr>
                <w:rFonts w:hint="eastAsia" w:ascii="宋体" w:hAnsi="宋体" w:eastAsia="宋体" w:cs="宋体"/>
                <w:sz w:val="22"/>
                <w:szCs w:val="22"/>
                <w:highlight w:val="none"/>
                <w:lang w:val="en-US" w:eastAsia="zh-CN"/>
              </w:rPr>
              <w:t xml:space="preserve">3.9.3 推荐中标候选人方式:按综合评分得分由高低顺序依次选定中标候选人，如果出现多个投标人综合评分相等时，由评标委员会依照评标办法前附表1评标办法规定推荐中标候选人。 </w:t>
            </w:r>
          </w:p>
          <w:p w14:paraId="36CFB0C2">
            <w:pPr>
              <w:spacing w:line="400" w:lineRule="exact"/>
              <w:ind w:firstLine="479" w:firstLineChars="218"/>
              <w:rPr>
                <w:rFonts w:hint="eastAsia" w:ascii="宋体" w:hAnsi="宋体" w:eastAsia="宋体" w:cs="宋体"/>
                <w:sz w:val="22"/>
                <w:szCs w:val="22"/>
                <w:highlight w:val="none"/>
              </w:rPr>
            </w:pPr>
            <w:r>
              <w:rPr>
                <w:rFonts w:hint="eastAsia" w:ascii="宋体" w:hAnsi="宋体" w:eastAsia="宋体" w:cs="宋体"/>
                <w:sz w:val="22"/>
                <w:szCs w:val="22"/>
                <w:highlight w:val="none"/>
                <w:lang w:val="en-US" w:eastAsia="zh-CN"/>
              </w:rPr>
              <w:t xml:space="preserve">3.9.4 通过第一信封商务文件和技术文件评审的投标人少于3个的，评标委员会可以否决全部投标:未否决全部投标的，评标委员会应当在评标报告中阐明理由，招标人应当按照招标文件规定的程序进行第二信封报价文件开标，但评标委员会在进行报价文件评审时仍有权否决全部投标:评标委员会未在报价文件评审时否决全部投标的，应当在评标报告中阐明理由并推荐中标候选人。 </w:t>
            </w:r>
          </w:p>
          <w:p w14:paraId="7A93566F">
            <w:pPr>
              <w:spacing w:line="400" w:lineRule="exact"/>
              <w:ind w:firstLine="479" w:firstLineChars="218"/>
              <w:rPr>
                <w:rFonts w:hint="eastAsia" w:ascii="宋体" w:hAnsi="宋体" w:eastAsia="宋体" w:cs="宋体"/>
                <w:sz w:val="22"/>
                <w:szCs w:val="22"/>
                <w:highlight w:val="none"/>
              </w:rPr>
            </w:pPr>
            <w:r>
              <w:rPr>
                <w:rFonts w:hint="eastAsia" w:ascii="宋体" w:hAnsi="宋体" w:eastAsia="宋体" w:cs="宋体"/>
                <w:sz w:val="22"/>
                <w:szCs w:val="22"/>
                <w:highlight w:val="none"/>
                <w:lang w:val="en-US" w:eastAsia="zh-CN"/>
              </w:rPr>
              <w:t xml:space="preserve">3.9.5 通过第一信封商务文件和技术文件评审的投标人在3个及以上的，招标人应当按照招标文件规定的程序进行第二信封报价文件开标:在对报价文件进行评审后，有效投标不足3个的，评标委员会可以否决全部投标。未否决全部投标的，评标委员会应当在评标报告中阐明理由并推荐中标候选人。 </w:t>
            </w:r>
          </w:p>
          <w:p w14:paraId="4233F67E">
            <w:pPr>
              <w:spacing w:line="400" w:lineRule="exact"/>
              <w:ind w:firstLine="479" w:firstLineChars="218"/>
              <w:rPr>
                <w:rFonts w:hint="eastAsia" w:ascii="宋体" w:hAnsi="宋体" w:eastAsia="宋体" w:cs="宋体"/>
                <w:sz w:val="22"/>
                <w:szCs w:val="22"/>
                <w:highlight w:val="none"/>
              </w:rPr>
            </w:pPr>
            <w:r>
              <w:rPr>
                <w:rFonts w:hint="eastAsia" w:ascii="宋体" w:hAnsi="宋体" w:eastAsia="宋体" w:cs="宋体"/>
                <w:sz w:val="22"/>
                <w:szCs w:val="22"/>
                <w:highlight w:val="none"/>
                <w:lang w:val="en-US" w:eastAsia="zh-CN"/>
              </w:rPr>
              <w:t>3.9.6如果发生无法确定推荐中标候选人的其他意外情况，评标委员会可建议招标人重新招标。</w:t>
            </w:r>
          </w:p>
        </w:tc>
      </w:tr>
    </w:tbl>
    <w:p w14:paraId="0736C9C2">
      <w:pPr>
        <w:rPr>
          <w:highlight w:val="none"/>
        </w:rPr>
      </w:pPr>
    </w:p>
    <w:p w14:paraId="19A7829E">
      <w:pPr>
        <w:pStyle w:val="3"/>
        <w:snapToGrid w:val="0"/>
        <w:spacing w:before="0"/>
        <w:ind w:left="440" w:leftChars="200" w:right="0"/>
        <w:rPr>
          <w:sz w:val="28"/>
          <w:highlight w:val="none"/>
        </w:rPr>
      </w:pPr>
    </w:p>
    <w:p w14:paraId="1FB2852B">
      <w:pPr>
        <w:pStyle w:val="3"/>
        <w:snapToGrid w:val="0"/>
        <w:spacing w:before="0"/>
        <w:ind w:left="440" w:leftChars="200" w:right="0"/>
        <w:rPr>
          <w:sz w:val="28"/>
          <w:highlight w:val="none"/>
        </w:rPr>
      </w:pPr>
    </w:p>
    <w:p w14:paraId="3052B304">
      <w:pPr>
        <w:keepNext w:val="0"/>
        <w:keepLines w:val="0"/>
        <w:widowControl/>
        <w:suppressLineNumbers w:val="0"/>
        <w:spacing w:line="360" w:lineRule="auto"/>
        <w:jc w:val="left"/>
        <w:rPr>
          <w:rFonts w:hint="eastAsia" w:ascii="宋体" w:hAnsi="宋体" w:eastAsia="宋体" w:cs="宋体"/>
          <w:sz w:val="20"/>
          <w:szCs w:val="20"/>
          <w:highlight w:val="none"/>
        </w:rPr>
      </w:pPr>
      <w:r>
        <w:rPr>
          <w:rFonts w:hint="eastAsia" w:ascii="宋体" w:hAnsi="宋体" w:eastAsia="宋体" w:cs="宋体"/>
          <w:b/>
          <w:bCs/>
          <w:color w:val="000000"/>
          <w:kern w:val="0"/>
          <w:sz w:val="20"/>
          <w:szCs w:val="20"/>
          <w:highlight w:val="none"/>
          <w:lang w:val="en-US" w:eastAsia="zh-CN" w:bidi="ar"/>
        </w:rPr>
        <w:t xml:space="preserve">1.评标方法、组织及工作程序 </w:t>
      </w:r>
    </w:p>
    <w:p w14:paraId="4994D156">
      <w:pPr>
        <w:keepNext w:val="0"/>
        <w:keepLines w:val="0"/>
        <w:widowControl/>
        <w:suppressLineNumbers w:val="0"/>
        <w:spacing w:line="360" w:lineRule="auto"/>
        <w:jc w:val="left"/>
        <w:rPr>
          <w:rFonts w:hint="eastAsia" w:ascii="宋体" w:hAnsi="宋体" w:eastAsia="宋体" w:cs="宋体"/>
          <w:sz w:val="20"/>
          <w:szCs w:val="20"/>
          <w:highlight w:val="none"/>
        </w:rPr>
      </w:pPr>
      <w:r>
        <w:rPr>
          <w:rFonts w:hint="eastAsia" w:ascii="宋体" w:hAnsi="宋体" w:eastAsia="宋体" w:cs="宋体"/>
          <w:b/>
          <w:bCs/>
          <w:color w:val="000000"/>
          <w:kern w:val="0"/>
          <w:sz w:val="20"/>
          <w:szCs w:val="20"/>
          <w:highlight w:val="none"/>
          <w:lang w:val="en-US" w:eastAsia="zh-CN" w:bidi="ar"/>
        </w:rPr>
        <w:t xml:space="preserve">1.1 评标方法 </w:t>
      </w:r>
    </w:p>
    <w:p w14:paraId="3AC3A4DC">
      <w:pPr>
        <w:keepNext w:val="0"/>
        <w:keepLines w:val="0"/>
        <w:widowControl/>
        <w:suppressLineNumbers w:val="0"/>
        <w:spacing w:line="360" w:lineRule="auto"/>
        <w:ind w:firstLine="400" w:firstLineChars="200"/>
        <w:jc w:val="left"/>
        <w:rPr>
          <w:rFonts w:hint="eastAsia" w:ascii="宋体" w:hAnsi="宋体" w:eastAsia="宋体" w:cs="宋体"/>
          <w:sz w:val="20"/>
          <w:szCs w:val="20"/>
          <w:highlight w:val="none"/>
        </w:rPr>
      </w:pPr>
      <w:r>
        <w:rPr>
          <w:rFonts w:hint="eastAsia" w:ascii="宋体" w:hAnsi="宋体" w:eastAsia="宋体" w:cs="宋体"/>
          <w:color w:val="000000"/>
          <w:kern w:val="0"/>
          <w:sz w:val="20"/>
          <w:szCs w:val="20"/>
          <w:highlight w:val="none"/>
          <w:lang w:val="en-US" w:eastAsia="zh-CN" w:bidi="ar"/>
        </w:rPr>
        <w:t xml:space="preserve">本次评标采用双信封的综合评分法。评标委员会对满足招标文件实质性要求的投标文件，按照本章第2.2款规定的评分标准进行打分，并按综合得分由高到低顺序推荐中标候选人，但投标报价低于其成本的除外。综合得分相等时，评标委员会应按照评标办法前附表规定的优先次序推荐中标候选人或确定中标人。 </w:t>
      </w:r>
    </w:p>
    <w:p w14:paraId="050E39C4">
      <w:pPr>
        <w:keepNext w:val="0"/>
        <w:keepLines w:val="0"/>
        <w:widowControl/>
        <w:suppressLineNumbers w:val="0"/>
        <w:spacing w:line="360" w:lineRule="auto"/>
        <w:jc w:val="left"/>
        <w:rPr>
          <w:rFonts w:hint="eastAsia" w:ascii="宋体" w:hAnsi="宋体" w:eastAsia="宋体" w:cs="宋体"/>
          <w:sz w:val="20"/>
          <w:szCs w:val="20"/>
          <w:highlight w:val="none"/>
        </w:rPr>
      </w:pPr>
      <w:r>
        <w:rPr>
          <w:rFonts w:hint="eastAsia" w:ascii="宋体" w:hAnsi="宋体" w:eastAsia="宋体" w:cs="宋体"/>
          <w:b/>
          <w:bCs/>
          <w:color w:val="000000"/>
          <w:kern w:val="0"/>
          <w:sz w:val="20"/>
          <w:szCs w:val="20"/>
          <w:highlight w:val="none"/>
          <w:lang w:val="en-US" w:eastAsia="zh-CN" w:bidi="ar"/>
        </w:rPr>
        <w:t xml:space="preserve">1.2 评标组织 </w:t>
      </w:r>
    </w:p>
    <w:p w14:paraId="50AF01A2">
      <w:pPr>
        <w:keepNext w:val="0"/>
        <w:keepLines w:val="0"/>
        <w:widowControl/>
        <w:suppressLineNumbers w:val="0"/>
        <w:spacing w:line="360" w:lineRule="auto"/>
        <w:ind w:firstLine="200" w:firstLineChars="100"/>
        <w:jc w:val="left"/>
        <w:rPr>
          <w:rFonts w:hint="eastAsia" w:ascii="宋体" w:hAnsi="宋体" w:eastAsia="宋体" w:cs="宋体"/>
          <w:sz w:val="20"/>
          <w:szCs w:val="20"/>
          <w:highlight w:val="none"/>
        </w:rPr>
      </w:pPr>
      <w:r>
        <w:rPr>
          <w:rFonts w:hint="eastAsia" w:ascii="宋体" w:hAnsi="宋体" w:eastAsia="宋体" w:cs="宋体"/>
          <w:color w:val="000000"/>
          <w:kern w:val="0"/>
          <w:sz w:val="20"/>
          <w:szCs w:val="20"/>
          <w:highlight w:val="none"/>
          <w:lang w:val="en-US" w:eastAsia="zh-CN" w:bidi="ar"/>
        </w:rPr>
        <w:t xml:space="preserve">1.2.1 协助工作组 </w:t>
      </w:r>
    </w:p>
    <w:p w14:paraId="6E1C6F40">
      <w:pPr>
        <w:keepNext w:val="0"/>
        <w:keepLines w:val="0"/>
        <w:widowControl/>
        <w:suppressLineNumbers w:val="0"/>
        <w:spacing w:line="360" w:lineRule="auto"/>
        <w:ind w:firstLine="400" w:firstLineChars="200"/>
        <w:jc w:val="left"/>
        <w:rPr>
          <w:rFonts w:hint="eastAsia" w:ascii="宋体" w:hAnsi="宋体" w:eastAsia="宋体" w:cs="宋体"/>
          <w:sz w:val="20"/>
          <w:szCs w:val="20"/>
          <w:highlight w:val="none"/>
        </w:rPr>
      </w:pPr>
      <w:r>
        <w:rPr>
          <w:rFonts w:hint="eastAsia" w:ascii="宋体" w:hAnsi="宋体" w:eastAsia="宋体" w:cs="宋体"/>
          <w:color w:val="000000"/>
          <w:kern w:val="0"/>
          <w:sz w:val="20"/>
          <w:szCs w:val="20"/>
          <w:highlight w:val="none"/>
          <w:lang w:val="en-US" w:eastAsia="zh-CN" w:bidi="ar"/>
        </w:rPr>
        <w:t xml:space="preserve">招标人可在评标工作开始前成立协助工作组，选派熟悉招标工作、政治素质高的人员组成，协助评标委员会工作。协助工作组人员的具体数量由招标人视评标工作量确定。招标人可以协助评标委员会开展下列工作并提供相关信息： </w:t>
      </w:r>
    </w:p>
    <w:p w14:paraId="6141A3F6">
      <w:pPr>
        <w:keepNext w:val="0"/>
        <w:keepLines w:val="0"/>
        <w:widowControl/>
        <w:suppressLineNumbers w:val="0"/>
        <w:spacing w:line="360" w:lineRule="auto"/>
        <w:jc w:val="left"/>
        <w:rPr>
          <w:rFonts w:hint="eastAsia" w:ascii="宋体" w:hAnsi="宋体" w:eastAsia="宋体" w:cs="宋体"/>
          <w:sz w:val="20"/>
          <w:szCs w:val="20"/>
          <w:highlight w:val="none"/>
        </w:rPr>
      </w:pPr>
      <w:r>
        <w:rPr>
          <w:rFonts w:hint="eastAsia" w:ascii="宋体" w:hAnsi="宋体" w:eastAsia="宋体" w:cs="宋体"/>
          <w:color w:val="000000"/>
          <w:kern w:val="0"/>
          <w:sz w:val="20"/>
          <w:szCs w:val="20"/>
          <w:highlight w:val="none"/>
          <w:lang w:val="en-US" w:eastAsia="zh-CN" w:bidi="ar"/>
        </w:rPr>
        <w:t xml:space="preserve">（1）根据招标文件，编制评标使用的相应表格； </w:t>
      </w:r>
    </w:p>
    <w:p w14:paraId="74F001B3">
      <w:pPr>
        <w:keepNext w:val="0"/>
        <w:keepLines w:val="0"/>
        <w:widowControl/>
        <w:suppressLineNumbers w:val="0"/>
        <w:spacing w:line="360" w:lineRule="auto"/>
        <w:jc w:val="left"/>
        <w:rPr>
          <w:rFonts w:hint="eastAsia" w:ascii="宋体" w:hAnsi="宋体" w:eastAsia="宋体" w:cs="宋体"/>
          <w:sz w:val="20"/>
          <w:szCs w:val="20"/>
          <w:highlight w:val="none"/>
        </w:rPr>
      </w:pPr>
      <w:r>
        <w:rPr>
          <w:rFonts w:hint="eastAsia" w:ascii="宋体" w:hAnsi="宋体" w:eastAsia="宋体" w:cs="宋体"/>
          <w:color w:val="000000"/>
          <w:kern w:val="0"/>
          <w:sz w:val="20"/>
          <w:szCs w:val="20"/>
          <w:highlight w:val="none"/>
          <w:lang w:val="en-US" w:eastAsia="zh-CN" w:bidi="ar"/>
        </w:rPr>
        <w:t xml:space="preserve">（2）对投标报价进行算术性校核； </w:t>
      </w:r>
    </w:p>
    <w:p w14:paraId="0F586B50">
      <w:pPr>
        <w:keepNext w:val="0"/>
        <w:keepLines w:val="0"/>
        <w:widowControl/>
        <w:suppressLineNumbers w:val="0"/>
        <w:spacing w:line="360" w:lineRule="auto"/>
        <w:jc w:val="left"/>
        <w:rPr>
          <w:rFonts w:hint="eastAsia" w:ascii="宋体" w:hAnsi="宋体" w:eastAsia="宋体" w:cs="宋体"/>
          <w:sz w:val="20"/>
          <w:szCs w:val="20"/>
          <w:highlight w:val="none"/>
        </w:rPr>
      </w:pPr>
      <w:r>
        <w:rPr>
          <w:rFonts w:hint="eastAsia" w:ascii="宋体" w:hAnsi="宋体" w:eastAsia="宋体" w:cs="宋体"/>
          <w:color w:val="000000"/>
          <w:kern w:val="0"/>
          <w:sz w:val="20"/>
          <w:szCs w:val="20"/>
          <w:highlight w:val="none"/>
          <w:lang w:val="en-US" w:eastAsia="zh-CN" w:bidi="ar"/>
        </w:rPr>
        <w:t xml:space="preserve">（3）以评标标准和方法为依据，列出投标文件相对于招标文件的所有偏差，并进行归类汇总； </w:t>
      </w:r>
    </w:p>
    <w:p w14:paraId="33D1E9AC">
      <w:pPr>
        <w:keepNext w:val="0"/>
        <w:keepLines w:val="0"/>
        <w:widowControl/>
        <w:suppressLineNumbers w:val="0"/>
        <w:spacing w:line="360" w:lineRule="auto"/>
        <w:jc w:val="left"/>
        <w:rPr>
          <w:rFonts w:hint="eastAsia" w:ascii="宋体" w:hAnsi="宋体" w:eastAsia="宋体" w:cs="宋体"/>
          <w:sz w:val="20"/>
          <w:szCs w:val="20"/>
          <w:highlight w:val="none"/>
        </w:rPr>
      </w:pPr>
      <w:r>
        <w:rPr>
          <w:rFonts w:hint="eastAsia" w:ascii="宋体" w:hAnsi="宋体" w:eastAsia="宋体" w:cs="宋体"/>
          <w:color w:val="000000"/>
          <w:kern w:val="0"/>
          <w:sz w:val="20"/>
          <w:szCs w:val="20"/>
          <w:highlight w:val="none"/>
          <w:lang w:val="en-US" w:eastAsia="zh-CN" w:bidi="ar"/>
        </w:rPr>
        <w:t xml:space="preserve">（4）查询公路建设市场信用信息管理系统及相关网站，对投标人的资质、业绩、主要人员资历和目前在岗情况进行核实（如需）。招标人不得对投标文件作出任何评价，不得故意遗漏或者片面摘录，不得在评标委员会对所有偏差定性之前透露存有偏差的投标人名称。 </w:t>
      </w:r>
    </w:p>
    <w:p w14:paraId="74228E92">
      <w:pPr>
        <w:keepNext w:val="0"/>
        <w:keepLines w:val="0"/>
        <w:widowControl/>
        <w:suppressLineNumbers w:val="0"/>
        <w:spacing w:line="360" w:lineRule="auto"/>
        <w:ind w:firstLine="200" w:firstLineChars="100"/>
        <w:jc w:val="left"/>
        <w:rPr>
          <w:rFonts w:hint="eastAsia" w:ascii="宋体" w:hAnsi="宋体" w:eastAsia="宋体" w:cs="宋体"/>
          <w:sz w:val="20"/>
          <w:szCs w:val="20"/>
          <w:highlight w:val="none"/>
        </w:rPr>
      </w:pPr>
      <w:r>
        <w:rPr>
          <w:rFonts w:hint="eastAsia" w:ascii="宋体" w:hAnsi="宋体" w:eastAsia="宋体" w:cs="宋体"/>
          <w:color w:val="000000"/>
          <w:kern w:val="0"/>
          <w:sz w:val="20"/>
          <w:szCs w:val="20"/>
          <w:highlight w:val="none"/>
          <w:lang w:val="en-US" w:eastAsia="zh-CN" w:bidi="ar"/>
        </w:rPr>
        <w:t xml:space="preserve">1.2.2 评标委员会 </w:t>
      </w:r>
    </w:p>
    <w:p w14:paraId="144B18BC">
      <w:pPr>
        <w:keepNext w:val="0"/>
        <w:keepLines w:val="0"/>
        <w:widowControl/>
        <w:suppressLineNumbers w:val="0"/>
        <w:spacing w:line="360" w:lineRule="auto"/>
        <w:ind w:firstLine="400" w:firstLineChars="200"/>
        <w:jc w:val="left"/>
        <w:rPr>
          <w:rFonts w:hint="eastAsia" w:ascii="宋体" w:hAnsi="宋体" w:eastAsia="宋体" w:cs="宋体"/>
          <w:sz w:val="20"/>
          <w:szCs w:val="20"/>
          <w:highlight w:val="none"/>
        </w:rPr>
      </w:pPr>
      <w:r>
        <w:rPr>
          <w:rFonts w:hint="eastAsia" w:ascii="宋体" w:hAnsi="宋体" w:eastAsia="宋体" w:cs="宋体"/>
          <w:color w:val="000000"/>
          <w:kern w:val="0"/>
          <w:sz w:val="20"/>
          <w:szCs w:val="20"/>
          <w:highlight w:val="none"/>
          <w:lang w:val="en-US" w:eastAsia="zh-CN" w:bidi="ar"/>
        </w:rPr>
        <w:t xml:space="preserve">评标委员会由招标人按国家、广东省等的有关规定依法组建。评标委员会的主要工作内容包括： </w:t>
      </w:r>
    </w:p>
    <w:p w14:paraId="2D35211C">
      <w:pPr>
        <w:keepNext w:val="0"/>
        <w:keepLines w:val="0"/>
        <w:widowControl/>
        <w:suppressLineNumbers w:val="0"/>
        <w:spacing w:line="360" w:lineRule="auto"/>
        <w:jc w:val="left"/>
        <w:rPr>
          <w:rFonts w:hint="eastAsia" w:ascii="宋体" w:hAnsi="宋体" w:eastAsia="宋体" w:cs="宋体"/>
          <w:sz w:val="20"/>
          <w:szCs w:val="20"/>
          <w:highlight w:val="none"/>
        </w:rPr>
      </w:pPr>
      <w:r>
        <w:rPr>
          <w:rFonts w:hint="eastAsia" w:ascii="宋体" w:hAnsi="宋体" w:eastAsia="宋体" w:cs="宋体"/>
          <w:color w:val="000000"/>
          <w:kern w:val="0"/>
          <w:sz w:val="20"/>
          <w:szCs w:val="20"/>
          <w:highlight w:val="none"/>
          <w:lang w:val="en-US" w:eastAsia="zh-CN" w:bidi="ar"/>
        </w:rPr>
        <w:t xml:space="preserve">（1）评标委员会开始评标工作之前，首先听取招标人、协助工作组关于工程情况和辅助工作的 </w:t>
      </w:r>
    </w:p>
    <w:p w14:paraId="75843DF9">
      <w:pPr>
        <w:keepNext w:val="0"/>
        <w:keepLines w:val="0"/>
        <w:widowControl/>
        <w:suppressLineNumbers w:val="0"/>
        <w:spacing w:line="360" w:lineRule="auto"/>
        <w:jc w:val="left"/>
        <w:rPr>
          <w:rFonts w:hint="eastAsia" w:ascii="宋体" w:hAnsi="宋体" w:eastAsia="宋体" w:cs="宋体"/>
          <w:sz w:val="20"/>
          <w:szCs w:val="20"/>
          <w:highlight w:val="none"/>
        </w:rPr>
      </w:pPr>
      <w:r>
        <w:rPr>
          <w:rFonts w:hint="eastAsia" w:ascii="宋体" w:hAnsi="宋体" w:eastAsia="宋体" w:cs="宋体"/>
          <w:color w:val="000000"/>
          <w:kern w:val="0"/>
          <w:sz w:val="20"/>
          <w:szCs w:val="20"/>
          <w:highlight w:val="none"/>
          <w:lang w:val="en-US" w:eastAsia="zh-CN" w:bidi="ar"/>
        </w:rPr>
        <w:t xml:space="preserve">说明，并认真研读招标文件，获取评标所需的重要信息和数据； </w:t>
      </w:r>
    </w:p>
    <w:p w14:paraId="63C8CB41">
      <w:pPr>
        <w:keepNext w:val="0"/>
        <w:keepLines w:val="0"/>
        <w:widowControl/>
        <w:suppressLineNumbers w:val="0"/>
        <w:spacing w:line="360" w:lineRule="auto"/>
        <w:jc w:val="left"/>
        <w:rPr>
          <w:rFonts w:hint="eastAsia" w:ascii="宋体" w:hAnsi="宋体" w:eastAsia="宋体" w:cs="宋体"/>
          <w:sz w:val="20"/>
          <w:szCs w:val="20"/>
          <w:highlight w:val="none"/>
        </w:rPr>
      </w:pPr>
      <w:r>
        <w:rPr>
          <w:rFonts w:hint="eastAsia" w:ascii="宋体" w:hAnsi="宋体" w:eastAsia="宋体" w:cs="宋体"/>
          <w:color w:val="000000"/>
          <w:kern w:val="0"/>
          <w:sz w:val="20"/>
          <w:szCs w:val="20"/>
          <w:highlight w:val="none"/>
          <w:lang w:val="en-US" w:eastAsia="zh-CN" w:bidi="ar"/>
        </w:rPr>
        <w:t xml:space="preserve">（2）对协助工作组提供的评标工作用表和评标内容进行核查。 </w:t>
      </w:r>
    </w:p>
    <w:p w14:paraId="3C4A5DE3">
      <w:pPr>
        <w:keepNext w:val="0"/>
        <w:keepLines w:val="0"/>
        <w:widowControl/>
        <w:suppressLineNumbers w:val="0"/>
        <w:spacing w:line="360" w:lineRule="auto"/>
        <w:jc w:val="left"/>
        <w:rPr>
          <w:rFonts w:hint="eastAsia" w:ascii="宋体" w:hAnsi="宋体" w:eastAsia="宋体" w:cs="宋体"/>
          <w:sz w:val="20"/>
          <w:szCs w:val="20"/>
          <w:highlight w:val="none"/>
        </w:rPr>
      </w:pPr>
      <w:r>
        <w:rPr>
          <w:rFonts w:hint="eastAsia" w:ascii="宋体" w:hAnsi="宋体" w:eastAsia="宋体" w:cs="宋体"/>
          <w:color w:val="000000"/>
          <w:kern w:val="0"/>
          <w:sz w:val="20"/>
          <w:szCs w:val="20"/>
          <w:highlight w:val="none"/>
          <w:lang w:val="en-US" w:eastAsia="zh-CN" w:bidi="ar"/>
        </w:rPr>
        <w:t xml:space="preserve">（3）按照以下1.3款程序进行各项评审工作。 </w:t>
      </w:r>
    </w:p>
    <w:p w14:paraId="6F48F637">
      <w:pPr>
        <w:keepNext w:val="0"/>
        <w:keepLines w:val="0"/>
        <w:widowControl/>
        <w:suppressLineNumbers w:val="0"/>
        <w:spacing w:line="360" w:lineRule="auto"/>
        <w:jc w:val="left"/>
        <w:rPr>
          <w:rFonts w:hint="eastAsia" w:ascii="宋体" w:hAnsi="宋体" w:eastAsia="宋体" w:cs="宋体"/>
          <w:sz w:val="20"/>
          <w:szCs w:val="20"/>
          <w:highlight w:val="none"/>
        </w:rPr>
      </w:pPr>
      <w:r>
        <w:rPr>
          <w:rFonts w:hint="eastAsia" w:ascii="宋体" w:hAnsi="宋体" w:eastAsia="宋体" w:cs="宋体"/>
          <w:b/>
          <w:bCs/>
          <w:color w:val="000000"/>
          <w:kern w:val="0"/>
          <w:sz w:val="20"/>
          <w:szCs w:val="20"/>
          <w:highlight w:val="none"/>
          <w:lang w:val="en-US" w:eastAsia="zh-CN" w:bidi="ar"/>
        </w:rPr>
        <w:t xml:space="preserve">1.3 评审工作程序 </w:t>
      </w:r>
    </w:p>
    <w:p w14:paraId="3ED8191C">
      <w:pPr>
        <w:keepNext w:val="0"/>
        <w:keepLines w:val="0"/>
        <w:widowControl/>
        <w:suppressLineNumbers w:val="0"/>
        <w:spacing w:line="360" w:lineRule="auto"/>
        <w:ind w:firstLine="200" w:firstLineChars="100"/>
        <w:jc w:val="left"/>
        <w:rPr>
          <w:rFonts w:hint="eastAsia" w:ascii="宋体" w:hAnsi="宋体" w:eastAsia="宋体" w:cs="宋体"/>
          <w:sz w:val="20"/>
          <w:szCs w:val="20"/>
          <w:highlight w:val="none"/>
        </w:rPr>
      </w:pPr>
      <w:r>
        <w:rPr>
          <w:rFonts w:hint="eastAsia" w:ascii="宋体" w:hAnsi="宋体" w:eastAsia="宋体" w:cs="宋体"/>
          <w:color w:val="000000"/>
          <w:kern w:val="0"/>
          <w:sz w:val="20"/>
          <w:szCs w:val="20"/>
          <w:highlight w:val="none"/>
          <w:lang w:val="en-US" w:eastAsia="zh-CN" w:bidi="ar"/>
        </w:rPr>
        <w:t xml:space="preserve">1.3.1第一个信封（商务及技术文件）： </w:t>
      </w:r>
    </w:p>
    <w:p w14:paraId="25294A3B">
      <w:pPr>
        <w:keepNext w:val="0"/>
        <w:keepLines w:val="0"/>
        <w:widowControl/>
        <w:suppressLineNumbers w:val="0"/>
        <w:spacing w:line="360" w:lineRule="auto"/>
        <w:jc w:val="left"/>
        <w:rPr>
          <w:rFonts w:hint="eastAsia" w:ascii="宋体" w:hAnsi="宋体" w:eastAsia="宋体" w:cs="宋体"/>
          <w:sz w:val="20"/>
          <w:szCs w:val="20"/>
          <w:highlight w:val="none"/>
        </w:rPr>
      </w:pPr>
      <w:r>
        <w:rPr>
          <w:rFonts w:hint="eastAsia" w:ascii="宋体" w:hAnsi="宋体" w:eastAsia="宋体" w:cs="宋体"/>
          <w:color w:val="000000"/>
          <w:kern w:val="0"/>
          <w:sz w:val="20"/>
          <w:szCs w:val="20"/>
          <w:highlight w:val="none"/>
          <w:lang w:val="en-US" w:eastAsia="zh-CN" w:bidi="ar"/>
        </w:rPr>
        <w:t xml:space="preserve">（l）初步评审：包括形式评审与响应性评审、资格评审； </w:t>
      </w:r>
    </w:p>
    <w:p w14:paraId="219716A7">
      <w:pPr>
        <w:keepNext w:val="0"/>
        <w:keepLines w:val="0"/>
        <w:widowControl/>
        <w:suppressLineNumbers w:val="0"/>
        <w:spacing w:line="360" w:lineRule="auto"/>
        <w:jc w:val="left"/>
        <w:rPr>
          <w:rFonts w:hint="eastAsia" w:ascii="宋体" w:hAnsi="宋体" w:eastAsia="宋体" w:cs="宋体"/>
          <w:sz w:val="20"/>
          <w:szCs w:val="20"/>
          <w:highlight w:val="none"/>
        </w:rPr>
      </w:pPr>
      <w:r>
        <w:rPr>
          <w:rFonts w:hint="eastAsia" w:ascii="宋体" w:hAnsi="宋体" w:eastAsia="宋体" w:cs="宋体"/>
          <w:color w:val="000000"/>
          <w:kern w:val="0"/>
          <w:sz w:val="20"/>
          <w:szCs w:val="20"/>
          <w:highlight w:val="none"/>
          <w:lang w:val="en-US" w:eastAsia="zh-CN" w:bidi="ar"/>
        </w:rPr>
        <w:t xml:space="preserve">（2）详细评审（评审打分）：评标委员会首先对通过初步评审的投标文件第一个信封（商务及技术文件）进行详细评审，对投标人的总承包方案、项目管理机构、其他评分因素等分别评审打分。 </w:t>
      </w:r>
    </w:p>
    <w:p w14:paraId="45C3F1E1">
      <w:pPr>
        <w:keepNext w:val="0"/>
        <w:keepLines w:val="0"/>
        <w:widowControl/>
        <w:suppressLineNumbers w:val="0"/>
        <w:spacing w:line="360" w:lineRule="auto"/>
        <w:ind w:firstLine="200" w:firstLineChars="100"/>
        <w:jc w:val="left"/>
        <w:rPr>
          <w:rFonts w:hint="eastAsia" w:ascii="宋体" w:hAnsi="宋体" w:eastAsia="宋体" w:cs="宋体"/>
          <w:sz w:val="20"/>
          <w:szCs w:val="20"/>
          <w:highlight w:val="none"/>
        </w:rPr>
      </w:pPr>
      <w:r>
        <w:rPr>
          <w:rFonts w:hint="eastAsia" w:ascii="宋体" w:hAnsi="宋体" w:eastAsia="宋体" w:cs="宋体"/>
          <w:color w:val="000000"/>
          <w:kern w:val="0"/>
          <w:sz w:val="20"/>
          <w:szCs w:val="20"/>
          <w:highlight w:val="none"/>
          <w:lang w:val="en-US" w:eastAsia="zh-CN" w:bidi="ar"/>
        </w:rPr>
        <w:t xml:space="preserve">1.3.2第二个信封（报价文件）： </w:t>
      </w:r>
    </w:p>
    <w:p w14:paraId="2A745B4E">
      <w:pPr>
        <w:keepNext w:val="0"/>
        <w:keepLines w:val="0"/>
        <w:widowControl/>
        <w:suppressLineNumbers w:val="0"/>
        <w:spacing w:line="360" w:lineRule="auto"/>
        <w:jc w:val="left"/>
        <w:rPr>
          <w:rFonts w:hint="eastAsia" w:ascii="宋体" w:hAnsi="宋体" w:eastAsia="宋体" w:cs="宋体"/>
          <w:sz w:val="20"/>
          <w:szCs w:val="20"/>
          <w:highlight w:val="none"/>
        </w:rPr>
      </w:pPr>
      <w:r>
        <w:rPr>
          <w:rFonts w:hint="eastAsia" w:ascii="宋体" w:hAnsi="宋体" w:eastAsia="宋体" w:cs="宋体"/>
          <w:color w:val="000000"/>
          <w:kern w:val="0"/>
          <w:sz w:val="20"/>
          <w:szCs w:val="20"/>
          <w:highlight w:val="none"/>
          <w:lang w:val="en-US" w:eastAsia="zh-CN" w:bidi="ar"/>
        </w:rPr>
        <w:t>（l）初步评审：</w:t>
      </w:r>
    </w:p>
    <w:p w14:paraId="59609094">
      <w:pPr>
        <w:keepNext w:val="0"/>
        <w:keepLines w:val="0"/>
        <w:widowControl/>
        <w:suppressLineNumbers w:val="0"/>
        <w:spacing w:line="360" w:lineRule="auto"/>
        <w:ind w:firstLine="200" w:firstLineChars="100"/>
        <w:jc w:val="left"/>
        <w:rPr>
          <w:rFonts w:hint="eastAsia" w:ascii="宋体" w:hAnsi="宋体" w:eastAsia="宋体" w:cs="宋体"/>
          <w:sz w:val="20"/>
          <w:szCs w:val="20"/>
          <w:highlight w:val="none"/>
        </w:rPr>
      </w:pPr>
      <w:r>
        <w:rPr>
          <w:rFonts w:hint="eastAsia" w:ascii="宋体" w:hAnsi="宋体" w:eastAsia="宋体" w:cs="宋体"/>
          <w:color w:val="000000"/>
          <w:kern w:val="0"/>
          <w:sz w:val="20"/>
          <w:szCs w:val="20"/>
          <w:highlight w:val="none"/>
          <w:lang w:val="en-US" w:eastAsia="zh-CN" w:bidi="ar"/>
        </w:rPr>
        <w:t xml:space="preserve">①只有投标文件第一个信封通过详细评审的投标人才能继续参加第二个信封报价文件的形式评审与响应性评审； </w:t>
      </w:r>
    </w:p>
    <w:p w14:paraId="72383D64">
      <w:pPr>
        <w:keepNext w:val="0"/>
        <w:keepLines w:val="0"/>
        <w:widowControl/>
        <w:suppressLineNumbers w:val="0"/>
        <w:spacing w:line="360" w:lineRule="auto"/>
        <w:ind w:firstLine="200" w:firstLineChars="100"/>
        <w:jc w:val="left"/>
        <w:rPr>
          <w:rFonts w:hint="eastAsia" w:ascii="宋体" w:hAnsi="宋体" w:eastAsia="宋体" w:cs="宋体"/>
          <w:sz w:val="20"/>
          <w:szCs w:val="20"/>
          <w:highlight w:val="none"/>
        </w:rPr>
      </w:pPr>
      <w:r>
        <w:rPr>
          <w:rFonts w:hint="eastAsia" w:ascii="宋体" w:hAnsi="宋体" w:eastAsia="宋体" w:cs="宋体"/>
          <w:color w:val="000000"/>
          <w:kern w:val="0"/>
          <w:sz w:val="20"/>
          <w:szCs w:val="20"/>
          <w:highlight w:val="none"/>
          <w:lang w:val="en-US" w:eastAsia="zh-CN" w:bidi="ar"/>
        </w:rPr>
        <w:t xml:space="preserve">②报价算术性修正（如采用固化清单，本步骤省略）； </w:t>
      </w:r>
    </w:p>
    <w:p w14:paraId="0DF8D0CB">
      <w:pPr>
        <w:keepNext w:val="0"/>
        <w:keepLines w:val="0"/>
        <w:widowControl/>
        <w:suppressLineNumbers w:val="0"/>
        <w:spacing w:line="360" w:lineRule="auto"/>
        <w:jc w:val="left"/>
        <w:rPr>
          <w:rFonts w:hint="eastAsia" w:ascii="宋体" w:hAnsi="宋体" w:eastAsia="宋体" w:cs="宋体"/>
          <w:sz w:val="20"/>
          <w:szCs w:val="20"/>
          <w:highlight w:val="none"/>
        </w:rPr>
      </w:pPr>
      <w:r>
        <w:rPr>
          <w:rFonts w:hint="eastAsia" w:ascii="宋体" w:hAnsi="宋体" w:eastAsia="宋体" w:cs="宋体"/>
          <w:color w:val="000000"/>
          <w:kern w:val="0"/>
          <w:sz w:val="20"/>
          <w:szCs w:val="20"/>
          <w:highlight w:val="none"/>
          <w:lang w:val="en-US" w:eastAsia="zh-CN" w:bidi="ar"/>
        </w:rPr>
        <w:t xml:space="preserve">（2）详细评审：计算评标基准价、评标价得分及综合得分； </w:t>
      </w:r>
    </w:p>
    <w:p w14:paraId="0D9E6A10">
      <w:pPr>
        <w:keepNext w:val="0"/>
        <w:keepLines w:val="0"/>
        <w:widowControl/>
        <w:suppressLineNumbers w:val="0"/>
        <w:spacing w:line="360" w:lineRule="auto"/>
        <w:ind w:firstLine="200" w:firstLineChars="100"/>
        <w:jc w:val="left"/>
        <w:rPr>
          <w:rFonts w:hint="eastAsia" w:ascii="宋体" w:hAnsi="宋体" w:eastAsia="宋体" w:cs="宋体"/>
          <w:sz w:val="20"/>
          <w:szCs w:val="20"/>
          <w:highlight w:val="none"/>
        </w:rPr>
      </w:pPr>
      <w:r>
        <w:rPr>
          <w:rFonts w:hint="eastAsia" w:ascii="宋体" w:hAnsi="宋体" w:eastAsia="宋体" w:cs="宋体"/>
          <w:color w:val="000000"/>
          <w:kern w:val="0"/>
          <w:sz w:val="20"/>
          <w:szCs w:val="20"/>
          <w:highlight w:val="none"/>
          <w:lang w:val="en-US" w:eastAsia="zh-CN" w:bidi="ar"/>
        </w:rPr>
        <w:t xml:space="preserve">1.3.3投标文件相关信息的核查。 </w:t>
      </w:r>
    </w:p>
    <w:p w14:paraId="7DFD7ED4">
      <w:pPr>
        <w:keepNext w:val="0"/>
        <w:keepLines w:val="0"/>
        <w:widowControl/>
        <w:suppressLineNumbers w:val="0"/>
        <w:spacing w:line="360" w:lineRule="auto"/>
        <w:ind w:firstLine="200" w:firstLineChars="100"/>
        <w:jc w:val="left"/>
        <w:rPr>
          <w:rFonts w:hint="eastAsia" w:ascii="宋体" w:hAnsi="宋体" w:eastAsia="宋体" w:cs="宋体"/>
          <w:sz w:val="20"/>
          <w:szCs w:val="20"/>
          <w:highlight w:val="none"/>
        </w:rPr>
      </w:pPr>
      <w:r>
        <w:rPr>
          <w:rFonts w:hint="eastAsia" w:ascii="宋体" w:hAnsi="宋体" w:eastAsia="宋体" w:cs="宋体"/>
          <w:color w:val="000000"/>
          <w:kern w:val="0"/>
          <w:sz w:val="20"/>
          <w:szCs w:val="20"/>
          <w:highlight w:val="none"/>
          <w:lang w:val="en-US" w:eastAsia="zh-CN" w:bidi="ar"/>
        </w:rPr>
        <w:t xml:space="preserve">1.3.4投标文件的澄清和说明(如有) </w:t>
      </w:r>
    </w:p>
    <w:p w14:paraId="2D0F9123">
      <w:pPr>
        <w:keepNext w:val="0"/>
        <w:keepLines w:val="0"/>
        <w:widowControl/>
        <w:suppressLineNumbers w:val="0"/>
        <w:spacing w:line="360" w:lineRule="auto"/>
        <w:ind w:firstLine="200" w:firstLineChars="100"/>
        <w:jc w:val="left"/>
        <w:rPr>
          <w:rFonts w:hint="eastAsia" w:ascii="宋体" w:hAnsi="宋体" w:eastAsia="宋体" w:cs="宋体"/>
          <w:sz w:val="20"/>
          <w:szCs w:val="20"/>
          <w:highlight w:val="none"/>
        </w:rPr>
      </w:pPr>
      <w:r>
        <w:rPr>
          <w:rFonts w:hint="eastAsia" w:ascii="宋体" w:hAnsi="宋体" w:eastAsia="宋体" w:cs="宋体"/>
          <w:color w:val="000000"/>
          <w:kern w:val="0"/>
          <w:sz w:val="20"/>
          <w:szCs w:val="20"/>
          <w:highlight w:val="none"/>
          <w:lang w:val="en-US" w:eastAsia="zh-CN" w:bidi="ar"/>
        </w:rPr>
        <w:t xml:space="preserve">1.3.5按评标办法规定推荐中标候选人，编写评标报告。 </w:t>
      </w:r>
    </w:p>
    <w:p w14:paraId="19EE0B36">
      <w:pPr>
        <w:keepNext w:val="0"/>
        <w:keepLines w:val="0"/>
        <w:widowControl/>
        <w:suppressLineNumbers w:val="0"/>
        <w:spacing w:line="360" w:lineRule="auto"/>
        <w:jc w:val="left"/>
        <w:rPr>
          <w:rFonts w:hint="eastAsia" w:ascii="宋体" w:hAnsi="宋体" w:eastAsia="宋体" w:cs="宋体"/>
          <w:sz w:val="20"/>
          <w:szCs w:val="20"/>
          <w:highlight w:val="none"/>
        </w:rPr>
      </w:pPr>
      <w:r>
        <w:rPr>
          <w:rFonts w:hint="eastAsia" w:ascii="宋体" w:hAnsi="宋体" w:eastAsia="宋体" w:cs="宋体"/>
          <w:b/>
          <w:bCs/>
          <w:color w:val="000000"/>
          <w:kern w:val="0"/>
          <w:sz w:val="20"/>
          <w:szCs w:val="20"/>
          <w:highlight w:val="none"/>
          <w:lang w:val="en-US" w:eastAsia="zh-CN" w:bidi="ar"/>
        </w:rPr>
        <w:t xml:space="preserve">2．评审标准 </w:t>
      </w:r>
    </w:p>
    <w:p w14:paraId="5A9CA884">
      <w:pPr>
        <w:keepNext w:val="0"/>
        <w:keepLines w:val="0"/>
        <w:widowControl/>
        <w:suppressLineNumbers w:val="0"/>
        <w:spacing w:line="360" w:lineRule="auto"/>
        <w:jc w:val="left"/>
        <w:rPr>
          <w:rFonts w:hint="eastAsia" w:ascii="宋体" w:hAnsi="宋体" w:eastAsia="宋体" w:cs="宋体"/>
          <w:sz w:val="20"/>
          <w:szCs w:val="20"/>
          <w:highlight w:val="none"/>
        </w:rPr>
      </w:pPr>
      <w:r>
        <w:rPr>
          <w:rFonts w:hint="eastAsia" w:ascii="宋体" w:hAnsi="宋体" w:eastAsia="宋体" w:cs="宋体"/>
          <w:b/>
          <w:bCs/>
          <w:color w:val="000000"/>
          <w:kern w:val="0"/>
          <w:sz w:val="20"/>
          <w:szCs w:val="20"/>
          <w:highlight w:val="none"/>
          <w:lang w:val="en-US" w:eastAsia="zh-CN" w:bidi="ar"/>
        </w:rPr>
        <w:t xml:space="preserve">2.1 初步评审标准 </w:t>
      </w:r>
    </w:p>
    <w:p w14:paraId="18AAE549">
      <w:pPr>
        <w:keepNext w:val="0"/>
        <w:keepLines w:val="0"/>
        <w:widowControl/>
        <w:suppressLineNumbers w:val="0"/>
        <w:spacing w:line="360" w:lineRule="auto"/>
        <w:ind w:firstLine="200" w:firstLineChars="100"/>
        <w:jc w:val="left"/>
        <w:rPr>
          <w:rFonts w:hint="eastAsia" w:ascii="宋体" w:hAnsi="宋体" w:eastAsia="宋体" w:cs="宋体"/>
          <w:sz w:val="20"/>
          <w:szCs w:val="20"/>
          <w:highlight w:val="none"/>
        </w:rPr>
      </w:pPr>
      <w:r>
        <w:rPr>
          <w:rFonts w:hint="eastAsia" w:ascii="宋体" w:hAnsi="宋体" w:eastAsia="宋体" w:cs="宋体"/>
          <w:color w:val="000000"/>
          <w:kern w:val="0"/>
          <w:sz w:val="20"/>
          <w:szCs w:val="20"/>
          <w:highlight w:val="none"/>
          <w:lang w:val="en-US" w:eastAsia="zh-CN" w:bidi="ar"/>
        </w:rPr>
        <w:t xml:space="preserve">2.1.1形式评审标准：见评标办法前附表 </w:t>
      </w:r>
    </w:p>
    <w:p w14:paraId="3CF697AD">
      <w:pPr>
        <w:keepNext w:val="0"/>
        <w:keepLines w:val="0"/>
        <w:widowControl/>
        <w:suppressLineNumbers w:val="0"/>
        <w:spacing w:line="360" w:lineRule="auto"/>
        <w:ind w:firstLine="200" w:firstLineChars="100"/>
        <w:jc w:val="left"/>
        <w:rPr>
          <w:rFonts w:hint="eastAsia" w:ascii="宋体" w:hAnsi="宋体" w:eastAsia="宋体" w:cs="宋体"/>
          <w:sz w:val="20"/>
          <w:szCs w:val="20"/>
          <w:highlight w:val="none"/>
        </w:rPr>
      </w:pPr>
      <w:r>
        <w:rPr>
          <w:rFonts w:hint="eastAsia" w:ascii="宋体" w:hAnsi="宋体" w:eastAsia="宋体" w:cs="宋体"/>
          <w:color w:val="000000"/>
          <w:kern w:val="0"/>
          <w:sz w:val="20"/>
          <w:szCs w:val="20"/>
          <w:highlight w:val="none"/>
          <w:lang w:val="en-US" w:eastAsia="zh-CN" w:bidi="ar"/>
        </w:rPr>
        <w:t xml:space="preserve">2.1.2资格评审标准：见评标办法前附表 </w:t>
      </w:r>
    </w:p>
    <w:p w14:paraId="129B92DC">
      <w:pPr>
        <w:keepNext w:val="0"/>
        <w:keepLines w:val="0"/>
        <w:widowControl/>
        <w:suppressLineNumbers w:val="0"/>
        <w:spacing w:line="360" w:lineRule="auto"/>
        <w:ind w:firstLine="200" w:firstLineChars="100"/>
        <w:jc w:val="left"/>
        <w:rPr>
          <w:rFonts w:hint="eastAsia" w:ascii="宋体" w:hAnsi="宋体" w:eastAsia="宋体" w:cs="宋体"/>
          <w:sz w:val="20"/>
          <w:szCs w:val="20"/>
          <w:highlight w:val="none"/>
        </w:rPr>
      </w:pPr>
      <w:r>
        <w:rPr>
          <w:rFonts w:hint="eastAsia" w:ascii="宋体" w:hAnsi="宋体" w:eastAsia="宋体" w:cs="宋体"/>
          <w:color w:val="000000"/>
          <w:kern w:val="0"/>
          <w:sz w:val="20"/>
          <w:szCs w:val="20"/>
          <w:highlight w:val="none"/>
          <w:lang w:val="en-US" w:eastAsia="zh-CN" w:bidi="ar"/>
        </w:rPr>
        <w:t xml:space="preserve">2.1.3响应性评审标准：见评标办法前附表 </w:t>
      </w:r>
    </w:p>
    <w:p w14:paraId="738592F5">
      <w:pPr>
        <w:keepNext w:val="0"/>
        <w:keepLines w:val="0"/>
        <w:widowControl/>
        <w:suppressLineNumbers w:val="0"/>
        <w:spacing w:line="360" w:lineRule="auto"/>
        <w:jc w:val="left"/>
        <w:rPr>
          <w:rFonts w:hint="eastAsia" w:ascii="宋体" w:hAnsi="宋体" w:eastAsia="宋体" w:cs="宋体"/>
          <w:sz w:val="20"/>
          <w:szCs w:val="20"/>
          <w:highlight w:val="none"/>
        </w:rPr>
      </w:pPr>
      <w:r>
        <w:rPr>
          <w:rFonts w:hint="eastAsia" w:ascii="宋体" w:hAnsi="宋体" w:eastAsia="宋体" w:cs="宋体"/>
          <w:b/>
          <w:bCs/>
          <w:color w:val="000000"/>
          <w:kern w:val="0"/>
          <w:sz w:val="20"/>
          <w:szCs w:val="20"/>
          <w:highlight w:val="none"/>
          <w:lang w:val="en-US" w:eastAsia="zh-CN" w:bidi="ar"/>
        </w:rPr>
        <w:t xml:space="preserve">2.2 分值构成与评分标准 </w:t>
      </w:r>
    </w:p>
    <w:p w14:paraId="02C6B9E2">
      <w:pPr>
        <w:keepNext w:val="0"/>
        <w:keepLines w:val="0"/>
        <w:widowControl/>
        <w:suppressLineNumbers w:val="0"/>
        <w:spacing w:line="360" w:lineRule="auto"/>
        <w:ind w:firstLine="200" w:firstLineChars="100"/>
        <w:jc w:val="left"/>
        <w:rPr>
          <w:rFonts w:hint="eastAsia" w:ascii="宋体" w:hAnsi="宋体" w:eastAsia="宋体" w:cs="宋体"/>
          <w:sz w:val="20"/>
          <w:szCs w:val="20"/>
          <w:highlight w:val="none"/>
        </w:rPr>
      </w:pPr>
      <w:r>
        <w:rPr>
          <w:rFonts w:hint="eastAsia" w:ascii="宋体" w:hAnsi="宋体" w:eastAsia="宋体" w:cs="宋体"/>
          <w:color w:val="000000"/>
          <w:kern w:val="0"/>
          <w:sz w:val="20"/>
          <w:szCs w:val="20"/>
          <w:highlight w:val="none"/>
          <w:lang w:val="en-US" w:eastAsia="zh-CN" w:bidi="ar"/>
        </w:rPr>
        <w:t xml:space="preserve">2.2.1 第一个信封评分分值构成 </w:t>
      </w:r>
    </w:p>
    <w:p w14:paraId="4FF1063E">
      <w:pPr>
        <w:keepNext w:val="0"/>
        <w:keepLines w:val="0"/>
        <w:widowControl/>
        <w:suppressLineNumbers w:val="0"/>
        <w:spacing w:line="360" w:lineRule="auto"/>
        <w:jc w:val="left"/>
        <w:rPr>
          <w:rFonts w:hint="eastAsia" w:ascii="宋体" w:hAnsi="宋体" w:eastAsia="宋体" w:cs="宋体"/>
          <w:sz w:val="20"/>
          <w:szCs w:val="20"/>
          <w:highlight w:val="none"/>
        </w:rPr>
      </w:pPr>
      <w:r>
        <w:rPr>
          <w:rFonts w:hint="eastAsia" w:ascii="宋体" w:hAnsi="宋体" w:eastAsia="宋体" w:cs="宋体"/>
          <w:color w:val="000000"/>
          <w:kern w:val="0"/>
          <w:sz w:val="20"/>
          <w:szCs w:val="20"/>
          <w:highlight w:val="none"/>
          <w:lang w:val="en-US" w:eastAsia="zh-CN" w:bidi="ar"/>
        </w:rPr>
        <w:t xml:space="preserve">（1）总承包方案：见评标办法前附表； </w:t>
      </w:r>
    </w:p>
    <w:p w14:paraId="5853C2B3">
      <w:pPr>
        <w:keepNext w:val="0"/>
        <w:keepLines w:val="0"/>
        <w:widowControl/>
        <w:suppressLineNumbers w:val="0"/>
        <w:spacing w:line="360" w:lineRule="auto"/>
        <w:jc w:val="left"/>
        <w:rPr>
          <w:rFonts w:hint="eastAsia" w:ascii="宋体" w:hAnsi="宋体" w:eastAsia="宋体" w:cs="宋体"/>
          <w:sz w:val="20"/>
          <w:szCs w:val="20"/>
          <w:highlight w:val="none"/>
        </w:rPr>
      </w:pPr>
      <w:r>
        <w:rPr>
          <w:rFonts w:hint="eastAsia" w:ascii="宋体" w:hAnsi="宋体" w:eastAsia="宋体" w:cs="宋体"/>
          <w:color w:val="000000"/>
          <w:kern w:val="0"/>
          <w:sz w:val="20"/>
          <w:szCs w:val="20"/>
          <w:highlight w:val="none"/>
          <w:lang w:val="en-US" w:eastAsia="zh-CN" w:bidi="ar"/>
        </w:rPr>
        <w:t xml:space="preserve">（2）项目管理机构：见评标办法前附表； </w:t>
      </w:r>
    </w:p>
    <w:p w14:paraId="1E61BEDA">
      <w:pPr>
        <w:keepNext w:val="0"/>
        <w:keepLines w:val="0"/>
        <w:widowControl/>
        <w:suppressLineNumbers w:val="0"/>
        <w:spacing w:line="360" w:lineRule="auto"/>
        <w:jc w:val="left"/>
        <w:rPr>
          <w:rFonts w:hint="eastAsia" w:ascii="宋体" w:hAnsi="宋体" w:eastAsia="宋体" w:cs="宋体"/>
          <w:sz w:val="20"/>
          <w:szCs w:val="20"/>
          <w:highlight w:val="none"/>
        </w:rPr>
      </w:pPr>
      <w:r>
        <w:rPr>
          <w:rFonts w:hint="eastAsia" w:ascii="宋体" w:hAnsi="宋体" w:eastAsia="宋体" w:cs="宋体"/>
          <w:color w:val="000000"/>
          <w:kern w:val="0"/>
          <w:sz w:val="20"/>
          <w:szCs w:val="20"/>
          <w:highlight w:val="none"/>
          <w:lang w:val="en-US" w:eastAsia="zh-CN" w:bidi="ar"/>
        </w:rPr>
        <w:t xml:space="preserve">（3）投标报价：见评标办法前附表； </w:t>
      </w:r>
    </w:p>
    <w:p w14:paraId="378D6169">
      <w:pPr>
        <w:keepNext w:val="0"/>
        <w:keepLines w:val="0"/>
        <w:widowControl/>
        <w:suppressLineNumbers w:val="0"/>
        <w:spacing w:line="360" w:lineRule="auto"/>
        <w:jc w:val="left"/>
        <w:rPr>
          <w:rFonts w:hint="eastAsia" w:ascii="宋体" w:hAnsi="宋体" w:eastAsia="宋体" w:cs="宋体"/>
          <w:sz w:val="20"/>
          <w:szCs w:val="20"/>
          <w:highlight w:val="none"/>
        </w:rPr>
      </w:pPr>
      <w:r>
        <w:rPr>
          <w:rFonts w:hint="eastAsia" w:ascii="宋体" w:hAnsi="宋体" w:eastAsia="宋体" w:cs="宋体"/>
          <w:color w:val="000000"/>
          <w:kern w:val="0"/>
          <w:sz w:val="20"/>
          <w:szCs w:val="20"/>
          <w:highlight w:val="none"/>
          <w:lang w:val="en-US" w:eastAsia="zh-CN" w:bidi="ar"/>
        </w:rPr>
        <w:t xml:space="preserve">（4）其他评分因素：见评标办法前附表。 </w:t>
      </w:r>
    </w:p>
    <w:p w14:paraId="1C17C703">
      <w:pPr>
        <w:keepNext w:val="0"/>
        <w:keepLines w:val="0"/>
        <w:widowControl/>
        <w:suppressLineNumbers w:val="0"/>
        <w:spacing w:line="360" w:lineRule="auto"/>
        <w:ind w:firstLine="200" w:firstLineChars="100"/>
        <w:jc w:val="left"/>
        <w:rPr>
          <w:rFonts w:hint="eastAsia" w:ascii="宋体" w:hAnsi="宋体" w:eastAsia="宋体" w:cs="宋体"/>
          <w:sz w:val="20"/>
          <w:szCs w:val="20"/>
          <w:highlight w:val="none"/>
        </w:rPr>
      </w:pPr>
      <w:r>
        <w:rPr>
          <w:rFonts w:hint="eastAsia" w:ascii="宋体" w:hAnsi="宋体" w:eastAsia="宋体" w:cs="宋体"/>
          <w:color w:val="000000"/>
          <w:kern w:val="0"/>
          <w:sz w:val="20"/>
          <w:szCs w:val="20"/>
          <w:highlight w:val="none"/>
          <w:lang w:val="en-US" w:eastAsia="zh-CN" w:bidi="ar"/>
        </w:rPr>
        <w:t xml:space="preserve">2.2.2 评标基准价计算计算方法：见评标办法前附表。 </w:t>
      </w:r>
    </w:p>
    <w:p w14:paraId="4D00648A">
      <w:pPr>
        <w:keepNext w:val="0"/>
        <w:keepLines w:val="0"/>
        <w:widowControl/>
        <w:suppressLineNumbers w:val="0"/>
        <w:spacing w:line="360" w:lineRule="auto"/>
        <w:ind w:firstLine="200" w:firstLineChars="100"/>
        <w:jc w:val="left"/>
        <w:rPr>
          <w:rFonts w:hint="eastAsia" w:ascii="宋体" w:hAnsi="宋体" w:eastAsia="宋体" w:cs="宋体"/>
          <w:sz w:val="20"/>
          <w:szCs w:val="20"/>
          <w:highlight w:val="none"/>
        </w:rPr>
      </w:pPr>
      <w:r>
        <w:rPr>
          <w:rFonts w:hint="eastAsia" w:ascii="宋体" w:hAnsi="宋体" w:eastAsia="宋体" w:cs="宋体"/>
          <w:color w:val="000000"/>
          <w:kern w:val="0"/>
          <w:sz w:val="20"/>
          <w:szCs w:val="20"/>
          <w:highlight w:val="none"/>
          <w:lang w:val="en-US" w:eastAsia="zh-CN" w:bidi="ar"/>
        </w:rPr>
        <w:t xml:space="preserve">2.2.3 投标报价的偏差率计算公式：见评标办法前附表。 </w:t>
      </w:r>
    </w:p>
    <w:p w14:paraId="3FABB808">
      <w:pPr>
        <w:keepNext w:val="0"/>
        <w:keepLines w:val="0"/>
        <w:widowControl/>
        <w:suppressLineNumbers w:val="0"/>
        <w:spacing w:line="360" w:lineRule="auto"/>
        <w:ind w:firstLine="200" w:firstLineChars="100"/>
        <w:jc w:val="left"/>
        <w:rPr>
          <w:rFonts w:hint="eastAsia" w:ascii="宋体" w:hAnsi="宋体" w:eastAsia="宋体" w:cs="宋体"/>
          <w:sz w:val="20"/>
          <w:szCs w:val="20"/>
          <w:highlight w:val="none"/>
        </w:rPr>
      </w:pPr>
      <w:r>
        <w:rPr>
          <w:rFonts w:hint="eastAsia" w:ascii="宋体" w:hAnsi="宋体" w:eastAsia="宋体" w:cs="宋体"/>
          <w:color w:val="000000"/>
          <w:kern w:val="0"/>
          <w:sz w:val="20"/>
          <w:szCs w:val="20"/>
          <w:highlight w:val="none"/>
          <w:lang w:val="en-US" w:eastAsia="zh-CN" w:bidi="ar"/>
        </w:rPr>
        <w:t xml:space="preserve">2.2.4 评分标准 </w:t>
      </w:r>
    </w:p>
    <w:p w14:paraId="00C1DE72">
      <w:pPr>
        <w:keepNext w:val="0"/>
        <w:keepLines w:val="0"/>
        <w:widowControl/>
        <w:suppressLineNumbers w:val="0"/>
        <w:spacing w:line="360" w:lineRule="auto"/>
        <w:jc w:val="left"/>
        <w:rPr>
          <w:rFonts w:hint="eastAsia" w:ascii="宋体" w:hAnsi="宋体" w:eastAsia="宋体" w:cs="宋体"/>
          <w:sz w:val="20"/>
          <w:szCs w:val="20"/>
          <w:highlight w:val="none"/>
        </w:rPr>
      </w:pPr>
      <w:r>
        <w:rPr>
          <w:rFonts w:hint="eastAsia" w:ascii="宋体" w:hAnsi="宋体" w:eastAsia="宋体" w:cs="宋体"/>
          <w:color w:val="000000"/>
          <w:kern w:val="0"/>
          <w:sz w:val="20"/>
          <w:szCs w:val="20"/>
          <w:highlight w:val="none"/>
          <w:lang w:val="en-US" w:eastAsia="zh-CN" w:bidi="ar"/>
        </w:rPr>
        <w:t xml:space="preserve">（1）总承包方案评分标准：见评标办法前附表； </w:t>
      </w:r>
    </w:p>
    <w:p w14:paraId="663D0D72">
      <w:pPr>
        <w:keepNext w:val="0"/>
        <w:keepLines w:val="0"/>
        <w:widowControl/>
        <w:suppressLineNumbers w:val="0"/>
        <w:spacing w:line="360" w:lineRule="auto"/>
        <w:jc w:val="left"/>
        <w:rPr>
          <w:rFonts w:hint="eastAsia" w:ascii="宋体" w:hAnsi="宋体" w:eastAsia="宋体" w:cs="宋体"/>
          <w:sz w:val="20"/>
          <w:szCs w:val="20"/>
          <w:highlight w:val="none"/>
        </w:rPr>
      </w:pPr>
      <w:r>
        <w:rPr>
          <w:rFonts w:hint="eastAsia" w:ascii="宋体" w:hAnsi="宋体" w:eastAsia="宋体" w:cs="宋体"/>
          <w:color w:val="000000"/>
          <w:kern w:val="0"/>
          <w:sz w:val="20"/>
          <w:szCs w:val="20"/>
          <w:highlight w:val="none"/>
          <w:lang w:val="en-US" w:eastAsia="zh-CN" w:bidi="ar"/>
        </w:rPr>
        <w:t xml:space="preserve">（2）项目管理机构评分标准：见评标办法前附表； </w:t>
      </w:r>
    </w:p>
    <w:p w14:paraId="1A977DE4">
      <w:pPr>
        <w:keepNext w:val="0"/>
        <w:keepLines w:val="0"/>
        <w:widowControl/>
        <w:suppressLineNumbers w:val="0"/>
        <w:spacing w:line="360" w:lineRule="auto"/>
        <w:jc w:val="left"/>
        <w:rPr>
          <w:rFonts w:hint="eastAsia" w:ascii="宋体" w:hAnsi="宋体" w:eastAsia="宋体" w:cs="宋体"/>
          <w:sz w:val="20"/>
          <w:szCs w:val="20"/>
          <w:highlight w:val="none"/>
        </w:rPr>
      </w:pPr>
      <w:r>
        <w:rPr>
          <w:rFonts w:hint="eastAsia" w:ascii="宋体" w:hAnsi="宋体" w:eastAsia="宋体" w:cs="宋体"/>
          <w:color w:val="000000"/>
          <w:kern w:val="0"/>
          <w:sz w:val="20"/>
          <w:szCs w:val="20"/>
          <w:highlight w:val="none"/>
          <w:lang w:val="en-US" w:eastAsia="zh-CN" w:bidi="ar"/>
        </w:rPr>
        <w:t xml:space="preserve">（3）投标报价评分标准：见评标办法前附表； </w:t>
      </w:r>
    </w:p>
    <w:p w14:paraId="67E669EF">
      <w:pPr>
        <w:keepNext w:val="0"/>
        <w:keepLines w:val="0"/>
        <w:widowControl/>
        <w:suppressLineNumbers w:val="0"/>
        <w:spacing w:line="360" w:lineRule="auto"/>
        <w:jc w:val="left"/>
        <w:rPr>
          <w:rFonts w:hint="eastAsia" w:ascii="宋体" w:hAnsi="宋体" w:eastAsia="宋体" w:cs="宋体"/>
          <w:sz w:val="20"/>
          <w:szCs w:val="20"/>
          <w:highlight w:val="none"/>
        </w:rPr>
      </w:pPr>
      <w:r>
        <w:rPr>
          <w:rFonts w:hint="eastAsia" w:ascii="宋体" w:hAnsi="宋体" w:eastAsia="宋体" w:cs="宋体"/>
          <w:color w:val="000000"/>
          <w:kern w:val="0"/>
          <w:sz w:val="20"/>
          <w:szCs w:val="20"/>
          <w:highlight w:val="none"/>
          <w:lang w:val="en-US" w:eastAsia="zh-CN" w:bidi="ar"/>
        </w:rPr>
        <w:t xml:space="preserve">（4）其他因素评分标准：见评标办法前附表。 </w:t>
      </w:r>
    </w:p>
    <w:p w14:paraId="5D53CEF9">
      <w:pPr>
        <w:keepNext w:val="0"/>
        <w:keepLines w:val="0"/>
        <w:widowControl/>
        <w:suppressLineNumbers w:val="0"/>
        <w:spacing w:line="360" w:lineRule="auto"/>
        <w:jc w:val="left"/>
        <w:rPr>
          <w:rFonts w:hint="eastAsia" w:ascii="宋体" w:hAnsi="宋体" w:eastAsia="宋体" w:cs="宋体"/>
          <w:sz w:val="20"/>
          <w:szCs w:val="20"/>
          <w:highlight w:val="none"/>
        </w:rPr>
      </w:pPr>
      <w:r>
        <w:rPr>
          <w:rFonts w:hint="eastAsia" w:ascii="宋体" w:hAnsi="宋体" w:eastAsia="宋体" w:cs="宋体"/>
          <w:b/>
          <w:bCs/>
          <w:color w:val="000000"/>
          <w:kern w:val="0"/>
          <w:sz w:val="20"/>
          <w:szCs w:val="20"/>
          <w:highlight w:val="none"/>
          <w:lang w:val="en-US" w:eastAsia="zh-CN" w:bidi="ar"/>
        </w:rPr>
        <w:t xml:space="preserve">3. 评标程序 </w:t>
      </w:r>
    </w:p>
    <w:p w14:paraId="6094290C">
      <w:pPr>
        <w:keepNext w:val="0"/>
        <w:keepLines w:val="0"/>
        <w:widowControl/>
        <w:suppressLineNumbers w:val="0"/>
        <w:spacing w:line="360" w:lineRule="auto"/>
        <w:jc w:val="left"/>
        <w:rPr>
          <w:rFonts w:hint="eastAsia" w:ascii="宋体" w:hAnsi="宋体" w:eastAsia="宋体" w:cs="宋体"/>
          <w:sz w:val="20"/>
          <w:szCs w:val="20"/>
          <w:highlight w:val="none"/>
        </w:rPr>
      </w:pPr>
      <w:r>
        <w:rPr>
          <w:rFonts w:hint="eastAsia" w:ascii="宋体" w:hAnsi="宋体" w:eastAsia="宋体" w:cs="宋体"/>
          <w:b/>
          <w:bCs/>
          <w:color w:val="000000"/>
          <w:kern w:val="0"/>
          <w:sz w:val="20"/>
          <w:szCs w:val="20"/>
          <w:highlight w:val="none"/>
          <w:lang w:val="en-US" w:eastAsia="zh-CN" w:bidi="ar"/>
        </w:rPr>
        <w:t xml:space="preserve">3.1 第一个信封初步评审 </w:t>
      </w:r>
    </w:p>
    <w:p w14:paraId="1854CE1F">
      <w:pPr>
        <w:keepNext w:val="0"/>
        <w:keepLines w:val="0"/>
        <w:widowControl/>
        <w:suppressLineNumbers w:val="0"/>
        <w:spacing w:line="360" w:lineRule="auto"/>
        <w:ind w:firstLine="200" w:firstLineChars="100"/>
        <w:jc w:val="left"/>
        <w:rPr>
          <w:rFonts w:hint="eastAsia" w:ascii="宋体" w:hAnsi="宋体" w:eastAsia="宋体" w:cs="宋体"/>
          <w:sz w:val="20"/>
          <w:szCs w:val="20"/>
          <w:highlight w:val="none"/>
        </w:rPr>
      </w:pPr>
      <w:r>
        <w:rPr>
          <w:rFonts w:hint="eastAsia" w:ascii="宋体" w:hAnsi="宋体" w:eastAsia="宋体" w:cs="宋体"/>
          <w:color w:val="000000"/>
          <w:kern w:val="0"/>
          <w:sz w:val="20"/>
          <w:szCs w:val="20"/>
          <w:highlight w:val="none"/>
          <w:lang w:val="en-US" w:eastAsia="zh-CN" w:bidi="ar"/>
        </w:rPr>
        <w:t xml:space="preserve">3.1.1 评标委员会可以要求投标人提交第二章“投标人须知”第3.5.1项至第3.5.6项规定的有关证明和证件的原件，以便核验。评标委员会依据本章第2.1款规定的标准对投标文件第一个信封（商务及技术文件）进行初步评审。有一项不符合评审标准的，评标委员会应否决其投标。 </w:t>
      </w:r>
    </w:p>
    <w:p w14:paraId="44FEFF0F">
      <w:pPr>
        <w:keepNext w:val="0"/>
        <w:keepLines w:val="0"/>
        <w:widowControl/>
        <w:suppressLineNumbers w:val="0"/>
        <w:spacing w:line="360" w:lineRule="auto"/>
        <w:jc w:val="left"/>
        <w:rPr>
          <w:rFonts w:hint="eastAsia" w:ascii="宋体" w:hAnsi="宋体" w:eastAsia="宋体" w:cs="宋体"/>
          <w:sz w:val="20"/>
          <w:szCs w:val="20"/>
          <w:highlight w:val="none"/>
        </w:rPr>
      </w:pPr>
      <w:r>
        <w:rPr>
          <w:rFonts w:hint="eastAsia" w:ascii="宋体" w:hAnsi="宋体" w:eastAsia="宋体" w:cs="宋体"/>
          <w:b/>
          <w:bCs/>
          <w:color w:val="000000"/>
          <w:kern w:val="0"/>
          <w:sz w:val="20"/>
          <w:szCs w:val="20"/>
          <w:highlight w:val="none"/>
          <w:lang w:val="en-US" w:eastAsia="zh-CN" w:bidi="ar"/>
        </w:rPr>
        <w:t>3.2 第一个信封详细评审</w:t>
      </w:r>
    </w:p>
    <w:p w14:paraId="25EED8FE">
      <w:pPr>
        <w:keepNext w:val="0"/>
        <w:keepLines w:val="0"/>
        <w:widowControl/>
        <w:suppressLineNumbers w:val="0"/>
        <w:spacing w:line="360" w:lineRule="auto"/>
        <w:ind w:firstLine="200" w:firstLineChars="100"/>
        <w:jc w:val="left"/>
        <w:rPr>
          <w:rFonts w:hint="eastAsia" w:ascii="宋体" w:hAnsi="宋体" w:eastAsia="宋体" w:cs="宋体"/>
          <w:sz w:val="20"/>
          <w:szCs w:val="20"/>
          <w:highlight w:val="none"/>
        </w:rPr>
      </w:pPr>
      <w:r>
        <w:rPr>
          <w:rFonts w:hint="eastAsia" w:ascii="宋体" w:hAnsi="宋体" w:eastAsia="宋体" w:cs="宋体"/>
          <w:color w:val="000000"/>
          <w:kern w:val="0"/>
          <w:sz w:val="20"/>
          <w:szCs w:val="20"/>
          <w:highlight w:val="none"/>
          <w:lang w:val="en-US" w:eastAsia="zh-CN" w:bidi="ar"/>
        </w:rPr>
        <w:t xml:space="preserve">3.2.1 评标委员会按本章第2.2款规定的量化因素和分值进行打分，并计算出各投标人的商务 </w:t>
      </w:r>
    </w:p>
    <w:p w14:paraId="03BA4DA8">
      <w:pPr>
        <w:keepNext w:val="0"/>
        <w:keepLines w:val="0"/>
        <w:widowControl/>
        <w:suppressLineNumbers w:val="0"/>
        <w:spacing w:line="360" w:lineRule="auto"/>
        <w:jc w:val="left"/>
        <w:rPr>
          <w:rFonts w:hint="eastAsia" w:ascii="宋体" w:hAnsi="宋体" w:eastAsia="宋体" w:cs="宋体"/>
          <w:sz w:val="20"/>
          <w:szCs w:val="20"/>
          <w:highlight w:val="none"/>
        </w:rPr>
      </w:pPr>
      <w:r>
        <w:rPr>
          <w:rFonts w:hint="eastAsia" w:ascii="宋体" w:hAnsi="宋体" w:eastAsia="宋体" w:cs="宋体"/>
          <w:color w:val="000000"/>
          <w:kern w:val="0"/>
          <w:sz w:val="20"/>
          <w:szCs w:val="20"/>
          <w:highlight w:val="none"/>
          <w:lang w:val="en-US" w:eastAsia="zh-CN" w:bidi="ar"/>
        </w:rPr>
        <w:t xml:space="preserve">和技术得分。 </w:t>
      </w:r>
    </w:p>
    <w:p w14:paraId="69098A5C">
      <w:pPr>
        <w:keepNext w:val="0"/>
        <w:keepLines w:val="0"/>
        <w:widowControl/>
        <w:suppressLineNumbers w:val="0"/>
        <w:spacing w:line="360" w:lineRule="auto"/>
        <w:jc w:val="left"/>
        <w:rPr>
          <w:rFonts w:hint="eastAsia" w:ascii="宋体" w:hAnsi="宋体" w:eastAsia="宋体" w:cs="宋体"/>
          <w:sz w:val="20"/>
          <w:szCs w:val="20"/>
          <w:highlight w:val="none"/>
        </w:rPr>
      </w:pPr>
      <w:r>
        <w:rPr>
          <w:rFonts w:hint="eastAsia" w:ascii="宋体" w:hAnsi="宋体" w:eastAsia="宋体" w:cs="宋体"/>
          <w:color w:val="000000"/>
          <w:kern w:val="0"/>
          <w:sz w:val="20"/>
          <w:szCs w:val="20"/>
          <w:highlight w:val="none"/>
          <w:lang w:val="en-US" w:eastAsia="zh-CN" w:bidi="ar"/>
        </w:rPr>
        <w:t xml:space="preserve">（1）按本章第2.2.2项（1）目规定的评审因素的分值对施工组织设计部分计算出得分A； </w:t>
      </w:r>
    </w:p>
    <w:p w14:paraId="04234D81">
      <w:pPr>
        <w:keepNext w:val="0"/>
        <w:keepLines w:val="0"/>
        <w:widowControl/>
        <w:suppressLineNumbers w:val="0"/>
        <w:spacing w:line="360" w:lineRule="auto"/>
        <w:jc w:val="left"/>
        <w:rPr>
          <w:rFonts w:hint="eastAsia" w:ascii="宋体" w:hAnsi="宋体" w:eastAsia="宋体" w:cs="宋体"/>
          <w:sz w:val="20"/>
          <w:szCs w:val="20"/>
          <w:highlight w:val="none"/>
        </w:rPr>
      </w:pPr>
      <w:r>
        <w:rPr>
          <w:rFonts w:hint="eastAsia" w:ascii="宋体" w:hAnsi="宋体" w:eastAsia="宋体" w:cs="宋体"/>
          <w:color w:val="000000"/>
          <w:kern w:val="0"/>
          <w:sz w:val="20"/>
          <w:szCs w:val="20"/>
          <w:highlight w:val="none"/>
          <w:lang w:val="en-US" w:eastAsia="zh-CN" w:bidi="ar"/>
        </w:rPr>
        <w:t xml:space="preserve">（2）按本章第2.2.2项（2）目规定的评审因素的分值对主要人员部分计算出得分B； </w:t>
      </w:r>
    </w:p>
    <w:p w14:paraId="00138E04">
      <w:pPr>
        <w:keepNext w:val="0"/>
        <w:keepLines w:val="0"/>
        <w:widowControl/>
        <w:suppressLineNumbers w:val="0"/>
        <w:spacing w:line="360" w:lineRule="auto"/>
        <w:jc w:val="left"/>
        <w:rPr>
          <w:rFonts w:hint="eastAsia" w:ascii="宋体" w:hAnsi="宋体" w:eastAsia="宋体" w:cs="宋体"/>
          <w:sz w:val="20"/>
          <w:szCs w:val="20"/>
          <w:highlight w:val="none"/>
        </w:rPr>
      </w:pPr>
      <w:r>
        <w:rPr>
          <w:rFonts w:hint="eastAsia" w:ascii="宋体" w:hAnsi="宋体" w:eastAsia="宋体" w:cs="宋体"/>
          <w:color w:val="000000"/>
          <w:kern w:val="0"/>
          <w:sz w:val="20"/>
          <w:szCs w:val="20"/>
          <w:highlight w:val="none"/>
          <w:lang w:val="en-US" w:eastAsia="zh-CN" w:bidi="ar"/>
        </w:rPr>
        <w:t xml:space="preserve">（3）按本章第2.2.2项（4）目规定的评审因素的分值对其他部分计算出得分D。 </w:t>
      </w:r>
    </w:p>
    <w:p w14:paraId="07AEBEA7">
      <w:pPr>
        <w:keepNext w:val="0"/>
        <w:keepLines w:val="0"/>
        <w:widowControl/>
        <w:suppressLineNumbers w:val="0"/>
        <w:spacing w:line="360" w:lineRule="auto"/>
        <w:ind w:firstLine="200" w:firstLineChars="100"/>
        <w:jc w:val="left"/>
        <w:rPr>
          <w:rFonts w:hint="eastAsia" w:ascii="宋体" w:hAnsi="宋体" w:eastAsia="宋体" w:cs="宋体"/>
          <w:sz w:val="20"/>
          <w:szCs w:val="20"/>
          <w:highlight w:val="none"/>
        </w:rPr>
      </w:pPr>
      <w:r>
        <w:rPr>
          <w:rFonts w:hint="eastAsia" w:ascii="宋体" w:hAnsi="宋体" w:eastAsia="宋体" w:cs="宋体"/>
          <w:color w:val="000000"/>
          <w:kern w:val="0"/>
          <w:sz w:val="20"/>
          <w:szCs w:val="20"/>
          <w:highlight w:val="none"/>
          <w:lang w:val="en-US" w:eastAsia="zh-CN" w:bidi="ar"/>
        </w:rPr>
        <w:t xml:space="preserve">3.2.2 投标人的商务和技术得分分值计算保留小数点后两位，小数点后第三位“四舍五入”。 </w:t>
      </w:r>
    </w:p>
    <w:p w14:paraId="1AC29FF9">
      <w:pPr>
        <w:keepNext w:val="0"/>
        <w:keepLines w:val="0"/>
        <w:widowControl/>
        <w:suppressLineNumbers w:val="0"/>
        <w:spacing w:line="360" w:lineRule="auto"/>
        <w:ind w:firstLine="200" w:firstLineChars="100"/>
        <w:jc w:val="left"/>
        <w:rPr>
          <w:rFonts w:hint="eastAsia" w:ascii="宋体" w:hAnsi="宋体" w:eastAsia="宋体" w:cs="宋体"/>
          <w:sz w:val="20"/>
          <w:szCs w:val="20"/>
          <w:highlight w:val="none"/>
        </w:rPr>
      </w:pPr>
      <w:r>
        <w:rPr>
          <w:rFonts w:hint="eastAsia" w:ascii="宋体" w:hAnsi="宋体" w:eastAsia="宋体" w:cs="宋体"/>
          <w:color w:val="000000"/>
          <w:kern w:val="0"/>
          <w:sz w:val="20"/>
          <w:szCs w:val="20"/>
          <w:highlight w:val="none"/>
          <w:lang w:val="en-US" w:eastAsia="zh-CN" w:bidi="ar"/>
        </w:rPr>
        <w:t xml:space="preserve">3.2.3 投标人的商务和技术得分=A+B+D。 </w:t>
      </w:r>
    </w:p>
    <w:p w14:paraId="56EFF26E">
      <w:pPr>
        <w:keepNext w:val="0"/>
        <w:keepLines w:val="0"/>
        <w:widowControl/>
        <w:suppressLineNumbers w:val="0"/>
        <w:spacing w:line="360" w:lineRule="auto"/>
        <w:ind w:firstLine="400" w:firstLineChars="200"/>
        <w:jc w:val="left"/>
        <w:rPr>
          <w:rFonts w:hint="eastAsia" w:ascii="宋体" w:hAnsi="宋体" w:eastAsia="宋体" w:cs="宋体"/>
          <w:sz w:val="20"/>
          <w:szCs w:val="20"/>
          <w:highlight w:val="none"/>
        </w:rPr>
      </w:pPr>
      <w:r>
        <w:rPr>
          <w:rFonts w:hint="eastAsia" w:ascii="宋体" w:hAnsi="宋体" w:eastAsia="宋体" w:cs="宋体"/>
          <w:color w:val="000000"/>
          <w:kern w:val="0"/>
          <w:sz w:val="20"/>
          <w:szCs w:val="20"/>
          <w:highlight w:val="none"/>
          <w:lang w:val="en-US" w:eastAsia="zh-CN" w:bidi="ar"/>
        </w:rPr>
        <w:t xml:space="preserve">投标文件总承包方案的各评分因素细分项得分均不应低于其权重分的60%（保留小数点后一位），评分低于权重分值60%的，评标委员会成员应当在评标报告中作出说明。 </w:t>
      </w:r>
    </w:p>
    <w:p w14:paraId="2A6B89F5">
      <w:pPr>
        <w:keepNext w:val="0"/>
        <w:keepLines w:val="0"/>
        <w:widowControl/>
        <w:suppressLineNumbers w:val="0"/>
        <w:spacing w:line="360" w:lineRule="auto"/>
        <w:jc w:val="left"/>
        <w:rPr>
          <w:rFonts w:hint="eastAsia" w:ascii="宋体" w:hAnsi="宋体" w:eastAsia="宋体" w:cs="宋体"/>
          <w:sz w:val="20"/>
          <w:szCs w:val="20"/>
          <w:highlight w:val="none"/>
        </w:rPr>
      </w:pPr>
      <w:r>
        <w:rPr>
          <w:rFonts w:hint="eastAsia" w:ascii="宋体" w:hAnsi="宋体" w:eastAsia="宋体" w:cs="宋体"/>
          <w:b/>
          <w:bCs/>
          <w:color w:val="000000"/>
          <w:kern w:val="0"/>
          <w:sz w:val="20"/>
          <w:szCs w:val="20"/>
          <w:highlight w:val="none"/>
          <w:lang w:val="en-US" w:eastAsia="zh-CN" w:bidi="ar"/>
        </w:rPr>
        <w:t xml:space="preserve">3.3 第二个信封开标 </w:t>
      </w:r>
    </w:p>
    <w:p w14:paraId="284DE5D8">
      <w:pPr>
        <w:keepNext w:val="0"/>
        <w:keepLines w:val="0"/>
        <w:widowControl/>
        <w:suppressLineNumbers w:val="0"/>
        <w:spacing w:line="360" w:lineRule="auto"/>
        <w:ind w:firstLine="400" w:firstLineChars="200"/>
        <w:jc w:val="left"/>
        <w:rPr>
          <w:rFonts w:hint="eastAsia" w:ascii="宋体" w:hAnsi="宋体" w:eastAsia="宋体" w:cs="宋体"/>
          <w:sz w:val="20"/>
          <w:szCs w:val="20"/>
          <w:highlight w:val="none"/>
        </w:rPr>
      </w:pPr>
      <w:r>
        <w:rPr>
          <w:rFonts w:hint="eastAsia" w:ascii="宋体" w:hAnsi="宋体" w:eastAsia="宋体" w:cs="宋体"/>
          <w:color w:val="000000"/>
          <w:kern w:val="0"/>
          <w:sz w:val="20"/>
          <w:szCs w:val="20"/>
          <w:highlight w:val="none"/>
          <w:lang w:val="en-US" w:eastAsia="zh-CN" w:bidi="ar"/>
        </w:rPr>
        <w:t xml:space="preserve">第一个信封（商务及技术文件）评审结束后，招标人将按照第二章“投标人须知”第5.1款规定的时间和地点对通过投标文件第一个信封（商务及技术文件）评审的投标文件第二个信封（报价文件）进行开标。 </w:t>
      </w:r>
    </w:p>
    <w:p w14:paraId="384A771A">
      <w:pPr>
        <w:keepNext w:val="0"/>
        <w:keepLines w:val="0"/>
        <w:widowControl/>
        <w:suppressLineNumbers w:val="0"/>
        <w:spacing w:line="360" w:lineRule="auto"/>
        <w:jc w:val="left"/>
        <w:rPr>
          <w:rFonts w:hint="eastAsia" w:ascii="宋体" w:hAnsi="宋体" w:eastAsia="宋体" w:cs="宋体"/>
          <w:sz w:val="20"/>
          <w:szCs w:val="20"/>
          <w:highlight w:val="none"/>
        </w:rPr>
      </w:pPr>
      <w:r>
        <w:rPr>
          <w:rFonts w:hint="eastAsia" w:ascii="宋体" w:hAnsi="宋体" w:eastAsia="宋体" w:cs="宋体"/>
          <w:b/>
          <w:bCs/>
          <w:color w:val="000000"/>
          <w:kern w:val="0"/>
          <w:sz w:val="20"/>
          <w:szCs w:val="20"/>
          <w:highlight w:val="none"/>
          <w:lang w:val="en-US" w:eastAsia="zh-CN" w:bidi="ar"/>
        </w:rPr>
        <w:t xml:space="preserve">3.4 第二个信封初步评审 </w:t>
      </w:r>
    </w:p>
    <w:p w14:paraId="757BEA3A">
      <w:pPr>
        <w:keepNext w:val="0"/>
        <w:keepLines w:val="0"/>
        <w:widowControl/>
        <w:suppressLineNumbers w:val="0"/>
        <w:spacing w:line="360" w:lineRule="auto"/>
        <w:ind w:firstLine="200" w:firstLineChars="100"/>
        <w:jc w:val="left"/>
        <w:rPr>
          <w:rFonts w:hint="eastAsia" w:ascii="宋体" w:hAnsi="宋体" w:eastAsia="宋体" w:cs="宋体"/>
          <w:sz w:val="20"/>
          <w:szCs w:val="20"/>
          <w:highlight w:val="none"/>
        </w:rPr>
      </w:pPr>
      <w:r>
        <w:rPr>
          <w:rFonts w:hint="eastAsia" w:ascii="宋体" w:hAnsi="宋体" w:eastAsia="宋体" w:cs="宋体"/>
          <w:color w:val="000000"/>
          <w:kern w:val="0"/>
          <w:sz w:val="20"/>
          <w:szCs w:val="20"/>
          <w:highlight w:val="none"/>
          <w:lang w:val="en-US" w:eastAsia="zh-CN" w:bidi="ar"/>
        </w:rPr>
        <w:t xml:space="preserve">3.4.1 评标委员会依据本章第2.1.1项、第2.1.3项规定的评审标准对投标文件第二个信封（报价文件）进行初步评审。有一项不符合评审标准的，评标委员会应否决其投标。 </w:t>
      </w:r>
    </w:p>
    <w:p w14:paraId="2107875C">
      <w:pPr>
        <w:keepNext w:val="0"/>
        <w:keepLines w:val="0"/>
        <w:widowControl/>
        <w:suppressLineNumbers w:val="0"/>
        <w:spacing w:line="360" w:lineRule="auto"/>
        <w:ind w:firstLine="200" w:firstLineChars="100"/>
        <w:jc w:val="left"/>
        <w:rPr>
          <w:rFonts w:hint="eastAsia" w:ascii="宋体" w:hAnsi="宋体" w:eastAsia="宋体" w:cs="宋体"/>
          <w:sz w:val="20"/>
          <w:szCs w:val="20"/>
          <w:highlight w:val="none"/>
        </w:rPr>
      </w:pPr>
      <w:r>
        <w:rPr>
          <w:rFonts w:hint="eastAsia" w:ascii="宋体" w:hAnsi="宋体" w:eastAsia="宋体" w:cs="宋体"/>
          <w:color w:val="000000"/>
          <w:kern w:val="0"/>
          <w:sz w:val="20"/>
          <w:szCs w:val="20"/>
          <w:highlight w:val="none"/>
          <w:lang w:val="en-US" w:eastAsia="zh-CN" w:bidi="ar"/>
        </w:rPr>
        <w:t xml:space="preserve">3.4.2 投标报价有算术错误的，评标委员会按以下原则对投标报价进行修正，修正的价格经投标人书面确认后具有约束力。投标人不接受修正价格的，评标委员会应否决其投标。 </w:t>
      </w:r>
    </w:p>
    <w:p w14:paraId="231B5A0E">
      <w:pPr>
        <w:keepNext w:val="0"/>
        <w:keepLines w:val="0"/>
        <w:widowControl/>
        <w:suppressLineNumbers w:val="0"/>
        <w:spacing w:line="360" w:lineRule="auto"/>
        <w:jc w:val="left"/>
        <w:rPr>
          <w:rFonts w:hint="eastAsia" w:ascii="宋体" w:hAnsi="宋体" w:eastAsia="宋体" w:cs="宋体"/>
          <w:sz w:val="20"/>
          <w:szCs w:val="20"/>
          <w:highlight w:val="none"/>
        </w:rPr>
      </w:pPr>
      <w:r>
        <w:rPr>
          <w:rFonts w:hint="eastAsia" w:ascii="宋体" w:hAnsi="宋体" w:eastAsia="宋体" w:cs="宋体"/>
          <w:color w:val="000000"/>
          <w:kern w:val="0"/>
          <w:sz w:val="20"/>
          <w:szCs w:val="20"/>
          <w:highlight w:val="none"/>
          <w:lang w:val="en-US" w:eastAsia="zh-CN" w:bidi="ar"/>
        </w:rPr>
        <w:t xml:space="preserve">（1）投标文件中的大写金额与小写金额不一致的，以大写金额为准； </w:t>
      </w:r>
    </w:p>
    <w:p w14:paraId="2A4FAE2E">
      <w:pPr>
        <w:keepNext w:val="0"/>
        <w:keepLines w:val="0"/>
        <w:widowControl/>
        <w:suppressLineNumbers w:val="0"/>
        <w:spacing w:line="360" w:lineRule="auto"/>
        <w:jc w:val="left"/>
        <w:rPr>
          <w:rFonts w:hint="eastAsia" w:ascii="宋体" w:hAnsi="宋体" w:eastAsia="宋体" w:cs="宋体"/>
          <w:sz w:val="20"/>
          <w:szCs w:val="20"/>
          <w:highlight w:val="none"/>
        </w:rPr>
      </w:pPr>
      <w:r>
        <w:rPr>
          <w:rFonts w:hint="eastAsia" w:ascii="宋体" w:hAnsi="宋体" w:eastAsia="宋体" w:cs="宋体"/>
          <w:color w:val="000000"/>
          <w:kern w:val="0"/>
          <w:sz w:val="20"/>
          <w:szCs w:val="20"/>
          <w:highlight w:val="none"/>
          <w:lang w:val="en-US" w:eastAsia="zh-CN" w:bidi="ar"/>
        </w:rPr>
        <w:t xml:space="preserve">（2）总价金额与依据单价计算出的结果不一致的，以单价金额为准修正总价，但单价金额小数点有明显错误的除外； </w:t>
      </w:r>
    </w:p>
    <w:p w14:paraId="41FE26FD">
      <w:pPr>
        <w:keepNext w:val="0"/>
        <w:keepLines w:val="0"/>
        <w:widowControl/>
        <w:suppressLineNumbers w:val="0"/>
        <w:spacing w:line="360" w:lineRule="auto"/>
        <w:jc w:val="left"/>
        <w:rPr>
          <w:rFonts w:hint="eastAsia" w:ascii="宋体" w:hAnsi="宋体" w:eastAsia="宋体" w:cs="宋体"/>
          <w:sz w:val="20"/>
          <w:szCs w:val="20"/>
          <w:highlight w:val="none"/>
        </w:rPr>
      </w:pPr>
      <w:r>
        <w:rPr>
          <w:rFonts w:hint="eastAsia" w:ascii="宋体" w:hAnsi="宋体" w:eastAsia="宋体" w:cs="宋体"/>
          <w:color w:val="000000"/>
          <w:kern w:val="0"/>
          <w:sz w:val="20"/>
          <w:szCs w:val="20"/>
          <w:highlight w:val="none"/>
          <w:lang w:val="en-US" w:eastAsia="zh-CN" w:bidi="ar"/>
        </w:rPr>
        <w:t xml:space="preserve">（3）当单价与数量相乘不等于合价时，以单价计算为准，如果单价有明显的小数点位置差错，应以标出的合价为准，同时对单价予以修正； </w:t>
      </w:r>
    </w:p>
    <w:p w14:paraId="3D8119FF">
      <w:pPr>
        <w:keepNext w:val="0"/>
        <w:keepLines w:val="0"/>
        <w:widowControl/>
        <w:suppressLineNumbers w:val="0"/>
        <w:spacing w:line="360" w:lineRule="auto"/>
        <w:jc w:val="left"/>
        <w:rPr>
          <w:rFonts w:hint="eastAsia" w:ascii="宋体" w:hAnsi="宋体" w:eastAsia="宋体" w:cs="宋体"/>
          <w:sz w:val="20"/>
          <w:szCs w:val="20"/>
          <w:highlight w:val="none"/>
        </w:rPr>
      </w:pPr>
      <w:r>
        <w:rPr>
          <w:rFonts w:hint="eastAsia" w:ascii="宋体" w:hAnsi="宋体" w:eastAsia="宋体" w:cs="宋体"/>
          <w:color w:val="000000"/>
          <w:kern w:val="0"/>
          <w:sz w:val="20"/>
          <w:szCs w:val="20"/>
          <w:highlight w:val="none"/>
          <w:lang w:val="en-US" w:eastAsia="zh-CN" w:bidi="ar"/>
        </w:rPr>
        <w:t xml:space="preserve">（4）当各子目的合价累计不等于总价时，应以各子目合价累计数为准，修正总价。 </w:t>
      </w:r>
    </w:p>
    <w:p w14:paraId="16D8D806">
      <w:pPr>
        <w:keepNext w:val="0"/>
        <w:keepLines w:val="0"/>
        <w:widowControl/>
        <w:suppressLineNumbers w:val="0"/>
        <w:spacing w:line="360" w:lineRule="auto"/>
        <w:ind w:firstLine="200" w:firstLineChars="100"/>
        <w:jc w:val="left"/>
        <w:rPr>
          <w:rFonts w:hint="eastAsia" w:ascii="宋体" w:hAnsi="宋体" w:eastAsia="宋体" w:cs="宋体"/>
          <w:sz w:val="20"/>
          <w:szCs w:val="20"/>
          <w:highlight w:val="none"/>
        </w:rPr>
      </w:pPr>
      <w:r>
        <w:rPr>
          <w:rFonts w:hint="eastAsia" w:ascii="宋体" w:hAnsi="宋体" w:eastAsia="宋体" w:cs="宋体"/>
          <w:color w:val="000000"/>
          <w:kern w:val="0"/>
          <w:sz w:val="20"/>
          <w:szCs w:val="20"/>
          <w:highlight w:val="none"/>
          <w:lang w:val="en-US" w:eastAsia="zh-CN" w:bidi="ar"/>
        </w:rPr>
        <w:t xml:space="preserve">3.4.3 修正后的最终投标报价若超过最高投标限价（如有），评标委员会应否决其投标。 </w:t>
      </w:r>
    </w:p>
    <w:p w14:paraId="0039C4F2">
      <w:pPr>
        <w:keepNext w:val="0"/>
        <w:keepLines w:val="0"/>
        <w:widowControl/>
        <w:suppressLineNumbers w:val="0"/>
        <w:spacing w:line="360" w:lineRule="auto"/>
        <w:jc w:val="left"/>
        <w:rPr>
          <w:rFonts w:hint="eastAsia" w:ascii="宋体" w:hAnsi="宋体" w:eastAsia="宋体" w:cs="宋体"/>
          <w:sz w:val="20"/>
          <w:szCs w:val="20"/>
          <w:highlight w:val="none"/>
        </w:rPr>
      </w:pPr>
      <w:r>
        <w:rPr>
          <w:rFonts w:hint="eastAsia" w:ascii="宋体" w:hAnsi="宋体" w:eastAsia="宋体" w:cs="宋体"/>
          <w:b/>
          <w:bCs/>
          <w:color w:val="000000"/>
          <w:kern w:val="0"/>
          <w:sz w:val="20"/>
          <w:szCs w:val="20"/>
          <w:highlight w:val="none"/>
          <w:lang w:val="en-US" w:eastAsia="zh-CN" w:bidi="ar"/>
        </w:rPr>
        <w:t xml:space="preserve">3.5 第二个信封详细评审 </w:t>
      </w:r>
    </w:p>
    <w:p w14:paraId="63F8C9EC">
      <w:pPr>
        <w:keepNext w:val="0"/>
        <w:keepLines w:val="0"/>
        <w:widowControl/>
        <w:suppressLineNumbers w:val="0"/>
        <w:spacing w:line="360" w:lineRule="auto"/>
        <w:ind w:firstLine="200" w:firstLineChars="100"/>
        <w:jc w:val="left"/>
        <w:rPr>
          <w:rFonts w:hint="eastAsia" w:ascii="宋体" w:hAnsi="宋体" w:eastAsia="宋体" w:cs="宋体"/>
          <w:sz w:val="20"/>
          <w:szCs w:val="20"/>
          <w:highlight w:val="none"/>
        </w:rPr>
      </w:pPr>
      <w:r>
        <w:rPr>
          <w:rFonts w:hint="eastAsia" w:ascii="宋体" w:hAnsi="宋体" w:eastAsia="宋体" w:cs="宋体"/>
          <w:color w:val="000000"/>
          <w:kern w:val="0"/>
          <w:sz w:val="20"/>
          <w:szCs w:val="20"/>
          <w:highlight w:val="none"/>
          <w:lang w:val="en-US" w:eastAsia="zh-CN" w:bidi="ar"/>
        </w:rPr>
        <w:t xml:space="preserve">3.5.1 评标委员会按本章第2.2.4（3）目规定的评审因素和分值对投标报价计算出得分C。投标报价得分分值计算保留小数点后四位，小数点后第五位“四舍五入”。 </w:t>
      </w:r>
    </w:p>
    <w:p w14:paraId="6055D220">
      <w:pPr>
        <w:keepNext w:val="0"/>
        <w:keepLines w:val="0"/>
        <w:widowControl/>
        <w:suppressLineNumbers w:val="0"/>
        <w:spacing w:line="360" w:lineRule="auto"/>
        <w:ind w:firstLine="200" w:firstLineChars="100"/>
        <w:jc w:val="left"/>
        <w:rPr>
          <w:rFonts w:hint="eastAsia" w:ascii="宋体" w:hAnsi="宋体" w:eastAsia="宋体" w:cs="宋体"/>
          <w:sz w:val="20"/>
          <w:szCs w:val="20"/>
          <w:highlight w:val="none"/>
        </w:rPr>
      </w:pPr>
      <w:r>
        <w:rPr>
          <w:rFonts w:hint="eastAsia" w:ascii="宋体" w:hAnsi="宋体" w:eastAsia="宋体" w:cs="宋体"/>
          <w:color w:val="000000"/>
          <w:kern w:val="0"/>
          <w:sz w:val="20"/>
          <w:szCs w:val="20"/>
          <w:highlight w:val="none"/>
          <w:lang w:val="en-US" w:eastAsia="zh-CN" w:bidi="ar"/>
        </w:rPr>
        <w:t xml:space="preserve">3.5.2 投标人综合得分=投标人的商务和技术得分+ C </w:t>
      </w:r>
    </w:p>
    <w:p w14:paraId="55CEE278">
      <w:pPr>
        <w:keepNext w:val="0"/>
        <w:keepLines w:val="0"/>
        <w:widowControl/>
        <w:suppressLineNumbers w:val="0"/>
        <w:spacing w:line="360" w:lineRule="auto"/>
        <w:ind w:firstLine="200" w:firstLineChars="100"/>
        <w:jc w:val="left"/>
        <w:rPr>
          <w:rFonts w:hint="eastAsia" w:ascii="宋体" w:hAnsi="宋体" w:eastAsia="宋体" w:cs="宋体"/>
          <w:sz w:val="20"/>
          <w:szCs w:val="20"/>
          <w:highlight w:val="none"/>
        </w:rPr>
      </w:pPr>
      <w:r>
        <w:rPr>
          <w:rFonts w:hint="eastAsia" w:ascii="宋体" w:hAnsi="宋体" w:eastAsia="宋体" w:cs="宋体"/>
          <w:color w:val="000000"/>
          <w:kern w:val="0"/>
          <w:sz w:val="20"/>
          <w:szCs w:val="20"/>
          <w:highlight w:val="none"/>
          <w:lang w:val="en-US" w:eastAsia="zh-CN" w:bidi="ar"/>
        </w:rPr>
        <w:t>3.5.3 评标委员会发现投标人的报价明显低于其他投标报价，使得其投标报价可能低于其个别成本的，应要求该投标人作出书面说明并提供相应的证明材料。投标人不能合理说明或不能提供相应证明材料的，评标委员会应认定该投标人以低于成本报价竞标，并否决其投标。</w:t>
      </w:r>
    </w:p>
    <w:p w14:paraId="7BEBE4EE">
      <w:pPr>
        <w:keepNext w:val="0"/>
        <w:keepLines w:val="0"/>
        <w:widowControl/>
        <w:suppressLineNumbers w:val="0"/>
        <w:spacing w:line="360" w:lineRule="auto"/>
        <w:jc w:val="left"/>
        <w:rPr>
          <w:rFonts w:hint="eastAsia" w:ascii="宋体" w:hAnsi="宋体" w:eastAsia="宋体" w:cs="宋体"/>
          <w:sz w:val="20"/>
          <w:szCs w:val="20"/>
          <w:highlight w:val="none"/>
        </w:rPr>
      </w:pPr>
      <w:r>
        <w:rPr>
          <w:rFonts w:hint="eastAsia" w:ascii="宋体" w:hAnsi="宋体" w:eastAsia="宋体" w:cs="宋体"/>
          <w:b/>
          <w:bCs/>
          <w:color w:val="000000"/>
          <w:kern w:val="0"/>
          <w:sz w:val="20"/>
          <w:szCs w:val="20"/>
          <w:highlight w:val="none"/>
          <w:lang w:val="en-US" w:eastAsia="zh-CN" w:bidi="ar"/>
        </w:rPr>
        <w:t xml:space="preserve">3.6 投标文件相关信息的核查 </w:t>
      </w:r>
    </w:p>
    <w:p w14:paraId="0EDC3F2F">
      <w:pPr>
        <w:keepNext w:val="0"/>
        <w:keepLines w:val="0"/>
        <w:widowControl/>
        <w:suppressLineNumbers w:val="0"/>
        <w:spacing w:line="360" w:lineRule="auto"/>
        <w:ind w:firstLine="200" w:firstLineChars="100"/>
        <w:jc w:val="left"/>
        <w:rPr>
          <w:rFonts w:hint="eastAsia" w:ascii="宋体" w:hAnsi="宋体" w:eastAsia="宋体" w:cs="宋体"/>
          <w:sz w:val="20"/>
          <w:szCs w:val="20"/>
          <w:highlight w:val="none"/>
        </w:rPr>
      </w:pPr>
      <w:r>
        <w:rPr>
          <w:rFonts w:hint="eastAsia" w:ascii="宋体" w:hAnsi="宋体" w:eastAsia="宋体" w:cs="宋体"/>
          <w:color w:val="000000"/>
          <w:kern w:val="0"/>
          <w:sz w:val="20"/>
          <w:szCs w:val="20"/>
          <w:highlight w:val="none"/>
          <w:lang w:val="en-US" w:eastAsia="zh-CN" w:bidi="ar"/>
        </w:rPr>
        <w:t xml:space="preserve">3.6.1 在评标过程中，评标委员会应查询交通运输主管部门“公路建设市场信用信息管理系统”，对投标人的资质、业绩、主要人员资历和目前在岗情况、信用等级等信息进行核实。若投标文件载明的信息与交通运输主管部门“公路建设市场信用信息管理系统”发布的信息不符，使得投标人的资格条件不符合招标文件规定的，评标委员会应否决其投标。 </w:t>
      </w:r>
    </w:p>
    <w:p w14:paraId="6F4A81E9">
      <w:pPr>
        <w:keepNext w:val="0"/>
        <w:keepLines w:val="0"/>
        <w:widowControl/>
        <w:suppressLineNumbers w:val="0"/>
        <w:spacing w:line="360" w:lineRule="auto"/>
        <w:ind w:firstLine="200" w:firstLineChars="100"/>
        <w:jc w:val="left"/>
        <w:rPr>
          <w:rFonts w:hint="eastAsia" w:ascii="宋体" w:hAnsi="宋体" w:eastAsia="宋体" w:cs="宋体"/>
          <w:sz w:val="20"/>
          <w:szCs w:val="20"/>
          <w:highlight w:val="none"/>
        </w:rPr>
      </w:pPr>
      <w:r>
        <w:rPr>
          <w:rFonts w:hint="eastAsia" w:ascii="宋体" w:hAnsi="宋体" w:eastAsia="宋体" w:cs="宋体"/>
          <w:color w:val="000000"/>
          <w:kern w:val="0"/>
          <w:sz w:val="20"/>
          <w:szCs w:val="20"/>
          <w:highlight w:val="none"/>
          <w:lang w:val="en-US" w:eastAsia="zh-CN" w:bidi="ar"/>
        </w:rPr>
        <w:t xml:space="preserve">3.6.2 评标委员会应对在评标过程中发现的投标人与投标人之间、投标人与招标人之间存在的串通投标的情形进行评审和认定。投标人存在串通投标、弄虚作假、行贿等违法行为的，评标委员会应否决其投标。 </w:t>
      </w:r>
    </w:p>
    <w:p w14:paraId="3D6EA711">
      <w:pPr>
        <w:keepNext w:val="0"/>
        <w:keepLines w:val="0"/>
        <w:widowControl/>
        <w:suppressLineNumbers w:val="0"/>
        <w:spacing w:line="360" w:lineRule="auto"/>
        <w:jc w:val="left"/>
        <w:rPr>
          <w:rFonts w:hint="eastAsia" w:ascii="宋体" w:hAnsi="宋体" w:eastAsia="宋体" w:cs="宋体"/>
          <w:sz w:val="20"/>
          <w:szCs w:val="20"/>
          <w:highlight w:val="none"/>
        </w:rPr>
      </w:pPr>
      <w:r>
        <w:rPr>
          <w:rFonts w:hint="eastAsia" w:ascii="宋体" w:hAnsi="宋体" w:eastAsia="宋体" w:cs="宋体"/>
          <w:color w:val="000000"/>
          <w:kern w:val="0"/>
          <w:sz w:val="20"/>
          <w:szCs w:val="20"/>
          <w:highlight w:val="none"/>
          <w:lang w:val="en-US" w:eastAsia="zh-CN" w:bidi="ar"/>
        </w:rPr>
        <w:t xml:space="preserve">（1）有下列情形之一的，属于投标人相互串通投标： </w:t>
      </w:r>
    </w:p>
    <w:p w14:paraId="68DD4C3C">
      <w:pPr>
        <w:keepNext w:val="0"/>
        <w:keepLines w:val="0"/>
        <w:widowControl/>
        <w:suppressLineNumbers w:val="0"/>
        <w:spacing w:line="360" w:lineRule="auto"/>
        <w:jc w:val="left"/>
        <w:rPr>
          <w:rFonts w:hint="eastAsia" w:ascii="宋体" w:hAnsi="宋体" w:eastAsia="宋体" w:cs="宋体"/>
          <w:sz w:val="20"/>
          <w:szCs w:val="20"/>
          <w:highlight w:val="none"/>
        </w:rPr>
      </w:pPr>
      <w:r>
        <w:rPr>
          <w:rFonts w:hint="eastAsia" w:ascii="宋体" w:hAnsi="宋体" w:eastAsia="宋体" w:cs="宋体"/>
          <w:color w:val="000000"/>
          <w:kern w:val="0"/>
          <w:sz w:val="20"/>
          <w:szCs w:val="20"/>
          <w:highlight w:val="none"/>
          <w:lang w:val="en-US" w:eastAsia="zh-CN" w:bidi="ar"/>
        </w:rPr>
        <w:t xml:space="preserve">a. 投标人之间协商投标报价等投标文件的实质性内容； </w:t>
      </w:r>
    </w:p>
    <w:p w14:paraId="774C07BE">
      <w:pPr>
        <w:keepNext w:val="0"/>
        <w:keepLines w:val="0"/>
        <w:widowControl/>
        <w:suppressLineNumbers w:val="0"/>
        <w:spacing w:line="360" w:lineRule="auto"/>
        <w:jc w:val="left"/>
        <w:rPr>
          <w:rFonts w:hint="eastAsia" w:ascii="宋体" w:hAnsi="宋体" w:eastAsia="宋体" w:cs="宋体"/>
          <w:sz w:val="20"/>
          <w:szCs w:val="20"/>
          <w:highlight w:val="none"/>
        </w:rPr>
      </w:pPr>
      <w:r>
        <w:rPr>
          <w:rFonts w:hint="eastAsia" w:ascii="宋体" w:hAnsi="宋体" w:eastAsia="宋体" w:cs="宋体"/>
          <w:color w:val="000000"/>
          <w:kern w:val="0"/>
          <w:sz w:val="20"/>
          <w:szCs w:val="20"/>
          <w:highlight w:val="none"/>
          <w:lang w:val="en-US" w:eastAsia="zh-CN" w:bidi="ar"/>
        </w:rPr>
        <w:t xml:space="preserve">b. 投标人之间约定中标人； </w:t>
      </w:r>
    </w:p>
    <w:p w14:paraId="42C8480E">
      <w:pPr>
        <w:keepNext w:val="0"/>
        <w:keepLines w:val="0"/>
        <w:widowControl/>
        <w:suppressLineNumbers w:val="0"/>
        <w:spacing w:line="360" w:lineRule="auto"/>
        <w:jc w:val="left"/>
        <w:rPr>
          <w:rFonts w:hint="eastAsia" w:ascii="宋体" w:hAnsi="宋体" w:eastAsia="宋体" w:cs="宋体"/>
          <w:sz w:val="20"/>
          <w:szCs w:val="20"/>
          <w:highlight w:val="none"/>
        </w:rPr>
      </w:pPr>
      <w:r>
        <w:rPr>
          <w:rFonts w:hint="eastAsia" w:ascii="宋体" w:hAnsi="宋体" w:eastAsia="宋体" w:cs="宋体"/>
          <w:color w:val="000000"/>
          <w:kern w:val="0"/>
          <w:sz w:val="20"/>
          <w:szCs w:val="20"/>
          <w:highlight w:val="none"/>
          <w:lang w:val="en-US" w:eastAsia="zh-CN" w:bidi="ar"/>
        </w:rPr>
        <w:t xml:space="preserve">c. 投标人之间约定部分投标人放弃投标或中标； </w:t>
      </w:r>
    </w:p>
    <w:p w14:paraId="27AAD60B">
      <w:pPr>
        <w:keepNext w:val="0"/>
        <w:keepLines w:val="0"/>
        <w:widowControl/>
        <w:suppressLineNumbers w:val="0"/>
        <w:spacing w:line="360" w:lineRule="auto"/>
        <w:jc w:val="left"/>
        <w:rPr>
          <w:rFonts w:hint="eastAsia" w:ascii="宋体" w:hAnsi="宋体" w:eastAsia="宋体" w:cs="宋体"/>
          <w:sz w:val="20"/>
          <w:szCs w:val="20"/>
          <w:highlight w:val="none"/>
        </w:rPr>
      </w:pPr>
      <w:r>
        <w:rPr>
          <w:rFonts w:hint="eastAsia" w:ascii="宋体" w:hAnsi="宋体" w:eastAsia="宋体" w:cs="宋体"/>
          <w:color w:val="000000"/>
          <w:kern w:val="0"/>
          <w:sz w:val="20"/>
          <w:szCs w:val="20"/>
          <w:highlight w:val="none"/>
          <w:lang w:val="en-US" w:eastAsia="zh-CN" w:bidi="ar"/>
        </w:rPr>
        <w:t xml:space="preserve">d. 属于同一集团、协会、商会等组织成员的投标人按照该组织要求协同投标； </w:t>
      </w:r>
    </w:p>
    <w:p w14:paraId="718C9237">
      <w:pPr>
        <w:keepNext w:val="0"/>
        <w:keepLines w:val="0"/>
        <w:widowControl/>
        <w:suppressLineNumbers w:val="0"/>
        <w:spacing w:line="360" w:lineRule="auto"/>
        <w:jc w:val="left"/>
        <w:rPr>
          <w:rFonts w:hint="eastAsia" w:ascii="宋体" w:hAnsi="宋体" w:eastAsia="宋体" w:cs="宋体"/>
          <w:sz w:val="20"/>
          <w:szCs w:val="20"/>
          <w:highlight w:val="none"/>
        </w:rPr>
      </w:pPr>
      <w:r>
        <w:rPr>
          <w:rFonts w:hint="eastAsia" w:ascii="宋体" w:hAnsi="宋体" w:eastAsia="宋体" w:cs="宋体"/>
          <w:color w:val="000000"/>
          <w:kern w:val="0"/>
          <w:sz w:val="20"/>
          <w:szCs w:val="20"/>
          <w:highlight w:val="none"/>
          <w:lang w:val="en-US" w:eastAsia="zh-CN" w:bidi="ar"/>
        </w:rPr>
        <w:t xml:space="preserve">e. 投标人之间为谋取中标或排斥特定投标人而采取的其他联合行动。 </w:t>
      </w:r>
    </w:p>
    <w:p w14:paraId="073007C1">
      <w:pPr>
        <w:keepNext w:val="0"/>
        <w:keepLines w:val="0"/>
        <w:widowControl/>
        <w:suppressLineNumbers w:val="0"/>
        <w:spacing w:line="360" w:lineRule="auto"/>
        <w:jc w:val="left"/>
        <w:rPr>
          <w:rFonts w:hint="eastAsia" w:ascii="宋体" w:hAnsi="宋体" w:eastAsia="宋体" w:cs="宋体"/>
          <w:sz w:val="20"/>
          <w:szCs w:val="20"/>
          <w:highlight w:val="none"/>
        </w:rPr>
      </w:pPr>
      <w:r>
        <w:rPr>
          <w:rFonts w:hint="eastAsia" w:ascii="宋体" w:hAnsi="宋体" w:eastAsia="宋体" w:cs="宋体"/>
          <w:color w:val="000000"/>
          <w:kern w:val="0"/>
          <w:sz w:val="20"/>
          <w:szCs w:val="20"/>
          <w:highlight w:val="none"/>
          <w:lang w:val="en-US" w:eastAsia="zh-CN" w:bidi="ar"/>
        </w:rPr>
        <w:t xml:space="preserve">（2）有下列情形之一的，视为投标人相互串通投标： </w:t>
      </w:r>
    </w:p>
    <w:p w14:paraId="4884FB0E">
      <w:pPr>
        <w:keepNext w:val="0"/>
        <w:keepLines w:val="0"/>
        <w:widowControl/>
        <w:suppressLineNumbers w:val="0"/>
        <w:spacing w:line="360" w:lineRule="auto"/>
        <w:jc w:val="left"/>
        <w:rPr>
          <w:rFonts w:hint="eastAsia" w:ascii="宋体" w:hAnsi="宋体" w:eastAsia="宋体" w:cs="宋体"/>
          <w:sz w:val="20"/>
          <w:szCs w:val="20"/>
          <w:highlight w:val="none"/>
        </w:rPr>
      </w:pPr>
      <w:r>
        <w:rPr>
          <w:rFonts w:hint="eastAsia" w:ascii="宋体" w:hAnsi="宋体" w:eastAsia="宋体" w:cs="宋体"/>
          <w:color w:val="000000"/>
          <w:kern w:val="0"/>
          <w:sz w:val="20"/>
          <w:szCs w:val="20"/>
          <w:highlight w:val="none"/>
          <w:lang w:val="en-US" w:eastAsia="zh-CN" w:bidi="ar"/>
        </w:rPr>
        <w:t xml:space="preserve">a. 不同投标人的投标文件由同一单位或个人编制； </w:t>
      </w:r>
    </w:p>
    <w:p w14:paraId="2D9BEE0A">
      <w:pPr>
        <w:keepNext w:val="0"/>
        <w:keepLines w:val="0"/>
        <w:widowControl/>
        <w:suppressLineNumbers w:val="0"/>
        <w:spacing w:line="360" w:lineRule="auto"/>
        <w:jc w:val="left"/>
        <w:rPr>
          <w:rFonts w:hint="eastAsia" w:ascii="宋体" w:hAnsi="宋体" w:eastAsia="宋体" w:cs="宋体"/>
          <w:sz w:val="20"/>
          <w:szCs w:val="20"/>
          <w:highlight w:val="none"/>
        </w:rPr>
      </w:pPr>
      <w:r>
        <w:rPr>
          <w:rFonts w:hint="eastAsia" w:ascii="宋体" w:hAnsi="宋体" w:eastAsia="宋体" w:cs="宋体"/>
          <w:color w:val="000000"/>
          <w:kern w:val="0"/>
          <w:sz w:val="20"/>
          <w:szCs w:val="20"/>
          <w:highlight w:val="none"/>
          <w:lang w:val="en-US" w:eastAsia="zh-CN" w:bidi="ar"/>
        </w:rPr>
        <w:t xml:space="preserve">b. 不同投标人委托同一单位或个人办理投标事宜； </w:t>
      </w:r>
    </w:p>
    <w:p w14:paraId="6DFFAD2D">
      <w:pPr>
        <w:keepNext w:val="0"/>
        <w:keepLines w:val="0"/>
        <w:widowControl/>
        <w:suppressLineNumbers w:val="0"/>
        <w:spacing w:line="360" w:lineRule="auto"/>
        <w:jc w:val="left"/>
        <w:rPr>
          <w:rFonts w:hint="eastAsia" w:ascii="宋体" w:hAnsi="宋体" w:eastAsia="宋体" w:cs="宋体"/>
          <w:sz w:val="20"/>
          <w:szCs w:val="20"/>
          <w:highlight w:val="none"/>
        </w:rPr>
      </w:pPr>
      <w:r>
        <w:rPr>
          <w:rFonts w:hint="eastAsia" w:ascii="宋体" w:hAnsi="宋体" w:eastAsia="宋体" w:cs="宋体"/>
          <w:color w:val="000000"/>
          <w:kern w:val="0"/>
          <w:sz w:val="20"/>
          <w:szCs w:val="20"/>
          <w:highlight w:val="none"/>
          <w:lang w:val="en-US" w:eastAsia="zh-CN" w:bidi="ar"/>
        </w:rPr>
        <w:t xml:space="preserve">c. 不同投标人的投标文件载明的项目管理成员为同一人； </w:t>
      </w:r>
    </w:p>
    <w:p w14:paraId="7B7092B6">
      <w:pPr>
        <w:keepNext w:val="0"/>
        <w:keepLines w:val="0"/>
        <w:widowControl/>
        <w:suppressLineNumbers w:val="0"/>
        <w:spacing w:line="360" w:lineRule="auto"/>
        <w:jc w:val="left"/>
        <w:rPr>
          <w:rFonts w:hint="eastAsia" w:ascii="宋体" w:hAnsi="宋体" w:eastAsia="宋体" w:cs="宋体"/>
          <w:sz w:val="20"/>
          <w:szCs w:val="20"/>
          <w:highlight w:val="none"/>
        </w:rPr>
      </w:pPr>
      <w:r>
        <w:rPr>
          <w:rFonts w:hint="eastAsia" w:ascii="宋体" w:hAnsi="宋体" w:eastAsia="宋体" w:cs="宋体"/>
          <w:color w:val="000000"/>
          <w:kern w:val="0"/>
          <w:sz w:val="20"/>
          <w:szCs w:val="20"/>
          <w:highlight w:val="none"/>
          <w:lang w:val="en-US" w:eastAsia="zh-CN" w:bidi="ar"/>
        </w:rPr>
        <w:t xml:space="preserve">d. 不同投标人的投标文件异常一致或投标报价呈规律性差异； </w:t>
      </w:r>
    </w:p>
    <w:p w14:paraId="24B267DE">
      <w:pPr>
        <w:keepNext w:val="0"/>
        <w:keepLines w:val="0"/>
        <w:widowControl/>
        <w:suppressLineNumbers w:val="0"/>
        <w:spacing w:line="360" w:lineRule="auto"/>
        <w:jc w:val="left"/>
        <w:rPr>
          <w:rFonts w:hint="eastAsia" w:ascii="宋体" w:hAnsi="宋体" w:eastAsia="宋体" w:cs="宋体"/>
          <w:sz w:val="20"/>
          <w:szCs w:val="20"/>
          <w:highlight w:val="none"/>
        </w:rPr>
      </w:pPr>
      <w:r>
        <w:rPr>
          <w:rFonts w:hint="eastAsia" w:ascii="宋体" w:hAnsi="宋体" w:eastAsia="宋体" w:cs="宋体"/>
          <w:color w:val="000000"/>
          <w:kern w:val="0"/>
          <w:sz w:val="20"/>
          <w:szCs w:val="20"/>
          <w:highlight w:val="none"/>
          <w:lang w:val="en-US" w:eastAsia="zh-CN" w:bidi="ar"/>
        </w:rPr>
        <w:t xml:space="preserve">e. 不同投标人的投标文件相互混装； </w:t>
      </w:r>
    </w:p>
    <w:p w14:paraId="6A3A9728">
      <w:pPr>
        <w:keepNext w:val="0"/>
        <w:keepLines w:val="0"/>
        <w:widowControl/>
        <w:suppressLineNumbers w:val="0"/>
        <w:spacing w:line="360" w:lineRule="auto"/>
        <w:jc w:val="left"/>
        <w:rPr>
          <w:rFonts w:hint="eastAsia" w:ascii="宋体" w:hAnsi="宋体" w:eastAsia="宋体" w:cs="宋体"/>
          <w:sz w:val="20"/>
          <w:szCs w:val="20"/>
          <w:highlight w:val="none"/>
        </w:rPr>
      </w:pPr>
      <w:r>
        <w:rPr>
          <w:rFonts w:hint="eastAsia" w:ascii="宋体" w:hAnsi="宋体" w:eastAsia="宋体" w:cs="宋体"/>
          <w:color w:val="000000"/>
          <w:kern w:val="0"/>
          <w:sz w:val="20"/>
          <w:szCs w:val="20"/>
          <w:highlight w:val="none"/>
          <w:lang w:val="en-US" w:eastAsia="zh-CN" w:bidi="ar"/>
        </w:rPr>
        <w:t xml:space="preserve">f. 不同投标人的投标保证金从同一单位或个人的账户转出。 </w:t>
      </w:r>
    </w:p>
    <w:p w14:paraId="03164EB1">
      <w:pPr>
        <w:keepNext w:val="0"/>
        <w:keepLines w:val="0"/>
        <w:widowControl/>
        <w:suppressLineNumbers w:val="0"/>
        <w:spacing w:line="360" w:lineRule="auto"/>
        <w:jc w:val="left"/>
        <w:rPr>
          <w:rFonts w:hint="eastAsia" w:ascii="宋体" w:hAnsi="宋体" w:eastAsia="宋体" w:cs="宋体"/>
          <w:sz w:val="20"/>
          <w:szCs w:val="20"/>
          <w:highlight w:val="none"/>
        </w:rPr>
      </w:pPr>
      <w:r>
        <w:rPr>
          <w:rFonts w:hint="eastAsia" w:ascii="宋体" w:hAnsi="宋体" w:eastAsia="宋体" w:cs="宋体"/>
          <w:color w:val="000000"/>
          <w:kern w:val="0"/>
          <w:sz w:val="20"/>
          <w:szCs w:val="20"/>
          <w:highlight w:val="none"/>
          <w:lang w:val="en-US" w:eastAsia="zh-CN" w:bidi="ar"/>
        </w:rPr>
        <w:t xml:space="preserve">（3）有下列情形之一的，属于招标人与投标人串通投标： </w:t>
      </w:r>
    </w:p>
    <w:p w14:paraId="3AAE2966">
      <w:pPr>
        <w:keepNext w:val="0"/>
        <w:keepLines w:val="0"/>
        <w:widowControl/>
        <w:suppressLineNumbers w:val="0"/>
        <w:spacing w:line="360" w:lineRule="auto"/>
        <w:jc w:val="left"/>
        <w:rPr>
          <w:rFonts w:hint="eastAsia" w:ascii="宋体" w:hAnsi="宋体" w:eastAsia="宋体" w:cs="宋体"/>
          <w:sz w:val="20"/>
          <w:szCs w:val="20"/>
          <w:highlight w:val="none"/>
        </w:rPr>
      </w:pPr>
      <w:r>
        <w:rPr>
          <w:rFonts w:hint="eastAsia" w:ascii="宋体" w:hAnsi="宋体" w:eastAsia="宋体" w:cs="宋体"/>
          <w:color w:val="000000"/>
          <w:kern w:val="0"/>
          <w:sz w:val="20"/>
          <w:szCs w:val="20"/>
          <w:highlight w:val="none"/>
          <w:lang w:val="en-US" w:eastAsia="zh-CN" w:bidi="ar"/>
        </w:rPr>
        <w:t xml:space="preserve">a. 招标人在开标前开启投标文件并将有关信息泄露给其他投标人； </w:t>
      </w:r>
    </w:p>
    <w:p w14:paraId="391A9285">
      <w:pPr>
        <w:keepNext w:val="0"/>
        <w:keepLines w:val="0"/>
        <w:widowControl/>
        <w:suppressLineNumbers w:val="0"/>
        <w:spacing w:line="360" w:lineRule="auto"/>
        <w:jc w:val="left"/>
        <w:rPr>
          <w:rFonts w:hint="eastAsia" w:ascii="宋体" w:hAnsi="宋体" w:eastAsia="宋体" w:cs="宋体"/>
          <w:sz w:val="20"/>
          <w:szCs w:val="20"/>
          <w:highlight w:val="none"/>
        </w:rPr>
      </w:pPr>
      <w:r>
        <w:rPr>
          <w:rFonts w:hint="eastAsia" w:ascii="宋体" w:hAnsi="宋体" w:eastAsia="宋体" w:cs="宋体"/>
          <w:color w:val="000000"/>
          <w:kern w:val="0"/>
          <w:sz w:val="20"/>
          <w:szCs w:val="20"/>
          <w:highlight w:val="none"/>
          <w:lang w:val="en-US" w:eastAsia="zh-CN" w:bidi="ar"/>
        </w:rPr>
        <w:t xml:space="preserve">b. 招标人直接或间接向投标人泄露标底、评标委员会成员等信息； </w:t>
      </w:r>
    </w:p>
    <w:p w14:paraId="50970062">
      <w:pPr>
        <w:keepNext w:val="0"/>
        <w:keepLines w:val="0"/>
        <w:widowControl/>
        <w:suppressLineNumbers w:val="0"/>
        <w:spacing w:line="360" w:lineRule="auto"/>
        <w:jc w:val="left"/>
        <w:rPr>
          <w:rFonts w:hint="eastAsia" w:ascii="宋体" w:hAnsi="宋体" w:eastAsia="宋体" w:cs="宋体"/>
          <w:sz w:val="20"/>
          <w:szCs w:val="20"/>
          <w:highlight w:val="none"/>
        </w:rPr>
      </w:pPr>
      <w:r>
        <w:rPr>
          <w:rFonts w:hint="eastAsia" w:ascii="宋体" w:hAnsi="宋体" w:eastAsia="宋体" w:cs="宋体"/>
          <w:color w:val="000000"/>
          <w:kern w:val="0"/>
          <w:sz w:val="20"/>
          <w:szCs w:val="20"/>
          <w:highlight w:val="none"/>
          <w:lang w:val="en-US" w:eastAsia="zh-CN" w:bidi="ar"/>
        </w:rPr>
        <w:t xml:space="preserve">c. 招标人明示或暗示投标人压低或抬高投标报价； </w:t>
      </w:r>
    </w:p>
    <w:p w14:paraId="6DC48D04">
      <w:pPr>
        <w:keepNext w:val="0"/>
        <w:keepLines w:val="0"/>
        <w:widowControl/>
        <w:suppressLineNumbers w:val="0"/>
        <w:spacing w:line="360" w:lineRule="auto"/>
        <w:jc w:val="left"/>
        <w:rPr>
          <w:rFonts w:hint="eastAsia" w:ascii="宋体" w:hAnsi="宋体" w:eastAsia="宋体" w:cs="宋体"/>
          <w:sz w:val="20"/>
          <w:szCs w:val="20"/>
          <w:highlight w:val="none"/>
        </w:rPr>
      </w:pPr>
      <w:r>
        <w:rPr>
          <w:rFonts w:hint="eastAsia" w:ascii="宋体" w:hAnsi="宋体" w:eastAsia="宋体" w:cs="宋体"/>
          <w:color w:val="000000"/>
          <w:kern w:val="0"/>
          <w:sz w:val="20"/>
          <w:szCs w:val="20"/>
          <w:highlight w:val="none"/>
          <w:lang w:val="en-US" w:eastAsia="zh-CN" w:bidi="ar"/>
        </w:rPr>
        <w:t xml:space="preserve">d. 招标人授意投标人撤换、修改投标文件； </w:t>
      </w:r>
    </w:p>
    <w:p w14:paraId="15921F23">
      <w:pPr>
        <w:keepNext w:val="0"/>
        <w:keepLines w:val="0"/>
        <w:widowControl/>
        <w:suppressLineNumbers w:val="0"/>
        <w:spacing w:line="360" w:lineRule="auto"/>
        <w:jc w:val="left"/>
        <w:rPr>
          <w:rFonts w:hint="eastAsia" w:ascii="宋体" w:hAnsi="宋体" w:eastAsia="宋体" w:cs="宋体"/>
          <w:sz w:val="20"/>
          <w:szCs w:val="20"/>
          <w:highlight w:val="none"/>
        </w:rPr>
      </w:pPr>
      <w:r>
        <w:rPr>
          <w:rFonts w:hint="eastAsia" w:ascii="宋体" w:hAnsi="宋体" w:eastAsia="宋体" w:cs="宋体"/>
          <w:color w:val="000000"/>
          <w:kern w:val="0"/>
          <w:sz w:val="20"/>
          <w:szCs w:val="20"/>
          <w:highlight w:val="none"/>
          <w:lang w:val="en-US" w:eastAsia="zh-CN" w:bidi="ar"/>
        </w:rPr>
        <w:t xml:space="preserve">e. 招标人明示或暗示投标人为特定投标人中标提供方便； </w:t>
      </w:r>
    </w:p>
    <w:p w14:paraId="600A5019">
      <w:pPr>
        <w:keepNext w:val="0"/>
        <w:keepLines w:val="0"/>
        <w:widowControl/>
        <w:suppressLineNumbers w:val="0"/>
        <w:spacing w:line="360" w:lineRule="auto"/>
        <w:jc w:val="left"/>
        <w:rPr>
          <w:rFonts w:hint="eastAsia" w:ascii="宋体" w:hAnsi="宋体" w:eastAsia="宋体" w:cs="宋体"/>
          <w:sz w:val="20"/>
          <w:szCs w:val="20"/>
          <w:highlight w:val="none"/>
        </w:rPr>
      </w:pPr>
      <w:r>
        <w:rPr>
          <w:rFonts w:hint="eastAsia" w:ascii="宋体" w:hAnsi="宋体" w:eastAsia="宋体" w:cs="宋体"/>
          <w:color w:val="000000"/>
          <w:kern w:val="0"/>
          <w:sz w:val="20"/>
          <w:szCs w:val="20"/>
          <w:highlight w:val="none"/>
          <w:lang w:val="en-US" w:eastAsia="zh-CN" w:bidi="ar"/>
        </w:rPr>
        <w:t xml:space="preserve">f. 招标人与投标人为谋求特定投标人中标而采取的其他串通行为。 </w:t>
      </w:r>
    </w:p>
    <w:p w14:paraId="1E223179">
      <w:pPr>
        <w:keepNext w:val="0"/>
        <w:keepLines w:val="0"/>
        <w:widowControl/>
        <w:suppressLineNumbers w:val="0"/>
        <w:spacing w:line="360" w:lineRule="auto"/>
        <w:jc w:val="left"/>
        <w:rPr>
          <w:rFonts w:hint="eastAsia" w:ascii="宋体" w:hAnsi="宋体" w:eastAsia="宋体" w:cs="宋体"/>
          <w:sz w:val="20"/>
          <w:szCs w:val="20"/>
          <w:highlight w:val="none"/>
        </w:rPr>
      </w:pPr>
      <w:r>
        <w:rPr>
          <w:rFonts w:hint="eastAsia" w:ascii="宋体" w:hAnsi="宋体" w:eastAsia="宋体" w:cs="宋体"/>
          <w:color w:val="000000"/>
          <w:kern w:val="0"/>
          <w:sz w:val="20"/>
          <w:szCs w:val="20"/>
          <w:highlight w:val="none"/>
          <w:lang w:val="en-US" w:eastAsia="zh-CN" w:bidi="ar"/>
        </w:rPr>
        <w:t xml:space="preserve">（4）投标人有下列情形之一的，属于弄虚作假的行为： </w:t>
      </w:r>
    </w:p>
    <w:p w14:paraId="6A74FA84">
      <w:pPr>
        <w:keepNext w:val="0"/>
        <w:keepLines w:val="0"/>
        <w:widowControl/>
        <w:suppressLineNumbers w:val="0"/>
        <w:spacing w:line="360" w:lineRule="auto"/>
        <w:jc w:val="left"/>
        <w:rPr>
          <w:rFonts w:hint="eastAsia" w:ascii="宋体" w:hAnsi="宋体" w:eastAsia="宋体" w:cs="宋体"/>
          <w:sz w:val="20"/>
          <w:szCs w:val="20"/>
          <w:highlight w:val="none"/>
        </w:rPr>
      </w:pPr>
      <w:r>
        <w:rPr>
          <w:rFonts w:hint="eastAsia" w:ascii="宋体" w:hAnsi="宋体" w:eastAsia="宋体" w:cs="宋体"/>
          <w:color w:val="000000"/>
          <w:kern w:val="0"/>
          <w:sz w:val="20"/>
          <w:szCs w:val="20"/>
          <w:highlight w:val="none"/>
          <w:lang w:val="en-US" w:eastAsia="zh-CN" w:bidi="ar"/>
        </w:rPr>
        <w:t xml:space="preserve">a. 使用通过受让或租借等方式获取的资格、资质证书投标； </w:t>
      </w:r>
    </w:p>
    <w:p w14:paraId="793D0F48">
      <w:pPr>
        <w:keepNext w:val="0"/>
        <w:keepLines w:val="0"/>
        <w:widowControl/>
        <w:suppressLineNumbers w:val="0"/>
        <w:spacing w:line="360" w:lineRule="auto"/>
        <w:jc w:val="left"/>
        <w:rPr>
          <w:rFonts w:hint="eastAsia" w:ascii="宋体" w:hAnsi="宋体" w:eastAsia="宋体" w:cs="宋体"/>
          <w:sz w:val="20"/>
          <w:szCs w:val="20"/>
          <w:highlight w:val="none"/>
        </w:rPr>
      </w:pPr>
      <w:r>
        <w:rPr>
          <w:rFonts w:hint="eastAsia" w:ascii="宋体" w:hAnsi="宋体" w:eastAsia="宋体" w:cs="宋体"/>
          <w:color w:val="000000"/>
          <w:kern w:val="0"/>
          <w:sz w:val="20"/>
          <w:szCs w:val="20"/>
          <w:highlight w:val="none"/>
          <w:lang w:val="en-US" w:eastAsia="zh-CN" w:bidi="ar"/>
        </w:rPr>
        <w:t xml:space="preserve">b. 使用伪造、变造的许可证件； </w:t>
      </w:r>
    </w:p>
    <w:p w14:paraId="2F18450E">
      <w:pPr>
        <w:keepNext w:val="0"/>
        <w:keepLines w:val="0"/>
        <w:widowControl/>
        <w:suppressLineNumbers w:val="0"/>
        <w:spacing w:line="360" w:lineRule="auto"/>
        <w:jc w:val="left"/>
        <w:rPr>
          <w:rFonts w:hint="eastAsia" w:ascii="宋体" w:hAnsi="宋体" w:eastAsia="宋体" w:cs="宋体"/>
          <w:color w:val="000000"/>
          <w:kern w:val="0"/>
          <w:sz w:val="20"/>
          <w:szCs w:val="20"/>
          <w:highlight w:val="none"/>
          <w:lang w:val="en-US" w:eastAsia="zh-CN" w:bidi="ar"/>
        </w:rPr>
      </w:pPr>
      <w:r>
        <w:rPr>
          <w:rFonts w:hint="eastAsia" w:ascii="宋体" w:hAnsi="宋体" w:eastAsia="宋体" w:cs="宋体"/>
          <w:color w:val="000000"/>
          <w:kern w:val="0"/>
          <w:sz w:val="20"/>
          <w:szCs w:val="20"/>
          <w:highlight w:val="none"/>
          <w:lang w:val="en-US" w:eastAsia="zh-CN" w:bidi="ar"/>
        </w:rPr>
        <w:t>c. 提供虚假的财务状况或业绩；</w:t>
      </w:r>
    </w:p>
    <w:p w14:paraId="05DA818E">
      <w:pPr>
        <w:keepNext w:val="0"/>
        <w:keepLines w:val="0"/>
        <w:widowControl/>
        <w:suppressLineNumbers w:val="0"/>
        <w:spacing w:line="360" w:lineRule="auto"/>
        <w:jc w:val="left"/>
        <w:rPr>
          <w:rFonts w:hint="eastAsia" w:ascii="宋体" w:hAnsi="宋体" w:eastAsia="宋体" w:cs="宋体"/>
          <w:sz w:val="20"/>
          <w:szCs w:val="20"/>
          <w:highlight w:val="none"/>
        </w:rPr>
      </w:pPr>
      <w:r>
        <w:rPr>
          <w:rFonts w:hint="eastAsia" w:ascii="宋体" w:hAnsi="宋体" w:eastAsia="宋体" w:cs="宋体"/>
          <w:color w:val="000000"/>
          <w:kern w:val="0"/>
          <w:sz w:val="20"/>
          <w:szCs w:val="20"/>
          <w:highlight w:val="none"/>
          <w:lang w:val="en-US" w:eastAsia="zh-CN" w:bidi="ar"/>
        </w:rPr>
        <w:t xml:space="preserve">d. 提供虚假的项目负责人或主要技术人员简历、劳动关系证明； </w:t>
      </w:r>
    </w:p>
    <w:p w14:paraId="754B8A8C">
      <w:pPr>
        <w:keepNext w:val="0"/>
        <w:keepLines w:val="0"/>
        <w:widowControl/>
        <w:suppressLineNumbers w:val="0"/>
        <w:spacing w:line="360" w:lineRule="auto"/>
        <w:jc w:val="left"/>
        <w:rPr>
          <w:rFonts w:hint="eastAsia" w:ascii="宋体" w:hAnsi="宋体" w:eastAsia="宋体" w:cs="宋体"/>
          <w:sz w:val="20"/>
          <w:szCs w:val="20"/>
          <w:highlight w:val="none"/>
        </w:rPr>
      </w:pPr>
      <w:r>
        <w:rPr>
          <w:rFonts w:hint="eastAsia" w:ascii="宋体" w:hAnsi="宋体" w:eastAsia="宋体" w:cs="宋体"/>
          <w:color w:val="000000"/>
          <w:kern w:val="0"/>
          <w:sz w:val="20"/>
          <w:szCs w:val="20"/>
          <w:highlight w:val="none"/>
          <w:lang w:val="en-US" w:eastAsia="zh-CN" w:bidi="ar"/>
        </w:rPr>
        <w:t xml:space="preserve">e. 提供虚假的信用状况； </w:t>
      </w:r>
    </w:p>
    <w:p w14:paraId="4AFAA655">
      <w:pPr>
        <w:keepNext w:val="0"/>
        <w:keepLines w:val="0"/>
        <w:widowControl/>
        <w:suppressLineNumbers w:val="0"/>
        <w:spacing w:line="360" w:lineRule="auto"/>
        <w:jc w:val="left"/>
        <w:rPr>
          <w:rFonts w:hint="eastAsia" w:ascii="宋体" w:hAnsi="宋体" w:eastAsia="宋体" w:cs="宋体"/>
          <w:sz w:val="20"/>
          <w:szCs w:val="20"/>
          <w:highlight w:val="none"/>
        </w:rPr>
      </w:pPr>
      <w:r>
        <w:rPr>
          <w:rFonts w:hint="eastAsia" w:ascii="宋体" w:hAnsi="宋体" w:eastAsia="宋体" w:cs="宋体"/>
          <w:color w:val="000000"/>
          <w:kern w:val="0"/>
          <w:sz w:val="20"/>
          <w:szCs w:val="20"/>
          <w:highlight w:val="none"/>
          <w:lang w:val="en-US" w:eastAsia="zh-CN" w:bidi="ar"/>
        </w:rPr>
        <w:t xml:space="preserve">f. 其他弄虚作假的行为。 </w:t>
      </w:r>
    </w:p>
    <w:p w14:paraId="6BFFB177">
      <w:pPr>
        <w:keepNext w:val="0"/>
        <w:keepLines w:val="0"/>
        <w:widowControl/>
        <w:suppressLineNumbers w:val="0"/>
        <w:spacing w:line="360" w:lineRule="auto"/>
        <w:jc w:val="left"/>
        <w:rPr>
          <w:rFonts w:hint="eastAsia" w:ascii="宋体" w:hAnsi="宋体" w:eastAsia="宋体" w:cs="宋体"/>
          <w:sz w:val="20"/>
          <w:szCs w:val="20"/>
          <w:highlight w:val="none"/>
        </w:rPr>
      </w:pPr>
      <w:r>
        <w:rPr>
          <w:rFonts w:hint="eastAsia" w:ascii="宋体" w:hAnsi="宋体" w:eastAsia="宋体" w:cs="宋体"/>
          <w:b/>
          <w:bCs/>
          <w:color w:val="000000"/>
          <w:kern w:val="0"/>
          <w:sz w:val="20"/>
          <w:szCs w:val="20"/>
          <w:highlight w:val="none"/>
          <w:lang w:val="en-US" w:eastAsia="zh-CN" w:bidi="ar"/>
        </w:rPr>
        <w:t xml:space="preserve">3.7 投标文件的澄清和说明 </w:t>
      </w:r>
    </w:p>
    <w:p w14:paraId="18D1D4A1">
      <w:pPr>
        <w:keepNext w:val="0"/>
        <w:keepLines w:val="0"/>
        <w:widowControl/>
        <w:suppressLineNumbers w:val="0"/>
        <w:spacing w:line="360" w:lineRule="auto"/>
        <w:ind w:firstLine="200" w:firstLineChars="100"/>
        <w:jc w:val="left"/>
        <w:rPr>
          <w:rFonts w:hint="eastAsia" w:ascii="宋体" w:hAnsi="宋体" w:eastAsia="宋体" w:cs="宋体"/>
          <w:sz w:val="20"/>
          <w:szCs w:val="20"/>
          <w:highlight w:val="none"/>
        </w:rPr>
      </w:pPr>
      <w:r>
        <w:rPr>
          <w:rFonts w:hint="eastAsia" w:ascii="宋体" w:hAnsi="宋体" w:eastAsia="宋体" w:cs="宋体"/>
          <w:color w:val="000000"/>
          <w:kern w:val="0"/>
          <w:sz w:val="20"/>
          <w:szCs w:val="20"/>
          <w:highlight w:val="none"/>
          <w:lang w:val="en-US" w:eastAsia="zh-CN" w:bidi="ar"/>
        </w:rPr>
        <w:t xml:space="preserve">3.7.1 在评标过程中，评标委员会可以书面形式要求投标人对投标文件中含义不明确的内容、明显文字或计算错误进行书面澄清或说明。评标委员会不接受投标人主动提出的澄清、说明。投标人不按评标委员会要求澄清或说明的，评标委员会应否决其投标。 </w:t>
      </w:r>
    </w:p>
    <w:p w14:paraId="16CC6BF3">
      <w:pPr>
        <w:keepNext w:val="0"/>
        <w:keepLines w:val="0"/>
        <w:widowControl/>
        <w:suppressLineNumbers w:val="0"/>
        <w:spacing w:line="360" w:lineRule="auto"/>
        <w:ind w:firstLine="200" w:firstLineChars="100"/>
        <w:jc w:val="left"/>
        <w:rPr>
          <w:rFonts w:hint="eastAsia" w:ascii="宋体" w:hAnsi="宋体" w:eastAsia="宋体" w:cs="宋体"/>
          <w:sz w:val="20"/>
          <w:szCs w:val="20"/>
          <w:highlight w:val="none"/>
        </w:rPr>
      </w:pPr>
      <w:r>
        <w:rPr>
          <w:rFonts w:hint="eastAsia" w:ascii="宋体" w:hAnsi="宋体" w:eastAsia="宋体" w:cs="宋体"/>
          <w:color w:val="000000"/>
          <w:kern w:val="0"/>
          <w:sz w:val="20"/>
          <w:szCs w:val="20"/>
          <w:highlight w:val="none"/>
          <w:lang w:val="en-US" w:eastAsia="zh-CN" w:bidi="ar"/>
        </w:rPr>
        <w:t xml:space="preserve">3.7.2 澄清和说明不得超出投标文件的范围或改变投标文件的实质性内容（算术性错误的修正除外）。投标人的书面澄清、说明属于投标文件的组成部分。 </w:t>
      </w:r>
    </w:p>
    <w:p w14:paraId="311B4958">
      <w:pPr>
        <w:keepNext w:val="0"/>
        <w:keepLines w:val="0"/>
        <w:widowControl/>
        <w:suppressLineNumbers w:val="0"/>
        <w:spacing w:line="360" w:lineRule="auto"/>
        <w:ind w:firstLine="200" w:firstLineChars="100"/>
        <w:jc w:val="left"/>
        <w:rPr>
          <w:rFonts w:hint="eastAsia" w:ascii="宋体" w:hAnsi="宋体" w:eastAsia="宋体" w:cs="宋体"/>
          <w:sz w:val="20"/>
          <w:szCs w:val="20"/>
          <w:highlight w:val="none"/>
        </w:rPr>
      </w:pPr>
      <w:r>
        <w:rPr>
          <w:rFonts w:hint="eastAsia" w:ascii="宋体" w:hAnsi="宋体" w:eastAsia="宋体" w:cs="宋体"/>
          <w:color w:val="000000"/>
          <w:kern w:val="0"/>
          <w:sz w:val="20"/>
          <w:szCs w:val="20"/>
          <w:highlight w:val="none"/>
          <w:lang w:val="en-US" w:eastAsia="zh-CN" w:bidi="ar"/>
        </w:rPr>
        <w:t xml:space="preserve">3.7.3 评标委员会不得暗示或诱导投标人作出澄清、说明，对投标人提交的澄清、说明有疑问的，可以要求投标人进一步澄清或说明，直至满足评标委员会的要求。 </w:t>
      </w:r>
    </w:p>
    <w:p w14:paraId="46C03A16">
      <w:pPr>
        <w:keepNext w:val="0"/>
        <w:keepLines w:val="0"/>
        <w:widowControl/>
        <w:suppressLineNumbers w:val="0"/>
        <w:spacing w:line="360" w:lineRule="auto"/>
        <w:ind w:firstLine="200" w:firstLineChars="100"/>
        <w:jc w:val="left"/>
        <w:rPr>
          <w:rFonts w:hint="eastAsia" w:ascii="宋体" w:hAnsi="宋体" w:eastAsia="宋体" w:cs="宋体"/>
          <w:sz w:val="20"/>
          <w:szCs w:val="20"/>
          <w:highlight w:val="none"/>
        </w:rPr>
      </w:pPr>
      <w:r>
        <w:rPr>
          <w:rFonts w:hint="eastAsia" w:ascii="宋体" w:hAnsi="宋体" w:eastAsia="宋体" w:cs="宋体"/>
          <w:color w:val="000000"/>
          <w:kern w:val="0"/>
          <w:sz w:val="20"/>
          <w:szCs w:val="20"/>
          <w:highlight w:val="none"/>
          <w:lang w:val="en-US" w:eastAsia="zh-CN" w:bidi="ar"/>
        </w:rPr>
        <w:t xml:space="preserve">3.7.4 凡超出招标文件规定的或给发包人带来未曾要求的利益的变化、偏差或其他因素在评标时不予考虑。 </w:t>
      </w:r>
    </w:p>
    <w:p w14:paraId="42F577B8">
      <w:pPr>
        <w:keepNext w:val="0"/>
        <w:keepLines w:val="0"/>
        <w:widowControl/>
        <w:suppressLineNumbers w:val="0"/>
        <w:spacing w:line="360" w:lineRule="auto"/>
        <w:jc w:val="left"/>
        <w:rPr>
          <w:rFonts w:hint="eastAsia" w:ascii="宋体" w:hAnsi="宋体" w:eastAsia="宋体" w:cs="宋体"/>
          <w:sz w:val="20"/>
          <w:szCs w:val="20"/>
          <w:highlight w:val="none"/>
        </w:rPr>
      </w:pPr>
      <w:r>
        <w:rPr>
          <w:rFonts w:hint="eastAsia" w:ascii="宋体" w:hAnsi="宋体" w:eastAsia="宋体" w:cs="宋体"/>
          <w:b/>
          <w:bCs/>
          <w:color w:val="000000"/>
          <w:kern w:val="0"/>
          <w:sz w:val="20"/>
          <w:szCs w:val="20"/>
          <w:highlight w:val="none"/>
          <w:lang w:val="en-US" w:eastAsia="zh-CN" w:bidi="ar"/>
        </w:rPr>
        <w:t xml:space="preserve">3.8 不得否决投标的情形 </w:t>
      </w:r>
    </w:p>
    <w:p w14:paraId="4F9015BF">
      <w:pPr>
        <w:keepNext w:val="0"/>
        <w:keepLines w:val="0"/>
        <w:widowControl/>
        <w:suppressLineNumbers w:val="0"/>
        <w:spacing w:line="360" w:lineRule="auto"/>
        <w:ind w:firstLine="400" w:firstLineChars="200"/>
        <w:jc w:val="left"/>
        <w:rPr>
          <w:rFonts w:hint="eastAsia" w:ascii="宋体" w:hAnsi="宋体" w:eastAsia="宋体" w:cs="宋体"/>
          <w:sz w:val="20"/>
          <w:szCs w:val="20"/>
          <w:highlight w:val="none"/>
        </w:rPr>
      </w:pPr>
      <w:r>
        <w:rPr>
          <w:rFonts w:hint="eastAsia" w:ascii="宋体" w:hAnsi="宋体" w:eastAsia="宋体" w:cs="宋体"/>
          <w:color w:val="000000"/>
          <w:kern w:val="0"/>
          <w:sz w:val="20"/>
          <w:szCs w:val="20"/>
          <w:highlight w:val="none"/>
          <w:lang w:val="en-US" w:eastAsia="zh-CN" w:bidi="ar"/>
        </w:rPr>
        <w:t xml:space="preserve">投标文件存在第二章“投标人须知”第1.12.3项所列情形的，均视为细微偏差，评标委员会不得否决投标人的投标，应按照第二章“投标人须知”第1.12.4项规定的原则处理。 </w:t>
      </w:r>
    </w:p>
    <w:p w14:paraId="5BBCF475">
      <w:pPr>
        <w:keepNext w:val="0"/>
        <w:keepLines w:val="0"/>
        <w:widowControl/>
        <w:suppressLineNumbers w:val="0"/>
        <w:spacing w:line="360" w:lineRule="auto"/>
        <w:jc w:val="left"/>
        <w:rPr>
          <w:rFonts w:hint="eastAsia" w:ascii="宋体" w:hAnsi="宋体" w:eastAsia="宋体" w:cs="宋体"/>
          <w:sz w:val="20"/>
          <w:szCs w:val="20"/>
          <w:highlight w:val="none"/>
        </w:rPr>
      </w:pPr>
      <w:r>
        <w:rPr>
          <w:rFonts w:hint="eastAsia" w:ascii="宋体" w:hAnsi="宋体" w:eastAsia="宋体" w:cs="宋体"/>
          <w:b/>
          <w:bCs/>
          <w:color w:val="000000"/>
          <w:kern w:val="0"/>
          <w:sz w:val="20"/>
          <w:szCs w:val="20"/>
          <w:highlight w:val="none"/>
          <w:lang w:val="en-US" w:eastAsia="zh-CN" w:bidi="ar"/>
        </w:rPr>
        <w:t xml:space="preserve">3.9 评标结果 </w:t>
      </w:r>
    </w:p>
    <w:p w14:paraId="2835E30E">
      <w:pPr>
        <w:keepNext w:val="0"/>
        <w:keepLines w:val="0"/>
        <w:widowControl/>
        <w:suppressLineNumbers w:val="0"/>
        <w:spacing w:line="360" w:lineRule="auto"/>
        <w:ind w:firstLine="200" w:firstLineChars="100"/>
        <w:jc w:val="left"/>
        <w:rPr>
          <w:rFonts w:hint="eastAsia" w:ascii="宋体" w:hAnsi="宋体" w:eastAsia="宋体" w:cs="宋体"/>
          <w:sz w:val="20"/>
          <w:szCs w:val="20"/>
          <w:highlight w:val="none"/>
        </w:rPr>
      </w:pPr>
      <w:r>
        <w:rPr>
          <w:rFonts w:hint="eastAsia" w:ascii="宋体" w:hAnsi="宋体" w:eastAsia="宋体" w:cs="宋体"/>
          <w:color w:val="000000"/>
          <w:kern w:val="0"/>
          <w:sz w:val="20"/>
          <w:szCs w:val="20"/>
          <w:highlight w:val="none"/>
          <w:lang w:val="en-US" w:eastAsia="zh-CN" w:bidi="ar"/>
        </w:rPr>
        <w:t xml:space="preserve">3.9.1 除第二章“投标人须知”前附表授权直接确定中标人外，评标委员会按照评标价由低到高 </w:t>
      </w:r>
    </w:p>
    <w:p w14:paraId="005E9100">
      <w:pPr>
        <w:keepNext w:val="0"/>
        <w:keepLines w:val="0"/>
        <w:widowControl/>
        <w:suppressLineNumbers w:val="0"/>
        <w:spacing w:line="360" w:lineRule="auto"/>
        <w:jc w:val="left"/>
        <w:rPr>
          <w:rFonts w:hint="eastAsia" w:ascii="宋体" w:hAnsi="宋体" w:eastAsia="宋体" w:cs="宋体"/>
          <w:sz w:val="20"/>
          <w:szCs w:val="20"/>
          <w:highlight w:val="none"/>
        </w:rPr>
      </w:pPr>
      <w:r>
        <w:rPr>
          <w:rFonts w:hint="eastAsia" w:ascii="宋体" w:hAnsi="宋体" w:eastAsia="宋体" w:cs="宋体"/>
          <w:color w:val="000000"/>
          <w:kern w:val="0"/>
          <w:sz w:val="20"/>
          <w:szCs w:val="20"/>
          <w:highlight w:val="none"/>
          <w:lang w:val="en-US" w:eastAsia="zh-CN" w:bidi="ar"/>
        </w:rPr>
        <w:t xml:space="preserve">的顺序推荐中标候选人，并标明排序。 </w:t>
      </w:r>
    </w:p>
    <w:p w14:paraId="6ADA0A3E">
      <w:pPr>
        <w:keepNext w:val="0"/>
        <w:keepLines w:val="0"/>
        <w:widowControl/>
        <w:suppressLineNumbers w:val="0"/>
        <w:spacing w:line="360" w:lineRule="auto"/>
        <w:ind w:firstLine="200" w:firstLineChars="100"/>
        <w:jc w:val="left"/>
        <w:rPr>
          <w:rFonts w:hint="eastAsia" w:ascii="宋体" w:hAnsi="宋体" w:eastAsia="宋体" w:cs="宋体"/>
          <w:sz w:val="20"/>
          <w:szCs w:val="20"/>
          <w:highlight w:val="none"/>
        </w:rPr>
      </w:pPr>
      <w:r>
        <w:rPr>
          <w:rFonts w:hint="eastAsia" w:ascii="宋体" w:hAnsi="宋体" w:eastAsia="宋体" w:cs="宋体"/>
          <w:color w:val="000000"/>
          <w:kern w:val="0"/>
          <w:sz w:val="20"/>
          <w:szCs w:val="20"/>
          <w:highlight w:val="none"/>
          <w:lang w:val="en-US" w:eastAsia="zh-CN" w:bidi="ar"/>
        </w:rPr>
        <w:t xml:space="preserve">3.9.2 评标委员会完成评标后，应向招标人提交书面评标报告。 </w:t>
      </w:r>
    </w:p>
    <w:p w14:paraId="0583B2C3">
      <w:pPr>
        <w:keepNext w:val="0"/>
        <w:keepLines w:val="0"/>
        <w:widowControl/>
        <w:suppressLineNumbers w:val="0"/>
        <w:spacing w:line="360" w:lineRule="auto"/>
        <w:ind w:firstLine="200" w:firstLineChars="100"/>
        <w:jc w:val="left"/>
        <w:rPr>
          <w:rFonts w:hint="eastAsia" w:ascii="宋体" w:hAnsi="宋体" w:eastAsia="宋体" w:cs="宋体"/>
          <w:sz w:val="20"/>
          <w:szCs w:val="20"/>
          <w:highlight w:val="none"/>
        </w:rPr>
      </w:pPr>
      <w:r>
        <w:rPr>
          <w:rFonts w:hint="eastAsia" w:ascii="宋体" w:hAnsi="宋体" w:eastAsia="宋体" w:cs="宋体"/>
          <w:color w:val="000000"/>
          <w:kern w:val="0"/>
          <w:sz w:val="20"/>
          <w:szCs w:val="20"/>
          <w:highlight w:val="none"/>
          <w:lang w:val="en-US" w:eastAsia="zh-CN" w:bidi="ar"/>
        </w:rPr>
        <w:t xml:space="preserve">3.9.3 通过第一个信封商务及技术文件评审的投标人少于3个的，评标委员会可以否决全部投标；未否决全部投标的，评标委员会应当在评标报告中阐明理由，招标人应当按照招标文件规定的程序进行第二个信封报价文件开标，但评标委员会在进行报价文件评审时仍有权否决全部投标；评标委员会未在报价文件评审时否决全部投标的，应当在评标报告中阐明理由并推荐中标候选人。 </w:t>
      </w:r>
    </w:p>
    <w:p w14:paraId="5C370773">
      <w:pPr>
        <w:keepNext w:val="0"/>
        <w:keepLines w:val="0"/>
        <w:widowControl/>
        <w:suppressLineNumbers w:val="0"/>
        <w:spacing w:line="360" w:lineRule="auto"/>
        <w:ind w:firstLine="200" w:firstLineChars="100"/>
        <w:jc w:val="left"/>
        <w:rPr>
          <w:rFonts w:hint="eastAsia" w:ascii="宋体" w:hAnsi="宋体" w:eastAsia="宋体" w:cs="宋体"/>
          <w:sz w:val="20"/>
          <w:szCs w:val="20"/>
          <w:highlight w:val="none"/>
        </w:rPr>
      </w:pPr>
      <w:r>
        <w:rPr>
          <w:rFonts w:hint="eastAsia" w:ascii="宋体" w:hAnsi="宋体" w:eastAsia="宋体" w:cs="宋体"/>
          <w:color w:val="000000"/>
          <w:kern w:val="0"/>
          <w:sz w:val="20"/>
          <w:szCs w:val="20"/>
          <w:highlight w:val="none"/>
          <w:lang w:val="en-US" w:eastAsia="zh-CN" w:bidi="ar"/>
        </w:rPr>
        <w:t xml:space="preserve">3.9.4 通过第一个信封商务及技术文件评审的投标人在3个及以上的，招标人应当按照招标文件规定的程序进行第二个信封报价文件开标；在对报价文件进行评审后，有效投标不足3个的，评标委员会可以否决全部投标。未否决全部投标的，评标委员会应当在评标报告中阐明理由并推荐中标候选人。 </w:t>
      </w:r>
    </w:p>
    <w:p w14:paraId="1E1B1914">
      <w:pPr>
        <w:keepNext w:val="0"/>
        <w:keepLines w:val="0"/>
        <w:widowControl/>
        <w:suppressLineNumbers w:val="0"/>
        <w:spacing w:line="360" w:lineRule="auto"/>
        <w:ind w:firstLine="200" w:firstLineChars="100"/>
        <w:jc w:val="left"/>
        <w:rPr>
          <w:rFonts w:hint="eastAsia" w:ascii="宋体" w:hAnsi="宋体" w:eastAsia="宋体" w:cs="宋体"/>
          <w:sz w:val="20"/>
          <w:szCs w:val="20"/>
          <w:highlight w:val="none"/>
        </w:rPr>
      </w:pPr>
      <w:r>
        <w:rPr>
          <w:rFonts w:hint="eastAsia" w:ascii="宋体" w:hAnsi="宋体" w:eastAsia="宋体" w:cs="宋体"/>
          <w:color w:val="000000"/>
          <w:kern w:val="0"/>
          <w:sz w:val="20"/>
          <w:szCs w:val="20"/>
          <w:highlight w:val="none"/>
          <w:lang w:val="en-US" w:eastAsia="zh-CN" w:bidi="ar"/>
        </w:rPr>
        <w:t xml:space="preserve">3.9.5 如果发生无法确定推荐中标候选人的其它意外情况，评标委员会可建议招标人重新招标。 </w:t>
      </w:r>
    </w:p>
    <w:p w14:paraId="32299903">
      <w:pPr>
        <w:keepNext w:val="0"/>
        <w:keepLines w:val="0"/>
        <w:widowControl/>
        <w:suppressLineNumbers w:val="0"/>
        <w:spacing w:line="360" w:lineRule="auto"/>
        <w:ind w:firstLine="200" w:firstLineChars="100"/>
        <w:jc w:val="left"/>
        <w:rPr>
          <w:rFonts w:hint="eastAsia" w:ascii="宋体" w:hAnsi="宋体" w:eastAsia="宋体" w:cs="宋体"/>
          <w:sz w:val="20"/>
          <w:szCs w:val="20"/>
          <w:highlight w:val="none"/>
        </w:rPr>
      </w:pPr>
      <w:r>
        <w:rPr>
          <w:rFonts w:hint="eastAsia" w:ascii="宋体" w:hAnsi="宋体" w:eastAsia="宋体" w:cs="宋体"/>
          <w:color w:val="000000"/>
          <w:kern w:val="0"/>
          <w:sz w:val="20"/>
          <w:szCs w:val="20"/>
          <w:highlight w:val="none"/>
          <w:lang w:val="en-US" w:eastAsia="zh-CN" w:bidi="ar"/>
        </w:rPr>
        <w:t xml:space="preserve">3.9.6 本招标文件规定的否决投标条款包含在以下条款：[本款涉及的序号或条款号均对应本范本，如招标文件修改序号或条款号的，应对应修改。] </w:t>
      </w:r>
    </w:p>
    <w:p w14:paraId="06A10CD7">
      <w:pPr>
        <w:keepNext w:val="0"/>
        <w:keepLines w:val="0"/>
        <w:widowControl/>
        <w:suppressLineNumbers w:val="0"/>
        <w:spacing w:line="360" w:lineRule="auto"/>
        <w:jc w:val="left"/>
        <w:rPr>
          <w:rFonts w:hint="eastAsia" w:ascii="宋体" w:hAnsi="宋体" w:eastAsia="宋体" w:cs="宋体"/>
          <w:sz w:val="20"/>
          <w:szCs w:val="20"/>
          <w:highlight w:val="none"/>
        </w:rPr>
      </w:pPr>
      <w:r>
        <w:rPr>
          <w:rFonts w:hint="eastAsia" w:ascii="宋体" w:hAnsi="宋体" w:eastAsia="宋体" w:cs="宋体"/>
          <w:color w:val="000000"/>
          <w:kern w:val="0"/>
          <w:sz w:val="20"/>
          <w:szCs w:val="20"/>
          <w:highlight w:val="none"/>
          <w:lang w:val="en-US" w:eastAsia="zh-CN" w:bidi="ar"/>
        </w:rPr>
        <w:t>（1）招标公告第3点 投标人资格要求；</w:t>
      </w:r>
    </w:p>
    <w:p w14:paraId="0B95C224">
      <w:pPr>
        <w:keepNext w:val="0"/>
        <w:keepLines w:val="0"/>
        <w:widowControl/>
        <w:suppressLineNumbers w:val="0"/>
        <w:spacing w:line="360" w:lineRule="auto"/>
        <w:jc w:val="left"/>
        <w:rPr>
          <w:rFonts w:hint="eastAsia" w:ascii="宋体" w:hAnsi="宋体" w:eastAsia="宋体" w:cs="宋体"/>
          <w:sz w:val="20"/>
          <w:szCs w:val="20"/>
          <w:highlight w:val="none"/>
        </w:rPr>
      </w:pPr>
      <w:r>
        <w:rPr>
          <w:rFonts w:hint="eastAsia" w:ascii="宋体" w:hAnsi="宋体" w:eastAsia="宋体" w:cs="宋体"/>
          <w:color w:val="000000"/>
          <w:kern w:val="0"/>
          <w:sz w:val="20"/>
          <w:szCs w:val="20"/>
          <w:highlight w:val="none"/>
          <w:lang w:val="en-US" w:eastAsia="zh-CN" w:bidi="ar"/>
        </w:rPr>
        <w:t xml:space="preserve">（2）投标人须知1.4.3项、1.4.4项、1.4.5项、1.11.1项、1.12.2项、3.2.1、3.4.2项、3.5.9项、3.6.1项； </w:t>
      </w:r>
    </w:p>
    <w:p w14:paraId="4BB85C09">
      <w:r>
        <w:rPr>
          <w:rFonts w:hint="eastAsia" w:ascii="宋体" w:hAnsi="宋体" w:eastAsia="宋体" w:cs="宋体"/>
          <w:color w:val="000000"/>
          <w:kern w:val="0"/>
          <w:sz w:val="20"/>
          <w:szCs w:val="20"/>
          <w:highlight w:val="none"/>
          <w:lang w:val="en-US" w:eastAsia="zh-CN" w:bidi="ar"/>
        </w:rPr>
        <w:t>（3）本评标办法的否决条款。</w:t>
      </w:r>
    </w:p>
    <w:sectPr>
      <w:pgSz w:w="11906" w:h="16838"/>
      <w:pgMar w:top="1440" w:right="1080" w:bottom="1440" w:left="10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C30CB51"/>
    <w:multiLevelType w:val="singleLevel"/>
    <w:tmpl w:val="9C30CB51"/>
    <w:lvl w:ilvl="0" w:tentative="0">
      <w:start w:val="2"/>
      <w:numFmt w:val="chineseCounting"/>
      <w:suff w:val="nothing"/>
      <w:lvlText w:val="第%1章、"/>
      <w:lvlJc w:val="left"/>
      <w:rPr>
        <w:rFonts w:hint="eastAsia"/>
      </w:rPr>
    </w:lvl>
  </w:abstractNum>
  <w:abstractNum w:abstractNumId="1">
    <w:nsid w:val="31731598"/>
    <w:multiLevelType w:val="singleLevel"/>
    <w:tmpl w:val="31731598"/>
    <w:lvl w:ilvl="0" w:tentative="0">
      <w:start w:val="1"/>
      <w:numFmt w:val="decimal"/>
      <w:suff w:val="nothing"/>
      <w:lvlText w:val="（%1）"/>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37D7278"/>
    <w:rsid w:val="0010576F"/>
    <w:rsid w:val="00161FD0"/>
    <w:rsid w:val="0017676F"/>
    <w:rsid w:val="00204C38"/>
    <w:rsid w:val="0026339A"/>
    <w:rsid w:val="00300BA7"/>
    <w:rsid w:val="00310929"/>
    <w:rsid w:val="00400CEC"/>
    <w:rsid w:val="00585965"/>
    <w:rsid w:val="00695050"/>
    <w:rsid w:val="009147DE"/>
    <w:rsid w:val="00A45D7C"/>
    <w:rsid w:val="00B65D22"/>
    <w:rsid w:val="00B92C66"/>
    <w:rsid w:val="00ED7E3D"/>
    <w:rsid w:val="0103675B"/>
    <w:rsid w:val="010618DB"/>
    <w:rsid w:val="01253531"/>
    <w:rsid w:val="014864E3"/>
    <w:rsid w:val="014E1528"/>
    <w:rsid w:val="017316A9"/>
    <w:rsid w:val="01875959"/>
    <w:rsid w:val="01894704"/>
    <w:rsid w:val="01896713"/>
    <w:rsid w:val="01AD55D9"/>
    <w:rsid w:val="01C67EFE"/>
    <w:rsid w:val="01DF51FB"/>
    <w:rsid w:val="01E96DB3"/>
    <w:rsid w:val="01FD49A0"/>
    <w:rsid w:val="01FE4CA3"/>
    <w:rsid w:val="02064FFC"/>
    <w:rsid w:val="020E1750"/>
    <w:rsid w:val="020E5952"/>
    <w:rsid w:val="02117647"/>
    <w:rsid w:val="0248616F"/>
    <w:rsid w:val="02486BAD"/>
    <w:rsid w:val="02692C21"/>
    <w:rsid w:val="028F2D95"/>
    <w:rsid w:val="02A629ED"/>
    <w:rsid w:val="02A71500"/>
    <w:rsid w:val="02B5343C"/>
    <w:rsid w:val="02C67F60"/>
    <w:rsid w:val="02D55861"/>
    <w:rsid w:val="02D854D5"/>
    <w:rsid w:val="02EF5D7D"/>
    <w:rsid w:val="02F54851"/>
    <w:rsid w:val="03186126"/>
    <w:rsid w:val="03257F69"/>
    <w:rsid w:val="03263F28"/>
    <w:rsid w:val="032A20F2"/>
    <w:rsid w:val="03362AFF"/>
    <w:rsid w:val="03454EE4"/>
    <w:rsid w:val="03463C1C"/>
    <w:rsid w:val="035674EF"/>
    <w:rsid w:val="035E413F"/>
    <w:rsid w:val="0361093F"/>
    <w:rsid w:val="036460D9"/>
    <w:rsid w:val="03662935"/>
    <w:rsid w:val="036D3331"/>
    <w:rsid w:val="0370305B"/>
    <w:rsid w:val="038013DC"/>
    <w:rsid w:val="038D3804"/>
    <w:rsid w:val="03A02D8C"/>
    <w:rsid w:val="03CD420C"/>
    <w:rsid w:val="03D71149"/>
    <w:rsid w:val="03F368F1"/>
    <w:rsid w:val="041A32A0"/>
    <w:rsid w:val="041D29C1"/>
    <w:rsid w:val="042946F3"/>
    <w:rsid w:val="043B7DB7"/>
    <w:rsid w:val="044852E4"/>
    <w:rsid w:val="046414F1"/>
    <w:rsid w:val="046F5BC8"/>
    <w:rsid w:val="048D0373"/>
    <w:rsid w:val="04B94168"/>
    <w:rsid w:val="04C22E7C"/>
    <w:rsid w:val="04CE2492"/>
    <w:rsid w:val="04FC6B6A"/>
    <w:rsid w:val="05085BB7"/>
    <w:rsid w:val="05114004"/>
    <w:rsid w:val="053709AA"/>
    <w:rsid w:val="053709C1"/>
    <w:rsid w:val="0592230B"/>
    <w:rsid w:val="05A405B7"/>
    <w:rsid w:val="05AC604E"/>
    <w:rsid w:val="05D05FEB"/>
    <w:rsid w:val="05EB4770"/>
    <w:rsid w:val="05F03250"/>
    <w:rsid w:val="05F81706"/>
    <w:rsid w:val="05FB3A58"/>
    <w:rsid w:val="06157EF4"/>
    <w:rsid w:val="06174618"/>
    <w:rsid w:val="06280C8A"/>
    <w:rsid w:val="063E43E5"/>
    <w:rsid w:val="064F48EA"/>
    <w:rsid w:val="0668127E"/>
    <w:rsid w:val="068607EA"/>
    <w:rsid w:val="0692156A"/>
    <w:rsid w:val="069641A6"/>
    <w:rsid w:val="069E6E2A"/>
    <w:rsid w:val="069F42E4"/>
    <w:rsid w:val="06A40A7B"/>
    <w:rsid w:val="06B03FC7"/>
    <w:rsid w:val="06B0603E"/>
    <w:rsid w:val="06B37296"/>
    <w:rsid w:val="06B838DC"/>
    <w:rsid w:val="06C946D1"/>
    <w:rsid w:val="06CB16CF"/>
    <w:rsid w:val="06D909F9"/>
    <w:rsid w:val="06E64468"/>
    <w:rsid w:val="06FD2182"/>
    <w:rsid w:val="0714494C"/>
    <w:rsid w:val="0720285B"/>
    <w:rsid w:val="07475ECA"/>
    <w:rsid w:val="074F5773"/>
    <w:rsid w:val="075372CC"/>
    <w:rsid w:val="075D428D"/>
    <w:rsid w:val="078F6F8C"/>
    <w:rsid w:val="07912CE3"/>
    <w:rsid w:val="07C07D8C"/>
    <w:rsid w:val="07DB18D5"/>
    <w:rsid w:val="08114948"/>
    <w:rsid w:val="083706A0"/>
    <w:rsid w:val="08385884"/>
    <w:rsid w:val="083C0FF0"/>
    <w:rsid w:val="083F72C5"/>
    <w:rsid w:val="084001DB"/>
    <w:rsid w:val="08475340"/>
    <w:rsid w:val="08882F31"/>
    <w:rsid w:val="08D71382"/>
    <w:rsid w:val="09114DEC"/>
    <w:rsid w:val="093636CC"/>
    <w:rsid w:val="093D3756"/>
    <w:rsid w:val="093F65F6"/>
    <w:rsid w:val="09472785"/>
    <w:rsid w:val="0952100B"/>
    <w:rsid w:val="09790B3E"/>
    <w:rsid w:val="097A0503"/>
    <w:rsid w:val="09857A5D"/>
    <w:rsid w:val="09CF540A"/>
    <w:rsid w:val="09D2055E"/>
    <w:rsid w:val="09D218AA"/>
    <w:rsid w:val="09DD4F50"/>
    <w:rsid w:val="09E80B91"/>
    <w:rsid w:val="09ED0778"/>
    <w:rsid w:val="0A141EB9"/>
    <w:rsid w:val="0A1B615B"/>
    <w:rsid w:val="0A247791"/>
    <w:rsid w:val="0A342C49"/>
    <w:rsid w:val="0A3625A2"/>
    <w:rsid w:val="0A426F0D"/>
    <w:rsid w:val="0A49439C"/>
    <w:rsid w:val="0A4B3518"/>
    <w:rsid w:val="0A5E7375"/>
    <w:rsid w:val="0A75562F"/>
    <w:rsid w:val="0A7C3C40"/>
    <w:rsid w:val="0A90383E"/>
    <w:rsid w:val="0A9207B7"/>
    <w:rsid w:val="0A9E04EF"/>
    <w:rsid w:val="0AB77F1F"/>
    <w:rsid w:val="0B0616FF"/>
    <w:rsid w:val="0B19120C"/>
    <w:rsid w:val="0B3C66D1"/>
    <w:rsid w:val="0B472153"/>
    <w:rsid w:val="0B472CA8"/>
    <w:rsid w:val="0B55792A"/>
    <w:rsid w:val="0B664598"/>
    <w:rsid w:val="0B824FB8"/>
    <w:rsid w:val="0BC575C7"/>
    <w:rsid w:val="0BE20D63"/>
    <w:rsid w:val="0C122365"/>
    <w:rsid w:val="0C1A13A6"/>
    <w:rsid w:val="0C1E43DF"/>
    <w:rsid w:val="0C234795"/>
    <w:rsid w:val="0C28519B"/>
    <w:rsid w:val="0C4B60B2"/>
    <w:rsid w:val="0C553361"/>
    <w:rsid w:val="0C6803C3"/>
    <w:rsid w:val="0C88349C"/>
    <w:rsid w:val="0C930FD5"/>
    <w:rsid w:val="0CB47242"/>
    <w:rsid w:val="0CCF21B1"/>
    <w:rsid w:val="0CD41AD4"/>
    <w:rsid w:val="0CD64555"/>
    <w:rsid w:val="0CD72160"/>
    <w:rsid w:val="0CF12E10"/>
    <w:rsid w:val="0D1359A4"/>
    <w:rsid w:val="0D1531BD"/>
    <w:rsid w:val="0D6563B9"/>
    <w:rsid w:val="0D6C7AA9"/>
    <w:rsid w:val="0D8E4152"/>
    <w:rsid w:val="0DA44A50"/>
    <w:rsid w:val="0E172A96"/>
    <w:rsid w:val="0E6E58EF"/>
    <w:rsid w:val="0E766518"/>
    <w:rsid w:val="0E7C0145"/>
    <w:rsid w:val="0E8453F4"/>
    <w:rsid w:val="0E870EF1"/>
    <w:rsid w:val="0E882FE9"/>
    <w:rsid w:val="0E946F33"/>
    <w:rsid w:val="0EA9071B"/>
    <w:rsid w:val="0EBD46C5"/>
    <w:rsid w:val="0EBD4731"/>
    <w:rsid w:val="0EC6433D"/>
    <w:rsid w:val="0EC654A5"/>
    <w:rsid w:val="0EEF5667"/>
    <w:rsid w:val="0EF3215A"/>
    <w:rsid w:val="0EF63FF3"/>
    <w:rsid w:val="0EF64A9B"/>
    <w:rsid w:val="0EFB155E"/>
    <w:rsid w:val="0F0B342E"/>
    <w:rsid w:val="0F300C15"/>
    <w:rsid w:val="0F3B57E7"/>
    <w:rsid w:val="0F44187E"/>
    <w:rsid w:val="0F510D83"/>
    <w:rsid w:val="0F593408"/>
    <w:rsid w:val="0F641343"/>
    <w:rsid w:val="0F810C8E"/>
    <w:rsid w:val="0F8F4532"/>
    <w:rsid w:val="0F90307C"/>
    <w:rsid w:val="0F95182E"/>
    <w:rsid w:val="0F956652"/>
    <w:rsid w:val="0F9631A6"/>
    <w:rsid w:val="0F976DB9"/>
    <w:rsid w:val="0F983905"/>
    <w:rsid w:val="0FB41BA9"/>
    <w:rsid w:val="0FBC55C6"/>
    <w:rsid w:val="0FD670CA"/>
    <w:rsid w:val="0FD87BAF"/>
    <w:rsid w:val="0FE32D6B"/>
    <w:rsid w:val="101373B0"/>
    <w:rsid w:val="102659CD"/>
    <w:rsid w:val="10541C05"/>
    <w:rsid w:val="106276C7"/>
    <w:rsid w:val="10665FBF"/>
    <w:rsid w:val="10752273"/>
    <w:rsid w:val="107942E5"/>
    <w:rsid w:val="10BA22CB"/>
    <w:rsid w:val="10C46197"/>
    <w:rsid w:val="10D22A74"/>
    <w:rsid w:val="10D35045"/>
    <w:rsid w:val="10FE713D"/>
    <w:rsid w:val="11161C64"/>
    <w:rsid w:val="115B615D"/>
    <w:rsid w:val="116E3FDF"/>
    <w:rsid w:val="116F296F"/>
    <w:rsid w:val="117B4152"/>
    <w:rsid w:val="11A0278D"/>
    <w:rsid w:val="11C65F10"/>
    <w:rsid w:val="11E03C2A"/>
    <w:rsid w:val="11F55841"/>
    <w:rsid w:val="11F86EE7"/>
    <w:rsid w:val="11FA492E"/>
    <w:rsid w:val="12135271"/>
    <w:rsid w:val="121B4E57"/>
    <w:rsid w:val="12280A31"/>
    <w:rsid w:val="1229216C"/>
    <w:rsid w:val="122F270A"/>
    <w:rsid w:val="12303B69"/>
    <w:rsid w:val="123C5F34"/>
    <w:rsid w:val="123F69F9"/>
    <w:rsid w:val="124926B4"/>
    <w:rsid w:val="12534143"/>
    <w:rsid w:val="12596FB6"/>
    <w:rsid w:val="126559F5"/>
    <w:rsid w:val="1268008B"/>
    <w:rsid w:val="12792F7C"/>
    <w:rsid w:val="12907F56"/>
    <w:rsid w:val="12BB4E2E"/>
    <w:rsid w:val="12D65F05"/>
    <w:rsid w:val="12D8032C"/>
    <w:rsid w:val="12E4347D"/>
    <w:rsid w:val="12E86517"/>
    <w:rsid w:val="12EB22AE"/>
    <w:rsid w:val="1302465B"/>
    <w:rsid w:val="13061E9A"/>
    <w:rsid w:val="1314747F"/>
    <w:rsid w:val="132D3E95"/>
    <w:rsid w:val="134566EE"/>
    <w:rsid w:val="134858ED"/>
    <w:rsid w:val="135E59A1"/>
    <w:rsid w:val="135E6680"/>
    <w:rsid w:val="138119A1"/>
    <w:rsid w:val="13AF360F"/>
    <w:rsid w:val="13B44377"/>
    <w:rsid w:val="13BB2ED4"/>
    <w:rsid w:val="13C933ED"/>
    <w:rsid w:val="13DC7AEE"/>
    <w:rsid w:val="13E0662D"/>
    <w:rsid w:val="13E22976"/>
    <w:rsid w:val="140224B2"/>
    <w:rsid w:val="14084FC9"/>
    <w:rsid w:val="14117F14"/>
    <w:rsid w:val="14201E54"/>
    <w:rsid w:val="14361894"/>
    <w:rsid w:val="14457EB0"/>
    <w:rsid w:val="147F5682"/>
    <w:rsid w:val="1484561F"/>
    <w:rsid w:val="14B27563"/>
    <w:rsid w:val="14EE571C"/>
    <w:rsid w:val="14EF1C97"/>
    <w:rsid w:val="14EF3CE6"/>
    <w:rsid w:val="14F35C6B"/>
    <w:rsid w:val="14F454D2"/>
    <w:rsid w:val="14FC64D8"/>
    <w:rsid w:val="1507338D"/>
    <w:rsid w:val="15087394"/>
    <w:rsid w:val="15165A0E"/>
    <w:rsid w:val="151B010D"/>
    <w:rsid w:val="1527111D"/>
    <w:rsid w:val="153A75AC"/>
    <w:rsid w:val="15635A83"/>
    <w:rsid w:val="156442A9"/>
    <w:rsid w:val="156C19BC"/>
    <w:rsid w:val="15A644E9"/>
    <w:rsid w:val="15C02741"/>
    <w:rsid w:val="15D26AD6"/>
    <w:rsid w:val="15D329AF"/>
    <w:rsid w:val="160429FB"/>
    <w:rsid w:val="16086430"/>
    <w:rsid w:val="16242F9A"/>
    <w:rsid w:val="16254F76"/>
    <w:rsid w:val="16364ED8"/>
    <w:rsid w:val="16577AE0"/>
    <w:rsid w:val="16591EDF"/>
    <w:rsid w:val="165B742F"/>
    <w:rsid w:val="16772BEC"/>
    <w:rsid w:val="1685100F"/>
    <w:rsid w:val="16903521"/>
    <w:rsid w:val="16A0221A"/>
    <w:rsid w:val="16B07F76"/>
    <w:rsid w:val="16B10F41"/>
    <w:rsid w:val="16B16726"/>
    <w:rsid w:val="16BD3251"/>
    <w:rsid w:val="16C20E14"/>
    <w:rsid w:val="16C66809"/>
    <w:rsid w:val="17044B6B"/>
    <w:rsid w:val="17455F03"/>
    <w:rsid w:val="176032A4"/>
    <w:rsid w:val="176A55E5"/>
    <w:rsid w:val="176F0FA8"/>
    <w:rsid w:val="17943484"/>
    <w:rsid w:val="17B22A75"/>
    <w:rsid w:val="17B9534A"/>
    <w:rsid w:val="17E42A61"/>
    <w:rsid w:val="17E86A8F"/>
    <w:rsid w:val="17E92906"/>
    <w:rsid w:val="17F317AB"/>
    <w:rsid w:val="181306D8"/>
    <w:rsid w:val="183606F2"/>
    <w:rsid w:val="18366519"/>
    <w:rsid w:val="18475E0D"/>
    <w:rsid w:val="18605709"/>
    <w:rsid w:val="18962661"/>
    <w:rsid w:val="18A250AF"/>
    <w:rsid w:val="18A95C6D"/>
    <w:rsid w:val="18B35EB4"/>
    <w:rsid w:val="18C44776"/>
    <w:rsid w:val="18C5075D"/>
    <w:rsid w:val="18E13007"/>
    <w:rsid w:val="18E443CC"/>
    <w:rsid w:val="18E57856"/>
    <w:rsid w:val="18ED1D3C"/>
    <w:rsid w:val="18F70986"/>
    <w:rsid w:val="19126295"/>
    <w:rsid w:val="192C352D"/>
    <w:rsid w:val="19357ABF"/>
    <w:rsid w:val="194319A5"/>
    <w:rsid w:val="19651799"/>
    <w:rsid w:val="19852579"/>
    <w:rsid w:val="19903761"/>
    <w:rsid w:val="199263A2"/>
    <w:rsid w:val="19B52F18"/>
    <w:rsid w:val="19DD21EB"/>
    <w:rsid w:val="19E26286"/>
    <w:rsid w:val="1A384C6A"/>
    <w:rsid w:val="1A65114A"/>
    <w:rsid w:val="1A877764"/>
    <w:rsid w:val="1A99185E"/>
    <w:rsid w:val="1AEF7D5C"/>
    <w:rsid w:val="1AFC0ADB"/>
    <w:rsid w:val="1B0144F4"/>
    <w:rsid w:val="1B0D5FB4"/>
    <w:rsid w:val="1B281F31"/>
    <w:rsid w:val="1B571D1E"/>
    <w:rsid w:val="1B5B4428"/>
    <w:rsid w:val="1B881720"/>
    <w:rsid w:val="1B8C0578"/>
    <w:rsid w:val="1BBA7A84"/>
    <w:rsid w:val="1BC14837"/>
    <w:rsid w:val="1BF45732"/>
    <w:rsid w:val="1C0F2F5B"/>
    <w:rsid w:val="1C7865E3"/>
    <w:rsid w:val="1C8D3825"/>
    <w:rsid w:val="1CAC344F"/>
    <w:rsid w:val="1CB47038"/>
    <w:rsid w:val="1D071913"/>
    <w:rsid w:val="1D0D54AF"/>
    <w:rsid w:val="1D10750B"/>
    <w:rsid w:val="1D162565"/>
    <w:rsid w:val="1D1C5B18"/>
    <w:rsid w:val="1D210938"/>
    <w:rsid w:val="1D462FBC"/>
    <w:rsid w:val="1D691421"/>
    <w:rsid w:val="1D765669"/>
    <w:rsid w:val="1D885663"/>
    <w:rsid w:val="1D8D3C75"/>
    <w:rsid w:val="1D943323"/>
    <w:rsid w:val="1DBA1502"/>
    <w:rsid w:val="1DC00DBD"/>
    <w:rsid w:val="1DCB36DB"/>
    <w:rsid w:val="1E1F70E3"/>
    <w:rsid w:val="1E4714A2"/>
    <w:rsid w:val="1E5D06D2"/>
    <w:rsid w:val="1E662574"/>
    <w:rsid w:val="1E6E5125"/>
    <w:rsid w:val="1E855BD4"/>
    <w:rsid w:val="1E8A05A6"/>
    <w:rsid w:val="1E9D7D13"/>
    <w:rsid w:val="1EA10CE2"/>
    <w:rsid w:val="1EA16ABC"/>
    <w:rsid w:val="1EAD2634"/>
    <w:rsid w:val="1EE94B93"/>
    <w:rsid w:val="1EFA68AB"/>
    <w:rsid w:val="1F040A77"/>
    <w:rsid w:val="1F0C3B7A"/>
    <w:rsid w:val="1F241520"/>
    <w:rsid w:val="1F36268A"/>
    <w:rsid w:val="1F7E35A3"/>
    <w:rsid w:val="1F832DA8"/>
    <w:rsid w:val="1F973C99"/>
    <w:rsid w:val="1F9C02F1"/>
    <w:rsid w:val="1F9D017A"/>
    <w:rsid w:val="1FA70459"/>
    <w:rsid w:val="1FBC0063"/>
    <w:rsid w:val="1FE0365D"/>
    <w:rsid w:val="1FEA1C5E"/>
    <w:rsid w:val="1FEE5EB1"/>
    <w:rsid w:val="1FF77425"/>
    <w:rsid w:val="200118FE"/>
    <w:rsid w:val="20266CB3"/>
    <w:rsid w:val="20330975"/>
    <w:rsid w:val="203A1569"/>
    <w:rsid w:val="20467017"/>
    <w:rsid w:val="206622A9"/>
    <w:rsid w:val="206C7914"/>
    <w:rsid w:val="207D26E4"/>
    <w:rsid w:val="209242A0"/>
    <w:rsid w:val="20B27298"/>
    <w:rsid w:val="20D24160"/>
    <w:rsid w:val="20DF4D5D"/>
    <w:rsid w:val="20EA0A72"/>
    <w:rsid w:val="20ED4117"/>
    <w:rsid w:val="211F2693"/>
    <w:rsid w:val="216C5C18"/>
    <w:rsid w:val="217212B7"/>
    <w:rsid w:val="21734A23"/>
    <w:rsid w:val="218D2775"/>
    <w:rsid w:val="21935B82"/>
    <w:rsid w:val="21A12BD8"/>
    <w:rsid w:val="21B37152"/>
    <w:rsid w:val="21C35BE0"/>
    <w:rsid w:val="21C50DF0"/>
    <w:rsid w:val="21CA2DCF"/>
    <w:rsid w:val="21CA7564"/>
    <w:rsid w:val="21D34E89"/>
    <w:rsid w:val="21E25E8B"/>
    <w:rsid w:val="21E30F7A"/>
    <w:rsid w:val="21FE38A3"/>
    <w:rsid w:val="22000BDE"/>
    <w:rsid w:val="220E0EC2"/>
    <w:rsid w:val="221901F3"/>
    <w:rsid w:val="22257713"/>
    <w:rsid w:val="225B26AC"/>
    <w:rsid w:val="227045D1"/>
    <w:rsid w:val="227870A8"/>
    <w:rsid w:val="2279067E"/>
    <w:rsid w:val="22B638A2"/>
    <w:rsid w:val="22C378B1"/>
    <w:rsid w:val="22CC2383"/>
    <w:rsid w:val="22D649D6"/>
    <w:rsid w:val="22E53E16"/>
    <w:rsid w:val="2307223D"/>
    <w:rsid w:val="23281F85"/>
    <w:rsid w:val="233338DB"/>
    <w:rsid w:val="235A6A1F"/>
    <w:rsid w:val="235C15D6"/>
    <w:rsid w:val="23726D0F"/>
    <w:rsid w:val="2385651E"/>
    <w:rsid w:val="239E6F53"/>
    <w:rsid w:val="23B31B6F"/>
    <w:rsid w:val="23B80F19"/>
    <w:rsid w:val="23C10D46"/>
    <w:rsid w:val="23C2617B"/>
    <w:rsid w:val="23C92013"/>
    <w:rsid w:val="243346C4"/>
    <w:rsid w:val="24515C95"/>
    <w:rsid w:val="24586B3B"/>
    <w:rsid w:val="24617331"/>
    <w:rsid w:val="24686E6E"/>
    <w:rsid w:val="2481263C"/>
    <w:rsid w:val="24953190"/>
    <w:rsid w:val="24DE75DF"/>
    <w:rsid w:val="25750844"/>
    <w:rsid w:val="258207C6"/>
    <w:rsid w:val="25893D67"/>
    <w:rsid w:val="25926108"/>
    <w:rsid w:val="259723A0"/>
    <w:rsid w:val="259F20CD"/>
    <w:rsid w:val="25BA4FE1"/>
    <w:rsid w:val="25E80876"/>
    <w:rsid w:val="25F86BF6"/>
    <w:rsid w:val="25F86C8D"/>
    <w:rsid w:val="25FF728C"/>
    <w:rsid w:val="261D5EB5"/>
    <w:rsid w:val="26250854"/>
    <w:rsid w:val="263F54DD"/>
    <w:rsid w:val="26591C8E"/>
    <w:rsid w:val="26736337"/>
    <w:rsid w:val="267C2C58"/>
    <w:rsid w:val="2683477B"/>
    <w:rsid w:val="26864465"/>
    <w:rsid w:val="2687369D"/>
    <w:rsid w:val="26882F24"/>
    <w:rsid w:val="26AE7BF5"/>
    <w:rsid w:val="26C734D7"/>
    <w:rsid w:val="26ED750A"/>
    <w:rsid w:val="26F6339D"/>
    <w:rsid w:val="27046413"/>
    <w:rsid w:val="270B31BB"/>
    <w:rsid w:val="27480FF1"/>
    <w:rsid w:val="27611CB8"/>
    <w:rsid w:val="276255CC"/>
    <w:rsid w:val="2774784D"/>
    <w:rsid w:val="278D68C4"/>
    <w:rsid w:val="278E08F5"/>
    <w:rsid w:val="2798448A"/>
    <w:rsid w:val="27B72B11"/>
    <w:rsid w:val="27C56A79"/>
    <w:rsid w:val="27C97E71"/>
    <w:rsid w:val="27D13705"/>
    <w:rsid w:val="27D25D08"/>
    <w:rsid w:val="27F4647B"/>
    <w:rsid w:val="28237E21"/>
    <w:rsid w:val="282548E3"/>
    <w:rsid w:val="2829543B"/>
    <w:rsid w:val="2831479C"/>
    <w:rsid w:val="28491FB1"/>
    <w:rsid w:val="28672C29"/>
    <w:rsid w:val="28674EBF"/>
    <w:rsid w:val="28757CA5"/>
    <w:rsid w:val="287E4B4D"/>
    <w:rsid w:val="288C1CED"/>
    <w:rsid w:val="288D76F0"/>
    <w:rsid w:val="28917B2B"/>
    <w:rsid w:val="28932C03"/>
    <w:rsid w:val="28A611EC"/>
    <w:rsid w:val="28A6323E"/>
    <w:rsid w:val="28B26AF4"/>
    <w:rsid w:val="28C52DE3"/>
    <w:rsid w:val="28D9719E"/>
    <w:rsid w:val="28DA63FE"/>
    <w:rsid w:val="28EC738D"/>
    <w:rsid w:val="291C361D"/>
    <w:rsid w:val="291C5EAE"/>
    <w:rsid w:val="291D2119"/>
    <w:rsid w:val="292224FA"/>
    <w:rsid w:val="29580B63"/>
    <w:rsid w:val="29797FE5"/>
    <w:rsid w:val="29A0722B"/>
    <w:rsid w:val="29B32F0F"/>
    <w:rsid w:val="29B87988"/>
    <w:rsid w:val="29BE33C0"/>
    <w:rsid w:val="29CE2C4B"/>
    <w:rsid w:val="29E47CD1"/>
    <w:rsid w:val="29F155C8"/>
    <w:rsid w:val="29FD31FA"/>
    <w:rsid w:val="2A084AD2"/>
    <w:rsid w:val="2A352F7C"/>
    <w:rsid w:val="2A4A4F36"/>
    <w:rsid w:val="2A94057E"/>
    <w:rsid w:val="2ABA7BF3"/>
    <w:rsid w:val="2AD65E07"/>
    <w:rsid w:val="2ADE3D12"/>
    <w:rsid w:val="2AF206DB"/>
    <w:rsid w:val="2B2D343E"/>
    <w:rsid w:val="2B806C19"/>
    <w:rsid w:val="2B942792"/>
    <w:rsid w:val="2B9E01E0"/>
    <w:rsid w:val="2BAC149D"/>
    <w:rsid w:val="2BDB3541"/>
    <w:rsid w:val="2BDD14F3"/>
    <w:rsid w:val="2BED5E4E"/>
    <w:rsid w:val="2BF81FA7"/>
    <w:rsid w:val="2C3E4AA8"/>
    <w:rsid w:val="2C476EFB"/>
    <w:rsid w:val="2C4D0D11"/>
    <w:rsid w:val="2C4F61C1"/>
    <w:rsid w:val="2C54673E"/>
    <w:rsid w:val="2C5C4C5D"/>
    <w:rsid w:val="2C750C0A"/>
    <w:rsid w:val="2C950E42"/>
    <w:rsid w:val="2CAF3A05"/>
    <w:rsid w:val="2CC34B59"/>
    <w:rsid w:val="2CE01DC6"/>
    <w:rsid w:val="2CE42929"/>
    <w:rsid w:val="2CFA6CA2"/>
    <w:rsid w:val="2D1315D0"/>
    <w:rsid w:val="2D2A5D95"/>
    <w:rsid w:val="2D2D59B3"/>
    <w:rsid w:val="2D375BD7"/>
    <w:rsid w:val="2D380681"/>
    <w:rsid w:val="2D3F4BFF"/>
    <w:rsid w:val="2D7F54F5"/>
    <w:rsid w:val="2DA41BF1"/>
    <w:rsid w:val="2DA605DF"/>
    <w:rsid w:val="2DA65F54"/>
    <w:rsid w:val="2DC5457B"/>
    <w:rsid w:val="2E094D71"/>
    <w:rsid w:val="2E4B6166"/>
    <w:rsid w:val="2E6536F1"/>
    <w:rsid w:val="2E7C0DCD"/>
    <w:rsid w:val="2E8056FB"/>
    <w:rsid w:val="2E940AAB"/>
    <w:rsid w:val="2EA15F1D"/>
    <w:rsid w:val="2EB04000"/>
    <w:rsid w:val="2EB909A0"/>
    <w:rsid w:val="2EEC7541"/>
    <w:rsid w:val="2EFD3F52"/>
    <w:rsid w:val="2F0412A4"/>
    <w:rsid w:val="2F05775A"/>
    <w:rsid w:val="2F225619"/>
    <w:rsid w:val="2F380E2F"/>
    <w:rsid w:val="2F4526EE"/>
    <w:rsid w:val="2F470A29"/>
    <w:rsid w:val="2F503B8D"/>
    <w:rsid w:val="2F606B6E"/>
    <w:rsid w:val="2F63386E"/>
    <w:rsid w:val="2F733CB1"/>
    <w:rsid w:val="2F7927D6"/>
    <w:rsid w:val="2FAE226A"/>
    <w:rsid w:val="2FB167F1"/>
    <w:rsid w:val="2FC70EA7"/>
    <w:rsid w:val="2FCF3B67"/>
    <w:rsid w:val="2FF45842"/>
    <w:rsid w:val="2FFB1B77"/>
    <w:rsid w:val="301266FB"/>
    <w:rsid w:val="301E5D41"/>
    <w:rsid w:val="30391148"/>
    <w:rsid w:val="304F10EE"/>
    <w:rsid w:val="306D2C1C"/>
    <w:rsid w:val="30791C68"/>
    <w:rsid w:val="30A661DA"/>
    <w:rsid w:val="30E16B15"/>
    <w:rsid w:val="30F25B54"/>
    <w:rsid w:val="31123535"/>
    <w:rsid w:val="31182362"/>
    <w:rsid w:val="312165AD"/>
    <w:rsid w:val="312E0F85"/>
    <w:rsid w:val="31414CD9"/>
    <w:rsid w:val="316A5890"/>
    <w:rsid w:val="316D07B6"/>
    <w:rsid w:val="317745B2"/>
    <w:rsid w:val="31790727"/>
    <w:rsid w:val="3189598D"/>
    <w:rsid w:val="31925826"/>
    <w:rsid w:val="319623F0"/>
    <w:rsid w:val="31C16F8F"/>
    <w:rsid w:val="31E75059"/>
    <w:rsid w:val="31FB0901"/>
    <w:rsid w:val="320B0586"/>
    <w:rsid w:val="320F06C2"/>
    <w:rsid w:val="32114FE8"/>
    <w:rsid w:val="32220086"/>
    <w:rsid w:val="325159FA"/>
    <w:rsid w:val="325F2504"/>
    <w:rsid w:val="32782CEC"/>
    <w:rsid w:val="32945EF3"/>
    <w:rsid w:val="32B7472E"/>
    <w:rsid w:val="32F35D6F"/>
    <w:rsid w:val="330339FD"/>
    <w:rsid w:val="330551C0"/>
    <w:rsid w:val="33294107"/>
    <w:rsid w:val="33573365"/>
    <w:rsid w:val="33605486"/>
    <w:rsid w:val="33957653"/>
    <w:rsid w:val="33B04DB9"/>
    <w:rsid w:val="33B541A6"/>
    <w:rsid w:val="33C25235"/>
    <w:rsid w:val="33ED1B5F"/>
    <w:rsid w:val="33EE0C58"/>
    <w:rsid w:val="33FC1BCB"/>
    <w:rsid w:val="33FC30C2"/>
    <w:rsid w:val="34332DC4"/>
    <w:rsid w:val="345647ED"/>
    <w:rsid w:val="345E0768"/>
    <w:rsid w:val="347C52E5"/>
    <w:rsid w:val="347C6D6B"/>
    <w:rsid w:val="3498680E"/>
    <w:rsid w:val="34A016D3"/>
    <w:rsid w:val="34A911C2"/>
    <w:rsid w:val="34C36AC5"/>
    <w:rsid w:val="34C72CF7"/>
    <w:rsid w:val="34F10487"/>
    <w:rsid w:val="35127111"/>
    <w:rsid w:val="351D07BF"/>
    <w:rsid w:val="354B779E"/>
    <w:rsid w:val="35504FEB"/>
    <w:rsid w:val="35607205"/>
    <w:rsid w:val="358D4AA7"/>
    <w:rsid w:val="358F7218"/>
    <w:rsid w:val="35A14BDF"/>
    <w:rsid w:val="35AC54DA"/>
    <w:rsid w:val="35CD07A4"/>
    <w:rsid w:val="364745F6"/>
    <w:rsid w:val="3680154E"/>
    <w:rsid w:val="36877A09"/>
    <w:rsid w:val="36893BC6"/>
    <w:rsid w:val="36A433BF"/>
    <w:rsid w:val="36AB3627"/>
    <w:rsid w:val="36B036DF"/>
    <w:rsid w:val="36B60933"/>
    <w:rsid w:val="36BC4304"/>
    <w:rsid w:val="36C36C79"/>
    <w:rsid w:val="36C374A1"/>
    <w:rsid w:val="36D22CAA"/>
    <w:rsid w:val="36F90200"/>
    <w:rsid w:val="370552BC"/>
    <w:rsid w:val="372005CC"/>
    <w:rsid w:val="37283380"/>
    <w:rsid w:val="374D4F71"/>
    <w:rsid w:val="374F21C3"/>
    <w:rsid w:val="37761208"/>
    <w:rsid w:val="37856EDB"/>
    <w:rsid w:val="378779C4"/>
    <w:rsid w:val="378A2D41"/>
    <w:rsid w:val="37B30E7D"/>
    <w:rsid w:val="37CB6B67"/>
    <w:rsid w:val="37EC61BA"/>
    <w:rsid w:val="37ED67A4"/>
    <w:rsid w:val="37F22EF1"/>
    <w:rsid w:val="37F96145"/>
    <w:rsid w:val="380568F4"/>
    <w:rsid w:val="381431AB"/>
    <w:rsid w:val="38213BEC"/>
    <w:rsid w:val="38285F2D"/>
    <w:rsid w:val="3842498B"/>
    <w:rsid w:val="387A5B53"/>
    <w:rsid w:val="388529E1"/>
    <w:rsid w:val="38A63DFF"/>
    <w:rsid w:val="38A9541D"/>
    <w:rsid w:val="38AC0230"/>
    <w:rsid w:val="38B43B1F"/>
    <w:rsid w:val="38C33FFE"/>
    <w:rsid w:val="38D06002"/>
    <w:rsid w:val="38D63FD4"/>
    <w:rsid w:val="38EF7E99"/>
    <w:rsid w:val="392F3AE4"/>
    <w:rsid w:val="39383B73"/>
    <w:rsid w:val="39502F4E"/>
    <w:rsid w:val="396C15FB"/>
    <w:rsid w:val="398031CA"/>
    <w:rsid w:val="39813927"/>
    <w:rsid w:val="39864896"/>
    <w:rsid w:val="39A677D0"/>
    <w:rsid w:val="39AF1AA9"/>
    <w:rsid w:val="39C97932"/>
    <w:rsid w:val="39D005D7"/>
    <w:rsid w:val="39E35686"/>
    <w:rsid w:val="3A1646DC"/>
    <w:rsid w:val="3A2C63DA"/>
    <w:rsid w:val="3A31253E"/>
    <w:rsid w:val="3A551CE9"/>
    <w:rsid w:val="3A833BFD"/>
    <w:rsid w:val="3A9C18C1"/>
    <w:rsid w:val="3AE26268"/>
    <w:rsid w:val="3AEE25DA"/>
    <w:rsid w:val="3B02194E"/>
    <w:rsid w:val="3B3A4A38"/>
    <w:rsid w:val="3B5272B9"/>
    <w:rsid w:val="3B595A60"/>
    <w:rsid w:val="3B750F58"/>
    <w:rsid w:val="3B880809"/>
    <w:rsid w:val="3B9421F3"/>
    <w:rsid w:val="3BE655F9"/>
    <w:rsid w:val="3C4762C9"/>
    <w:rsid w:val="3C4942C0"/>
    <w:rsid w:val="3C4B275B"/>
    <w:rsid w:val="3C7A534C"/>
    <w:rsid w:val="3C8E4925"/>
    <w:rsid w:val="3C922B04"/>
    <w:rsid w:val="3C970A7F"/>
    <w:rsid w:val="3CB24B75"/>
    <w:rsid w:val="3CD4516B"/>
    <w:rsid w:val="3D0A57FF"/>
    <w:rsid w:val="3D1931AC"/>
    <w:rsid w:val="3D3E63B0"/>
    <w:rsid w:val="3D444D34"/>
    <w:rsid w:val="3D45330E"/>
    <w:rsid w:val="3D4B7958"/>
    <w:rsid w:val="3D5A3EE5"/>
    <w:rsid w:val="3D962FA5"/>
    <w:rsid w:val="3DA54B7C"/>
    <w:rsid w:val="3DBA430B"/>
    <w:rsid w:val="3DC05539"/>
    <w:rsid w:val="3DD116E2"/>
    <w:rsid w:val="3DE413AC"/>
    <w:rsid w:val="3E0E046C"/>
    <w:rsid w:val="3E161B2F"/>
    <w:rsid w:val="3E186BFC"/>
    <w:rsid w:val="3E3B692B"/>
    <w:rsid w:val="3E535385"/>
    <w:rsid w:val="3E567047"/>
    <w:rsid w:val="3EBC745F"/>
    <w:rsid w:val="3EC80751"/>
    <w:rsid w:val="3ECE30D8"/>
    <w:rsid w:val="3EDF08B2"/>
    <w:rsid w:val="3EF02FCC"/>
    <w:rsid w:val="3F075C4A"/>
    <w:rsid w:val="3F085A41"/>
    <w:rsid w:val="3F2939F1"/>
    <w:rsid w:val="3F40703E"/>
    <w:rsid w:val="3F4C1364"/>
    <w:rsid w:val="3F5170A5"/>
    <w:rsid w:val="3F5B7632"/>
    <w:rsid w:val="3F644047"/>
    <w:rsid w:val="3F6F3EBE"/>
    <w:rsid w:val="3F9D2B90"/>
    <w:rsid w:val="3FEF17B5"/>
    <w:rsid w:val="3FF12487"/>
    <w:rsid w:val="3FFA7BE1"/>
    <w:rsid w:val="3FFF4073"/>
    <w:rsid w:val="40073255"/>
    <w:rsid w:val="40267174"/>
    <w:rsid w:val="40386D85"/>
    <w:rsid w:val="40477A62"/>
    <w:rsid w:val="406651FB"/>
    <w:rsid w:val="40762CE6"/>
    <w:rsid w:val="40834301"/>
    <w:rsid w:val="408A504B"/>
    <w:rsid w:val="408A7156"/>
    <w:rsid w:val="408D04D5"/>
    <w:rsid w:val="409F3152"/>
    <w:rsid w:val="40A8677D"/>
    <w:rsid w:val="40BA69D0"/>
    <w:rsid w:val="40C66BC8"/>
    <w:rsid w:val="40ED16F6"/>
    <w:rsid w:val="40FD5CFC"/>
    <w:rsid w:val="40FE77C1"/>
    <w:rsid w:val="410A25A0"/>
    <w:rsid w:val="410E6192"/>
    <w:rsid w:val="41642310"/>
    <w:rsid w:val="41782819"/>
    <w:rsid w:val="417E6629"/>
    <w:rsid w:val="41B77980"/>
    <w:rsid w:val="421060C6"/>
    <w:rsid w:val="42110E71"/>
    <w:rsid w:val="42140B18"/>
    <w:rsid w:val="42180DA5"/>
    <w:rsid w:val="425B6747"/>
    <w:rsid w:val="4272170D"/>
    <w:rsid w:val="42737262"/>
    <w:rsid w:val="42744A7A"/>
    <w:rsid w:val="42750E7E"/>
    <w:rsid w:val="42845024"/>
    <w:rsid w:val="42914074"/>
    <w:rsid w:val="42BE1085"/>
    <w:rsid w:val="42C53001"/>
    <w:rsid w:val="42F05C6E"/>
    <w:rsid w:val="4308164D"/>
    <w:rsid w:val="43371F9E"/>
    <w:rsid w:val="4348542C"/>
    <w:rsid w:val="43527B80"/>
    <w:rsid w:val="43757375"/>
    <w:rsid w:val="437C6F6C"/>
    <w:rsid w:val="437D7278"/>
    <w:rsid w:val="43820D5D"/>
    <w:rsid w:val="43840890"/>
    <w:rsid w:val="438422C2"/>
    <w:rsid w:val="438B17DB"/>
    <w:rsid w:val="439A324D"/>
    <w:rsid w:val="43A01A38"/>
    <w:rsid w:val="43A45564"/>
    <w:rsid w:val="43BB4863"/>
    <w:rsid w:val="43D76936"/>
    <w:rsid w:val="43E635BF"/>
    <w:rsid w:val="43FD4F98"/>
    <w:rsid w:val="44047599"/>
    <w:rsid w:val="440632B5"/>
    <w:rsid w:val="441027C2"/>
    <w:rsid w:val="441072D7"/>
    <w:rsid w:val="44246BCC"/>
    <w:rsid w:val="442B2731"/>
    <w:rsid w:val="442C1C0C"/>
    <w:rsid w:val="44342596"/>
    <w:rsid w:val="444D1B41"/>
    <w:rsid w:val="445005AD"/>
    <w:rsid w:val="445C0341"/>
    <w:rsid w:val="4468496E"/>
    <w:rsid w:val="446E0C7E"/>
    <w:rsid w:val="4471202C"/>
    <w:rsid w:val="44777EB1"/>
    <w:rsid w:val="4491148D"/>
    <w:rsid w:val="4491272F"/>
    <w:rsid w:val="44B01F42"/>
    <w:rsid w:val="44BA6CD7"/>
    <w:rsid w:val="44BC0D7A"/>
    <w:rsid w:val="44CE1DD8"/>
    <w:rsid w:val="44EA19F6"/>
    <w:rsid w:val="45095418"/>
    <w:rsid w:val="451756B6"/>
    <w:rsid w:val="45255B75"/>
    <w:rsid w:val="453C0D61"/>
    <w:rsid w:val="453C7C43"/>
    <w:rsid w:val="45583D9C"/>
    <w:rsid w:val="45707379"/>
    <w:rsid w:val="45904640"/>
    <w:rsid w:val="459303DD"/>
    <w:rsid w:val="459461CF"/>
    <w:rsid w:val="45BB76F9"/>
    <w:rsid w:val="45D7128F"/>
    <w:rsid w:val="45E529E3"/>
    <w:rsid w:val="45E53B4D"/>
    <w:rsid w:val="45E86006"/>
    <w:rsid w:val="46154D85"/>
    <w:rsid w:val="46293521"/>
    <w:rsid w:val="462F45FB"/>
    <w:rsid w:val="46370DAA"/>
    <w:rsid w:val="463D71DD"/>
    <w:rsid w:val="463E7EC6"/>
    <w:rsid w:val="464F0B21"/>
    <w:rsid w:val="465A685B"/>
    <w:rsid w:val="466819C7"/>
    <w:rsid w:val="469746DA"/>
    <w:rsid w:val="46986609"/>
    <w:rsid w:val="469D3E7D"/>
    <w:rsid w:val="469E53B9"/>
    <w:rsid w:val="46A641F1"/>
    <w:rsid w:val="46AC23F1"/>
    <w:rsid w:val="46B45A49"/>
    <w:rsid w:val="46D10AC7"/>
    <w:rsid w:val="46EB4BA6"/>
    <w:rsid w:val="46FD50C6"/>
    <w:rsid w:val="47264685"/>
    <w:rsid w:val="472827B6"/>
    <w:rsid w:val="473355D3"/>
    <w:rsid w:val="474E247E"/>
    <w:rsid w:val="47514ECB"/>
    <w:rsid w:val="475B108A"/>
    <w:rsid w:val="476945EB"/>
    <w:rsid w:val="47762A17"/>
    <w:rsid w:val="477905C9"/>
    <w:rsid w:val="47861353"/>
    <w:rsid w:val="4787206B"/>
    <w:rsid w:val="478C720D"/>
    <w:rsid w:val="479D066F"/>
    <w:rsid w:val="47AF3861"/>
    <w:rsid w:val="47D95FD9"/>
    <w:rsid w:val="47F03D8D"/>
    <w:rsid w:val="47F3568C"/>
    <w:rsid w:val="480A58C1"/>
    <w:rsid w:val="48245DF4"/>
    <w:rsid w:val="48250395"/>
    <w:rsid w:val="483A4AF5"/>
    <w:rsid w:val="48665054"/>
    <w:rsid w:val="486C183F"/>
    <w:rsid w:val="487F09E5"/>
    <w:rsid w:val="489230C2"/>
    <w:rsid w:val="48A025E9"/>
    <w:rsid w:val="48AC6FE3"/>
    <w:rsid w:val="48B73BE3"/>
    <w:rsid w:val="48B74B83"/>
    <w:rsid w:val="48C21630"/>
    <w:rsid w:val="48EB13BF"/>
    <w:rsid w:val="490B65F8"/>
    <w:rsid w:val="49241F29"/>
    <w:rsid w:val="49336F27"/>
    <w:rsid w:val="493D12C3"/>
    <w:rsid w:val="493E6309"/>
    <w:rsid w:val="496C4BA5"/>
    <w:rsid w:val="49982986"/>
    <w:rsid w:val="49AB1DC0"/>
    <w:rsid w:val="49B1697C"/>
    <w:rsid w:val="49BA4740"/>
    <w:rsid w:val="49DB3087"/>
    <w:rsid w:val="49FB3033"/>
    <w:rsid w:val="4A0040FD"/>
    <w:rsid w:val="4A184526"/>
    <w:rsid w:val="4A1850D3"/>
    <w:rsid w:val="4A2A524E"/>
    <w:rsid w:val="4A372CA9"/>
    <w:rsid w:val="4A5D0C66"/>
    <w:rsid w:val="4A5E5FE5"/>
    <w:rsid w:val="4A631FF9"/>
    <w:rsid w:val="4A724F29"/>
    <w:rsid w:val="4A7C26A0"/>
    <w:rsid w:val="4A7E2438"/>
    <w:rsid w:val="4A9851B2"/>
    <w:rsid w:val="4AB415C3"/>
    <w:rsid w:val="4AC46FE6"/>
    <w:rsid w:val="4AD93F7F"/>
    <w:rsid w:val="4AFD6C44"/>
    <w:rsid w:val="4B062823"/>
    <w:rsid w:val="4B097214"/>
    <w:rsid w:val="4B0E6916"/>
    <w:rsid w:val="4B4D6507"/>
    <w:rsid w:val="4B50312F"/>
    <w:rsid w:val="4B571895"/>
    <w:rsid w:val="4B5D1B73"/>
    <w:rsid w:val="4B693EA7"/>
    <w:rsid w:val="4BAE3CA6"/>
    <w:rsid w:val="4BC87ADC"/>
    <w:rsid w:val="4BED1ADF"/>
    <w:rsid w:val="4BF92D55"/>
    <w:rsid w:val="4C2D42F6"/>
    <w:rsid w:val="4C521B7C"/>
    <w:rsid w:val="4C6B4E9E"/>
    <w:rsid w:val="4C751D24"/>
    <w:rsid w:val="4C7C25E3"/>
    <w:rsid w:val="4C8B4F61"/>
    <w:rsid w:val="4CA856D4"/>
    <w:rsid w:val="4CA92080"/>
    <w:rsid w:val="4CBB684E"/>
    <w:rsid w:val="4CE5316C"/>
    <w:rsid w:val="4CE849B5"/>
    <w:rsid w:val="4CE97CDF"/>
    <w:rsid w:val="4CF33149"/>
    <w:rsid w:val="4CF8742C"/>
    <w:rsid w:val="4D091CBD"/>
    <w:rsid w:val="4D1D5407"/>
    <w:rsid w:val="4D250C12"/>
    <w:rsid w:val="4D3C03EE"/>
    <w:rsid w:val="4D700241"/>
    <w:rsid w:val="4D7D07B9"/>
    <w:rsid w:val="4D8627E0"/>
    <w:rsid w:val="4D880231"/>
    <w:rsid w:val="4D96376E"/>
    <w:rsid w:val="4D9D24EF"/>
    <w:rsid w:val="4DB61B0B"/>
    <w:rsid w:val="4DC437AC"/>
    <w:rsid w:val="4DC56B8F"/>
    <w:rsid w:val="4DE61E58"/>
    <w:rsid w:val="4E26730D"/>
    <w:rsid w:val="4E443C49"/>
    <w:rsid w:val="4E680F22"/>
    <w:rsid w:val="4E6C46EA"/>
    <w:rsid w:val="4E73412C"/>
    <w:rsid w:val="4E7E110C"/>
    <w:rsid w:val="4E8C0D2C"/>
    <w:rsid w:val="4EA07E50"/>
    <w:rsid w:val="4EA25D03"/>
    <w:rsid w:val="4EAC26F4"/>
    <w:rsid w:val="4EBB3A72"/>
    <w:rsid w:val="4EC75190"/>
    <w:rsid w:val="4EEE4DB1"/>
    <w:rsid w:val="4F072660"/>
    <w:rsid w:val="4F423CE7"/>
    <w:rsid w:val="4F517B3A"/>
    <w:rsid w:val="4F561212"/>
    <w:rsid w:val="4F56399C"/>
    <w:rsid w:val="4F61063A"/>
    <w:rsid w:val="4FA22415"/>
    <w:rsid w:val="4FA66A10"/>
    <w:rsid w:val="4FB3003E"/>
    <w:rsid w:val="4FB52F86"/>
    <w:rsid w:val="4FC358CD"/>
    <w:rsid w:val="4FC4110C"/>
    <w:rsid w:val="500055DF"/>
    <w:rsid w:val="5025015C"/>
    <w:rsid w:val="50666041"/>
    <w:rsid w:val="50882D28"/>
    <w:rsid w:val="50945681"/>
    <w:rsid w:val="50955425"/>
    <w:rsid w:val="50E12F71"/>
    <w:rsid w:val="510A1E17"/>
    <w:rsid w:val="51166F93"/>
    <w:rsid w:val="51171AA4"/>
    <w:rsid w:val="5124593D"/>
    <w:rsid w:val="513C0D60"/>
    <w:rsid w:val="51546C8E"/>
    <w:rsid w:val="51637FA7"/>
    <w:rsid w:val="516A68B0"/>
    <w:rsid w:val="516C0FB2"/>
    <w:rsid w:val="517A563E"/>
    <w:rsid w:val="51953093"/>
    <w:rsid w:val="51A4118F"/>
    <w:rsid w:val="51B35A3A"/>
    <w:rsid w:val="51D13BD1"/>
    <w:rsid w:val="51E375B9"/>
    <w:rsid w:val="51EF4DAB"/>
    <w:rsid w:val="52035837"/>
    <w:rsid w:val="521636C0"/>
    <w:rsid w:val="521B336E"/>
    <w:rsid w:val="522957DC"/>
    <w:rsid w:val="52311180"/>
    <w:rsid w:val="525501B2"/>
    <w:rsid w:val="52626FB2"/>
    <w:rsid w:val="526A30E2"/>
    <w:rsid w:val="528C0280"/>
    <w:rsid w:val="52A61FCD"/>
    <w:rsid w:val="52AE1743"/>
    <w:rsid w:val="52BA0850"/>
    <w:rsid w:val="52C17F83"/>
    <w:rsid w:val="52CC3AC8"/>
    <w:rsid w:val="52D13E37"/>
    <w:rsid w:val="52DF534F"/>
    <w:rsid w:val="5308568C"/>
    <w:rsid w:val="531C4787"/>
    <w:rsid w:val="531F776D"/>
    <w:rsid w:val="533B0174"/>
    <w:rsid w:val="534275FA"/>
    <w:rsid w:val="534B5FB5"/>
    <w:rsid w:val="5354306C"/>
    <w:rsid w:val="535538FD"/>
    <w:rsid w:val="53647195"/>
    <w:rsid w:val="538B5D31"/>
    <w:rsid w:val="53B934F2"/>
    <w:rsid w:val="53B9462E"/>
    <w:rsid w:val="53BC42E9"/>
    <w:rsid w:val="53C84C83"/>
    <w:rsid w:val="53CB0DEC"/>
    <w:rsid w:val="53EE0AF8"/>
    <w:rsid w:val="53EE3E4C"/>
    <w:rsid w:val="54014054"/>
    <w:rsid w:val="54462B21"/>
    <w:rsid w:val="5447510C"/>
    <w:rsid w:val="544E52A3"/>
    <w:rsid w:val="54501F19"/>
    <w:rsid w:val="5465254A"/>
    <w:rsid w:val="547167CE"/>
    <w:rsid w:val="548A61A8"/>
    <w:rsid w:val="548B4D3E"/>
    <w:rsid w:val="54AF414C"/>
    <w:rsid w:val="54DC5207"/>
    <w:rsid w:val="54DD4A69"/>
    <w:rsid w:val="5506075D"/>
    <w:rsid w:val="55264D00"/>
    <w:rsid w:val="5527231F"/>
    <w:rsid w:val="55370578"/>
    <w:rsid w:val="554A4152"/>
    <w:rsid w:val="5554071C"/>
    <w:rsid w:val="5584531E"/>
    <w:rsid w:val="558C4493"/>
    <w:rsid w:val="55990F25"/>
    <w:rsid w:val="55A458EF"/>
    <w:rsid w:val="55A84880"/>
    <w:rsid w:val="55B84E14"/>
    <w:rsid w:val="55CE3352"/>
    <w:rsid w:val="55EE69E7"/>
    <w:rsid w:val="55FD2147"/>
    <w:rsid w:val="56056E49"/>
    <w:rsid w:val="560C62E5"/>
    <w:rsid w:val="56116CD3"/>
    <w:rsid w:val="56127F01"/>
    <w:rsid w:val="56246C47"/>
    <w:rsid w:val="56394DD2"/>
    <w:rsid w:val="56394E00"/>
    <w:rsid w:val="56436914"/>
    <w:rsid w:val="565A3D35"/>
    <w:rsid w:val="56766C17"/>
    <w:rsid w:val="5678056C"/>
    <w:rsid w:val="568F16A7"/>
    <w:rsid w:val="5699016B"/>
    <w:rsid w:val="569D5F66"/>
    <w:rsid w:val="56EB4ECD"/>
    <w:rsid w:val="56F646E2"/>
    <w:rsid w:val="57154397"/>
    <w:rsid w:val="573A2397"/>
    <w:rsid w:val="57425E21"/>
    <w:rsid w:val="574F59C7"/>
    <w:rsid w:val="5789014E"/>
    <w:rsid w:val="57B263B5"/>
    <w:rsid w:val="57CE6F42"/>
    <w:rsid w:val="57D04703"/>
    <w:rsid w:val="57D21119"/>
    <w:rsid w:val="57D568B2"/>
    <w:rsid w:val="57D846A0"/>
    <w:rsid w:val="57EB66DD"/>
    <w:rsid w:val="57FD1E1D"/>
    <w:rsid w:val="580A0A35"/>
    <w:rsid w:val="58104ACF"/>
    <w:rsid w:val="582B5FB0"/>
    <w:rsid w:val="58523D4C"/>
    <w:rsid w:val="58544FF0"/>
    <w:rsid w:val="585F2C92"/>
    <w:rsid w:val="58740D01"/>
    <w:rsid w:val="587C707C"/>
    <w:rsid w:val="587E6950"/>
    <w:rsid w:val="58836A38"/>
    <w:rsid w:val="58902D94"/>
    <w:rsid w:val="58985CD5"/>
    <w:rsid w:val="58A81C78"/>
    <w:rsid w:val="58B624A8"/>
    <w:rsid w:val="58BF4936"/>
    <w:rsid w:val="58CC27CD"/>
    <w:rsid w:val="58D22219"/>
    <w:rsid w:val="58E40661"/>
    <w:rsid w:val="58E61D71"/>
    <w:rsid w:val="58F67856"/>
    <w:rsid w:val="58F9244C"/>
    <w:rsid w:val="591774D9"/>
    <w:rsid w:val="594F3C82"/>
    <w:rsid w:val="59596584"/>
    <w:rsid w:val="59597E81"/>
    <w:rsid w:val="59926D51"/>
    <w:rsid w:val="59982E9B"/>
    <w:rsid w:val="59AB788E"/>
    <w:rsid w:val="59AD6B8B"/>
    <w:rsid w:val="59CA5022"/>
    <w:rsid w:val="59E62AFE"/>
    <w:rsid w:val="5A07296B"/>
    <w:rsid w:val="5A1455A7"/>
    <w:rsid w:val="5A340980"/>
    <w:rsid w:val="5A3741C7"/>
    <w:rsid w:val="5A3C5852"/>
    <w:rsid w:val="5A3F5F1A"/>
    <w:rsid w:val="5A503C13"/>
    <w:rsid w:val="5A981B96"/>
    <w:rsid w:val="5A9F033A"/>
    <w:rsid w:val="5AB44889"/>
    <w:rsid w:val="5AB63317"/>
    <w:rsid w:val="5AB649E6"/>
    <w:rsid w:val="5AB87080"/>
    <w:rsid w:val="5AC71C23"/>
    <w:rsid w:val="5ACA0055"/>
    <w:rsid w:val="5ACA613D"/>
    <w:rsid w:val="5AD80570"/>
    <w:rsid w:val="5AE92AAB"/>
    <w:rsid w:val="5AED6C2F"/>
    <w:rsid w:val="5AF91B3E"/>
    <w:rsid w:val="5B010501"/>
    <w:rsid w:val="5B041B61"/>
    <w:rsid w:val="5B074CDD"/>
    <w:rsid w:val="5B1F6CEF"/>
    <w:rsid w:val="5B5461DA"/>
    <w:rsid w:val="5B592757"/>
    <w:rsid w:val="5B597A69"/>
    <w:rsid w:val="5B7601AF"/>
    <w:rsid w:val="5B8514B9"/>
    <w:rsid w:val="5B8E55A4"/>
    <w:rsid w:val="5B91121A"/>
    <w:rsid w:val="5B9B4CF5"/>
    <w:rsid w:val="5BB148E9"/>
    <w:rsid w:val="5BC624B9"/>
    <w:rsid w:val="5BD41F5D"/>
    <w:rsid w:val="5BE23C43"/>
    <w:rsid w:val="5BE310DF"/>
    <w:rsid w:val="5BFA370E"/>
    <w:rsid w:val="5BFA3911"/>
    <w:rsid w:val="5C0B1E5F"/>
    <w:rsid w:val="5C0C01E7"/>
    <w:rsid w:val="5C157216"/>
    <w:rsid w:val="5C411584"/>
    <w:rsid w:val="5C5312BE"/>
    <w:rsid w:val="5C8F15F7"/>
    <w:rsid w:val="5CA24A96"/>
    <w:rsid w:val="5CC0450D"/>
    <w:rsid w:val="5CCD5ADA"/>
    <w:rsid w:val="5CD814C4"/>
    <w:rsid w:val="5CD96F37"/>
    <w:rsid w:val="5CEF1369"/>
    <w:rsid w:val="5D54499B"/>
    <w:rsid w:val="5D575C32"/>
    <w:rsid w:val="5D890D42"/>
    <w:rsid w:val="5D8F26AC"/>
    <w:rsid w:val="5DAF3D6E"/>
    <w:rsid w:val="5DB35DAD"/>
    <w:rsid w:val="5DB7491F"/>
    <w:rsid w:val="5DBC00A8"/>
    <w:rsid w:val="5DC66FD7"/>
    <w:rsid w:val="5DD64566"/>
    <w:rsid w:val="5DDA365D"/>
    <w:rsid w:val="5DE706C3"/>
    <w:rsid w:val="5DEB02E9"/>
    <w:rsid w:val="5E043501"/>
    <w:rsid w:val="5E065B47"/>
    <w:rsid w:val="5E0D5663"/>
    <w:rsid w:val="5E4B4BAE"/>
    <w:rsid w:val="5E50460F"/>
    <w:rsid w:val="5E592E61"/>
    <w:rsid w:val="5E9D135B"/>
    <w:rsid w:val="5EAB0847"/>
    <w:rsid w:val="5EB03FEA"/>
    <w:rsid w:val="5EBE2FF9"/>
    <w:rsid w:val="5ECF6985"/>
    <w:rsid w:val="5EE53450"/>
    <w:rsid w:val="5EE63157"/>
    <w:rsid w:val="5F17599B"/>
    <w:rsid w:val="5F3E09BD"/>
    <w:rsid w:val="5F416D75"/>
    <w:rsid w:val="5F570755"/>
    <w:rsid w:val="5F7C3CC5"/>
    <w:rsid w:val="5F8340BB"/>
    <w:rsid w:val="5FA1603C"/>
    <w:rsid w:val="5FBC3B07"/>
    <w:rsid w:val="5FCD3BBA"/>
    <w:rsid w:val="5FCE661E"/>
    <w:rsid w:val="5FE41FE2"/>
    <w:rsid w:val="5FE7729D"/>
    <w:rsid w:val="5FF650CA"/>
    <w:rsid w:val="6009376D"/>
    <w:rsid w:val="60166A0E"/>
    <w:rsid w:val="60175DE2"/>
    <w:rsid w:val="60546886"/>
    <w:rsid w:val="606A07AA"/>
    <w:rsid w:val="607D751E"/>
    <w:rsid w:val="60876E27"/>
    <w:rsid w:val="60B80EFE"/>
    <w:rsid w:val="60EA5245"/>
    <w:rsid w:val="612A40F7"/>
    <w:rsid w:val="612B3702"/>
    <w:rsid w:val="612D6864"/>
    <w:rsid w:val="614C3C29"/>
    <w:rsid w:val="6164197F"/>
    <w:rsid w:val="61681E32"/>
    <w:rsid w:val="61744BC5"/>
    <w:rsid w:val="617A01B4"/>
    <w:rsid w:val="617E4154"/>
    <w:rsid w:val="61AA2AAF"/>
    <w:rsid w:val="61AC6FC9"/>
    <w:rsid w:val="61DF61DD"/>
    <w:rsid w:val="61E94BDF"/>
    <w:rsid w:val="61F431C6"/>
    <w:rsid w:val="61FC012E"/>
    <w:rsid w:val="6209356E"/>
    <w:rsid w:val="620C0AF1"/>
    <w:rsid w:val="62191EEC"/>
    <w:rsid w:val="62635277"/>
    <w:rsid w:val="6265337C"/>
    <w:rsid w:val="62827612"/>
    <w:rsid w:val="628572F7"/>
    <w:rsid w:val="628C78BA"/>
    <w:rsid w:val="629E04C3"/>
    <w:rsid w:val="62A553FB"/>
    <w:rsid w:val="62B42275"/>
    <w:rsid w:val="62BA10D8"/>
    <w:rsid w:val="62C56DA1"/>
    <w:rsid w:val="62E80F68"/>
    <w:rsid w:val="63006426"/>
    <w:rsid w:val="630B403C"/>
    <w:rsid w:val="630B46CB"/>
    <w:rsid w:val="630F0FD3"/>
    <w:rsid w:val="63170E2B"/>
    <w:rsid w:val="63306E52"/>
    <w:rsid w:val="63333F45"/>
    <w:rsid w:val="634C1A77"/>
    <w:rsid w:val="635A51A7"/>
    <w:rsid w:val="636F7088"/>
    <w:rsid w:val="63713D00"/>
    <w:rsid w:val="63AA5A54"/>
    <w:rsid w:val="63AB40C6"/>
    <w:rsid w:val="63B22C70"/>
    <w:rsid w:val="63BC5DFC"/>
    <w:rsid w:val="63C118B9"/>
    <w:rsid w:val="63D06E4D"/>
    <w:rsid w:val="641D5ECC"/>
    <w:rsid w:val="642266BE"/>
    <w:rsid w:val="64264CEE"/>
    <w:rsid w:val="6427770A"/>
    <w:rsid w:val="642B381E"/>
    <w:rsid w:val="642C4F07"/>
    <w:rsid w:val="642C50F6"/>
    <w:rsid w:val="64330D52"/>
    <w:rsid w:val="643D68A8"/>
    <w:rsid w:val="645214FF"/>
    <w:rsid w:val="648C4F7B"/>
    <w:rsid w:val="648D7867"/>
    <w:rsid w:val="64A56837"/>
    <w:rsid w:val="64C52765"/>
    <w:rsid w:val="64D169BB"/>
    <w:rsid w:val="64F32207"/>
    <w:rsid w:val="64F42F82"/>
    <w:rsid w:val="651256F0"/>
    <w:rsid w:val="6547562C"/>
    <w:rsid w:val="65817786"/>
    <w:rsid w:val="658C3A4D"/>
    <w:rsid w:val="65917F1B"/>
    <w:rsid w:val="659E4930"/>
    <w:rsid w:val="65E46058"/>
    <w:rsid w:val="65E613CF"/>
    <w:rsid w:val="65EB42B3"/>
    <w:rsid w:val="65F97719"/>
    <w:rsid w:val="660470FA"/>
    <w:rsid w:val="661E59DB"/>
    <w:rsid w:val="662424EC"/>
    <w:rsid w:val="662B39CD"/>
    <w:rsid w:val="666053D8"/>
    <w:rsid w:val="6669068B"/>
    <w:rsid w:val="66691CFB"/>
    <w:rsid w:val="666C3393"/>
    <w:rsid w:val="666D6E7E"/>
    <w:rsid w:val="668012B8"/>
    <w:rsid w:val="668F7255"/>
    <w:rsid w:val="66A9071A"/>
    <w:rsid w:val="66AB7FBF"/>
    <w:rsid w:val="66BD67A2"/>
    <w:rsid w:val="66ED5F06"/>
    <w:rsid w:val="66F0607B"/>
    <w:rsid w:val="66F94F65"/>
    <w:rsid w:val="66FD2045"/>
    <w:rsid w:val="67075A0C"/>
    <w:rsid w:val="671704FE"/>
    <w:rsid w:val="67175A11"/>
    <w:rsid w:val="671D65E3"/>
    <w:rsid w:val="67351F69"/>
    <w:rsid w:val="67565174"/>
    <w:rsid w:val="675747BA"/>
    <w:rsid w:val="67582436"/>
    <w:rsid w:val="67582573"/>
    <w:rsid w:val="67953941"/>
    <w:rsid w:val="67A8566A"/>
    <w:rsid w:val="67B111A3"/>
    <w:rsid w:val="67D23F39"/>
    <w:rsid w:val="67D27EC9"/>
    <w:rsid w:val="67F94E7F"/>
    <w:rsid w:val="67FD3118"/>
    <w:rsid w:val="68072D86"/>
    <w:rsid w:val="681B5154"/>
    <w:rsid w:val="682A1192"/>
    <w:rsid w:val="682B2D1C"/>
    <w:rsid w:val="68301F66"/>
    <w:rsid w:val="683441E2"/>
    <w:rsid w:val="685553AA"/>
    <w:rsid w:val="685F2494"/>
    <w:rsid w:val="68811835"/>
    <w:rsid w:val="68A6045C"/>
    <w:rsid w:val="68C0455D"/>
    <w:rsid w:val="68E76107"/>
    <w:rsid w:val="68E82B7C"/>
    <w:rsid w:val="68FB3B1C"/>
    <w:rsid w:val="69014FE1"/>
    <w:rsid w:val="690628D2"/>
    <w:rsid w:val="690A5F85"/>
    <w:rsid w:val="6910690B"/>
    <w:rsid w:val="69276FA4"/>
    <w:rsid w:val="69411CBF"/>
    <w:rsid w:val="69485CB3"/>
    <w:rsid w:val="694C5292"/>
    <w:rsid w:val="6984577C"/>
    <w:rsid w:val="698A0657"/>
    <w:rsid w:val="69A735B7"/>
    <w:rsid w:val="69BF2491"/>
    <w:rsid w:val="69C92393"/>
    <w:rsid w:val="69ED7B47"/>
    <w:rsid w:val="6A1909A9"/>
    <w:rsid w:val="6A334277"/>
    <w:rsid w:val="6A424046"/>
    <w:rsid w:val="6A4B33EE"/>
    <w:rsid w:val="6A4D5AD8"/>
    <w:rsid w:val="6A7A2A44"/>
    <w:rsid w:val="6A7A455C"/>
    <w:rsid w:val="6AE77F05"/>
    <w:rsid w:val="6B1129C5"/>
    <w:rsid w:val="6B2D53C5"/>
    <w:rsid w:val="6B3B1C28"/>
    <w:rsid w:val="6B4410E7"/>
    <w:rsid w:val="6B4F49C8"/>
    <w:rsid w:val="6B776F99"/>
    <w:rsid w:val="6B7B368F"/>
    <w:rsid w:val="6B8E7338"/>
    <w:rsid w:val="6B985672"/>
    <w:rsid w:val="6BBC181A"/>
    <w:rsid w:val="6BBD3DCE"/>
    <w:rsid w:val="6BDF2B7D"/>
    <w:rsid w:val="6BED5C0B"/>
    <w:rsid w:val="6BFF4188"/>
    <w:rsid w:val="6C006627"/>
    <w:rsid w:val="6C061479"/>
    <w:rsid w:val="6C2A1DF2"/>
    <w:rsid w:val="6C2A50DD"/>
    <w:rsid w:val="6C411B7B"/>
    <w:rsid w:val="6C4E1BE2"/>
    <w:rsid w:val="6C552121"/>
    <w:rsid w:val="6C5828A2"/>
    <w:rsid w:val="6C8C2DA1"/>
    <w:rsid w:val="6C925644"/>
    <w:rsid w:val="6C936C5C"/>
    <w:rsid w:val="6C950D40"/>
    <w:rsid w:val="6CA55834"/>
    <w:rsid w:val="6CB54B39"/>
    <w:rsid w:val="6CC73064"/>
    <w:rsid w:val="6CD61AA4"/>
    <w:rsid w:val="6CE13B20"/>
    <w:rsid w:val="6CF331D9"/>
    <w:rsid w:val="6CF3787E"/>
    <w:rsid w:val="6D2B1DD9"/>
    <w:rsid w:val="6D3A5DFF"/>
    <w:rsid w:val="6D4978CA"/>
    <w:rsid w:val="6D4A56DC"/>
    <w:rsid w:val="6D641A4D"/>
    <w:rsid w:val="6D6F6FCA"/>
    <w:rsid w:val="6D757F4D"/>
    <w:rsid w:val="6DA13253"/>
    <w:rsid w:val="6DAC1D45"/>
    <w:rsid w:val="6DC67DCC"/>
    <w:rsid w:val="6DCA78A0"/>
    <w:rsid w:val="6DF20D47"/>
    <w:rsid w:val="6DF55A35"/>
    <w:rsid w:val="6E21011C"/>
    <w:rsid w:val="6E346184"/>
    <w:rsid w:val="6E3E2E2E"/>
    <w:rsid w:val="6E426EF5"/>
    <w:rsid w:val="6E594E63"/>
    <w:rsid w:val="6E65414F"/>
    <w:rsid w:val="6E6B5674"/>
    <w:rsid w:val="6E7C1E16"/>
    <w:rsid w:val="6E834F32"/>
    <w:rsid w:val="6E8E1CC8"/>
    <w:rsid w:val="6E9C2AB3"/>
    <w:rsid w:val="6EBA7DBD"/>
    <w:rsid w:val="6EC33203"/>
    <w:rsid w:val="6ED0271A"/>
    <w:rsid w:val="6EE00772"/>
    <w:rsid w:val="6EFF3D03"/>
    <w:rsid w:val="6F192215"/>
    <w:rsid w:val="6F25497D"/>
    <w:rsid w:val="6F467C56"/>
    <w:rsid w:val="6F7052A7"/>
    <w:rsid w:val="6F967AA6"/>
    <w:rsid w:val="6FA96039"/>
    <w:rsid w:val="6FC027F9"/>
    <w:rsid w:val="6FCD7FF3"/>
    <w:rsid w:val="6FD04098"/>
    <w:rsid w:val="70147732"/>
    <w:rsid w:val="703E4E20"/>
    <w:rsid w:val="704E5FF6"/>
    <w:rsid w:val="705D4188"/>
    <w:rsid w:val="70633C4D"/>
    <w:rsid w:val="70A0072C"/>
    <w:rsid w:val="70A33F4B"/>
    <w:rsid w:val="70AA20B5"/>
    <w:rsid w:val="70BF66A5"/>
    <w:rsid w:val="70C50AD5"/>
    <w:rsid w:val="70D05AD6"/>
    <w:rsid w:val="70FB11A0"/>
    <w:rsid w:val="712F7047"/>
    <w:rsid w:val="71317B4A"/>
    <w:rsid w:val="71711176"/>
    <w:rsid w:val="71892684"/>
    <w:rsid w:val="719B4143"/>
    <w:rsid w:val="71A14F1A"/>
    <w:rsid w:val="71A848DC"/>
    <w:rsid w:val="71CB3D39"/>
    <w:rsid w:val="7213520E"/>
    <w:rsid w:val="7215628F"/>
    <w:rsid w:val="722C6CB3"/>
    <w:rsid w:val="722F3CB3"/>
    <w:rsid w:val="722F66E7"/>
    <w:rsid w:val="72385B55"/>
    <w:rsid w:val="723D5340"/>
    <w:rsid w:val="723E7BCF"/>
    <w:rsid w:val="72426F3A"/>
    <w:rsid w:val="7251492C"/>
    <w:rsid w:val="726B25C1"/>
    <w:rsid w:val="72877696"/>
    <w:rsid w:val="72914858"/>
    <w:rsid w:val="729C0DB8"/>
    <w:rsid w:val="72B83B85"/>
    <w:rsid w:val="72BF1B90"/>
    <w:rsid w:val="72E43593"/>
    <w:rsid w:val="72E6654F"/>
    <w:rsid w:val="72F36B8B"/>
    <w:rsid w:val="72F650E6"/>
    <w:rsid w:val="72F67FAE"/>
    <w:rsid w:val="73044BE7"/>
    <w:rsid w:val="7309081C"/>
    <w:rsid w:val="730B2B9B"/>
    <w:rsid w:val="73343871"/>
    <w:rsid w:val="73593319"/>
    <w:rsid w:val="73634608"/>
    <w:rsid w:val="736F62E2"/>
    <w:rsid w:val="7373320B"/>
    <w:rsid w:val="738F7B54"/>
    <w:rsid w:val="73941BFF"/>
    <w:rsid w:val="73A15045"/>
    <w:rsid w:val="73BE6502"/>
    <w:rsid w:val="73C379D3"/>
    <w:rsid w:val="73E13652"/>
    <w:rsid w:val="73EF42C9"/>
    <w:rsid w:val="73F67350"/>
    <w:rsid w:val="73F804E0"/>
    <w:rsid w:val="73F91659"/>
    <w:rsid w:val="74107972"/>
    <w:rsid w:val="742429D9"/>
    <w:rsid w:val="74252854"/>
    <w:rsid w:val="74323D48"/>
    <w:rsid w:val="7434008E"/>
    <w:rsid w:val="744B3AC9"/>
    <w:rsid w:val="745642E3"/>
    <w:rsid w:val="745E5ADB"/>
    <w:rsid w:val="7465639A"/>
    <w:rsid w:val="74754507"/>
    <w:rsid w:val="747C20D0"/>
    <w:rsid w:val="7481629F"/>
    <w:rsid w:val="74875036"/>
    <w:rsid w:val="74A17FA3"/>
    <w:rsid w:val="74CD0694"/>
    <w:rsid w:val="74D043C9"/>
    <w:rsid w:val="75036CD0"/>
    <w:rsid w:val="751047E3"/>
    <w:rsid w:val="75167F36"/>
    <w:rsid w:val="75222BFA"/>
    <w:rsid w:val="75273A55"/>
    <w:rsid w:val="752C6115"/>
    <w:rsid w:val="75346B66"/>
    <w:rsid w:val="7563276F"/>
    <w:rsid w:val="756C4FDF"/>
    <w:rsid w:val="75857EC0"/>
    <w:rsid w:val="758B361A"/>
    <w:rsid w:val="759B3192"/>
    <w:rsid w:val="759D1B59"/>
    <w:rsid w:val="759E5D5C"/>
    <w:rsid w:val="75A74E55"/>
    <w:rsid w:val="75E75328"/>
    <w:rsid w:val="75EB0F28"/>
    <w:rsid w:val="760B302C"/>
    <w:rsid w:val="761E77A3"/>
    <w:rsid w:val="762A1C80"/>
    <w:rsid w:val="762D3577"/>
    <w:rsid w:val="7644583F"/>
    <w:rsid w:val="76501852"/>
    <w:rsid w:val="76754AE8"/>
    <w:rsid w:val="768C4698"/>
    <w:rsid w:val="768F217A"/>
    <w:rsid w:val="769077D6"/>
    <w:rsid w:val="76A423C8"/>
    <w:rsid w:val="76CE1719"/>
    <w:rsid w:val="76EC6284"/>
    <w:rsid w:val="76FA7BF5"/>
    <w:rsid w:val="771C2A52"/>
    <w:rsid w:val="772055DF"/>
    <w:rsid w:val="77274CD8"/>
    <w:rsid w:val="773564F7"/>
    <w:rsid w:val="773A3EFE"/>
    <w:rsid w:val="775144DD"/>
    <w:rsid w:val="77544A80"/>
    <w:rsid w:val="775E7AFC"/>
    <w:rsid w:val="77674CD3"/>
    <w:rsid w:val="77986A2D"/>
    <w:rsid w:val="779C017B"/>
    <w:rsid w:val="779C0B52"/>
    <w:rsid w:val="77A00D88"/>
    <w:rsid w:val="77AA7EBE"/>
    <w:rsid w:val="784B0003"/>
    <w:rsid w:val="784C33FE"/>
    <w:rsid w:val="785906E4"/>
    <w:rsid w:val="786E6737"/>
    <w:rsid w:val="78871820"/>
    <w:rsid w:val="788A145A"/>
    <w:rsid w:val="788A3B5D"/>
    <w:rsid w:val="788A5289"/>
    <w:rsid w:val="78991F98"/>
    <w:rsid w:val="789D5E8B"/>
    <w:rsid w:val="78A17FE1"/>
    <w:rsid w:val="78AD4207"/>
    <w:rsid w:val="78BB413B"/>
    <w:rsid w:val="78CF1FD6"/>
    <w:rsid w:val="78DB55E6"/>
    <w:rsid w:val="78DC63B3"/>
    <w:rsid w:val="791E4F25"/>
    <w:rsid w:val="79246AA5"/>
    <w:rsid w:val="79321A57"/>
    <w:rsid w:val="796F75A6"/>
    <w:rsid w:val="797909CC"/>
    <w:rsid w:val="79807B6C"/>
    <w:rsid w:val="79A92B7F"/>
    <w:rsid w:val="79AC60CF"/>
    <w:rsid w:val="79B216F9"/>
    <w:rsid w:val="79BF0F73"/>
    <w:rsid w:val="79E210D7"/>
    <w:rsid w:val="79E968B6"/>
    <w:rsid w:val="79EE0730"/>
    <w:rsid w:val="79F8670C"/>
    <w:rsid w:val="79FB2A1A"/>
    <w:rsid w:val="7A2F2F22"/>
    <w:rsid w:val="7A466F07"/>
    <w:rsid w:val="7A536AEA"/>
    <w:rsid w:val="7A5616E7"/>
    <w:rsid w:val="7A5D66D6"/>
    <w:rsid w:val="7A6309B5"/>
    <w:rsid w:val="7A8F29A0"/>
    <w:rsid w:val="7A9048E8"/>
    <w:rsid w:val="7AA17E33"/>
    <w:rsid w:val="7AA27C69"/>
    <w:rsid w:val="7AA42873"/>
    <w:rsid w:val="7AB53930"/>
    <w:rsid w:val="7ABC7BE4"/>
    <w:rsid w:val="7ACC4F21"/>
    <w:rsid w:val="7AE36D31"/>
    <w:rsid w:val="7AE65F1E"/>
    <w:rsid w:val="7AF37BB2"/>
    <w:rsid w:val="7AF766E8"/>
    <w:rsid w:val="7B2D4B64"/>
    <w:rsid w:val="7B620F01"/>
    <w:rsid w:val="7B656654"/>
    <w:rsid w:val="7B665B1B"/>
    <w:rsid w:val="7B734F63"/>
    <w:rsid w:val="7BB5366D"/>
    <w:rsid w:val="7BB969FD"/>
    <w:rsid w:val="7BBF070C"/>
    <w:rsid w:val="7BDF7E8C"/>
    <w:rsid w:val="7BED19DC"/>
    <w:rsid w:val="7BF47555"/>
    <w:rsid w:val="7BF94A54"/>
    <w:rsid w:val="7BFE1B5F"/>
    <w:rsid w:val="7C283FE4"/>
    <w:rsid w:val="7C39477B"/>
    <w:rsid w:val="7C416981"/>
    <w:rsid w:val="7C437D6E"/>
    <w:rsid w:val="7C556B8F"/>
    <w:rsid w:val="7C851A93"/>
    <w:rsid w:val="7CB66571"/>
    <w:rsid w:val="7CC60714"/>
    <w:rsid w:val="7CC93B51"/>
    <w:rsid w:val="7CE8242E"/>
    <w:rsid w:val="7CEA30ED"/>
    <w:rsid w:val="7D1506E2"/>
    <w:rsid w:val="7D230F9A"/>
    <w:rsid w:val="7D382DFF"/>
    <w:rsid w:val="7D560441"/>
    <w:rsid w:val="7D5D4C47"/>
    <w:rsid w:val="7D6D5AC1"/>
    <w:rsid w:val="7D6F11E0"/>
    <w:rsid w:val="7D7E6EE2"/>
    <w:rsid w:val="7DB96CAF"/>
    <w:rsid w:val="7DC071B6"/>
    <w:rsid w:val="7DD23FA3"/>
    <w:rsid w:val="7DE74899"/>
    <w:rsid w:val="7DED56F2"/>
    <w:rsid w:val="7DEE05B8"/>
    <w:rsid w:val="7DFA19AD"/>
    <w:rsid w:val="7E0E4A6C"/>
    <w:rsid w:val="7E167F76"/>
    <w:rsid w:val="7E173C2E"/>
    <w:rsid w:val="7E3A3347"/>
    <w:rsid w:val="7E5B1E68"/>
    <w:rsid w:val="7E6662AA"/>
    <w:rsid w:val="7E7902DB"/>
    <w:rsid w:val="7E8A7F78"/>
    <w:rsid w:val="7E953D38"/>
    <w:rsid w:val="7E9D6736"/>
    <w:rsid w:val="7EA66241"/>
    <w:rsid w:val="7EAA2CA8"/>
    <w:rsid w:val="7EB12C34"/>
    <w:rsid w:val="7EC4533A"/>
    <w:rsid w:val="7EDD563B"/>
    <w:rsid w:val="7EEB7BF2"/>
    <w:rsid w:val="7F126014"/>
    <w:rsid w:val="7F156A17"/>
    <w:rsid w:val="7F3A13BB"/>
    <w:rsid w:val="7F4075ED"/>
    <w:rsid w:val="7F4F446C"/>
    <w:rsid w:val="7F6A50B8"/>
    <w:rsid w:val="7F6C1644"/>
    <w:rsid w:val="7F826D64"/>
    <w:rsid w:val="7F9A0745"/>
    <w:rsid w:val="7F9F5CE0"/>
    <w:rsid w:val="7FA64A9F"/>
    <w:rsid w:val="7FDA735D"/>
    <w:rsid w:val="7FDF0B85"/>
    <w:rsid w:val="7FEB67D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1" w:semiHidden="0" w:name="heading 1"/>
    <w:lsdException w:qFormat="1" w:uiPriority="0" w:name="heading 2"/>
    <w:lsdException w:qFormat="1" w:unhideWhenUsed="0" w:uiPriority="1"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1"/>
    <w:pPr>
      <w:widowControl w:val="0"/>
      <w:autoSpaceDE w:val="0"/>
      <w:autoSpaceDN w:val="0"/>
    </w:pPr>
    <w:rPr>
      <w:rFonts w:ascii="宋体" w:hAnsi="宋体" w:eastAsia="宋体" w:cs="宋体"/>
      <w:sz w:val="22"/>
      <w:szCs w:val="22"/>
      <w:lang w:val="zh-CN" w:eastAsia="zh-CN" w:bidi="zh-CN"/>
    </w:rPr>
  </w:style>
  <w:style w:type="paragraph" w:styleId="2">
    <w:name w:val="heading 1"/>
    <w:basedOn w:val="1"/>
    <w:next w:val="1"/>
    <w:qFormat/>
    <w:uiPriority w:val="1"/>
    <w:pPr>
      <w:spacing w:before="37"/>
      <w:ind w:left="340" w:right="557"/>
      <w:jc w:val="center"/>
      <w:outlineLvl w:val="0"/>
    </w:pPr>
    <w:rPr>
      <w:b/>
      <w:bCs/>
      <w:sz w:val="44"/>
      <w:szCs w:val="44"/>
    </w:rPr>
  </w:style>
  <w:style w:type="paragraph" w:styleId="3">
    <w:name w:val="heading 3"/>
    <w:basedOn w:val="1"/>
    <w:next w:val="1"/>
    <w:qFormat/>
    <w:uiPriority w:val="1"/>
    <w:pPr>
      <w:spacing w:before="62"/>
      <w:ind w:left="340" w:right="557"/>
      <w:jc w:val="center"/>
      <w:outlineLvl w:val="2"/>
    </w:pPr>
    <w:rPr>
      <w:b/>
      <w:bCs/>
      <w:sz w:val="24"/>
      <w:szCs w:val="28"/>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4">
    <w:name w:val="Body Text"/>
    <w:basedOn w:val="1"/>
    <w:qFormat/>
    <w:uiPriority w:val="1"/>
    <w:pPr>
      <w:ind w:left="318"/>
    </w:pPr>
    <w:rPr>
      <w:sz w:val="21"/>
      <w:szCs w:val="21"/>
    </w:rPr>
  </w:style>
  <w:style w:type="paragraph" w:styleId="5">
    <w:name w:val="footer"/>
    <w:basedOn w:val="1"/>
    <w:qFormat/>
    <w:uiPriority w:val="0"/>
    <w:pPr>
      <w:tabs>
        <w:tab w:val="center" w:pos="4153"/>
        <w:tab w:val="right" w:pos="8306"/>
      </w:tabs>
      <w:snapToGrid w:val="0"/>
    </w:pPr>
    <w:rPr>
      <w:sz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13</Pages>
  <Words>0</Words>
  <Characters>0</Characters>
  <Lines>0</Lines>
  <Paragraphs>0</Paragraphs>
  <TotalTime>1</TotalTime>
  <ScaleCrop>false</ScaleCrop>
  <LinksUpToDate>false</LinksUpToDate>
  <CharactersWithSpaces>0</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2025-11-11T08:54:00Z</dcterms:created>
  <dc:creator>吃货</dc:creator>
  <cp:lastModifiedBy>吃货</cp:lastModifiedBy>
  <dcterms:modified xsi:type="dcterms:W3CDTF">2025-11-11T08:55:55Z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47521DF45B3940168B57B6F9CDAC55EF_11</vt:lpwstr>
  </property>
  <property fmtid="{D5CDD505-2E9C-101B-9397-08002B2CF9AE}" pid="4" name="KSOTemplateDocerSaveRecord">
    <vt:lpwstr>eyJoZGlkIjoiYWJlOWQ5ZDY0ZTk3NTI4M2JhYjE3YmI3NmY0OGEzYmYiLCJ1c2VySWQiOiI5NTMwNTA0NzMifQ==</vt:lpwstr>
  </property>
</Properties>
</file>