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3E5AC">
      <w:pPr>
        <w:pStyle w:val="2"/>
        <w:numPr>
          <w:ilvl w:val="0"/>
          <w:numId w:val="0"/>
        </w:numPr>
        <w:snapToGrid w:val="0"/>
        <w:spacing w:before="0" w:line="360" w:lineRule="auto"/>
        <w:ind w:left="0" w:leftChars="0" w:right="0" w:rightChars="0"/>
        <w:rPr>
          <w:sz w:val="32"/>
          <w:szCs w:val="32"/>
          <w:highlight w:val="none"/>
        </w:rPr>
      </w:pPr>
      <w:r>
        <w:rPr>
          <w:sz w:val="32"/>
          <w:szCs w:val="32"/>
          <w:highlight w:val="none"/>
        </w:rPr>
        <w:t>评标办法（</w:t>
      </w:r>
      <w:r>
        <w:rPr>
          <w:rFonts w:hint="eastAsia"/>
          <w:sz w:val="32"/>
          <w:szCs w:val="32"/>
          <w:highlight w:val="none"/>
          <w:lang w:eastAsia="zh-CN"/>
        </w:rPr>
        <w:t>双信封的技术评分最低标价法</w:t>
      </w:r>
      <w:r>
        <w:rPr>
          <w:sz w:val="32"/>
          <w:szCs w:val="32"/>
          <w:highlight w:val="none"/>
        </w:rPr>
        <w:t>）</w:t>
      </w:r>
    </w:p>
    <w:p w14:paraId="4C2FF3A5">
      <w:pPr>
        <w:pStyle w:val="3"/>
        <w:rPr>
          <w:szCs w:val="24"/>
          <w:highlight w:val="none"/>
          <w:vertAlign w:val="superscript"/>
        </w:rPr>
      </w:pPr>
      <w:bookmarkStart w:id="0" w:name="_TOC_250247"/>
      <w:bookmarkEnd w:id="0"/>
      <w:bookmarkStart w:id="1" w:name="_Toc513216148"/>
      <w:r>
        <w:rPr>
          <w:szCs w:val="24"/>
          <w:highlight w:val="none"/>
        </w:rPr>
        <w:t>评标办法前附表</w:t>
      </w:r>
      <w:bookmarkEnd w:id="1"/>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09"/>
        <w:gridCol w:w="7800"/>
      </w:tblGrid>
      <w:tr w14:paraId="7A4E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60" w:type="dxa"/>
            <w:gridSpan w:val="2"/>
            <w:noWrap w:val="0"/>
            <w:vAlign w:val="center"/>
          </w:tcPr>
          <w:p w14:paraId="36AB3701">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7800" w:type="dxa"/>
            <w:noWrap w:val="0"/>
            <w:vAlign w:val="center"/>
          </w:tcPr>
          <w:p w14:paraId="14CA45DB">
            <w:pPr>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评审因素与标准</w:t>
            </w:r>
          </w:p>
        </w:tc>
      </w:tr>
      <w:tr w14:paraId="1877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1" w:type="dxa"/>
            <w:noWrap w:val="0"/>
            <w:vAlign w:val="center"/>
          </w:tcPr>
          <w:p w14:paraId="4A32C35B">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709" w:type="dxa"/>
            <w:noWrap w:val="0"/>
            <w:vAlign w:val="center"/>
          </w:tcPr>
          <w:p w14:paraId="5F8EDE2D">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评标方法</w:t>
            </w:r>
          </w:p>
        </w:tc>
        <w:tc>
          <w:tcPr>
            <w:tcW w:w="7800" w:type="dxa"/>
            <w:noWrap w:val="0"/>
            <w:vAlign w:val="center"/>
          </w:tcPr>
          <w:p w14:paraId="5CA1C3E4">
            <w:pPr>
              <w:spacing w:line="380" w:lineRule="exact"/>
              <w:rPr>
                <w:rFonts w:hint="eastAsia" w:ascii="宋体" w:hAnsi="宋体" w:eastAsia="宋体" w:cs="宋体"/>
                <w:b/>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评标价相等时，评标委员会依次按照以下优先顺序推荐中标候选人或确定中标人：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（1）按招标文件规定被认定为广东省交通运输厅最新年度评为较高信用等级的投标人优先；【采用如下的优先顺序：承诺使用的 AA 级投标人、不承诺使用的 AA 级投标人、承诺使用的 A 级投标人、不承诺使用的 A 级投标人、B 级投标人、未参评且被确定为 B 级投标人】；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（2）以投标人企业最新年度净资产较高的优先；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（3）评标委员会视投标人情况综合比较，投票确定其名次。</w:t>
            </w:r>
          </w:p>
        </w:tc>
      </w:tr>
      <w:tr w14:paraId="4B2E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51" w:type="dxa"/>
            <w:noWrap w:val="0"/>
            <w:vAlign w:val="center"/>
          </w:tcPr>
          <w:p w14:paraId="040374A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669AC7A4">
            <w:pPr>
              <w:spacing w:line="400" w:lineRule="exact"/>
              <w:jc w:val="center"/>
              <w:rPr>
                <w:rFonts w:hint="eastAsia" w:ascii="宋体" w:hAnsi="宋体" w:eastAsia="宋体" w:cs="宋体"/>
                <w:sz w:val="21"/>
                <w:szCs w:val="21"/>
                <w:highlight w:val="none"/>
              </w:rPr>
            </w:pPr>
          </w:p>
        </w:tc>
        <w:tc>
          <w:tcPr>
            <w:tcW w:w="709" w:type="dxa"/>
            <w:noWrap w:val="0"/>
            <w:vAlign w:val="center"/>
          </w:tcPr>
          <w:p w14:paraId="6DAA078F">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800" w:type="dxa"/>
            <w:noWrap w:val="0"/>
            <w:vAlign w:val="center"/>
          </w:tcPr>
          <w:p w14:paraId="4C91D0A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第一个信封（商务及技术文件）的评审标准：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（1）投标文件按照招标文件规定的格式、内容填写，字迹清晰可辨：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a.投标函按招标文件规定填报了项目名称、标段号（如有)、补遗书编号（如有)、工期、工程质量要求及安全目标；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b.投标函附录的所有数据均符合招标文件规定；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c.投标文件组成齐全完整，内容均按规定填写。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（2）投标文件上法定代表人或其委托代理人的签字、投标人的单位章盖章齐全，符合招标文件规定。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（3）投标人按照招标文件的规定提供了投标保证金：</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a.投标保证金金额符合招标文件规定的金额，且投标保证金有效期不少于投标有效期；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b.若投标保证金采用现金或支票形式提交，投标人应在投标人须知3.4.1款规定的时间，将投标保证金由投标人的基本账户转入招标人指定账户；</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c．若投标保证金采用电子保函形式提交，电子保函满足招标文件要求。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（4）投标人法定代表人授权委托代理人签署投标文件的，需提交授权委托书，且授权人和被授权人均在授权委托书上签名，未使用印章、签名章或其他电子制版签名代替。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（5）投标人法定代表人亲自签署投标文件的，提供了法定代表人身份证明，且法定代表人在法定代表人身份证明上签名，未使用印章、签名章或其他电子制版签名代替。</w:t>
            </w:r>
          </w:p>
          <w:p w14:paraId="3F0803B9">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r>
              <w:rPr>
                <w:rFonts w:hint="eastAsia" w:ascii="宋体" w:hAnsi="宋体" w:eastAsia="宋体" w:cs="宋体"/>
                <w:sz w:val="21"/>
                <w:szCs w:val="21"/>
                <w:highlight w:val="none"/>
                <w:lang w:eastAsia="zh-CN"/>
              </w:rPr>
              <w:t>投标人未以联合体形式投标。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（7）如投标人不具备拟分包工程所需的某专项工程相应资质或投标人如 有分包计划，符合招标文件第二章“投标人须知 ” 第 1.11 款规定，且按招标文件第九章“投标文件格式 ”的要求填写了“拟分包项目情况表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（8）同一投标人未提交两个以上不同的投标文件，但招标文件要求提交备选投标的除外。</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（9）投标文件中未出现有关投标报价的内容。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（10）投标文件载明的招标项目完成期限未超过招标文件规定的时限。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（11）投标文件对招标文件的实质性要求和条件作出响应。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（12）权利义务符合招标文件规定：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a.投标人应接受招标文件规定的风险划分原则，未提出新的风险划分办法；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b.投标人未增加发包人的责任范围，或减少投标人义务；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c.投标人未提出不同的工程验收、计量、支付办法；</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d.投标人对合同纠纷、事故处理办法未提出异议；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e.投标人在投标活动中无欺诈行为；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f.投标人未对合同条款有重要保留。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（13）投标文件及其他要求符合招标文件第二章“投标人须知第3.7.4项规定。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（14）投标文件未附有招标人不能接受的条件。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第二个信封（报价文件）的评审标准：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（1）投标文件按照招标文件规定的格式、 内容填写，字迹清晰可辩：</w:t>
            </w:r>
          </w:p>
          <w:p w14:paraId="42E28583">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a. 投标函按招标文件规定填报了项目名称、标段号（如有)、补遗书编号（如有)、投标总报价（包括大写金额和小写金额)；</w:t>
            </w:r>
          </w:p>
          <w:p w14:paraId="4AFD043E">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b. 已标价工程量清单说明文字与招标文件规定一致，未进行实质性修 改和删减；</w:t>
            </w:r>
          </w:p>
          <w:p w14:paraId="318D4BFF">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c. 投标文件组成齐全完整， 内容均按规定填写。</w:t>
            </w:r>
          </w:p>
          <w:p w14:paraId="3974271E">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（2）投标文件上法定代表人或其委托代理人的签字、投标人的单位章盖章齐全，符合招标文件规定。</w:t>
            </w:r>
          </w:p>
          <w:p w14:paraId="6429B14A">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（3）投标总报价或调价函中的报价未超过招标文件设定的最高投标限价（如有)及最高评标限价（如有）。</w:t>
            </w:r>
          </w:p>
          <w:p w14:paraId="3C441A24">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（4）投标总报价或调价函中报价的大写金额能够确定具体数值。</w:t>
            </w:r>
          </w:p>
          <w:p w14:paraId="080F5A1E">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 同一投标人未提交两个以上不同的投标报价，但招标文件要求提交备选投标的除外。</w:t>
            </w:r>
          </w:p>
          <w:p w14:paraId="7B4863E3">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 投标人若提交调价函，调价函符合招标文件第二章“投标人须知 ” 第 3.2.6 项要求。</w:t>
            </w:r>
          </w:p>
          <w:p w14:paraId="545B037F">
            <w:pPr>
              <w:spacing w:line="360" w:lineRule="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（7）投标人若填写工程量固化清单，填写完毕的工程量固化清单未对工 程量固化清单电子文件中的数据、格式和运算定义进行修改；工程量固 化清单中的投标总报价和投标函大写金额报价一致。</w:t>
            </w:r>
          </w:p>
          <w:p w14:paraId="438BDAEE">
            <w:pPr>
              <w:spacing w:line="360" w:lineRule="auto"/>
              <w:rPr>
                <w:rFonts w:hint="eastAsia" w:ascii="宋体" w:hAnsi="宋体" w:eastAsia="宋体" w:cs="宋体"/>
                <w:b/>
                <w:bCs/>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（8）投标文件符合招标文件第二章“投标人须知前附表 ”第3.7.4项规定。</w:t>
            </w:r>
          </w:p>
        </w:tc>
      </w:tr>
      <w:tr w14:paraId="3E2C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851" w:type="dxa"/>
            <w:noWrap w:val="0"/>
            <w:vAlign w:val="center"/>
          </w:tcPr>
          <w:p w14:paraId="70667CD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2.1.2</w:t>
            </w:r>
          </w:p>
        </w:tc>
        <w:tc>
          <w:tcPr>
            <w:tcW w:w="709" w:type="dxa"/>
            <w:noWrap w:val="0"/>
            <w:vAlign w:val="center"/>
          </w:tcPr>
          <w:p w14:paraId="043EB0B1">
            <w:pPr>
              <w:spacing w:line="400" w:lineRule="exact"/>
              <w:ind w:firstLine="21" w:firstLineChars="10"/>
              <w:rPr>
                <w:rFonts w:hint="eastAsia" w:ascii="宋体" w:hAnsi="宋体" w:eastAsia="宋体" w:cs="宋体"/>
                <w:sz w:val="21"/>
                <w:szCs w:val="21"/>
                <w:highlight w:val="none"/>
              </w:rPr>
            </w:pPr>
            <w:r>
              <w:rPr>
                <w:rFonts w:hint="eastAsia" w:ascii="宋体" w:hAnsi="宋体" w:eastAsia="宋体" w:cs="宋体"/>
                <w:sz w:val="21"/>
                <w:szCs w:val="21"/>
                <w:highlight w:val="none"/>
              </w:rPr>
              <w:t>资格评审标准</w:t>
            </w:r>
          </w:p>
        </w:tc>
        <w:tc>
          <w:tcPr>
            <w:tcW w:w="7800" w:type="dxa"/>
            <w:noWrap w:val="0"/>
            <w:vAlign w:val="top"/>
          </w:tcPr>
          <w:p w14:paraId="0CD0B99B">
            <w:pPr>
              <w:spacing w:line="380" w:lineRule="exact"/>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（1）投标人具备有效的营业执照、资质证书、安全生产许可证和基本账户开户许可证（或由开户银行开具的“基本存款账户信息”）；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（2）投标人的资质等级符合招标文件规定；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（3）投标人的财务状况符合招标文件规定；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（4）投标人的类似项目业绩符合招标文件规定；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（5）投标人的信誉符合招标文件规定；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（6）投标人的项目经理和项目总工资格、在岗情况符合招标文件规定；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（7）投标人的其他要求符合招标文件规定；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（8）投标人不存在第二章“投标人须知”第1.4.3项或第1.4.4项规定的任何一种情形；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（9）投标人符合第二章“投标人须知”第1.4.5项规定；</w:t>
            </w:r>
          </w:p>
        </w:tc>
      </w:tr>
    </w:tbl>
    <w:p w14:paraId="65FCF390">
      <w:pPr>
        <w:spacing w:line="400" w:lineRule="exact"/>
        <w:ind w:right="420"/>
        <w:jc w:val="left"/>
        <w:rPr>
          <w:szCs w:val="21"/>
          <w:highlight w:val="none"/>
        </w:rPr>
      </w:pPr>
    </w:p>
    <w:p w14:paraId="541DDDD8">
      <w:pPr>
        <w:rPr>
          <w:highlight w:val="none"/>
        </w:rPr>
      </w:pPr>
    </w:p>
    <w:p w14:paraId="6CB7F015">
      <w:pPr>
        <w:rPr>
          <w:highlight w:val="none"/>
        </w:rPr>
      </w:pPr>
    </w:p>
    <w:p w14:paraId="5B25AA0A">
      <w:pPr>
        <w:pStyle w:val="4"/>
        <w:rPr>
          <w:highlight w:val="none"/>
        </w:rPr>
      </w:pPr>
    </w:p>
    <w:p w14:paraId="5CA0A8CD">
      <w:pPr>
        <w:pStyle w:val="4"/>
        <w:rPr>
          <w:highlight w:val="none"/>
        </w:rPr>
      </w:pPr>
    </w:p>
    <w:p w14:paraId="62529C9E">
      <w:pPr>
        <w:pStyle w:val="4"/>
        <w:rPr>
          <w:highlight w:val="none"/>
        </w:rPr>
      </w:pPr>
    </w:p>
    <w:p w14:paraId="7BF3B819">
      <w:pPr>
        <w:pStyle w:val="4"/>
        <w:rPr>
          <w:highlight w:val="none"/>
        </w:rPr>
      </w:pPr>
    </w:p>
    <w:p w14:paraId="7274E599">
      <w:pPr>
        <w:spacing w:before="155" w:line="360" w:lineRule="auto"/>
        <w:ind w:right="109"/>
        <w:rPr>
          <w:rFonts w:hint="eastAsia" w:ascii="宋体" w:hAnsi="宋体" w:eastAsia="宋体" w:cs="宋体"/>
          <w:b/>
          <w:bCs/>
          <w:spacing w:val="9"/>
          <w:sz w:val="21"/>
          <w:szCs w:val="21"/>
          <w:highlight w:val="none"/>
          <w:u w:val="none"/>
        </w:rPr>
      </w:pPr>
    </w:p>
    <w:p w14:paraId="36A3B326">
      <w:pPr>
        <w:spacing w:before="155" w:line="360" w:lineRule="auto"/>
        <w:ind w:right="109"/>
        <w:rPr>
          <w:rFonts w:hint="eastAsia" w:ascii="宋体" w:hAnsi="宋体" w:eastAsia="宋体" w:cs="宋体"/>
          <w:b/>
          <w:bCs/>
          <w:spacing w:val="9"/>
          <w:sz w:val="21"/>
          <w:szCs w:val="21"/>
          <w:highlight w:val="none"/>
          <w:u w:val="none"/>
        </w:rPr>
      </w:pPr>
    </w:p>
    <w:p w14:paraId="2C587709">
      <w:pPr>
        <w:spacing w:before="155" w:line="360" w:lineRule="auto"/>
        <w:ind w:right="109"/>
        <w:rPr>
          <w:rFonts w:hint="eastAsia" w:ascii="宋体" w:hAnsi="宋体" w:eastAsia="宋体" w:cs="宋体"/>
          <w:b/>
          <w:bCs/>
          <w:spacing w:val="9"/>
          <w:sz w:val="21"/>
          <w:szCs w:val="21"/>
          <w:highlight w:val="none"/>
          <w:u w:val="none"/>
        </w:rPr>
      </w:pPr>
    </w:p>
    <w:p w14:paraId="7D65A344">
      <w:pPr>
        <w:spacing w:before="155" w:line="360" w:lineRule="auto"/>
        <w:ind w:right="109"/>
        <w:rPr>
          <w:rFonts w:hint="eastAsia" w:ascii="宋体" w:hAnsi="宋体" w:eastAsia="宋体" w:cs="宋体"/>
          <w:b/>
          <w:bCs/>
          <w:spacing w:val="9"/>
          <w:sz w:val="21"/>
          <w:szCs w:val="21"/>
          <w:highlight w:val="none"/>
          <w:u w:val="none"/>
        </w:rPr>
      </w:pPr>
    </w:p>
    <w:p w14:paraId="761A8D27">
      <w:pPr>
        <w:spacing w:before="155" w:line="360" w:lineRule="auto"/>
        <w:ind w:right="109"/>
        <w:rPr>
          <w:rFonts w:hint="eastAsia" w:ascii="宋体" w:hAnsi="宋体" w:eastAsia="宋体" w:cs="宋体"/>
          <w:b/>
          <w:bCs/>
          <w:spacing w:val="9"/>
          <w:sz w:val="21"/>
          <w:szCs w:val="21"/>
          <w:highlight w:val="none"/>
          <w:u w:val="none"/>
        </w:rPr>
      </w:pPr>
    </w:p>
    <w:p w14:paraId="29D84106">
      <w:pPr>
        <w:spacing w:before="155" w:line="360" w:lineRule="auto"/>
        <w:ind w:right="109"/>
        <w:rPr>
          <w:rFonts w:hint="eastAsia" w:ascii="宋体" w:hAnsi="宋体" w:eastAsia="宋体" w:cs="宋体"/>
          <w:b/>
          <w:bCs/>
          <w:spacing w:val="9"/>
          <w:sz w:val="21"/>
          <w:szCs w:val="21"/>
          <w:highlight w:val="none"/>
          <w:u w:val="none"/>
        </w:rPr>
      </w:pPr>
    </w:p>
    <w:p w14:paraId="7C71CC3A">
      <w:pPr>
        <w:spacing w:before="155" w:line="360" w:lineRule="auto"/>
        <w:ind w:right="109"/>
        <w:rPr>
          <w:rFonts w:hint="eastAsia" w:ascii="宋体" w:hAnsi="宋体" w:eastAsia="宋体" w:cs="宋体"/>
          <w:b/>
          <w:bCs/>
          <w:spacing w:val="9"/>
          <w:sz w:val="21"/>
          <w:szCs w:val="21"/>
          <w:highlight w:val="none"/>
          <w:u w:val="none"/>
        </w:rPr>
      </w:pPr>
    </w:p>
    <w:p w14:paraId="55CC1D69">
      <w:pPr>
        <w:spacing w:before="155" w:line="360" w:lineRule="auto"/>
        <w:ind w:right="109"/>
        <w:rPr>
          <w:rFonts w:hint="eastAsia" w:ascii="宋体" w:hAnsi="宋体" w:eastAsia="宋体" w:cs="宋体"/>
          <w:b/>
          <w:bCs/>
          <w:spacing w:val="9"/>
          <w:sz w:val="21"/>
          <w:szCs w:val="21"/>
          <w:highlight w:val="none"/>
          <w:u w:val="none"/>
        </w:rPr>
      </w:pPr>
    </w:p>
    <w:p w14:paraId="3C87E05E">
      <w:pPr>
        <w:spacing w:before="155" w:line="360" w:lineRule="auto"/>
        <w:ind w:right="109"/>
        <w:rPr>
          <w:rFonts w:hint="eastAsia" w:ascii="宋体" w:hAnsi="宋体" w:eastAsia="宋体" w:cs="宋体"/>
          <w:b/>
          <w:bCs/>
          <w:spacing w:val="9"/>
          <w:sz w:val="21"/>
          <w:szCs w:val="21"/>
          <w:highlight w:val="none"/>
          <w:u w:val="none"/>
        </w:rPr>
      </w:pPr>
    </w:p>
    <w:p w14:paraId="1A2A9DD0">
      <w:pPr>
        <w:spacing w:before="155" w:line="360" w:lineRule="auto"/>
        <w:ind w:right="109"/>
        <w:rPr>
          <w:rFonts w:hint="eastAsia" w:ascii="宋体" w:hAnsi="宋体" w:eastAsia="宋体" w:cs="宋体"/>
          <w:b/>
          <w:bCs/>
          <w:spacing w:val="9"/>
          <w:sz w:val="21"/>
          <w:szCs w:val="21"/>
          <w:highlight w:val="none"/>
          <w:u w:val="none"/>
        </w:rPr>
      </w:pPr>
    </w:p>
    <w:p w14:paraId="1F640798">
      <w:pPr>
        <w:spacing w:before="155" w:line="360" w:lineRule="auto"/>
        <w:ind w:right="109"/>
        <w:rPr>
          <w:rFonts w:hint="eastAsia" w:ascii="宋体" w:hAnsi="宋体" w:eastAsia="宋体" w:cs="宋体"/>
          <w:b/>
          <w:bCs/>
          <w:spacing w:val="9"/>
          <w:sz w:val="21"/>
          <w:szCs w:val="21"/>
          <w:highlight w:val="none"/>
          <w:u w:val="none"/>
        </w:rPr>
      </w:pPr>
    </w:p>
    <w:p w14:paraId="537B8C17">
      <w:pPr>
        <w:spacing w:before="155" w:line="360" w:lineRule="auto"/>
        <w:ind w:right="109"/>
        <w:rPr>
          <w:rFonts w:hint="eastAsia" w:ascii="宋体" w:hAnsi="宋体" w:eastAsia="宋体" w:cs="宋体"/>
          <w:b/>
          <w:bCs/>
          <w:spacing w:val="9"/>
          <w:sz w:val="21"/>
          <w:szCs w:val="21"/>
          <w:highlight w:val="none"/>
          <w:u w:val="none"/>
        </w:rPr>
      </w:pPr>
    </w:p>
    <w:p w14:paraId="4E76290B">
      <w:pPr>
        <w:spacing w:before="155" w:line="360" w:lineRule="auto"/>
        <w:ind w:right="109"/>
        <w:rPr>
          <w:rFonts w:hint="eastAsia" w:ascii="宋体" w:hAnsi="宋体" w:eastAsia="宋体" w:cs="宋体"/>
          <w:b/>
          <w:bCs/>
          <w:spacing w:val="9"/>
          <w:sz w:val="21"/>
          <w:szCs w:val="21"/>
          <w:highlight w:val="none"/>
          <w:u w:val="none"/>
        </w:rPr>
      </w:pPr>
    </w:p>
    <w:p w14:paraId="1CAB127C">
      <w:pPr>
        <w:spacing w:before="155" w:line="360" w:lineRule="auto"/>
        <w:ind w:right="109"/>
        <w:rPr>
          <w:rFonts w:hint="eastAsia" w:ascii="宋体" w:hAnsi="宋体" w:eastAsia="宋体" w:cs="宋体"/>
          <w:b/>
          <w:bCs/>
          <w:spacing w:val="9"/>
          <w:sz w:val="21"/>
          <w:szCs w:val="21"/>
          <w:highlight w:val="none"/>
          <w:u w:val="none"/>
        </w:rPr>
      </w:pPr>
    </w:p>
    <w:p w14:paraId="02F2B042">
      <w:pPr>
        <w:spacing w:before="155" w:line="360" w:lineRule="auto"/>
        <w:ind w:right="109"/>
        <w:rPr>
          <w:rFonts w:hint="eastAsia" w:ascii="宋体" w:hAnsi="宋体" w:eastAsia="宋体" w:cs="宋体"/>
          <w:b/>
          <w:bCs/>
          <w:spacing w:val="9"/>
          <w:sz w:val="21"/>
          <w:szCs w:val="21"/>
          <w:highlight w:val="none"/>
          <w:u w:val="none"/>
        </w:rPr>
      </w:pPr>
    </w:p>
    <w:tbl>
      <w:tblPr>
        <w:tblStyle w:val="7"/>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2"/>
        <w:gridCol w:w="212"/>
        <w:gridCol w:w="355"/>
        <w:gridCol w:w="708"/>
        <w:gridCol w:w="284"/>
        <w:gridCol w:w="709"/>
        <w:gridCol w:w="567"/>
        <w:gridCol w:w="5532"/>
      </w:tblGrid>
      <w:tr w14:paraId="1FBF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93" w:type="dxa"/>
            <w:gridSpan w:val="2"/>
            <w:noWrap w:val="0"/>
            <w:vAlign w:val="top"/>
          </w:tcPr>
          <w:p w14:paraId="4EA7E38B">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1559" w:type="dxa"/>
            <w:gridSpan w:val="4"/>
            <w:noWrap w:val="0"/>
            <w:vAlign w:val="top"/>
          </w:tcPr>
          <w:p w14:paraId="2C216477">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条款内容</w:t>
            </w:r>
          </w:p>
        </w:tc>
        <w:tc>
          <w:tcPr>
            <w:tcW w:w="6808" w:type="dxa"/>
            <w:gridSpan w:val="3"/>
            <w:noWrap w:val="0"/>
            <w:vAlign w:val="top"/>
          </w:tcPr>
          <w:p w14:paraId="0962F25B">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编列内容</w:t>
            </w:r>
          </w:p>
        </w:tc>
      </w:tr>
      <w:tr w14:paraId="5514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993" w:type="dxa"/>
            <w:gridSpan w:val="2"/>
            <w:noWrap w:val="0"/>
            <w:vAlign w:val="center"/>
          </w:tcPr>
          <w:p w14:paraId="61F27D1F">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2.2.1</w:t>
            </w:r>
          </w:p>
        </w:tc>
        <w:tc>
          <w:tcPr>
            <w:tcW w:w="1559" w:type="dxa"/>
            <w:gridSpan w:val="4"/>
            <w:noWrap w:val="0"/>
            <w:vAlign w:val="center"/>
          </w:tcPr>
          <w:p w14:paraId="1684F96E">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第一个信封评分分值构成</w:t>
            </w:r>
          </w:p>
          <w:p w14:paraId="7DB9D568">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（总分100分）</w:t>
            </w:r>
          </w:p>
        </w:tc>
        <w:tc>
          <w:tcPr>
            <w:tcW w:w="6808" w:type="dxa"/>
            <w:gridSpan w:val="3"/>
            <w:noWrap w:val="0"/>
            <w:vAlign w:val="top"/>
          </w:tcPr>
          <w:p w14:paraId="45D90773">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施工组织设计（A）：</w:t>
            </w:r>
            <w:r>
              <w:rPr>
                <w:rFonts w:hint="eastAsia" w:ascii="宋体" w:hAnsi="宋体" w:eastAsia="宋体" w:cs="宋体"/>
                <w:b/>
                <w:sz w:val="22"/>
                <w:szCs w:val="22"/>
                <w:highlight w:val="none"/>
                <w:u w:val="single"/>
              </w:rPr>
              <w:t xml:space="preserve"> 40 </w:t>
            </w:r>
            <w:r>
              <w:rPr>
                <w:rFonts w:hint="eastAsia" w:ascii="宋体" w:hAnsi="宋体" w:eastAsia="宋体" w:cs="宋体"/>
                <w:b/>
                <w:sz w:val="22"/>
                <w:szCs w:val="22"/>
                <w:highlight w:val="none"/>
              </w:rPr>
              <w:t>分</w:t>
            </w:r>
          </w:p>
          <w:p w14:paraId="4E35D870">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主要人员（B）：</w:t>
            </w:r>
            <w:r>
              <w:rPr>
                <w:rFonts w:hint="eastAsia" w:ascii="宋体" w:hAnsi="宋体" w:eastAsia="宋体" w:cs="宋体"/>
                <w:b/>
                <w:sz w:val="22"/>
                <w:szCs w:val="22"/>
                <w:highlight w:val="none"/>
                <w:u w:val="single"/>
              </w:rPr>
              <w:t xml:space="preserve"> 30 </w:t>
            </w:r>
            <w:r>
              <w:rPr>
                <w:rFonts w:hint="eastAsia" w:ascii="宋体" w:hAnsi="宋体" w:eastAsia="宋体" w:cs="宋体"/>
                <w:b/>
                <w:sz w:val="22"/>
                <w:szCs w:val="22"/>
                <w:highlight w:val="none"/>
              </w:rPr>
              <w:t>分</w:t>
            </w:r>
          </w:p>
          <w:p w14:paraId="52B9238D">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其他因素（C）</w:t>
            </w:r>
          </w:p>
          <w:p w14:paraId="627D9DC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技术能力：</w:t>
            </w:r>
            <w:r>
              <w:rPr>
                <w:rFonts w:hint="eastAsia" w:ascii="宋体" w:hAnsi="宋体" w:eastAsia="宋体" w:cs="宋体"/>
                <w:b/>
                <w:sz w:val="22"/>
                <w:szCs w:val="22"/>
                <w:highlight w:val="none"/>
                <w:u w:val="single"/>
              </w:rPr>
              <w:t xml:space="preserve"> </w:t>
            </w:r>
            <w:r>
              <w:rPr>
                <w:rFonts w:hint="eastAsia" w:ascii="宋体" w:hAnsi="宋体" w:eastAsia="宋体" w:cs="宋体"/>
                <w:b/>
                <w:sz w:val="22"/>
                <w:szCs w:val="22"/>
                <w:highlight w:val="none"/>
                <w:u w:val="single"/>
                <w:lang w:val="en-US" w:eastAsia="zh-CN"/>
              </w:rPr>
              <w:t xml:space="preserve">10 </w:t>
            </w:r>
            <w:r>
              <w:rPr>
                <w:rFonts w:hint="eastAsia" w:ascii="宋体" w:hAnsi="宋体" w:eastAsia="宋体" w:cs="宋体"/>
                <w:b/>
                <w:sz w:val="22"/>
                <w:szCs w:val="22"/>
                <w:highlight w:val="none"/>
              </w:rPr>
              <w:t>分</w:t>
            </w:r>
          </w:p>
          <w:p w14:paraId="31E5348D">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履约信誉：</w:t>
            </w:r>
            <w:r>
              <w:rPr>
                <w:rFonts w:hint="eastAsia" w:ascii="宋体" w:hAnsi="宋体" w:eastAsia="宋体" w:cs="宋体"/>
                <w:b/>
                <w:sz w:val="22"/>
                <w:szCs w:val="22"/>
                <w:highlight w:val="none"/>
                <w:u w:val="single"/>
              </w:rPr>
              <w:t xml:space="preserve"> 2</w:t>
            </w:r>
            <w:r>
              <w:rPr>
                <w:rFonts w:hint="eastAsia" w:ascii="宋体" w:hAnsi="宋体" w:eastAsia="宋体" w:cs="宋体"/>
                <w:b/>
                <w:sz w:val="22"/>
                <w:szCs w:val="22"/>
                <w:highlight w:val="none"/>
                <w:u w:val="single"/>
                <w:lang w:val="en-US" w:eastAsia="zh-CN"/>
              </w:rPr>
              <w:t>0</w:t>
            </w:r>
            <w:r>
              <w:rPr>
                <w:rFonts w:hint="eastAsia" w:ascii="宋体" w:hAnsi="宋体" w:eastAsia="宋体" w:cs="宋体"/>
                <w:b/>
                <w:sz w:val="22"/>
                <w:szCs w:val="22"/>
                <w:highlight w:val="none"/>
                <w:u w:val="single"/>
              </w:rPr>
              <w:t xml:space="preserve"> </w:t>
            </w:r>
            <w:r>
              <w:rPr>
                <w:rFonts w:hint="eastAsia" w:ascii="宋体" w:hAnsi="宋体" w:eastAsia="宋体" w:cs="宋体"/>
                <w:b/>
                <w:sz w:val="22"/>
                <w:szCs w:val="22"/>
                <w:highlight w:val="none"/>
              </w:rPr>
              <w:t>分</w:t>
            </w:r>
          </w:p>
        </w:tc>
      </w:tr>
      <w:tr w14:paraId="6EF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93" w:type="dxa"/>
            <w:gridSpan w:val="2"/>
            <w:noWrap w:val="0"/>
            <w:vAlign w:val="center"/>
          </w:tcPr>
          <w:p w14:paraId="029F4BAA">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2.2.3</w:t>
            </w:r>
          </w:p>
        </w:tc>
        <w:tc>
          <w:tcPr>
            <w:tcW w:w="1559" w:type="dxa"/>
            <w:gridSpan w:val="4"/>
            <w:noWrap w:val="0"/>
            <w:vAlign w:val="center"/>
          </w:tcPr>
          <w:p w14:paraId="30B0A0B1">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第二个信封详细评审标准</w:t>
            </w:r>
          </w:p>
        </w:tc>
        <w:tc>
          <w:tcPr>
            <w:tcW w:w="6808" w:type="dxa"/>
            <w:gridSpan w:val="3"/>
            <w:noWrap w:val="0"/>
            <w:vAlign w:val="top"/>
          </w:tcPr>
          <w:p w14:paraId="2715F75A">
            <w:pPr>
              <w:spacing w:line="360" w:lineRule="atLeast"/>
              <w:rPr>
                <w:rFonts w:hint="eastAsia" w:ascii="宋体" w:hAnsi="宋体" w:eastAsia="宋体" w:cs="宋体"/>
                <w:sz w:val="22"/>
                <w:szCs w:val="22"/>
                <w:highlight w:val="none"/>
              </w:rPr>
            </w:pPr>
            <w:r>
              <w:rPr>
                <w:rFonts w:hint="eastAsia" w:ascii="宋体" w:hAnsi="宋体" w:eastAsia="宋体" w:cs="宋体"/>
                <w:sz w:val="22"/>
                <w:szCs w:val="22"/>
                <w:highlight w:val="none"/>
              </w:rPr>
              <w:t>评标价的评审：</w:t>
            </w:r>
          </w:p>
          <w:p w14:paraId="14E0B220">
            <w:pPr>
              <w:spacing w:line="360" w:lineRule="atLeast"/>
              <w:rPr>
                <w:rFonts w:hint="eastAsia" w:ascii="宋体" w:hAnsi="宋体" w:eastAsia="宋体" w:cs="宋体"/>
                <w:sz w:val="22"/>
                <w:szCs w:val="22"/>
                <w:highlight w:val="none"/>
              </w:rPr>
            </w:pPr>
            <w:r>
              <w:rPr>
                <w:rFonts w:hint="eastAsia" w:ascii="宋体" w:hAnsi="宋体" w:eastAsia="宋体" w:cs="宋体"/>
                <w:sz w:val="22"/>
                <w:szCs w:val="22"/>
                <w:highlight w:val="none"/>
              </w:rPr>
              <w:t>(1)评标价计算公式：</w:t>
            </w:r>
          </w:p>
          <w:p w14:paraId="6BD84FEA">
            <w:pPr>
              <w:spacing w:line="360" w:lineRule="atLeast"/>
              <w:rPr>
                <w:rFonts w:hint="eastAsia" w:ascii="宋体" w:hAnsi="宋体" w:eastAsia="宋体" w:cs="宋体"/>
                <w:sz w:val="22"/>
                <w:szCs w:val="22"/>
                <w:highlight w:val="none"/>
              </w:rPr>
            </w:pPr>
            <w:r>
              <w:rPr>
                <w:rFonts w:hint="eastAsia" w:ascii="宋体" w:hAnsi="宋体" w:eastAsia="宋体" w:cs="宋体"/>
                <w:b/>
                <w:bCs/>
                <w:sz w:val="22"/>
                <w:szCs w:val="22"/>
                <w:highlight w:val="none"/>
              </w:rPr>
              <w:t>评标价=投标函文字报价一暂估价一暂列金额（不含计日工总额）</w:t>
            </w:r>
          </w:p>
          <w:p w14:paraId="44044651">
            <w:pPr>
              <w:spacing w:line="360" w:lineRule="atLeas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若投标人的评标价小于最高投标限价 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 , 评标委员会应当在评标报 告中阐明理由并推荐中标候选人。</w:t>
            </w:r>
          </w:p>
        </w:tc>
      </w:tr>
      <w:tr w14:paraId="7BE2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93" w:type="dxa"/>
            <w:gridSpan w:val="2"/>
            <w:noWrap w:val="0"/>
            <w:vAlign w:val="center"/>
          </w:tcPr>
          <w:p w14:paraId="2CFC5570">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3.2.4</w:t>
            </w:r>
          </w:p>
        </w:tc>
        <w:tc>
          <w:tcPr>
            <w:tcW w:w="1559" w:type="dxa"/>
            <w:gridSpan w:val="4"/>
            <w:noWrap w:val="0"/>
            <w:vAlign w:val="center"/>
          </w:tcPr>
          <w:p w14:paraId="31750A9A">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通过第一个信封详细评审的投标人数量</w:t>
            </w:r>
          </w:p>
        </w:tc>
        <w:tc>
          <w:tcPr>
            <w:tcW w:w="6808" w:type="dxa"/>
            <w:gridSpan w:val="3"/>
            <w:noWrap w:val="0"/>
            <w:vAlign w:val="center"/>
          </w:tcPr>
          <w:p w14:paraId="0E4A42EA">
            <w:pPr>
              <w:spacing w:line="400" w:lineRule="exact"/>
              <w:rPr>
                <w:rFonts w:hint="eastAsia" w:ascii="宋体" w:hAnsi="宋体" w:eastAsia="宋体" w:cs="宋体"/>
                <w:bCs/>
                <w:sz w:val="22"/>
                <w:szCs w:val="22"/>
                <w:highlight w:val="none"/>
              </w:rPr>
            </w:pPr>
            <w:r>
              <w:rPr>
                <w:rFonts w:hint="eastAsia" w:ascii="宋体" w:hAnsi="宋体" w:eastAsia="宋体" w:cs="宋体"/>
                <w:bCs/>
                <w:sz w:val="22"/>
                <w:szCs w:val="22"/>
                <w:highlight w:val="none"/>
              </w:rPr>
              <w:t>按照投标人的商务和技术得分由高到低排序，选择</w:t>
            </w:r>
            <w:r>
              <w:rPr>
                <w:rFonts w:hint="eastAsia" w:ascii="宋体" w:hAnsi="宋体" w:eastAsia="宋体" w:cs="宋体"/>
                <w:b/>
                <w:bCs/>
                <w:sz w:val="22"/>
                <w:szCs w:val="22"/>
                <w:highlight w:val="none"/>
              </w:rPr>
              <w:t>前</w:t>
            </w:r>
            <w:r>
              <w:rPr>
                <w:rFonts w:hint="eastAsia" w:ascii="宋体" w:hAnsi="宋体" w:eastAsia="宋体" w:cs="宋体"/>
                <w:b/>
                <w:bCs/>
                <w:sz w:val="22"/>
                <w:szCs w:val="22"/>
                <w:highlight w:val="none"/>
                <w:u w:val="single"/>
              </w:rPr>
              <w:t xml:space="preserve"> 5 </w:t>
            </w:r>
            <w:r>
              <w:rPr>
                <w:rFonts w:hint="eastAsia" w:ascii="宋体" w:hAnsi="宋体" w:eastAsia="宋体" w:cs="宋体"/>
                <w:b/>
                <w:bCs/>
                <w:sz w:val="22"/>
                <w:szCs w:val="22"/>
                <w:highlight w:val="none"/>
              </w:rPr>
              <w:t>名</w:t>
            </w:r>
            <w:r>
              <w:rPr>
                <w:rFonts w:hint="eastAsia" w:ascii="宋体" w:hAnsi="宋体" w:eastAsia="宋体" w:cs="宋体"/>
                <w:sz w:val="22"/>
                <w:szCs w:val="22"/>
                <w:highlight w:val="none"/>
              </w:rPr>
              <w:t>（不少于3名但不足5名时，按全部实际数量）</w:t>
            </w:r>
            <w:r>
              <w:rPr>
                <w:rFonts w:hint="eastAsia" w:ascii="宋体" w:hAnsi="宋体" w:eastAsia="宋体" w:cs="宋体"/>
                <w:bCs/>
                <w:sz w:val="22"/>
                <w:szCs w:val="22"/>
                <w:highlight w:val="none"/>
              </w:rPr>
              <w:t>通过详细评审。</w:t>
            </w:r>
          </w:p>
        </w:tc>
      </w:tr>
      <w:tr w14:paraId="2DC7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828" w:type="dxa"/>
            <w:gridSpan w:val="8"/>
            <w:noWrap w:val="0"/>
            <w:vAlign w:val="center"/>
          </w:tcPr>
          <w:p w14:paraId="18EFD034">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评分因素与权重分值</w:t>
            </w:r>
          </w:p>
        </w:tc>
        <w:tc>
          <w:tcPr>
            <w:tcW w:w="5532" w:type="dxa"/>
            <w:vMerge w:val="restart"/>
            <w:noWrap w:val="0"/>
            <w:vAlign w:val="center"/>
          </w:tcPr>
          <w:p w14:paraId="7F9FDBA8">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评分标准</w:t>
            </w:r>
          </w:p>
        </w:tc>
      </w:tr>
      <w:tr w14:paraId="65B7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noWrap w:val="0"/>
            <w:vAlign w:val="center"/>
          </w:tcPr>
          <w:p w14:paraId="024FC9DA">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条款号</w:t>
            </w:r>
          </w:p>
        </w:tc>
        <w:tc>
          <w:tcPr>
            <w:tcW w:w="709" w:type="dxa"/>
            <w:gridSpan w:val="3"/>
            <w:noWrap w:val="0"/>
            <w:vAlign w:val="center"/>
          </w:tcPr>
          <w:p w14:paraId="4FABE6C7">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评分因素</w:t>
            </w:r>
          </w:p>
        </w:tc>
        <w:tc>
          <w:tcPr>
            <w:tcW w:w="708" w:type="dxa"/>
            <w:noWrap w:val="0"/>
            <w:vAlign w:val="center"/>
          </w:tcPr>
          <w:p w14:paraId="4DBFA012">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评分因素权重</w:t>
            </w:r>
          </w:p>
        </w:tc>
        <w:tc>
          <w:tcPr>
            <w:tcW w:w="993" w:type="dxa"/>
            <w:gridSpan w:val="2"/>
            <w:noWrap w:val="0"/>
            <w:vAlign w:val="center"/>
          </w:tcPr>
          <w:p w14:paraId="21A9A9BB">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各评分因素细分项</w:t>
            </w:r>
          </w:p>
        </w:tc>
        <w:tc>
          <w:tcPr>
            <w:tcW w:w="567" w:type="dxa"/>
            <w:noWrap w:val="0"/>
            <w:vAlign w:val="center"/>
          </w:tcPr>
          <w:p w14:paraId="1D447587">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分值</w:t>
            </w:r>
          </w:p>
        </w:tc>
        <w:tc>
          <w:tcPr>
            <w:tcW w:w="5532" w:type="dxa"/>
            <w:vMerge w:val="continue"/>
            <w:noWrap w:val="0"/>
            <w:vAlign w:val="center"/>
          </w:tcPr>
          <w:p w14:paraId="35C68B58">
            <w:pPr>
              <w:spacing w:line="400" w:lineRule="exact"/>
              <w:jc w:val="center"/>
              <w:rPr>
                <w:rFonts w:hint="eastAsia" w:ascii="宋体" w:hAnsi="宋体" w:eastAsia="宋体" w:cs="宋体"/>
                <w:sz w:val="22"/>
                <w:szCs w:val="22"/>
                <w:highlight w:val="none"/>
              </w:rPr>
            </w:pPr>
          </w:p>
        </w:tc>
      </w:tr>
      <w:tr w14:paraId="17A9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restart"/>
            <w:noWrap w:val="0"/>
            <w:vAlign w:val="center"/>
          </w:tcPr>
          <w:p w14:paraId="0A2FFA34">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2.2.2</w:t>
            </w:r>
          </w:p>
          <w:p w14:paraId="3E435CDF">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09" w:type="dxa"/>
            <w:gridSpan w:val="3"/>
            <w:vMerge w:val="restart"/>
            <w:noWrap w:val="0"/>
            <w:vAlign w:val="center"/>
          </w:tcPr>
          <w:p w14:paraId="05C6112E">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施工组织设计</w:t>
            </w:r>
          </w:p>
        </w:tc>
        <w:tc>
          <w:tcPr>
            <w:tcW w:w="708" w:type="dxa"/>
            <w:vMerge w:val="restart"/>
            <w:noWrap w:val="0"/>
            <w:vAlign w:val="center"/>
          </w:tcPr>
          <w:p w14:paraId="612C06C6">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u w:val="single"/>
              </w:rPr>
              <w:t>40</w:t>
            </w:r>
            <w:r>
              <w:rPr>
                <w:rFonts w:hint="eastAsia" w:ascii="宋体" w:hAnsi="宋体" w:eastAsia="宋体" w:cs="宋体"/>
                <w:b/>
                <w:sz w:val="22"/>
                <w:szCs w:val="22"/>
                <w:highlight w:val="none"/>
              </w:rPr>
              <w:t>分</w:t>
            </w:r>
          </w:p>
        </w:tc>
        <w:tc>
          <w:tcPr>
            <w:tcW w:w="993" w:type="dxa"/>
            <w:gridSpan w:val="2"/>
            <w:noWrap w:val="0"/>
            <w:vAlign w:val="center"/>
          </w:tcPr>
          <w:p w14:paraId="5DC933FD">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工期保证体系及保证措施</w:t>
            </w:r>
          </w:p>
        </w:tc>
        <w:tc>
          <w:tcPr>
            <w:tcW w:w="567" w:type="dxa"/>
            <w:noWrap w:val="0"/>
            <w:vAlign w:val="center"/>
          </w:tcPr>
          <w:p w14:paraId="6FC637AD">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u w:val="single"/>
              </w:rPr>
              <w:t>15</w:t>
            </w:r>
            <w:r>
              <w:rPr>
                <w:rFonts w:hint="eastAsia" w:ascii="宋体" w:hAnsi="宋体" w:eastAsia="宋体" w:cs="宋体"/>
                <w:b/>
                <w:sz w:val="22"/>
                <w:szCs w:val="22"/>
                <w:highlight w:val="none"/>
              </w:rPr>
              <w:t xml:space="preserve"> 分</w:t>
            </w:r>
          </w:p>
        </w:tc>
        <w:tc>
          <w:tcPr>
            <w:tcW w:w="5532" w:type="dxa"/>
            <w:noWrap w:val="0"/>
            <w:vAlign w:val="center"/>
          </w:tcPr>
          <w:p w14:paraId="17CC27FC">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（1）</w:t>
            </w:r>
            <w:r>
              <w:rPr>
                <w:rFonts w:hint="eastAsia" w:ascii="宋体" w:hAnsi="宋体" w:eastAsia="宋体" w:cs="宋体"/>
                <w:sz w:val="22"/>
                <w:szCs w:val="22"/>
                <w:highlight w:val="none"/>
              </w:rPr>
              <w:t>进度控制措施得当，对本项目的工期重要性理解特别透彻，对地形地貌特征、重点工序、天气、关键设备故障、与其他承包人衔接、社会环境等问题有切实可行的应对或应急方案，计划科学合理，可操作性高，得</w:t>
            </w:r>
            <w:r>
              <w:rPr>
                <w:rFonts w:hint="eastAsia" w:ascii="宋体" w:hAnsi="宋体" w:eastAsia="宋体" w:cs="宋体"/>
                <w:b/>
                <w:sz w:val="22"/>
                <w:szCs w:val="22"/>
                <w:highlight w:val="none"/>
                <w:u w:val="single"/>
              </w:rPr>
              <w:t>12-15</w:t>
            </w:r>
            <w:r>
              <w:rPr>
                <w:rFonts w:hint="eastAsia" w:ascii="宋体" w:hAnsi="宋体" w:eastAsia="宋体" w:cs="宋体"/>
                <w:b/>
                <w:sz w:val="22"/>
                <w:szCs w:val="22"/>
                <w:highlight w:val="none"/>
              </w:rPr>
              <w:t>分</w:t>
            </w:r>
            <w:r>
              <w:rPr>
                <w:rFonts w:hint="eastAsia" w:ascii="宋体" w:hAnsi="宋体" w:eastAsia="宋体" w:cs="宋体"/>
                <w:sz w:val="22"/>
                <w:szCs w:val="22"/>
                <w:highlight w:val="none"/>
              </w:rPr>
              <w:t>；</w:t>
            </w:r>
          </w:p>
          <w:p w14:paraId="1D62B430">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（2）</w:t>
            </w:r>
            <w:r>
              <w:rPr>
                <w:rFonts w:hint="eastAsia" w:ascii="宋体" w:hAnsi="宋体" w:eastAsia="宋体" w:cs="宋体"/>
                <w:sz w:val="22"/>
                <w:szCs w:val="22"/>
                <w:highlight w:val="none"/>
              </w:rPr>
              <w:t>工期保证体系及保证措施基本可行，内容较为充实、全面的，得</w:t>
            </w:r>
            <w:r>
              <w:rPr>
                <w:rFonts w:hint="eastAsia" w:ascii="宋体" w:hAnsi="宋体" w:eastAsia="宋体" w:cs="宋体"/>
                <w:b/>
                <w:sz w:val="22"/>
                <w:szCs w:val="22"/>
                <w:highlight w:val="none"/>
                <w:u w:val="single"/>
              </w:rPr>
              <w:t xml:space="preserve"> 9-12</w:t>
            </w:r>
            <w:r>
              <w:rPr>
                <w:rFonts w:hint="eastAsia" w:ascii="宋体" w:hAnsi="宋体" w:eastAsia="宋体" w:cs="宋体"/>
                <w:b/>
                <w:sz w:val="22"/>
                <w:szCs w:val="22"/>
                <w:highlight w:val="none"/>
              </w:rPr>
              <w:t>分</w:t>
            </w:r>
            <w:r>
              <w:rPr>
                <w:rFonts w:hint="eastAsia" w:ascii="宋体" w:hAnsi="宋体" w:eastAsia="宋体" w:cs="宋体"/>
                <w:sz w:val="22"/>
                <w:szCs w:val="22"/>
                <w:highlight w:val="none"/>
              </w:rPr>
              <w:t>；</w:t>
            </w:r>
          </w:p>
          <w:p w14:paraId="1C7C7D28">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（3）</w:t>
            </w:r>
            <w:r>
              <w:rPr>
                <w:rFonts w:hint="eastAsia" w:ascii="宋体" w:hAnsi="宋体" w:eastAsia="宋体" w:cs="宋体"/>
                <w:sz w:val="22"/>
                <w:szCs w:val="22"/>
                <w:highlight w:val="none"/>
              </w:rPr>
              <w:t>一般但不被评定为不响应的,起评分</w:t>
            </w:r>
            <w:r>
              <w:rPr>
                <w:rFonts w:hint="eastAsia" w:ascii="宋体" w:hAnsi="宋体" w:eastAsia="宋体" w:cs="宋体"/>
                <w:b/>
                <w:sz w:val="22"/>
                <w:szCs w:val="22"/>
                <w:highlight w:val="none"/>
                <w:u w:val="single"/>
              </w:rPr>
              <w:t>9</w:t>
            </w:r>
            <w:r>
              <w:rPr>
                <w:rFonts w:hint="eastAsia" w:ascii="宋体" w:hAnsi="宋体" w:eastAsia="宋体" w:cs="宋体"/>
                <w:b/>
                <w:sz w:val="22"/>
                <w:szCs w:val="22"/>
                <w:highlight w:val="none"/>
              </w:rPr>
              <w:t>分</w:t>
            </w:r>
            <w:r>
              <w:rPr>
                <w:rFonts w:hint="eastAsia" w:ascii="宋体" w:hAnsi="宋体" w:eastAsia="宋体" w:cs="宋体"/>
                <w:sz w:val="22"/>
                <w:szCs w:val="22"/>
                <w:highlight w:val="none"/>
              </w:rPr>
              <w:t>。</w:t>
            </w:r>
          </w:p>
        </w:tc>
      </w:tr>
      <w:tr w14:paraId="59A7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5EBB005E">
            <w:pPr>
              <w:spacing w:line="400" w:lineRule="exact"/>
              <w:jc w:val="center"/>
              <w:rPr>
                <w:rFonts w:hint="eastAsia" w:ascii="宋体" w:hAnsi="宋体" w:eastAsia="宋体" w:cs="宋体"/>
                <w:sz w:val="22"/>
                <w:szCs w:val="22"/>
                <w:highlight w:val="none"/>
              </w:rPr>
            </w:pPr>
          </w:p>
        </w:tc>
        <w:tc>
          <w:tcPr>
            <w:tcW w:w="709" w:type="dxa"/>
            <w:gridSpan w:val="3"/>
            <w:vMerge w:val="continue"/>
            <w:noWrap w:val="0"/>
            <w:vAlign w:val="center"/>
          </w:tcPr>
          <w:p w14:paraId="7655583A">
            <w:pPr>
              <w:spacing w:line="400" w:lineRule="exact"/>
              <w:jc w:val="center"/>
              <w:rPr>
                <w:rFonts w:hint="eastAsia" w:ascii="宋体" w:hAnsi="宋体" w:eastAsia="宋体" w:cs="宋体"/>
                <w:sz w:val="22"/>
                <w:szCs w:val="22"/>
                <w:highlight w:val="none"/>
              </w:rPr>
            </w:pPr>
          </w:p>
        </w:tc>
        <w:tc>
          <w:tcPr>
            <w:tcW w:w="708" w:type="dxa"/>
            <w:vMerge w:val="continue"/>
            <w:noWrap w:val="0"/>
            <w:vAlign w:val="center"/>
          </w:tcPr>
          <w:p w14:paraId="6227D756">
            <w:pPr>
              <w:spacing w:line="400" w:lineRule="exact"/>
              <w:jc w:val="center"/>
              <w:rPr>
                <w:rFonts w:hint="eastAsia" w:ascii="宋体" w:hAnsi="宋体" w:eastAsia="宋体" w:cs="宋体"/>
                <w:sz w:val="22"/>
                <w:szCs w:val="22"/>
                <w:highlight w:val="none"/>
                <w:u w:val="single"/>
              </w:rPr>
            </w:pPr>
          </w:p>
        </w:tc>
        <w:tc>
          <w:tcPr>
            <w:tcW w:w="993" w:type="dxa"/>
            <w:gridSpan w:val="2"/>
            <w:noWrap w:val="0"/>
            <w:vAlign w:val="center"/>
          </w:tcPr>
          <w:p w14:paraId="1856ABD1">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质量、安全保证体系及保证措施</w:t>
            </w:r>
          </w:p>
        </w:tc>
        <w:tc>
          <w:tcPr>
            <w:tcW w:w="567" w:type="dxa"/>
            <w:noWrap w:val="0"/>
            <w:vAlign w:val="center"/>
          </w:tcPr>
          <w:p w14:paraId="14EA21F0">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u w:val="single"/>
              </w:rPr>
              <w:t>15</w:t>
            </w:r>
            <w:r>
              <w:rPr>
                <w:rFonts w:hint="eastAsia" w:ascii="宋体" w:hAnsi="宋体" w:eastAsia="宋体" w:cs="宋体"/>
                <w:b/>
                <w:sz w:val="22"/>
                <w:szCs w:val="22"/>
                <w:highlight w:val="none"/>
              </w:rPr>
              <w:t xml:space="preserve"> 分</w:t>
            </w:r>
          </w:p>
        </w:tc>
        <w:tc>
          <w:tcPr>
            <w:tcW w:w="5532" w:type="dxa"/>
            <w:noWrap w:val="0"/>
            <w:vAlign w:val="center"/>
          </w:tcPr>
          <w:p w14:paraId="34D87277">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（1）</w:t>
            </w:r>
            <w:r>
              <w:rPr>
                <w:rFonts w:hint="eastAsia" w:ascii="宋体" w:hAnsi="宋体" w:eastAsia="宋体" w:cs="宋体"/>
                <w:sz w:val="22"/>
                <w:szCs w:val="22"/>
                <w:highlight w:val="none"/>
              </w:rPr>
              <w:t>对本项目质量及安全控制有透彻的认识，对施工过程中可能发生的各种质量和安全问题有深刻的认识和合理的预见，并有相应的应对措施，应对措施应科学、充分，能有效处理各种突发问题的，得</w:t>
            </w:r>
            <w:r>
              <w:rPr>
                <w:rFonts w:hint="eastAsia" w:ascii="宋体" w:hAnsi="宋体" w:eastAsia="宋体" w:cs="宋体"/>
                <w:b/>
                <w:sz w:val="22"/>
                <w:szCs w:val="22"/>
                <w:highlight w:val="none"/>
                <w:u w:val="single"/>
              </w:rPr>
              <w:t>12-15</w:t>
            </w:r>
            <w:r>
              <w:rPr>
                <w:rFonts w:hint="eastAsia" w:ascii="宋体" w:hAnsi="宋体" w:eastAsia="宋体" w:cs="宋体"/>
                <w:b/>
                <w:sz w:val="22"/>
                <w:szCs w:val="22"/>
                <w:highlight w:val="none"/>
              </w:rPr>
              <w:t>分</w:t>
            </w:r>
            <w:r>
              <w:rPr>
                <w:rFonts w:hint="eastAsia" w:ascii="宋体" w:hAnsi="宋体" w:eastAsia="宋体" w:cs="宋体"/>
                <w:sz w:val="22"/>
                <w:szCs w:val="22"/>
                <w:highlight w:val="none"/>
              </w:rPr>
              <w:t>；</w:t>
            </w:r>
          </w:p>
          <w:p w14:paraId="34D3D881">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（2）</w:t>
            </w:r>
            <w:r>
              <w:rPr>
                <w:rFonts w:hint="eastAsia" w:ascii="宋体" w:hAnsi="宋体" w:eastAsia="宋体" w:cs="宋体"/>
                <w:sz w:val="22"/>
                <w:szCs w:val="22"/>
                <w:highlight w:val="none"/>
              </w:rPr>
              <w:t>对本项目质量及安全控制有一定的认识，基本能合理的预见施工过程中可能发生的各种质量和安全问题，并有相应的应对措施，应对措施较为科学、充分，基本能有效处理各种质量和安全问题的，得</w:t>
            </w:r>
            <w:r>
              <w:rPr>
                <w:rFonts w:hint="eastAsia" w:ascii="宋体" w:hAnsi="宋体" w:eastAsia="宋体" w:cs="宋体"/>
                <w:b/>
                <w:sz w:val="22"/>
                <w:szCs w:val="22"/>
                <w:highlight w:val="none"/>
                <w:u w:val="single"/>
              </w:rPr>
              <w:t>9-12</w:t>
            </w:r>
            <w:r>
              <w:rPr>
                <w:rFonts w:hint="eastAsia" w:ascii="宋体" w:hAnsi="宋体" w:eastAsia="宋体" w:cs="宋体"/>
                <w:b/>
                <w:sz w:val="22"/>
                <w:szCs w:val="22"/>
                <w:highlight w:val="none"/>
              </w:rPr>
              <w:t>分</w:t>
            </w:r>
            <w:r>
              <w:rPr>
                <w:rFonts w:hint="eastAsia" w:ascii="宋体" w:hAnsi="宋体" w:eastAsia="宋体" w:cs="宋体"/>
                <w:sz w:val="22"/>
                <w:szCs w:val="22"/>
                <w:highlight w:val="none"/>
              </w:rPr>
              <w:t>；</w:t>
            </w:r>
          </w:p>
          <w:p w14:paraId="5CFC3074">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（3）</w:t>
            </w:r>
            <w:r>
              <w:rPr>
                <w:rFonts w:hint="eastAsia" w:ascii="宋体" w:hAnsi="宋体" w:eastAsia="宋体" w:cs="宋体"/>
                <w:sz w:val="22"/>
                <w:szCs w:val="22"/>
                <w:highlight w:val="none"/>
              </w:rPr>
              <w:t>一般但不被评定为不响应的, 起评分</w:t>
            </w:r>
            <w:r>
              <w:rPr>
                <w:rFonts w:hint="eastAsia" w:ascii="宋体" w:hAnsi="宋体" w:eastAsia="宋体" w:cs="宋体"/>
                <w:b/>
                <w:sz w:val="22"/>
                <w:szCs w:val="22"/>
                <w:highlight w:val="none"/>
                <w:u w:val="single"/>
              </w:rPr>
              <w:t xml:space="preserve">9 </w:t>
            </w:r>
            <w:r>
              <w:rPr>
                <w:rFonts w:hint="eastAsia" w:ascii="宋体" w:hAnsi="宋体" w:eastAsia="宋体" w:cs="宋体"/>
                <w:b/>
                <w:sz w:val="22"/>
                <w:szCs w:val="22"/>
                <w:highlight w:val="none"/>
              </w:rPr>
              <w:t>分</w:t>
            </w:r>
            <w:r>
              <w:rPr>
                <w:rFonts w:hint="eastAsia" w:ascii="宋体" w:hAnsi="宋体" w:eastAsia="宋体" w:cs="宋体"/>
                <w:sz w:val="22"/>
                <w:szCs w:val="22"/>
                <w:highlight w:val="none"/>
              </w:rPr>
              <w:t>。</w:t>
            </w:r>
          </w:p>
        </w:tc>
      </w:tr>
      <w:tr w14:paraId="6A89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47B98A85">
            <w:pPr>
              <w:spacing w:line="400" w:lineRule="exact"/>
              <w:jc w:val="center"/>
              <w:rPr>
                <w:rFonts w:hint="eastAsia" w:ascii="宋体" w:hAnsi="宋体" w:eastAsia="宋体" w:cs="宋体"/>
                <w:sz w:val="22"/>
                <w:szCs w:val="22"/>
                <w:highlight w:val="none"/>
              </w:rPr>
            </w:pPr>
          </w:p>
        </w:tc>
        <w:tc>
          <w:tcPr>
            <w:tcW w:w="709" w:type="dxa"/>
            <w:gridSpan w:val="3"/>
            <w:vMerge w:val="continue"/>
            <w:noWrap w:val="0"/>
            <w:vAlign w:val="center"/>
          </w:tcPr>
          <w:p w14:paraId="45A5EC32">
            <w:pPr>
              <w:spacing w:line="400" w:lineRule="exact"/>
              <w:jc w:val="center"/>
              <w:rPr>
                <w:rFonts w:hint="eastAsia" w:ascii="宋体" w:hAnsi="宋体" w:eastAsia="宋体" w:cs="宋体"/>
                <w:sz w:val="22"/>
                <w:szCs w:val="22"/>
                <w:highlight w:val="none"/>
              </w:rPr>
            </w:pPr>
          </w:p>
        </w:tc>
        <w:tc>
          <w:tcPr>
            <w:tcW w:w="708" w:type="dxa"/>
            <w:vMerge w:val="continue"/>
            <w:noWrap w:val="0"/>
            <w:vAlign w:val="center"/>
          </w:tcPr>
          <w:p w14:paraId="65B175AB">
            <w:pPr>
              <w:spacing w:line="400" w:lineRule="exact"/>
              <w:jc w:val="center"/>
              <w:rPr>
                <w:rFonts w:hint="eastAsia" w:ascii="宋体" w:hAnsi="宋体" w:eastAsia="宋体" w:cs="宋体"/>
                <w:sz w:val="22"/>
                <w:szCs w:val="22"/>
                <w:highlight w:val="none"/>
                <w:u w:val="single"/>
              </w:rPr>
            </w:pPr>
          </w:p>
        </w:tc>
        <w:tc>
          <w:tcPr>
            <w:tcW w:w="993" w:type="dxa"/>
            <w:gridSpan w:val="2"/>
            <w:noWrap w:val="0"/>
            <w:vAlign w:val="center"/>
          </w:tcPr>
          <w:p w14:paraId="628C68C1">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环境保护、文明施工保证体系及措施</w:t>
            </w:r>
          </w:p>
        </w:tc>
        <w:tc>
          <w:tcPr>
            <w:tcW w:w="567" w:type="dxa"/>
            <w:noWrap w:val="0"/>
            <w:vAlign w:val="center"/>
          </w:tcPr>
          <w:p w14:paraId="27F8C3E7">
            <w:pPr>
              <w:spacing w:line="400" w:lineRule="exact"/>
              <w:jc w:val="center"/>
              <w:rPr>
                <w:rFonts w:hint="eastAsia" w:ascii="宋体" w:hAnsi="宋体" w:eastAsia="宋体" w:cs="宋体"/>
                <w:b/>
                <w:sz w:val="22"/>
                <w:szCs w:val="22"/>
                <w:highlight w:val="none"/>
                <w:u w:val="single"/>
              </w:rPr>
            </w:pPr>
            <w:r>
              <w:rPr>
                <w:rFonts w:hint="eastAsia" w:ascii="宋体" w:hAnsi="宋体" w:eastAsia="宋体" w:cs="宋体"/>
                <w:b/>
                <w:sz w:val="22"/>
                <w:szCs w:val="22"/>
                <w:highlight w:val="none"/>
                <w:u w:val="single"/>
              </w:rPr>
              <w:t>10 分</w:t>
            </w:r>
          </w:p>
        </w:tc>
        <w:tc>
          <w:tcPr>
            <w:tcW w:w="5532" w:type="dxa"/>
            <w:noWrap w:val="0"/>
            <w:vAlign w:val="center"/>
          </w:tcPr>
          <w:p w14:paraId="0759FC9E">
            <w:pPr>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（1）</w:t>
            </w:r>
            <w:r>
              <w:rPr>
                <w:rFonts w:hint="eastAsia" w:ascii="宋体" w:hAnsi="宋体" w:eastAsia="宋体" w:cs="宋体"/>
                <w:sz w:val="22"/>
                <w:szCs w:val="22"/>
                <w:highlight w:val="none"/>
              </w:rPr>
              <w:t>对本项目的环保及文明施工等工作有独到的见解，能制定科学的措施，施工做到符合环保的要求，对文明施工有相应的措施，能创造良好的施工环境的，得</w:t>
            </w:r>
            <w:r>
              <w:rPr>
                <w:rFonts w:hint="eastAsia" w:ascii="宋体" w:hAnsi="宋体" w:eastAsia="宋体" w:cs="宋体"/>
                <w:b/>
                <w:sz w:val="22"/>
                <w:szCs w:val="22"/>
                <w:highlight w:val="none"/>
                <w:u w:val="single"/>
              </w:rPr>
              <w:t>8-10</w:t>
            </w:r>
            <w:r>
              <w:rPr>
                <w:rFonts w:hint="eastAsia" w:ascii="宋体" w:hAnsi="宋体" w:eastAsia="宋体" w:cs="宋体"/>
                <w:b/>
                <w:sz w:val="22"/>
                <w:szCs w:val="22"/>
                <w:highlight w:val="none"/>
              </w:rPr>
              <w:t>分；</w:t>
            </w:r>
          </w:p>
          <w:p w14:paraId="540C05D3">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（2）</w:t>
            </w:r>
            <w:r>
              <w:rPr>
                <w:rFonts w:hint="eastAsia" w:ascii="宋体" w:hAnsi="宋体" w:eastAsia="宋体" w:cs="宋体"/>
                <w:sz w:val="22"/>
                <w:szCs w:val="22"/>
                <w:highlight w:val="none"/>
              </w:rPr>
              <w:t>对工程环保及文明施工等工作制定有相关的措施，基本能满足本项目环保及文明施工的要求的，得</w:t>
            </w:r>
            <w:r>
              <w:rPr>
                <w:rFonts w:hint="eastAsia" w:ascii="宋体" w:hAnsi="宋体" w:eastAsia="宋体" w:cs="宋体"/>
                <w:b/>
                <w:sz w:val="22"/>
                <w:szCs w:val="22"/>
                <w:highlight w:val="none"/>
                <w:u w:val="single"/>
              </w:rPr>
              <w:t xml:space="preserve"> 6-8</w:t>
            </w:r>
            <w:r>
              <w:rPr>
                <w:rFonts w:hint="eastAsia" w:ascii="宋体" w:hAnsi="宋体" w:eastAsia="宋体" w:cs="宋体"/>
                <w:b/>
                <w:sz w:val="22"/>
                <w:szCs w:val="22"/>
                <w:highlight w:val="none"/>
              </w:rPr>
              <w:t>分</w:t>
            </w:r>
            <w:r>
              <w:rPr>
                <w:rFonts w:hint="eastAsia" w:ascii="宋体" w:hAnsi="宋体" w:eastAsia="宋体" w:cs="宋体"/>
                <w:sz w:val="22"/>
                <w:szCs w:val="22"/>
                <w:highlight w:val="none"/>
              </w:rPr>
              <w:t>；</w:t>
            </w:r>
          </w:p>
          <w:p w14:paraId="1F139BB8">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（3）</w:t>
            </w:r>
            <w:r>
              <w:rPr>
                <w:rFonts w:hint="eastAsia" w:ascii="宋体" w:hAnsi="宋体" w:eastAsia="宋体" w:cs="宋体"/>
                <w:sz w:val="22"/>
                <w:szCs w:val="22"/>
                <w:highlight w:val="none"/>
              </w:rPr>
              <w:t>一般但不被评定为不响应的,起评分</w:t>
            </w:r>
            <w:r>
              <w:rPr>
                <w:rFonts w:hint="eastAsia" w:ascii="宋体" w:hAnsi="宋体" w:eastAsia="宋体" w:cs="宋体"/>
                <w:b/>
                <w:sz w:val="22"/>
                <w:szCs w:val="22"/>
                <w:highlight w:val="none"/>
                <w:u w:val="single"/>
              </w:rPr>
              <w:t xml:space="preserve"> 6 </w:t>
            </w:r>
            <w:r>
              <w:rPr>
                <w:rFonts w:hint="eastAsia" w:ascii="宋体" w:hAnsi="宋体" w:eastAsia="宋体" w:cs="宋体"/>
                <w:b/>
                <w:sz w:val="22"/>
                <w:szCs w:val="22"/>
                <w:highlight w:val="none"/>
              </w:rPr>
              <w:t>分</w:t>
            </w:r>
            <w:r>
              <w:rPr>
                <w:rFonts w:hint="eastAsia" w:ascii="宋体" w:hAnsi="宋体" w:eastAsia="宋体" w:cs="宋体"/>
                <w:sz w:val="22"/>
                <w:szCs w:val="22"/>
                <w:highlight w:val="none"/>
              </w:rPr>
              <w:t>。</w:t>
            </w:r>
          </w:p>
        </w:tc>
      </w:tr>
      <w:tr w14:paraId="0143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restart"/>
            <w:noWrap w:val="0"/>
            <w:vAlign w:val="center"/>
          </w:tcPr>
          <w:p w14:paraId="6ECECD03">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2.2.2</w:t>
            </w:r>
          </w:p>
          <w:p w14:paraId="5B9A6709">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709" w:type="dxa"/>
            <w:gridSpan w:val="3"/>
            <w:vMerge w:val="restart"/>
            <w:noWrap w:val="0"/>
            <w:vAlign w:val="center"/>
          </w:tcPr>
          <w:p w14:paraId="1E854BD9">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主要人员</w:t>
            </w:r>
          </w:p>
        </w:tc>
        <w:tc>
          <w:tcPr>
            <w:tcW w:w="708" w:type="dxa"/>
            <w:vMerge w:val="restart"/>
            <w:noWrap w:val="0"/>
            <w:vAlign w:val="center"/>
          </w:tcPr>
          <w:p w14:paraId="35EFA001">
            <w:pPr>
              <w:spacing w:line="400" w:lineRule="exact"/>
              <w:jc w:val="center"/>
              <w:rPr>
                <w:rFonts w:hint="eastAsia" w:ascii="宋体" w:hAnsi="宋体" w:eastAsia="宋体" w:cs="宋体"/>
                <w:b/>
                <w:sz w:val="22"/>
                <w:szCs w:val="22"/>
                <w:highlight w:val="none"/>
                <w:u w:val="single"/>
              </w:rPr>
            </w:pPr>
            <w:r>
              <w:rPr>
                <w:rFonts w:hint="eastAsia" w:ascii="宋体" w:hAnsi="宋体" w:eastAsia="宋体" w:cs="宋体"/>
                <w:b/>
                <w:sz w:val="22"/>
                <w:szCs w:val="22"/>
                <w:highlight w:val="none"/>
                <w:u w:val="single"/>
              </w:rPr>
              <w:t>30分</w:t>
            </w:r>
          </w:p>
        </w:tc>
        <w:tc>
          <w:tcPr>
            <w:tcW w:w="993" w:type="dxa"/>
            <w:gridSpan w:val="2"/>
            <w:noWrap w:val="0"/>
            <w:vAlign w:val="center"/>
          </w:tcPr>
          <w:p w14:paraId="46D837D3">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项目经理任职资格与业绩</w:t>
            </w:r>
          </w:p>
        </w:tc>
        <w:tc>
          <w:tcPr>
            <w:tcW w:w="567" w:type="dxa"/>
            <w:noWrap w:val="0"/>
            <w:vAlign w:val="center"/>
          </w:tcPr>
          <w:p w14:paraId="77B75129">
            <w:pPr>
              <w:spacing w:line="400" w:lineRule="exact"/>
              <w:jc w:val="center"/>
              <w:rPr>
                <w:rFonts w:hint="eastAsia" w:ascii="宋体" w:hAnsi="宋体" w:eastAsia="宋体" w:cs="宋体"/>
                <w:b/>
                <w:sz w:val="22"/>
                <w:szCs w:val="22"/>
                <w:highlight w:val="none"/>
                <w:u w:val="single"/>
              </w:rPr>
            </w:pPr>
            <w:r>
              <w:rPr>
                <w:rFonts w:hint="eastAsia" w:ascii="宋体" w:hAnsi="宋体" w:eastAsia="宋体" w:cs="宋体"/>
                <w:b/>
                <w:sz w:val="22"/>
                <w:szCs w:val="22"/>
                <w:highlight w:val="none"/>
                <w:u w:val="single"/>
              </w:rPr>
              <w:t>15</w:t>
            </w:r>
            <w:r>
              <w:rPr>
                <w:rFonts w:hint="eastAsia" w:ascii="宋体" w:hAnsi="宋体" w:eastAsia="宋体" w:cs="宋体"/>
                <w:b/>
                <w:sz w:val="22"/>
                <w:szCs w:val="22"/>
                <w:highlight w:val="none"/>
              </w:rPr>
              <w:t>分</w:t>
            </w:r>
          </w:p>
        </w:tc>
        <w:tc>
          <w:tcPr>
            <w:tcW w:w="5532" w:type="dxa"/>
            <w:noWrap w:val="0"/>
            <w:vAlign w:val="center"/>
          </w:tcPr>
          <w:p w14:paraId="5EE8DB7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（1）满足资格审查条件项目经理最低要求时，得 9分；</w:t>
            </w:r>
          </w:p>
          <w:p w14:paraId="4B67BC8E">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 项目经理具有高级工程师资格的，加 </w:t>
            </w:r>
            <w:r>
              <w:rPr>
                <w:rFonts w:hint="eastAsia" w:ascii="宋体" w:hAnsi="宋体" w:eastAsia="宋体" w:cs="宋体"/>
                <w:sz w:val="22"/>
                <w:szCs w:val="22"/>
                <w:highlight w:val="none"/>
                <w:lang w:val="en-US" w:eastAsia="zh-CN"/>
              </w:rPr>
              <w:t xml:space="preserve">2 </w:t>
            </w:r>
            <w:r>
              <w:rPr>
                <w:rFonts w:hint="eastAsia" w:ascii="宋体" w:hAnsi="宋体" w:eastAsia="宋体" w:cs="宋体"/>
                <w:sz w:val="22"/>
                <w:szCs w:val="22"/>
                <w:highlight w:val="none"/>
              </w:rPr>
              <w:t>分；</w:t>
            </w:r>
          </w:p>
          <w:p w14:paraId="42DE32BB">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（3）每担任 1 个类似工程项目经理岗位工作经验的， 加 2 分，最多加 </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 xml:space="preserve"> 分。</w:t>
            </w:r>
          </w:p>
        </w:tc>
      </w:tr>
      <w:tr w14:paraId="1295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266EC8BE">
            <w:pPr>
              <w:spacing w:line="400" w:lineRule="exact"/>
              <w:jc w:val="center"/>
              <w:rPr>
                <w:rFonts w:hint="eastAsia" w:ascii="宋体" w:hAnsi="宋体" w:eastAsia="宋体" w:cs="宋体"/>
                <w:sz w:val="22"/>
                <w:szCs w:val="22"/>
                <w:highlight w:val="none"/>
              </w:rPr>
            </w:pPr>
          </w:p>
        </w:tc>
        <w:tc>
          <w:tcPr>
            <w:tcW w:w="709" w:type="dxa"/>
            <w:gridSpan w:val="3"/>
            <w:vMerge w:val="continue"/>
            <w:noWrap w:val="0"/>
            <w:vAlign w:val="center"/>
          </w:tcPr>
          <w:p w14:paraId="01EC8CB7">
            <w:pPr>
              <w:spacing w:line="400" w:lineRule="exact"/>
              <w:jc w:val="center"/>
              <w:rPr>
                <w:rFonts w:hint="eastAsia" w:ascii="宋体" w:hAnsi="宋体" w:eastAsia="宋体" w:cs="宋体"/>
                <w:sz w:val="22"/>
                <w:szCs w:val="22"/>
                <w:highlight w:val="none"/>
              </w:rPr>
            </w:pPr>
          </w:p>
        </w:tc>
        <w:tc>
          <w:tcPr>
            <w:tcW w:w="708" w:type="dxa"/>
            <w:vMerge w:val="continue"/>
            <w:noWrap w:val="0"/>
            <w:vAlign w:val="center"/>
          </w:tcPr>
          <w:p w14:paraId="63306357">
            <w:pPr>
              <w:spacing w:line="400" w:lineRule="exact"/>
              <w:jc w:val="center"/>
              <w:rPr>
                <w:rFonts w:hint="eastAsia" w:ascii="宋体" w:hAnsi="宋体" w:eastAsia="宋体" w:cs="宋体"/>
                <w:b/>
                <w:sz w:val="22"/>
                <w:szCs w:val="22"/>
                <w:highlight w:val="none"/>
                <w:u w:val="single"/>
              </w:rPr>
            </w:pPr>
          </w:p>
        </w:tc>
        <w:tc>
          <w:tcPr>
            <w:tcW w:w="993" w:type="dxa"/>
            <w:gridSpan w:val="2"/>
            <w:noWrap w:val="0"/>
            <w:vAlign w:val="center"/>
          </w:tcPr>
          <w:p w14:paraId="464FF876">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项目总工任职资格与业绩</w:t>
            </w:r>
          </w:p>
        </w:tc>
        <w:tc>
          <w:tcPr>
            <w:tcW w:w="567" w:type="dxa"/>
            <w:noWrap w:val="0"/>
            <w:vAlign w:val="center"/>
          </w:tcPr>
          <w:p w14:paraId="21C46494">
            <w:pPr>
              <w:spacing w:line="400" w:lineRule="exact"/>
              <w:jc w:val="center"/>
              <w:rPr>
                <w:rFonts w:hint="eastAsia" w:ascii="宋体" w:hAnsi="宋体" w:eastAsia="宋体" w:cs="宋体"/>
                <w:b/>
                <w:sz w:val="22"/>
                <w:szCs w:val="22"/>
                <w:highlight w:val="none"/>
                <w:u w:val="single"/>
              </w:rPr>
            </w:pPr>
            <w:r>
              <w:rPr>
                <w:rFonts w:hint="eastAsia" w:ascii="宋体" w:hAnsi="宋体" w:eastAsia="宋体" w:cs="宋体"/>
                <w:b/>
                <w:sz w:val="22"/>
                <w:szCs w:val="22"/>
                <w:highlight w:val="none"/>
                <w:u w:val="single"/>
              </w:rPr>
              <w:t>15</w:t>
            </w:r>
            <w:r>
              <w:rPr>
                <w:rFonts w:hint="eastAsia" w:ascii="宋体" w:hAnsi="宋体" w:eastAsia="宋体" w:cs="宋体"/>
                <w:b/>
                <w:sz w:val="22"/>
                <w:szCs w:val="22"/>
                <w:highlight w:val="none"/>
              </w:rPr>
              <w:t>分</w:t>
            </w:r>
          </w:p>
        </w:tc>
        <w:tc>
          <w:tcPr>
            <w:tcW w:w="5532" w:type="dxa"/>
            <w:noWrap w:val="0"/>
            <w:vAlign w:val="center"/>
          </w:tcPr>
          <w:p w14:paraId="32F847C4">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（1）满足资格审查条件项目总工最低要求时，得9</w:t>
            </w:r>
            <w:r>
              <w:rPr>
                <w:rFonts w:hint="eastAsia" w:ascii="宋体" w:hAnsi="宋体" w:eastAsia="宋体" w:cs="宋体"/>
                <w:sz w:val="22"/>
                <w:szCs w:val="22"/>
                <w:highlight w:val="none"/>
                <w:lang w:eastAsia="zh-CN"/>
              </w:rPr>
              <w:t>分</w:t>
            </w:r>
            <w:r>
              <w:rPr>
                <w:rFonts w:hint="eastAsia" w:ascii="宋体" w:hAnsi="宋体" w:eastAsia="宋体" w:cs="宋体"/>
                <w:sz w:val="22"/>
                <w:szCs w:val="22"/>
                <w:highlight w:val="none"/>
              </w:rPr>
              <w:t>；</w:t>
            </w:r>
          </w:p>
          <w:p w14:paraId="06B45150">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 项目总工具有高级工程师资格的，加 </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 xml:space="preserve"> 分；</w:t>
            </w:r>
          </w:p>
          <w:p w14:paraId="23C04DD4">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（3）每担任 1 个类似项目总工岗位工作经验的，加   2 分，最多加 </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 xml:space="preserve"> 分。</w:t>
            </w:r>
          </w:p>
        </w:tc>
      </w:tr>
      <w:tr w14:paraId="4890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restart"/>
            <w:noWrap w:val="0"/>
            <w:vAlign w:val="center"/>
          </w:tcPr>
          <w:p w14:paraId="44DC2334">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2.2.2</w:t>
            </w:r>
          </w:p>
          <w:p w14:paraId="1D58E487">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354" w:type="dxa"/>
            <w:gridSpan w:val="2"/>
            <w:vMerge w:val="restart"/>
            <w:noWrap w:val="0"/>
            <w:vAlign w:val="center"/>
          </w:tcPr>
          <w:p w14:paraId="100CC85E">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其他因素</w:t>
            </w:r>
          </w:p>
        </w:tc>
        <w:tc>
          <w:tcPr>
            <w:tcW w:w="355" w:type="dxa"/>
            <w:noWrap w:val="0"/>
            <w:vAlign w:val="center"/>
          </w:tcPr>
          <w:p w14:paraId="3CD72043">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技术能力</w:t>
            </w:r>
          </w:p>
        </w:tc>
        <w:tc>
          <w:tcPr>
            <w:tcW w:w="708" w:type="dxa"/>
            <w:noWrap w:val="0"/>
            <w:vAlign w:val="center"/>
          </w:tcPr>
          <w:p w14:paraId="284DD021">
            <w:pPr>
              <w:spacing w:line="400" w:lineRule="exact"/>
              <w:jc w:val="center"/>
              <w:rPr>
                <w:rFonts w:hint="eastAsia" w:ascii="宋体" w:hAnsi="宋体" w:eastAsia="宋体" w:cs="宋体"/>
                <w:b/>
                <w:sz w:val="22"/>
                <w:szCs w:val="22"/>
                <w:highlight w:val="none"/>
                <w:u w:val="single"/>
              </w:rPr>
            </w:pPr>
            <w:r>
              <w:rPr>
                <w:rFonts w:hint="eastAsia" w:ascii="宋体" w:hAnsi="宋体" w:eastAsia="宋体" w:cs="宋体"/>
                <w:b/>
                <w:sz w:val="22"/>
                <w:szCs w:val="22"/>
                <w:highlight w:val="none"/>
                <w:u w:val="single"/>
                <w:lang w:val="en-US" w:eastAsia="zh-CN"/>
              </w:rPr>
              <w:t>10</w:t>
            </w:r>
            <w:r>
              <w:rPr>
                <w:rFonts w:hint="eastAsia" w:ascii="宋体" w:hAnsi="宋体" w:eastAsia="宋体" w:cs="宋体"/>
                <w:b/>
                <w:sz w:val="22"/>
                <w:szCs w:val="22"/>
                <w:highlight w:val="none"/>
                <w:u w:val="single"/>
              </w:rPr>
              <w:t>分</w:t>
            </w:r>
          </w:p>
        </w:tc>
        <w:tc>
          <w:tcPr>
            <w:tcW w:w="7092" w:type="dxa"/>
            <w:gridSpan w:val="4"/>
            <w:noWrap w:val="0"/>
            <w:vAlign w:val="center"/>
          </w:tcPr>
          <w:p w14:paraId="06831DB8">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（1）</w:t>
            </w:r>
            <w:r>
              <w:rPr>
                <w:rFonts w:hint="eastAsia" w:ascii="宋体" w:hAnsi="宋体" w:eastAsia="宋体" w:cs="宋体"/>
                <w:sz w:val="22"/>
                <w:szCs w:val="22"/>
                <w:highlight w:val="none"/>
              </w:rPr>
              <w:t>投标人获得与项目施工有关的国家级</w:t>
            </w:r>
            <w:r>
              <w:rPr>
                <w:rFonts w:hint="eastAsia" w:ascii="宋体" w:hAnsi="宋体" w:eastAsia="宋体" w:cs="宋体"/>
                <w:sz w:val="22"/>
                <w:szCs w:val="22"/>
                <w:highlight w:val="none"/>
                <w:lang w:eastAsia="zh-CN"/>
              </w:rPr>
              <w:t>工法、专利（发明专利或实用新型专利）、国家级</w:t>
            </w:r>
            <w:r>
              <w:rPr>
                <w:rFonts w:hint="eastAsia" w:ascii="宋体" w:hAnsi="宋体" w:eastAsia="宋体" w:cs="宋体"/>
                <w:sz w:val="22"/>
                <w:szCs w:val="22"/>
                <w:highlight w:val="none"/>
              </w:rPr>
              <w:t>科学技术进步奖、主编或参编过国家标准、鲁班奖、詹天佑奖，每项加</w:t>
            </w:r>
            <w:r>
              <w:rPr>
                <w:rFonts w:hint="eastAsia" w:ascii="宋体" w:hAnsi="宋体" w:eastAsia="宋体" w:cs="宋体"/>
                <w:b/>
                <w:sz w:val="22"/>
                <w:szCs w:val="22"/>
                <w:highlight w:val="none"/>
                <w:u w:val="single"/>
              </w:rPr>
              <w:t xml:space="preserve"> 1 </w:t>
            </w:r>
            <w:r>
              <w:rPr>
                <w:rFonts w:hint="eastAsia" w:ascii="宋体" w:hAnsi="宋体" w:eastAsia="宋体" w:cs="宋体"/>
                <w:b/>
                <w:sz w:val="22"/>
                <w:szCs w:val="22"/>
                <w:highlight w:val="none"/>
              </w:rPr>
              <w:t xml:space="preserve"> 分</w:t>
            </w:r>
            <w:r>
              <w:rPr>
                <w:rFonts w:hint="eastAsia" w:ascii="宋体" w:hAnsi="宋体" w:eastAsia="宋体" w:cs="宋体"/>
                <w:sz w:val="22"/>
                <w:szCs w:val="22"/>
                <w:highlight w:val="none"/>
              </w:rPr>
              <w:t xml:space="preserve">； </w:t>
            </w:r>
          </w:p>
          <w:p w14:paraId="7C990449">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（2）</w:t>
            </w:r>
            <w:r>
              <w:rPr>
                <w:rFonts w:hint="eastAsia" w:ascii="宋体" w:hAnsi="宋体" w:eastAsia="宋体" w:cs="宋体"/>
                <w:sz w:val="22"/>
                <w:szCs w:val="22"/>
                <w:highlight w:val="none"/>
              </w:rPr>
              <w:t>投标人获得与项目施工有关省级科学技术进步奖，主编或参编过的行业或地方（指省级）标准，每项加</w:t>
            </w:r>
            <w:r>
              <w:rPr>
                <w:rFonts w:hint="eastAsia" w:ascii="宋体" w:hAnsi="宋体" w:eastAsia="宋体" w:cs="宋体"/>
                <w:b/>
                <w:sz w:val="22"/>
                <w:szCs w:val="22"/>
                <w:highlight w:val="none"/>
                <w:u w:val="single"/>
              </w:rPr>
              <w:t xml:space="preserve"> 0.5 </w:t>
            </w:r>
            <w:r>
              <w:rPr>
                <w:rFonts w:hint="eastAsia" w:ascii="宋体" w:hAnsi="宋体" w:eastAsia="宋体" w:cs="宋体"/>
                <w:b/>
                <w:sz w:val="22"/>
                <w:szCs w:val="22"/>
                <w:highlight w:val="none"/>
              </w:rPr>
              <w:t>分</w:t>
            </w:r>
            <w:r>
              <w:rPr>
                <w:rFonts w:hint="eastAsia" w:ascii="宋体" w:hAnsi="宋体" w:eastAsia="宋体" w:cs="宋体"/>
                <w:sz w:val="22"/>
                <w:szCs w:val="22"/>
                <w:highlight w:val="none"/>
              </w:rPr>
              <w:t xml:space="preserve">； </w:t>
            </w:r>
          </w:p>
          <w:p w14:paraId="2A8B7EE5">
            <w:pPr>
              <w:spacing w:line="400" w:lineRule="exact"/>
              <w:rPr>
                <w:rFonts w:hint="eastAsia" w:ascii="宋体" w:hAnsi="宋体" w:eastAsia="宋体" w:cs="宋体"/>
                <w:b/>
                <w:sz w:val="22"/>
                <w:szCs w:val="22"/>
                <w:highlight w:val="none"/>
              </w:rPr>
            </w:pPr>
            <w:r>
              <w:rPr>
                <w:rFonts w:hint="eastAsia" w:ascii="宋体" w:hAnsi="宋体" w:eastAsia="宋体" w:cs="宋体"/>
                <w:sz w:val="22"/>
                <w:szCs w:val="22"/>
                <w:highlight w:val="none"/>
              </w:rPr>
              <w:t>本项累计加分最高</w:t>
            </w:r>
            <w:r>
              <w:rPr>
                <w:rFonts w:hint="eastAsia" w:ascii="宋体" w:hAnsi="宋体" w:eastAsia="宋体" w:cs="宋体"/>
                <w:b/>
                <w:sz w:val="22"/>
                <w:szCs w:val="22"/>
                <w:highlight w:val="none"/>
                <w:u w:val="single"/>
                <w:lang w:val="en-US" w:eastAsia="zh-CN"/>
              </w:rPr>
              <w:t>5</w:t>
            </w:r>
            <w:r>
              <w:rPr>
                <w:rFonts w:hint="eastAsia" w:ascii="宋体" w:hAnsi="宋体" w:eastAsia="宋体" w:cs="宋体"/>
                <w:b/>
                <w:sz w:val="22"/>
                <w:szCs w:val="22"/>
                <w:highlight w:val="none"/>
              </w:rPr>
              <w:t>分</w:t>
            </w:r>
            <w:r>
              <w:rPr>
                <w:rFonts w:hint="eastAsia" w:ascii="宋体" w:hAnsi="宋体" w:eastAsia="宋体" w:cs="宋体"/>
                <w:sz w:val="22"/>
                <w:szCs w:val="22"/>
                <w:highlight w:val="none"/>
              </w:rPr>
              <w:t>，不重复加分，按较高分只计一次。</w:t>
            </w:r>
          </w:p>
        </w:tc>
      </w:tr>
      <w:tr w14:paraId="4433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vMerge w:val="continue"/>
            <w:noWrap w:val="0"/>
            <w:vAlign w:val="center"/>
          </w:tcPr>
          <w:p w14:paraId="5D739F64">
            <w:pPr>
              <w:spacing w:line="400" w:lineRule="exact"/>
              <w:jc w:val="center"/>
              <w:rPr>
                <w:rFonts w:hint="eastAsia" w:ascii="宋体" w:hAnsi="宋体" w:eastAsia="宋体" w:cs="宋体"/>
                <w:sz w:val="22"/>
                <w:szCs w:val="22"/>
                <w:highlight w:val="none"/>
              </w:rPr>
            </w:pPr>
          </w:p>
        </w:tc>
        <w:tc>
          <w:tcPr>
            <w:tcW w:w="354" w:type="dxa"/>
            <w:gridSpan w:val="2"/>
            <w:vMerge w:val="continue"/>
            <w:noWrap w:val="0"/>
            <w:vAlign w:val="center"/>
          </w:tcPr>
          <w:p w14:paraId="679AC9A3">
            <w:pPr>
              <w:spacing w:line="400" w:lineRule="exact"/>
              <w:jc w:val="center"/>
              <w:rPr>
                <w:rFonts w:hint="eastAsia" w:ascii="宋体" w:hAnsi="宋体" w:eastAsia="宋体" w:cs="宋体"/>
                <w:sz w:val="22"/>
                <w:szCs w:val="22"/>
                <w:highlight w:val="none"/>
              </w:rPr>
            </w:pPr>
          </w:p>
        </w:tc>
        <w:tc>
          <w:tcPr>
            <w:tcW w:w="355" w:type="dxa"/>
            <w:noWrap w:val="0"/>
            <w:vAlign w:val="center"/>
          </w:tcPr>
          <w:p w14:paraId="1A0F3C3C">
            <w:pPr>
              <w:spacing w:line="400" w:lineRule="exact"/>
              <w:jc w:val="center"/>
              <w:rPr>
                <w:rFonts w:hint="eastAsia" w:ascii="宋体" w:hAnsi="宋体" w:eastAsia="宋体" w:cs="宋体"/>
                <w:sz w:val="22"/>
                <w:szCs w:val="22"/>
                <w:highlight w:val="none"/>
              </w:rPr>
            </w:pPr>
            <w:r>
              <w:rPr>
                <w:rFonts w:hint="eastAsia" w:ascii="宋体" w:hAnsi="宋体" w:eastAsia="宋体" w:cs="宋体"/>
                <w:i w:val="0"/>
                <w:iCs w:val="0"/>
                <w:sz w:val="22"/>
                <w:szCs w:val="22"/>
                <w:highlight w:val="none"/>
              </w:rPr>
              <w:t>履约信</w:t>
            </w:r>
            <w:r>
              <w:rPr>
                <w:rFonts w:hint="eastAsia" w:ascii="宋体" w:hAnsi="宋体" w:eastAsia="宋体" w:cs="宋体"/>
                <w:sz w:val="22"/>
                <w:szCs w:val="22"/>
                <w:highlight w:val="none"/>
              </w:rPr>
              <w:t>誉</w:t>
            </w:r>
          </w:p>
        </w:tc>
        <w:tc>
          <w:tcPr>
            <w:tcW w:w="708" w:type="dxa"/>
            <w:noWrap w:val="0"/>
            <w:vAlign w:val="center"/>
          </w:tcPr>
          <w:p w14:paraId="68D92D5B">
            <w:pPr>
              <w:spacing w:line="400" w:lineRule="exact"/>
              <w:jc w:val="center"/>
              <w:rPr>
                <w:rFonts w:hint="eastAsia" w:ascii="宋体" w:hAnsi="宋体" w:eastAsia="宋体" w:cs="宋体"/>
                <w:b/>
                <w:sz w:val="22"/>
                <w:szCs w:val="22"/>
                <w:highlight w:val="none"/>
                <w:u w:val="single"/>
              </w:rPr>
            </w:pPr>
            <w:r>
              <w:rPr>
                <w:rFonts w:hint="eastAsia" w:ascii="宋体" w:hAnsi="宋体" w:eastAsia="宋体" w:cs="宋体"/>
                <w:b/>
                <w:sz w:val="22"/>
                <w:szCs w:val="22"/>
                <w:highlight w:val="none"/>
                <w:u w:val="single"/>
              </w:rPr>
              <w:t>2</w:t>
            </w:r>
            <w:r>
              <w:rPr>
                <w:rFonts w:hint="eastAsia" w:ascii="宋体" w:hAnsi="宋体" w:eastAsia="宋体" w:cs="宋体"/>
                <w:b/>
                <w:sz w:val="22"/>
                <w:szCs w:val="22"/>
                <w:highlight w:val="none"/>
                <w:u w:val="single"/>
                <w:lang w:val="en-US" w:eastAsia="zh-CN"/>
              </w:rPr>
              <w:t>0</w:t>
            </w:r>
            <w:r>
              <w:rPr>
                <w:rFonts w:hint="eastAsia" w:ascii="宋体" w:hAnsi="宋体" w:eastAsia="宋体" w:cs="宋体"/>
                <w:b/>
                <w:sz w:val="22"/>
                <w:szCs w:val="22"/>
                <w:highlight w:val="none"/>
                <w:u w:val="single"/>
              </w:rPr>
              <w:t>分</w:t>
            </w:r>
          </w:p>
        </w:tc>
        <w:tc>
          <w:tcPr>
            <w:tcW w:w="7092" w:type="dxa"/>
            <w:gridSpan w:val="4"/>
            <w:noWrap w:val="0"/>
            <w:vAlign w:val="center"/>
          </w:tcPr>
          <w:p w14:paraId="7CEFFD2B">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1、</w:t>
            </w:r>
            <w:r>
              <w:rPr>
                <w:rFonts w:hint="eastAsia" w:ascii="宋体" w:hAnsi="宋体" w:eastAsia="宋体" w:cs="宋体"/>
                <w:sz w:val="22"/>
                <w:szCs w:val="22"/>
                <w:highlight w:val="none"/>
              </w:rPr>
              <w:t>信用等级分值</w:t>
            </w:r>
            <w:r>
              <w:rPr>
                <w:rFonts w:hint="eastAsia" w:ascii="宋体" w:hAnsi="宋体" w:eastAsia="宋体" w:cs="宋体"/>
                <w:b/>
                <w:sz w:val="22"/>
                <w:szCs w:val="22"/>
                <w:highlight w:val="none"/>
              </w:rPr>
              <w:t>（10 分）</w:t>
            </w:r>
          </w:p>
          <w:p w14:paraId="7ABC1DAF">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AA、A、B、C级单位的信用等级分得分分别为</w:t>
            </w:r>
            <w:r>
              <w:rPr>
                <w:rFonts w:hint="eastAsia" w:ascii="宋体" w:hAnsi="宋体" w:eastAsia="宋体" w:cs="宋体"/>
                <w:b/>
                <w:sz w:val="22"/>
                <w:szCs w:val="22"/>
                <w:highlight w:val="none"/>
                <w:u w:val="single"/>
              </w:rPr>
              <w:t>10、9.5、8.9、7.3</w:t>
            </w:r>
            <w:r>
              <w:rPr>
                <w:rFonts w:hint="eastAsia" w:ascii="宋体" w:hAnsi="宋体" w:eastAsia="宋体" w:cs="宋体"/>
                <w:b/>
                <w:sz w:val="22"/>
                <w:szCs w:val="22"/>
                <w:highlight w:val="none"/>
              </w:rPr>
              <w:t>分</w:t>
            </w:r>
            <w:r>
              <w:rPr>
                <w:rFonts w:hint="eastAsia" w:ascii="宋体" w:hAnsi="宋体" w:eastAsia="宋体" w:cs="宋体"/>
                <w:sz w:val="22"/>
                <w:szCs w:val="22"/>
                <w:highlight w:val="none"/>
              </w:rPr>
              <w:t xml:space="preserve">。 </w:t>
            </w:r>
          </w:p>
          <w:p w14:paraId="20ADB9E9">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注：信用等级的确定原则遵循投标人须知前附表10.2款的规定。</w:t>
            </w:r>
          </w:p>
          <w:p w14:paraId="38D9424A">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2、</w:t>
            </w:r>
            <w:r>
              <w:rPr>
                <w:rFonts w:hint="eastAsia" w:ascii="宋体" w:hAnsi="宋体" w:eastAsia="宋体" w:cs="宋体"/>
                <w:sz w:val="22"/>
                <w:szCs w:val="22"/>
                <w:highlight w:val="none"/>
              </w:rPr>
              <w:t>履约情况</w:t>
            </w:r>
            <w:r>
              <w:rPr>
                <w:rFonts w:hint="eastAsia" w:ascii="宋体" w:hAnsi="宋体" w:eastAsia="宋体" w:cs="宋体"/>
                <w:b/>
                <w:sz w:val="22"/>
                <w:szCs w:val="22"/>
                <w:highlight w:val="none"/>
              </w:rPr>
              <w:t>（1</w:t>
            </w:r>
            <w:r>
              <w:rPr>
                <w:rFonts w:hint="eastAsia" w:ascii="宋体" w:hAnsi="宋体" w:eastAsia="宋体" w:cs="宋体"/>
                <w:b/>
                <w:sz w:val="22"/>
                <w:szCs w:val="22"/>
                <w:highlight w:val="none"/>
                <w:lang w:val="en-US" w:eastAsia="zh-CN"/>
              </w:rPr>
              <w:t>0</w:t>
            </w:r>
            <w:r>
              <w:rPr>
                <w:rFonts w:hint="eastAsia" w:ascii="宋体" w:hAnsi="宋体" w:eastAsia="宋体" w:cs="宋体"/>
                <w:b/>
                <w:sz w:val="22"/>
                <w:szCs w:val="22"/>
                <w:highlight w:val="none"/>
              </w:rPr>
              <w:t>分）</w:t>
            </w:r>
          </w:p>
          <w:p w14:paraId="03AF632E">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若没出现下述情形得满分；</w:t>
            </w:r>
          </w:p>
          <w:p w14:paraId="7A021D9C">
            <w:pPr>
              <w:spacing w:line="400" w:lineRule="exact"/>
              <w:ind w:firstLine="481" w:firstLineChars="218"/>
              <w:rPr>
                <w:rFonts w:hint="eastAsia" w:ascii="宋体" w:hAnsi="宋体" w:eastAsia="宋体" w:cs="宋体"/>
                <w:sz w:val="22"/>
                <w:szCs w:val="22"/>
                <w:highlight w:val="none"/>
              </w:rPr>
            </w:pPr>
            <w:r>
              <w:rPr>
                <w:rFonts w:hint="eastAsia" w:ascii="宋体" w:hAnsi="宋体" w:eastAsia="宋体" w:cs="宋体"/>
                <w:b/>
                <w:sz w:val="22"/>
                <w:szCs w:val="22"/>
                <w:highlight w:val="none"/>
              </w:rPr>
              <w:t>自</w:t>
            </w:r>
            <w:r>
              <w:rPr>
                <w:rFonts w:hint="eastAsia" w:ascii="宋体" w:hAnsi="宋体" w:eastAsia="宋体" w:cs="宋体"/>
                <w:b/>
                <w:sz w:val="22"/>
                <w:szCs w:val="22"/>
                <w:highlight w:val="none"/>
                <w:u w:val="single"/>
              </w:rPr>
              <w:t>2022</w:t>
            </w:r>
            <w:r>
              <w:rPr>
                <w:rFonts w:hint="eastAsia" w:ascii="宋体" w:hAnsi="宋体" w:eastAsia="宋体" w:cs="宋体"/>
                <w:b/>
                <w:sz w:val="22"/>
                <w:szCs w:val="22"/>
                <w:highlight w:val="none"/>
              </w:rPr>
              <w:t>年</w:t>
            </w:r>
            <w:r>
              <w:rPr>
                <w:rFonts w:hint="eastAsia" w:ascii="宋体" w:hAnsi="宋体" w:eastAsia="宋体" w:cs="宋体"/>
                <w:b/>
                <w:sz w:val="22"/>
                <w:szCs w:val="22"/>
                <w:highlight w:val="none"/>
                <w:u w:val="single"/>
              </w:rPr>
              <w:t>3</w:t>
            </w:r>
            <w:r>
              <w:rPr>
                <w:rFonts w:hint="eastAsia" w:ascii="宋体" w:hAnsi="宋体" w:eastAsia="宋体" w:cs="宋体"/>
                <w:b/>
                <w:sz w:val="22"/>
                <w:szCs w:val="22"/>
                <w:highlight w:val="none"/>
              </w:rPr>
              <w:t>月</w:t>
            </w:r>
            <w:r>
              <w:rPr>
                <w:rFonts w:hint="eastAsia" w:ascii="宋体" w:hAnsi="宋体" w:eastAsia="宋体" w:cs="宋体"/>
                <w:b/>
                <w:sz w:val="22"/>
                <w:szCs w:val="22"/>
                <w:highlight w:val="none"/>
                <w:u w:val="single"/>
              </w:rPr>
              <w:t>1</w:t>
            </w:r>
            <w:r>
              <w:rPr>
                <w:rFonts w:hint="eastAsia" w:ascii="宋体" w:hAnsi="宋体" w:eastAsia="宋体" w:cs="宋体"/>
                <w:b/>
                <w:sz w:val="22"/>
                <w:szCs w:val="22"/>
                <w:highlight w:val="none"/>
              </w:rPr>
              <w:t>日</w:t>
            </w:r>
            <w:r>
              <w:rPr>
                <w:rFonts w:hint="eastAsia" w:ascii="宋体" w:hAnsi="宋体" w:eastAsia="宋体" w:cs="宋体"/>
                <w:sz w:val="22"/>
                <w:szCs w:val="22"/>
                <w:highlight w:val="none"/>
              </w:rPr>
              <w:t xml:space="preserve">至投标文件递交截止日（投标文件递交截止日前 1年内），因公路工程（含附属设施）质量、安全、履约或招标投标问题等原因被： </w:t>
            </w:r>
          </w:p>
          <w:p w14:paraId="2FA48757">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（1）</w:t>
            </w:r>
            <w:r>
              <w:rPr>
                <w:rFonts w:hint="eastAsia" w:ascii="宋体" w:hAnsi="宋体" w:eastAsia="宋体" w:cs="宋体"/>
                <w:sz w:val="22"/>
                <w:szCs w:val="22"/>
                <w:highlight w:val="none"/>
              </w:rPr>
              <w:t>交通运输部通报批评的，</w:t>
            </w:r>
            <w:r>
              <w:rPr>
                <w:rFonts w:hint="eastAsia" w:ascii="宋体" w:hAnsi="宋体" w:eastAsia="宋体" w:cs="宋体"/>
                <w:b/>
                <w:sz w:val="22"/>
                <w:szCs w:val="22"/>
                <w:highlight w:val="none"/>
              </w:rPr>
              <w:t>扣</w:t>
            </w:r>
            <w:r>
              <w:rPr>
                <w:rFonts w:hint="eastAsia" w:ascii="宋体" w:hAnsi="宋体" w:eastAsia="宋体" w:cs="宋体"/>
                <w:b/>
                <w:sz w:val="22"/>
                <w:szCs w:val="22"/>
                <w:highlight w:val="none"/>
                <w:u w:val="single"/>
              </w:rPr>
              <w:t xml:space="preserve"> 5 </w:t>
            </w:r>
            <w:r>
              <w:rPr>
                <w:rFonts w:hint="eastAsia" w:ascii="宋体" w:hAnsi="宋体" w:eastAsia="宋体" w:cs="宋体"/>
                <w:b/>
                <w:sz w:val="22"/>
                <w:szCs w:val="22"/>
                <w:highlight w:val="none"/>
              </w:rPr>
              <w:t>分/次</w:t>
            </w:r>
            <w:r>
              <w:rPr>
                <w:rFonts w:hint="eastAsia" w:ascii="宋体" w:hAnsi="宋体" w:eastAsia="宋体" w:cs="宋体"/>
                <w:sz w:val="22"/>
                <w:szCs w:val="22"/>
                <w:highlight w:val="none"/>
              </w:rPr>
              <w:t xml:space="preserve">； </w:t>
            </w:r>
          </w:p>
          <w:p w14:paraId="6391D7E9">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（2）</w:t>
            </w:r>
            <w:r>
              <w:rPr>
                <w:rFonts w:hint="eastAsia" w:ascii="宋体" w:hAnsi="宋体" w:eastAsia="宋体" w:cs="宋体"/>
                <w:sz w:val="22"/>
                <w:szCs w:val="22"/>
                <w:highlight w:val="none"/>
              </w:rPr>
              <w:t>广东省交通运输厅通报批评的，</w:t>
            </w:r>
            <w:r>
              <w:rPr>
                <w:rFonts w:hint="eastAsia" w:ascii="宋体" w:hAnsi="宋体" w:eastAsia="宋体" w:cs="宋体"/>
                <w:b/>
                <w:sz w:val="22"/>
                <w:szCs w:val="22"/>
                <w:highlight w:val="none"/>
              </w:rPr>
              <w:t>扣</w:t>
            </w:r>
            <w:r>
              <w:rPr>
                <w:rFonts w:hint="eastAsia" w:ascii="宋体" w:hAnsi="宋体" w:eastAsia="宋体" w:cs="宋体"/>
                <w:b/>
                <w:sz w:val="22"/>
                <w:szCs w:val="22"/>
                <w:highlight w:val="none"/>
                <w:u w:val="single"/>
              </w:rPr>
              <w:t xml:space="preserve"> 4 </w:t>
            </w:r>
            <w:r>
              <w:rPr>
                <w:rFonts w:hint="eastAsia" w:ascii="宋体" w:hAnsi="宋体" w:eastAsia="宋体" w:cs="宋体"/>
                <w:b/>
                <w:sz w:val="22"/>
                <w:szCs w:val="22"/>
                <w:highlight w:val="none"/>
              </w:rPr>
              <w:t>分/次</w:t>
            </w:r>
            <w:r>
              <w:rPr>
                <w:rFonts w:hint="eastAsia" w:ascii="宋体" w:hAnsi="宋体" w:eastAsia="宋体" w:cs="宋体"/>
                <w:sz w:val="22"/>
                <w:szCs w:val="22"/>
                <w:highlight w:val="none"/>
              </w:rPr>
              <w:t xml:space="preserve">； </w:t>
            </w:r>
          </w:p>
          <w:p w14:paraId="610B69E6">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（3）</w:t>
            </w:r>
            <w:r>
              <w:rPr>
                <w:rFonts w:hint="eastAsia" w:ascii="宋体" w:hAnsi="宋体" w:eastAsia="宋体" w:cs="宋体"/>
                <w:sz w:val="22"/>
                <w:szCs w:val="22"/>
                <w:highlight w:val="none"/>
              </w:rPr>
              <w:t>其他省级交通运输主管部门通报批评或在全国公路建设市场信用信息管理系统列有其他不良行为的，</w:t>
            </w:r>
            <w:r>
              <w:rPr>
                <w:rFonts w:hint="eastAsia" w:ascii="宋体" w:hAnsi="宋体" w:eastAsia="宋体" w:cs="宋体"/>
                <w:b/>
                <w:sz w:val="22"/>
                <w:szCs w:val="22"/>
                <w:highlight w:val="none"/>
              </w:rPr>
              <w:t>扣</w:t>
            </w:r>
            <w:r>
              <w:rPr>
                <w:rFonts w:hint="eastAsia" w:ascii="宋体" w:hAnsi="宋体" w:eastAsia="宋体" w:cs="宋体"/>
                <w:b/>
                <w:sz w:val="22"/>
                <w:szCs w:val="22"/>
                <w:highlight w:val="none"/>
                <w:u w:val="single"/>
              </w:rPr>
              <w:t xml:space="preserve"> 2 分</w:t>
            </w:r>
            <w:r>
              <w:rPr>
                <w:rFonts w:hint="eastAsia" w:ascii="宋体" w:hAnsi="宋体" w:eastAsia="宋体" w:cs="宋体"/>
                <w:b/>
                <w:sz w:val="22"/>
                <w:szCs w:val="22"/>
                <w:highlight w:val="none"/>
              </w:rPr>
              <w:t>/次</w:t>
            </w:r>
            <w:r>
              <w:rPr>
                <w:rFonts w:hint="eastAsia" w:ascii="宋体" w:hAnsi="宋体" w:eastAsia="宋体" w:cs="宋体"/>
                <w:sz w:val="22"/>
                <w:szCs w:val="22"/>
                <w:highlight w:val="none"/>
              </w:rPr>
              <w:t>；</w:t>
            </w:r>
          </w:p>
          <w:p w14:paraId="7BD739A1">
            <w:pPr>
              <w:spacing w:line="400" w:lineRule="exact"/>
              <w:rPr>
                <w:rFonts w:hint="eastAsia" w:ascii="宋体" w:hAnsi="宋体" w:eastAsia="宋体" w:cs="宋体"/>
                <w:sz w:val="22"/>
                <w:szCs w:val="22"/>
                <w:highlight w:val="none"/>
              </w:rPr>
            </w:pPr>
            <w:r>
              <w:rPr>
                <w:rFonts w:hint="eastAsia" w:ascii="宋体" w:hAnsi="宋体" w:eastAsia="宋体" w:cs="宋体"/>
                <w:b/>
                <w:sz w:val="22"/>
                <w:szCs w:val="22"/>
                <w:highlight w:val="none"/>
              </w:rPr>
              <w:t>（4）</w:t>
            </w:r>
            <w:r>
              <w:rPr>
                <w:rFonts w:hint="eastAsia" w:ascii="宋体" w:hAnsi="宋体" w:eastAsia="宋体" w:cs="宋体"/>
                <w:sz w:val="22"/>
                <w:szCs w:val="22"/>
                <w:highlight w:val="none"/>
              </w:rPr>
              <w:t>项目所在地地市级交通运输局（委）、本项目招标人或招标人上级管理单位通报批评的，</w:t>
            </w:r>
            <w:r>
              <w:rPr>
                <w:rFonts w:hint="eastAsia" w:ascii="宋体" w:hAnsi="宋体" w:eastAsia="宋体" w:cs="宋体"/>
                <w:b/>
                <w:sz w:val="22"/>
                <w:szCs w:val="22"/>
                <w:highlight w:val="none"/>
              </w:rPr>
              <w:t>扣</w:t>
            </w:r>
            <w:r>
              <w:rPr>
                <w:rFonts w:hint="eastAsia" w:ascii="宋体" w:hAnsi="宋体" w:eastAsia="宋体" w:cs="宋体"/>
                <w:b/>
                <w:sz w:val="22"/>
                <w:szCs w:val="22"/>
                <w:highlight w:val="none"/>
                <w:u w:val="single"/>
              </w:rPr>
              <w:t xml:space="preserve"> 1 </w:t>
            </w:r>
            <w:r>
              <w:rPr>
                <w:rFonts w:hint="eastAsia" w:ascii="宋体" w:hAnsi="宋体" w:eastAsia="宋体" w:cs="宋体"/>
                <w:b/>
                <w:sz w:val="22"/>
                <w:szCs w:val="22"/>
                <w:highlight w:val="none"/>
              </w:rPr>
              <w:t>分/次</w:t>
            </w:r>
            <w:r>
              <w:rPr>
                <w:rFonts w:hint="eastAsia" w:ascii="宋体" w:hAnsi="宋体" w:eastAsia="宋体" w:cs="宋体"/>
                <w:sz w:val="22"/>
                <w:szCs w:val="22"/>
                <w:highlight w:val="none"/>
              </w:rPr>
              <w:t>。</w:t>
            </w:r>
          </w:p>
          <w:p w14:paraId="2B4A36BB">
            <w:pPr>
              <w:spacing w:line="400" w:lineRule="exact"/>
              <w:ind w:firstLine="479" w:firstLineChars="218"/>
              <w:rPr>
                <w:rFonts w:hint="eastAsia" w:ascii="宋体" w:hAnsi="宋体" w:eastAsia="宋体" w:cs="宋体"/>
                <w:b/>
                <w:sz w:val="22"/>
                <w:szCs w:val="22"/>
                <w:highlight w:val="none"/>
              </w:rPr>
            </w:pPr>
            <w:r>
              <w:rPr>
                <w:rFonts w:hint="eastAsia" w:ascii="宋体" w:hAnsi="宋体" w:eastAsia="宋体" w:cs="宋体"/>
                <w:sz w:val="22"/>
                <w:szCs w:val="22"/>
                <w:highlight w:val="none"/>
              </w:rPr>
              <w:t>同一事项同时被多个部门通报批评只按最高的</w:t>
            </w:r>
            <w:r>
              <w:rPr>
                <w:rFonts w:hint="eastAsia" w:ascii="宋体" w:hAnsi="宋体" w:eastAsia="宋体" w:cs="宋体"/>
                <w:b/>
                <w:sz w:val="22"/>
                <w:szCs w:val="22"/>
                <w:highlight w:val="none"/>
              </w:rPr>
              <w:t>扣分计算</w:t>
            </w:r>
            <w:r>
              <w:rPr>
                <w:rFonts w:hint="eastAsia" w:ascii="宋体" w:hAnsi="宋体" w:eastAsia="宋体" w:cs="宋体"/>
                <w:b/>
                <w:sz w:val="22"/>
                <w:szCs w:val="22"/>
                <w:highlight w:val="none"/>
                <w:u w:val="single"/>
              </w:rPr>
              <w:t xml:space="preserve"> 1 </w:t>
            </w:r>
            <w:r>
              <w:rPr>
                <w:rFonts w:hint="eastAsia" w:ascii="宋体" w:hAnsi="宋体" w:eastAsia="宋体" w:cs="宋体"/>
                <w:b/>
                <w:sz w:val="22"/>
                <w:szCs w:val="22"/>
                <w:highlight w:val="none"/>
              </w:rPr>
              <w:t>次</w:t>
            </w:r>
            <w:r>
              <w:rPr>
                <w:rFonts w:hint="eastAsia" w:ascii="宋体" w:hAnsi="宋体" w:eastAsia="宋体" w:cs="宋体"/>
                <w:sz w:val="22"/>
                <w:szCs w:val="22"/>
                <w:highlight w:val="none"/>
              </w:rPr>
              <w:t>。如果扣完本项分值，可以从总分中扣。以联合体形式投标的，若各联合体成员均有上述情形的，对联合体各成员进行累计扣分。</w:t>
            </w:r>
          </w:p>
        </w:tc>
      </w:tr>
      <w:tr w14:paraId="74C0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360" w:type="dxa"/>
            <w:gridSpan w:val="9"/>
            <w:noWrap w:val="0"/>
            <w:vAlign w:val="center"/>
          </w:tcPr>
          <w:p w14:paraId="33653510">
            <w:pPr>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需要补充的其他内容：</w:t>
            </w:r>
          </w:p>
        </w:tc>
      </w:tr>
      <w:tr w14:paraId="7E3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93" w:type="dxa"/>
            <w:gridSpan w:val="2"/>
            <w:noWrap w:val="0"/>
            <w:vAlign w:val="center"/>
          </w:tcPr>
          <w:p w14:paraId="6FF9011C">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条款号</w:t>
            </w:r>
          </w:p>
        </w:tc>
        <w:tc>
          <w:tcPr>
            <w:tcW w:w="8367" w:type="dxa"/>
            <w:gridSpan w:val="7"/>
            <w:noWrap w:val="0"/>
            <w:vAlign w:val="center"/>
          </w:tcPr>
          <w:p w14:paraId="750F9413">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补充或修改的内容</w:t>
            </w:r>
          </w:p>
        </w:tc>
      </w:tr>
      <w:tr w14:paraId="4F15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93" w:type="dxa"/>
            <w:gridSpan w:val="2"/>
            <w:noWrap w:val="0"/>
            <w:vAlign w:val="center"/>
          </w:tcPr>
          <w:p w14:paraId="19F5D772">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8367" w:type="dxa"/>
            <w:gridSpan w:val="7"/>
            <w:noWrap w:val="0"/>
            <w:vAlign w:val="center"/>
          </w:tcPr>
          <w:p w14:paraId="714123AB">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将评标办法范本原文第1条“评标方法”改为“评标方法、组织及工作程序”，原文内容修改如下：</w:t>
            </w:r>
          </w:p>
          <w:p w14:paraId="0BB9512A">
            <w:pPr>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1、评标方法、组织及工作程序</w:t>
            </w:r>
          </w:p>
          <w:p w14:paraId="7FDEED96">
            <w:pPr>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1.1 评标方法</w:t>
            </w:r>
          </w:p>
          <w:p w14:paraId="7FA717C8">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本次评标采用</w:t>
            </w:r>
            <w:r>
              <w:rPr>
                <w:rFonts w:hint="eastAsia" w:ascii="宋体" w:hAnsi="宋体" w:eastAsia="宋体" w:cs="宋体"/>
                <w:b/>
                <w:sz w:val="22"/>
                <w:szCs w:val="22"/>
                <w:highlight w:val="none"/>
              </w:rPr>
              <w:t>双信封的技术评分最低标价法</w:t>
            </w:r>
            <w:r>
              <w:rPr>
                <w:rFonts w:hint="eastAsia" w:ascii="宋体" w:hAnsi="宋体" w:eastAsia="宋体" w:cs="宋体"/>
                <w:sz w:val="22"/>
                <w:szCs w:val="22"/>
                <w:highlight w:val="none"/>
              </w:rPr>
              <w:t>。评标委员会对满足招标文件实质性要求的投标文件，按照本章第 2.2 款规定对通过初步评审的投标人施工组织设计、主要人员、其他因素等进行评分，按照得分由高到低排序，对排名在招标文件规定数量</w:t>
            </w:r>
            <w:r>
              <w:rPr>
                <w:rFonts w:hint="eastAsia" w:ascii="宋体" w:hAnsi="宋体" w:eastAsia="宋体" w:cs="宋体"/>
                <w:b/>
                <w:sz w:val="22"/>
                <w:szCs w:val="22"/>
                <w:highlight w:val="none"/>
              </w:rPr>
              <w:t>前</w:t>
            </w:r>
            <w:r>
              <w:rPr>
                <w:rFonts w:hint="eastAsia" w:ascii="宋体" w:hAnsi="宋体" w:eastAsia="宋体" w:cs="宋体"/>
                <w:b/>
                <w:sz w:val="22"/>
                <w:szCs w:val="22"/>
                <w:highlight w:val="none"/>
                <w:u w:val="single"/>
              </w:rPr>
              <w:t xml:space="preserve"> 5 </w:t>
            </w:r>
            <w:r>
              <w:rPr>
                <w:rFonts w:hint="eastAsia" w:ascii="宋体" w:hAnsi="宋体" w:eastAsia="宋体" w:cs="宋体"/>
                <w:b/>
                <w:sz w:val="22"/>
                <w:szCs w:val="22"/>
                <w:highlight w:val="none"/>
              </w:rPr>
              <w:t>名</w:t>
            </w:r>
            <w:r>
              <w:rPr>
                <w:rFonts w:hint="eastAsia" w:ascii="宋体" w:hAnsi="宋体" w:eastAsia="宋体" w:cs="宋体"/>
                <w:sz w:val="22"/>
                <w:szCs w:val="22"/>
                <w:highlight w:val="none"/>
              </w:rPr>
              <w:t>（不少于3名但不足5名时，按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14:paraId="2DB9DE96">
            <w:pPr>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1.2评标组织</w:t>
            </w:r>
          </w:p>
          <w:p w14:paraId="290FAEC2">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1.2.1协助工作组</w:t>
            </w:r>
          </w:p>
          <w:p w14:paraId="3A429B13">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招标人可在评标工作开始前成立协助工作组，选派熟悉招标工作、政治素质高的人员组成，协助评标委员会工作。协助工作组人员的具体数量由招标人视评标工作量确定。</w:t>
            </w:r>
          </w:p>
          <w:p w14:paraId="0743A17D">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招标人可以协助评标委员会开展下列工作并提供相关信息：</w:t>
            </w:r>
          </w:p>
          <w:p w14:paraId="2E878A2B">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（1）根据招标文件，编制评标使用的相应表格；</w:t>
            </w:r>
          </w:p>
          <w:p w14:paraId="0E0D994A">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（2）对投标报价进行算术性校核（如采用固化清单，本步骤省略）；</w:t>
            </w:r>
          </w:p>
          <w:p w14:paraId="629D2C9C">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（3）以评标标准和方法为依据，列出投标文件相对于招标文件的所有偏差，并进行归类汇总；</w:t>
            </w:r>
          </w:p>
          <w:p w14:paraId="7D7337C8">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（4）查询公路建设市场信用信息管理系统，对投标人的资质、业绩、主要人员资历和目前在岗情况、信用等级进行核实。</w:t>
            </w:r>
          </w:p>
          <w:p w14:paraId="165E6CF4">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招标人不得对投标文件作出任何评价，不得故意遗漏或者片面摘录，不得在评标委员会对所有偏差定性之前透露存有偏差的投标人名称。</w:t>
            </w:r>
          </w:p>
          <w:p w14:paraId="4F93CB2D">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1.2.2评标委员会</w:t>
            </w:r>
          </w:p>
          <w:p w14:paraId="61D125BC">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评标委员会由招标人按国家、广东省等的有关规定依法组建。评标委员人数为九人及以上单数。评标委员会的主要工作内容包括：</w:t>
            </w:r>
          </w:p>
          <w:p w14:paraId="74EED82B">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（1）评标委员会开始评标工作之前，首先听取招标人、协助工作组关于工程情况和辅助工作的说明，并认真研读招标文件，获取评标所需的重要信息和数据；</w:t>
            </w:r>
          </w:p>
          <w:p w14:paraId="553BEF8B">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（2）对协助工作组提供的评标工作用表和评标内容进行核查；</w:t>
            </w:r>
          </w:p>
          <w:p w14:paraId="60CDAA38">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（3）按照以下1.3款程序进行各项评审工作。</w:t>
            </w:r>
          </w:p>
          <w:p w14:paraId="2921D25C">
            <w:pPr>
              <w:spacing w:line="400" w:lineRule="exact"/>
              <w:rPr>
                <w:rFonts w:hint="eastAsia" w:ascii="宋体" w:hAnsi="宋体" w:eastAsia="宋体" w:cs="宋体"/>
                <w:b/>
                <w:sz w:val="22"/>
                <w:szCs w:val="22"/>
                <w:highlight w:val="none"/>
              </w:rPr>
            </w:pPr>
            <w:r>
              <w:rPr>
                <w:rFonts w:hint="eastAsia" w:ascii="宋体" w:hAnsi="宋体" w:eastAsia="宋体" w:cs="宋体"/>
                <w:b/>
                <w:sz w:val="22"/>
                <w:szCs w:val="22"/>
                <w:highlight w:val="none"/>
              </w:rPr>
              <w:t>1.3 评审工作程序</w:t>
            </w:r>
          </w:p>
          <w:p w14:paraId="48D69651">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（一）第一个信封（商务及技术文件）：</w:t>
            </w:r>
          </w:p>
          <w:p w14:paraId="21BF16DA">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1、初步评审：包括形式评审与响应性评审、资格评审；</w:t>
            </w:r>
          </w:p>
          <w:p w14:paraId="72F7DF61">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2、详细评审（评审打分）：评标委员会首先对通过第一个信封初步评审的投标文件进行详细评审，对投标人的施工组织设计、主要人员、其他因素等分别评审打分，并按照综合得分由高到低排序，排名在招标文件规定数量</w:t>
            </w:r>
            <w:r>
              <w:rPr>
                <w:rFonts w:hint="eastAsia" w:ascii="宋体" w:hAnsi="宋体" w:eastAsia="宋体" w:cs="宋体"/>
                <w:b/>
                <w:sz w:val="22"/>
                <w:szCs w:val="22"/>
                <w:highlight w:val="none"/>
              </w:rPr>
              <w:t>前</w:t>
            </w:r>
            <w:r>
              <w:rPr>
                <w:rFonts w:hint="eastAsia" w:ascii="宋体" w:hAnsi="宋体" w:eastAsia="宋体" w:cs="宋体"/>
                <w:b/>
                <w:sz w:val="22"/>
                <w:szCs w:val="22"/>
                <w:highlight w:val="none"/>
                <w:u w:val="single"/>
              </w:rPr>
              <w:t xml:space="preserve"> 5 </w:t>
            </w:r>
            <w:r>
              <w:rPr>
                <w:rFonts w:hint="eastAsia" w:ascii="宋体" w:hAnsi="宋体" w:eastAsia="宋体" w:cs="宋体"/>
                <w:b/>
                <w:sz w:val="22"/>
                <w:szCs w:val="22"/>
                <w:highlight w:val="none"/>
              </w:rPr>
              <w:t>名</w:t>
            </w:r>
            <w:r>
              <w:rPr>
                <w:rFonts w:hint="eastAsia" w:ascii="宋体" w:hAnsi="宋体" w:eastAsia="宋体" w:cs="宋体"/>
                <w:sz w:val="22"/>
                <w:szCs w:val="22"/>
                <w:highlight w:val="none"/>
              </w:rPr>
              <w:t>（不少于3名但不足5名时，按实际数量）的投标人，其投标文件第一个信封（商务及技术文件）通过详细评审。</w:t>
            </w:r>
          </w:p>
          <w:p w14:paraId="5C4764BB">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（二）第二个信封（报价文件）：</w:t>
            </w:r>
          </w:p>
          <w:p w14:paraId="6C5A1FAE">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1、初步评审：</w:t>
            </w:r>
          </w:p>
          <w:p w14:paraId="63E045A4">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（1）只有对投标文件第一个信封通过详细评审的投标人的报价文件才能继续参加第二个信封报价文件的形式评审与响应性评审； </w:t>
            </w:r>
          </w:p>
          <w:p w14:paraId="056A47C7">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（2）报价算术性修正(如采用固化工程量清单，本步骤省略)。</w:t>
            </w:r>
          </w:p>
          <w:p w14:paraId="24777AC5">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2、详细评审：计算评标价。</w:t>
            </w:r>
          </w:p>
          <w:p w14:paraId="432A651D">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（三）投标文件相关信息的核查。</w:t>
            </w:r>
          </w:p>
          <w:p w14:paraId="190465A3">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（四）投标文件的澄清和说明（如有）</w:t>
            </w:r>
          </w:p>
          <w:p w14:paraId="27B9C9B1">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（五）按评标办法规定按照第二个信封的评标价由低到高的顺序推荐中标候选人，编写评标报告。</w:t>
            </w:r>
          </w:p>
        </w:tc>
      </w:tr>
      <w:tr w14:paraId="22C9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93" w:type="dxa"/>
            <w:gridSpan w:val="2"/>
            <w:noWrap w:val="0"/>
            <w:vAlign w:val="center"/>
          </w:tcPr>
          <w:p w14:paraId="1DAECCA4">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3.2.3</w:t>
            </w:r>
          </w:p>
        </w:tc>
        <w:tc>
          <w:tcPr>
            <w:tcW w:w="8367" w:type="dxa"/>
            <w:gridSpan w:val="7"/>
            <w:noWrap w:val="0"/>
            <w:vAlign w:val="center"/>
          </w:tcPr>
          <w:p w14:paraId="3F3CD37F">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将评标办法法本原文第3.2.3项细化如下： </w:t>
            </w:r>
          </w:p>
          <w:p w14:paraId="3D536D62">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 xml:space="preserve">投标人的商务和技术得分：A+B+C。 </w:t>
            </w:r>
          </w:p>
          <w:p w14:paraId="0B4577AF">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除履约信誉、技术能力得分外，投标文件各评分因素细分项得分均不应低于其权重分的60% ，评分低于权重分值60%的，评标委员会成员应当在评标报告中作出说明。计算投标人技术 得分时：对各评分因素细分 项中取消一个最高、一个最低分后计算算术平均值的和为投标 人的最终技术得分，平均值计算保留小数点后两位，小数点后第三位“四舍五入”。</w:t>
            </w:r>
          </w:p>
        </w:tc>
      </w:tr>
      <w:tr w14:paraId="5D86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993" w:type="dxa"/>
            <w:gridSpan w:val="2"/>
            <w:noWrap w:val="0"/>
            <w:vAlign w:val="center"/>
          </w:tcPr>
          <w:p w14:paraId="54B515E9">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3.6</w:t>
            </w:r>
          </w:p>
        </w:tc>
        <w:tc>
          <w:tcPr>
            <w:tcW w:w="8367" w:type="dxa"/>
            <w:gridSpan w:val="7"/>
            <w:noWrap w:val="0"/>
            <w:vAlign w:val="center"/>
          </w:tcPr>
          <w:p w14:paraId="104596B5">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增加3.6.3项：</w:t>
            </w:r>
          </w:p>
          <w:p w14:paraId="56455A6A">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3.6.3 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69AE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993" w:type="dxa"/>
            <w:gridSpan w:val="2"/>
            <w:noWrap w:val="0"/>
            <w:vAlign w:val="center"/>
          </w:tcPr>
          <w:p w14:paraId="51FBE411">
            <w:pPr>
              <w:spacing w:line="40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3.9</w:t>
            </w:r>
          </w:p>
        </w:tc>
        <w:tc>
          <w:tcPr>
            <w:tcW w:w="8367" w:type="dxa"/>
            <w:gridSpan w:val="7"/>
            <w:noWrap w:val="0"/>
            <w:vAlign w:val="center"/>
          </w:tcPr>
          <w:p w14:paraId="38814EF1">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增加 3.9.3-3.9.6 项：</w:t>
            </w:r>
          </w:p>
          <w:p w14:paraId="3DC067BC">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3.9.3推荐中标候选人方式：按合同段最高投标限价高低顺序依次选定各合同段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以此类推。</w:t>
            </w:r>
          </w:p>
          <w:p w14:paraId="3AB15634">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3.9.4通过第一个信封商务及技术文件评审的投标人少于3个的，评标委员应否决全部投标。</w:t>
            </w:r>
          </w:p>
          <w:p w14:paraId="087FBDDC">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3.9.5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69EAA49B">
            <w:pPr>
              <w:spacing w:line="400" w:lineRule="exact"/>
              <w:ind w:firstLine="479" w:firstLineChars="218"/>
              <w:rPr>
                <w:rFonts w:hint="eastAsia" w:ascii="宋体" w:hAnsi="宋体" w:eastAsia="宋体" w:cs="宋体"/>
                <w:sz w:val="22"/>
                <w:szCs w:val="22"/>
                <w:highlight w:val="none"/>
              </w:rPr>
            </w:pPr>
            <w:r>
              <w:rPr>
                <w:rFonts w:hint="eastAsia" w:ascii="宋体" w:hAnsi="宋体" w:eastAsia="宋体" w:cs="宋体"/>
                <w:sz w:val="22"/>
                <w:szCs w:val="22"/>
                <w:highlight w:val="none"/>
              </w:rPr>
              <w:t>3.9.6如果发生无法确定推荐中标候选人的其它意外情况，评标委员会可建议招标人重新招标。</w:t>
            </w:r>
          </w:p>
        </w:tc>
      </w:tr>
    </w:tbl>
    <w:p w14:paraId="570CA5CF">
      <w:pPr>
        <w:spacing w:before="155" w:line="360" w:lineRule="auto"/>
        <w:ind w:right="109"/>
        <w:rPr>
          <w:rFonts w:hint="eastAsia" w:ascii="宋体" w:hAnsi="宋体" w:eastAsia="宋体" w:cs="宋体"/>
          <w:b/>
          <w:bCs/>
          <w:spacing w:val="9"/>
          <w:sz w:val="21"/>
          <w:szCs w:val="21"/>
          <w:highlight w:val="none"/>
          <w:u w:val="none"/>
        </w:rPr>
      </w:pPr>
    </w:p>
    <w:p w14:paraId="7AF1467B">
      <w:pPr>
        <w:spacing w:before="155" w:line="360" w:lineRule="auto"/>
        <w:ind w:right="109"/>
        <w:rPr>
          <w:rFonts w:hint="eastAsia" w:ascii="宋体" w:hAnsi="宋体" w:eastAsia="宋体" w:cs="宋体"/>
          <w:b/>
          <w:bCs/>
          <w:spacing w:val="9"/>
          <w:sz w:val="21"/>
          <w:szCs w:val="21"/>
          <w:highlight w:val="none"/>
          <w:u w:val="none"/>
        </w:rPr>
      </w:pPr>
    </w:p>
    <w:p w14:paraId="5B9948DE">
      <w:pPr>
        <w:spacing w:before="155" w:line="360" w:lineRule="auto"/>
        <w:ind w:right="109"/>
        <w:rPr>
          <w:rFonts w:hint="eastAsia" w:ascii="宋体" w:hAnsi="宋体" w:eastAsia="宋体" w:cs="宋体"/>
          <w:b/>
          <w:bCs/>
          <w:spacing w:val="9"/>
          <w:sz w:val="21"/>
          <w:szCs w:val="21"/>
          <w:highlight w:val="none"/>
          <w:u w:val="none"/>
        </w:rPr>
      </w:pPr>
    </w:p>
    <w:p w14:paraId="6B8FD2BB">
      <w:pPr>
        <w:spacing w:before="155" w:line="360" w:lineRule="auto"/>
        <w:ind w:right="109"/>
        <w:rPr>
          <w:rFonts w:hint="eastAsia" w:ascii="宋体" w:hAnsi="宋体" w:eastAsia="宋体" w:cs="宋体"/>
          <w:b/>
          <w:bCs/>
          <w:spacing w:val="9"/>
          <w:sz w:val="21"/>
          <w:szCs w:val="21"/>
          <w:highlight w:val="none"/>
          <w:u w:val="none"/>
        </w:rPr>
      </w:pPr>
    </w:p>
    <w:p w14:paraId="3AAC0356">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1．评标方法</w:t>
      </w:r>
    </w:p>
    <w:p w14:paraId="63BBAE31">
      <w:pPr>
        <w:spacing w:before="124" w:line="370" w:lineRule="auto"/>
        <w:ind w:left="7" w:right="49" w:firstLine="421"/>
        <w:rPr>
          <w:rFonts w:hint="eastAsia" w:ascii="宋体" w:hAnsi="宋体" w:eastAsia="宋体" w:cs="宋体"/>
          <w:sz w:val="21"/>
          <w:szCs w:val="21"/>
          <w:highlight w:val="none"/>
        </w:rPr>
      </w:pPr>
      <w:r>
        <w:rPr>
          <w:rFonts w:hint="eastAsia" w:ascii="宋体" w:hAnsi="宋体" w:eastAsia="宋体" w:cs="宋体"/>
          <w:spacing w:val="20"/>
          <w:sz w:val="21"/>
          <w:szCs w:val="21"/>
          <w:highlight w:val="none"/>
        </w:rPr>
        <w:t>本次</w:t>
      </w:r>
      <w:r>
        <w:rPr>
          <w:rFonts w:hint="eastAsia" w:ascii="宋体" w:hAnsi="宋体" w:eastAsia="宋体" w:cs="宋体"/>
          <w:spacing w:val="18"/>
          <w:sz w:val="21"/>
          <w:szCs w:val="21"/>
          <w:highlight w:val="none"/>
        </w:rPr>
        <w:t>评</w:t>
      </w:r>
      <w:r>
        <w:rPr>
          <w:rFonts w:hint="eastAsia" w:ascii="宋体" w:hAnsi="宋体" w:eastAsia="宋体" w:cs="宋体"/>
          <w:spacing w:val="10"/>
          <w:sz w:val="21"/>
          <w:szCs w:val="21"/>
          <w:highlight w:val="none"/>
        </w:rPr>
        <w:t>标采用</w:t>
      </w:r>
      <w:r>
        <w:rPr>
          <w:rFonts w:hint="eastAsia" w:ascii="宋体" w:hAnsi="宋体" w:eastAsia="宋体" w:cs="宋体"/>
          <w:b/>
          <w:bCs/>
          <w:spacing w:val="10"/>
          <w:sz w:val="21"/>
          <w:szCs w:val="21"/>
          <w:highlight w:val="none"/>
        </w:rPr>
        <w:t>双信封的技术评分最低标价法</w:t>
      </w:r>
      <w:r>
        <w:rPr>
          <w:rFonts w:hint="eastAsia" w:ascii="宋体" w:hAnsi="宋体" w:eastAsia="宋体" w:cs="宋体"/>
          <w:spacing w:val="10"/>
          <w:sz w:val="21"/>
          <w:szCs w:val="21"/>
          <w:highlight w:val="none"/>
        </w:rPr>
        <w:t>。评标委员会对满足招标文件实质性要求的投标文</w:t>
      </w:r>
      <w:r>
        <w:rPr>
          <w:rFonts w:hint="eastAsia" w:ascii="宋体" w:hAnsi="宋体" w:eastAsia="宋体" w:cs="宋体"/>
          <w:spacing w:val="20"/>
          <w:sz w:val="21"/>
          <w:szCs w:val="21"/>
          <w:highlight w:val="none"/>
        </w:rPr>
        <w:t>件的施</w:t>
      </w:r>
      <w:r>
        <w:rPr>
          <w:rFonts w:hint="eastAsia" w:ascii="宋体" w:hAnsi="宋体" w:eastAsia="宋体" w:cs="宋体"/>
          <w:spacing w:val="12"/>
          <w:sz w:val="21"/>
          <w:szCs w:val="21"/>
          <w:highlight w:val="none"/>
        </w:rPr>
        <w:t>工</w:t>
      </w:r>
      <w:r>
        <w:rPr>
          <w:rFonts w:hint="eastAsia" w:ascii="宋体" w:hAnsi="宋体" w:eastAsia="宋体" w:cs="宋体"/>
          <w:spacing w:val="10"/>
          <w:sz w:val="21"/>
          <w:szCs w:val="21"/>
          <w:highlight w:val="none"/>
        </w:rPr>
        <w:t>组织设计、主要人员、技术能力等因素进行评分，按照得分由高到低排序，对排名在招标</w:t>
      </w:r>
      <w:r>
        <w:rPr>
          <w:rFonts w:hint="eastAsia" w:ascii="宋体" w:hAnsi="宋体" w:eastAsia="宋体" w:cs="宋体"/>
          <w:spacing w:val="20"/>
          <w:sz w:val="21"/>
          <w:szCs w:val="21"/>
          <w:highlight w:val="none"/>
        </w:rPr>
        <w:t>文件规</w:t>
      </w:r>
      <w:r>
        <w:rPr>
          <w:rFonts w:hint="eastAsia" w:ascii="宋体" w:hAnsi="宋体" w:eastAsia="宋体" w:cs="宋体"/>
          <w:spacing w:val="12"/>
          <w:sz w:val="21"/>
          <w:szCs w:val="21"/>
          <w:highlight w:val="none"/>
        </w:rPr>
        <w:t>定</w:t>
      </w:r>
      <w:r>
        <w:rPr>
          <w:rFonts w:hint="eastAsia" w:ascii="宋体" w:hAnsi="宋体" w:eastAsia="宋体" w:cs="宋体"/>
          <w:spacing w:val="10"/>
          <w:sz w:val="21"/>
          <w:szCs w:val="21"/>
          <w:highlight w:val="none"/>
        </w:rPr>
        <w:t>数量以内的投标人的报价文件进行评审，按照评标价由低到高的顺序推荐中标候选人，或</w:t>
      </w:r>
      <w:r>
        <w:rPr>
          <w:rFonts w:hint="eastAsia" w:ascii="宋体" w:hAnsi="宋体" w:eastAsia="宋体" w:cs="宋体"/>
          <w:spacing w:val="20"/>
          <w:sz w:val="21"/>
          <w:szCs w:val="21"/>
          <w:highlight w:val="none"/>
        </w:rPr>
        <w:t>根据招</w:t>
      </w:r>
      <w:r>
        <w:rPr>
          <w:rFonts w:hint="eastAsia" w:ascii="宋体" w:hAnsi="宋体" w:eastAsia="宋体" w:cs="宋体"/>
          <w:spacing w:val="12"/>
          <w:sz w:val="21"/>
          <w:szCs w:val="21"/>
          <w:highlight w:val="none"/>
        </w:rPr>
        <w:t>标</w:t>
      </w:r>
      <w:r>
        <w:rPr>
          <w:rFonts w:hint="eastAsia" w:ascii="宋体" w:hAnsi="宋体" w:eastAsia="宋体" w:cs="宋体"/>
          <w:spacing w:val="10"/>
          <w:sz w:val="21"/>
          <w:szCs w:val="21"/>
          <w:highlight w:val="none"/>
        </w:rPr>
        <w:t>人授权直接确定中标人，但投标报价低于其成本的除外。评标价相等时，评标委员会应按</w:t>
      </w:r>
      <w:r>
        <w:rPr>
          <w:rFonts w:hint="eastAsia" w:ascii="宋体" w:hAnsi="宋体" w:eastAsia="宋体" w:cs="宋体"/>
          <w:spacing w:val="18"/>
          <w:sz w:val="21"/>
          <w:szCs w:val="21"/>
          <w:highlight w:val="none"/>
        </w:rPr>
        <w:t>照</w:t>
      </w:r>
      <w:r>
        <w:rPr>
          <w:rFonts w:hint="eastAsia" w:ascii="宋体" w:hAnsi="宋体" w:eastAsia="宋体" w:cs="宋体"/>
          <w:spacing w:val="9"/>
          <w:sz w:val="21"/>
          <w:szCs w:val="21"/>
          <w:highlight w:val="none"/>
        </w:rPr>
        <w:t>评标办法前附表规定的优先次序推荐中标候选人或确定中标人。</w:t>
      </w:r>
    </w:p>
    <w:p w14:paraId="5CDCB3DF">
      <w:pPr>
        <w:spacing w:before="155" w:line="360" w:lineRule="auto"/>
        <w:ind w:right="109"/>
        <w:rPr>
          <w:rFonts w:hint="eastAsia" w:ascii="宋体" w:hAnsi="宋体" w:eastAsia="宋体" w:cs="宋体"/>
          <w:b/>
          <w:bCs/>
          <w:spacing w:val="9"/>
          <w:sz w:val="21"/>
          <w:szCs w:val="21"/>
          <w:highlight w:val="none"/>
          <w:u w:val="none"/>
        </w:rPr>
      </w:pPr>
      <w:bookmarkStart w:id="2" w:name="_bookmark31"/>
      <w:bookmarkEnd w:id="2"/>
      <w:r>
        <w:rPr>
          <w:rFonts w:hint="eastAsia" w:ascii="宋体" w:hAnsi="宋体" w:eastAsia="宋体" w:cs="宋体"/>
          <w:b/>
          <w:bCs/>
          <w:spacing w:val="9"/>
          <w:sz w:val="21"/>
          <w:szCs w:val="21"/>
          <w:highlight w:val="none"/>
          <w:u w:val="none"/>
        </w:rPr>
        <w:t>2.评审标准</w:t>
      </w:r>
    </w:p>
    <w:p w14:paraId="1437F063">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2.1 初步评审标准</w:t>
      </w:r>
    </w:p>
    <w:p w14:paraId="2CA02752">
      <w:pPr>
        <w:spacing w:before="153" w:line="228" w:lineRule="auto"/>
        <w:ind w:left="431"/>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2</w:t>
      </w:r>
      <w:r>
        <w:rPr>
          <w:rFonts w:hint="eastAsia" w:ascii="宋体" w:hAnsi="宋体" w:eastAsia="宋体" w:cs="宋体"/>
          <w:spacing w:val="9"/>
          <w:sz w:val="21"/>
          <w:szCs w:val="21"/>
          <w:highlight w:val="none"/>
        </w:rPr>
        <w:t>.</w:t>
      </w:r>
      <w:r>
        <w:rPr>
          <w:rFonts w:hint="eastAsia" w:ascii="宋体" w:hAnsi="宋体" w:eastAsia="宋体" w:cs="宋体"/>
          <w:spacing w:val="5"/>
          <w:sz w:val="21"/>
          <w:szCs w:val="21"/>
          <w:highlight w:val="none"/>
        </w:rPr>
        <w:t>1.1 形式评审标准：见评标办法前附表</w:t>
      </w:r>
    </w:p>
    <w:p w14:paraId="53427456">
      <w:pPr>
        <w:spacing w:before="154" w:line="227" w:lineRule="auto"/>
        <w:ind w:left="431"/>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2</w:t>
      </w:r>
      <w:r>
        <w:rPr>
          <w:rFonts w:hint="eastAsia" w:ascii="宋体" w:hAnsi="宋体" w:eastAsia="宋体" w:cs="宋体"/>
          <w:spacing w:val="9"/>
          <w:sz w:val="21"/>
          <w:szCs w:val="21"/>
          <w:highlight w:val="none"/>
        </w:rPr>
        <w:t>.</w:t>
      </w:r>
      <w:r>
        <w:rPr>
          <w:rFonts w:hint="eastAsia" w:ascii="宋体" w:hAnsi="宋体" w:eastAsia="宋体" w:cs="宋体"/>
          <w:spacing w:val="5"/>
          <w:sz w:val="21"/>
          <w:szCs w:val="21"/>
          <w:highlight w:val="none"/>
        </w:rPr>
        <w:t>1.2 资格评审标准：见评标办法前附表</w:t>
      </w:r>
    </w:p>
    <w:p w14:paraId="24D97E48">
      <w:pPr>
        <w:spacing w:before="152" w:line="229" w:lineRule="auto"/>
        <w:ind w:left="431"/>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2.</w:t>
      </w:r>
      <w:r>
        <w:rPr>
          <w:rFonts w:hint="eastAsia" w:ascii="宋体" w:hAnsi="宋体" w:eastAsia="宋体" w:cs="宋体"/>
          <w:spacing w:val="8"/>
          <w:sz w:val="21"/>
          <w:szCs w:val="21"/>
          <w:highlight w:val="none"/>
        </w:rPr>
        <w:t>1</w:t>
      </w:r>
      <w:r>
        <w:rPr>
          <w:rFonts w:hint="eastAsia" w:ascii="宋体" w:hAnsi="宋体" w:eastAsia="宋体" w:cs="宋体"/>
          <w:spacing w:val="5"/>
          <w:sz w:val="21"/>
          <w:szCs w:val="21"/>
          <w:highlight w:val="none"/>
        </w:rPr>
        <w:t>.3 响应性评审标准：见评标办法前附表</w:t>
      </w:r>
    </w:p>
    <w:p w14:paraId="75708FD6">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2.2 分值构成与评分标准</w:t>
      </w:r>
    </w:p>
    <w:p w14:paraId="39BE5E45">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2.2.1 第一个信封评分分值构成</w:t>
      </w:r>
    </w:p>
    <w:p w14:paraId="219DCB75">
      <w:pPr>
        <w:spacing w:before="151" w:line="230" w:lineRule="auto"/>
        <w:ind w:left="441"/>
        <w:rPr>
          <w:rFonts w:hint="eastAsia" w:ascii="宋体" w:hAnsi="宋体" w:eastAsia="宋体" w:cs="宋体"/>
          <w:sz w:val="21"/>
          <w:szCs w:val="21"/>
          <w:highlight w:val="none"/>
        </w:rPr>
      </w:pPr>
      <w:r>
        <w:rPr>
          <w:rFonts w:hint="eastAsia" w:ascii="宋体" w:hAnsi="宋体" w:eastAsia="宋体" w:cs="宋体"/>
          <w:spacing w:val="24"/>
          <w:sz w:val="21"/>
          <w:szCs w:val="21"/>
          <w:highlight w:val="none"/>
        </w:rPr>
        <w:t>(</w:t>
      </w:r>
      <w:r>
        <w:rPr>
          <w:rFonts w:hint="eastAsia" w:ascii="宋体" w:hAnsi="宋体" w:eastAsia="宋体" w:cs="宋体"/>
          <w:spacing w:val="13"/>
          <w:sz w:val="21"/>
          <w:szCs w:val="21"/>
          <w:highlight w:val="none"/>
        </w:rPr>
        <w:t>1</w:t>
      </w:r>
      <w:r>
        <w:rPr>
          <w:rFonts w:hint="eastAsia" w:ascii="宋体" w:hAnsi="宋体" w:eastAsia="宋体" w:cs="宋体"/>
          <w:spacing w:val="12"/>
          <w:sz w:val="21"/>
          <w:szCs w:val="21"/>
          <w:highlight w:val="none"/>
        </w:rPr>
        <w:t>) 施工组织设计：见评标办法前附表；</w:t>
      </w:r>
    </w:p>
    <w:p w14:paraId="05A19D95">
      <w:pPr>
        <w:spacing w:before="212" w:line="229" w:lineRule="auto"/>
        <w:ind w:left="438"/>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(2) 主要人员：见评标办法前附表</w:t>
      </w:r>
      <w:r>
        <w:rPr>
          <w:rFonts w:hint="eastAsia" w:ascii="宋体" w:hAnsi="宋体" w:eastAsia="宋体" w:cs="宋体"/>
          <w:spacing w:val="12"/>
          <w:sz w:val="21"/>
          <w:szCs w:val="21"/>
          <w:highlight w:val="none"/>
        </w:rPr>
        <w:t>；</w:t>
      </w:r>
    </w:p>
    <w:p w14:paraId="074BA884">
      <w:pPr>
        <w:spacing w:before="143" w:line="226" w:lineRule="auto"/>
        <w:ind w:left="441"/>
        <w:rPr>
          <w:rFonts w:hint="eastAsia" w:ascii="宋体" w:hAnsi="宋体" w:eastAsia="宋体" w:cs="宋体"/>
          <w:sz w:val="21"/>
          <w:szCs w:val="21"/>
          <w:highlight w:val="none"/>
        </w:rPr>
      </w:pPr>
      <w:r>
        <w:rPr>
          <w:rFonts w:hint="eastAsia" w:ascii="宋体" w:hAnsi="宋体" w:eastAsia="宋体" w:cs="宋体"/>
          <w:spacing w:val="24"/>
          <w:sz w:val="21"/>
          <w:szCs w:val="21"/>
          <w:highlight w:val="none"/>
        </w:rPr>
        <w:t>(</w:t>
      </w:r>
      <w:r>
        <w:rPr>
          <w:rFonts w:hint="eastAsia" w:ascii="宋体" w:hAnsi="宋体" w:eastAsia="宋体" w:cs="宋体"/>
          <w:spacing w:val="13"/>
          <w:sz w:val="21"/>
          <w:szCs w:val="21"/>
          <w:highlight w:val="none"/>
        </w:rPr>
        <w:t>3</w:t>
      </w:r>
      <w:r>
        <w:rPr>
          <w:rFonts w:hint="eastAsia" w:ascii="宋体" w:hAnsi="宋体" w:eastAsia="宋体" w:cs="宋体"/>
          <w:spacing w:val="12"/>
          <w:sz w:val="21"/>
          <w:szCs w:val="21"/>
          <w:highlight w:val="none"/>
        </w:rPr>
        <w:t>) 其他评分因素：见评标办法前附表。</w:t>
      </w:r>
    </w:p>
    <w:p w14:paraId="5A86FCAC">
      <w:pPr>
        <w:spacing w:before="156" w:line="227" w:lineRule="auto"/>
        <w:ind w:left="427"/>
        <w:rPr>
          <w:rFonts w:hint="eastAsia" w:ascii="宋体" w:hAnsi="宋体" w:eastAsia="宋体" w:cs="宋体"/>
          <w:sz w:val="21"/>
          <w:szCs w:val="21"/>
          <w:highlight w:val="none"/>
        </w:rPr>
      </w:pPr>
      <w:r>
        <w:rPr>
          <w:rFonts w:hint="eastAsia" w:ascii="宋体" w:hAnsi="宋体" w:eastAsia="宋体" w:cs="宋体"/>
          <w:spacing w:val="17"/>
          <w:sz w:val="21"/>
          <w:szCs w:val="21"/>
          <w:highlight w:val="none"/>
        </w:rPr>
        <w:t>评</w:t>
      </w:r>
      <w:r>
        <w:rPr>
          <w:rFonts w:hint="eastAsia" w:ascii="宋体" w:hAnsi="宋体" w:eastAsia="宋体" w:cs="宋体"/>
          <w:spacing w:val="9"/>
          <w:sz w:val="21"/>
          <w:szCs w:val="21"/>
          <w:highlight w:val="none"/>
        </w:rPr>
        <w:t>标基准价计算方法：见评标办法前附表</w:t>
      </w:r>
    </w:p>
    <w:p w14:paraId="272C1C1F">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2.2.2 第一个信封评分评分标准</w:t>
      </w:r>
    </w:p>
    <w:p w14:paraId="6AB06529">
      <w:pPr>
        <w:spacing w:before="153" w:line="229" w:lineRule="auto"/>
        <w:ind w:left="441"/>
        <w:rPr>
          <w:rFonts w:hint="eastAsia" w:ascii="宋体" w:hAnsi="宋体" w:eastAsia="宋体" w:cs="宋体"/>
          <w:sz w:val="21"/>
          <w:szCs w:val="21"/>
          <w:highlight w:val="none"/>
        </w:rPr>
      </w:pPr>
      <w:r>
        <w:rPr>
          <w:rFonts w:hint="eastAsia" w:ascii="宋体" w:hAnsi="宋体" w:eastAsia="宋体" w:cs="宋体"/>
          <w:spacing w:val="20"/>
          <w:sz w:val="21"/>
          <w:szCs w:val="21"/>
          <w:highlight w:val="none"/>
        </w:rPr>
        <w:t>(</w:t>
      </w:r>
      <w:r>
        <w:rPr>
          <w:rFonts w:hint="eastAsia" w:ascii="宋体" w:hAnsi="宋体" w:eastAsia="宋体" w:cs="宋体"/>
          <w:spacing w:val="12"/>
          <w:sz w:val="21"/>
          <w:szCs w:val="21"/>
          <w:highlight w:val="none"/>
        </w:rPr>
        <w:t>1) 施工组织设计评分标准：见评标办法前附表；</w:t>
      </w:r>
    </w:p>
    <w:p w14:paraId="61C5A7F5">
      <w:pPr>
        <w:spacing w:before="153" w:line="229" w:lineRule="auto"/>
        <w:ind w:left="441"/>
        <w:rPr>
          <w:rFonts w:hint="eastAsia" w:ascii="宋体" w:hAnsi="宋体" w:eastAsia="宋体" w:cs="宋体"/>
          <w:sz w:val="21"/>
          <w:szCs w:val="21"/>
          <w:highlight w:val="none"/>
        </w:rPr>
      </w:pPr>
      <w:r>
        <w:rPr>
          <w:rFonts w:hint="eastAsia" w:ascii="宋体" w:hAnsi="宋体" w:eastAsia="宋体" w:cs="宋体"/>
          <w:spacing w:val="21"/>
          <w:sz w:val="21"/>
          <w:szCs w:val="21"/>
          <w:highlight w:val="none"/>
        </w:rPr>
        <w:t>(</w:t>
      </w:r>
      <w:r>
        <w:rPr>
          <w:rFonts w:hint="eastAsia" w:ascii="宋体" w:hAnsi="宋体" w:eastAsia="宋体" w:cs="宋体"/>
          <w:spacing w:val="12"/>
          <w:sz w:val="21"/>
          <w:szCs w:val="21"/>
          <w:highlight w:val="none"/>
        </w:rPr>
        <w:t>2) 主要人员评分标准：见评标办法前附表；</w:t>
      </w:r>
    </w:p>
    <w:p w14:paraId="7EDD0DE8">
      <w:pPr>
        <w:spacing w:before="150" w:line="226" w:lineRule="auto"/>
        <w:ind w:left="441"/>
        <w:rPr>
          <w:rFonts w:hint="eastAsia" w:ascii="宋体" w:hAnsi="宋体" w:eastAsia="宋体" w:cs="宋体"/>
          <w:sz w:val="21"/>
          <w:szCs w:val="21"/>
          <w:highlight w:val="none"/>
        </w:rPr>
      </w:pPr>
      <w:r>
        <w:rPr>
          <w:rFonts w:hint="eastAsia" w:ascii="宋体" w:hAnsi="宋体" w:eastAsia="宋体" w:cs="宋体"/>
          <w:spacing w:val="21"/>
          <w:sz w:val="21"/>
          <w:szCs w:val="21"/>
          <w:highlight w:val="none"/>
        </w:rPr>
        <w:t>(</w:t>
      </w:r>
      <w:r>
        <w:rPr>
          <w:rFonts w:hint="eastAsia" w:ascii="宋体" w:hAnsi="宋体" w:eastAsia="宋体" w:cs="宋体"/>
          <w:spacing w:val="12"/>
          <w:sz w:val="21"/>
          <w:szCs w:val="21"/>
          <w:highlight w:val="none"/>
        </w:rPr>
        <w:t>3) 其他因素评分标准：见评标办法前附表。</w:t>
      </w:r>
    </w:p>
    <w:p w14:paraId="33F2CE4C">
      <w:pPr>
        <w:spacing w:before="157" w:line="228" w:lineRule="auto"/>
        <w:ind w:left="431"/>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2</w:t>
      </w:r>
      <w:r>
        <w:rPr>
          <w:rFonts w:hint="eastAsia" w:ascii="宋体" w:hAnsi="宋体" w:eastAsia="宋体" w:cs="宋体"/>
          <w:spacing w:val="7"/>
          <w:sz w:val="21"/>
          <w:szCs w:val="21"/>
          <w:highlight w:val="none"/>
        </w:rPr>
        <w:t>.</w:t>
      </w:r>
      <w:r>
        <w:rPr>
          <w:rFonts w:hint="eastAsia" w:ascii="宋体" w:hAnsi="宋体" w:eastAsia="宋体" w:cs="宋体"/>
          <w:spacing w:val="6"/>
          <w:sz w:val="21"/>
          <w:szCs w:val="21"/>
          <w:highlight w:val="none"/>
        </w:rPr>
        <w:t>2.3 第二个信封详细评审标准：见评标办法前附表</w:t>
      </w:r>
    </w:p>
    <w:p w14:paraId="41EDF143">
      <w:pPr>
        <w:spacing w:before="155" w:line="360" w:lineRule="auto"/>
        <w:ind w:right="109"/>
        <w:rPr>
          <w:rFonts w:hint="eastAsia" w:ascii="宋体" w:hAnsi="宋体" w:eastAsia="宋体" w:cs="宋体"/>
          <w:b/>
          <w:bCs/>
          <w:spacing w:val="9"/>
          <w:sz w:val="21"/>
          <w:szCs w:val="21"/>
          <w:highlight w:val="none"/>
          <w:u w:val="none"/>
        </w:rPr>
      </w:pPr>
      <w:bookmarkStart w:id="3" w:name="_bookmark32"/>
      <w:bookmarkEnd w:id="3"/>
      <w:r>
        <w:rPr>
          <w:rFonts w:hint="eastAsia" w:ascii="宋体" w:hAnsi="宋体" w:eastAsia="宋体" w:cs="宋体"/>
          <w:b/>
          <w:bCs/>
          <w:spacing w:val="9"/>
          <w:sz w:val="21"/>
          <w:szCs w:val="21"/>
          <w:highlight w:val="none"/>
          <w:u w:val="none"/>
        </w:rPr>
        <w:t>3.评标程序</w:t>
      </w:r>
    </w:p>
    <w:p w14:paraId="2FD75A54">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3.1 第一个信封初步评审</w:t>
      </w:r>
    </w:p>
    <w:p w14:paraId="78C2760B">
      <w:pPr>
        <w:spacing w:before="154" w:line="369" w:lineRule="auto"/>
        <w:ind w:left="7" w:right="121" w:firstLine="530"/>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3.1.1 评</w:t>
      </w:r>
      <w:r>
        <w:rPr>
          <w:rFonts w:hint="eastAsia" w:ascii="宋体" w:hAnsi="宋体" w:eastAsia="宋体" w:cs="宋体"/>
          <w:spacing w:val="1"/>
          <w:sz w:val="21"/>
          <w:szCs w:val="21"/>
          <w:highlight w:val="none"/>
        </w:rPr>
        <w:t>标委员会可以要求投标人提交第二章“投标人须知”第 3.5.1 项至第 3.5.6 项规定的</w:t>
      </w:r>
      <w:r>
        <w:rPr>
          <w:rFonts w:hint="eastAsia" w:ascii="宋体" w:hAnsi="宋体" w:eastAsia="宋体" w:cs="宋体"/>
          <w:spacing w:val="12"/>
          <w:sz w:val="21"/>
          <w:szCs w:val="21"/>
          <w:highlight w:val="none"/>
        </w:rPr>
        <w:t>有关</w:t>
      </w:r>
      <w:r>
        <w:rPr>
          <w:rFonts w:hint="eastAsia" w:ascii="宋体" w:hAnsi="宋体" w:eastAsia="宋体" w:cs="宋体"/>
          <w:spacing w:val="8"/>
          <w:sz w:val="21"/>
          <w:szCs w:val="21"/>
          <w:highlight w:val="none"/>
        </w:rPr>
        <w:t>证</w:t>
      </w:r>
      <w:r>
        <w:rPr>
          <w:rFonts w:hint="eastAsia" w:ascii="宋体" w:hAnsi="宋体" w:eastAsia="宋体" w:cs="宋体"/>
          <w:spacing w:val="6"/>
          <w:sz w:val="21"/>
          <w:szCs w:val="21"/>
          <w:highlight w:val="none"/>
        </w:rPr>
        <w:t>明和证件的原件，以便核验。评标委员会依据本章第 2.1 款规定的标准对投标文件第一个信</w:t>
      </w:r>
      <w:r>
        <w:rPr>
          <w:rFonts w:hint="eastAsia" w:ascii="宋体" w:hAnsi="宋体" w:eastAsia="宋体" w:cs="宋体"/>
          <w:spacing w:val="12"/>
          <w:sz w:val="21"/>
          <w:szCs w:val="21"/>
          <w:highlight w:val="none"/>
        </w:rPr>
        <w:t>封</w:t>
      </w:r>
      <w:r>
        <w:rPr>
          <w:rFonts w:hint="eastAsia" w:ascii="宋体" w:hAnsi="宋体" w:eastAsia="宋体" w:cs="宋体"/>
          <w:spacing w:val="9"/>
          <w:sz w:val="21"/>
          <w:szCs w:val="21"/>
          <w:highlight w:val="none"/>
        </w:rPr>
        <w:t xml:space="preserve"> (商务及技术文件) 进行初步评审。有一项不符合评审标准的，评标委员会应否决其投标。</w:t>
      </w:r>
    </w:p>
    <w:p w14:paraId="7445A84C">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3.2 第一个信封详细评审</w:t>
      </w:r>
    </w:p>
    <w:p w14:paraId="39AFEF23">
      <w:pPr>
        <w:spacing w:before="153" w:line="369" w:lineRule="auto"/>
        <w:ind w:left="10" w:right="51" w:firstLine="568"/>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3.</w:t>
      </w:r>
      <w:r>
        <w:rPr>
          <w:rFonts w:hint="eastAsia" w:ascii="宋体" w:hAnsi="宋体" w:eastAsia="宋体" w:cs="宋体"/>
          <w:spacing w:val="12"/>
          <w:sz w:val="21"/>
          <w:szCs w:val="21"/>
          <w:highlight w:val="none"/>
        </w:rPr>
        <w:t>2</w:t>
      </w:r>
      <w:r>
        <w:rPr>
          <w:rFonts w:hint="eastAsia" w:ascii="宋体" w:hAnsi="宋体" w:eastAsia="宋体" w:cs="宋体"/>
          <w:spacing w:val="8"/>
          <w:sz w:val="21"/>
          <w:szCs w:val="21"/>
          <w:highlight w:val="none"/>
        </w:rPr>
        <w:t>.1 评标委员会按本章第 2.2 款规定的量化因素和分值进行打分，并计算出各投标人的商务和技术得</w:t>
      </w:r>
      <w:r>
        <w:rPr>
          <w:rFonts w:hint="eastAsia" w:ascii="宋体" w:hAnsi="宋体" w:eastAsia="宋体" w:cs="宋体"/>
          <w:spacing w:val="7"/>
          <w:sz w:val="21"/>
          <w:szCs w:val="21"/>
          <w:highlight w:val="none"/>
        </w:rPr>
        <w:t>分</w:t>
      </w:r>
    </w:p>
    <w:p w14:paraId="716FBCB3">
      <w:pPr>
        <w:spacing w:before="153" w:line="369" w:lineRule="auto"/>
        <w:ind w:left="10" w:right="51" w:firstLine="568"/>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(1) 按本章第 2.2.2 项 (1) 目规定的评审因素和分值对施工组织设计部分计算出得分 A；</w:t>
      </w:r>
    </w:p>
    <w:p w14:paraId="04977462">
      <w:pPr>
        <w:spacing w:before="154" w:line="228" w:lineRule="auto"/>
        <w:ind w:left="585"/>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w:t>
      </w:r>
      <w:r>
        <w:rPr>
          <w:rFonts w:hint="eastAsia" w:ascii="宋体" w:hAnsi="宋体" w:eastAsia="宋体" w:cs="宋体"/>
          <w:spacing w:val="11"/>
          <w:sz w:val="21"/>
          <w:szCs w:val="21"/>
          <w:highlight w:val="none"/>
        </w:rPr>
        <w:t>2) 按本章第 2.2.2 项 (2) 目规定的评审因素和分值对主要人员部分计算出得分</w:t>
      </w:r>
      <w:r>
        <w:rPr>
          <w:rFonts w:hint="eastAsia" w:ascii="宋体" w:hAnsi="宋体" w:eastAsia="宋体" w:cs="宋体"/>
          <w:sz w:val="21"/>
          <w:szCs w:val="21"/>
          <w:highlight w:val="none"/>
        </w:rPr>
        <w:t>B</w:t>
      </w:r>
      <w:r>
        <w:rPr>
          <w:rFonts w:hint="eastAsia" w:ascii="宋体" w:hAnsi="宋体" w:eastAsia="宋体" w:cs="宋体"/>
          <w:spacing w:val="11"/>
          <w:sz w:val="21"/>
          <w:szCs w:val="21"/>
          <w:highlight w:val="none"/>
        </w:rPr>
        <w:t>；</w:t>
      </w:r>
    </w:p>
    <w:p w14:paraId="0281A15A">
      <w:pPr>
        <w:spacing w:before="152" w:line="226" w:lineRule="auto"/>
        <w:ind w:left="585"/>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(3)</w:t>
      </w:r>
      <w:r>
        <w:rPr>
          <w:rFonts w:hint="eastAsia" w:ascii="宋体" w:hAnsi="宋体" w:eastAsia="宋体" w:cs="宋体"/>
          <w:spacing w:val="14"/>
          <w:sz w:val="21"/>
          <w:szCs w:val="21"/>
          <w:highlight w:val="none"/>
        </w:rPr>
        <w:t xml:space="preserve"> </w:t>
      </w:r>
      <w:r>
        <w:rPr>
          <w:rFonts w:hint="eastAsia" w:ascii="宋体" w:hAnsi="宋体" w:eastAsia="宋体" w:cs="宋体"/>
          <w:spacing w:val="8"/>
          <w:sz w:val="21"/>
          <w:szCs w:val="21"/>
          <w:highlight w:val="none"/>
        </w:rPr>
        <w:t xml:space="preserve">按本章第 2.2.2 项 (3) 目规定的评审因素和分值对其他部分计算出得分 </w:t>
      </w:r>
      <w:r>
        <w:rPr>
          <w:rFonts w:hint="eastAsia" w:ascii="宋体" w:hAnsi="宋体" w:eastAsia="宋体" w:cs="宋体"/>
          <w:sz w:val="21"/>
          <w:szCs w:val="21"/>
          <w:highlight w:val="none"/>
        </w:rPr>
        <w:t>C</w:t>
      </w:r>
      <w:r>
        <w:rPr>
          <w:rFonts w:hint="eastAsia" w:ascii="宋体" w:hAnsi="宋体" w:eastAsia="宋体" w:cs="宋体"/>
          <w:spacing w:val="8"/>
          <w:sz w:val="21"/>
          <w:szCs w:val="21"/>
          <w:highlight w:val="none"/>
        </w:rPr>
        <w:t>。</w:t>
      </w:r>
    </w:p>
    <w:p w14:paraId="46472791">
      <w:pPr>
        <w:spacing w:before="153" w:line="369" w:lineRule="auto"/>
        <w:ind w:left="10" w:right="51" w:firstLine="568"/>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3.2.2 投标人的商务和技术得分分值计算保留小数点后两位，小数点后第三位“四舍五入”。</w:t>
      </w:r>
    </w:p>
    <w:p w14:paraId="5EBB1359">
      <w:pPr>
        <w:spacing w:before="153" w:line="369" w:lineRule="auto"/>
        <w:ind w:left="10" w:right="51" w:firstLine="568"/>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3.2.3 投标人的商务和技术得分=</w:t>
      </w:r>
      <w:r>
        <w:rPr>
          <w:rFonts w:hint="eastAsia" w:ascii="宋体" w:hAnsi="宋体" w:eastAsia="宋体" w:cs="宋体"/>
          <w:sz w:val="21"/>
          <w:szCs w:val="21"/>
          <w:highlight w:val="none"/>
        </w:rPr>
        <w:t>A</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rPr>
        <w:t>B</w:t>
      </w:r>
      <w:r>
        <w:rPr>
          <w:rFonts w:hint="eastAsia" w:ascii="宋体" w:hAnsi="宋体" w:eastAsia="宋体" w:cs="宋体"/>
          <w:spacing w:val="5"/>
          <w:sz w:val="21"/>
          <w:szCs w:val="21"/>
          <w:highlight w:val="none"/>
        </w:rPr>
        <w:t>+</w:t>
      </w:r>
      <w:r>
        <w:rPr>
          <w:rFonts w:hint="eastAsia" w:ascii="宋体" w:hAnsi="宋体" w:eastAsia="宋体" w:cs="宋体"/>
          <w:sz w:val="21"/>
          <w:szCs w:val="21"/>
          <w:highlight w:val="none"/>
        </w:rPr>
        <w:t>C</w:t>
      </w:r>
      <w:r>
        <w:rPr>
          <w:rFonts w:hint="eastAsia" w:ascii="宋体" w:hAnsi="宋体" w:eastAsia="宋体" w:cs="宋体"/>
          <w:spacing w:val="4"/>
          <w:sz w:val="21"/>
          <w:szCs w:val="21"/>
          <w:highlight w:val="none"/>
        </w:rPr>
        <w:t>。</w:t>
      </w:r>
    </w:p>
    <w:p w14:paraId="7B826965">
      <w:pPr>
        <w:spacing w:before="65" w:line="369" w:lineRule="auto"/>
        <w:ind w:left="8" w:right="71" w:firstLine="570"/>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3.2.</w:t>
      </w:r>
      <w:r>
        <w:rPr>
          <w:rFonts w:hint="eastAsia" w:ascii="宋体" w:hAnsi="宋体" w:eastAsia="宋体" w:cs="宋体"/>
          <w:spacing w:val="6"/>
          <w:sz w:val="21"/>
          <w:szCs w:val="21"/>
          <w:highlight w:val="none"/>
        </w:rPr>
        <w:t>4 评标委员会按照投标人的商务和技术得分由高到低排序，排名在评标办法前附表规定数</w:t>
      </w:r>
      <w:r>
        <w:rPr>
          <w:rFonts w:hint="eastAsia" w:ascii="宋体" w:hAnsi="宋体" w:eastAsia="宋体" w:cs="宋体"/>
          <w:spacing w:val="9"/>
          <w:sz w:val="21"/>
          <w:szCs w:val="21"/>
          <w:highlight w:val="none"/>
        </w:rPr>
        <w:t>量以内的投标人，其投标文件第一个信封(商务及技术文件)通过详细评审</w:t>
      </w:r>
      <w:r>
        <w:rPr>
          <w:rFonts w:hint="eastAsia" w:ascii="宋体" w:hAnsi="宋体" w:eastAsia="宋体" w:cs="宋体"/>
          <w:spacing w:val="5"/>
          <w:sz w:val="21"/>
          <w:szCs w:val="21"/>
          <w:highlight w:val="none"/>
        </w:rPr>
        <w:t>。</w:t>
      </w:r>
    </w:p>
    <w:p w14:paraId="72965DB4">
      <w:pPr>
        <w:spacing w:line="369" w:lineRule="auto"/>
        <w:ind w:left="9" w:right="71" w:firstLine="569"/>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 xml:space="preserve">3.2.5 </w:t>
      </w:r>
      <w:r>
        <w:rPr>
          <w:rFonts w:hint="eastAsia" w:ascii="宋体" w:hAnsi="宋体" w:eastAsia="宋体" w:cs="宋体"/>
          <w:spacing w:val="8"/>
          <w:sz w:val="21"/>
          <w:szCs w:val="21"/>
          <w:highlight w:val="none"/>
        </w:rPr>
        <w:t>通过投标文件第一个信封(商务及技术文件)初步评审的投标人不少于 3 个且未超过评标办法前附表第 3.2.4 项规定数量的，均通过投标文件第一个信封(商务及技术文件)详细评审，不再对投标人的商务和技术文件进行评分。</w:t>
      </w:r>
    </w:p>
    <w:p w14:paraId="6B125BF3">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3.3 第二个信封开标</w:t>
      </w:r>
    </w:p>
    <w:p w14:paraId="4AFF3A85">
      <w:pPr>
        <w:spacing w:before="154" w:line="369" w:lineRule="auto"/>
        <w:ind w:left="9" w:right="141" w:firstLine="419"/>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第</w:t>
      </w:r>
      <w:r>
        <w:rPr>
          <w:rFonts w:hint="eastAsia" w:ascii="宋体" w:hAnsi="宋体" w:eastAsia="宋体" w:cs="宋体"/>
          <w:spacing w:val="8"/>
          <w:sz w:val="21"/>
          <w:szCs w:val="21"/>
          <w:highlight w:val="none"/>
        </w:rPr>
        <w:t>一个信封(商务及技术文件)评审结束后，招标人将按照第二章“投标人须知”第 5.1 款</w:t>
      </w:r>
      <w:r>
        <w:rPr>
          <w:rFonts w:hint="eastAsia" w:ascii="宋体" w:hAnsi="宋体" w:eastAsia="宋体" w:cs="宋体"/>
          <w:spacing w:val="16"/>
          <w:sz w:val="21"/>
          <w:szCs w:val="21"/>
          <w:highlight w:val="none"/>
        </w:rPr>
        <w:t>规定</w:t>
      </w:r>
      <w:r>
        <w:rPr>
          <w:rFonts w:hint="eastAsia" w:ascii="宋体" w:hAnsi="宋体" w:eastAsia="宋体" w:cs="宋体"/>
          <w:spacing w:val="12"/>
          <w:sz w:val="21"/>
          <w:szCs w:val="21"/>
          <w:highlight w:val="none"/>
        </w:rPr>
        <w:t>的</w:t>
      </w:r>
      <w:r>
        <w:rPr>
          <w:rFonts w:hint="eastAsia" w:ascii="宋体" w:hAnsi="宋体" w:eastAsia="宋体" w:cs="宋体"/>
          <w:spacing w:val="8"/>
          <w:sz w:val="21"/>
          <w:szCs w:val="21"/>
          <w:highlight w:val="none"/>
        </w:rPr>
        <w:t>时间和地点对通过投标文件第一个信封(商务及技术文件)评审的投标文件第二个信封(报</w:t>
      </w:r>
      <w:r>
        <w:rPr>
          <w:rFonts w:hint="eastAsia" w:ascii="宋体" w:hAnsi="宋体" w:eastAsia="宋体" w:cs="宋体"/>
          <w:sz w:val="21"/>
          <w:szCs w:val="21"/>
          <w:highlight w:val="none"/>
        </w:rPr>
        <w:t xml:space="preserve"> </w:t>
      </w:r>
      <w:r>
        <w:rPr>
          <w:rFonts w:hint="eastAsia" w:ascii="宋体" w:hAnsi="宋体" w:eastAsia="宋体" w:cs="宋体"/>
          <w:spacing w:val="7"/>
          <w:sz w:val="21"/>
          <w:szCs w:val="21"/>
          <w:highlight w:val="none"/>
        </w:rPr>
        <w:t>价文件)进行开标</w:t>
      </w:r>
      <w:r>
        <w:rPr>
          <w:rFonts w:hint="eastAsia" w:ascii="宋体" w:hAnsi="宋体" w:eastAsia="宋体" w:cs="宋体"/>
          <w:spacing w:val="5"/>
          <w:sz w:val="21"/>
          <w:szCs w:val="21"/>
          <w:highlight w:val="none"/>
        </w:rPr>
        <w:t>。</w:t>
      </w:r>
    </w:p>
    <w:p w14:paraId="7381EC65">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3.4 第二个信封初步评审</w:t>
      </w:r>
    </w:p>
    <w:p w14:paraId="05B59C7F">
      <w:pPr>
        <w:spacing w:before="150" w:line="370" w:lineRule="auto"/>
        <w:ind w:left="18" w:right="71" w:firstLine="414"/>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3.4</w:t>
      </w:r>
      <w:r>
        <w:rPr>
          <w:rFonts w:hint="eastAsia" w:ascii="宋体" w:hAnsi="宋体" w:eastAsia="宋体" w:cs="宋体"/>
          <w:spacing w:val="10"/>
          <w:sz w:val="21"/>
          <w:szCs w:val="21"/>
          <w:highlight w:val="none"/>
        </w:rPr>
        <w:t>.</w:t>
      </w:r>
      <w:r>
        <w:rPr>
          <w:rFonts w:hint="eastAsia" w:ascii="宋体" w:hAnsi="宋体" w:eastAsia="宋体" w:cs="宋体"/>
          <w:spacing w:val="8"/>
          <w:sz w:val="21"/>
          <w:szCs w:val="21"/>
          <w:highlight w:val="none"/>
        </w:rPr>
        <w:t>1 评标委员会依据本章第 2.1.1 项、第 2.1.3 项规定的评审标准对投标文件第二个信封</w:t>
      </w:r>
      <w:r>
        <w:rPr>
          <w:rFonts w:hint="eastAsia" w:ascii="宋体" w:hAnsi="宋体" w:eastAsia="宋体" w:cs="宋体"/>
          <w:sz w:val="21"/>
          <w:szCs w:val="21"/>
          <w:highlight w:val="none"/>
        </w:rPr>
        <w:t xml:space="preserve"> </w:t>
      </w:r>
      <w:r>
        <w:rPr>
          <w:rFonts w:hint="eastAsia" w:ascii="宋体" w:hAnsi="宋体" w:eastAsia="宋体" w:cs="宋体"/>
          <w:spacing w:val="22"/>
          <w:sz w:val="21"/>
          <w:szCs w:val="21"/>
          <w:highlight w:val="none"/>
        </w:rPr>
        <w:t>(</w:t>
      </w:r>
      <w:r>
        <w:rPr>
          <w:rFonts w:hint="eastAsia" w:ascii="宋体" w:hAnsi="宋体" w:eastAsia="宋体" w:cs="宋体"/>
          <w:spacing w:val="21"/>
          <w:sz w:val="21"/>
          <w:szCs w:val="21"/>
          <w:highlight w:val="none"/>
        </w:rPr>
        <w:t>报</w:t>
      </w:r>
      <w:r>
        <w:rPr>
          <w:rFonts w:hint="eastAsia" w:ascii="宋体" w:hAnsi="宋体" w:eastAsia="宋体" w:cs="宋体"/>
          <w:spacing w:val="11"/>
          <w:sz w:val="21"/>
          <w:szCs w:val="21"/>
          <w:highlight w:val="none"/>
        </w:rPr>
        <w:t>价文件) 进行初步评审。有一项不符合评审标准的，评标委员会应否决其投标。</w:t>
      </w:r>
    </w:p>
    <w:p w14:paraId="685CA83C">
      <w:pPr>
        <w:spacing w:before="2" w:line="369" w:lineRule="auto"/>
        <w:ind w:left="9" w:right="69" w:firstLine="423"/>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3.4.2 投标报价有算术错误的，评标委员会按以下原则对投标报价进行修正，修正的价格经</w:t>
      </w:r>
      <w:r>
        <w:rPr>
          <w:rFonts w:hint="eastAsia" w:ascii="宋体" w:hAnsi="宋体" w:eastAsia="宋体" w:cs="宋体"/>
          <w:spacing w:val="4"/>
          <w:sz w:val="21"/>
          <w:szCs w:val="21"/>
          <w:highlight w:val="none"/>
        </w:rPr>
        <w:t>投</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标人书面确认后具有约束力。投标人不接受修正价格的，评标委员会应否决其投标。(如本项目招</w:t>
      </w:r>
      <w:r>
        <w:rPr>
          <w:rFonts w:hint="eastAsia" w:ascii="宋体" w:hAnsi="宋体" w:eastAsia="宋体" w:cs="宋体"/>
          <w:spacing w:val="20"/>
          <w:sz w:val="21"/>
          <w:szCs w:val="21"/>
          <w:highlight w:val="none"/>
        </w:rPr>
        <w:t>标由投</w:t>
      </w:r>
      <w:r>
        <w:rPr>
          <w:rFonts w:hint="eastAsia" w:ascii="宋体" w:hAnsi="宋体" w:eastAsia="宋体" w:cs="宋体"/>
          <w:spacing w:val="10"/>
          <w:sz w:val="21"/>
          <w:szCs w:val="21"/>
          <w:highlight w:val="none"/>
        </w:rPr>
        <w:t>标人按照招标人提供的书面工程量清单填写本合同各工程子目的单价、合价和总额价，则评标</w:t>
      </w:r>
      <w:r>
        <w:rPr>
          <w:rFonts w:hint="eastAsia" w:ascii="宋体" w:hAnsi="宋体" w:eastAsia="宋体" w:cs="宋体"/>
          <w:spacing w:val="5"/>
          <w:sz w:val="21"/>
          <w:szCs w:val="21"/>
          <w:highlight w:val="none"/>
        </w:rPr>
        <w:t>委员会按照本章第 3.4.2 项和第 3.4.3 项的规定对投标人的投标报价进行修正。如本项目招标由</w:t>
      </w:r>
      <w:r>
        <w:rPr>
          <w:rFonts w:hint="eastAsia" w:ascii="宋体" w:hAnsi="宋体" w:eastAsia="宋体" w:cs="宋体"/>
          <w:spacing w:val="7"/>
          <w:sz w:val="21"/>
          <w:szCs w:val="21"/>
          <w:highlight w:val="none"/>
        </w:rPr>
        <w:t>投标人按照招标人提供的工程量固化清单电子文件填写工程量清单，无须按照本章第 3.4.2 项</w:t>
      </w:r>
      <w:r>
        <w:rPr>
          <w:rFonts w:hint="eastAsia" w:ascii="宋体" w:hAnsi="宋体" w:eastAsia="宋体" w:cs="宋体"/>
          <w:spacing w:val="4"/>
          <w:sz w:val="21"/>
          <w:szCs w:val="21"/>
          <w:highlight w:val="none"/>
        </w:rPr>
        <w:t>和</w:t>
      </w:r>
      <w:r>
        <w:rPr>
          <w:rFonts w:hint="eastAsia" w:ascii="宋体" w:hAnsi="宋体" w:eastAsia="宋体" w:cs="宋体"/>
          <w:sz w:val="21"/>
          <w:szCs w:val="21"/>
          <w:highlight w:val="none"/>
        </w:rPr>
        <w:t xml:space="preserve">第 </w:t>
      </w:r>
      <w:r>
        <w:rPr>
          <w:rFonts w:hint="eastAsia" w:ascii="宋体" w:hAnsi="宋体" w:eastAsia="宋体" w:cs="宋体"/>
          <w:spacing w:val="4"/>
          <w:sz w:val="21"/>
          <w:szCs w:val="21"/>
          <w:highlight w:val="none"/>
        </w:rPr>
        <w:t>3.4.3 项</w:t>
      </w:r>
      <w:r>
        <w:rPr>
          <w:rFonts w:hint="eastAsia" w:ascii="宋体" w:hAnsi="宋体" w:eastAsia="宋体" w:cs="宋体"/>
          <w:spacing w:val="2"/>
          <w:sz w:val="21"/>
          <w:szCs w:val="21"/>
          <w:highlight w:val="none"/>
        </w:rPr>
        <w:t>的规定对投标报价进行修正，第 3.4.2 项至第 3.4.4 项内容不适用。)</w:t>
      </w:r>
    </w:p>
    <w:p w14:paraId="688B58D7">
      <w:pPr>
        <w:spacing w:before="1" w:line="226" w:lineRule="auto"/>
        <w:ind w:left="438"/>
        <w:rPr>
          <w:rFonts w:hint="eastAsia" w:ascii="宋体" w:hAnsi="宋体" w:eastAsia="宋体" w:cs="宋体"/>
          <w:sz w:val="21"/>
          <w:szCs w:val="21"/>
          <w:highlight w:val="none"/>
        </w:rPr>
      </w:pPr>
      <w:r>
        <w:rPr>
          <w:rFonts w:hint="eastAsia" w:ascii="宋体" w:hAnsi="宋体" w:eastAsia="宋体" w:cs="宋体"/>
          <w:spacing w:val="22"/>
          <w:sz w:val="21"/>
          <w:szCs w:val="21"/>
          <w:highlight w:val="none"/>
        </w:rPr>
        <w:t>(</w:t>
      </w:r>
      <w:r>
        <w:rPr>
          <w:rFonts w:hint="eastAsia" w:ascii="宋体" w:hAnsi="宋体" w:eastAsia="宋体" w:cs="宋体"/>
          <w:spacing w:val="21"/>
          <w:sz w:val="21"/>
          <w:szCs w:val="21"/>
          <w:highlight w:val="none"/>
        </w:rPr>
        <w:t>1</w:t>
      </w:r>
      <w:r>
        <w:rPr>
          <w:rFonts w:hint="eastAsia" w:ascii="宋体" w:hAnsi="宋体" w:eastAsia="宋体" w:cs="宋体"/>
          <w:spacing w:val="11"/>
          <w:sz w:val="21"/>
          <w:szCs w:val="21"/>
          <w:highlight w:val="none"/>
        </w:rPr>
        <w:t>) 投标文件中的大写金额与小写金额不一致的，以大写金额为准；</w:t>
      </w:r>
    </w:p>
    <w:p w14:paraId="5D0AF5CA">
      <w:pPr>
        <w:spacing w:before="152" w:line="370" w:lineRule="auto"/>
        <w:ind w:left="15" w:right="71" w:firstLine="422"/>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(2) 总价金额与依据单价计算出的结果不一致的，以单价金额为准修正总价，但单价金额小</w:t>
      </w:r>
      <w:r>
        <w:rPr>
          <w:rFonts w:hint="eastAsia" w:ascii="宋体" w:hAnsi="宋体" w:eastAsia="宋体" w:cs="宋体"/>
          <w:spacing w:val="9"/>
          <w:sz w:val="21"/>
          <w:szCs w:val="21"/>
          <w:highlight w:val="none"/>
        </w:rPr>
        <w:t>数</w:t>
      </w:r>
      <w:r>
        <w:rPr>
          <w:rFonts w:hint="eastAsia" w:ascii="宋体" w:hAnsi="宋体" w:eastAsia="宋体" w:cs="宋体"/>
          <w:spacing w:val="10"/>
          <w:sz w:val="21"/>
          <w:szCs w:val="21"/>
          <w:highlight w:val="none"/>
        </w:rPr>
        <w:t>点</w:t>
      </w:r>
      <w:r>
        <w:rPr>
          <w:rFonts w:hint="eastAsia" w:ascii="宋体" w:hAnsi="宋体" w:eastAsia="宋体" w:cs="宋体"/>
          <w:spacing w:val="7"/>
          <w:sz w:val="21"/>
          <w:szCs w:val="21"/>
          <w:highlight w:val="none"/>
        </w:rPr>
        <w:t>有明显错误的除外；</w:t>
      </w:r>
    </w:p>
    <w:p w14:paraId="4F041010">
      <w:pPr>
        <w:spacing w:before="2" w:line="368" w:lineRule="auto"/>
        <w:ind w:left="8" w:right="53" w:firstLine="430"/>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(3) 当单价与数量相乘不等于合价时，以单价计算为准，如果单价有明显的小数点位置差错</w:t>
      </w:r>
      <w:r>
        <w:rPr>
          <w:rFonts w:hint="eastAsia" w:ascii="宋体" w:hAnsi="宋体" w:eastAsia="宋体" w:cs="宋体"/>
          <w:spacing w:val="2"/>
          <w:sz w:val="21"/>
          <w:szCs w:val="21"/>
          <w:highlight w:val="none"/>
        </w:rPr>
        <w:t>，</w:t>
      </w:r>
      <w:r>
        <w:rPr>
          <w:rFonts w:hint="eastAsia" w:ascii="宋体" w:hAnsi="宋体" w:eastAsia="宋体" w:cs="宋体"/>
          <w:spacing w:val="9"/>
          <w:sz w:val="21"/>
          <w:szCs w:val="21"/>
          <w:highlight w:val="none"/>
        </w:rPr>
        <w:t>应以标出的合价为准，同时对单价予以修正；</w:t>
      </w:r>
    </w:p>
    <w:p w14:paraId="19909D56">
      <w:pPr>
        <w:spacing w:before="1" w:line="226" w:lineRule="auto"/>
        <w:ind w:left="438"/>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(4</w:t>
      </w:r>
      <w:r>
        <w:rPr>
          <w:rFonts w:hint="eastAsia" w:ascii="宋体" w:hAnsi="宋体" w:eastAsia="宋体" w:cs="宋体"/>
          <w:spacing w:val="10"/>
          <w:sz w:val="21"/>
          <w:szCs w:val="21"/>
          <w:highlight w:val="none"/>
        </w:rPr>
        <w:t>)</w:t>
      </w:r>
      <w:r>
        <w:rPr>
          <w:rFonts w:hint="eastAsia" w:ascii="宋体" w:hAnsi="宋体" w:eastAsia="宋体" w:cs="宋体"/>
          <w:spacing w:val="6"/>
          <w:sz w:val="21"/>
          <w:szCs w:val="21"/>
          <w:highlight w:val="none"/>
        </w:rPr>
        <w:t xml:space="preserve"> 当各子目的合价累计不等于总价时，应以各子目合价累计数为准，修正总价。</w:t>
      </w:r>
    </w:p>
    <w:p w14:paraId="08937E59">
      <w:pPr>
        <w:spacing w:before="155" w:line="369" w:lineRule="auto"/>
        <w:ind w:left="8" w:firstLine="424"/>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3</w:t>
      </w:r>
      <w:r>
        <w:rPr>
          <w:rFonts w:hint="eastAsia" w:ascii="宋体" w:hAnsi="宋体" w:eastAsia="宋体" w:cs="宋体"/>
          <w:spacing w:val="10"/>
          <w:sz w:val="21"/>
          <w:szCs w:val="21"/>
          <w:highlight w:val="none"/>
        </w:rPr>
        <w:t>.4.3 工程量清单中的投标报价有其他错误的</w:t>
      </w:r>
      <w:r>
        <w:rPr>
          <w:rFonts w:hint="eastAsia" w:ascii="宋体" w:hAnsi="宋体" w:eastAsia="宋体" w:cs="宋体"/>
          <w:spacing w:val="10"/>
          <w:sz w:val="21"/>
          <w:szCs w:val="21"/>
          <w:highlight w:val="none"/>
          <w:lang w:eastAsia="zh-CN"/>
        </w:rPr>
        <w:t>，</w:t>
      </w:r>
      <w:r>
        <w:rPr>
          <w:rFonts w:hint="eastAsia" w:ascii="宋体" w:hAnsi="宋体" w:eastAsia="宋体" w:cs="宋体"/>
          <w:spacing w:val="10"/>
          <w:sz w:val="21"/>
          <w:szCs w:val="21"/>
          <w:highlight w:val="none"/>
        </w:rPr>
        <w:t>评标委员会按以下原则对投标报价进行修正，</w:t>
      </w:r>
      <w:r>
        <w:rPr>
          <w:rFonts w:hint="eastAsia" w:ascii="宋体" w:hAnsi="宋体" w:eastAsia="宋体" w:cs="宋体"/>
          <w:spacing w:val="14"/>
          <w:sz w:val="21"/>
          <w:szCs w:val="21"/>
          <w:highlight w:val="none"/>
        </w:rPr>
        <w:t>修正的</w:t>
      </w:r>
      <w:r>
        <w:rPr>
          <w:rFonts w:hint="eastAsia" w:ascii="宋体" w:hAnsi="宋体" w:eastAsia="宋体" w:cs="宋体"/>
          <w:spacing w:val="8"/>
          <w:sz w:val="21"/>
          <w:szCs w:val="21"/>
          <w:highlight w:val="none"/>
        </w:rPr>
        <w:t>价</w:t>
      </w:r>
      <w:r>
        <w:rPr>
          <w:rFonts w:hint="eastAsia" w:ascii="宋体" w:hAnsi="宋体" w:eastAsia="宋体" w:cs="宋体"/>
          <w:spacing w:val="7"/>
          <w:sz w:val="21"/>
          <w:szCs w:val="21"/>
          <w:highlight w:val="none"/>
        </w:rPr>
        <w:t>格经投标人书面确认后具有约束力。投标人不接受修正价格的，评标委员会应否决其投标。</w:t>
      </w:r>
    </w:p>
    <w:p w14:paraId="6A73147A">
      <w:pPr>
        <w:spacing w:line="369" w:lineRule="auto"/>
        <w:ind w:left="9" w:firstLine="429"/>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 xml:space="preserve">(1) </w:t>
      </w:r>
      <w:r>
        <w:rPr>
          <w:rFonts w:hint="eastAsia" w:ascii="宋体" w:hAnsi="宋体" w:eastAsia="宋体" w:cs="宋体"/>
          <w:spacing w:val="11"/>
          <w:sz w:val="21"/>
          <w:szCs w:val="21"/>
          <w:highlight w:val="none"/>
        </w:rPr>
        <w:t>在</w:t>
      </w:r>
      <w:r>
        <w:rPr>
          <w:rFonts w:hint="eastAsia" w:ascii="宋体" w:hAnsi="宋体" w:eastAsia="宋体" w:cs="宋体"/>
          <w:spacing w:val="6"/>
          <w:sz w:val="21"/>
          <w:szCs w:val="21"/>
          <w:highlight w:val="none"/>
        </w:rPr>
        <w:t>招标人给定的工程量清单中漏报了某个工程子目的单价、合价或总额价，或所报单价、</w:t>
      </w:r>
      <w:r>
        <w:rPr>
          <w:rFonts w:hint="eastAsia" w:ascii="宋体" w:hAnsi="宋体" w:eastAsia="宋体" w:cs="宋体"/>
          <w:spacing w:val="20"/>
          <w:sz w:val="21"/>
          <w:szCs w:val="21"/>
          <w:highlight w:val="none"/>
        </w:rPr>
        <w:t>合价或</w:t>
      </w:r>
      <w:r>
        <w:rPr>
          <w:rFonts w:hint="eastAsia" w:ascii="宋体" w:hAnsi="宋体" w:eastAsia="宋体" w:cs="宋体"/>
          <w:spacing w:val="10"/>
          <w:sz w:val="21"/>
          <w:szCs w:val="21"/>
          <w:highlight w:val="none"/>
        </w:rPr>
        <w:t>总额价减少了报价范围，则漏报的工程子目单价、合价和总额价或单价、合价和总额价中减</w:t>
      </w:r>
      <w:r>
        <w:rPr>
          <w:rFonts w:hint="eastAsia" w:ascii="宋体" w:hAnsi="宋体" w:eastAsia="宋体" w:cs="宋体"/>
          <w:spacing w:val="18"/>
          <w:sz w:val="21"/>
          <w:szCs w:val="21"/>
          <w:highlight w:val="none"/>
        </w:rPr>
        <w:t>少</w:t>
      </w:r>
      <w:r>
        <w:rPr>
          <w:rFonts w:hint="eastAsia" w:ascii="宋体" w:hAnsi="宋体" w:eastAsia="宋体" w:cs="宋体"/>
          <w:spacing w:val="9"/>
          <w:sz w:val="21"/>
          <w:szCs w:val="21"/>
          <w:highlight w:val="none"/>
        </w:rPr>
        <w:t>的报价内容视为已含入其他工程子目的单价、合价和总额价之中。</w:t>
      </w:r>
    </w:p>
    <w:p w14:paraId="1DC76545">
      <w:pPr>
        <w:spacing w:before="1" w:line="369" w:lineRule="auto"/>
        <w:ind w:left="6" w:firstLine="431"/>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 xml:space="preserve">(2) </w:t>
      </w:r>
      <w:r>
        <w:rPr>
          <w:rFonts w:hint="eastAsia" w:ascii="宋体" w:hAnsi="宋体" w:eastAsia="宋体" w:cs="宋体"/>
          <w:spacing w:val="11"/>
          <w:sz w:val="21"/>
          <w:szCs w:val="21"/>
          <w:highlight w:val="none"/>
        </w:rPr>
        <w:t>在</w:t>
      </w:r>
      <w:r>
        <w:rPr>
          <w:rFonts w:hint="eastAsia" w:ascii="宋体" w:hAnsi="宋体" w:eastAsia="宋体" w:cs="宋体"/>
          <w:spacing w:val="6"/>
          <w:sz w:val="21"/>
          <w:szCs w:val="21"/>
          <w:highlight w:val="none"/>
        </w:rPr>
        <w:t>招标人给定的工程量清单中多报了某个工程子目的单价、合价或总额价，或所报单价、</w:t>
      </w:r>
      <w:r>
        <w:rPr>
          <w:rFonts w:hint="eastAsia" w:ascii="宋体" w:hAnsi="宋体" w:eastAsia="宋体" w:cs="宋体"/>
          <w:spacing w:val="20"/>
          <w:sz w:val="21"/>
          <w:szCs w:val="21"/>
          <w:highlight w:val="none"/>
        </w:rPr>
        <w:t>合价或</w:t>
      </w:r>
      <w:r>
        <w:rPr>
          <w:rFonts w:hint="eastAsia" w:ascii="宋体" w:hAnsi="宋体" w:eastAsia="宋体" w:cs="宋体"/>
          <w:spacing w:val="12"/>
          <w:sz w:val="21"/>
          <w:szCs w:val="21"/>
          <w:highlight w:val="none"/>
        </w:rPr>
        <w:t>总</w:t>
      </w:r>
      <w:r>
        <w:rPr>
          <w:rFonts w:hint="eastAsia" w:ascii="宋体" w:hAnsi="宋体" w:eastAsia="宋体" w:cs="宋体"/>
          <w:spacing w:val="10"/>
          <w:sz w:val="21"/>
          <w:szCs w:val="21"/>
          <w:highlight w:val="none"/>
        </w:rPr>
        <w:t>额价增加了报价范围，则从投标报价中扣除多报的工程子目报价或工程子目报价中增加了报</w:t>
      </w:r>
      <w:r>
        <w:rPr>
          <w:rFonts w:hint="eastAsia" w:ascii="宋体" w:hAnsi="宋体" w:eastAsia="宋体" w:cs="宋体"/>
          <w:spacing w:val="8"/>
          <w:sz w:val="21"/>
          <w:szCs w:val="21"/>
          <w:highlight w:val="none"/>
        </w:rPr>
        <w:t>价范围的部分报价。</w:t>
      </w:r>
    </w:p>
    <w:p w14:paraId="6C741133">
      <w:pPr>
        <w:spacing w:before="2" w:line="368" w:lineRule="auto"/>
        <w:ind w:left="9" w:right="71" w:firstLine="429"/>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(3</w:t>
      </w:r>
      <w:r>
        <w:rPr>
          <w:rFonts w:hint="eastAsia" w:ascii="宋体" w:hAnsi="宋体" w:eastAsia="宋体" w:cs="宋体"/>
          <w:spacing w:val="15"/>
          <w:sz w:val="21"/>
          <w:szCs w:val="21"/>
          <w:highlight w:val="none"/>
        </w:rPr>
        <w:t>)</w:t>
      </w:r>
      <w:r>
        <w:rPr>
          <w:rFonts w:hint="eastAsia" w:ascii="宋体" w:hAnsi="宋体" w:eastAsia="宋体" w:cs="宋体"/>
          <w:spacing w:val="9"/>
          <w:sz w:val="21"/>
          <w:szCs w:val="21"/>
          <w:highlight w:val="none"/>
        </w:rPr>
        <w:t xml:space="preserve"> 当单价与数量的乘积与合价(金额)虽然一致，但投标人修改了该子目的工程数量，则其</w:t>
      </w:r>
      <w:r>
        <w:rPr>
          <w:rFonts w:hint="eastAsia" w:ascii="宋体" w:hAnsi="宋体" w:eastAsia="宋体" w:cs="宋体"/>
          <w:spacing w:val="14"/>
          <w:sz w:val="21"/>
          <w:szCs w:val="21"/>
          <w:highlight w:val="none"/>
        </w:rPr>
        <w:t>合</w:t>
      </w:r>
      <w:r>
        <w:rPr>
          <w:rFonts w:hint="eastAsia" w:ascii="宋体" w:hAnsi="宋体" w:eastAsia="宋体" w:cs="宋体"/>
          <w:spacing w:val="9"/>
          <w:sz w:val="21"/>
          <w:szCs w:val="21"/>
          <w:highlight w:val="none"/>
        </w:rPr>
        <w:t>价按招标人给定的工程数量乘以投标人所报单价予以修正。</w:t>
      </w:r>
    </w:p>
    <w:p w14:paraId="27BAF4C4">
      <w:pPr>
        <w:spacing w:line="373" w:lineRule="auto"/>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w:t>
      </w:r>
      <w:r>
        <w:rPr>
          <w:rFonts w:hint="eastAsia" w:ascii="宋体" w:hAnsi="宋体" w:eastAsia="宋体" w:cs="宋体"/>
          <w:spacing w:val="7"/>
          <w:sz w:val="21"/>
          <w:szCs w:val="21"/>
          <w:highlight w:val="none"/>
        </w:rPr>
        <w:t>.4.4 修正后的最终投标报价若超过最高投标限价(如有)，评标委员会应否决其投标。</w:t>
      </w:r>
    </w:p>
    <w:p w14:paraId="79B0EB9B">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3.5 第二个信封详细评审</w:t>
      </w:r>
    </w:p>
    <w:p w14:paraId="6A64A519">
      <w:pPr>
        <w:spacing w:before="150" w:line="370" w:lineRule="auto"/>
        <w:ind w:left="9" w:right="123" w:firstLine="423"/>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 xml:space="preserve">3.5.1 </w:t>
      </w:r>
      <w:r>
        <w:rPr>
          <w:rFonts w:hint="eastAsia" w:ascii="宋体" w:hAnsi="宋体" w:eastAsia="宋体" w:cs="宋体"/>
          <w:spacing w:val="7"/>
          <w:sz w:val="21"/>
          <w:szCs w:val="21"/>
          <w:highlight w:val="none"/>
        </w:rPr>
        <w:t>评</w:t>
      </w:r>
      <w:r>
        <w:rPr>
          <w:rFonts w:hint="eastAsia" w:ascii="宋体" w:hAnsi="宋体" w:eastAsia="宋体" w:cs="宋体"/>
          <w:spacing w:val="5"/>
          <w:sz w:val="21"/>
          <w:szCs w:val="21"/>
          <w:highlight w:val="none"/>
        </w:rPr>
        <w:t>标委员会按本章第 2.2 款规定的量化因素和标准进行价格折算，计算出评标价，并编</w:t>
      </w:r>
      <w:r>
        <w:rPr>
          <w:rFonts w:hint="eastAsia" w:ascii="宋体" w:hAnsi="宋体" w:eastAsia="宋体" w:cs="宋体"/>
          <w:spacing w:val="12"/>
          <w:sz w:val="21"/>
          <w:szCs w:val="21"/>
          <w:highlight w:val="none"/>
        </w:rPr>
        <w:t>制</w:t>
      </w:r>
      <w:r>
        <w:rPr>
          <w:rFonts w:hint="eastAsia" w:ascii="宋体" w:hAnsi="宋体" w:eastAsia="宋体" w:cs="宋体"/>
          <w:spacing w:val="7"/>
          <w:sz w:val="21"/>
          <w:szCs w:val="21"/>
          <w:highlight w:val="none"/>
        </w:rPr>
        <w:t>价格比较一览表。</w:t>
      </w:r>
    </w:p>
    <w:p w14:paraId="0982C97F">
      <w:pPr>
        <w:spacing w:line="369" w:lineRule="auto"/>
        <w:ind w:left="8" w:right="123" w:firstLine="424"/>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3</w:t>
      </w:r>
      <w:r>
        <w:rPr>
          <w:rFonts w:hint="eastAsia" w:ascii="宋体" w:hAnsi="宋体" w:eastAsia="宋体" w:cs="宋体"/>
          <w:spacing w:val="15"/>
          <w:sz w:val="21"/>
          <w:szCs w:val="21"/>
          <w:highlight w:val="none"/>
        </w:rPr>
        <w:t>.</w:t>
      </w:r>
      <w:r>
        <w:rPr>
          <w:rFonts w:hint="eastAsia" w:ascii="宋体" w:hAnsi="宋体" w:eastAsia="宋体" w:cs="宋体"/>
          <w:spacing w:val="8"/>
          <w:sz w:val="21"/>
          <w:szCs w:val="21"/>
          <w:highlight w:val="none"/>
        </w:rPr>
        <w:t>5.2 评标委员会发现投标人的报价明显低于其他投标报价</w:t>
      </w:r>
      <w:r>
        <w:rPr>
          <w:rFonts w:hint="eastAsia" w:ascii="宋体" w:hAnsi="宋体" w:eastAsia="宋体" w:cs="宋体"/>
          <w:spacing w:val="8"/>
          <w:sz w:val="21"/>
          <w:szCs w:val="21"/>
          <w:highlight w:val="none"/>
          <w:lang w:eastAsia="zh-CN"/>
        </w:rPr>
        <w:t>，</w:t>
      </w:r>
      <w:r>
        <w:rPr>
          <w:rFonts w:hint="eastAsia" w:ascii="宋体" w:hAnsi="宋体" w:eastAsia="宋体" w:cs="宋体"/>
          <w:spacing w:val="8"/>
          <w:sz w:val="21"/>
          <w:szCs w:val="21"/>
          <w:highlight w:val="none"/>
        </w:rPr>
        <w:t>使得其投标报价可能低于其个别</w:t>
      </w:r>
      <w:r>
        <w:rPr>
          <w:rFonts w:hint="eastAsia" w:ascii="宋体" w:hAnsi="宋体" w:eastAsia="宋体" w:cs="宋体"/>
          <w:spacing w:val="13"/>
          <w:sz w:val="21"/>
          <w:szCs w:val="21"/>
          <w:highlight w:val="none"/>
        </w:rPr>
        <w:t>成</w:t>
      </w:r>
      <w:r>
        <w:rPr>
          <w:rFonts w:hint="eastAsia" w:ascii="宋体" w:hAnsi="宋体" w:eastAsia="宋体" w:cs="宋体"/>
          <w:spacing w:val="9"/>
          <w:sz w:val="21"/>
          <w:szCs w:val="21"/>
          <w:highlight w:val="none"/>
        </w:rPr>
        <w:t>本的，应要求该投标人作出书面说明并提供相应的证明材料。投标人不能合理说明或不能提供相</w:t>
      </w:r>
      <w:r>
        <w:rPr>
          <w:rFonts w:hint="eastAsia" w:ascii="宋体" w:hAnsi="宋体" w:eastAsia="宋体" w:cs="宋体"/>
          <w:spacing w:val="18"/>
          <w:sz w:val="21"/>
          <w:szCs w:val="21"/>
          <w:highlight w:val="none"/>
        </w:rPr>
        <w:t>应</w:t>
      </w:r>
      <w:r>
        <w:rPr>
          <w:rFonts w:hint="eastAsia" w:ascii="宋体" w:hAnsi="宋体" w:eastAsia="宋体" w:cs="宋体"/>
          <w:spacing w:val="16"/>
          <w:sz w:val="21"/>
          <w:szCs w:val="21"/>
          <w:highlight w:val="none"/>
        </w:rPr>
        <w:t>证</w:t>
      </w:r>
      <w:r>
        <w:rPr>
          <w:rFonts w:hint="eastAsia" w:ascii="宋体" w:hAnsi="宋体" w:eastAsia="宋体" w:cs="宋体"/>
          <w:spacing w:val="9"/>
          <w:sz w:val="21"/>
          <w:szCs w:val="21"/>
          <w:highlight w:val="none"/>
        </w:rPr>
        <w:t>明材料的，由评标委员会认定该投标人以低于成本报价竞标，并否决其投标。</w:t>
      </w:r>
    </w:p>
    <w:p w14:paraId="7AC53D9F">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3.6 投标文件相关信息的核查</w:t>
      </w:r>
    </w:p>
    <w:p w14:paraId="2E63783D">
      <w:pPr>
        <w:spacing w:before="153" w:line="369" w:lineRule="auto"/>
        <w:ind w:left="7" w:firstLine="42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3.6.1 在评标过程中，评标委员会应查询交通运输主管部门“公路建设市场信用信息管理系统”</w:t>
      </w:r>
      <w:r>
        <w:rPr>
          <w:rFonts w:hint="eastAsia" w:ascii="宋体" w:hAnsi="宋体" w:eastAsia="宋体" w:cs="宋体"/>
          <w:spacing w:val="1"/>
          <w:sz w:val="21"/>
          <w:szCs w:val="21"/>
          <w:highlight w:val="none"/>
        </w:rPr>
        <w:t>，</w:t>
      </w:r>
      <w:r>
        <w:rPr>
          <w:rFonts w:hint="eastAsia" w:ascii="宋体" w:hAnsi="宋体" w:eastAsia="宋体" w:cs="宋体"/>
          <w:spacing w:val="20"/>
          <w:sz w:val="21"/>
          <w:szCs w:val="21"/>
          <w:highlight w:val="none"/>
        </w:rPr>
        <w:t>对投标</w:t>
      </w:r>
      <w:r>
        <w:rPr>
          <w:rFonts w:hint="eastAsia" w:ascii="宋体" w:hAnsi="宋体" w:eastAsia="宋体" w:cs="宋体"/>
          <w:spacing w:val="12"/>
          <w:sz w:val="21"/>
          <w:szCs w:val="21"/>
          <w:highlight w:val="none"/>
        </w:rPr>
        <w:t>人</w:t>
      </w:r>
      <w:r>
        <w:rPr>
          <w:rFonts w:hint="eastAsia" w:ascii="宋体" w:hAnsi="宋体" w:eastAsia="宋体" w:cs="宋体"/>
          <w:spacing w:val="10"/>
          <w:sz w:val="21"/>
          <w:szCs w:val="21"/>
          <w:highlight w:val="none"/>
        </w:rPr>
        <w:t>的资质、业绩、主要人员资历和目前在岗情况、信用等级等信息进行核实。若投标文件载</w:t>
      </w:r>
      <w:r>
        <w:rPr>
          <w:rFonts w:hint="eastAsia" w:ascii="宋体" w:hAnsi="宋体" w:eastAsia="宋体" w:cs="宋体"/>
          <w:sz w:val="21"/>
          <w:szCs w:val="21"/>
          <w:highlight w:val="none"/>
        </w:rPr>
        <w:t xml:space="preserve"> </w:t>
      </w:r>
      <w:r>
        <w:rPr>
          <w:rFonts w:hint="eastAsia" w:ascii="宋体" w:hAnsi="宋体" w:eastAsia="宋体" w:cs="宋体"/>
          <w:spacing w:val="20"/>
          <w:sz w:val="21"/>
          <w:szCs w:val="21"/>
          <w:highlight w:val="none"/>
        </w:rPr>
        <w:t>明的信</w:t>
      </w:r>
      <w:r>
        <w:rPr>
          <w:rFonts w:hint="eastAsia" w:ascii="宋体" w:hAnsi="宋体" w:eastAsia="宋体" w:cs="宋体"/>
          <w:spacing w:val="12"/>
          <w:sz w:val="21"/>
          <w:szCs w:val="21"/>
          <w:highlight w:val="none"/>
        </w:rPr>
        <w:t>息</w:t>
      </w:r>
      <w:r>
        <w:rPr>
          <w:rFonts w:hint="eastAsia" w:ascii="宋体" w:hAnsi="宋体" w:eastAsia="宋体" w:cs="宋体"/>
          <w:spacing w:val="10"/>
          <w:sz w:val="21"/>
          <w:szCs w:val="21"/>
          <w:highlight w:val="none"/>
        </w:rPr>
        <w:t>与交通运输主管部门“公路建设市场信用信息管理系统”发布的信息不符，使得投标人的</w:t>
      </w:r>
      <w:r>
        <w:rPr>
          <w:rFonts w:hint="eastAsia" w:ascii="宋体" w:hAnsi="宋体" w:eastAsia="宋体" w:cs="宋体"/>
          <w:sz w:val="21"/>
          <w:szCs w:val="21"/>
          <w:highlight w:val="none"/>
        </w:rPr>
        <w:t xml:space="preserve"> </w:t>
      </w:r>
      <w:r>
        <w:rPr>
          <w:rFonts w:hint="eastAsia" w:ascii="宋体" w:hAnsi="宋体" w:eastAsia="宋体" w:cs="宋体"/>
          <w:spacing w:val="16"/>
          <w:sz w:val="21"/>
          <w:szCs w:val="21"/>
          <w:highlight w:val="none"/>
        </w:rPr>
        <w:t>资</w:t>
      </w:r>
      <w:r>
        <w:rPr>
          <w:rFonts w:hint="eastAsia" w:ascii="宋体" w:hAnsi="宋体" w:eastAsia="宋体" w:cs="宋体"/>
          <w:spacing w:val="9"/>
          <w:sz w:val="21"/>
          <w:szCs w:val="21"/>
          <w:highlight w:val="none"/>
        </w:rPr>
        <w:t>格条件不符合招标文件规定的，评标委员会应否决其投标。</w:t>
      </w:r>
    </w:p>
    <w:p w14:paraId="164E3637">
      <w:pPr>
        <w:spacing w:before="1" w:line="369" w:lineRule="auto"/>
        <w:ind w:left="7" w:right="54" w:firstLine="425"/>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3.6.2 评标委员会应对在评标过程中发现的投标人与投标人之间、投标人与招标人之间存在</w:t>
      </w:r>
      <w:r>
        <w:rPr>
          <w:rFonts w:hint="eastAsia" w:ascii="宋体" w:hAnsi="宋体" w:eastAsia="宋体" w:cs="宋体"/>
          <w:spacing w:val="4"/>
          <w:sz w:val="21"/>
          <w:szCs w:val="21"/>
          <w:highlight w:val="none"/>
        </w:rPr>
        <w:t>的</w:t>
      </w:r>
      <w:r>
        <w:rPr>
          <w:rFonts w:hint="eastAsia" w:ascii="宋体" w:hAnsi="宋体" w:eastAsia="宋体" w:cs="宋体"/>
          <w:spacing w:val="20"/>
          <w:sz w:val="21"/>
          <w:szCs w:val="21"/>
          <w:highlight w:val="none"/>
        </w:rPr>
        <w:t>串通投</w:t>
      </w:r>
      <w:r>
        <w:rPr>
          <w:rFonts w:hint="eastAsia" w:ascii="宋体" w:hAnsi="宋体" w:eastAsia="宋体" w:cs="宋体"/>
          <w:spacing w:val="12"/>
          <w:sz w:val="21"/>
          <w:szCs w:val="21"/>
          <w:highlight w:val="none"/>
        </w:rPr>
        <w:t>标</w:t>
      </w:r>
      <w:r>
        <w:rPr>
          <w:rFonts w:hint="eastAsia" w:ascii="宋体" w:hAnsi="宋体" w:eastAsia="宋体" w:cs="宋体"/>
          <w:spacing w:val="10"/>
          <w:sz w:val="21"/>
          <w:szCs w:val="21"/>
          <w:highlight w:val="none"/>
        </w:rPr>
        <w:t>的情形进行评审和认定。投标人存在串通投标、弄虚作假、行贿等违法行为的，评标委员</w:t>
      </w:r>
      <w:r>
        <w:rPr>
          <w:rFonts w:hint="eastAsia" w:ascii="宋体" w:hAnsi="宋体" w:eastAsia="宋体" w:cs="宋体"/>
          <w:spacing w:val="12"/>
          <w:sz w:val="21"/>
          <w:szCs w:val="21"/>
          <w:highlight w:val="none"/>
        </w:rPr>
        <w:t>会</w:t>
      </w:r>
      <w:r>
        <w:rPr>
          <w:rFonts w:hint="eastAsia" w:ascii="宋体" w:hAnsi="宋体" w:eastAsia="宋体" w:cs="宋体"/>
          <w:spacing w:val="7"/>
          <w:sz w:val="21"/>
          <w:szCs w:val="21"/>
          <w:highlight w:val="none"/>
        </w:rPr>
        <w:t>应否决其投标。</w:t>
      </w:r>
    </w:p>
    <w:p w14:paraId="70FB0210">
      <w:pPr>
        <w:spacing w:line="229" w:lineRule="auto"/>
        <w:ind w:firstLine="484" w:firstLineChars="200"/>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w:t>
      </w:r>
      <w:r>
        <w:rPr>
          <w:rFonts w:hint="eastAsia" w:ascii="宋体" w:hAnsi="宋体" w:eastAsia="宋体" w:cs="宋体"/>
          <w:spacing w:val="12"/>
          <w:sz w:val="21"/>
          <w:szCs w:val="21"/>
          <w:highlight w:val="none"/>
        </w:rPr>
        <w:t>1) 有下列情形之一的，属于投标人相互串通投标：</w:t>
      </w:r>
    </w:p>
    <w:p w14:paraId="0A99DDB7">
      <w:pPr>
        <w:spacing w:before="152" w:line="225" w:lineRule="auto"/>
        <w:ind w:left="429"/>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pacing w:val="9"/>
          <w:sz w:val="21"/>
          <w:szCs w:val="21"/>
          <w:highlight w:val="none"/>
        </w:rPr>
        <w:t>. 投标人之间协商投标报价等投标文件的实质性内容</w:t>
      </w:r>
      <w:r>
        <w:rPr>
          <w:rFonts w:hint="eastAsia" w:ascii="宋体" w:hAnsi="宋体" w:eastAsia="宋体" w:cs="宋体"/>
          <w:spacing w:val="7"/>
          <w:sz w:val="21"/>
          <w:szCs w:val="21"/>
          <w:highlight w:val="none"/>
        </w:rPr>
        <w:t>；</w:t>
      </w:r>
    </w:p>
    <w:p w14:paraId="4996F5E5">
      <w:pPr>
        <w:spacing w:before="155" w:line="270" w:lineRule="exact"/>
        <w:ind w:left="425"/>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b</w:t>
      </w:r>
      <w:r>
        <w:rPr>
          <w:rFonts w:hint="eastAsia" w:ascii="宋体" w:hAnsi="宋体" w:eastAsia="宋体" w:cs="宋体"/>
          <w:spacing w:val="9"/>
          <w:position w:val="1"/>
          <w:sz w:val="21"/>
          <w:szCs w:val="21"/>
          <w:highlight w:val="none"/>
        </w:rPr>
        <w:t>．投标人之间约定中标人</w:t>
      </w:r>
      <w:r>
        <w:rPr>
          <w:rFonts w:hint="eastAsia" w:ascii="宋体" w:hAnsi="宋体" w:eastAsia="宋体" w:cs="宋体"/>
          <w:spacing w:val="8"/>
          <w:position w:val="1"/>
          <w:sz w:val="21"/>
          <w:szCs w:val="21"/>
          <w:highlight w:val="none"/>
        </w:rPr>
        <w:t>；</w:t>
      </w:r>
    </w:p>
    <w:p w14:paraId="3421AF4D">
      <w:pPr>
        <w:spacing w:before="132" w:line="228" w:lineRule="auto"/>
        <w:ind w:left="427"/>
        <w:rPr>
          <w:rFonts w:hint="eastAsia" w:ascii="宋体" w:hAnsi="宋体" w:eastAsia="宋体" w:cs="宋体"/>
          <w:sz w:val="21"/>
          <w:szCs w:val="21"/>
          <w:highlight w:val="none"/>
        </w:rPr>
      </w:pPr>
      <w:r>
        <w:rPr>
          <w:rFonts w:hint="eastAsia" w:ascii="宋体" w:hAnsi="宋体" w:eastAsia="宋体" w:cs="宋体"/>
          <w:sz w:val="21"/>
          <w:szCs w:val="21"/>
          <w:highlight w:val="none"/>
        </w:rPr>
        <w:t>c</w:t>
      </w:r>
      <w:r>
        <w:rPr>
          <w:rFonts w:hint="eastAsia" w:ascii="宋体" w:hAnsi="宋体" w:eastAsia="宋体" w:cs="宋体"/>
          <w:spacing w:val="16"/>
          <w:sz w:val="21"/>
          <w:szCs w:val="21"/>
          <w:highlight w:val="none"/>
        </w:rPr>
        <w:t>.</w:t>
      </w:r>
      <w:r>
        <w:rPr>
          <w:rFonts w:hint="eastAsia" w:ascii="宋体" w:hAnsi="宋体" w:eastAsia="宋体" w:cs="宋体"/>
          <w:spacing w:val="8"/>
          <w:sz w:val="21"/>
          <w:szCs w:val="21"/>
          <w:highlight w:val="none"/>
        </w:rPr>
        <w:t xml:space="preserve">  投标人之间约定部分投标人放弃投标或中标；</w:t>
      </w:r>
    </w:p>
    <w:p w14:paraId="7AF9AEA7">
      <w:pPr>
        <w:spacing w:before="122" w:line="274" w:lineRule="exact"/>
        <w:ind w:left="427"/>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d</w:t>
      </w:r>
      <w:r>
        <w:rPr>
          <w:rFonts w:hint="eastAsia" w:ascii="宋体" w:hAnsi="宋体" w:eastAsia="宋体" w:cs="宋体"/>
          <w:spacing w:val="9"/>
          <w:position w:val="1"/>
          <w:sz w:val="21"/>
          <w:szCs w:val="21"/>
          <w:highlight w:val="none"/>
        </w:rPr>
        <w:t>.  属于同一集团、协会、商会等组织成员的投标人按照该组织要求协同投标</w:t>
      </w:r>
      <w:r>
        <w:rPr>
          <w:rFonts w:hint="eastAsia" w:ascii="宋体" w:hAnsi="宋体" w:eastAsia="宋体" w:cs="宋体"/>
          <w:spacing w:val="7"/>
          <w:position w:val="1"/>
          <w:sz w:val="21"/>
          <w:szCs w:val="21"/>
          <w:highlight w:val="none"/>
        </w:rPr>
        <w:t>；</w:t>
      </w:r>
    </w:p>
    <w:p w14:paraId="024858C8">
      <w:pPr>
        <w:spacing w:before="156" w:line="226" w:lineRule="auto"/>
        <w:ind w:left="428"/>
        <w:rPr>
          <w:rFonts w:hint="eastAsia" w:ascii="宋体" w:hAnsi="宋体" w:eastAsia="宋体" w:cs="宋体"/>
          <w:sz w:val="21"/>
          <w:szCs w:val="21"/>
          <w:highlight w:val="none"/>
        </w:rPr>
      </w:pPr>
      <w:r>
        <w:rPr>
          <w:rFonts w:hint="eastAsia" w:ascii="宋体" w:hAnsi="宋体" w:eastAsia="宋体" w:cs="宋体"/>
          <w:sz w:val="21"/>
          <w:szCs w:val="21"/>
          <w:highlight w:val="none"/>
        </w:rPr>
        <w:t>e</w:t>
      </w:r>
      <w:r>
        <w:rPr>
          <w:rFonts w:hint="eastAsia" w:ascii="宋体" w:hAnsi="宋体" w:eastAsia="宋体" w:cs="宋体"/>
          <w:spacing w:val="16"/>
          <w:sz w:val="21"/>
          <w:szCs w:val="21"/>
          <w:highlight w:val="none"/>
        </w:rPr>
        <w:t xml:space="preserve">.  </w:t>
      </w:r>
      <w:r>
        <w:rPr>
          <w:rFonts w:hint="eastAsia" w:ascii="宋体" w:hAnsi="宋体" w:eastAsia="宋体" w:cs="宋体"/>
          <w:spacing w:val="8"/>
          <w:sz w:val="21"/>
          <w:szCs w:val="21"/>
          <w:highlight w:val="none"/>
        </w:rPr>
        <w:t>投标人之间为谋取中标或排斥特定投标人而采取的其他联合行动。</w:t>
      </w:r>
    </w:p>
    <w:p w14:paraId="10A1005D">
      <w:pPr>
        <w:spacing w:before="155" w:line="229" w:lineRule="auto"/>
        <w:ind w:left="438"/>
        <w:rPr>
          <w:rFonts w:hint="eastAsia" w:ascii="宋体" w:hAnsi="宋体" w:eastAsia="宋体" w:cs="宋体"/>
          <w:sz w:val="21"/>
          <w:szCs w:val="21"/>
          <w:highlight w:val="none"/>
        </w:rPr>
      </w:pPr>
      <w:r>
        <w:rPr>
          <w:rFonts w:hint="eastAsia" w:ascii="宋体" w:hAnsi="宋体" w:eastAsia="宋体" w:cs="宋体"/>
          <w:spacing w:val="16"/>
          <w:sz w:val="21"/>
          <w:szCs w:val="21"/>
          <w:highlight w:val="none"/>
        </w:rPr>
        <w:t>(</w:t>
      </w:r>
      <w:r>
        <w:rPr>
          <w:rFonts w:hint="eastAsia" w:ascii="宋体" w:hAnsi="宋体" w:eastAsia="宋体" w:cs="宋体"/>
          <w:spacing w:val="12"/>
          <w:sz w:val="21"/>
          <w:szCs w:val="21"/>
          <w:highlight w:val="none"/>
        </w:rPr>
        <w:t>2) 有下列情形之一的，视为投标人相互串通投标：</w:t>
      </w:r>
    </w:p>
    <w:p w14:paraId="72350648">
      <w:pPr>
        <w:spacing w:before="153" w:line="228" w:lineRule="auto"/>
        <w:ind w:left="429"/>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pacing w:val="9"/>
          <w:sz w:val="21"/>
          <w:szCs w:val="21"/>
          <w:highlight w:val="none"/>
        </w:rPr>
        <w:t>. 不同投标人的投标文件由同一单位或个人编制</w:t>
      </w:r>
      <w:r>
        <w:rPr>
          <w:rFonts w:hint="eastAsia" w:ascii="宋体" w:hAnsi="宋体" w:eastAsia="宋体" w:cs="宋体"/>
          <w:spacing w:val="5"/>
          <w:sz w:val="21"/>
          <w:szCs w:val="21"/>
          <w:highlight w:val="none"/>
        </w:rPr>
        <w:t>；</w:t>
      </w:r>
    </w:p>
    <w:p w14:paraId="38164B98">
      <w:pPr>
        <w:spacing w:before="151" w:line="271" w:lineRule="exact"/>
        <w:ind w:left="425"/>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b</w:t>
      </w:r>
      <w:r>
        <w:rPr>
          <w:rFonts w:hint="eastAsia" w:ascii="宋体" w:hAnsi="宋体" w:eastAsia="宋体" w:cs="宋体"/>
          <w:spacing w:val="18"/>
          <w:position w:val="1"/>
          <w:sz w:val="21"/>
          <w:szCs w:val="21"/>
          <w:highlight w:val="none"/>
        </w:rPr>
        <w:t>．</w:t>
      </w:r>
      <w:r>
        <w:rPr>
          <w:rFonts w:hint="eastAsia" w:ascii="宋体" w:hAnsi="宋体" w:eastAsia="宋体" w:cs="宋体"/>
          <w:spacing w:val="9"/>
          <w:position w:val="1"/>
          <w:sz w:val="21"/>
          <w:szCs w:val="21"/>
          <w:highlight w:val="none"/>
        </w:rPr>
        <w:t>不同投标人委托同一单位或个人办理投标事宜；</w:t>
      </w:r>
    </w:p>
    <w:p w14:paraId="18CC372D">
      <w:pPr>
        <w:spacing w:before="130" w:line="228" w:lineRule="auto"/>
        <w:ind w:left="427"/>
        <w:rPr>
          <w:rFonts w:hint="eastAsia" w:ascii="宋体" w:hAnsi="宋体" w:eastAsia="宋体" w:cs="宋体"/>
          <w:sz w:val="21"/>
          <w:szCs w:val="21"/>
          <w:highlight w:val="none"/>
        </w:rPr>
      </w:pPr>
      <w:r>
        <w:rPr>
          <w:rFonts w:hint="eastAsia" w:ascii="宋体" w:hAnsi="宋体" w:eastAsia="宋体" w:cs="宋体"/>
          <w:sz w:val="21"/>
          <w:szCs w:val="21"/>
          <w:highlight w:val="none"/>
        </w:rPr>
        <w:t>c</w:t>
      </w:r>
      <w:r>
        <w:rPr>
          <w:rFonts w:hint="eastAsia" w:ascii="宋体" w:hAnsi="宋体" w:eastAsia="宋体" w:cs="宋体"/>
          <w:spacing w:val="16"/>
          <w:sz w:val="21"/>
          <w:szCs w:val="21"/>
          <w:highlight w:val="none"/>
        </w:rPr>
        <w:t xml:space="preserve">. </w:t>
      </w:r>
      <w:r>
        <w:rPr>
          <w:rFonts w:hint="eastAsia" w:ascii="宋体" w:hAnsi="宋体" w:eastAsia="宋体" w:cs="宋体"/>
          <w:spacing w:val="8"/>
          <w:sz w:val="21"/>
          <w:szCs w:val="21"/>
          <w:highlight w:val="none"/>
        </w:rPr>
        <w:t>不同投标人的投标文件载明的项目管理成员为同一人；</w:t>
      </w:r>
    </w:p>
    <w:p w14:paraId="219B54B0">
      <w:pPr>
        <w:spacing w:before="123" w:line="275" w:lineRule="exact"/>
        <w:ind w:left="427"/>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d</w:t>
      </w:r>
      <w:r>
        <w:rPr>
          <w:rFonts w:hint="eastAsia" w:ascii="宋体" w:hAnsi="宋体" w:eastAsia="宋体" w:cs="宋体"/>
          <w:spacing w:val="16"/>
          <w:position w:val="1"/>
          <w:sz w:val="21"/>
          <w:szCs w:val="21"/>
          <w:highlight w:val="none"/>
        </w:rPr>
        <w:t xml:space="preserve">. </w:t>
      </w:r>
      <w:r>
        <w:rPr>
          <w:rFonts w:hint="eastAsia" w:ascii="宋体" w:hAnsi="宋体" w:eastAsia="宋体" w:cs="宋体"/>
          <w:spacing w:val="8"/>
          <w:position w:val="1"/>
          <w:sz w:val="21"/>
          <w:szCs w:val="21"/>
          <w:highlight w:val="none"/>
        </w:rPr>
        <w:t>不同投标人的投标文件异常一致或投标报价呈规律性差异；</w:t>
      </w:r>
    </w:p>
    <w:p w14:paraId="1DFD79AC">
      <w:pPr>
        <w:spacing w:before="155" w:line="228" w:lineRule="auto"/>
        <w:ind w:left="428"/>
        <w:rPr>
          <w:rFonts w:hint="eastAsia" w:ascii="宋体" w:hAnsi="宋体" w:eastAsia="宋体" w:cs="宋体"/>
          <w:sz w:val="21"/>
          <w:szCs w:val="21"/>
          <w:highlight w:val="none"/>
        </w:rPr>
      </w:pPr>
      <w:r>
        <w:rPr>
          <w:rFonts w:hint="eastAsia" w:ascii="宋体" w:hAnsi="宋体" w:eastAsia="宋体" w:cs="宋体"/>
          <w:sz w:val="21"/>
          <w:szCs w:val="21"/>
          <w:highlight w:val="none"/>
        </w:rPr>
        <w:t>e</w:t>
      </w:r>
      <w:r>
        <w:rPr>
          <w:rFonts w:hint="eastAsia" w:ascii="宋体" w:hAnsi="宋体" w:eastAsia="宋体" w:cs="宋体"/>
          <w:spacing w:val="8"/>
          <w:sz w:val="21"/>
          <w:szCs w:val="21"/>
          <w:highlight w:val="none"/>
        </w:rPr>
        <w:t>. 不同投标人的投标文件相互混装</w:t>
      </w:r>
      <w:r>
        <w:rPr>
          <w:rFonts w:hint="eastAsia" w:ascii="宋体" w:hAnsi="宋体" w:eastAsia="宋体" w:cs="宋体"/>
          <w:spacing w:val="4"/>
          <w:sz w:val="21"/>
          <w:szCs w:val="21"/>
          <w:highlight w:val="none"/>
        </w:rPr>
        <w:t>；</w:t>
      </w:r>
    </w:p>
    <w:p w14:paraId="67C202A5">
      <w:pPr>
        <w:spacing w:before="123" w:line="274" w:lineRule="exact"/>
        <w:ind w:left="428"/>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f</w:t>
      </w:r>
      <w:r>
        <w:rPr>
          <w:rFonts w:hint="eastAsia" w:ascii="宋体" w:hAnsi="宋体" w:eastAsia="宋体" w:cs="宋体"/>
          <w:spacing w:val="18"/>
          <w:position w:val="1"/>
          <w:sz w:val="21"/>
          <w:szCs w:val="21"/>
          <w:highlight w:val="none"/>
        </w:rPr>
        <w:t>．</w:t>
      </w:r>
      <w:r>
        <w:rPr>
          <w:rFonts w:hint="eastAsia" w:ascii="宋体" w:hAnsi="宋体" w:eastAsia="宋体" w:cs="宋体"/>
          <w:spacing w:val="9"/>
          <w:position w:val="1"/>
          <w:sz w:val="21"/>
          <w:szCs w:val="21"/>
          <w:highlight w:val="none"/>
        </w:rPr>
        <w:t>不同投标人的投标保证金从同一单位或个人的账户转出。</w:t>
      </w:r>
    </w:p>
    <w:p w14:paraId="6B49324C">
      <w:pPr>
        <w:spacing w:before="157" w:line="229" w:lineRule="auto"/>
        <w:ind w:left="438"/>
        <w:rPr>
          <w:rFonts w:hint="eastAsia" w:ascii="宋体" w:hAnsi="宋体" w:eastAsia="宋体" w:cs="宋体"/>
          <w:sz w:val="21"/>
          <w:szCs w:val="21"/>
          <w:highlight w:val="none"/>
        </w:rPr>
      </w:pPr>
      <w:r>
        <w:rPr>
          <w:rFonts w:hint="eastAsia" w:ascii="宋体" w:hAnsi="宋体" w:eastAsia="宋体" w:cs="宋体"/>
          <w:spacing w:val="12"/>
          <w:sz w:val="21"/>
          <w:szCs w:val="21"/>
          <w:highlight w:val="none"/>
        </w:rPr>
        <w:t>(3) 有下列情形之一的，属于招标人与投标人串通投标：</w:t>
      </w:r>
    </w:p>
    <w:p w14:paraId="615897BD">
      <w:pPr>
        <w:spacing w:before="151" w:line="226" w:lineRule="auto"/>
        <w:ind w:left="429"/>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pacing w:val="13"/>
          <w:sz w:val="21"/>
          <w:szCs w:val="21"/>
          <w:highlight w:val="none"/>
        </w:rPr>
        <w:t>.</w:t>
      </w:r>
      <w:r>
        <w:rPr>
          <w:rFonts w:hint="eastAsia" w:ascii="宋体" w:hAnsi="宋体" w:eastAsia="宋体" w:cs="宋体"/>
          <w:spacing w:val="9"/>
          <w:sz w:val="21"/>
          <w:szCs w:val="21"/>
          <w:highlight w:val="none"/>
        </w:rPr>
        <w:t xml:space="preserve"> 招标人在开标前开启投标文件并将有关信息泄露给其他投标人；</w:t>
      </w:r>
    </w:p>
    <w:p w14:paraId="53262E64">
      <w:pPr>
        <w:spacing w:before="155" w:line="270" w:lineRule="exact"/>
        <w:ind w:left="425"/>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b</w:t>
      </w:r>
      <w:r>
        <w:rPr>
          <w:rFonts w:hint="eastAsia" w:ascii="宋体" w:hAnsi="宋体" w:eastAsia="宋体" w:cs="宋体"/>
          <w:spacing w:val="18"/>
          <w:position w:val="1"/>
          <w:sz w:val="21"/>
          <w:szCs w:val="21"/>
          <w:highlight w:val="none"/>
        </w:rPr>
        <w:t>．</w:t>
      </w:r>
      <w:r>
        <w:rPr>
          <w:rFonts w:hint="eastAsia" w:ascii="宋体" w:hAnsi="宋体" w:eastAsia="宋体" w:cs="宋体"/>
          <w:spacing w:val="17"/>
          <w:position w:val="1"/>
          <w:sz w:val="21"/>
          <w:szCs w:val="21"/>
          <w:highlight w:val="none"/>
        </w:rPr>
        <w:t>招</w:t>
      </w:r>
      <w:r>
        <w:rPr>
          <w:rFonts w:hint="eastAsia" w:ascii="宋体" w:hAnsi="宋体" w:eastAsia="宋体" w:cs="宋体"/>
          <w:spacing w:val="9"/>
          <w:position w:val="1"/>
          <w:sz w:val="21"/>
          <w:szCs w:val="21"/>
          <w:highlight w:val="none"/>
        </w:rPr>
        <w:t>标人直接或间接向投标人泄露标底、评标委员会成员等信息；</w:t>
      </w:r>
    </w:p>
    <w:p w14:paraId="1047DF4F">
      <w:pPr>
        <w:spacing w:before="131" w:line="227" w:lineRule="auto"/>
        <w:ind w:left="427"/>
        <w:rPr>
          <w:rFonts w:hint="eastAsia" w:ascii="宋体" w:hAnsi="宋体" w:eastAsia="宋体" w:cs="宋体"/>
          <w:sz w:val="21"/>
          <w:szCs w:val="21"/>
          <w:highlight w:val="none"/>
        </w:rPr>
      </w:pPr>
      <w:r>
        <w:rPr>
          <w:rFonts w:hint="eastAsia" w:ascii="宋体" w:hAnsi="宋体" w:eastAsia="宋体" w:cs="宋体"/>
          <w:sz w:val="21"/>
          <w:szCs w:val="21"/>
          <w:highlight w:val="none"/>
        </w:rPr>
        <w:t>c</w:t>
      </w:r>
      <w:r>
        <w:rPr>
          <w:rFonts w:hint="eastAsia" w:ascii="宋体" w:hAnsi="宋体" w:eastAsia="宋体" w:cs="宋体"/>
          <w:spacing w:val="16"/>
          <w:sz w:val="21"/>
          <w:szCs w:val="21"/>
          <w:highlight w:val="none"/>
        </w:rPr>
        <w:t>.</w:t>
      </w:r>
      <w:r>
        <w:rPr>
          <w:rFonts w:hint="eastAsia" w:ascii="宋体" w:hAnsi="宋体" w:eastAsia="宋体" w:cs="宋体"/>
          <w:spacing w:val="9"/>
          <w:sz w:val="21"/>
          <w:szCs w:val="21"/>
          <w:highlight w:val="none"/>
        </w:rPr>
        <w:t xml:space="preserve"> </w:t>
      </w:r>
      <w:r>
        <w:rPr>
          <w:rFonts w:hint="eastAsia" w:ascii="宋体" w:hAnsi="宋体" w:eastAsia="宋体" w:cs="宋体"/>
          <w:spacing w:val="8"/>
          <w:sz w:val="21"/>
          <w:szCs w:val="21"/>
          <w:highlight w:val="none"/>
        </w:rPr>
        <w:t>招标人明示或暗示投标人压低或抬高投标报价；</w:t>
      </w:r>
    </w:p>
    <w:p w14:paraId="053E9B3E">
      <w:pPr>
        <w:spacing w:before="122" w:line="274" w:lineRule="exact"/>
        <w:ind w:left="427"/>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d</w:t>
      </w:r>
      <w:r>
        <w:rPr>
          <w:rFonts w:hint="eastAsia" w:ascii="宋体" w:hAnsi="宋体" w:eastAsia="宋体" w:cs="宋体"/>
          <w:spacing w:val="13"/>
          <w:position w:val="1"/>
          <w:sz w:val="21"/>
          <w:szCs w:val="21"/>
          <w:highlight w:val="none"/>
        </w:rPr>
        <w:t>.</w:t>
      </w:r>
      <w:r>
        <w:rPr>
          <w:rFonts w:hint="eastAsia" w:ascii="宋体" w:hAnsi="宋体" w:eastAsia="宋体" w:cs="宋体"/>
          <w:spacing w:val="8"/>
          <w:position w:val="1"/>
          <w:sz w:val="21"/>
          <w:szCs w:val="21"/>
          <w:highlight w:val="none"/>
        </w:rPr>
        <w:t xml:space="preserve"> 招标人授意投标人撤换、修改投标文件；</w:t>
      </w:r>
    </w:p>
    <w:p w14:paraId="54D08693">
      <w:pPr>
        <w:spacing w:before="157" w:line="228" w:lineRule="auto"/>
        <w:ind w:left="428"/>
        <w:rPr>
          <w:rFonts w:hint="eastAsia" w:ascii="宋体" w:hAnsi="宋体" w:eastAsia="宋体" w:cs="宋体"/>
          <w:sz w:val="21"/>
          <w:szCs w:val="21"/>
          <w:highlight w:val="none"/>
        </w:rPr>
      </w:pPr>
      <w:r>
        <w:rPr>
          <w:rFonts w:hint="eastAsia" w:ascii="宋体" w:hAnsi="宋体" w:eastAsia="宋体" w:cs="宋体"/>
          <w:sz w:val="21"/>
          <w:szCs w:val="21"/>
          <w:highlight w:val="none"/>
        </w:rPr>
        <w:t>e</w:t>
      </w:r>
      <w:r>
        <w:rPr>
          <w:rFonts w:hint="eastAsia" w:ascii="宋体" w:hAnsi="宋体" w:eastAsia="宋体" w:cs="宋体"/>
          <w:spacing w:val="16"/>
          <w:sz w:val="21"/>
          <w:szCs w:val="21"/>
          <w:highlight w:val="none"/>
        </w:rPr>
        <w:t>.</w:t>
      </w:r>
      <w:r>
        <w:rPr>
          <w:rFonts w:hint="eastAsia" w:ascii="宋体" w:hAnsi="宋体" w:eastAsia="宋体" w:cs="宋体"/>
          <w:spacing w:val="15"/>
          <w:sz w:val="21"/>
          <w:szCs w:val="21"/>
          <w:highlight w:val="none"/>
        </w:rPr>
        <w:t xml:space="preserve"> </w:t>
      </w:r>
      <w:r>
        <w:rPr>
          <w:rFonts w:hint="eastAsia" w:ascii="宋体" w:hAnsi="宋体" w:eastAsia="宋体" w:cs="宋体"/>
          <w:spacing w:val="8"/>
          <w:sz w:val="21"/>
          <w:szCs w:val="21"/>
          <w:highlight w:val="none"/>
        </w:rPr>
        <w:t>招标人明示或暗示投标人为特定投标人中标提供方便；</w:t>
      </w:r>
    </w:p>
    <w:p w14:paraId="54673C44">
      <w:pPr>
        <w:spacing w:before="123" w:line="360" w:lineRule="auto"/>
        <w:ind w:left="428"/>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f</w:t>
      </w:r>
      <w:r>
        <w:rPr>
          <w:rFonts w:hint="eastAsia" w:ascii="宋体" w:hAnsi="宋体" w:eastAsia="宋体" w:cs="宋体"/>
          <w:spacing w:val="18"/>
          <w:position w:val="1"/>
          <w:sz w:val="21"/>
          <w:szCs w:val="21"/>
          <w:highlight w:val="none"/>
        </w:rPr>
        <w:t>．</w:t>
      </w:r>
      <w:r>
        <w:rPr>
          <w:rFonts w:hint="eastAsia" w:ascii="宋体" w:hAnsi="宋体" w:eastAsia="宋体" w:cs="宋体"/>
          <w:spacing w:val="11"/>
          <w:position w:val="1"/>
          <w:sz w:val="21"/>
          <w:szCs w:val="21"/>
          <w:highlight w:val="none"/>
        </w:rPr>
        <w:t>招</w:t>
      </w:r>
      <w:r>
        <w:rPr>
          <w:rFonts w:hint="eastAsia" w:ascii="宋体" w:hAnsi="宋体" w:eastAsia="宋体" w:cs="宋体"/>
          <w:spacing w:val="9"/>
          <w:position w:val="1"/>
          <w:sz w:val="21"/>
          <w:szCs w:val="21"/>
          <w:highlight w:val="none"/>
        </w:rPr>
        <w:t>标人与投标人为谋求特定投标人中标而采取的其他串通行为。</w:t>
      </w:r>
    </w:p>
    <w:p w14:paraId="0C696BF1">
      <w:pPr>
        <w:spacing w:line="360" w:lineRule="auto"/>
        <w:ind w:firstLine="472" w:firstLineChars="200"/>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w:t>
      </w:r>
      <w:r>
        <w:rPr>
          <w:rFonts w:hint="eastAsia" w:ascii="宋体" w:hAnsi="宋体" w:eastAsia="宋体" w:cs="宋体"/>
          <w:spacing w:val="12"/>
          <w:sz w:val="21"/>
          <w:szCs w:val="21"/>
          <w:highlight w:val="none"/>
        </w:rPr>
        <w:t>4) 投标人有下列情形之一的，属于弄虚作假的行为：</w:t>
      </w:r>
    </w:p>
    <w:p w14:paraId="50A8FDB2">
      <w:pPr>
        <w:spacing w:before="65" w:line="227" w:lineRule="auto"/>
        <w:ind w:left="429"/>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pacing w:val="9"/>
          <w:sz w:val="21"/>
          <w:szCs w:val="21"/>
          <w:highlight w:val="none"/>
        </w:rPr>
        <w:t>. 使用通过受让或租借等方式获取的资格、资质证书投标；</w:t>
      </w:r>
    </w:p>
    <w:p w14:paraId="64D8A319">
      <w:pPr>
        <w:spacing w:before="152" w:line="270" w:lineRule="exact"/>
        <w:ind w:left="425"/>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b</w:t>
      </w:r>
      <w:r>
        <w:rPr>
          <w:rFonts w:hint="eastAsia" w:ascii="宋体" w:hAnsi="宋体" w:eastAsia="宋体" w:cs="宋体"/>
          <w:spacing w:val="10"/>
          <w:position w:val="1"/>
          <w:sz w:val="21"/>
          <w:szCs w:val="21"/>
          <w:highlight w:val="none"/>
        </w:rPr>
        <w:t>．</w:t>
      </w:r>
      <w:r>
        <w:rPr>
          <w:rFonts w:hint="eastAsia" w:ascii="宋体" w:hAnsi="宋体" w:eastAsia="宋体" w:cs="宋体"/>
          <w:spacing w:val="9"/>
          <w:position w:val="1"/>
          <w:sz w:val="21"/>
          <w:szCs w:val="21"/>
          <w:highlight w:val="none"/>
        </w:rPr>
        <w:t>使用伪造、变造的许可证件；</w:t>
      </w:r>
    </w:p>
    <w:p w14:paraId="7D3C7998">
      <w:pPr>
        <w:spacing w:before="130" w:line="226" w:lineRule="auto"/>
        <w:ind w:left="427"/>
        <w:rPr>
          <w:rFonts w:hint="eastAsia" w:ascii="宋体" w:hAnsi="宋体" w:eastAsia="宋体" w:cs="宋体"/>
          <w:sz w:val="21"/>
          <w:szCs w:val="21"/>
          <w:highlight w:val="none"/>
        </w:rPr>
      </w:pPr>
      <w:r>
        <w:rPr>
          <w:rFonts w:hint="eastAsia" w:ascii="宋体" w:hAnsi="宋体" w:eastAsia="宋体" w:cs="宋体"/>
          <w:sz w:val="21"/>
          <w:szCs w:val="21"/>
          <w:highlight w:val="none"/>
        </w:rPr>
        <w:t>c</w:t>
      </w:r>
      <w:r>
        <w:rPr>
          <w:rFonts w:hint="eastAsia" w:ascii="宋体" w:hAnsi="宋体" w:eastAsia="宋体" w:cs="宋体"/>
          <w:spacing w:val="14"/>
          <w:sz w:val="21"/>
          <w:szCs w:val="21"/>
          <w:highlight w:val="none"/>
        </w:rPr>
        <w:t>.</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提供虚假的财务状况或业绩；</w:t>
      </w:r>
    </w:p>
    <w:p w14:paraId="0E3D7F6C">
      <w:pPr>
        <w:spacing w:before="125" w:line="274" w:lineRule="exact"/>
        <w:ind w:left="427"/>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d</w:t>
      </w:r>
      <w:r>
        <w:rPr>
          <w:rFonts w:hint="eastAsia" w:ascii="宋体" w:hAnsi="宋体" w:eastAsia="宋体" w:cs="宋体"/>
          <w:spacing w:val="16"/>
          <w:position w:val="1"/>
          <w:sz w:val="21"/>
          <w:szCs w:val="21"/>
          <w:highlight w:val="none"/>
        </w:rPr>
        <w:t xml:space="preserve">. </w:t>
      </w:r>
      <w:r>
        <w:rPr>
          <w:rFonts w:hint="eastAsia" w:ascii="宋体" w:hAnsi="宋体" w:eastAsia="宋体" w:cs="宋体"/>
          <w:spacing w:val="8"/>
          <w:position w:val="1"/>
          <w:sz w:val="21"/>
          <w:szCs w:val="21"/>
          <w:highlight w:val="none"/>
        </w:rPr>
        <w:t>提供虚假的项目负责人或主要技术人员简历、劳动关系证明；</w:t>
      </w:r>
    </w:p>
    <w:p w14:paraId="496A702B">
      <w:pPr>
        <w:spacing w:before="154" w:line="228" w:lineRule="auto"/>
        <w:ind w:left="428"/>
        <w:rPr>
          <w:rFonts w:hint="eastAsia" w:ascii="宋体" w:hAnsi="宋体" w:eastAsia="宋体" w:cs="宋体"/>
          <w:sz w:val="21"/>
          <w:szCs w:val="21"/>
          <w:highlight w:val="none"/>
        </w:rPr>
      </w:pPr>
      <w:r>
        <w:rPr>
          <w:rFonts w:hint="eastAsia" w:ascii="宋体" w:hAnsi="宋体" w:eastAsia="宋体" w:cs="宋体"/>
          <w:sz w:val="21"/>
          <w:szCs w:val="21"/>
          <w:highlight w:val="none"/>
        </w:rPr>
        <w:t>e</w:t>
      </w:r>
      <w:r>
        <w:rPr>
          <w:rFonts w:hint="eastAsia" w:ascii="宋体" w:hAnsi="宋体" w:eastAsia="宋体" w:cs="宋体"/>
          <w:spacing w:val="8"/>
          <w:sz w:val="21"/>
          <w:szCs w:val="21"/>
          <w:highlight w:val="none"/>
        </w:rPr>
        <w:t>.</w:t>
      </w:r>
      <w:r>
        <w:rPr>
          <w:rFonts w:hint="eastAsia" w:ascii="宋体" w:hAnsi="宋体" w:eastAsia="宋体" w:cs="宋体"/>
          <w:spacing w:val="7"/>
          <w:sz w:val="21"/>
          <w:szCs w:val="21"/>
          <w:highlight w:val="none"/>
        </w:rPr>
        <w:t xml:space="preserve"> 提供虚假的信用状况；</w:t>
      </w:r>
    </w:p>
    <w:p w14:paraId="5163AEDA">
      <w:pPr>
        <w:spacing w:before="124" w:line="274" w:lineRule="exact"/>
        <w:ind w:left="428"/>
        <w:rPr>
          <w:rFonts w:hint="eastAsia" w:ascii="宋体" w:hAnsi="宋体" w:eastAsia="宋体" w:cs="宋体"/>
          <w:sz w:val="21"/>
          <w:szCs w:val="21"/>
          <w:highlight w:val="none"/>
        </w:rPr>
      </w:pPr>
      <w:r>
        <w:rPr>
          <w:rFonts w:hint="eastAsia" w:ascii="宋体" w:hAnsi="宋体" w:eastAsia="宋体" w:cs="宋体"/>
          <w:position w:val="1"/>
          <w:sz w:val="21"/>
          <w:szCs w:val="21"/>
          <w:highlight w:val="none"/>
        </w:rPr>
        <w:t>f</w:t>
      </w:r>
      <w:r>
        <w:rPr>
          <w:rFonts w:hint="eastAsia" w:ascii="宋体" w:hAnsi="宋体" w:eastAsia="宋体" w:cs="宋体"/>
          <w:spacing w:val="12"/>
          <w:position w:val="1"/>
          <w:sz w:val="21"/>
          <w:szCs w:val="21"/>
          <w:highlight w:val="none"/>
        </w:rPr>
        <w:t>．</w:t>
      </w:r>
      <w:r>
        <w:rPr>
          <w:rFonts w:hint="eastAsia" w:ascii="宋体" w:hAnsi="宋体" w:eastAsia="宋体" w:cs="宋体"/>
          <w:spacing w:val="8"/>
          <w:position w:val="1"/>
          <w:sz w:val="21"/>
          <w:szCs w:val="21"/>
          <w:highlight w:val="none"/>
        </w:rPr>
        <w:t>其他弄虚作假的行为。</w:t>
      </w:r>
    </w:p>
    <w:p w14:paraId="42C80814">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3.7 投标文件的澄清和说明</w:t>
      </w:r>
    </w:p>
    <w:p w14:paraId="030CF3F4">
      <w:pPr>
        <w:spacing w:before="151" w:line="369" w:lineRule="auto"/>
        <w:ind w:left="10" w:right="49" w:firstLine="422"/>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3.7.1 在评标过程中，评标委员会可以书面形式要求投标人对投标文件中含义不明确的内容</w:t>
      </w:r>
      <w:r>
        <w:rPr>
          <w:rFonts w:hint="eastAsia" w:ascii="宋体" w:hAnsi="宋体" w:eastAsia="宋体" w:cs="宋体"/>
          <w:spacing w:val="7"/>
          <w:sz w:val="21"/>
          <w:szCs w:val="21"/>
          <w:highlight w:val="none"/>
        </w:rPr>
        <w:t>、</w:t>
      </w:r>
      <w:r>
        <w:rPr>
          <w:rFonts w:hint="eastAsia" w:ascii="宋体" w:hAnsi="宋体" w:eastAsia="宋体" w:cs="宋体"/>
          <w:spacing w:val="20"/>
          <w:sz w:val="21"/>
          <w:szCs w:val="21"/>
          <w:highlight w:val="none"/>
        </w:rPr>
        <w:t>明显</w:t>
      </w:r>
      <w:r>
        <w:rPr>
          <w:rFonts w:hint="eastAsia" w:ascii="宋体" w:hAnsi="宋体" w:eastAsia="宋体" w:cs="宋体"/>
          <w:spacing w:val="19"/>
          <w:sz w:val="21"/>
          <w:szCs w:val="21"/>
          <w:highlight w:val="none"/>
        </w:rPr>
        <w:t>文</w:t>
      </w:r>
      <w:r>
        <w:rPr>
          <w:rFonts w:hint="eastAsia" w:ascii="宋体" w:hAnsi="宋体" w:eastAsia="宋体" w:cs="宋体"/>
          <w:spacing w:val="10"/>
          <w:sz w:val="21"/>
          <w:szCs w:val="21"/>
          <w:highlight w:val="none"/>
        </w:rPr>
        <w:t>字或计算错误进行书面澄清或说明。评标委员会不接受投标人主动提出的澄清、说明。投标</w:t>
      </w:r>
      <w:r>
        <w:rPr>
          <w:rFonts w:hint="eastAsia" w:ascii="宋体" w:hAnsi="宋体" w:eastAsia="宋体" w:cs="宋体"/>
          <w:spacing w:val="15"/>
          <w:sz w:val="21"/>
          <w:szCs w:val="21"/>
          <w:highlight w:val="none"/>
        </w:rPr>
        <w:t>人</w:t>
      </w:r>
      <w:r>
        <w:rPr>
          <w:rFonts w:hint="eastAsia" w:ascii="宋体" w:hAnsi="宋体" w:eastAsia="宋体" w:cs="宋体"/>
          <w:spacing w:val="9"/>
          <w:sz w:val="21"/>
          <w:szCs w:val="21"/>
          <w:highlight w:val="none"/>
        </w:rPr>
        <w:t>不按评标委员会要求澄清或说明的，评标委员会应否决其投标。</w:t>
      </w:r>
    </w:p>
    <w:p w14:paraId="37F071E4">
      <w:pPr>
        <w:spacing w:before="2" w:line="369" w:lineRule="auto"/>
        <w:ind w:left="20" w:right="52" w:firstLine="411"/>
        <w:rPr>
          <w:rFonts w:hint="eastAsia" w:ascii="宋体" w:hAnsi="宋体" w:eastAsia="宋体" w:cs="宋体"/>
          <w:sz w:val="21"/>
          <w:szCs w:val="21"/>
          <w:highlight w:val="none"/>
        </w:rPr>
      </w:pPr>
      <w:r>
        <w:rPr>
          <w:rFonts w:hint="eastAsia" w:ascii="宋体" w:hAnsi="宋体" w:eastAsia="宋体" w:cs="宋体"/>
          <w:spacing w:val="18"/>
          <w:sz w:val="21"/>
          <w:szCs w:val="21"/>
          <w:highlight w:val="none"/>
        </w:rPr>
        <w:t>3.7</w:t>
      </w:r>
      <w:r>
        <w:rPr>
          <w:rFonts w:hint="eastAsia" w:ascii="宋体" w:hAnsi="宋体" w:eastAsia="宋体" w:cs="宋体"/>
          <w:spacing w:val="11"/>
          <w:sz w:val="21"/>
          <w:szCs w:val="21"/>
          <w:highlight w:val="none"/>
        </w:rPr>
        <w:t>.</w:t>
      </w:r>
      <w:r>
        <w:rPr>
          <w:rFonts w:hint="eastAsia" w:ascii="宋体" w:hAnsi="宋体" w:eastAsia="宋体" w:cs="宋体"/>
          <w:spacing w:val="9"/>
          <w:sz w:val="21"/>
          <w:szCs w:val="21"/>
          <w:highlight w:val="none"/>
        </w:rPr>
        <w:t>2 澄清和说明不得超出投标文件的范围或改变投标文件的实质性内容(算术性错误的修正</w:t>
      </w:r>
      <w:r>
        <w:rPr>
          <w:rFonts w:hint="eastAsia" w:ascii="宋体" w:hAnsi="宋体" w:eastAsia="宋体" w:cs="宋体"/>
          <w:spacing w:val="16"/>
          <w:sz w:val="21"/>
          <w:szCs w:val="21"/>
          <w:highlight w:val="none"/>
        </w:rPr>
        <w:t>除</w:t>
      </w:r>
      <w:r>
        <w:rPr>
          <w:rFonts w:hint="eastAsia" w:ascii="宋体" w:hAnsi="宋体" w:eastAsia="宋体" w:cs="宋体"/>
          <w:spacing w:val="13"/>
          <w:sz w:val="21"/>
          <w:szCs w:val="21"/>
          <w:highlight w:val="none"/>
        </w:rPr>
        <w:t>外</w:t>
      </w:r>
      <w:r>
        <w:rPr>
          <w:rFonts w:hint="eastAsia" w:ascii="宋体" w:hAnsi="宋体" w:eastAsia="宋体" w:cs="宋体"/>
          <w:spacing w:val="8"/>
          <w:sz w:val="21"/>
          <w:szCs w:val="21"/>
          <w:highlight w:val="none"/>
        </w:rPr>
        <w:t>)。投标人的书面澄清、说明属于投标文件的组成部分。</w:t>
      </w:r>
    </w:p>
    <w:p w14:paraId="7F1FA5A5">
      <w:pPr>
        <w:spacing w:before="2" w:line="369" w:lineRule="auto"/>
        <w:ind w:left="20" w:right="52" w:firstLine="411"/>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3.7.3 评标委员会不得暗示或诱导投标人作出澄清、说明，对投标人提交的澄清、说明有疑问</w:t>
      </w:r>
      <w:r>
        <w:rPr>
          <w:rFonts w:hint="eastAsia" w:ascii="宋体" w:hAnsi="宋体" w:eastAsia="宋体" w:cs="宋体"/>
          <w:spacing w:val="16"/>
          <w:sz w:val="21"/>
          <w:szCs w:val="21"/>
          <w:highlight w:val="none"/>
        </w:rPr>
        <w:t>的，可</w:t>
      </w:r>
      <w:r>
        <w:rPr>
          <w:rFonts w:hint="eastAsia" w:ascii="宋体" w:hAnsi="宋体" w:eastAsia="宋体" w:cs="宋体"/>
          <w:spacing w:val="8"/>
          <w:sz w:val="21"/>
          <w:szCs w:val="21"/>
          <w:highlight w:val="none"/>
        </w:rPr>
        <w:t>以要求投标人进一步澄清或说明，直至满足评标委员会的要求。</w:t>
      </w:r>
    </w:p>
    <w:p w14:paraId="01CF2D38">
      <w:pPr>
        <w:spacing w:before="150" w:line="369" w:lineRule="auto"/>
        <w:ind w:left="18" w:right="52" w:firstLine="414"/>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3.7.4 凡超出招标文件规定的或给发包人带来未曾要求的利益的变化、偏差或其他因素在评</w:t>
      </w:r>
      <w:r>
        <w:rPr>
          <w:rFonts w:hint="eastAsia" w:ascii="宋体" w:hAnsi="宋体" w:eastAsia="宋体" w:cs="宋体"/>
          <w:spacing w:val="4"/>
          <w:sz w:val="21"/>
          <w:szCs w:val="21"/>
          <w:highlight w:val="none"/>
        </w:rPr>
        <w:t>标</w:t>
      </w:r>
      <w:r>
        <w:rPr>
          <w:rFonts w:hint="eastAsia" w:ascii="宋体" w:hAnsi="宋体" w:eastAsia="宋体" w:cs="宋体"/>
          <w:spacing w:val="5"/>
          <w:sz w:val="21"/>
          <w:szCs w:val="21"/>
          <w:highlight w:val="none"/>
        </w:rPr>
        <w:t>时不予考虑。</w:t>
      </w:r>
    </w:p>
    <w:p w14:paraId="4814C591">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3.8 不得否决投标的情形</w:t>
      </w:r>
    </w:p>
    <w:p w14:paraId="1040FF72">
      <w:pPr>
        <w:spacing w:before="153" w:line="369" w:lineRule="auto"/>
        <w:ind w:left="11" w:right="51" w:firstLine="41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投</w:t>
      </w:r>
      <w:r>
        <w:rPr>
          <w:rFonts w:hint="eastAsia" w:ascii="宋体" w:hAnsi="宋体" w:eastAsia="宋体" w:cs="宋体"/>
          <w:spacing w:val="5"/>
          <w:sz w:val="21"/>
          <w:szCs w:val="21"/>
          <w:highlight w:val="none"/>
        </w:rPr>
        <w:t>标文件存在第二章“投标人须知”第 1.12.3 项所列情形的，均视为细微偏差，评标委员会</w:t>
      </w:r>
      <w:r>
        <w:rPr>
          <w:rFonts w:hint="eastAsia" w:ascii="宋体" w:hAnsi="宋体" w:eastAsia="宋体" w:cs="宋体"/>
          <w:spacing w:val="16"/>
          <w:sz w:val="21"/>
          <w:szCs w:val="21"/>
          <w:highlight w:val="none"/>
        </w:rPr>
        <w:t>不得</w:t>
      </w:r>
      <w:r>
        <w:rPr>
          <w:rFonts w:hint="eastAsia" w:ascii="宋体" w:hAnsi="宋体" w:eastAsia="宋体" w:cs="宋体"/>
          <w:spacing w:val="11"/>
          <w:sz w:val="21"/>
          <w:szCs w:val="21"/>
          <w:highlight w:val="none"/>
        </w:rPr>
        <w:t>否</w:t>
      </w:r>
      <w:r>
        <w:rPr>
          <w:rFonts w:hint="eastAsia" w:ascii="宋体" w:hAnsi="宋体" w:eastAsia="宋体" w:cs="宋体"/>
          <w:spacing w:val="8"/>
          <w:sz w:val="21"/>
          <w:szCs w:val="21"/>
          <w:highlight w:val="none"/>
        </w:rPr>
        <w:t>决投标人的投标，应按照第二章“投标人须知”第 1.12.4 项规定的原则处理。</w:t>
      </w:r>
    </w:p>
    <w:p w14:paraId="3C3FAE81">
      <w:pPr>
        <w:spacing w:before="155" w:line="360" w:lineRule="auto"/>
        <w:ind w:right="109"/>
        <w:rPr>
          <w:rFonts w:hint="eastAsia" w:ascii="宋体" w:hAnsi="宋体" w:eastAsia="宋体" w:cs="宋体"/>
          <w:b/>
          <w:bCs/>
          <w:spacing w:val="9"/>
          <w:sz w:val="21"/>
          <w:szCs w:val="21"/>
          <w:highlight w:val="none"/>
          <w:u w:val="none"/>
        </w:rPr>
      </w:pPr>
      <w:r>
        <w:rPr>
          <w:rFonts w:hint="eastAsia" w:ascii="宋体" w:hAnsi="宋体" w:eastAsia="宋体" w:cs="宋体"/>
          <w:b/>
          <w:bCs/>
          <w:spacing w:val="9"/>
          <w:sz w:val="21"/>
          <w:szCs w:val="21"/>
          <w:highlight w:val="none"/>
          <w:u w:val="none"/>
        </w:rPr>
        <w:t>3.9 评标结果</w:t>
      </w:r>
    </w:p>
    <w:p w14:paraId="70311273">
      <w:pPr>
        <w:spacing w:before="152" w:line="369" w:lineRule="auto"/>
        <w:ind w:left="14" w:right="51" w:firstLine="420"/>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3.9.1 除第二章“投标人须知”前附表授权直接确定中标人外，评标委员会按照评标价由低</w:t>
      </w:r>
      <w:r>
        <w:rPr>
          <w:rFonts w:hint="eastAsia" w:ascii="宋体" w:hAnsi="宋体" w:eastAsia="宋体" w:cs="宋体"/>
          <w:spacing w:val="2"/>
          <w:sz w:val="21"/>
          <w:szCs w:val="21"/>
          <w:highlight w:val="none"/>
        </w:rPr>
        <w:t>到</w:t>
      </w:r>
      <w:r>
        <w:rPr>
          <w:rFonts w:hint="eastAsia" w:ascii="宋体" w:hAnsi="宋体" w:eastAsia="宋体" w:cs="宋体"/>
          <w:spacing w:val="16"/>
          <w:sz w:val="21"/>
          <w:szCs w:val="21"/>
          <w:highlight w:val="none"/>
        </w:rPr>
        <w:t>高</w:t>
      </w:r>
      <w:r>
        <w:rPr>
          <w:rFonts w:hint="eastAsia" w:ascii="宋体" w:hAnsi="宋体" w:eastAsia="宋体" w:cs="宋体"/>
          <w:spacing w:val="11"/>
          <w:sz w:val="21"/>
          <w:szCs w:val="21"/>
          <w:highlight w:val="none"/>
        </w:rPr>
        <w:t>的</w:t>
      </w:r>
      <w:r>
        <w:rPr>
          <w:rFonts w:hint="eastAsia" w:ascii="宋体" w:hAnsi="宋体" w:eastAsia="宋体" w:cs="宋体"/>
          <w:spacing w:val="8"/>
          <w:sz w:val="21"/>
          <w:szCs w:val="21"/>
          <w:highlight w:val="none"/>
        </w:rPr>
        <w:t>顺序推荐中标候选人，并标明排序。</w:t>
      </w:r>
    </w:p>
    <w:p w14:paraId="18DDE0BA">
      <w:r>
        <w:rPr>
          <w:rFonts w:hint="eastAsia" w:ascii="宋体" w:hAnsi="宋体" w:eastAsia="宋体" w:cs="宋体"/>
          <w:spacing w:val="12"/>
          <w:sz w:val="21"/>
          <w:szCs w:val="21"/>
          <w:highlight w:val="none"/>
        </w:rPr>
        <w:t>3.</w:t>
      </w:r>
      <w:r>
        <w:rPr>
          <w:rFonts w:hint="eastAsia" w:ascii="宋体" w:hAnsi="宋体" w:eastAsia="宋体" w:cs="宋体"/>
          <w:spacing w:val="11"/>
          <w:sz w:val="21"/>
          <w:szCs w:val="21"/>
          <w:highlight w:val="none"/>
        </w:rPr>
        <w:t>9</w:t>
      </w:r>
      <w:r>
        <w:rPr>
          <w:rFonts w:hint="eastAsia" w:ascii="宋体" w:hAnsi="宋体" w:eastAsia="宋体" w:cs="宋体"/>
          <w:spacing w:val="6"/>
          <w:sz w:val="21"/>
          <w:szCs w:val="21"/>
          <w:highlight w:val="none"/>
        </w:rPr>
        <w:t>.2 评标委员会完成评标后，应向招标人提交书面评标报告。</w:t>
      </w:r>
      <w:bookmarkStart w:id="4" w:name="_GoBack"/>
      <w:bookmarkEnd w:id="4"/>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41"/>
    <w:rsid w:val="0010576F"/>
    <w:rsid w:val="00161FD0"/>
    <w:rsid w:val="0017676F"/>
    <w:rsid w:val="00204C38"/>
    <w:rsid w:val="0026339A"/>
    <w:rsid w:val="002E4D41"/>
    <w:rsid w:val="00300BA7"/>
    <w:rsid w:val="00310929"/>
    <w:rsid w:val="00400CEC"/>
    <w:rsid w:val="00585965"/>
    <w:rsid w:val="00695050"/>
    <w:rsid w:val="009147DE"/>
    <w:rsid w:val="00A45D7C"/>
    <w:rsid w:val="00B65D22"/>
    <w:rsid w:val="00B92C66"/>
    <w:rsid w:val="00ED7E3D"/>
    <w:rsid w:val="0103675B"/>
    <w:rsid w:val="010618DB"/>
    <w:rsid w:val="01253531"/>
    <w:rsid w:val="014864E3"/>
    <w:rsid w:val="014E1528"/>
    <w:rsid w:val="017316A9"/>
    <w:rsid w:val="01875959"/>
    <w:rsid w:val="01894704"/>
    <w:rsid w:val="01896713"/>
    <w:rsid w:val="01AD55D9"/>
    <w:rsid w:val="01C67EFE"/>
    <w:rsid w:val="01DF51FB"/>
    <w:rsid w:val="01E96DB3"/>
    <w:rsid w:val="01FD49A0"/>
    <w:rsid w:val="01FE4CA3"/>
    <w:rsid w:val="02064FFC"/>
    <w:rsid w:val="020E1750"/>
    <w:rsid w:val="020E5952"/>
    <w:rsid w:val="02117647"/>
    <w:rsid w:val="0248616F"/>
    <w:rsid w:val="02486BAD"/>
    <w:rsid w:val="02692C21"/>
    <w:rsid w:val="028F2D95"/>
    <w:rsid w:val="02A629ED"/>
    <w:rsid w:val="02A71500"/>
    <w:rsid w:val="02B5343C"/>
    <w:rsid w:val="02C67F60"/>
    <w:rsid w:val="02D55861"/>
    <w:rsid w:val="02D854D5"/>
    <w:rsid w:val="02EF5D7D"/>
    <w:rsid w:val="02F54851"/>
    <w:rsid w:val="03186126"/>
    <w:rsid w:val="03257F69"/>
    <w:rsid w:val="03263F28"/>
    <w:rsid w:val="032A20F2"/>
    <w:rsid w:val="03362AFF"/>
    <w:rsid w:val="03454EE4"/>
    <w:rsid w:val="03463C1C"/>
    <w:rsid w:val="035674EF"/>
    <w:rsid w:val="035E413F"/>
    <w:rsid w:val="0361093F"/>
    <w:rsid w:val="036460D9"/>
    <w:rsid w:val="03662935"/>
    <w:rsid w:val="036D3331"/>
    <w:rsid w:val="0370305B"/>
    <w:rsid w:val="038013DC"/>
    <w:rsid w:val="038D3804"/>
    <w:rsid w:val="03A02D8C"/>
    <w:rsid w:val="03CD420C"/>
    <w:rsid w:val="03D71149"/>
    <w:rsid w:val="03F368F1"/>
    <w:rsid w:val="041A32A0"/>
    <w:rsid w:val="041D29C1"/>
    <w:rsid w:val="042946F3"/>
    <w:rsid w:val="043B7DB7"/>
    <w:rsid w:val="044852E4"/>
    <w:rsid w:val="046414F1"/>
    <w:rsid w:val="046F5BC8"/>
    <w:rsid w:val="048D0373"/>
    <w:rsid w:val="04C22E7C"/>
    <w:rsid w:val="04CE2492"/>
    <w:rsid w:val="04FC6B6A"/>
    <w:rsid w:val="05085BB7"/>
    <w:rsid w:val="05114004"/>
    <w:rsid w:val="053709AA"/>
    <w:rsid w:val="053709C1"/>
    <w:rsid w:val="0592230B"/>
    <w:rsid w:val="05A405B7"/>
    <w:rsid w:val="05AC604E"/>
    <w:rsid w:val="05D05FEB"/>
    <w:rsid w:val="05EB4770"/>
    <w:rsid w:val="05F03250"/>
    <w:rsid w:val="05F81706"/>
    <w:rsid w:val="05FB3A58"/>
    <w:rsid w:val="06157EF4"/>
    <w:rsid w:val="06174618"/>
    <w:rsid w:val="06280C8A"/>
    <w:rsid w:val="063E43E5"/>
    <w:rsid w:val="064F48EA"/>
    <w:rsid w:val="0668127E"/>
    <w:rsid w:val="068607EA"/>
    <w:rsid w:val="0692156A"/>
    <w:rsid w:val="069641A6"/>
    <w:rsid w:val="069E6E2A"/>
    <w:rsid w:val="069F42E4"/>
    <w:rsid w:val="06A40A7B"/>
    <w:rsid w:val="06B03FC7"/>
    <w:rsid w:val="06B0603E"/>
    <w:rsid w:val="06B37296"/>
    <w:rsid w:val="06B838DC"/>
    <w:rsid w:val="06C946D1"/>
    <w:rsid w:val="06CB16CF"/>
    <w:rsid w:val="06D909F9"/>
    <w:rsid w:val="06E64468"/>
    <w:rsid w:val="06FD2182"/>
    <w:rsid w:val="0714494C"/>
    <w:rsid w:val="0720285B"/>
    <w:rsid w:val="07475ECA"/>
    <w:rsid w:val="074F5773"/>
    <w:rsid w:val="075372CC"/>
    <w:rsid w:val="075D428D"/>
    <w:rsid w:val="078F6F8C"/>
    <w:rsid w:val="07912CE3"/>
    <w:rsid w:val="07C07D8C"/>
    <w:rsid w:val="07DB18D5"/>
    <w:rsid w:val="08114948"/>
    <w:rsid w:val="083706A0"/>
    <w:rsid w:val="08385884"/>
    <w:rsid w:val="083C0FF0"/>
    <w:rsid w:val="083F72C5"/>
    <w:rsid w:val="084001DB"/>
    <w:rsid w:val="08475340"/>
    <w:rsid w:val="08882F31"/>
    <w:rsid w:val="08D71382"/>
    <w:rsid w:val="09114DEC"/>
    <w:rsid w:val="093636CC"/>
    <w:rsid w:val="093D3756"/>
    <w:rsid w:val="093F65F6"/>
    <w:rsid w:val="09472785"/>
    <w:rsid w:val="0952100B"/>
    <w:rsid w:val="09766415"/>
    <w:rsid w:val="09790B3E"/>
    <w:rsid w:val="097A0503"/>
    <w:rsid w:val="09857A5D"/>
    <w:rsid w:val="09CF540A"/>
    <w:rsid w:val="09D2055E"/>
    <w:rsid w:val="09D218AA"/>
    <w:rsid w:val="09DD4F50"/>
    <w:rsid w:val="09E80B91"/>
    <w:rsid w:val="09ED0778"/>
    <w:rsid w:val="0A141EB9"/>
    <w:rsid w:val="0A1B615B"/>
    <w:rsid w:val="0A247791"/>
    <w:rsid w:val="0A342C49"/>
    <w:rsid w:val="0A3625A2"/>
    <w:rsid w:val="0A426F0D"/>
    <w:rsid w:val="0A49439C"/>
    <w:rsid w:val="0A4B3518"/>
    <w:rsid w:val="0A5E7375"/>
    <w:rsid w:val="0A75562F"/>
    <w:rsid w:val="0A7C3C40"/>
    <w:rsid w:val="0A90383E"/>
    <w:rsid w:val="0A9207B7"/>
    <w:rsid w:val="0A9E04EF"/>
    <w:rsid w:val="0AB77F1F"/>
    <w:rsid w:val="0B0616FF"/>
    <w:rsid w:val="0B19120C"/>
    <w:rsid w:val="0B3C66D1"/>
    <w:rsid w:val="0B472153"/>
    <w:rsid w:val="0B472CA8"/>
    <w:rsid w:val="0B55792A"/>
    <w:rsid w:val="0B664598"/>
    <w:rsid w:val="0B824FB8"/>
    <w:rsid w:val="0BC575C7"/>
    <w:rsid w:val="0BE20D63"/>
    <w:rsid w:val="0C122365"/>
    <w:rsid w:val="0C1A13A6"/>
    <w:rsid w:val="0C1E43DF"/>
    <w:rsid w:val="0C234795"/>
    <w:rsid w:val="0C28519B"/>
    <w:rsid w:val="0C4B60B2"/>
    <w:rsid w:val="0C553361"/>
    <w:rsid w:val="0C6803C3"/>
    <w:rsid w:val="0C88349C"/>
    <w:rsid w:val="0C930FD5"/>
    <w:rsid w:val="0CB47242"/>
    <w:rsid w:val="0CCF21B1"/>
    <w:rsid w:val="0CD41AD4"/>
    <w:rsid w:val="0CD64555"/>
    <w:rsid w:val="0CD72160"/>
    <w:rsid w:val="0CF12E10"/>
    <w:rsid w:val="0D1359A4"/>
    <w:rsid w:val="0D1531BD"/>
    <w:rsid w:val="0D6563B9"/>
    <w:rsid w:val="0D6C7AA9"/>
    <w:rsid w:val="0D8E4152"/>
    <w:rsid w:val="0DA44A50"/>
    <w:rsid w:val="0E172A96"/>
    <w:rsid w:val="0E6E58EF"/>
    <w:rsid w:val="0E766518"/>
    <w:rsid w:val="0E7C0145"/>
    <w:rsid w:val="0E8453F4"/>
    <w:rsid w:val="0E870EF1"/>
    <w:rsid w:val="0E882FE9"/>
    <w:rsid w:val="0E946F33"/>
    <w:rsid w:val="0EA9071B"/>
    <w:rsid w:val="0EBD46C5"/>
    <w:rsid w:val="0EBD4731"/>
    <w:rsid w:val="0EC6433D"/>
    <w:rsid w:val="0EC654A5"/>
    <w:rsid w:val="0EEF5667"/>
    <w:rsid w:val="0EF3215A"/>
    <w:rsid w:val="0EF63FF3"/>
    <w:rsid w:val="0EF64A9B"/>
    <w:rsid w:val="0EFB155E"/>
    <w:rsid w:val="0F0B342E"/>
    <w:rsid w:val="0F300C15"/>
    <w:rsid w:val="0F44187E"/>
    <w:rsid w:val="0F510D83"/>
    <w:rsid w:val="0F593408"/>
    <w:rsid w:val="0F641343"/>
    <w:rsid w:val="0F810C8E"/>
    <w:rsid w:val="0F8F4532"/>
    <w:rsid w:val="0F90307C"/>
    <w:rsid w:val="0F95182E"/>
    <w:rsid w:val="0F956652"/>
    <w:rsid w:val="0F9631A6"/>
    <w:rsid w:val="0F976DB9"/>
    <w:rsid w:val="0F983905"/>
    <w:rsid w:val="0FB41BA9"/>
    <w:rsid w:val="0FBC55C6"/>
    <w:rsid w:val="0FD670CA"/>
    <w:rsid w:val="0FD87BAF"/>
    <w:rsid w:val="0FE32D6B"/>
    <w:rsid w:val="101373B0"/>
    <w:rsid w:val="102659CD"/>
    <w:rsid w:val="10541C05"/>
    <w:rsid w:val="106276C7"/>
    <w:rsid w:val="10665FBF"/>
    <w:rsid w:val="10752273"/>
    <w:rsid w:val="107942E5"/>
    <w:rsid w:val="10BA22CB"/>
    <w:rsid w:val="10C46197"/>
    <w:rsid w:val="10D22A74"/>
    <w:rsid w:val="10D35045"/>
    <w:rsid w:val="10FE713D"/>
    <w:rsid w:val="11161C64"/>
    <w:rsid w:val="115B615D"/>
    <w:rsid w:val="116E3FDF"/>
    <w:rsid w:val="116F296F"/>
    <w:rsid w:val="117B4152"/>
    <w:rsid w:val="11A0278D"/>
    <w:rsid w:val="11C65F10"/>
    <w:rsid w:val="11E03C2A"/>
    <w:rsid w:val="11F55841"/>
    <w:rsid w:val="11F86EE7"/>
    <w:rsid w:val="11FA492E"/>
    <w:rsid w:val="12135271"/>
    <w:rsid w:val="121B4E57"/>
    <w:rsid w:val="12280A31"/>
    <w:rsid w:val="1229216C"/>
    <w:rsid w:val="122F270A"/>
    <w:rsid w:val="12303B69"/>
    <w:rsid w:val="123C5F34"/>
    <w:rsid w:val="123F69F9"/>
    <w:rsid w:val="124926B4"/>
    <w:rsid w:val="12534143"/>
    <w:rsid w:val="12596FB6"/>
    <w:rsid w:val="126559F5"/>
    <w:rsid w:val="1268008B"/>
    <w:rsid w:val="12792F7C"/>
    <w:rsid w:val="12907F56"/>
    <w:rsid w:val="12BB4E2E"/>
    <w:rsid w:val="12D65F05"/>
    <w:rsid w:val="12D8032C"/>
    <w:rsid w:val="12E4347D"/>
    <w:rsid w:val="12E86517"/>
    <w:rsid w:val="12EB22AE"/>
    <w:rsid w:val="1302465B"/>
    <w:rsid w:val="13061E9A"/>
    <w:rsid w:val="1314747F"/>
    <w:rsid w:val="132D3E95"/>
    <w:rsid w:val="134566EE"/>
    <w:rsid w:val="134858ED"/>
    <w:rsid w:val="135E59A1"/>
    <w:rsid w:val="135E6680"/>
    <w:rsid w:val="138119A1"/>
    <w:rsid w:val="13AF360F"/>
    <w:rsid w:val="13B44377"/>
    <w:rsid w:val="13BB2ED4"/>
    <w:rsid w:val="13C933ED"/>
    <w:rsid w:val="13DC7AEE"/>
    <w:rsid w:val="13E0662D"/>
    <w:rsid w:val="13E22976"/>
    <w:rsid w:val="140224B2"/>
    <w:rsid w:val="14084FC9"/>
    <w:rsid w:val="14117F14"/>
    <w:rsid w:val="14201E54"/>
    <w:rsid w:val="14361894"/>
    <w:rsid w:val="14457EB0"/>
    <w:rsid w:val="147F5682"/>
    <w:rsid w:val="1484561F"/>
    <w:rsid w:val="14EE571C"/>
    <w:rsid w:val="14EF1C97"/>
    <w:rsid w:val="14EF3CE6"/>
    <w:rsid w:val="14F35C6B"/>
    <w:rsid w:val="14F454D2"/>
    <w:rsid w:val="14FC64D8"/>
    <w:rsid w:val="1507338D"/>
    <w:rsid w:val="15087394"/>
    <w:rsid w:val="15165A0E"/>
    <w:rsid w:val="151B010D"/>
    <w:rsid w:val="1527111D"/>
    <w:rsid w:val="15635A83"/>
    <w:rsid w:val="156442A9"/>
    <w:rsid w:val="156C19BC"/>
    <w:rsid w:val="15A644E9"/>
    <w:rsid w:val="15C02741"/>
    <w:rsid w:val="15D26AD6"/>
    <w:rsid w:val="15D329AF"/>
    <w:rsid w:val="160429FB"/>
    <w:rsid w:val="16086430"/>
    <w:rsid w:val="16242F9A"/>
    <w:rsid w:val="16254F76"/>
    <w:rsid w:val="16364ED8"/>
    <w:rsid w:val="16577AE0"/>
    <w:rsid w:val="16591EDF"/>
    <w:rsid w:val="165B742F"/>
    <w:rsid w:val="16772BEC"/>
    <w:rsid w:val="1685100F"/>
    <w:rsid w:val="16903521"/>
    <w:rsid w:val="16A0221A"/>
    <w:rsid w:val="16B07F76"/>
    <w:rsid w:val="16B10F41"/>
    <w:rsid w:val="16B16726"/>
    <w:rsid w:val="16BD3251"/>
    <w:rsid w:val="16C20E14"/>
    <w:rsid w:val="17044B6B"/>
    <w:rsid w:val="17455F03"/>
    <w:rsid w:val="176032A4"/>
    <w:rsid w:val="176A55E5"/>
    <w:rsid w:val="176F0FA8"/>
    <w:rsid w:val="17943484"/>
    <w:rsid w:val="17B22A75"/>
    <w:rsid w:val="17B9534A"/>
    <w:rsid w:val="17E42A61"/>
    <w:rsid w:val="17E86A8F"/>
    <w:rsid w:val="17E92906"/>
    <w:rsid w:val="17F317AB"/>
    <w:rsid w:val="181306D8"/>
    <w:rsid w:val="183606F2"/>
    <w:rsid w:val="18366519"/>
    <w:rsid w:val="18475E0D"/>
    <w:rsid w:val="18605709"/>
    <w:rsid w:val="18962661"/>
    <w:rsid w:val="18A250AF"/>
    <w:rsid w:val="18A95C6D"/>
    <w:rsid w:val="18B35EB4"/>
    <w:rsid w:val="18C44776"/>
    <w:rsid w:val="18C5075D"/>
    <w:rsid w:val="18E13007"/>
    <w:rsid w:val="18E443CC"/>
    <w:rsid w:val="18E57856"/>
    <w:rsid w:val="18ED1D3C"/>
    <w:rsid w:val="18F70986"/>
    <w:rsid w:val="19126295"/>
    <w:rsid w:val="192C352D"/>
    <w:rsid w:val="19357ABF"/>
    <w:rsid w:val="194319A5"/>
    <w:rsid w:val="19651799"/>
    <w:rsid w:val="19852579"/>
    <w:rsid w:val="19903761"/>
    <w:rsid w:val="199263A2"/>
    <w:rsid w:val="19B52F18"/>
    <w:rsid w:val="19DD21EB"/>
    <w:rsid w:val="19E26286"/>
    <w:rsid w:val="1A384C6A"/>
    <w:rsid w:val="1A65114A"/>
    <w:rsid w:val="1A877764"/>
    <w:rsid w:val="1A99185E"/>
    <w:rsid w:val="1AEF7D5C"/>
    <w:rsid w:val="1AFC0ADB"/>
    <w:rsid w:val="1B0144F4"/>
    <w:rsid w:val="1B0D5FB4"/>
    <w:rsid w:val="1B281F31"/>
    <w:rsid w:val="1B571D1E"/>
    <w:rsid w:val="1B5B4428"/>
    <w:rsid w:val="1B881720"/>
    <w:rsid w:val="1B8C0578"/>
    <w:rsid w:val="1BBA7A84"/>
    <w:rsid w:val="1BC14837"/>
    <w:rsid w:val="1BF45732"/>
    <w:rsid w:val="1C0F2F5B"/>
    <w:rsid w:val="1C7865E3"/>
    <w:rsid w:val="1C8D3825"/>
    <w:rsid w:val="1CAC344F"/>
    <w:rsid w:val="1CB47038"/>
    <w:rsid w:val="1D071913"/>
    <w:rsid w:val="1D0D54AF"/>
    <w:rsid w:val="1D10750B"/>
    <w:rsid w:val="1D162565"/>
    <w:rsid w:val="1D210938"/>
    <w:rsid w:val="1D462FBC"/>
    <w:rsid w:val="1D691421"/>
    <w:rsid w:val="1D765669"/>
    <w:rsid w:val="1D885663"/>
    <w:rsid w:val="1D8D3C75"/>
    <w:rsid w:val="1DBA1502"/>
    <w:rsid w:val="1DC00DBD"/>
    <w:rsid w:val="1DCB36DB"/>
    <w:rsid w:val="1E1F70E3"/>
    <w:rsid w:val="1E4714A2"/>
    <w:rsid w:val="1E5D06D2"/>
    <w:rsid w:val="1E662574"/>
    <w:rsid w:val="1E6E5125"/>
    <w:rsid w:val="1E855BD4"/>
    <w:rsid w:val="1E8A05A6"/>
    <w:rsid w:val="1E9D7D13"/>
    <w:rsid w:val="1EA10CE2"/>
    <w:rsid w:val="1EA16ABC"/>
    <w:rsid w:val="1EAD2634"/>
    <w:rsid w:val="1EE94B93"/>
    <w:rsid w:val="1EFA68AB"/>
    <w:rsid w:val="1F040A77"/>
    <w:rsid w:val="1F0C3B7A"/>
    <w:rsid w:val="1F241520"/>
    <w:rsid w:val="1F36268A"/>
    <w:rsid w:val="1F7E35A3"/>
    <w:rsid w:val="1F832DA8"/>
    <w:rsid w:val="1F973C99"/>
    <w:rsid w:val="1F9C02F1"/>
    <w:rsid w:val="1F9D017A"/>
    <w:rsid w:val="1FA70459"/>
    <w:rsid w:val="1FBC0063"/>
    <w:rsid w:val="1FE0365D"/>
    <w:rsid w:val="1FEA1C5E"/>
    <w:rsid w:val="1FEE5EB1"/>
    <w:rsid w:val="1FF77425"/>
    <w:rsid w:val="200118FE"/>
    <w:rsid w:val="20266CB3"/>
    <w:rsid w:val="20330975"/>
    <w:rsid w:val="203A1569"/>
    <w:rsid w:val="20467017"/>
    <w:rsid w:val="206622A9"/>
    <w:rsid w:val="206C7914"/>
    <w:rsid w:val="207D26E4"/>
    <w:rsid w:val="209242A0"/>
    <w:rsid w:val="20B27298"/>
    <w:rsid w:val="20D24160"/>
    <w:rsid w:val="20DF4D5D"/>
    <w:rsid w:val="20EA0A72"/>
    <w:rsid w:val="20ED4117"/>
    <w:rsid w:val="211F2693"/>
    <w:rsid w:val="216C5C18"/>
    <w:rsid w:val="217212B7"/>
    <w:rsid w:val="21734A23"/>
    <w:rsid w:val="218D2775"/>
    <w:rsid w:val="21935B82"/>
    <w:rsid w:val="21A12BD8"/>
    <w:rsid w:val="21B37152"/>
    <w:rsid w:val="21C35BE0"/>
    <w:rsid w:val="21C50DF0"/>
    <w:rsid w:val="21CA2DCF"/>
    <w:rsid w:val="21CA7564"/>
    <w:rsid w:val="21D34E89"/>
    <w:rsid w:val="21E25E8B"/>
    <w:rsid w:val="21E30F7A"/>
    <w:rsid w:val="21FE38A3"/>
    <w:rsid w:val="22000BDE"/>
    <w:rsid w:val="220E0EC2"/>
    <w:rsid w:val="221901F3"/>
    <w:rsid w:val="22257713"/>
    <w:rsid w:val="225B26AC"/>
    <w:rsid w:val="227045D1"/>
    <w:rsid w:val="227870A8"/>
    <w:rsid w:val="2279067E"/>
    <w:rsid w:val="22B638A2"/>
    <w:rsid w:val="22C378B1"/>
    <w:rsid w:val="22CC2383"/>
    <w:rsid w:val="22D649D6"/>
    <w:rsid w:val="22E53E16"/>
    <w:rsid w:val="2307223D"/>
    <w:rsid w:val="23281F85"/>
    <w:rsid w:val="233338DB"/>
    <w:rsid w:val="235A6A1F"/>
    <w:rsid w:val="235C15D6"/>
    <w:rsid w:val="23726D0F"/>
    <w:rsid w:val="2385651E"/>
    <w:rsid w:val="239E6F53"/>
    <w:rsid w:val="23B80F19"/>
    <w:rsid w:val="23C10D46"/>
    <w:rsid w:val="23C2617B"/>
    <w:rsid w:val="23C92013"/>
    <w:rsid w:val="243346C4"/>
    <w:rsid w:val="24515C95"/>
    <w:rsid w:val="24586B3B"/>
    <w:rsid w:val="24617331"/>
    <w:rsid w:val="24686E6E"/>
    <w:rsid w:val="2481263C"/>
    <w:rsid w:val="24953190"/>
    <w:rsid w:val="25750844"/>
    <w:rsid w:val="258207C6"/>
    <w:rsid w:val="25893D67"/>
    <w:rsid w:val="25926108"/>
    <w:rsid w:val="259723A0"/>
    <w:rsid w:val="259F20CD"/>
    <w:rsid w:val="25BA4FE1"/>
    <w:rsid w:val="25E80876"/>
    <w:rsid w:val="25F86BF6"/>
    <w:rsid w:val="25F86C8D"/>
    <w:rsid w:val="25FF728C"/>
    <w:rsid w:val="261D5EB5"/>
    <w:rsid w:val="26250854"/>
    <w:rsid w:val="263F54DD"/>
    <w:rsid w:val="26591C8E"/>
    <w:rsid w:val="26736337"/>
    <w:rsid w:val="267C2C58"/>
    <w:rsid w:val="2683477B"/>
    <w:rsid w:val="26864465"/>
    <w:rsid w:val="2687369D"/>
    <w:rsid w:val="26882F24"/>
    <w:rsid w:val="26AE7BF5"/>
    <w:rsid w:val="26C734D7"/>
    <w:rsid w:val="26ED750A"/>
    <w:rsid w:val="26F6339D"/>
    <w:rsid w:val="27046413"/>
    <w:rsid w:val="270B31BB"/>
    <w:rsid w:val="27480FF1"/>
    <w:rsid w:val="27611CB8"/>
    <w:rsid w:val="276255CC"/>
    <w:rsid w:val="2774784D"/>
    <w:rsid w:val="278D68C4"/>
    <w:rsid w:val="278E08F5"/>
    <w:rsid w:val="2798448A"/>
    <w:rsid w:val="27B72B11"/>
    <w:rsid w:val="27C56A79"/>
    <w:rsid w:val="27C97E71"/>
    <w:rsid w:val="27D13705"/>
    <w:rsid w:val="27D25D08"/>
    <w:rsid w:val="27F4647B"/>
    <w:rsid w:val="28237E21"/>
    <w:rsid w:val="282548E3"/>
    <w:rsid w:val="2829543B"/>
    <w:rsid w:val="2831479C"/>
    <w:rsid w:val="28491FB1"/>
    <w:rsid w:val="28672C29"/>
    <w:rsid w:val="28674EBF"/>
    <w:rsid w:val="28757CA5"/>
    <w:rsid w:val="287E4B4D"/>
    <w:rsid w:val="288C1CED"/>
    <w:rsid w:val="288D76F0"/>
    <w:rsid w:val="28917B2B"/>
    <w:rsid w:val="28932C03"/>
    <w:rsid w:val="28A611EC"/>
    <w:rsid w:val="28A6323E"/>
    <w:rsid w:val="28B26AF4"/>
    <w:rsid w:val="28C52DE3"/>
    <w:rsid w:val="28D9719E"/>
    <w:rsid w:val="28DA63FE"/>
    <w:rsid w:val="28EC738D"/>
    <w:rsid w:val="291C361D"/>
    <w:rsid w:val="291C5EAE"/>
    <w:rsid w:val="291D2119"/>
    <w:rsid w:val="292224FA"/>
    <w:rsid w:val="29580B63"/>
    <w:rsid w:val="29797FE5"/>
    <w:rsid w:val="29A0722B"/>
    <w:rsid w:val="29B32F0F"/>
    <w:rsid w:val="29B87988"/>
    <w:rsid w:val="29BE33C0"/>
    <w:rsid w:val="29CE2C4B"/>
    <w:rsid w:val="29E47CD1"/>
    <w:rsid w:val="29F155C8"/>
    <w:rsid w:val="29FD31FA"/>
    <w:rsid w:val="2A084AD2"/>
    <w:rsid w:val="2A352F7C"/>
    <w:rsid w:val="2A4A4F36"/>
    <w:rsid w:val="2A94057E"/>
    <w:rsid w:val="2ABA7BF3"/>
    <w:rsid w:val="2AD65E07"/>
    <w:rsid w:val="2ADE3D12"/>
    <w:rsid w:val="2AF206DB"/>
    <w:rsid w:val="2B2D343E"/>
    <w:rsid w:val="2B806C19"/>
    <w:rsid w:val="2B942792"/>
    <w:rsid w:val="2B9E01E0"/>
    <w:rsid w:val="2BAC149D"/>
    <w:rsid w:val="2BDB3541"/>
    <w:rsid w:val="2BDD14F3"/>
    <w:rsid w:val="2BF81FA7"/>
    <w:rsid w:val="2C3E4AA8"/>
    <w:rsid w:val="2C476EFB"/>
    <w:rsid w:val="2C4D0D11"/>
    <w:rsid w:val="2C4F61C1"/>
    <w:rsid w:val="2C5C4C5D"/>
    <w:rsid w:val="2C750C0A"/>
    <w:rsid w:val="2C950E42"/>
    <w:rsid w:val="2CAF3A05"/>
    <w:rsid w:val="2CC34B59"/>
    <w:rsid w:val="2CE01DC6"/>
    <w:rsid w:val="2CE42929"/>
    <w:rsid w:val="2CFA6CA2"/>
    <w:rsid w:val="2D1315D0"/>
    <w:rsid w:val="2D2A5D95"/>
    <w:rsid w:val="2D2D59B3"/>
    <w:rsid w:val="2D375BD7"/>
    <w:rsid w:val="2D380681"/>
    <w:rsid w:val="2D3F4BFF"/>
    <w:rsid w:val="2D7F54F5"/>
    <w:rsid w:val="2DA41BF1"/>
    <w:rsid w:val="2DA605DF"/>
    <w:rsid w:val="2DA65F54"/>
    <w:rsid w:val="2DC5457B"/>
    <w:rsid w:val="2E094D71"/>
    <w:rsid w:val="2E4B6166"/>
    <w:rsid w:val="2E6536F1"/>
    <w:rsid w:val="2E7C0DCD"/>
    <w:rsid w:val="2E8056FB"/>
    <w:rsid w:val="2E940AAB"/>
    <w:rsid w:val="2EA15F1D"/>
    <w:rsid w:val="2EB04000"/>
    <w:rsid w:val="2EB909A0"/>
    <w:rsid w:val="2EEC7541"/>
    <w:rsid w:val="2EFD3F52"/>
    <w:rsid w:val="2F0412A4"/>
    <w:rsid w:val="2F05775A"/>
    <w:rsid w:val="2F225619"/>
    <w:rsid w:val="2F380E2F"/>
    <w:rsid w:val="2F4526EE"/>
    <w:rsid w:val="2F470A29"/>
    <w:rsid w:val="2F606B6E"/>
    <w:rsid w:val="2F63386E"/>
    <w:rsid w:val="2F733CB1"/>
    <w:rsid w:val="2F7927D6"/>
    <w:rsid w:val="2FAE226A"/>
    <w:rsid w:val="2FB167F1"/>
    <w:rsid w:val="2FC70EA7"/>
    <w:rsid w:val="2FCF3B67"/>
    <w:rsid w:val="2FF45842"/>
    <w:rsid w:val="2FFB1B77"/>
    <w:rsid w:val="301266FB"/>
    <w:rsid w:val="301E5D41"/>
    <w:rsid w:val="30391148"/>
    <w:rsid w:val="304F10EE"/>
    <w:rsid w:val="306D2C1C"/>
    <w:rsid w:val="30791C68"/>
    <w:rsid w:val="30A661DA"/>
    <w:rsid w:val="30E16B15"/>
    <w:rsid w:val="30F25B54"/>
    <w:rsid w:val="31123535"/>
    <w:rsid w:val="31182362"/>
    <w:rsid w:val="312165AD"/>
    <w:rsid w:val="312E0F85"/>
    <w:rsid w:val="31414CD9"/>
    <w:rsid w:val="316A5890"/>
    <w:rsid w:val="316D07B6"/>
    <w:rsid w:val="317745B2"/>
    <w:rsid w:val="31790727"/>
    <w:rsid w:val="3189598D"/>
    <w:rsid w:val="31925826"/>
    <w:rsid w:val="319623F0"/>
    <w:rsid w:val="31C16F8F"/>
    <w:rsid w:val="31E75059"/>
    <w:rsid w:val="31FB0901"/>
    <w:rsid w:val="320B0586"/>
    <w:rsid w:val="320F06C2"/>
    <w:rsid w:val="32220086"/>
    <w:rsid w:val="325159FA"/>
    <w:rsid w:val="325F2504"/>
    <w:rsid w:val="32782CEC"/>
    <w:rsid w:val="32945EF3"/>
    <w:rsid w:val="32B7472E"/>
    <w:rsid w:val="32F35D6F"/>
    <w:rsid w:val="330339FD"/>
    <w:rsid w:val="330551C0"/>
    <w:rsid w:val="33294107"/>
    <w:rsid w:val="33573365"/>
    <w:rsid w:val="33605486"/>
    <w:rsid w:val="33957653"/>
    <w:rsid w:val="33B04DB9"/>
    <w:rsid w:val="33B541A6"/>
    <w:rsid w:val="33C25235"/>
    <w:rsid w:val="33ED1B5F"/>
    <w:rsid w:val="33EE0C58"/>
    <w:rsid w:val="33FC1BCB"/>
    <w:rsid w:val="33FC30C2"/>
    <w:rsid w:val="34332DC4"/>
    <w:rsid w:val="345647ED"/>
    <w:rsid w:val="345E0768"/>
    <w:rsid w:val="347C52E5"/>
    <w:rsid w:val="347C6D6B"/>
    <w:rsid w:val="3498680E"/>
    <w:rsid w:val="34A016D3"/>
    <w:rsid w:val="34A911C2"/>
    <w:rsid w:val="34C36AC5"/>
    <w:rsid w:val="34C72CF7"/>
    <w:rsid w:val="35127111"/>
    <w:rsid w:val="351D07BF"/>
    <w:rsid w:val="354B779E"/>
    <w:rsid w:val="35504FEB"/>
    <w:rsid w:val="35607205"/>
    <w:rsid w:val="358D4AA7"/>
    <w:rsid w:val="358F7218"/>
    <w:rsid w:val="35A14BDF"/>
    <w:rsid w:val="35AC54DA"/>
    <w:rsid w:val="35CD07A4"/>
    <w:rsid w:val="364745F6"/>
    <w:rsid w:val="3680154E"/>
    <w:rsid w:val="36877A09"/>
    <w:rsid w:val="36893BC6"/>
    <w:rsid w:val="36A433BF"/>
    <w:rsid w:val="36AB3627"/>
    <w:rsid w:val="36B036DF"/>
    <w:rsid w:val="36B60933"/>
    <w:rsid w:val="36BC4304"/>
    <w:rsid w:val="36C36C79"/>
    <w:rsid w:val="36C374A1"/>
    <w:rsid w:val="36D22CAA"/>
    <w:rsid w:val="36F90200"/>
    <w:rsid w:val="370552BC"/>
    <w:rsid w:val="372005CC"/>
    <w:rsid w:val="37283380"/>
    <w:rsid w:val="374D4F71"/>
    <w:rsid w:val="374F21C3"/>
    <w:rsid w:val="37761208"/>
    <w:rsid w:val="37856EDB"/>
    <w:rsid w:val="378779C4"/>
    <w:rsid w:val="378A2D41"/>
    <w:rsid w:val="37B30E7D"/>
    <w:rsid w:val="37CB6B67"/>
    <w:rsid w:val="37EC61BA"/>
    <w:rsid w:val="37ED67A4"/>
    <w:rsid w:val="37F22EF1"/>
    <w:rsid w:val="37F96145"/>
    <w:rsid w:val="380568F4"/>
    <w:rsid w:val="381431AB"/>
    <w:rsid w:val="38213BEC"/>
    <w:rsid w:val="38285F2D"/>
    <w:rsid w:val="3842498B"/>
    <w:rsid w:val="387A5B53"/>
    <w:rsid w:val="388529E1"/>
    <w:rsid w:val="38A63DFF"/>
    <w:rsid w:val="38A9541D"/>
    <w:rsid w:val="38AC0230"/>
    <w:rsid w:val="38B43B1F"/>
    <w:rsid w:val="38C33FFE"/>
    <w:rsid w:val="38D06002"/>
    <w:rsid w:val="38D63FD4"/>
    <w:rsid w:val="38EF7E99"/>
    <w:rsid w:val="392F3AE4"/>
    <w:rsid w:val="39383B73"/>
    <w:rsid w:val="39502F4E"/>
    <w:rsid w:val="396C15FB"/>
    <w:rsid w:val="398031CA"/>
    <w:rsid w:val="39813927"/>
    <w:rsid w:val="39864896"/>
    <w:rsid w:val="39A677D0"/>
    <w:rsid w:val="39AF1AA9"/>
    <w:rsid w:val="39C97932"/>
    <w:rsid w:val="39D005D7"/>
    <w:rsid w:val="39E35686"/>
    <w:rsid w:val="3A1646DC"/>
    <w:rsid w:val="3A2C63DA"/>
    <w:rsid w:val="3A31253E"/>
    <w:rsid w:val="3A551CE9"/>
    <w:rsid w:val="3A833BFD"/>
    <w:rsid w:val="3A9C18C1"/>
    <w:rsid w:val="3AE26268"/>
    <w:rsid w:val="3AEE25DA"/>
    <w:rsid w:val="3B02194E"/>
    <w:rsid w:val="3B3A4A38"/>
    <w:rsid w:val="3B595A60"/>
    <w:rsid w:val="3B750F58"/>
    <w:rsid w:val="3B880809"/>
    <w:rsid w:val="3B9421F3"/>
    <w:rsid w:val="3BE655F9"/>
    <w:rsid w:val="3C4762C9"/>
    <w:rsid w:val="3C4942C0"/>
    <w:rsid w:val="3C4B275B"/>
    <w:rsid w:val="3C7A534C"/>
    <w:rsid w:val="3C8E4925"/>
    <w:rsid w:val="3C922B04"/>
    <w:rsid w:val="3C970A7F"/>
    <w:rsid w:val="3CB24B75"/>
    <w:rsid w:val="3CD4516B"/>
    <w:rsid w:val="3D0A57FF"/>
    <w:rsid w:val="3D1931AC"/>
    <w:rsid w:val="3D3E63B0"/>
    <w:rsid w:val="3D444D34"/>
    <w:rsid w:val="3D4B7958"/>
    <w:rsid w:val="3D5A3EE5"/>
    <w:rsid w:val="3D962FA5"/>
    <w:rsid w:val="3DA54B7C"/>
    <w:rsid w:val="3DBA430B"/>
    <w:rsid w:val="3DC05539"/>
    <w:rsid w:val="3DD116E2"/>
    <w:rsid w:val="3DE413AC"/>
    <w:rsid w:val="3E0E046C"/>
    <w:rsid w:val="3E161B2F"/>
    <w:rsid w:val="3E186BFC"/>
    <w:rsid w:val="3E3B692B"/>
    <w:rsid w:val="3E535385"/>
    <w:rsid w:val="3E567047"/>
    <w:rsid w:val="3EBC745F"/>
    <w:rsid w:val="3EC80751"/>
    <w:rsid w:val="3ECE30D8"/>
    <w:rsid w:val="3EDF08B2"/>
    <w:rsid w:val="3EF02FCC"/>
    <w:rsid w:val="3F075C4A"/>
    <w:rsid w:val="3F085A41"/>
    <w:rsid w:val="3F2939F1"/>
    <w:rsid w:val="3F40703E"/>
    <w:rsid w:val="3F4C1364"/>
    <w:rsid w:val="3F5170A5"/>
    <w:rsid w:val="3F5B7632"/>
    <w:rsid w:val="3F644047"/>
    <w:rsid w:val="3F6F3EBE"/>
    <w:rsid w:val="3FEF17B5"/>
    <w:rsid w:val="3FF12487"/>
    <w:rsid w:val="3FFA7BE1"/>
    <w:rsid w:val="3FFF4073"/>
    <w:rsid w:val="40073255"/>
    <w:rsid w:val="40267174"/>
    <w:rsid w:val="40386D85"/>
    <w:rsid w:val="40477A62"/>
    <w:rsid w:val="406651FB"/>
    <w:rsid w:val="40762CE6"/>
    <w:rsid w:val="40834301"/>
    <w:rsid w:val="408A7156"/>
    <w:rsid w:val="408D04D5"/>
    <w:rsid w:val="409F3152"/>
    <w:rsid w:val="40A8677D"/>
    <w:rsid w:val="40BA69D0"/>
    <w:rsid w:val="40C66BC8"/>
    <w:rsid w:val="40ED16F6"/>
    <w:rsid w:val="40FD5CFC"/>
    <w:rsid w:val="40FE77C1"/>
    <w:rsid w:val="410A25A0"/>
    <w:rsid w:val="410E6192"/>
    <w:rsid w:val="41642310"/>
    <w:rsid w:val="41782819"/>
    <w:rsid w:val="417E6629"/>
    <w:rsid w:val="41B77980"/>
    <w:rsid w:val="421060C6"/>
    <w:rsid w:val="42110E71"/>
    <w:rsid w:val="42140B18"/>
    <w:rsid w:val="42180DA5"/>
    <w:rsid w:val="425B6747"/>
    <w:rsid w:val="4272170D"/>
    <w:rsid w:val="42737262"/>
    <w:rsid w:val="42744A7A"/>
    <w:rsid w:val="42750E7E"/>
    <w:rsid w:val="42845024"/>
    <w:rsid w:val="42914074"/>
    <w:rsid w:val="42BE1085"/>
    <w:rsid w:val="42C53001"/>
    <w:rsid w:val="42F05C6E"/>
    <w:rsid w:val="4308164D"/>
    <w:rsid w:val="43371F9E"/>
    <w:rsid w:val="4348542C"/>
    <w:rsid w:val="43527B80"/>
    <w:rsid w:val="43757375"/>
    <w:rsid w:val="437C6F6C"/>
    <w:rsid w:val="43820D5D"/>
    <w:rsid w:val="43840890"/>
    <w:rsid w:val="438422C2"/>
    <w:rsid w:val="438B17DB"/>
    <w:rsid w:val="439A324D"/>
    <w:rsid w:val="43A01A38"/>
    <w:rsid w:val="43A45564"/>
    <w:rsid w:val="43BB4863"/>
    <w:rsid w:val="43D76936"/>
    <w:rsid w:val="43E635BF"/>
    <w:rsid w:val="43FD4F98"/>
    <w:rsid w:val="44047599"/>
    <w:rsid w:val="440632B5"/>
    <w:rsid w:val="441027C2"/>
    <w:rsid w:val="441072D7"/>
    <w:rsid w:val="44246BCC"/>
    <w:rsid w:val="442B2731"/>
    <w:rsid w:val="442C1C0C"/>
    <w:rsid w:val="44342596"/>
    <w:rsid w:val="444D1B41"/>
    <w:rsid w:val="445005AD"/>
    <w:rsid w:val="445C0341"/>
    <w:rsid w:val="4468496E"/>
    <w:rsid w:val="446E0C7E"/>
    <w:rsid w:val="4471202C"/>
    <w:rsid w:val="44777EB1"/>
    <w:rsid w:val="4491148D"/>
    <w:rsid w:val="4491272F"/>
    <w:rsid w:val="44BA6CD7"/>
    <w:rsid w:val="44BC0D7A"/>
    <w:rsid w:val="44CE1DD8"/>
    <w:rsid w:val="44EA19F6"/>
    <w:rsid w:val="45095418"/>
    <w:rsid w:val="451756B6"/>
    <w:rsid w:val="45255B75"/>
    <w:rsid w:val="453C0D61"/>
    <w:rsid w:val="453C7C43"/>
    <w:rsid w:val="45583D9C"/>
    <w:rsid w:val="45904640"/>
    <w:rsid w:val="459303DD"/>
    <w:rsid w:val="459461CF"/>
    <w:rsid w:val="45BB76F9"/>
    <w:rsid w:val="45D7128F"/>
    <w:rsid w:val="45E529E3"/>
    <w:rsid w:val="45E53B4D"/>
    <w:rsid w:val="45E86006"/>
    <w:rsid w:val="46154D85"/>
    <w:rsid w:val="46293521"/>
    <w:rsid w:val="462F45FB"/>
    <w:rsid w:val="46370DAA"/>
    <w:rsid w:val="463D71DD"/>
    <w:rsid w:val="463E7EC6"/>
    <w:rsid w:val="464F0B21"/>
    <w:rsid w:val="465A685B"/>
    <w:rsid w:val="466819C7"/>
    <w:rsid w:val="469746DA"/>
    <w:rsid w:val="46986609"/>
    <w:rsid w:val="469D3E7D"/>
    <w:rsid w:val="469E53B9"/>
    <w:rsid w:val="46A641F1"/>
    <w:rsid w:val="46AC23F1"/>
    <w:rsid w:val="46B45A49"/>
    <w:rsid w:val="46D10AC7"/>
    <w:rsid w:val="46EB4BA6"/>
    <w:rsid w:val="46FD50C6"/>
    <w:rsid w:val="47264685"/>
    <w:rsid w:val="472827B6"/>
    <w:rsid w:val="473355D3"/>
    <w:rsid w:val="474E247E"/>
    <w:rsid w:val="47514ECB"/>
    <w:rsid w:val="475B108A"/>
    <w:rsid w:val="476945EB"/>
    <w:rsid w:val="47762A17"/>
    <w:rsid w:val="477905C9"/>
    <w:rsid w:val="47861353"/>
    <w:rsid w:val="4787206B"/>
    <w:rsid w:val="478C720D"/>
    <w:rsid w:val="479D066F"/>
    <w:rsid w:val="47AF3861"/>
    <w:rsid w:val="47D95FD9"/>
    <w:rsid w:val="47F03D8D"/>
    <w:rsid w:val="480A58C1"/>
    <w:rsid w:val="48245DF4"/>
    <w:rsid w:val="48250395"/>
    <w:rsid w:val="483A4AF5"/>
    <w:rsid w:val="48665054"/>
    <w:rsid w:val="486C183F"/>
    <w:rsid w:val="487F09E5"/>
    <w:rsid w:val="489230C2"/>
    <w:rsid w:val="48A025E9"/>
    <w:rsid w:val="48AC6FE3"/>
    <w:rsid w:val="48B73BE3"/>
    <w:rsid w:val="48B74B83"/>
    <w:rsid w:val="48C21630"/>
    <w:rsid w:val="48EB13BF"/>
    <w:rsid w:val="490B65F8"/>
    <w:rsid w:val="49241F29"/>
    <w:rsid w:val="49336F27"/>
    <w:rsid w:val="493D12C3"/>
    <w:rsid w:val="493E6309"/>
    <w:rsid w:val="496C4BA5"/>
    <w:rsid w:val="49982986"/>
    <w:rsid w:val="49AB1DC0"/>
    <w:rsid w:val="49B1697C"/>
    <w:rsid w:val="49BA4740"/>
    <w:rsid w:val="49DB3087"/>
    <w:rsid w:val="49FB3033"/>
    <w:rsid w:val="4A0040FD"/>
    <w:rsid w:val="4A184526"/>
    <w:rsid w:val="4A1850D3"/>
    <w:rsid w:val="4A2A524E"/>
    <w:rsid w:val="4A372CA9"/>
    <w:rsid w:val="4A5D0C66"/>
    <w:rsid w:val="4A5E5FE5"/>
    <w:rsid w:val="4A631FF9"/>
    <w:rsid w:val="4A724F29"/>
    <w:rsid w:val="4A7C26A0"/>
    <w:rsid w:val="4A7E2438"/>
    <w:rsid w:val="4A9851B2"/>
    <w:rsid w:val="4AB415C3"/>
    <w:rsid w:val="4AC46FE6"/>
    <w:rsid w:val="4AD93F7F"/>
    <w:rsid w:val="4AFD6C44"/>
    <w:rsid w:val="4B062823"/>
    <w:rsid w:val="4B097214"/>
    <w:rsid w:val="4B0E6916"/>
    <w:rsid w:val="4B4D6507"/>
    <w:rsid w:val="4B50312F"/>
    <w:rsid w:val="4B571895"/>
    <w:rsid w:val="4B5D1B73"/>
    <w:rsid w:val="4B693EA7"/>
    <w:rsid w:val="4BAE3CA6"/>
    <w:rsid w:val="4BC87ADC"/>
    <w:rsid w:val="4BED1ADF"/>
    <w:rsid w:val="4BF92D55"/>
    <w:rsid w:val="4C2D42F6"/>
    <w:rsid w:val="4C521B7C"/>
    <w:rsid w:val="4C6B4E9E"/>
    <w:rsid w:val="4C751D24"/>
    <w:rsid w:val="4C7C25E3"/>
    <w:rsid w:val="4C8B4F61"/>
    <w:rsid w:val="4CA856D4"/>
    <w:rsid w:val="4CA92080"/>
    <w:rsid w:val="4CBB684E"/>
    <w:rsid w:val="4CE5316C"/>
    <w:rsid w:val="4CE849B5"/>
    <w:rsid w:val="4CE97CDF"/>
    <w:rsid w:val="4CF33149"/>
    <w:rsid w:val="4CF8742C"/>
    <w:rsid w:val="4D091CBD"/>
    <w:rsid w:val="4D1D5407"/>
    <w:rsid w:val="4D250C12"/>
    <w:rsid w:val="4D3C03EE"/>
    <w:rsid w:val="4D700241"/>
    <w:rsid w:val="4D7D07B9"/>
    <w:rsid w:val="4D8627E0"/>
    <w:rsid w:val="4D880231"/>
    <w:rsid w:val="4D96376E"/>
    <w:rsid w:val="4D9D24EF"/>
    <w:rsid w:val="4DB61B0B"/>
    <w:rsid w:val="4DC437AC"/>
    <w:rsid w:val="4DC56B8F"/>
    <w:rsid w:val="4DE61E58"/>
    <w:rsid w:val="4E26730D"/>
    <w:rsid w:val="4E443C49"/>
    <w:rsid w:val="4E680F22"/>
    <w:rsid w:val="4E6C46EA"/>
    <w:rsid w:val="4E73412C"/>
    <w:rsid w:val="4E7E110C"/>
    <w:rsid w:val="4E8C0D2C"/>
    <w:rsid w:val="4EA07E50"/>
    <w:rsid w:val="4EA25D03"/>
    <w:rsid w:val="4EAC26F4"/>
    <w:rsid w:val="4EBB3A72"/>
    <w:rsid w:val="4EC75190"/>
    <w:rsid w:val="4EEE4DB1"/>
    <w:rsid w:val="4F072660"/>
    <w:rsid w:val="4F423CE7"/>
    <w:rsid w:val="4F517B3A"/>
    <w:rsid w:val="4F561212"/>
    <w:rsid w:val="4F56399C"/>
    <w:rsid w:val="4F61063A"/>
    <w:rsid w:val="4FA22415"/>
    <w:rsid w:val="4FA66A10"/>
    <w:rsid w:val="4FB52F86"/>
    <w:rsid w:val="4FC358CD"/>
    <w:rsid w:val="4FC4110C"/>
    <w:rsid w:val="500055DF"/>
    <w:rsid w:val="5025015C"/>
    <w:rsid w:val="50666041"/>
    <w:rsid w:val="50882D28"/>
    <w:rsid w:val="50945681"/>
    <w:rsid w:val="50955425"/>
    <w:rsid w:val="50E12F71"/>
    <w:rsid w:val="510A1E17"/>
    <w:rsid w:val="51166F93"/>
    <w:rsid w:val="51171AA4"/>
    <w:rsid w:val="5124593D"/>
    <w:rsid w:val="513C0D60"/>
    <w:rsid w:val="51546C8E"/>
    <w:rsid w:val="51637FA7"/>
    <w:rsid w:val="516A68B0"/>
    <w:rsid w:val="516C0FB2"/>
    <w:rsid w:val="517A563E"/>
    <w:rsid w:val="51953093"/>
    <w:rsid w:val="51A4118F"/>
    <w:rsid w:val="51B35A3A"/>
    <w:rsid w:val="51D13BD1"/>
    <w:rsid w:val="51E375B9"/>
    <w:rsid w:val="51EF4DAB"/>
    <w:rsid w:val="52035837"/>
    <w:rsid w:val="521636C0"/>
    <w:rsid w:val="521B336E"/>
    <w:rsid w:val="522957DC"/>
    <w:rsid w:val="52311180"/>
    <w:rsid w:val="525501B2"/>
    <w:rsid w:val="52626FB2"/>
    <w:rsid w:val="526A30E2"/>
    <w:rsid w:val="528C0280"/>
    <w:rsid w:val="52A61FCD"/>
    <w:rsid w:val="52AE1743"/>
    <w:rsid w:val="52BA0850"/>
    <w:rsid w:val="52C17F83"/>
    <w:rsid w:val="52CC3AC8"/>
    <w:rsid w:val="52D13E37"/>
    <w:rsid w:val="52DF534F"/>
    <w:rsid w:val="5308568C"/>
    <w:rsid w:val="531C4787"/>
    <w:rsid w:val="531F776D"/>
    <w:rsid w:val="533B0174"/>
    <w:rsid w:val="534275FA"/>
    <w:rsid w:val="534B5FB5"/>
    <w:rsid w:val="5354306C"/>
    <w:rsid w:val="535538FD"/>
    <w:rsid w:val="53647195"/>
    <w:rsid w:val="538B5D31"/>
    <w:rsid w:val="53B934F2"/>
    <w:rsid w:val="53B9462E"/>
    <w:rsid w:val="53BC42E9"/>
    <w:rsid w:val="53C84C83"/>
    <w:rsid w:val="53CB0DEC"/>
    <w:rsid w:val="53EE0AF8"/>
    <w:rsid w:val="53EE3E4C"/>
    <w:rsid w:val="54014054"/>
    <w:rsid w:val="54462B21"/>
    <w:rsid w:val="5447510C"/>
    <w:rsid w:val="544E52A3"/>
    <w:rsid w:val="54501F19"/>
    <w:rsid w:val="5465254A"/>
    <w:rsid w:val="547167CE"/>
    <w:rsid w:val="548A61A8"/>
    <w:rsid w:val="548B4D3E"/>
    <w:rsid w:val="54AF414C"/>
    <w:rsid w:val="54DC5207"/>
    <w:rsid w:val="54DD4A69"/>
    <w:rsid w:val="5506075D"/>
    <w:rsid w:val="55264D00"/>
    <w:rsid w:val="5527231F"/>
    <w:rsid w:val="55370578"/>
    <w:rsid w:val="554A4152"/>
    <w:rsid w:val="5554071C"/>
    <w:rsid w:val="5584531E"/>
    <w:rsid w:val="558C4493"/>
    <w:rsid w:val="55990F25"/>
    <w:rsid w:val="55A458EF"/>
    <w:rsid w:val="55A84880"/>
    <w:rsid w:val="55B84E14"/>
    <w:rsid w:val="55CE3352"/>
    <w:rsid w:val="55EE69E7"/>
    <w:rsid w:val="55FD2147"/>
    <w:rsid w:val="560C62E5"/>
    <w:rsid w:val="56116CD3"/>
    <w:rsid w:val="56127F01"/>
    <w:rsid w:val="56246C47"/>
    <w:rsid w:val="56394DD2"/>
    <w:rsid w:val="56394E00"/>
    <w:rsid w:val="56436914"/>
    <w:rsid w:val="565A3D35"/>
    <w:rsid w:val="56766C17"/>
    <w:rsid w:val="5678056C"/>
    <w:rsid w:val="568F16A7"/>
    <w:rsid w:val="5699016B"/>
    <w:rsid w:val="569D5F66"/>
    <w:rsid w:val="56EB4ECD"/>
    <w:rsid w:val="56F646E2"/>
    <w:rsid w:val="57154397"/>
    <w:rsid w:val="573A2397"/>
    <w:rsid w:val="57425E21"/>
    <w:rsid w:val="574F59C7"/>
    <w:rsid w:val="5789014E"/>
    <w:rsid w:val="57B263B5"/>
    <w:rsid w:val="57D04703"/>
    <w:rsid w:val="57D21119"/>
    <w:rsid w:val="57D568B2"/>
    <w:rsid w:val="57D846A0"/>
    <w:rsid w:val="57EB66DD"/>
    <w:rsid w:val="57FD1E1D"/>
    <w:rsid w:val="580A0A35"/>
    <w:rsid w:val="58104ACF"/>
    <w:rsid w:val="582B5FB0"/>
    <w:rsid w:val="58523D4C"/>
    <w:rsid w:val="58544FF0"/>
    <w:rsid w:val="585F2C92"/>
    <w:rsid w:val="58740D01"/>
    <w:rsid w:val="587C707C"/>
    <w:rsid w:val="587E6950"/>
    <w:rsid w:val="58836A38"/>
    <w:rsid w:val="58902D94"/>
    <w:rsid w:val="58985CD5"/>
    <w:rsid w:val="58A81C78"/>
    <w:rsid w:val="58B624A8"/>
    <w:rsid w:val="58BF4936"/>
    <w:rsid w:val="58CC27CD"/>
    <w:rsid w:val="58D22219"/>
    <w:rsid w:val="58E40661"/>
    <w:rsid w:val="58E61D71"/>
    <w:rsid w:val="58F67856"/>
    <w:rsid w:val="591774D9"/>
    <w:rsid w:val="594F3C82"/>
    <w:rsid w:val="59596584"/>
    <w:rsid w:val="59597E81"/>
    <w:rsid w:val="59926D51"/>
    <w:rsid w:val="59982E9B"/>
    <w:rsid w:val="59AB788E"/>
    <w:rsid w:val="59AD6B8B"/>
    <w:rsid w:val="59CA5022"/>
    <w:rsid w:val="59E62AFE"/>
    <w:rsid w:val="5A07296B"/>
    <w:rsid w:val="5A1455A7"/>
    <w:rsid w:val="5A340980"/>
    <w:rsid w:val="5A3C5852"/>
    <w:rsid w:val="5A3F5F1A"/>
    <w:rsid w:val="5A503C13"/>
    <w:rsid w:val="5A981B96"/>
    <w:rsid w:val="5A9F033A"/>
    <w:rsid w:val="5AB44889"/>
    <w:rsid w:val="5AB63317"/>
    <w:rsid w:val="5AB649E6"/>
    <w:rsid w:val="5AB87080"/>
    <w:rsid w:val="5AC71C23"/>
    <w:rsid w:val="5ACA0055"/>
    <w:rsid w:val="5ACA613D"/>
    <w:rsid w:val="5AD80570"/>
    <w:rsid w:val="5AE92AAB"/>
    <w:rsid w:val="5AED6C2F"/>
    <w:rsid w:val="5AF91B3E"/>
    <w:rsid w:val="5B010501"/>
    <w:rsid w:val="5B041B61"/>
    <w:rsid w:val="5B074CDD"/>
    <w:rsid w:val="5B1F6CEF"/>
    <w:rsid w:val="5B5461DA"/>
    <w:rsid w:val="5B592757"/>
    <w:rsid w:val="5B597A69"/>
    <w:rsid w:val="5B7601AF"/>
    <w:rsid w:val="5B8514B9"/>
    <w:rsid w:val="5B8E55A4"/>
    <w:rsid w:val="5B91121A"/>
    <w:rsid w:val="5B9B4CF5"/>
    <w:rsid w:val="5BC624B9"/>
    <w:rsid w:val="5BD41F5D"/>
    <w:rsid w:val="5BE23C43"/>
    <w:rsid w:val="5BE310DF"/>
    <w:rsid w:val="5BFA370E"/>
    <w:rsid w:val="5BFA3911"/>
    <w:rsid w:val="5C0B1E5F"/>
    <w:rsid w:val="5C0C01E7"/>
    <w:rsid w:val="5C157216"/>
    <w:rsid w:val="5C411584"/>
    <w:rsid w:val="5C5312BE"/>
    <w:rsid w:val="5C8F15F7"/>
    <w:rsid w:val="5CA24A96"/>
    <w:rsid w:val="5CCD5ADA"/>
    <w:rsid w:val="5CD814C4"/>
    <w:rsid w:val="5CD96F37"/>
    <w:rsid w:val="5CEF1369"/>
    <w:rsid w:val="5D54499B"/>
    <w:rsid w:val="5D575C32"/>
    <w:rsid w:val="5D890D42"/>
    <w:rsid w:val="5D8F26AC"/>
    <w:rsid w:val="5DAF3D6E"/>
    <w:rsid w:val="5DB35DAD"/>
    <w:rsid w:val="5DB7491F"/>
    <w:rsid w:val="5DBC00A8"/>
    <w:rsid w:val="5DC66FD7"/>
    <w:rsid w:val="5DD64566"/>
    <w:rsid w:val="5DDA365D"/>
    <w:rsid w:val="5DE706C3"/>
    <w:rsid w:val="5DEB02E9"/>
    <w:rsid w:val="5E043501"/>
    <w:rsid w:val="5E065B47"/>
    <w:rsid w:val="5E0D5663"/>
    <w:rsid w:val="5E4B4BAE"/>
    <w:rsid w:val="5E50460F"/>
    <w:rsid w:val="5E592E61"/>
    <w:rsid w:val="5E9D135B"/>
    <w:rsid w:val="5EAB0847"/>
    <w:rsid w:val="5EB03FEA"/>
    <w:rsid w:val="5EBE2FF9"/>
    <w:rsid w:val="5ECF6985"/>
    <w:rsid w:val="5EE53450"/>
    <w:rsid w:val="5EE63157"/>
    <w:rsid w:val="5F17599B"/>
    <w:rsid w:val="5F3E09BD"/>
    <w:rsid w:val="5F416D75"/>
    <w:rsid w:val="5F570755"/>
    <w:rsid w:val="5F7C3CC5"/>
    <w:rsid w:val="5F8340BB"/>
    <w:rsid w:val="5FA1603C"/>
    <w:rsid w:val="5FBC3B07"/>
    <w:rsid w:val="5FCD3BBA"/>
    <w:rsid w:val="5FCE661E"/>
    <w:rsid w:val="5FE41FE2"/>
    <w:rsid w:val="5FE7729D"/>
    <w:rsid w:val="5FF650CA"/>
    <w:rsid w:val="6009376D"/>
    <w:rsid w:val="60166A0E"/>
    <w:rsid w:val="60175DE2"/>
    <w:rsid w:val="60546886"/>
    <w:rsid w:val="606A07AA"/>
    <w:rsid w:val="607D751E"/>
    <w:rsid w:val="60876E27"/>
    <w:rsid w:val="60B80EFE"/>
    <w:rsid w:val="60EA5245"/>
    <w:rsid w:val="612A40F7"/>
    <w:rsid w:val="612B3702"/>
    <w:rsid w:val="612D6864"/>
    <w:rsid w:val="614C3C29"/>
    <w:rsid w:val="6164197F"/>
    <w:rsid w:val="61681E32"/>
    <w:rsid w:val="61744BC5"/>
    <w:rsid w:val="617A01B4"/>
    <w:rsid w:val="617E4154"/>
    <w:rsid w:val="61AA2AAF"/>
    <w:rsid w:val="61AC6FC9"/>
    <w:rsid w:val="61DF61DD"/>
    <w:rsid w:val="61E94BDF"/>
    <w:rsid w:val="61F431C6"/>
    <w:rsid w:val="61FC012E"/>
    <w:rsid w:val="6209356E"/>
    <w:rsid w:val="620C0AF1"/>
    <w:rsid w:val="62191EEC"/>
    <w:rsid w:val="62635277"/>
    <w:rsid w:val="6265337C"/>
    <w:rsid w:val="62827612"/>
    <w:rsid w:val="628572F7"/>
    <w:rsid w:val="628C78BA"/>
    <w:rsid w:val="629E04C3"/>
    <w:rsid w:val="62A553FB"/>
    <w:rsid w:val="62B42275"/>
    <w:rsid w:val="62BA10D8"/>
    <w:rsid w:val="62C56DA1"/>
    <w:rsid w:val="63006426"/>
    <w:rsid w:val="630B403C"/>
    <w:rsid w:val="630B46CB"/>
    <w:rsid w:val="630F0FD3"/>
    <w:rsid w:val="63170E2B"/>
    <w:rsid w:val="63306E52"/>
    <w:rsid w:val="63333F45"/>
    <w:rsid w:val="634C1A77"/>
    <w:rsid w:val="635A51A7"/>
    <w:rsid w:val="636F7088"/>
    <w:rsid w:val="63713D00"/>
    <w:rsid w:val="63AA5A54"/>
    <w:rsid w:val="63B22C70"/>
    <w:rsid w:val="63C118B9"/>
    <w:rsid w:val="63D06E4D"/>
    <w:rsid w:val="641D5ECC"/>
    <w:rsid w:val="642266BE"/>
    <w:rsid w:val="64264CEE"/>
    <w:rsid w:val="6427770A"/>
    <w:rsid w:val="642B381E"/>
    <w:rsid w:val="642C4F07"/>
    <w:rsid w:val="642C50F6"/>
    <w:rsid w:val="64330D52"/>
    <w:rsid w:val="643D68A8"/>
    <w:rsid w:val="645214FF"/>
    <w:rsid w:val="648C4F7B"/>
    <w:rsid w:val="648D7867"/>
    <w:rsid w:val="64A56837"/>
    <w:rsid w:val="64C52765"/>
    <w:rsid w:val="64D169BB"/>
    <w:rsid w:val="64F32207"/>
    <w:rsid w:val="64F42F82"/>
    <w:rsid w:val="651256F0"/>
    <w:rsid w:val="6547562C"/>
    <w:rsid w:val="65817786"/>
    <w:rsid w:val="658C3A4D"/>
    <w:rsid w:val="65917F1B"/>
    <w:rsid w:val="659E4930"/>
    <w:rsid w:val="65E613CF"/>
    <w:rsid w:val="65EB42B3"/>
    <w:rsid w:val="65F97719"/>
    <w:rsid w:val="660470FA"/>
    <w:rsid w:val="661E59DB"/>
    <w:rsid w:val="662424EC"/>
    <w:rsid w:val="662B39CD"/>
    <w:rsid w:val="666053D8"/>
    <w:rsid w:val="6669068B"/>
    <w:rsid w:val="66691CFB"/>
    <w:rsid w:val="666C3393"/>
    <w:rsid w:val="666D6E7E"/>
    <w:rsid w:val="668012B8"/>
    <w:rsid w:val="668F7255"/>
    <w:rsid w:val="66AB7FBF"/>
    <w:rsid w:val="66BD67A2"/>
    <w:rsid w:val="66ED5F06"/>
    <w:rsid w:val="66F0607B"/>
    <w:rsid w:val="66F94F65"/>
    <w:rsid w:val="66FD2045"/>
    <w:rsid w:val="67175A11"/>
    <w:rsid w:val="671D65E3"/>
    <w:rsid w:val="67351F69"/>
    <w:rsid w:val="67565174"/>
    <w:rsid w:val="675747BA"/>
    <w:rsid w:val="67582436"/>
    <w:rsid w:val="67582573"/>
    <w:rsid w:val="67953941"/>
    <w:rsid w:val="67A8566A"/>
    <w:rsid w:val="67B111A3"/>
    <w:rsid w:val="67D23F39"/>
    <w:rsid w:val="67D27EC9"/>
    <w:rsid w:val="67F94E7F"/>
    <w:rsid w:val="67FD3118"/>
    <w:rsid w:val="68072D86"/>
    <w:rsid w:val="681B5154"/>
    <w:rsid w:val="682A1192"/>
    <w:rsid w:val="682B2D1C"/>
    <w:rsid w:val="68301F66"/>
    <w:rsid w:val="683441E2"/>
    <w:rsid w:val="685553AA"/>
    <w:rsid w:val="685F2494"/>
    <w:rsid w:val="68811835"/>
    <w:rsid w:val="68A6045C"/>
    <w:rsid w:val="68C0455D"/>
    <w:rsid w:val="68E76107"/>
    <w:rsid w:val="68E82B7C"/>
    <w:rsid w:val="68FB3B1C"/>
    <w:rsid w:val="690628D2"/>
    <w:rsid w:val="690A5F85"/>
    <w:rsid w:val="6910690B"/>
    <w:rsid w:val="69276FA4"/>
    <w:rsid w:val="69411CBF"/>
    <w:rsid w:val="694C5292"/>
    <w:rsid w:val="6984577C"/>
    <w:rsid w:val="698A0657"/>
    <w:rsid w:val="69A735B7"/>
    <w:rsid w:val="69BF2491"/>
    <w:rsid w:val="69C92393"/>
    <w:rsid w:val="69ED7B47"/>
    <w:rsid w:val="6A1909A9"/>
    <w:rsid w:val="6A334277"/>
    <w:rsid w:val="6A424046"/>
    <w:rsid w:val="6A4B33EE"/>
    <w:rsid w:val="6A4D5AD8"/>
    <w:rsid w:val="6A7A2A44"/>
    <w:rsid w:val="6A7A455C"/>
    <w:rsid w:val="6AE77F05"/>
    <w:rsid w:val="6B2D53C5"/>
    <w:rsid w:val="6B3B1C28"/>
    <w:rsid w:val="6B4410E7"/>
    <w:rsid w:val="6B4F49C8"/>
    <w:rsid w:val="6B776F99"/>
    <w:rsid w:val="6B7B368F"/>
    <w:rsid w:val="6B8E7338"/>
    <w:rsid w:val="6B985672"/>
    <w:rsid w:val="6BBC181A"/>
    <w:rsid w:val="6BBD3DCE"/>
    <w:rsid w:val="6BDF2B7D"/>
    <w:rsid w:val="6BED5C0B"/>
    <w:rsid w:val="6BFF4188"/>
    <w:rsid w:val="6C006627"/>
    <w:rsid w:val="6C061479"/>
    <w:rsid w:val="6C2A1DF2"/>
    <w:rsid w:val="6C2A50DD"/>
    <w:rsid w:val="6C411B7B"/>
    <w:rsid w:val="6C4E1BE2"/>
    <w:rsid w:val="6C552121"/>
    <w:rsid w:val="6C5828A2"/>
    <w:rsid w:val="6C8C2DA1"/>
    <w:rsid w:val="6C925644"/>
    <w:rsid w:val="6C936C5C"/>
    <w:rsid w:val="6C950D40"/>
    <w:rsid w:val="6CA55834"/>
    <w:rsid w:val="6CB54B39"/>
    <w:rsid w:val="6CC73064"/>
    <w:rsid w:val="6CD61AA4"/>
    <w:rsid w:val="6CE13B20"/>
    <w:rsid w:val="6CF331D9"/>
    <w:rsid w:val="6CF3787E"/>
    <w:rsid w:val="6D2B1DD9"/>
    <w:rsid w:val="6D3A5DFF"/>
    <w:rsid w:val="6D465AD5"/>
    <w:rsid w:val="6D4978CA"/>
    <w:rsid w:val="6D4A56DC"/>
    <w:rsid w:val="6D641A4D"/>
    <w:rsid w:val="6D6F6FCA"/>
    <w:rsid w:val="6D757F4D"/>
    <w:rsid w:val="6DA13253"/>
    <w:rsid w:val="6DAC1D45"/>
    <w:rsid w:val="6DC67DCC"/>
    <w:rsid w:val="6DCA78A0"/>
    <w:rsid w:val="6DF20D47"/>
    <w:rsid w:val="6DF55A35"/>
    <w:rsid w:val="6E21011C"/>
    <w:rsid w:val="6E346184"/>
    <w:rsid w:val="6E3E2E2E"/>
    <w:rsid w:val="6E426EF5"/>
    <w:rsid w:val="6E594E63"/>
    <w:rsid w:val="6E65414F"/>
    <w:rsid w:val="6E6B5674"/>
    <w:rsid w:val="6E7C1E16"/>
    <w:rsid w:val="6E834F32"/>
    <w:rsid w:val="6E8E1CC8"/>
    <w:rsid w:val="6E9C2AB3"/>
    <w:rsid w:val="6EC33203"/>
    <w:rsid w:val="6EE00772"/>
    <w:rsid w:val="6EFF3D03"/>
    <w:rsid w:val="6F192215"/>
    <w:rsid w:val="6F25497D"/>
    <w:rsid w:val="6F467C56"/>
    <w:rsid w:val="6F7052A7"/>
    <w:rsid w:val="6F967AA6"/>
    <w:rsid w:val="6FA96039"/>
    <w:rsid w:val="6FC027F9"/>
    <w:rsid w:val="6FCD7FF3"/>
    <w:rsid w:val="6FD04098"/>
    <w:rsid w:val="70147732"/>
    <w:rsid w:val="703E4E20"/>
    <w:rsid w:val="704E5FF6"/>
    <w:rsid w:val="705D4188"/>
    <w:rsid w:val="70633C4D"/>
    <w:rsid w:val="70A0072C"/>
    <w:rsid w:val="70A33F4B"/>
    <w:rsid w:val="70AA20B5"/>
    <w:rsid w:val="70BF66A5"/>
    <w:rsid w:val="70C50AD5"/>
    <w:rsid w:val="70D05AD6"/>
    <w:rsid w:val="70FB11A0"/>
    <w:rsid w:val="712F7047"/>
    <w:rsid w:val="71317B4A"/>
    <w:rsid w:val="71711176"/>
    <w:rsid w:val="71892684"/>
    <w:rsid w:val="719B4143"/>
    <w:rsid w:val="71A14F1A"/>
    <w:rsid w:val="71A848DC"/>
    <w:rsid w:val="71CB3D39"/>
    <w:rsid w:val="7213520E"/>
    <w:rsid w:val="7215628F"/>
    <w:rsid w:val="722C6CB3"/>
    <w:rsid w:val="722F3CB3"/>
    <w:rsid w:val="722F66E7"/>
    <w:rsid w:val="72385B55"/>
    <w:rsid w:val="723D5340"/>
    <w:rsid w:val="723E7BCF"/>
    <w:rsid w:val="7251492C"/>
    <w:rsid w:val="726B25C1"/>
    <w:rsid w:val="72877696"/>
    <w:rsid w:val="72914858"/>
    <w:rsid w:val="729C0DB8"/>
    <w:rsid w:val="72B83B85"/>
    <w:rsid w:val="72BF1B90"/>
    <w:rsid w:val="72E43593"/>
    <w:rsid w:val="72E6654F"/>
    <w:rsid w:val="72F36B8B"/>
    <w:rsid w:val="72F650E6"/>
    <w:rsid w:val="72F67FAE"/>
    <w:rsid w:val="73044BE7"/>
    <w:rsid w:val="7309081C"/>
    <w:rsid w:val="730B2B9B"/>
    <w:rsid w:val="73343871"/>
    <w:rsid w:val="73593319"/>
    <w:rsid w:val="73634608"/>
    <w:rsid w:val="736F62E2"/>
    <w:rsid w:val="7373320B"/>
    <w:rsid w:val="738F7B54"/>
    <w:rsid w:val="73941BFF"/>
    <w:rsid w:val="73A15045"/>
    <w:rsid w:val="73BE6502"/>
    <w:rsid w:val="73C379D3"/>
    <w:rsid w:val="73E13652"/>
    <w:rsid w:val="73EF42C9"/>
    <w:rsid w:val="73F67350"/>
    <w:rsid w:val="73F804E0"/>
    <w:rsid w:val="73F91659"/>
    <w:rsid w:val="74107972"/>
    <w:rsid w:val="74252854"/>
    <w:rsid w:val="74323D48"/>
    <w:rsid w:val="7434008E"/>
    <w:rsid w:val="744B3AC9"/>
    <w:rsid w:val="745642E3"/>
    <w:rsid w:val="745E5ADB"/>
    <w:rsid w:val="7465639A"/>
    <w:rsid w:val="74754507"/>
    <w:rsid w:val="747C20D0"/>
    <w:rsid w:val="7481629F"/>
    <w:rsid w:val="74875036"/>
    <w:rsid w:val="74A17FA3"/>
    <w:rsid w:val="74CD0694"/>
    <w:rsid w:val="74D043C9"/>
    <w:rsid w:val="75036CD0"/>
    <w:rsid w:val="751047E3"/>
    <w:rsid w:val="75167F36"/>
    <w:rsid w:val="75222BFA"/>
    <w:rsid w:val="75273A55"/>
    <w:rsid w:val="752C6115"/>
    <w:rsid w:val="75346B66"/>
    <w:rsid w:val="7563276F"/>
    <w:rsid w:val="756C4FDF"/>
    <w:rsid w:val="75857EC0"/>
    <w:rsid w:val="758B361A"/>
    <w:rsid w:val="759B3192"/>
    <w:rsid w:val="759D1B59"/>
    <w:rsid w:val="759E5D5C"/>
    <w:rsid w:val="75A74E55"/>
    <w:rsid w:val="75E75328"/>
    <w:rsid w:val="75EB0F28"/>
    <w:rsid w:val="760B302C"/>
    <w:rsid w:val="761E77A3"/>
    <w:rsid w:val="762A1C80"/>
    <w:rsid w:val="762D3577"/>
    <w:rsid w:val="7644583F"/>
    <w:rsid w:val="76501852"/>
    <w:rsid w:val="76754AE8"/>
    <w:rsid w:val="768C4698"/>
    <w:rsid w:val="768F217A"/>
    <w:rsid w:val="769077D6"/>
    <w:rsid w:val="76A423C8"/>
    <w:rsid w:val="76CE1719"/>
    <w:rsid w:val="76EC6284"/>
    <w:rsid w:val="76FA7BF5"/>
    <w:rsid w:val="771C2A52"/>
    <w:rsid w:val="772055DF"/>
    <w:rsid w:val="77274CD8"/>
    <w:rsid w:val="773564F7"/>
    <w:rsid w:val="773A3EFE"/>
    <w:rsid w:val="775144DD"/>
    <w:rsid w:val="77544A80"/>
    <w:rsid w:val="775E7AFC"/>
    <w:rsid w:val="77674CD3"/>
    <w:rsid w:val="77986A2D"/>
    <w:rsid w:val="779C017B"/>
    <w:rsid w:val="779C0B52"/>
    <w:rsid w:val="77A00D88"/>
    <w:rsid w:val="77AA7EBE"/>
    <w:rsid w:val="784B0003"/>
    <w:rsid w:val="784C33FE"/>
    <w:rsid w:val="785906E4"/>
    <w:rsid w:val="786E6737"/>
    <w:rsid w:val="78871820"/>
    <w:rsid w:val="788A145A"/>
    <w:rsid w:val="788A3B5D"/>
    <w:rsid w:val="788A5289"/>
    <w:rsid w:val="78991F98"/>
    <w:rsid w:val="789D5E8B"/>
    <w:rsid w:val="78A17FE1"/>
    <w:rsid w:val="78AD4207"/>
    <w:rsid w:val="78BB413B"/>
    <w:rsid w:val="78CF1FD6"/>
    <w:rsid w:val="78DB55E6"/>
    <w:rsid w:val="78DC63B3"/>
    <w:rsid w:val="791E4F25"/>
    <w:rsid w:val="79246AA5"/>
    <w:rsid w:val="79321A57"/>
    <w:rsid w:val="796F75A6"/>
    <w:rsid w:val="797909CC"/>
    <w:rsid w:val="79807B6C"/>
    <w:rsid w:val="79A92B7F"/>
    <w:rsid w:val="79AC60CF"/>
    <w:rsid w:val="79B216F9"/>
    <w:rsid w:val="79BF0F73"/>
    <w:rsid w:val="79E210D7"/>
    <w:rsid w:val="79E968B6"/>
    <w:rsid w:val="79EE0730"/>
    <w:rsid w:val="79F8670C"/>
    <w:rsid w:val="79FB2A1A"/>
    <w:rsid w:val="7A2F2F22"/>
    <w:rsid w:val="7A466F07"/>
    <w:rsid w:val="7A536AEA"/>
    <w:rsid w:val="7A5616E7"/>
    <w:rsid w:val="7A5D66D6"/>
    <w:rsid w:val="7A6309B5"/>
    <w:rsid w:val="7A8F29A0"/>
    <w:rsid w:val="7A9048E8"/>
    <w:rsid w:val="7AA17E33"/>
    <w:rsid w:val="7AA27C69"/>
    <w:rsid w:val="7AA42873"/>
    <w:rsid w:val="7AB53930"/>
    <w:rsid w:val="7ABC7BE4"/>
    <w:rsid w:val="7ACC4F21"/>
    <w:rsid w:val="7AE36D31"/>
    <w:rsid w:val="7AE65F1E"/>
    <w:rsid w:val="7AF37BB2"/>
    <w:rsid w:val="7AF766E8"/>
    <w:rsid w:val="7B2D4B64"/>
    <w:rsid w:val="7B620F01"/>
    <w:rsid w:val="7B656654"/>
    <w:rsid w:val="7B665B1B"/>
    <w:rsid w:val="7B734F63"/>
    <w:rsid w:val="7BB5366D"/>
    <w:rsid w:val="7BB969FD"/>
    <w:rsid w:val="7BBF070C"/>
    <w:rsid w:val="7BDF7E8C"/>
    <w:rsid w:val="7BED19DC"/>
    <w:rsid w:val="7BF47555"/>
    <w:rsid w:val="7BF94A54"/>
    <w:rsid w:val="7BFE1B5F"/>
    <w:rsid w:val="7C283FE4"/>
    <w:rsid w:val="7C39477B"/>
    <w:rsid w:val="7C416981"/>
    <w:rsid w:val="7C437D6E"/>
    <w:rsid w:val="7C556B8F"/>
    <w:rsid w:val="7C851A93"/>
    <w:rsid w:val="7CB66571"/>
    <w:rsid w:val="7CC60714"/>
    <w:rsid w:val="7CC93B51"/>
    <w:rsid w:val="7CE8242E"/>
    <w:rsid w:val="7CEA30ED"/>
    <w:rsid w:val="7D1506E2"/>
    <w:rsid w:val="7D230F9A"/>
    <w:rsid w:val="7D382DFF"/>
    <w:rsid w:val="7D560441"/>
    <w:rsid w:val="7D5D4C47"/>
    <w:rsid w:val="7D6D5AC1"/>
    <w:rsid w:val="7D6F11E0"/>
    <w:rsid w:val="7D7E6EE2"/>
    <w:rsid w:val="7DB96CAF"/>
    <w:rsid w:val="7DC071B6"/>
    <w:rsid w:val="7DD23FA3"/>
    <w:rsid w:val="7DE74899"/>
    <w:rsid w:val="7DED56F2"/>
    <w:rsid w:val="7DEE05B8"/>
    <w:rsid w:val="7DFA19AD"/>
    <w:rsid w:val="7E0E4A6C"/>
    <w:rsid w:val="7E167F76"/>
    <w:rsid w:val="7E173C2E"/>
    <w:rsid w:val="7E5B1E68"/>
    <w:rsid w:val="7E6662AA"/>
    <w:rsid w:val="7E7902DB"/>
    <w:rsid w:val="7E8A7F78"/>
    <w:rsid w:val="7E953D38"/>
    <w:rsid w:val="7E9D6736"/>
    <w:rsid w:val="7EA66241"/>
    <w:rsid w:val="7EAA2CA8"/>
    <w:rsid w:val="7EB12C34"/>
    <w:rsid w:val="7EC4533A"/>
    <w:rsid w:val="7EDD563B"/>
    <w:rsid w:val="7EEB7BF2"/>
    <w:rsid w:val="7F126014"/>
    <w:rsid w:val="7F156A17"/>
    <w:rsid w:val="7F3A13BB"/>
    <w:rsid w:val="7F4075ED"/>
    <w:rsid w:val="7F4F446C"/>
    <w:rsid w:val="7F6A50B8"/>
    <w:rsid w:val="7F6C1644"/>
    <w:rsid w:val="7F826D64"/>
    <w:rsid w:val="7F9A0745"/>
    <w:rsid w:val="7F9F5CE0"/>
    <w:rsid w:val="7FA64A9F"/>
    <w:rsid w:val="7FDA735D"/>
    <w:rsid w:val="7FDF0B85"/>
    <w:rsid w:val="7FEB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7"/>
      <w:ind w:left="340" w:right="557"/>
      <w:jc w:val="center"/>
      <w:outlineLvl w:val="0"/>
    </w:pPr>
    <w:rPr>
      <w:b/>
      <w:bCs/>
      <w:sz w:val="44"/>
      <w:szCs w:val="44"/>
    </w:rPr>
  </w:style>
  <w:style w:type="paragraph" w:styleId="3">
    <w:name w:val="heading 3"/>
    <w:basedOn w:val="1"/>
    <w:next w:val="1"/>
    <w:qFormat/>
    <w:uiPriority w:val="1"/>
    <w:pPr>
      <w:spacing w:before="62"/>
      <w:ind w:left="340" w:right="557"/>
      <w:jc w:val="center"/>
      <w:outlineLvl w:val="2"/>
    </w:pPr>
    <w:rPr>
      <w:b/>
      <w:bCs/>
      <w:sz w:val="24"/>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pPr>
      <w:ind w:left="318"/>
    </w:pPr>
    <w:rPr>
      <w:sz w:val="21"/>
      <w:szCs w:val="21"/>
    </w:rPr>
  </w:style>
  <w:style w:type="paragraph" w:styleId="6">
    <w:name w:val="footer"/>
    <w:basedOn w:val="1"/>
    <w:qFormat/>
    <w:uiPriority w:val="0"/>
    <w:pPr>
      <w:tabs>
        <w:tab w:val="center" w:pos="4153"/>
        <w:tab w:val="right" w:pos="8306"/>
      </w:tabs>
      <w:snapToGrid w:val="0"/>
    </w:pPr>
    <w:rPr>
      <w:sz w:val="18"/>
    </w:rPr>
  </w:style>
  <w:style w:type="table" w:customStyle="1" w:styleId="9">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10">
    <w:name w:val="Table Paragraph"/>
    <w:basedOn w:val="1"/>
    <w:qFormat/>
    <w:uiPriority w:val="1"/>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2025-11-05T02:45:00Z</dcterms:created>
  <dc:creator>吃货</dc:creator>
  <cp:lastModifiedBy>吃货</cp:lastModifiedBy>
  <dcterms:modified xsi:type="dcterms:W3CDTF">2025-11-05T02:49:15Z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2D7949573739489DBCBCE8436BC59DC1_13</vt:lpwstr>
  </property>
  <property fmtid="{D5CDD505-2E9C-101B-9397-08002B2CF9AE}" pid="4" name="KSOTemplateDocerSaveRecord">
    <vt:lpwstr>eyJoZGlkIjoiYWJlOWQ5ZDY0ZTk3NTI4M2JhYjE3YmI3NmY0OGEzYmYiLCJ1c2VySWQiOiI5NTMwNTA0NzMifQ==</vt:lpwstr>
  </property>
</Properties>
</file>