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EB6C0">
      <w:pPr>
        <w:pStyle w:val="3"/>
        <w:outlineLvl w:val="9"/>
        <w:rPr>
          <w:rFonts w:hint="eastAsia" w:ascii="宋体" w:hAnsi="宋体"/>
          <w:b w:val="0"/>
          <w:color w:val="auto"/>
          <w:sz w:val="24"/>
          <w:highlight w:val="none"/>
        </w:rPr>
      </w:pPr>
    </w:p>
    <w:p w14:paraId="193E376A">
      <w:pPr>
        <w:spacing w:before="153" w:line="379" w:lineRule="auto"/>
        <w:ind w:left="142" w:right="115" w:firstLine="414"/>
        <w:jc w:val="center"/>
        <w:rPr>
          <w:rFonts w:hint="eastAsia" w:ascii="宋体" w:hAnsi="宋体" w:eastAsia="宋体" w:cs="宋体"/>
          <w:color w:val="auto"/>
          <w:sz w:val="24"/>
          <w:szCs w:val="24"/>
          <w:highlight w:val="none"/>
        </w:rPr>
      </w:pPr>
      <w:r>
        <w:rPr>
          <w:rFonts w:hint="eastAsia" w:ascii="宋体" w:hAnsi="宋体" w:eastAsia="宋体" w:cs="宋体"/>
          <w:b/>
          <w:snapToGrid/>
          <w:color w:val="auto"/>
          <w:sz w:val="24"/>
          <w:szCs w:val="24"/>
          <w:highlight w:val="none"/>
          <w:lang w:bidi="zh-CN"/>
        </w:rPr>
        <w:t>附录 1、资格审查条件 (资质最低要求)</w:t>
      </w:r>
    </w:p>
    <w:p w14:paraId="4CEBB4D9">
      <w:pPr>
        <w:spacing w:line="83" w:lineRule="exact"/>
        <w:rPr>
          <w:rFonts w:hint="eastAsia" w:ascii="宋体" w:hAnsi="宋体" w:eastAsia="宋体" w:cs="宋体"/>
          <w:color w:val="auto"/>
          <w:sz w:val="24"/>
          <w:szCs w:val="24"/>
          <w:highlight w:val="none"/>
        </w:rPr>
      </w:pPr>
    </w:p>
    <w:tbl>
      <w:tblPr>
        <w:tblStyle w:val="9"/>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6"/>
      </w:tblGrid>
      <w:tr w14:paraId="1215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076" w:type="dxa"/>
            <w:noWrap w:val="0"/>
            <w:vAlign w:val="top"/>
          </w:tcPr>
          <w:p w14:paraId="1AD035F3">
            <w:pPr>
              <w:spacing w:before="252" w:line="227"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2AE56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5" w:hRule="atLeast"/>
          <w:jc w:val="center"/>
        </w:trPr>
        <w:tc>
          <w:tcPr>
            <w:tcW w:w="9076" w:type="dxa"/>
            <w:noWrap w:val="0"/>
            <w:vAlign w:val="top"/>
          </w:tcPr>
          <w:p w14:paraId="450CF509">
            <w:pPr>
              <w:spacing w:before="244" w:line="360" w:lineRule="auto"/>
              <w:ind w:left="590" w:firstLine="22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1、</w:t>
            </w:r>
            <w:r>
              <w:rPr>
                <w:rFonts w:hint="eastAsia" w:ascii="宋体" w:hAnsi="宋体" w:eastAsia="宋体" w:cs="宋体"/>
                <w:color w:val="auto"/>
                <w:spacing w:val="8"/>
                <w:sz w:val="21"/>
                <w:szCs w:val="21"/>
                <w:highlight w:val="none"/>
              </w:rPr>
              <w:t>具备</w:t>
            </w:r>
            <w:r>
              <w:rPr>
                <w:rFonts w:hint="eastAsia" w:ascii="宋体" w:hAnsi="宋体" w:eastAsia="宋体" w:cs="宋体"/>
                <w:color w:val="auto"/>
                <w:spacing w:val="8"/>
                <w:sz w:val="21"/>
                <w:szCs w:val="21"/>
                <w:highlight w:val="none"/>
                <w:lang w:val="en-US" w:eastAsia="zh-CN"/>
              </w:rPr>
              <w:t>有效的营业执照</w:t>
            </w:r>
            <w:r>
              <w:rPr>
                <w:rFonts w:hint="eastAsia" w:ascii="宋体" w:hAnsi="宋体" w:eastAsia="宋体" w:cs="宋体"/>
                <w:color w:val="auto"/>
                <w:spacing w:val="6"/>
                <w:position w:val="1"/>
                <w:sz w:val="21"/>
                <w:szCs w:val="21"/>
                <w:highlight w:val="none"/>
              </w:rPr>
              <w:t>；</w:t>
            </w:r>
          </w:p>
          <w:p w14:paraId="65C34B61">
            <w:pPr>
              <w:spacing w:before="129" w:line="360" w:lineRule="auto"/>
              <w:ind w:left="577" w:firstLine="226"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val="en-US" w:eastAsia="zh-CN"/>
              </w:rPr>
              <w:t>2、</w:t>
            </w:r>
            <w:r>
              <w:rPr>
                <w:rFonts w:hint="eastAsia" w:ascii="宋体" w:hAnsi="宋体" w:eastAsia="宋体" w:cs="宋体"/>
                <w:color w:val="auto"/>
                <w:spacing w:val="8"/>
                <w:sz w:val="21"/>
                <w:szCs w:val="21"/>
                <w:highlight w:val="none"/>
              </w:rPr>
              <w:t>具备</w:t>
            </w:r>
            <w:r>
              <w:rPr>
                <w:rFonts w:hint="eastAsia" w:ascii="宋体" w:hAnsi="宋体" w:eastAsia="宋体" w:cs="宋体"/>
                <w:color w:val="auto"/>
                <w:spacing w:val="8"/>
                <w:sz w:val="21"/>
                <w:szCs w:val="21"/>
                <w:highlight w:val="none"/>
                <w:lang w:val="en-US" w:eastAsia="zh-CN"/>
              </w:rPr>
              <w:t>有效期内的</w:t>
            </w:r>
            <w:r>
              <w:rPr>
                <w:rFonts w:hint="eastAsia" w:ascii="宋体" w:hAnsi="宋体" w:eastAsia="宋体" w:cs="宋体"/>
                <w:color w:val="auto"/>
                <w:spacing w:val="8"/>
                <w:sz w:val="21"/>
                <w:szCs w:val="21"/>
                <w:highlight w:val="none"/>
              </w:rPr>
              <w:t>公路工程施工总承包叁级 (含叁级) 以上资质</w:t>
            </w:r>
            <w:r>
              <w:rPr>
                <w:rFonts w:hint="eastAsia" w:ascii="宋体" w:hAnsi="宋体" w:eastAsia="宋体" w:cs="宋体"/>
                <w:color w:val="auto"/>
                <w:spacing w:val="8"/>
                <w:sz w:val="21"/>
                <w:szCs w:val="21"/>
                <w:highlight w:val="none"/>
                <w:lang w:eastAsia="zh-CN"/>
              </w:rPr>
              <w:t>；</w:t>
            </w:r>
          </w:p>
          <w:p w14:paraId="30C105A5">
            <w:pPr>
              <w:spacing w:before="129" w:line="360" w:lineRule="auto"/>
              <w:ind w:left="577" w:firstLine="236" w:firstLineChars="100"/>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lang w:val="en-US" w:eastAsia="zh-CN"/>
              </w:rPr>
              <w:t>3、</w:t>
            </w:r>
            <w:r>
              <w:rPr>
                <w:rFonts w:hint="eastAsia" w:ascii="宋体" w:hAnsi="宋体" w:eastAsia="宋体" w:cs="宋体"/>
                <w:color w:val="auto"/>
                <w:spacing w:val="13"/>
                <w:sz w:val="21"/>
                <w:szCs w:val="21"/>
                <w:highlight w:val="none"/>
              </w:rPr>
              <w:t>具有合法有效的安全生产许可证。</w:t>
            </w:r>
          </w:p>
          <w:p w14:paraId="0EE37FF5">
            <w:pPr>
              <w:spacing w:before="129" w:line="360" w:lineRule="auto"/>
              <w:ind w:left="577" w:firstLine="236" w:firstLineChars="100"/>
              <w:rPr>
                <w:rFonts w:hint="eastAsia" w:ascii="宋体" w:hAnsi="宋体" w:eastAsia="宋体" w:cs="宋体"/>
                <w:lang w:val="en-US" w:eastAsia="zh-CN"/>
              </w:rPr>
            </w:pPr>
            <w:r>
              <w:rPr>
                <w:rFonts w:hint="eastAsia" w:ascii="宋体" w:hAnsi="宋体" w:eastAsia="宋体" w:cs="宋体"/>
                <w:color w:val="auto"/>
                <w:spacing w:val="13"/>
                <w:sz w:val="21"/>
                <w:szCs w:val="21"/>
                <w:highlight w:val="none"/>
                <w:lang w:val="en-US" w:eastAsia="zh-CN"/>
              </w:rPr>
              <w:t>4、</w:t>
            </w:r>
            <w:r>
              <w:rPr>
                <w:rFonts w:hint="eastAsia" w:ascii="宋体" w:hAnsi="宋体" w:eastAsia="宋体" w:cs="宋体"/>
                <w:color w:val="auto"/>
                <w:spacing w:val="13"/>
                <w:sz w:val="21"/>
                <w:szCs w:val="21"/>
                <w:highlight w:val="none"/>
              </w:rPr>
              <w:t xml:space="preserve">投 标 人 应 进 入 交 通 运 输 部 “ 全 国 公 路 建 设 市 场 信 用 信 息 管 理 系 统 ( </w:t>
            </w:r>
            <w:r>
              <w:rPr>
                <w:rFonts w:hint="eastAsia" w:ascii="宋体" w:hAnsi="宋体" w:eastAsia="宋体" w:cs="宋体"/>
                <w:color w:val="auto"/>
                <w:spacing w:val="13"/>
                <w:sz w:val="21"/>
                <w:szCs w:val="21"/>
                <w:highlight w:val="none"/>
                <w:lang w:eastAsia="zh-CN"/>
              </w:rPr>
              <w:t>https://hwdms.mot.gov.cn</w:t>
            </w:r>
            <w:r>
              <w:rPr>
                <w:rFonts w:hint="eastAsia" w:ascii="宋体" w:hAnsi="宋体" w:eastAsia="宋体" w:cs="宋体"/>
                <w:color w:val="auto"/>
                <w:spacing w:val="13"/>
                <w:sz w:val="21"/>
                <w:szCs w:val="21"/>
                <w:highlight w:val="none"/>
              </w:rPr>
              <w:t>) ”中的公路工程施工资质企业名录，且投标人名称和资质与该名录中的相应企业名称和资质完全一致。否则，将不能通过资格审查。</w:t>
            </w:r>
          </w:p>
        </w:tc>
      </w:tr>
    </w:tbl>
    <w:p w14:paraId="48CFA942">
      <w:pPr>
        <w:rPr>
          <w:rFonts w:hint="eastAsia" w:ascii="宋体" w:hAnsi="宋体" w:eastAsia="宋体" w:cs="宋体"/>
          <w:color w:val="auto"/>
          <w:sz w:val="24"/>
          <w:szCs w:val="24"/>
          <w:highlight w:val="none"/>
        </w:rPr>
      </w:pPr>
    </w:p>
    <w:p w14:paraId="1E7DDE86">
      <w:pPr>
        <w:pStyle w:val="4"/>
        <w:rPr>
          <w:rFonts w:ascii="宋体" w:hAnsi="宋体" w:eastAsia="宋体" w:cs="宋体"/>
          <w:b w:val="0"/>
          <w:bCs w:val="0"/>
          <w:color w:val="000000"/>
          <w:sz w:val="21"/>
          <w:szCs w:val="21"/>
        </w:rPr>
      </w:pPr>
      <w:r>
        <w:rPr>
          <w:rFonts w:ascii="宋体" w:hAnsi="宋体" w:eastAsia="宋体" w:cs="宋体"/>
          <w:b w:val="0"/>
          <w:bCs w:val="0"/>
          <w:color w:val="000000"/>
          <w:sz w:val="21"/>
          <w:szCs w:val="21"/>
        </w:rPr>
        <w:t>注：投标人应根据投标文件第二章“投标人须知”第 3.5.1 项的要求附相关证明材料。</w:t>
      </w:r>
    </w:p>
    <w:p w14:paraId="109738CA">
      <w:pPr>
        <w:pStyle w:val="4"/>
        <w:rPr>
          <w:rFonts w:hint="eastAsia" w:ascii="宋体" w:hAnsi="宋体" w:eastAsia="宋体" w:cs="宋体"/>
          <w:b w:val="0"/>
          <w:bCs w:val="0"/>
          <w:color w:val="000000"/>
          <w:sz w:val="21"/>
          <w:szCs w:val="21"/>
        </w:rPr>
      </w:pPr>
    </w:p>
    <w:p w14:paraId="58603909">
      <w:pPr>
        <w:rPr>
          <w:rFonts w:hint="eastAsia"/>
          <w:color w:val="auto"/>
          <w:highlight w:val="none"/>
        </w:rPr>
      </w:pPr>
    </w:p>
    <w:p w14:paraId="4E464A14">
      <w:pPr>
        <w:spacing w:before="153" w:line="379" w:lineRule="auto"/>
        <w:ind w:left="142" w:right="115" w:firstLine="414"/>
        <w:jc w:val="center"/>
        <w:rPr>
          <w:rFonts w:hint="eastAsia" w:ascii="宋体" w:hAnsi="宋体" w:eastAsia="宋体" w:cs="宋体"/>
          <w:color w:val="auto"/>
          <w:sz w:val="24"/>
          <w:szCs w:val="24"/>
          <w:highlight w:val="none"/>
        </w:rPr>
      </w:pPr>
      <w:bookmarkStart w:id="0" w:name="_bookmark13"/>
      <w:bookmarkEnd w:id="0"/>
      <w:r>
        <w:rPr>
          <w:rFonts w:hint="eastAsia" w:ascii="宋体" w:hAnsi="宋体" w:eastAsia="宋体" w:cs="宋体"/>
          <w:b/>
          <w:snapToGrid/>
          <w:color w:val="auto"/>
          <w:sz w:val="24"/>
          <w:szCs w:val="24"/>
          <w:highlight w:val="none"/>
          <w:lang w:bidi="zh-CN"/>
        </w:rPr>
        <w:t>附录 2、资格审查条件 (财务最低要求)</w:t>
      </w:r>
    </w:p>
    <w:p w14:paraId="33654972">
      <w:pPr>
        <w:spacing w:line="84" w:lineRule="exact"/>
        <w:rPr>
          <w:rFonts w:hint="eastAsia" w:ascii="宋体" w:hAnsi="宋体" w:eastAsia="宋体" w:cs="宋体"/>
          <w:color w:val="auto"/>
          <w:sz w:val="24"/>
          <w:szCs w:val="24"/>
          <w:highlight w:val="none"/>
        </w:rPr>
      </w:pPr>
    </w:p>
    <w:tbl>
      <w:tblPr>
        <w:tblStyle w:val="9"/>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6"/>
      </w:tblGrid>
      <w:tr w14:paraId="606D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9076" w:type="dxa"/>
            <w:noWrap w:val="0"/>
            <w:vAlign w:val="top"/>
          </w:tcPr>
          <w:p w14:paraId="2C3A4011">
            <w:pPr>
              <w:spacing w:before="246" w:line="228" w:lineRule="auto"/>
              <w:ind w:left="42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4C29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6" w:hRule="atLeast"/>
          <w:jc w:val="center"/>
        </w:trPr>
        <w:tc>
          <w:tcPr>
            <w:tcW w:w="9076" w:type="dxa"/>
            <w:noWrap w:val="0"/>
            <w:vAlign w:val="top"/>
          </w:tcPr>
          <w:p w14:paraId="34B770B6">
            <w:pPr>
              <w:spacing w:before="244" w:line="240" w:lineRule="auto"/>
              <w:ind w:left="590"/>
              <w:rPr>
                <w:rFonts w:hint="eastAsia" w:ascii="宋体" w:hAnsi="宋体" w:eastAsia="宋体" w:cs="宋体"/>
                <w:color w:val="auto"/>
                <w:spacing w:val="12"/>
                <w:position w:val="1"/>
                <w:sz w:val="21"/>
                <w:szCs w:val="21"/>
                <w:highlight w:val="none"/>
              </w:rPr>
            </w:pPr>
            <w:r>
              <w:rPr>
                <w:rFonts w:hint="eastAsia" w:ascii="宋体" w:hAnsi="宋体" w:eastAsia="宋体" w:cs="宋体"/>
                <w:color w:val="auto"/>
                <w:spacing w:val="12"/>
                <w:position w:val="1"/>
                <w:sz w:val="21"/>
                <w:szCs w:val="21"/>
                <w:highlight w:val="none"/>
              </w:rPr>
              <w:t>1、企业净资产（总资产-总负债）不少于</w:t>
            </w:r>
            <w:r>
              <w:rPr>
                <w:rFonts w:hint="eastAsia" w:ascii="宋体" w:hAnsi="宋体" w:eastAsia="宋体" w:cs="宋体"/>
                <w:color w:val="auto"/>
                <w:spacing w:val="12"/>
                <w:position w:val="1"/>
                <w:sz w:val="21"/>
                <w:szCs w:val="21"/>
                <w:highlight w:val="none"/>
                <w:lang w:val="en-US" w:eastAsia="zh-CN"/>
              </w:rPr>
              <w:t>400</w:t>
            </w:r>
            <w:r>
              <w:rPr>
                <w:rFonts w:hint="eastAsia" w:ascii="宋体" w:hAnsi="宋体" w:eastAsia="宋体" w:cs="宋体"/>
                <w:color w:val="auto"/>
                <w:spacing w:val="12"/>
                <w:position w:val="1"/>
                <w:sz w:val="21"/>
                <w:szCs w:val="21"/>
                <w:highlight w:val="none"/>
              </w:rPr>
              <w:t>万元人民币；</w:t>
            </w:r>
          </w:p>
          <w:p w14:paraId="4B85FE97">
            <w:pPr>
              <w:spacing w:before="244" w:line="240" w:lineRule="auto"/>
              <w:ind w:left="590"/>
              <w:rPr>
                <w:rFonts w:hint="eastAsia" w:ascii="宋体" w:hAnsi="宋体" w:eastAsia="宋体" w:cs="宋体"/>
                <w:color w:val="auto"/>
                <w:spacing w:val="12"/>
                <w:position w:val="1"/>
                <w:sz w:val="21"/>
                <w:szCs w:val="21"/>
                <w:highlight w:val="none"/>
              </w:rPr>
            </w:pPr>
            <w:r>
              <w:rPr>
                <w:rFonts w:hint="eastAsia" w:ascii="宋体" w:hAnsi="宋体" w:eastAsia="宋体" w:cs="宋体"/>
                <w:color w:val="auto"/>
                <w:spacing w:val="12"/>
                <w:position w:val="1"/>
                <w:sz w:val="21"/>
                <w:szCs w:val="21"/>
                <w:highlight w:val="none"/>
              </w:rPr>
              <w:t>2、运营资金（流动资产-流动负债）不少于</w:t>
            </w:r>
            <w:r>
              <w:rPr>
                <w:rFonts w:hint="eastAsia" w:ascii="宋体" w:hAnsi="宋体" w:eastAsia="宋体" w:cs="宋体"/>
                <w:color w:val="auto"/>
                <w:spacing w:val="12"/>
                <w:position w:val="1"/>
                <w:sz w:val="21"/>
                <w:szCs w:val="21"/>
                <w:highlight w:val="none"/>
                <w:lang w:val="en-US" w:eastAsia="zh-CN"/>
              </w:rPr>
              <w:t>400</w:t>
            </w:r>
            <w:r>
              <w:rPr>
                <w:rFonts w:hint="eastAsia" w:ascii="宋体" w:hAnsi="宋体" w:eastAsia="宋体" w:cs="宋体"/>
                <w:color w:val="auto"/>
                <w:spacing w:val="12"/>
                <w:position w:val="1"/>
                <w:sz w:val="21"/>
                <w:szCs w:val="21"/>
                <w:highlight w:val="none"/>
              </w:rPr>
              <w:t>万元人民币；</w:t>
            </w:r>
          </w:p>
          <w:p w14:paraId="388763FF">
            <w:pPr>
              <w:spacing w:before="244" w:line="240" w:lineRule="auto"/>
              <w:ind w:left="590"/>
              <w:rPr>
                <w:rFonts w:hint="eastAsia" w:ascii="宋体" w:hAnsi="宋体" w:eastAsia="宋体" w:cs="宋体"/>
                <w:color w:val="auto"/>
                <w:spacing w:val="12"/>
                <w:position w:val="1"/>
                <w:sz w:val="21"/>
                <w:szCs w:val="21"/>
                <w:highlight w:val="none"/>
                <w:lang w:val="en-US" w:eastAsia="zh-CN"/>
              </w:rPr>
            </w:pPr>
            <w:r>
              <w:rPr>
                <w:rFonts w:hint="eastAsia" w:ascii="宋体" w:hAnsi="宋体" w:eastAsia="宋体" w:cs="宋体"/>
                <w:color w:val="auto"/>
                <w:spacing w:val="12"/>
                <w:position w:val="1"/>
                <w:sz w:val="21"/>
                <w:szCs w:val="21"/>
                <w:highlight w:val="none"/>
                <w:lang w:val="en-US" w:eastAsia="zh-CN"/>
              </w:rPr>
              <w:t>3、</w:t>
            </w:r>
            <w:r>
              <w:rPr>
                <w:rFonts w:hint="eastAsia" w:ascii="宋体" w:hAnsi="宋体" w:eastAsia="宋体" w:cs="宋体"/>
                <w:color w:val="auto"/>
                <w:spacing w:val="12"/>
                <w:position w:val="1"/>
                <w:sz w:val="21"/>
                <w:szCs w:val="21"/>
                <w:highlight w:val="none"/>
              </w:rPr>
              <w:t>最近三个年度的平均营业总收入不少于</w:t>
            </w:r>
            <w:r>
              <w:rPr>
                <w:rFonts w:hint="eastAsia" w:ascii="宋体" w:hAnsi="宋体" w:eastAsia="宋体" w:cs="宋体"/>
                <w:color w:val="auto"/>
                <w:spacing w:val="12"/>
                <w:position w:val="1"/>
                <w:sz w:val="21"/>
                <w:szCs w:val="21"/>
                <w:highlight w:val="none"/>
                <w:lang w:val="en-US" w:eastAsia="zh-CN"/>
              </w:rPr>
              <w:t>400</w:t>
            </w:r>
            <w:r>
              <w:rPr>
                <w:rFonts w:hint="eastAsia" w:ascii="宋体" w:hAnsi="宋体" w:eastAsia="宋体" w:cs="宋体"/>
                <w:color w:val="auto"/>
                <w:spacing w:val="12"/>
                <w:position w:val="1"/>
                <w:sz w:val="21"/>
                <w:szCs w:val="21"/>
                <w:highlight w:val="none"/>
              </w:rPr>
              <w:t>万元人民币</w:t>
            </w:r>
            <w:r>
              <w:rPr>
                <w:rFonts w:hint="eastAsia" w:ascii="宋体" w:hAnsi="宋体" w:eastAsia="宋体" w:cs="宋体"/>
                <w:color w:val="auto"/>
                <w:spacing w:val="12"/>
                <w:position w:val="1"/>
                <w:sz w:val="21"/>
                <w:szCs w:val="21"/>
                <w:highlight w:val="none"/>
                <w:lang w:val="en-US" w:eastAsia="zh-CN"/>
              </w:rPr>
              <w:t>；</w:t>
            </w:r>
          </w:p>
          <w:p w14:paraId="3EE60BEB">
            <w:pPr>
              <w:spacing w:before="244" w:line="240" w:lineRule="auto"/>
              <w:ind w:left="59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position w:val="1"/>
                <w:sz w:val="21"/>
                <w:szCs w:val="21"/>
                <w:highlight w:val="none"/>
                <w:lang w:val="en-US" w:eastAsia="zh-CN"/>
              </w:rPr>
              <w:t>4</w:t>
            </w:r>
            <w:r>
              <w:rPr>
                <w:rFonts w:hint="eastAsia" w:ascii="宋体" w:hAnsi="宋体" w:eastAsia="宋体" w:cs="宋体"/>
                <w:color w:val="auto"/>
                <w:spacing w:val="12"/>
                <w:position w:val="1"/>
                <w:sz w:val="21"/>
                <w:szCs w:val="21"/>
                <w:highlight w:val="none"/>
              </w:rPr>
              <w:t>、最近三个年</w:t>
            </w:r>
            <w:r>
              <w:rPr>
                <w:rFonts w:hint="eastAsia" w:ascii="宋体" w:hAnsi="宋体" w:eastAsia="宋体" w:cs="宋体"/>
                <w:color w:val="auto"/>
                <w:spacing w:val="12"/>
                <w:position w:val="1"/>
                <w:sz w:val="21"/>
                <w:szCs w:val="21"/>
                <w:highlight w:val="none"/>
                <w:lang w:eastAsia="zh-CN"/>
              </w:rPr>
              <w:t>度</w:t>
            </w:r>
            <w:r>
              <w:rPr>
                <w:rFonts w:hint="eastAsia" w:ascii="宋体" w:hAnsi="宋体" w:eastAsia="宋体" w:cs="宋体"/>
                <w:color w:val="auto"/>
                <w:spacing w:val="12"/>
                <w:position w:val="1"/>
                <w:sz w:val="21"/>
                <w:szCs w:val="21"/>
                <w:highlight w:val="none"/>
                <w:lang w:val="en-US" w:eastAsia="zh-CN"/>
              </w:rPr>
              <w:t>均为盈利</w:t>
            </w:r>
            <w:r>
              <w:rPr>
                <w:rFonts w:hint="eastAsia" w:ascii="宋体" w:hAnsi="宋体" w:eastAsia="宋体" w:cs="宋体"/>
                <w:color w:val="auto"/>
                <w:spacing w:val="12"/>
                <w:position w:val="1"/>
                <w:sz w:val="21"/>
                <w:szCs w:val="21"/>
                <w:highlight w:val="none"/>
              </w:rPr>
              <w:t>。</w:t>
            </w:r>
          </w:p>
        </w:tc>
      </w:tr>
    </w:tbl>
    <w:p w14:paraId="1846C4FC">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注：1、企业净资产、营运资金是按交通运输部“</w:t>
      </w:r>
      <w:r>
        <w:rPr>
          <w:rFonts w:hint="eastAsia" w:ascii="宋体" w:hAnsi="宋体" w:eastAsia="宋体" w:cs="宋体"/>
          <w:color w:val="auto"/>
          <w:sz w:val="21"/>
          <w:szCs w:val="21"/>
          <w:highlight w:val="none"/>
          <w:lang w:eastAsia="zh-CN"/>
        </w:rPr>
        <w:t>全国公路建设市场监督管理系统</w:t>
      </w:r>
      <w:r>
        <w:rPr>
          <w:rFonts w:hint="eastAsia" w:ascii="宋体" w:hAnsi="宋体" w:eastAsia="宋体" w:cs="宋体"/>
          <w:color w:val="auto"/>
          <w:sz w:val="21"/>
          <w:szCs w:val="21"/>
          <w:highlight w:val="none"/>
        </w:rPr>
        <w:t>”登记的最新年度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2023年度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数据计算得出。</w:t>
      </w:r>
      <w:r>
        <w:rPr>
          <w:rFonts w:hint="eastAsia" w:ascii="宋体" w:hAnsi="宋体" w:eastAsia="宋体" w:cs="宋体"/>
          <w:color w:val="auto"/>
          <w:sz w:val="21"/>
          <w:szCs w:val="21"/>
          <w:highlight w:val="none"/>
          <w:lang w:eastAsia="zh-CN"/>
        </w:rPr>
        <w:t>近三个年度是指</w:t>
      </w:r>
      <w:r>
        <w:rPr>
          <w:rFonts w:hint="eastAsia" w:ascii="宋体" w:hAnsi="宋体" w:eastAsia="宋体" w:cs="宋体"/>
          <w:color w:val="auto"/>
          <w:sz w:val="21"/>
          <w:szCs w:val="21"/>
          <w:highlight w:val="none"/>
          <w:lang w:val="en-US" w:eastAsia="zh-CN"/>
        </w:rPr>
        <w:t>2022年度、2023年度、2024年度。</w:t>
      </w:r>
    </w:p>
    <w:p w14:paraId="7C8F69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近三个年度财务信息以投标人提供的“</w:t>
      </w:r>
      <w:r>
        <w:rPr>
          <w:rFonts w:hint="eastAsia" w:ascii="宋体" w:hAnsi="宋体" w:eastAsia="宋体" w:cs="宋体"/>
          <w:color w:val="auto"/>
          <w:sz w:val="21"/>
          <w:szCs w:val="21"/>
          <w:highlight w:val="none"/>
          <w:lang w:eastAsia="zh-CN"/>
        </w:rPr>
        <w:t>全国公路建设市场监督管理系统</w:t>
      </w:r>
      <w:r>
        <w:rPr>
          <w:rFonts w:hint="eastAsia" w:ascii="宋体" w:hAnsi="宋体" w:eastAsia="宋体" w:cs="宋体"/>
          <w:color w:val="auto"/>
          <w:sz w:val="21"/>
          <w:szCs w:val="21"/>
          <w:highlight w:val="none"/>
        </w:rPr>
        <w:t>”企业所填的信息截图或网页打印件为准。投标人的成立时间少于投标人须知前附表规定年份的，应提供成立以来的财务信息截图或网页打印件。</w:t>
      </w:r>
    </w:p>
    <w:p w14:paraId="36C3EE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投标人应根据投标文件第二章“投标人须知”第 3.5.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项的要求附相关证明材料。</w:t>
      </w:r>
    </w:p>
    <w:p w14:paraId="4C28D04A">
      <w:pPr>
        <w:pStyle w:val="2"/>
        <w:rPr>
          <w:rFonts w:hint="eastAsia"/>
        </w:rPr>
        <w:sectPr>
          <w:footerReference r:id="rId3" w:type="default"/>
          <w:pgSz w:w="11905" w:h="16838"/>
          <w:pgMar w:top="1134" w:right="1134" w:bottom="1134" w:left="1304" w:header="850" w:footer="850" w:gutter="0"/>
          <w:pgNumType w:fmt="decimal"/>
          <w:cols w:space="720" w:num="1"/>
          <w:rtlGutter w:val="0"/>
          <w:docGrid w:linePitch="0" w:charSpace="0"/>
        </w:sectPr>
      </w:pPr>
    </w:p>
    <w:p w14:paraId="3CFA6760">
      <w:pPr>
        <w:spacing w:before="153" w:line="379" w:lineRule="auto"/>
        <w:ind w:left="142" w:right="115" w:firstLine="414"/>
        <w:jc w:val="center"/>
        <w:rPr>
          <w:rFonts w:hint="eastAsia" w:ascii="宋体" w:hAnsi="宋体" w:eastAsia="宋体" w:cs="宋体"/>
          <w:b/>
          <w:snapToGrid/>
          <w:color w:val="auto"/>
          <w:sz w:val="24"/>
          <w:szCs w:val="24"/>
          <w:highlight w:val="none"/>
          <w:lang w:bidi="zh-CN"/>
        </w:rPr>
      </w:pPr>
    </w:p>
    <w:p w14:paraId="7D3300F0">
      <w:pPr>
        <w:spacing w:before="153" w:line="379" w:lineRule="auto"/>
        <w:ind w:left="142" w:right="115" w:firstLine="414"/>
        <w:jc w:val="center"/>
        <w:rPr>
          <w:rFonts w:hint="eastAsia" w:ascii="宋体" w:hAnsi="宋体" w:eastAsia="宋体" w:cs="宋体"/>
          <w:b/>
          <w:snapToGrid/>
          <w:color w:val="auto"/>
          <w:sz w:val="24"/>
          <w:szCs w:val="24"/>
          <w:highlight w:val="none"/>
          <w:lang w:bidi="zh-CN"/>
        </w:rPr>
      </w:pPr>
      <w:r>
        <w:rPr>
          <w:rFonts w:hint="eastAsia" w:ascii="宋体" w:hAnsi="宋体" w:eastAsia="宋体" w:cs="宋体"/>
          <w:b/>
          <w:snapToGrid/>
          <w:color w:val="auto"/>
          <w:sz w:val="24"/>
          <w:szCs w:val="24"/>
          <w:highlight w:val="none"/>
          <w:lang w:bidi="zh-CN"/>
        </w:rPr>
        <w:t>附录 3、资格审查条件 (业绩最低要求)</w:t>
      </w:r>
    </w:p>
    <w:p w14:paraId="54CB126C">
      <w:pPr>
        <w:spacing w:line="14" w:lineRule="exact"/>
        <w:rPr>
          <w:rFonts w:hint="eastAsia" w:ascii="宋体" w:hAnsi="宋体" w:eastAsia="宋体" w:cs="宋体"/>
          <w:color w:val="auto"/>
          <w:sz w:val="24"/>
          <w:szCs w:val="24"/>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325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98" w:type="dxa"/>
            <w:noWrap w:val="0"/>
            <w:vAlign w:val="center"/>
          </w:tcPr>
          <w:p w14:paraId="2B25D2B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0123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498" w:type="dxa"/>
            <w:noWrap w:val="0"/>
            <w:vAlign w:val="center"/>
          </w:tcPr>
          <w:p w14:paraId="3B389572">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近五年（</w:t>
            </w:r>
            <w:r>
              <w:rPr>
                <w:rFonts w:hint="eastAsia" w:ascii="宋体" w:hAnsi="宋体" w:eastAsia="宋体" w:cs="宋体"/>
                <w:b/>
                <w:bCs/>
                <w:color w:val="auto"/>
                <w:sz w:val="21"/>
                <w:szCs w:val="21"/>
                <w:highlight w:val="none"/>
              </w:rPr>
              <w:t>20</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月1日至投标文件递交截止日止</w:t>
            </w:r>
            <w:r>
              <w:rPr>
                <w:rFonts w:hint="eastAsia" w:ascii="宋体" w:hAnsi="宋体" w:eastAsia="宋体" w:cs="宋体"/>
                <w:color w:val="auto"/>
                <w:sz w:val="21"/>
                <w:szCs w:val="21"/>
                <w:highlight w:val="none"/>
              </w:rPr>
              <w:t>）独立完成：</w:t>
            </w:r>
          </w:p>
          <w:p w14:paraId="2EAADEC0">
            <w:pPr>
              <w:pageBreakBefore w:val="0"/>
              <w:widowControl/>
              <w:kinsoku w:val="0"/>
              <w:wordWrap/>
              <w:overflowPunct/>
              <w:topLinePunct w:val="0"/>
              <w:autoSpaceDE w:val="0"/>
              <w:autoSpaceDN w:val="0"/>
              <w:bidi w:val="0"/>
              <w:adjustRightInd w:val="0"/>
              <w:snapToGrid w:val="0"/>
              <w:spacing w:line="360" w:lineRule="auto"/>
              <w:ind w:firstLine="457" w:firstLineChars="2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公路工程施工总承包业绩至少1个项目。</w:t>
            </w:r>
          </w:p>
        </w:tc>
      </w:tr>
    </w:tbl>
    <w:p w14:paraId="53EB21C3">
      <w:pPr>
        <w:spacing w:before="141" w:line="360" w:lineRule="auto"/>
        <w:ind w:left="15"/>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注：1、本附录所要求的业绩仅限中华人民共和国境内业绩。</w:t>
      </w:r>
    </w:p>
    <w:p w14:paraId="6675E179">
      <w:pPr>
        <w:spacing w:before="141" w:line="360" w:lineRule="auto"/>
        <w:ind w:left="15"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2、</w:t>
      </w:r>
      <w:r>
        <w:rPr>
          <w:rFonts w:hint="eastAsia" w:ascii="宋体" w:hAnsi="宋体" w:eastAsia="宋体" w:cs="宋体"/>
          <w:color w:val="auto"/>
          <w:spacing w:val="9"/>
          <w:sz w:val="21"/>
          <w:szCs w:val="21"/>
          <w:highlight w:val="none"/>
        </w:rPr>
        <w:t>业绩信息来源于“</w:t>
      </w:r>
      <w:r>
        <w:rPr>
          <w:rFonts w:hint="eastAsia" w:ascii="宋体" w:hAnsi="宋体" w:eastAsia="宋体" w:cs="宋体"/>
          <w:color w:val="auto"/>
          <w:spacing w:val="9"/>
          <w:sz w:val="21"/>
          <w:szCs w:val="21"/>
          <w:highlight w:val="none"/>
          <w:lang w:eastAsia="zh-CN"/>
        </w:rPr>
        <w:t>全国公路建设市场监督管理系统</w:t>
      </w:r>
      <w:r>
        <w:rPr>
          <w:rFonts w:hint="eastAsia" w:ascii="宋体" w:hAnsi="宋体" w:eastAsia="宋体" w:cs="宋体"/>
          <w:color w:val="auto"/>
          <w:spacing w:val="9"/>
          <w:sz w:val="21"/>
          <w:szCs w:val="21"/>
          <w:highlight w:val="none"/>
        </w:rPr>
        <w:t>”中查询到的企业“业绩信息”相关项目网页截图或网页打印件。</w:t>
      </w:r>
    </w:p>
    <w:p w14:paraId="1D4A2EA8">
      <w:pPr>
        <w:spacing w:before="141" w:line="360" w:lineRule="auto"/>
        <w:ind w:left="15"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投标人应根据投标文件第二章“投标人须知”第 3.5.</w:t>
      </w: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 xml:space="preserve"> 项的要求附相关证明材料。</w:t>
      </w:r>
    </w:p>
    <w:p w14:paraId="4C2F9BEC">
      <w:pPr>
        <w:pStyle w:val="2"/>
        <w:numPr>
          <w:ilvl w:val="0"/>
          <w:numId w:val="0"/>
        </w:numPr>
        <w:rPr>
          <w:rFonts w:hint="eastAsia"/>
        </w:rPr>
      </w:pPr>
    </w:p>
    <w:p w14:paraId="0047A7E7">
      <w:pPr>
        <w:spacing w:line="355" w:lineRule="auto"/>
        <w:rPr>
          <w:rFonts w:hint="eastAsia" w:ascii="宋体" w:hAnsi="宋体" w:eastAsia="宋体" w:cs="宋体"/>
          <w:color w:val="auto"/>
          <w:sz w:val="24"/>
          <w:szCs w:val="24"/>
          <w:highlight w:val="none"/>
        </w:rPr>
      </w:pPr>
    </w:p>
    <w:p w14:paraId="6BF42AEC">
      <w:pPr>
        <w:rPr>
          <w:rFonts w:hint="eastAsia" w:ascii="宋体" w:hAnsi="宋体" w:eastAsia="宋体" w:cs="宋体"/>
          <w:color w:val="auto"/>
          <w:sz w:val="24"/>
          <w:szCs w:val="24"/>
          <w:highlight w:val="none"/>
        </w:rPr>
      </w:pPr>
    </w:p>
    <w:p w14:paraId="6AB3D4E4">
      <w:pPr>
        <w:spacing w:line="356" w:lineRule="auto"/>
        <w:rPr>
          <w:rFonts w:hint="eastAsia" w:ascii="宋体" w:hAnsi="宋体" w:eastAsia="宋体" w:cs="宋体"/>
          <w:color w:val="auto"/>
          <w:sz w:val="24"/>
          <w:szCs w:val="24"/>
          <w:highlight w:val="none"/>
        </w:rPr>
      </w:pPr>
    </w:p>
    <w:p w14:paraId="52EBD90D">
      <w:pPr>
        <w:spacing w:before="153" w:line="379" w:lineRule="auto"/>
        <w:ind w:left="142" w:right="115" w:firstLine="414"/>
        <w:jc w:val="center"/>
        <w:rPr>
          <w:rFonts w:hint="eastAsia" w:ascii="宋体" w:hAnsi="宋体" w:eastAsia="宋体" w:cs="宋体"/>
          <w:b/>
          <w:snapToGrid/>
          <w:color w:val="auto"/>
          <w:sz w:val="24"/>
          <w:szCs w:val="24"/>
          <w:highlight w:val="none"/>
          <w:lang w:bidi="zh-CN"/>
        </w:rPr>
      </w:pPr>
      <w:bookmarkStart w:id="1" w:name="_bookmark15"/>
      <w:bookmarkEnd w:id="1"/>
      <w:bookmarkStart w:id="2" w:name="_bookmark16"/>
      <w:bookmarkEnd w:id="2"/>
      <w:r>
        <w:rPr>
          <w:rFonts w:hint="eastAsia" w:ascii="宋体" w:hAnsi="宋体" w:eastAsia="宋体" w:cs="宋体"/>
          <w:b/>
          <w:snapToGrid/>
          <w:color w:val="auto"/>
          <w:sz w:val="24"/>
          <w:szCs w:val="24"/>
          <w:highlight w:val="none"/>
          <w:lang w:bidi="zh-CN"/>
        </w:rPr>
        <w:t>附录 4、资格审查条件 (信誉最低要求)</w:t>
      </w:r>
    </w:p>
    <w:p w14:paraId="63375741">
      <w:pPr>
        <w:spacing w:line="14" w:lineRule="exact"/>
        <w:rPr>
          <w:rFonts w:hint="eastAsia" w:ascii="宋体" w:hAnsi="宋体" w:eastAsia="宋体" w:cs="宋体"/>
          <w:color w:val="auto"/>
          <w:sz w:val="24"/>
          <w:szCs w:val="24"/>
          <w:highlight w:val="none"/>
        </w:rPr>
      </w:pPr>
    </w:p>
    <w:tbl>
      <w:tblPr>
        <w:tblStyle w:val="9"/>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6"/>
      </w:tblGrid>
      <w:tr w14:paraId="7036E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9076" w:type="dxa"/>
            <w:noWrap w:val="0"/>
            <w:vAlign w:val="top"/>
          </w:tcPr>
          <w:p w14:paraId="2E74844E">
            <w:pPr>
              <w:spacing w:before="243" w:line="228" w:lineRule="auto"/>
              <w:ind w:left="412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信誉要</w:t>
            </w:r>
            <w:r>
              <w:rPr>
                <w:rFonts w:hint="eastAsia" w:ascii="宋体" w:hAnsi="宋体" w:eastAsia="宋体" w:cs="宋体"/>
                <w:color w:val="auto"/>
                <w:spacing w:val="6"/>
                <w:sz w:val="21"/>
                <w:szCs w:val="21"/>
                <w:highlight w:val="none"/>
                <w:lang w:eastAsia="zh-CN"/>
              </w:rPr>
              <w:t>求</w:t>
            </w:r>
            <w:r>
              <w:rPr>
                <w:rFonts w:hint="eastAsia" w:ascii="宋体" w:hAnsi="宋体" w:eastAsia="宋体" w:cs="宋体"/>
                <w:color w:val="auto"/>
                <w:spacing w:val="6"/>
                <w:sz w:val="21"/>
                <w:szCs w:val="21"/>
                <w:highlight w:val="none"/>
              </w:rPr>
              <w:t xml:space="preserve"> </w:t>
            </w:r>
          </w:p>
        </w:tc>
      </w:tr>
      <w:tr w14:paraId="19927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0" w:hRule="atLeast"/>
          <w:jc w:val="center"/>
        </w:trPr>
        <w:tc>
          <w:tcPr>
            <w:tcW w:w="9076" w:type="dxa"/>
            <w:noWrap w:val="0"/>
            <w:vAlign w:val="center"/>
          </w:tcPr>
          <w:p w14:paraId="2E688A29">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新年度在广东省公路工程从业单位（施工单位）信用评价（含无最新年度而上一年度有信用评价）中信用等级未被评为D级；初次进入广东省的投标人，在最新年度的全国公路从业单位（施工单位）信用评价结果未被评为D级；</w:t>
            </w:r>
          </w:p>
          <w:p w14:paraId="429FDCD1">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（2）没有被云浮市交通运输局、广东省交通运输厅、交通运输部通报且取消相应投标资格（处于有效期内）；</w:t>
            </w:r>
          </w:p>
          <w:p w14:paraId="41193E3A">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（3）在“中国执行信息公开网”（http://zxgk.court.gov.cn/shixin/）未被列入失信被执行人名单的投标人；</w:t>
            </w:r>
          </w:p>
          <w:p w14:paraId="4A1806C0">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（4）在“国家企业信用信息公示系统”（https://www.gsxt.gov.cn/index.html）中未被列入严重违法失信企业名单的投标人。</w:t>
            </w:r>
          </w:p>
        </w:tc>
      </w:tr>
    </w:tbl>
    <w:p w14:paraId="538324A1">
      <w:pPr>
        <w:spacing w:before="140" w:line="231"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注：1、信用等级类别应与招标相应的标段类别对应</w:t>
      </w:r>
      <w:r>
        <w:rPr>
          <w:rFonts w:hint="eastAsia" w:ascii="宋体" w:hAnsi="宋体" w:eastAsia="宋体" w:cs="宋体"/>
          <w:color w:val="auto"/>
          <w:spacing w:val="8"/>
          <w:sz w:val="21"/>
          <w:szCs w:val="21"/>
          <w:highlight w:val="none"/>
        </w:rPr>
        <w:t>。</w:t>
      </w:r>
    </w:p>
    <w:p w14:paraId="1967375F">
      <w:pPr>
        <w:spacing w:before="151" w:line="229" w:lineRule="auto"/>
        <w:ind w:left="438"/>
        <w:outlineLvl w:val="1"/>
        <w:rPr>
          <w:rFonts w:hint="eastAsia" w:ascii="宋体" w:hAnsi="宋体" w:eastAsia="宋体" w:cs="宋体"/>
          <w:color w:val="auto"/>
          <w:sz w:val="21"/>
          <w:szCs w:val="21"/>
          <w:highlight w:val="none"/>
        </w:rPr>
      </w:pPr>
      <w:bookmarkStart w:id="3" w:name="_Toc14478"/>
      <w:r>
        <w:rPr>
          <w:rFonts w:hint="eastAsia" w:ascii="宋体" w:hAnsi="宋体" w:eastAsia="宋体" w:cs="宋体"/>
          <w:color w:val="auto"/>
          <w:spacing w:val="5"/>
          <w:sz w:val="21"/>
          <w:szCs w:val="21"/>
          <w:highlight w:val="none"/>
        </w:rPr>
        <w:t>2、信用等级的确定原则遵遁投标人须知前附表10.2款的规定</w:t>
      </w:r>
      <w:r>
        <w:rPr>
          <w:rFonts w:hint="eastAsia" w:ascii="宋体" w:hAnsi="宋体" w:eastAsia="宋体" w:cs="宋体"/>
          <w:color w:val="auto"/>
          <w:spacing w:val="3"/>
          <w:sz w:val="21"/>
          <w:szCs w:val="21"/>
          <w:highlight w:val="none"/>
        </w:rPr>
        <w:t>。</w:t>
      </w:r>
      <w:bookmarkEnd w:id="3"/>
    </w:p>
    <w:p w14:paraId="1205C8F4">
      <w:pPr>
        <w:spacing w:before="151" w:line="229" w:lineRule="auto"/>
        <w:ind w:left="438"/>
        <w:outlineLvl w:val="9"/>
        <w:rPr>
          <w:rFonts w:hint="eastAsia" w:ascii="宋体" w:hAnsi="宋体" w:eastAsia="宋体" w:cs="宋体"/>
          <w:color w:val="auto"/>
          <w:sz w:val="21"/>
          <w:szCs w:val="21"/>
          <w:highlight w:val="none"/>
        </w:rPr>
      </w:pPr>
    </w:p>
    <w:p w14:paraId="0D47F010">
      <w:pPr>
        <w:rPr>
          <w:rFonts w:hint="eastAsia" w:ascii="宋体" w:hAnsi="宋体" w:eastAsia="宋体" w:cs="宋体"/>
          <w:color w:val="auto"/>
          <w:sz w:val="24"/>
          <w:szCs w:val="24"/>
          <w:highlight w:val="none"/>
        </w:rPr>
        <w:sectPr>
          <w:headerReference r:id="rId4" w:type="default"/>
          <w:footerReference r:id="rId5" w:type="default"/>
          <w:pgSz w:w="11905" w:h="16838"/>
          <w:pgMar w:top="1134" w:right="1134" w:bottom="1134" w:left="1304" w:header="850" w:footer="850" w:gutter="0"/>
          <w:pgNumType w:fmt="decimal"/>
          <w:cols w:space="720" w:num="1"/>
          <w:rtlGutter w:val="0"/>
          <w:docGrid w:linePitch="0" w:charSpace="0"/>
        </w:sectPr>
      </w:pPr>
    </w:p>
    <w:p w14:paraId="2B254F4B">
      <w:pPr>
        <w:spacing w:line="373" w:lineRule="auto"/>
        <w:rPr>
          <w:rFonts w:hint="eastAsia" w:ascii="宋体" w:hAnsi="宋体" w:eastAsia="宋体" w:cs="宋体"/>
          <w:color w:val="auto"/>
          <w:sz w:val="24"/>
          <w:szCs w:val="24"/>
          <w:highlight w:val="none"/>
        </w:rPr>
      </w:pPr>
    </w:p>
    <w:p w14:paraId="2104B77E">
      <w:pPr>
        <w:spacing w:before="153" w:line="379" w:lineRule="auto"/>
        <w:ind w:left="142" w:right="115" w:firstLine="414"/>
        <w:jc w:val="center"/>
        <w:rPr>
          <w:rFonts w:hint="eastAsia" w:ascii="宋体" w:hAnsi="宋体" w:eastAsia="宋体" w:cs="宋体"/>
          <w:color w:val="auto"/>
          <w:sz w:val="24"/>
          <w:szCs w:val="24"/>
          <w:highlight w:val="none"/>
        </w:rPr>
      </w:pPr>
      <w:r>
        <w:rPr>
          <w:rFonts w:hint="eastAsia" w:ascii="宋体" w:hAnsi="宋体" w:eastAsia="宋体" w:cs="宋体"/>
          <w:b/>
          <w:snapToGrid/>
          <w:color w:val="auto"/>
          <w:sz w:val="24"/>
          <w:szCs w:val="24"/>
          <w:highlight w:val="none"/>
          <w:lang w:bidi="zh-CN"/>
        </w:rPr>
        <w:t>附录 5、资格审查条件 (项目经理和项目总工最低要求)</w:t>
      </w:r>
    </w:p>
    <w:p w14:paraId="0D9D51AF">
      <w:pPr>
        <w:spacing w:line="83" w:lineRule="exact"/>
        <w:rPr>
          <w:rFonts w:hint="eastAsia" w:ascii="宋体" w:hAnsi="宋体" w:eastAsia="宋体" w:cs="宋体"/>
          <w:color w:val="auto"/>
          <w:sz w:val="24"/>
          <w:szCs w:val="24"/>
          <w:highlight w:val="none"/>
        </w:rPr>
      </w:pPr>
    </w:p>
    <w:tbl>
      <w:tblPr>
        <w:tblStyle w:val="9"/>
        <w:tblW w:w="8898"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136"/>
        <w:gridCol w:w="802"/>
        <w:gridCol w:w="5230"/>
        <w:gridCol w:w="1730"/>
      </w:tblGrid>
      <w:tr w14:paraId="0347C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24" w:hRule="atLeast"/>
        </w:trPr>
        <w:tc>
          <w:tcPr>
            <w:tcW w:w="1136" w:type="dxa"/>
            <w:noWrap w:val="0"/>
            <w:vAlign w:val="top"/>
          </w:tcPr>
          <w:p w14:paraId="7936F21E">
            <w:pPr>
              <w:spacing w:before="251" w:line="230"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人</w:t>
            </w:r>
            <w:r>
              <w:rPr>
                <w:rFonts w:hint="eastAsia" w:ascii="宋体" w:hAnsi="宋体" w:eastAsia="宋体" w:cs="宋体"/>
                <w:color w:val="auto"/>
                <w:spacing w:val="3"/>
                <w:sz w:val="21"/>
                <w:szCs w:val="21"/>
                <w:highlight w:val="none"/>
              </w:rPr>
              <w:t>员</w:t>
            </w:r>
          </w:p>
        </w:tc>
        <w:tc>
          <w:tcPr>
            <w:tcW w:w="802" w:type="dxa"/>
            <w:noWrap w:val="0"/>
            <w:vAlign w:val="top"/>
          </w:tcPr>
          <w:p w14:paraId="5A16B8A5">
            <w:pPr>
              <w:spacing w:before="252" w:line="228" w:lineRule="auto"/>
              <w:ind w:left="19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数</w:t>
            </w:r>
            <w:r>
              <w:rPr>
                <w:rFonts w:hint="eastAsia" w:ascii="宋体" w:hAnsi="宋体" w:eastAsia="宋体" w:cs="宋体"/>
                <w:color w:val="auto"/>
                <w:spacing w:val="3"/>
                <w:sz w:val="21"/>
                <w:szCs w:val="21"/>
                <w:highlight w:val="none"/>
              </w:rPr>
              <w:t>量</w:t>
            </w:r>
          </w:p>
        </w:tc>
        <w:tc>
          <w:tcPr>
            <w:tcW w:w="5230" w:type="dxa"/>
            <w:noWrap w:val="0"/>
            <w:vAlign w:val="top"/>
          </w:tcPr>
          <w:p w14:paraId="62376736">
            <w:pPr>
              <w:spacing w:before="252" w:line="227" w:lineRule="auto"/>
              <w:ind w:left="157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资</w:t>
            </w:r>
            <w:r>
              <w:rPr>
                <w:rFonts w:hint="eastAsia" w:ascii="宋体" w:hAnsi="宋体" w:eastAsia="宋体" w:cs="宋体"/>
                <w:color w:val="auto"/>
                <w:spacing w:val="6"/>
                <w:sz w:val="21"/>
                <w:szCs w:val="21"/>
                <w:highlight w:val="none"/>
              </w:rPr>
              <w:t>格要求 (同时满足)</w:t>
            </w:r>
          </w:p>
        </w:tc>
        <w:tc>
          <w:tcPr>
            <w:tcW w:w="1730" w:type="dxa"/>
            <w:noWrap w:val="0"/>
            <w:vAlign w:val="top"/>
          </w:tcPr>
          <w:p w14:paraId="048FDEF9">
            <w:pPr>
              <w:spacing w:before="252" w:line="229" w:lineRule="auto"/>
              <w:ind w:left="45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在</w:t>
            </w:r>
            <w:r>
              <w:rPr>
                <w:rFonts w:hint="eastAsia" w:ascii="宋体" w:hAnsi="宋体" w:eastAsia="宋体" w:cs="宋体"/>
                <w:color w:val="auto"/>
                <w:spacing w:val="7"/>
                <w:sz w:val="21"/>
                <w:szCs w:val="21"/>
                <w:highlight w:val="none"/>
              </w:rPr>
              <w:t>岗要求</w:t>
            </w:r>
          </w:p>
        </w:tc>
      </w:tr>
      <w:tr w14:paraId="1C81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754" w:hRule="atLeast"/>
        </w:trPr>
        <w:tc>
          <w:tcPr>
            <w:tcW w:w="1136" w:type="dxa"/>
            <w:noWrap w:val="0"/>
            <w:vAlign w:val="center"/>
          </w:tcPr>
          <w:p w14:paraId="2E94686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802" w:type="dxa"/>
            <w:noWrap w:val="0"/>
            <w:vAlign w:val="center"/>
          </w:tcPr>
          <w:p w14:paraId="505D2C02">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人</w:t>
            </w:r>
          </w:p>
        </w:tc>
        <w:tc>
          <w:tcPr>
            <w:tcW w:w="5230" w:type="dxa"/>
            <w:noWrap w:val="0"/>
            <w:vAlign w:val="center"/>
          </w:tcPr>
          <w:p w14:paraId="4DF94CB1">
            <w:pPr>
              <w:pageBreakBefore w:val="0"/>
              <w:widowControl/>
              <w:kinsoku w:val="0"/>
              <w:wordWrap/>
              <w:overflowPunct/>
              <w:topLinePunct w:val="0"/>
              <w:autoSpaceDE w:val="0"/>
              <w:autoSpaceDN w:val="0"/>
              <w:bidi w:val="0"/>
              <w:adjustRightInd w:val="0"/>
              <w:snapToGrid w:val="0"/>
              <w:spacing w:line="360" w:lineRule="auto"/>
              <w:ind w:firstLine="457" w:firstLineChars="218"/>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①持有住房和城乡建设部门颁发的公路工程专业二级或以上建造师注册执业资格证书；</w:t>
            </w:r>
          </w:p>
          <w:p w14:paraId="2AD074C5">
            <w:pPr>
              <w:pageBreakBefore w:val="0"/>
              <w:widowControl/>
              <w:kinsoku w:val="0"/>
              <w:wordWrap/>
              <w:overflowPunct/>
              <w:topLinePunct w:val="0"/>
              <w:autoSpaceDE w:val="0"/>
              <w:autoSpaceDN w:val="0"/>
              <w:bidi w:val="0"/>
              <w:adjustRightInd w:val="0"/>
              <w:snapToGrid w:val="0"/>
              <w:spacing w:line="360" w:lineRule="auto"/>
              <w:ind w:firstLine="457" w:firstLineChars="218"/>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②具有交通主管部门颁发的有效安全生产“三类人员”B类证书；</w:t>
            </w:r>
          </w:p>
          <w:p w14:paraId="157EB2A2">
            <w:pPr>
              <w:pageBreakBefore w:val="0"/>
              <w:widowControl/>
              <w:kinsoku w:val="0"/>
              <w:wordWrap/>
              <w:overflowPunct/>
              <w:topLinePunct w:val="0"/>
              <w:autoSpaceDE w:val="0"/>
              <w:autoSpaceDN w:val="0"/>
              <w:bidi w:val="0"/>
              <w:adjustRightInd w:val="0"/>
              <w:snapToGrid w:val="0"/>
              <w:spacing w:line="360" w:lineRule="auto"/>
              <w:ind w:firstLine="457" w:firstLineChars="218"/>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③具有路桥相关专业工程师（或以上）职称。</w:t>
            </w:r>
          </w:p>
        </w:tc>
        <w:tc>
          <w:tcPr>
            <w:tcW w:w="1730" w:type="dxa"/>
            <w:vMerge w:val="restart"/>
            <w:tcBorders>
              <w:bottom w:val="nil"/>
            </w:tcBorders>
            <w:noWrap w:val="0"/>
            <w:vAlign w:val="top"/>
          </w:tcPr>
          <w:p w14:paraId="73257FB2">
            <w:pPr>
              <w:tabs>
                <w:tab w:val="left" w:pos="0"/>
              </w:tabs>
              <w:spacing w:before="282" w:line="369" w:lineRule="auto"/>
              <w:ind w:right="12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无</w:t>
            </w:r>
            <w:r>
              <w:rPr>
                <w:rFonts w:hint="eastAsia" w:ascii="宋体" w:hAnsi="宋体" w:eastAsia="宋体" w:cs="宋体"/>
                <w:color w:val="auto"/>
                <w:spacing w:val="7"/>
                <w:sz w:val="21"/>
                <w:szCs w:val="21"/>
                <w:highlight w:val="none"/>
              </w:rPr>
              <w:t>在岗项目(指</w:t>
            </w:r>
            <w:r>
              <w:rPr>
                <w:rFonts w:hint="eastAsia" w:ascii="宋体" w:hAnsi="宋体" w:eastAsia="宋体" w:cs="宋体"/>
                <w:color w:val="auto"/>
                <w:spacing w:val="9"/>
                <w:sz w:val="21"/>
                <w:szCs w:val="21"/>
                <w:highlight w:val="none"/>
              </w:rPr>
              <w:t>目前未在其他</w:t>
            </w:r>
            <w:r>
              <w:rPr>
                <w:rFonts w:hint="eastAsia" w:ascii="宋体" w:hAnsi="宋体" w:eastAsia="宋体" w:cs="宋体"/>
                <w:color w:val="auto"/>
                <w:spacing w:val="7"/>
                <w:sz w:val="21"/>
                <w:szCs w:val="21"/>
                <w:highlight w:val="none"/>
              </w:rPr>
              <w:t>项</w:t>
            </w:r>
            <w:r>
              <w:rPr>
                <w:rFonts w:hint="eastAsia" w:ascii="宋体" w:hAnsi="宋体" w:eastAsia="宋体" w:cs="宋体"/>
                <w:color w:val="auto"/>
                <w:spacing w:val="9"/>
                <w:sz w:val="21"/>
                <w:szCs w:val="21"/>
                <w:highlight w:val="none"/>
              </w:rPr>
              <w:t>目上任职，或</w:t>
            </w:r>
            <w:r>
              <w:rPr>
                <w:rFonts w:hint="eastAsia" w:ascii="宋体" w:hAnsi="宋体" w:eastAsia="宋体" w:cs="宋体"/>
                <w:color w:val="auto"/>
                <w:spacing w:val="7"/>
                <w:sz w:val="21"/>
                <w:szCs w:val="21"/>
                <w:highlight w:val="none"/>
              </w:rPr>
              <w:t>虽</w:t>
            </w:r>
            <w:r>
              <w:rPr>
                <w:rFonts w:hint="eastAsia" w:ascii="宋体" w:hAnsi="宋体" w:eastAsia="宋体" w:cs="宋体"/>
                <w:color w:val="auto"/>
                <w:spacing w:val="9"/>
                <w:sz w:val="21"/>
                <w:szCs w:val="21"/>
                <w:highlight w:val="none"/>
              </w:rPr>
              <w:t>在其他项目上</w:t>
            </w:r>
            <w:r>
              <w:rPr>
                <w:rFonts w:hint="eastAsia" w:ascii="宋体" w:hAnsi="宋体" w:eastAsia="宋体" w:cs="宋体"/>
                <w:color w:val="auto"/>
                <w:spacing w:val="7"/>
                <w:sz w:val="21"/>
                <w:szCs w:val="21"/>
                <w:highlight w:val="none"/>
              </w:rPr>
              <w:t>任</w:t>
            </w:r>
            <w:r>
              <w:rPr>
                <w:rFonts w:hint="eastAsia" w:ascii="宋体" w:hAnsi="宋体" w:eastAsia="宋体" w:cs="宋体"/>
                <w:color w:val="auto"/>
                <w:spacing w:val="9"/>
                <w:sz w:val="21"/>
                <w:szCs w:val="21"/>
                <w:highlight w:val="none"/>
              </w:rPr>
              <w:t>职但本项目中</w:t>
            </w:r>
            <w:r>
              <w:rPr>
                <w:rFonts w:hint="eastAsia" w:ascii="宋体" w:hAnsi="宋体" w:eastAsia="宋体" w:cs="宋体"/>
                <w:color w:val="auto"/>
                <w:spacing w:val="7"/>
                <w:sz w:val="21"/>
                <w:szCs w:val="21"/>
                <w:highlight w:val="none"/>
              </w:rPr>
              <w:t>标</w:t>
            </w:r>
            <w:r>
              <w:rPr>
                <w:rFonts w:hint="eastAsia" w:ascii="宋体" w:hAnsi="宋体" w:eastAsia="宋体" w:cs="宋体"/>
                <w:color w:val="auto"/>
                <w:spacing w:val="9"/>
                <w:sz w:val="21"/>
                <w:szCs w:val="21"/>
                <w:highlight w:val="none"/>
              </w:rPr>
              <w:t>后能够从该项</w:t>
            </w:r>
            <w:r>
              <w:rPr>
                <w:rFonts w:hint="eastAsia" w:ascii="宋体" w:hAnsi="宋体" w:eastAsia="宋体" w:cs="宋体"/>
                <w:color w:val="auto"/>
                <w:spacing w:val="7"/>
                <w:sz w:val="21"/>
                <w:szCs w:val="21"/>
                <w:highlight w:val="none"/>
              </w:rPr>
              <w:t>目</w:t>
            </w:r>
            <w:r>
              <w:rPr>
                <w:rFonts w:hint="eastAsia" w:ascii="宋体" w:hAnsi="宋体" w:eastAsia="宋体" w:cs="宋体"/>
                <w:color w:val="auto"/>
                <w:spacing w:val="4"/>
                <w:sz w:val="21"/>
                <w:szCs w:val="21"/>
                <w:highlight w:val="none"/>
              </w:rPr>
              <w:t>撤</w:t>
            </w:r>
            <w:r>
              <w:rPr>
                <w:rFonts w:hint="eastAsia" w:ascii="宋体" w:hAnsi="宋体" w:eastAsia="宋体" w:cs="宋体"/>
                <w:color w:val="auto"/>
                <w:spacing w:val="3"/>
                <w:sz w:val="21"/>
                <w:szCs w:val="21"/>
                <w:highlight w:val="none"/>
              </w:rPr>
              <w:t>离)</w:t>
            </w:r>
          </w:p>
        </w:tc>
      </w:tr>
      <w:tr w14:paraId="6D140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567" w:hRule="atLeast"/>
        </w:trPr>
        <w:tc>
          <w:tcPr>
            <w:tcW w:w="1136" w:type="dxa"/>
            <w:noWrap w:val="0"/>
            <w:vAlign w:val="center"/>
          </w:tcPr>
          <w:p w14:paraId="06D908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tc>
        <w:tc>
          <w:tcPr>
            <w:tcW w:w="802" w:type="dxa"/>
            <w:noWrap w:val="0"/>
            <w:vAlign w:val="center"/>
          </w:tcPr>
          <w:p w14:paraId="751F16AD">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人</w:t>
            </w:r>
          </w:p>
        </w:tc>
        <w:tc>
          <w:tcPr>
            <w:tcW w:w="5230" w:type="dxa"/>
            <w:noWrap w:val="0"/>
            <w:vAlign w:val="center"/>
          </w:tcPr>
          <w:p w14:paraId="27CD1269">
            <w:pPr>
              <w:pageBreakBefore w:val="0"/>
              <w:widowControl/>
              <w:kinsoku w:val="0"/>
              <w:wordWrap/>
              <w:overflowPunct/>
              <w:topLinePunct w:val="0"/>
              <w:autoSpaceDE w:val="0"/>
              <w:autoSpaceDN w:val="0"/>
              <w:bidi w:val="0"/>
              <w:adjustRightInd w:val="0"/>
              <w:snapToGrid w:val="0"/>
              <w:spacing w:line="360" w:lineRule="auto"/>
              <w:ind w:firstLine="457" w:firstLineChars="218"/>
              <w:textAlignment w:val="baseline"/>
              <w:rPr>
                <w:color w:val="auto"/>
                <w:highlight w:val="none"/>
              </w:rPr>
            </w:pPr>
            <w:r>
              <w:rPr>
                <w:rFonts w:hint="eastAsia" w:ascii="宋体" w:hAnsi="宋体" w:eastAsia="宋体" w:cs="宋体"/>
                <w:color w:val="auto"/>
                <w:sz w:val="21"/>
                <w:szCs w:val="21"/>
                <w:highlight w:val="none"/>
                <w:lang w:val="en-US" w:eastAsia="zh-CN"/>
              </w:rPr>
              <w:t>①路桥相关专业工程师（或以上）职称；</w:t>
            </w:r>
          </w:p>
          <w:p w14:paraId="0696709D">
            <w:pPr>
              <w:pageBreakBefore w:val="0"/>
              <w:widowControl/>
              <w:kinsoku w:val="0"/>
              <w:wordWrap/>
              <w:overflowPunct/>
              <w:topLinePunct w:val="0"/>
              <w:autoSpaceDE w:val="0"/>
              <w:autoSpaceDN w:val="0"/>
              <w:bidi w:val="0"/>
              <w:adjustRightInd w:val="0"/>
              <w:snapToGrid w:val="0"/>
              <w:spacing w:line="360" w:lineRule="auto"/>
              <w:ind w:firstLine="457" w:firstLineChars="218"/>
              <w:textAlignment w:val="baseline"/>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②具有交通主管部门颁发的有效安全生产“三类人员”B类证书。</w:t>
            </w:r>
          </w:p>
        </w:tc>
        <w:tc>
          <w:tcPr>
            <w:tcW w:w="1730" w:type="dxa"/>
            <w:vMerge w:val="continue"/>
            <w:tcBorders>
              <w:top w:val="nil"/>
            </w:tcBorders>
            <w:noWrap w:val="0"/>
            <w:vAlign w:val="top"/>
          </w:tcPr>
          <w:p w14:paraId="33522D79">
            <w:pPr>
              <w:rPr>
                <w:rFonts w:hint="eastAsia" w:ascii="宋体" w:hAnsi="宋体" w:eastAsia="宋体" w:cs="宋体"/>
                <w:color w:val="auto"/>
                <w:sz w:val="21"/>
                <w:szCs w:val="21"/>
                <w:highlight w:val="none"/>
              </w:rPr>
            </w:pPr>
          </w:p>
        </w:tc>
      </w:tr>
    </w:tbl>
    <w:p w14:paraId="203D5ADC">
      <w:pPr>
        <w:spacing w:line="240" w:lineRule="auto"/>
        <w:rPr>
          <w:rFonts w:hint="eastAsia" w:ascii="宋体" w:hAnsi="宋体" w:eastAsia="宋体" w:cs="宋体"/>
          <w:color w:val="auto"/>
          <w:sz w:val="24"/>
          <w:szCs w:val="24"/>
          <w:highlight w:val="none"/>
        </w:rPr>
      </w:pPr>
    </w:p>
    <w:p w14:paraId="25D370B8">
      <w:pPr>
        <w:spacing w:line="360" w:lineRule="auto"/>
        <w:ind w:firstLine="489" w:firstLineChars="2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注：1、资格要求的人员建造师注册证书、安全生产“三类人员”B类证书均应在投标人所在单位，否则视为无效。</w:t>
      </w:r>
    </w:p>
    <w:p w14:paraId="25D08973">
      <w:pPr>
        <w:spacing w:line="360" w:lineRule="auto"/>
        <w:ind w:firstLine="489" w:firstLineChars="2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2、广东省建设执业资格注册中心发布的“二级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建造师资格证书从业情况信息公开证明”等同于住房和城乡建设部门颁发的注册建造师证书。</w:t>
      </w:r>
    </w:p>
    <w:p w14:paraId="743F4092">
      <w:pPr>
        <w:spacing w:line="360" w:lineRule="auto"/>
        <w:ind w:firstLine="489" w:firstLineChars="2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4、路桥相关专业职称包括路桥工程、市政路桥工程、公路工程、桥梁工程、道路与桥梁工程、交通土建、隧道（地下结构）工程、交通工程等专业职称。</w:t>
      </w:r>
    </w:p>
    <w:p w14:paraId="7B740623">
      <w:pPr>
        <w:spacing w:line="360" w:lineRule="auto"/>
        <w:ind w:firstLine="420" w:firstLineChars="200"/>
        <w:outlineLvl w:val="1"/>
        <w:rPr>
          <w:rFonts w:hint="eastAsia" w:ascii="宋体" w:hAnsi="宋体" w:eastAsia="宋体" w:cs="宋体"/>
          <w:color w:val="auto"/>
          <w:sz w:val="21"/>
          <w:szCs w:val="21"/>
          <w:highlight w:val="none"/>
        </w:rPr>
      </w:pPr>
      <w:bookmarkStart w:id="4" w:name="_Toc17006"/>
      <w:r>
        <w:rPr>
          <w:rFonts w:hint="eastAsia" w:ascii="宋体" w:hAnsi="宋体" w:eastAsia="宋体" w:cs="宋体"/>
          <w:color w:val="auto"/>
          <w:sz w:val="21"/>
          <w:szCs w:val="21"/>
          <w:highlight w:val="none"/>
        </w:rPr>
        <w:t>5、附录5所要求人员须按资格审查资料表的要求附有效的证明材料，所有证明材料均须与身份证上的信息一致，否则视为无效证明材料。</w:t>
      </w:r>
      <w:bookmarkEnd w:id="4"/>
    </w:p>
    <w:p w14:paraId="0C92E4AA">
      <w:pPr>
        <w:spacing w:before="141" w:line="231" w:lineRule="auto"/>
        <w:ind w:left="15" w:firstLine="456"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6、</w:t>
      </w:r>
      <w:r>
        <w:rPr>
          <w:rFonts w:hint="eastAsia" w:ascii="宋体" w:hAnsi="宋体" w:eastAsia="宋体" w:cs="宋体"/>
          <w:color w:val="auto"/>
          <w:spacing w:val="9"/>
          <w:sz w:val="21"/>
          <w:szCs w:val="21"/>
          <w:highlight w:val="none"/>
        </w:rPr>
        <w:t>投标人应根据投标文件第二章“投标人须知”第 3.5.</w:t>
      </w:r>
      <w:r>
        <w:rPr>
          <w:rFonts w:hint="eastAsia" w:ascii="宋体" w:hAnsi="宋体" w:eastAsia="宋体" w:cs="宋体"/>
          <w:color w:val="auto"/>
          <w:spacing w:val="9"/>
          <w:sz w:val="21"/>
          <w:szCs w:val="21"/>
          <w:highlight w:val="none"/>
          <w:lang w:val="en-US" w:eastAsia="zh-CN"/>
        </w:rPr>
        <w:t>5</w:t>
      </w:r>
      <w:r>
        <w:rPr>
          <w:rFonts w:hint="eastAsia" w:ascii="宋体" w:hAnsi="宋体" w:eastAsia="宋体" w:cs="宋体"/>
          <w:color w:val="auto"/>
          <w:spacing w:val="9"/>
          <w:sz w:val="21"/>
          <w:szCs w:val="21"/>
          <w:highlight w:val="none"/>
        </w:rPr>
        <w:t>项的要求附相关证明材料。</w:t>
      </w:r>
    </w:p>
    <w:p w14:paraId="17751DDC">
      <w:pPr>
        <w:pStyle w:val="2"/>
        <w:rPr>
          <w:rFonts w:hint="eastAsia"/>
        </w:rPr>
      </w:pPr>
    </w:p>
    <w:p w14:paraId="5E70FE0E">
      <w:pPr>
        <w:rPr>
          <w:rFonts w:hint="eastAsia" w:ascii="宋体" w:hAnsi="宋体" w:eastAsia="宋体" w:cs="宋体"/>
          <w:color w:val="auto"/>
          <w:sz w:val="24"/>
          <w:szCs w:val="24"/>
          <w:highlight w:val="none"/>
        </w:rPr>
      </w:pPr>
    </w:p>
    <w:p w14:paraId="64A38A28">
      <w:pPr>
        <w:pStyle w:val="2"/>
        <w:rPr>
          <w:rFonts w:hint="eastAsia"/>
        </w:rPr>
        <w:sectPr>
          <w:headerReference r:id="rId6" w:type="default"/>
          <w:footerReference r:id="rId7" w:type="default"/>
          <w:pgSz w:w="11905" w:h="16838"/>
          <w:pgMar w:top="1134" w:right="1134" w:bottom="1134" w:left="1304" w:header="850" w:footer="850" w:gutter="0"/>
          <w:pgNumType w:fmt="decimal"/>
          <w:cols w:space="720" w:num="1"/>
          <w:rtlGutter w:val="0"/>
          <w:docGrid w:linePitch="0" w:charSpace="0"/>
        </w:sectPr>
      </w:pPr>
    </w:p>
    <w:p w14:paraId="68EB56AE">
      <w:pPr>
        <w:spacing w:line="373" w:lineRule="auto"/>
        <w:rPr>
          <w:rFonts w:hint="eastAsia" w:ascii="宋体" w:hAnsi="宋体" w:eastAsia="宋体" w:cs="宋体"/>
          <w:color w:val="auto"/>
          <w:sz w:val="24"/>
          <w:szCs w:val="24"/>
          <w:highlight w:val="none"/>
        </w:rPr>
      </w:pPr>
    </w:p>
    <w:p w14:paraId="1F66BE80">
      <w:pPr>
        <w:spacing w:before="153" w:line="379" w:lineRule="auto"/>
        <w:ind w:left="142" w:right="115" w:firstLine="414"/>
        <w:jc w:val="center"/>
        <w:rPr>
          <w:rFonts w:hint="eastAsia" w:ascii="宋体" w:hAnsi="宋体" w:eastAsia="宋体" w:cs="宋体"/>
          <w:color w:val="auto"/>
          <w:sz w:val="24"/>
          <w:szCs w:val="24"/>
          <w:highlight w:val="none"/>
        </w:rPr>
      </w:pPr>
      <w:r>
        <w:rPr>
          <w:rFonts w:hint="eastAsia" w:ascii="宋体" w:hAnsi="宋体" w:eastAsia="宋体" w:cs="宋体"/>
          <w:b/>
          <w:snapToGrid/>
          <w:color w:val="auto"/>
          <w:sz w:val="24"/>
          <w:szCs w:val="24"/>
          <w:highlight w:val="none"/>
          <w:lang w:bidi="zh-CN"/>
        </w:rPr>
        <w:t>附录 6、资格审查条件 (其他管理和技术人员最低要求)</w:t>
      </w:r>
    </w:p>
    <w:p w14:paraId="17288AF7">
      <w:pPr>
        <w:spacing w:line="202" w:lineRule="exact"/>
        <w:rPr>
          <w:rFonts w:hint="eastAsia" w:ascii="宋体" w:hAnsi="宋体" w:eastAsia="宋体" w:cs="宋体"/>
          <w:color w:val="auto"/>
          <w:sz w:val="24"/>
          <w:szCs w:val="24"/>
          <w:highlight w:val="none"/>
        </w:rPr>
      </w:pPr>
    </w:p>
    <w:tbl>
      <w:tblPr>
        <w:tblStyle w:val="9"/>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3"/>
        <w:gridCol w:w="854"/>
        <w:gridCol w:w="6313"/>
      </w:tblGrid>
      <w:tr w14:paraId="7476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633" w:type="dxa"/>
            <w:noWrap w:val="0"/>
            <w:vAlign w:val="top"/>
          </w:tcPr>
          <w:p w14:paraId="6A41B2B1">
            <w:pPr>
              <w:spacing w:before="220" w:line="230" w:lineRule="auto"/>
              <w:ind w:left="6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人</w:t>
            </w:r>
            <w:r>
              <w:rPr>
                <w:rFonts w:hint="eastAsia" w:ascii="宋体" w:hAnsi="宋体" w:eastAsia="宋体" w:cs="宋体"/>
                <w:color w:val="auto"/>
                <w:spacing w:val="3"/>
                <w:sz w:val="21"/>
                <w:szCs w:val="21"/>
                <w:highlight w:val="none"/>
              </w:rPr>
              <w:t>员</w:t>
            </w:r>
          </w:p>
        </w:tc>
        <w:tc>
          <w:tcPr>
            <w:tcW w:w="854" w:type="dxa"/>
            <w:noWrap w:val="0"/>
            <w:vAlign w:val="top"/>
          </w:tcPr>
          <w:p w14:paraId="49A206C6">
            <w:pPr>
              <w:spacing w:before="220" w:line="228" w:lineRule="auto"/>
              <w:ind w:left="22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数</w:t>
            </w:r>
            <w:r>
              <w:rPr>
                <w:rFonts w:hint="eastAsia" w:ascii="宋体" w:hAnsi="宋体" w:eastAsia="宋体" w:cs="宋体"/>
                <w:color w:val="auto"/>
                <w:spacing w:val="3"/>
                <w:sz w:val="21"/>
                <w:szCs w:val="21"/>
                <w:highlight w:val="none"/>
              </w:rPr>
              <w:t>量</w:t>
            </w:r>
          </w:p>
        </w:tc>
        <w:tc>
          <w:tcPr>
            <w:tcW w:w="6313" w:type="dxa"/>
            <w:noWrap w:val="0"/>
            <w:vAlign w:val="top"/>
          </w:tcPr>
          <w:p w14:paraId="429ADDB3">
            <w:pPr>
              <w:spacing w:before="220" w:line="227" w:lineRule="auto"/>
              <w:ind w:left="275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资格要求</w:t>
            </w:r>
          </w:p>
        </w:tc>
      </w:tr>
      <w:tr w14:paraId="7E175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1633" w:type="dxa"/>
            <w:noWrap w:val="0"/>
            <w:vAlign w:val="center"/>
          </w:tcPr>
          <w:p w14:paraId="7217B02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专职安全生产</w:t>
            </w:r>
          </w:p>
          <w:p w14:paraId="0AA54F7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管理人员</w:t>
            </w:r>
          </w:p>
        </w:tc>
        <w:tc>
          <w:tcPr>
            <w:tcW w:w="854" w:type="dxa"/>
            <w:noWrap w:val="0"/>
            <w:vAlign w:val="center"/>
          </w:tcPr>
          <w:p w14:paraId="0327D468">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人</w:t>
            </w:r>
          </w:p>
        </w:tc>
        <w:tc>
          <w:tcPr>
            <w:tcW w:w="6313" w:type="dxa"/>
            <w:noWrap w:val="0"/>
            <w:vAlign w:val="center"/>
          </w:tcPr>
          <w:p w14:paraId="06BDEDC4">
            <w:pPr>
              <w:pStyle w:val="4"/>
              <w:tabs>
                <w:tab w:val="left" w:pos="432"/>
              </w:tabs>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具有交通主管部门颁发的有效安全生产“三类人员”C 类证书。</w:t>
            </w:r>
          </w:p>
        </w:tc>
      </w:tr>
    </w:tbl>
    <w:p w14:paraId="1BAB27C6">
      <w:pPr>
        <w:tabs>
          <w:tab w:val="left" w:pos="3000"/>
        </w:tabs>
        <w:spacing w:line="360" w:lineRule="auto"/>
        <w:ind w:right="-1"/>
        <w:rPr>
          <w:rFonts w:hint="eastAsia" w:ascii="宋体" w:hAnsi="宋体" w:eastAsia="宋体" w:cs="宋体"/>
          <w:color w:val="auto"/>
          <w:sz w:val="24"/>
          <w:szCs w:val="24"/>
          <w:highlight w:val="none"/>
        </w:rPr>
      </w:pPr>
    </w:p>
    <w:p w14:paraId="095E5E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1、人员相关信息以“</w:t>
      </w:r>
      <w:r>
        <w:rPr>
          <w:rFonts w:hint="eastAsia" w:ascii="宋体" w:hAnsi="宋体" w:eastAsia="宋体" w:cs="宋体"/>
          <w:color w:val="auto"/>
          <w:sz w:val="21"/>
          <w:szCs w:val="21"/>
          <w:highlight w:val="none"/>
          <w:lang w:eastAsia="zh-CN"/>
        </w:rPr>
        <w:t>全国公路建设市场监督管理系统</w:t>
      </w:r>
      <w:r>
        <w:rPr>
          <w:rFonts w:hint="eastAsia" w:ascii="宋体" w:hAnsi="宋体" w:eastAsia="宋体" w:cs="宋体"/>
          <w:color w:val="auto"/>
          <w:sz w:val="21"/>
          <w:szCs w:val="21"/>
          <w:highlight w:val="none"/>
        </w:rPr>
        <w:t>”为准；</w:t>
      </w:r>
    </w:p>
    <w:p w14:paraId="27E25E26">
      <w:pPr>
        <w:spacing w:line="360" w:lineRule="auto"/>
        <w:ind w:firstLine="489" w:firstLineChars="2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2、资格要求的人员安全生产“三类人员”C类证书应在投标人所在单位，否则视为无效。</w:t>
      </w:r>
    </w:p>
    <w:p w14:paraId="5E62C367">
      <w:pPr>
        <w:spacing w:line="360" w:lineRule="auto"/>
        <w:ind w:firstLine="489" w:firstLineChars="2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3、需提供相关证书</w:t>
      </w:r>
      <w:r>
        <w:rPr>
          <w:rFonts w:hint="eastAsia" w:ascii="宋体" w:hAnsi="宋体" w:eastAsia="宋体" w:cs="宋体"/>
          <w:color w:val="auto"/>
          <w:sz w:val="21"/>
          <w:szCs w:val="21"/>
          <w:highlight w:val="none"/>
          <w:lang w:eastAsia="zh-CN"/>
        </w:rPr>
        <w:t>扫描</w:t>
      </w:r>
      <w:r>
        <w:rPr>
          <w:rFonts w:hint="eastAsia" w:ascii="宋体" w:hAnsi="宋体" w:eastAsia="宋体" w:cs="宋体"/>
          <w:color w:val="auto"/>
          <w:sz w:val="21"/>
          <w:szCs w:val="21"/>
          <w:highlight w:val="none"/>
        </w:rPr>
        <w:t>件、投标人在社保系统打印的拟委任的其他管理和技术人员参加社保的缴费明细证明材料（社保时段为投标文件递交截止日前半年时间内连续不少于三个月）。</w:t>
      </w:r>
    </w:p>
    <w:p w14:paraId="71EC4294">
      <w:pPr>
        <w:spacing w:line="360" w:lineRule="auto"/>
        <w:ind w:firstLine="489" w:firstLineChars="2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、附录</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所要求人员须按资格审查资料表的要求附有效的证明材料，所有证明材料均须与身份证上的信息一致，否则视为无效证明材料。</w:t>
      </w:r>
    </w:p>
    <w:p w14:paraId="02C08C09">
      <w:pPr>
        <w:spacing w:line="360" w:lineRule="auto"/>
        <w:ind w:firstLine="489" w:firstLineChars="233"/>
        <w:rPr>
          <w:rFonts w:hint="eastAsia" w:ascii="宋体" w:hAnsi="宋体" w:eastAsia="宋体" w:cs="宋体"/>
          <w:color w:val="auto"/>
          <w:spacing w:val="9"/>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投标人应根据投标文件第二章“投标人须知”第 3.5.</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项的要求附相关证明材</w:t>
      </w:r>
      <w:r>
        <w:rPr>
          <w:rFonts w:hint="eastAsia" w:ascii="宋体" w:hAnsi="宋体" w:eastAsia="宋体" w:cs="宋体"/>
          <w:color w:val="auto"/>
          <w:spacing w:val="9"/>
          <w:sz w:val="21"/>
          <w:szCs w:val="21"/>
          <w:highlight w:val="none"/>
        </w:rPr>
        <w:t>料。</w:t>
      </w:r>
    </w:p>
    <w:p w14:paraId="1393D909">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04FC">
    <w:pPr>
      <w:spacing w:line="196" w:lineRule="auto"/>
      <w:ind w:left="44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B2B20C">
                          <w:pPr>
                            <w:pStyle w:val="5"/>
                          </w:pPr>
                          <w:r>
                            <w:t xml:space="preserve">第 </w:t>
                          </w:r>
                          <w:r>
                            <w:fldChar w:fldCharType="begin"/>
                          </w:r>
                          <w:r>
                            <w:instrText xml:space="preserve"> PAGE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DB2B20C">
                    <w:pPr>
                      <w:pStyle w:val="5"/>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9310">
    <w:pPr>
      <w:spacing w:line="196" w:lineRule="auto"/>
      <w:ind w:left="44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1E3328">
                          <w:pPr>
                            <w:pStyle w:val="5"/>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031E3328">
                    <w:pPr>
                      <w:pStyle w:val="5"/>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1730">
    <w:pPr>
      <w:spacing w:line="196" w:lineRule="auto"/>
      <w:ind w:left="44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F40EA9">
                          <w:pPr>
                            <w:pStyle w:val="5"/>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1CF40EA9">
                    <w:pPr>
                      <w:pStyle w:val="5"/>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7AF9">
    <w:pPr>
      <w:pStyle w:val="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F1001">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E7AF6"/>
    <w:rsid w:val="3E8E7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360" w:lineRule="auto"/>
      <w:outlineLvl w:val="2"/>
    </w:pPr>
    <w:rPr>
      <w:b/>
      <w:bCs/>
      <w:sz w:val="28"/>
      <w:szCs w:val="21"/>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Normal Indent"/>
    <w:basedOn w:val="1"/>
    <w:qFormat/>
    <w:uiPriority w:val="0"/>
    <w:pPr>
      <w:ind w:firstLine="420"/>
    </w:pPr>
    <w:rPr>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unhideWhenUsed/>
    <w:qFormat/>
    <w:uiPriority w:val="2"/>
    <w:pPr>
      <w:widowControl w:val="0"/>
    </w:pPr>
    <w:rPr>
      <w:rFonts w:ascii="Calibri" w:hAnsi="Calibri" w:cs="Mongolian Bait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2025-10-20T07:35:00Z</dcterms:created>
  <dc:creator>淼淼</dc:creator>
  <cp:lastModifiedBy>淼淼</cp:lastModifiedBy>
  <dcterms:modified xsi:type="dcterms:W3CDTF">2025-10-20T07:36:11Z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395456CA0EE54B6C83E76A32B8A9D27A_11</vt:lpwstr>
  </property>
  <property fmtid="{D5CDD505-2E9C-101B-9397-08002B2CF9AE}" pid="4" name="KSOTemplateDocerSaveRecord">
    <vt:lpwstr>eyJoZGlkIjoiNjk0YzUyMDRjMjEzZDc4YzRiMDI5YjA0MDQwNjQwZDEiLCJ1c2VySWQiOiI0MzE5NDMzMjIifQ==</vt:lpwstr>
  </property>
</Properties>
</file>