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A6935">
      <w:pPr>
        <w:pStyle w:val="3"/>
        <w:keepNext/>
        <w:keepLines/>
        <w:pageBreakBefore w:val="0"/>
        <w:widowControl w:val="0"/>
        <w:kinsoku/>
        <w:wordWrap/>
        <w:overflowPunct/>
        <w:topLinePunct w:val="0"/>
        <w:autoSpaceDE/>
        <w:autoSpaceDN/>
        <w:bidi w:val="0"/>
        <w:adjustRightInd/>
        <w:snapToGrid/>
        <w:spacing w:before="120" w:after="120" w:line="360" w:lineRule="auto"/>
        <w:textAlignment w:val="auto"/>
        <w:rPr>
          <w:rFonts w:hint="eastAsia" w:ascii="宋体" w:hAnsi="宋体"/>
          <w:color w:val="auto"/>
          <w:highlight w:val="none"/>
        </w:rPr>
      </w:pPr>
      <w:bookmarkStart w:id="0" w:name="_Toc513216147"/>
      <w:r>
        <w:rPr>
          <w:rFonts w:ascii="宋体" w:hAnsi="宋体"/>
          <w:color w:val="auto"/>
          <w:sz w:val="32"/>
          <w:szCs w:val="32"/>
          <w:highlight w:val="none"/>
        </w:rPr>
        <w:t>第三章、评标办法</w:t>
      </w:r>
      <w:r>
        <w:rPr>
          <w:rFonts w:hint="eastAsia" w:ascii="宋体" w:hAnsi="宋体"/>
          <w:color w:val="auto"/>
          <w:sz w:val="32"/>
          <w:szCs w:val="32"/>
          <w:highlight w:val="none"/>
        </w:rPr>
        <w:t>（双信封的技术评分最低标价法）</w:t>
      </w:r>
      <w:bookmarkEnd w:id="0"/>
    </w:p>
    <w:p w14:paraId="4B0DFB06">
      <w:pPr>
        <w:pStyle w:val="4"/>
        <w:jc w:val="center"/>
        <w:rPr>
          <w:rFonts w:ascii="宋体" w:hAnsi="宋体"/>
          <w:color w:val="auto"/>
          <w:sz w:val="28"/>
          <w:szCs w:val="28"/>
          <w:highlight w:val="none"/>
          <w:vertAlign w:val="superscript"/>
        </w:rPr>
      </w:pPr>
      <w:bookmarkStart w:id="1" w:name="_Toc513216148"/>
      <w:r>
        <w:rPr>
          <w:rFonts w:ascii="宋体" w:hAnsi="宋体"/>
          <w:color w:val="auto"/>
          <w:sz w:val="28"/>
          <w:szCs w:val="28"/>
          <w:highlight w:val="none"/>
        </w:rPr>
        <w:t>评标办法前附表</w:t>
      </w:r>
      <w:bookmarkEnd w:id="1"/>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09"/>
        <w:gridCol w:w="7800"/>
      </w:tblGrid>
      <w:tr w14:paraId="4741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60" w:type="dxa"/>
            <w:gridSpan w:val="2"/>
            <w:noWrap w:val="0"/>
            <w:vAlign w:val="center"/>
          </w:tcPr>
          <w:p w14:paraId="25EFAA85">
            <w:pPr>
              <w:spacing w:line="400" w:lineRule="exact"/>
              <w:jc w:val="center"/>
              <w:rPr>
                <w:rFonts w:ascii="宋体" w:hAnsi="宋体"/>
                <w:b/>
                <w:color w:val="auto"/>
                <w:szCs w:val="21"/>
                <w:highlight w:val="none"/>
              </w:rPr>
            </w:pPr>
            <w:r>
              <w:rPr>
                <w:rFonts w:ascii="宋体" w:hAnsi="宋体"/>
                <w:b/>
                <w:color w:val="auto"/>
                <w:szCs w:val="21"/>
                <w:highlight w:val="none"/>
              </w:rPr>
              <w:t>条款号</w:t>
            </w:r>
          </w:p>
        </w:tc>
        <w:tc>
          <w:tcPr>
            <w:tcW w:w="7800" w:type="dxa"/>
            <w:noWrap w:val="0"/>
            <w:vAlign w:val="center"/>
          </w:tcPr>
          <w:p w14:paraId="2967C956">
            <w:pPr>
              <w:spacing w:line="400" w:lineRule="exact"/>
              <w:jc w:val="center"/>
              <w:rPr>
                <w:rFonts w:ascii="宋体" w:hAnsi="宋体"/>
                <w:b/>
                <w:color w:val="auto"/>
                <w:szCs w:val="21"/>
                <w:highlight w:val="none"/>
              </w:rPr>
            </w:pPr>
            <w:r>
              <w:rPr>
                <w:rFonts w:ascii="宋体" w:hAnsi="宋体"/>
                <w:b/>
                <w:color w:val="auto"/>
                <w:szCs w:val="21"/>
                <w:highlight w:val="none"/>
              </w:rPr>
              <w:t>评审因素与标准</w:t>
            </w:r>
          </w:p>
        </w:tc>
      </w:tr>
      <w:tr w14:paraId="6BAC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1" w:type="dxa"/>
            <w:noWrap w:val="0"/>
            <w:vAlign w:val="center"/>
          </w:tcPr>
          <w:p w14:paraId="706C374F">
            <w:pPr>
              <w:spacing w:line="400" w:lineRule="exact"/>
              <w:jc w:val="center"/>
              <w:rPr>
                <w:rFonts w:ascii="宋体" w:hAnsi="宋体"/>
                <w:bCs/>
                <w:color w:val="auto"/>
                <w:szCs w:val="21"/>
                <w:highlight w:val="none"/>
              </w:rPr>
            </w:pPr>
            <w:r>
              <w:rPr>
                <w:rFonts w:hint="eastAsia" w:ascii="宋体" w:hAnsi="宋体"/>
                <w:bCs/>
                <w:color w:val="auto"/>
                <w:szCs w:val="21"/>
                <w:highlight w:val="none"/>
              </w:rPr>
              <w:t>1</w:t>
            </w:r>
          </w:p>
        </w:tc>
        <w:tc>
          <w:tcPr>
            <w:tcW w:w="709" w:type="dxa"/>
            <w:noWrap w:val="0"/>
            <w:vAlign w:val="center"/>
          </w:tcPr>
          <w:p w14:paraId="292C2666">
            <w:pPr>
              <w:spacing w:line="400" w:lineRule="exact"/>
              <w:jc w:val="center"/>
              <w:rPr>
                <w:rFonts w:ascii="宋体" w:hAnsi="宋体"/>
                <w:bCs/>
                <w:color w:val="auto"/>
                <w:szCs w:val="21"/>
                <w:highlight w:val="none"/>
              </w:rPr>
            </w:pPr>
            <w:r>
              <w:rPr>
                <w:rFonts w:hint="eastAsia" w:ascii="宋体" w:hAnsi="宋体"/>
                <w:bCs/>
                <w:color w:val="auto"/>
                <w:szCs w:val="21"/>
                <w:highlight w:val="none"/>
              </w:rPr>
              <w:t>评标方法</w:t>
            </w:r>
          </w:p>
        </w:tc>
        <w:tc>
          <w:tcPr>
            <w:tcW w:w="7800" w:type="dxa"/>
            <w:noWrap w:val="0"/>
            <w:vAlign w:val="center"/>
          </w:tcPr>
          <w:p w14:paraId="4FCDC09F">
            <w:pPr>
              <w:spacing w:line="380" w:lineRule="exact"/>
              <w:ind w:firstLine="390"/>
              <w:rPr>
                <w:rFonts w:hint="eastAsia" w:ascii="宋体" w:hAnsi="宋体"/>
                <w:color w:val="auto"/>
                <w:szCs w:val="21"/>
                <w:highlight w:val="none"/>
              </w:rPr>
            </w:pPr>
            <w:r>
              <w:rPr>
                <w:rFonts w:hint="eastAsia" w:ascii="宋体" w:hAnsi="宋体"/>
                <w:color w:val="auto"/>
                <w:szCs w:val="21"/>
                <w:highlight w:val="none"/>
              </w:rPr>
              <w:t>评标价相等时，评标委员会依次按照以下优先顺序推荐中标候选人或确定中标人：</w:t>
            </w:r>
          </w:p>
          <w:p w14:paraId="7FBAFD39">
            <w:pPr>
              <w:spacing w:line="380" w:lineRule="exact"/>
              <w:ind w:firstLine="390"/>
              <w:rPr>
                <w:rFonts w:hint="eastAsia" w:ascii="宋体" w:hAnsi="宋体"/>
                <w:color w:val="auto"/>
                <w:szCs w:val="21"/>
                <w:highlight w:val="none"/>
              </w:rPr>
            </w:pPr>
            <w:r>
              <w:rPr>
                <w:rFonts w:hint="eastAsia" w:ascii="宋体" w:hAnsi="宋体"/>
                <w:color w:val="auto"/>
                <w:szCs w:val="21"/>
                <w:highlight w:val="none"/>
              </w:rPr>
              <w:t>（1）按招标文件规定被认定为最新年度广东省公路工程从业单位信用评价等级较高的投标人优先；</w:t>
            </w:r>
          </w:p>
          <w:p w14:paraId="136DF978">
            <w:pPr>
              <w:spacing w:line="380" w:lineRule="exact"/>
              <w:ind w:firstLine="390"/>
              <w:rPr>
                <w:rFonts w:hint="eastAsia" w:ascii="宋体" w:hAnsi="宋体" w:eastAsia="宋体"/>
                <w:color w:val="auto"/>
                <w:szCs w:val="21"/>
                <w:highlight w:val="none"/>
                <w:lang w:val="en-US" w:eastAsia="zh-CN"/>
              </w:rPr>
            </w:pPr>
            <w:r>
              <w:rPr>
                <w:rFonts w:hint="eastAsia" w:ascii="宋体" w:hAnsi="宋体"/>
                <w:color w:val="auto"/>
                <w:szCs w:val="21"/>
                <w:highlight w:val="none"/>
              </w:rPr>
              <w:t>【采用如下的优先顺序：承诺使用的AA级投标人、不承诺使用的AA级投标人、承诺使用的A级投标人、不承诺使用的A级投标人、B级投标人、未参评且被确定为B级投标人】</w:t>
            </w:r>
            <w:r>
              <w:rPr>
                <w:rFonts w:hint="eastAsia" w:ascii="宋体" w:hAnsi="宋体"/>
                <w:color w:val="auto"/>
                <w:szCs w:val="21"/>
                <w:highlight w:val="none"/>
                <w:lang w:eastAsia="zh-CN"/>
              </w:rPr>
              <w:t>；</w:t>
            </w:r>
          </w:p>
          <w:p w14:paraId="7B74B749">
            <w:pPr>
              <w:spacing w:line="380" w:lineRule="exact"/>
              <w:ind w:firstLine="390"/>
              <w:rPr>
                <w:rFonts w:hint="eastAsia" w:ascii="宋体" w:hAnsi="宋体"/>
                <w:color w:val="auto"/>
                <w:szCs w:val="21"/>
                <w:highlight w:val="none"/>
              </w:rPr>
            </w:pPr>
            <w:r>
              <w:rPr>
                <w:rFonts w:hint="eastAsia" w:ascii="宋体" w:hAnsi="宋体"/>
                <w:color w:val="auto"/>
                <w:szCs w:val="21"/>
                <w:highlight w:val="none"/>
              </w:rPr>
              <w:t>（2）以投标人企业最新年度净资产较高的优先；</w:t>
            </w:r>
          </w:p>
          <w:p w14:paraId="30B3DAAF">
            <w:pPr>
              <w:spacing w:line="380" w:lineRule="exact"/>
              <w:ind w:firstLine="390"/>
              <w:rPr>
                <w:rFonts w:ascii="宋体" w:hAnsi="宋体"/>
                <w:b/>
                <w:color w:val="auto"/>
                <w:szCs w:val="21"/>
                <w:highlight w:val="none"/>
              </w:rPr>
            </w:pPr>
            <w:r>
              <w:rPr>
                <w:rFonts w:hint="eastAsia" w:ascii="宋体" w:hAnsi="宋体"/>
                <w:color w:val="auto"/>
                <w:szCs w:val="21"/>
                <w:highlight w:val="none"/>
              </w:rPr>
              <w:t>（3）评标委员会视投标人情况综合比较，投票确定其名次。</w:t>
            </w:r>
          </w:p>
        </w:tc>
      </w:tr>
      <w:tr w14:paraId="0094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51" w:type="dxa"/>
            <w:noWrap w:val="0"/>
            <w:vAlign w:val="center"/>
          </w:tcPr>
          <w:p w14:paraId="5F6FBA90">
            <w:pPr>
              <w:spacing w:line="400" w:lineRule="exact"/>
              <w:jc w:val="center"/>
              <w:rPr>
                <w:rFonts w:ascii="宋体" w:hAnsi="宋体"/>
                <w:color w:val="auto"/>
                <w:szCs w:val="21"/>
                <w:highlight w:val="none"/>
              </w:rPr>
            </w:pPr>
            <w:r>
              <w:rPr>
                <w:rFonts w:ascii="宋体" w:hAnsi="宋体"/>
                <w:color w:val="auto"/>
                <w:szCs w:val="21"/>
                <w:highlight w:val="none"/>
              </w:rPr>
              <w:t>2.1.1</w:t>
            </w:r>
          </w:p>
          <w:p w14:paraId="793CC397">
            <w:pPr>
              <w:spacing w:line="400" w:lineRule="exact"/>
              <w:jc w:val="center"/>
              <w:rPr>
                <w:rFonts w:ascii="宋体" w:hAnsi="宋体"/>
                <w:color w:val="auto"/>
                <w:szCs w:val="21"/>
                <w:highlight w:val="none"/>
              </w:rPr>
            </w:pPr>
            <w:r>
              <w:rPr>
                <w:rFonts w:ascii="宋体" w:hAnsi="宋体"/>
                <w:color w:val="auto"/>
                <w:szCs w:val="21"/>
                <w:highlight w:val="none"/>
              </w:rPr>
              <w:t>2.1.3</w:t>
            </w:r>
          </w:p>
        </w:tc>
        <w:tc>
          <w:tcPr>
            <w:tcW w:w="709" w:type="dxa"/>
            <w:noWrap w:val="0"/>
            <w:vAlign w:val="center"/>
          </w:tcPr>
          <w:p w14:paraId="14800F64">
            <w:pPr>
              <w:spacing w:line="400" w:lineRule="exact"/>
              <w:rPr>
                <w:rFonts w:ascii="宋体" w:hAnsi="宋体"/>
                <w:color w:val="auto"/>
                <w:szCs w:val="21"/>
                <w:highlight w:val="none"/>
              </w:rPr>
            </w:pPr>
            <w:r>
              <w:rPr>
                <w:rFonts w:ascii="宋体" w:hAnsi="宋体"/>
                <w:color w:val="auto"/>
                <w:szCs w:val="21"/>
                <w:highlight w:val="none"/>
              </w:rPr>
              <w:t>形式评审与响应性评审标准</w:t>
            </w:r>
          </w:p>
        </w:tc>
        <w:tc>
          <w:tcPr>
            <w:tcW w:w="7800" w:type="dxa"/>
            <w:noWrap w:val="0"/>
            <w:vAlign w:val="center"/>
          </w:tcPr>
          <w:p w14:paraId="494DEF0A">
            <w:pPr>
              <w:spacing w:line="380" w:lineRule="exact"/>
              <w:rPr>
                <w:rFonts w:hint="eastAsia" w:ascii="宋体" w:hAnsi="宋体"/>
                <w:b/>
                <w:color w:val="auto"/>
                <w:szCs w:val="21"/>
                <w:highlight w:val="none"/>
              </w:rPr>
            </w:pPr>
            <w:r>
              <w:rPr>
                <w:rFonts w:hint="eastAsia" w:ascii="宋体" w:hAnsi="宋体"/>
                <w:b/>
                <w:color w:val="auto"/>
                <w:szCs w:val="21"/>
                <w:highlight w:val="none"/>
              </w:rPr>
              <w:t>第一个信封</w:t>
            </w:r>
            <w:r>
              <w:rPr>
                <w:rFonts w:hint="eastAsia" w:ascii="宋体" w:hAnsi="宋体"/>
                <w:b/>
                <w:bCs/>
                <w:color w:val="auto"/>
                <w:szCs w:val="21"/>
                <w:highlight w:val="none"/>
              </w:rPr>
              <w:t>（商务及技术文件）的评审标准：</w:t>
            </w:r>
          </w:p>
          <w:p w14:paraId="2C204B51">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rPr>
              <w:t>（1）</w:t>
            </w:r>
            <w:r>
              <w:rPr>
                <w:rFonts w:hint="eastAsia" w:ascii="宋体" w:hAnsi="宋体" w:eastAsia="宋体" w:cs="Times New Roman"/>
                <w:color w:val="auto"/>
                <w:szCs w:val="21"/>
                <w:highlight w:val="none"/>
              </w:rPr>
              <w:t>投标文件按照招标文件规定的格式、内容填写，字迹清晰可辨：</w:t>
            </w:r>
          </w:p>
          <w:p w14:paraId="0B034779">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a.投标函按招标文件规定填报了项目名称、标段号（如有)、补遗书编号（如有)、工期、工程质量要求及安全目标；</w:t>
            </w:r>
          </w:p>
          <w:p w14:paraId="66FAC862">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b.投标函附录的所有数据均符合招标文件规定；</w:t>
            </w:r>
          </w:p>
          <w:p w14:paraId="3E59038D">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c.投标文件组成齐全完整，内容均按规定填写。</w:t>
            </w:r>
          </w:p>
          <w:p w14:paraId="1230D360">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rPr>
              <w:t>（2）</w:t>
            </w:r>
            <w:r>
              <w:rPr>
                <w:rFonts w:hint="eastAsia" w:ascii="宋体" w:hAnsi="宋体" w:eastAsia="宋体" w:cs="Times New Roman"/>
                <w:color w:val="auto"/>
                <w:szCs w:val="21"/>
                <w:highlight w:val="none"/>
              </w:rPr>
              <w:t>投标文件上法定代表人或其委托代理人的签字、投标人的单位章盖章齐全，符合招标文件规定。</w:t>
            </w:r>
          </w:p>
          <w:p w14:paraId="37519E47">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rPr>
              <w:t>（3）</w:t>
            </w:r>
            <w:r>
              <w:rPr>
                <w:rFonts w:hint="eastAsia" w:ascii="宋体" w:hAnsi="宋体" w:eastAsia="宋体" w:cs="Times New Roman"/>
                <w:color w:val="auto"/>
                <w:szCs w:val="21"/>
                <w:highlight w:val="none"/>
              </w:rPr>
              <w:t>投标人按照招标文件的规定提供了投标保证金：</w:t>
            </w:r>
          </w:p>
          <w:p w14:paraId="30AB7B21">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a.投标保证金金额符合招标文件规定的金额，且投标保证金有效期不少于投标有效期；</w:t>
            </w:r>
          </w:p>
          <w:p w14:paraId="1E606505">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b.若投标保证金采用</w:t>
            </w:r>
            <w:r>
              <w:rPr>
                <w:rFonts w:hint="eastAsia" w:ascii="宋体" w:hAnsi="宋体" w:eastAsia="宋体" w:cs="Times New Roman"/>
                <w:color w:val="auto"/>
                <w:szCs w:val="21"/>
                <w:highlight w:val="none"/>
                <w:lang w:eastAsia="zh-CN"/>
              </w:rPr>
              <w:t>银行转账</w:t>
            </w:r>
            <w:r>
              <w:rPr>
                <w:rFonts w:hint="eastAsia" w:ascii="宋体" w:hAnsi="宋体" w:eastAsia="宋体" w:cs="Times New Roman"/>
                <w:color w:val="auto"/>
                <w:szCs w:val="21"/>
                <w:highlight w:val="none"/>
              </w:rPr>
              <w:t>形式提交，投标人应在投标人须知 3.4.1款规定的时间，将投标保证金由投标人的基本账户转入招标人指定账户；</w:t>
            </w:r>
          </w:p>
          <w:p w14:paraId="05E79D9E">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w:t>
            </w:r>
            <w:r>
              <w:rPr>
                <w:rFonts w:hint="eastAsia" w:ascii="宋体" w:hAnsi="宋体"/>
                <w:color w:val="auto"/>
                <w:szCs w:val="21"/>
                <w:highlight w:val="none"/>
              </w:rPr>
              <w:t>若投标保证金采用电子保函形式提交</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电子保函</w:t>
            </w:r>
            <w:r>
              <w:rPr>
                <w:rFonts w:hint="eastAsia" w:ascii="宋体" w:hAnsi="宋体" w:eastAsia="宋体" w:cs="Times New Roman"/>
                <w:color w:val="auto"/>
                <w:szCs w:val="21"/>
                <w:highlight w:val="none"/>
              </w:rPr>
              <w:t>应满足招标文件要求。</w:t>
            </w:r>
          </w:p>
          <w:p w14:paraId="3E6F9E54">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rPr>
              <w:t>）</w:t>
            </w:r>
            <w:r>
              <w:rPr>
                <w:rFonts w:hint="eastAsia" w:ascii="宋体" w:hAnsi="宋体" w:eastAsia="宋体" w:cs="Times New Roman"/>
                <w:color w:val="auto"/>
                <w:szCs w:val="21"/>
                <w:highlight w:val="none"/>
              </w:rPr>
              <w:t>投标人法定代表人授权委托代理人签署投标文件的，需提交授权委托书，且授权人和被授权人均在授权委托书上签名，未使用印章、签名章或其他电子制版签名代替。</w:t>
            </w:r>
          </w:p>
          <w:p w14:paraId="63BD0256">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val="en-US" w:eastAsia="zh-CN"/>
              </w:rPr>
              <w:t>5</w:t>
            </w:r>
            <w:r>
              <w:rPr>
                <w:rFonts w:hint="eastAsia" w:ascii="宋体" w:hAnsi="宋体" w:eastAsia="宋体" w:cs="Times New Roman"/>
                <w:b/>
                <w:bCs/>
                <w:color w:val="auto"/>
                <w:szCs w:val="21"/>
                <w:highlight w:val="none"/>
              </w:rPr>
              <w:t>）</w:t>
            </w:r>
            <w:r>
              <w:rPr>
                <w:rFonts w:hint="eastAsia" w:ascii="宋体" w:hAnsi="宋体" w:eastAsia="宋体" w:cs="Times New Roman"/>
                <w:color w:val="auto"/>
                <w:szCs w:val="21"/>
                <w:highlight w:val="none"/>
              </w:rPr>
              <w:t>投标人法定代表人亲自签署投标文件的，提供了法定代表人身份证明，且法定代表人在法定代表人身份证明上签名，未使用印章、签名章或其他电子制版签名代替。</w:t>
            </w:r>
          </w:p>
          <w:p w14:paraId="45F3DFD3">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（6）</w:t>
            </w:r>
            <w:r>
              <w:rPr>
                <w:rFonts w:hint="eastAsia" w:ascii="宋体" w:hAnsi="宋体" w:eastAsia="宋体" w:cs="Times New Roman"/>
                <w:color w:val="auto"/>
                <w:szCs w:val="21"/>
                <w:highlight w:val="none"/>
              </w:rPr>
              <w:t>如投标人不具备拟分包工程所需的某专项工程相应资质或投标人如有分包计划，符合招标文件第二章“投标人须知”第1.11款规定，且按招标文件第九章“投标文件格式”的要求填写了“拟分包项目情况表”。</w:t>
            </w:r>
          </w:p>
          <w:p w14:paraId="7FB7E1EB">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（7）</w:t>
            </w:r>
            <w:r>
              <w:rPr>
                <w:rFonts w:hint="eastAsia" w:ascii="宋体" w:hAnsi="宋体" w:eastAsia="宋体" w:cs="Times New Roman"/>
                <w:color w:val="auto"/>
                <w:szCs w:val="21"/>
                <w:highlight w:val="none"/>
              </w:rPr>
              <w:t>同一投标人未提交两个以上不同的投标文件，但招标文件要求提交备选投标的除外。</w:t>
            </w:r>
          </w:p>
          <w:p w14:paraId="38511ECF">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（8）</w:t>
            </w:r>
            <w:r>
              <w:rPr>
                <w:rFonts w:hint="eastAsia" w:ascii="宋体" w:hAnsi="宋体" w:eastAsia="宋体" w:cs="Times New Roman"/>
                <w:color w:val="auto"/>
                <w:szCs w:val="21"/>
                <w:highlight w:val="none"/>
              </w:rPr>
              <w:t>投标文件中未出现有关投标报价的内容。</w:t>
            </w:r>
          </w:p>
          <w:p w14:paraId="665EE87B">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（9）</w:t>
            </w:r>
            <w:r>
              <w:rPr>
                <w:rFonts w:hint="eastAsia" w:ascii="宋体" w:hAnsi="宋体" w:eastAsia="宋体" w:cs="Times New Roman"/>
                <w:color w:val="auto"/>
                <w:szCs w:val="21"/>
                <w:highlight w:val="none"/>
              </w:rPr>
              <w:t>投标文件载明的招标项目完成期限未超过招标文件规定的时限。</w:t>
            </w:r>
          </w:p>
          <w:p w14:paraId="3B7CA645">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（10）</w:t>
            </w:r>
            <w:r>
              <w:rPr>
                <w:rFonts w:hint="eastAsia" w:ascii="宋体" w:hAnsi="宋体" w:eastAsia="宋体" w:cs="Times New Roman"/>
                <w:color w:val="auto"/>
                <w:szCs w:val="21"/>
                <w:highlight w:val="none"/>
              </w:rPr>
              <w:t>投标文件对招标文件的实质性要求和条件作出响应。</w:t>
            </w:r>
          </w:p>
          <w:p w14:paraId="67435A8F">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（11）</w:t>
            </w:r>
            <w:r>
              <w:rPr>
                <w:rFonts w:hint="eastAsia" w:ascii="宋体" w:hAnsi="宋体" w:eastAsia="宋体" w:cs="Times New Roman"/>
                <w:color w:val="auto"/>
                <w:szCs w:val="21"/>
                <w:highlight w:val="none"/>
              </w:rPr>
              <w:t>权利义务符合招标文件规定：</w:t>
            </w:r>
          </w:p>
          <w:p w14:paraId="530F0C82">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 投标人应接受招标文件规定的风险划分原则，未提出新的风险划分办法；</w:t>
            </w:r>
          </w:p>
          <w:p w14:paraId="246C2305">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b. 投标人未增加发包人的责任范围，或减少投标人义务；</w:t>
            </w:r>
          </w:p>
          <w:p w14:paraId="767B4030">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c.投标人未提出不同的工程验收、计量、支付办法；</w:t>
            </w:r>
          </w:p>
          <w:p w14:paraId="75E39D2B">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d. 投标人对合同纠纷、事故处理办法未提出异议；</w:t>
            </w:r>
          </w:p>
          <w:p w14:paraId="5D4460F7">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e. 投标人在投标活动中无欺诈行为；</w:t>
            </w:r>
          </w:p>
          <w:p w14:paraId="41D17F0B">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f. 投标人未对合同条款有重要保留。</w:t>
            </w:r>
          </w:p>
          <w:p w14:paraId="4A521F22">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（12）</w:t>
            </w:r>
            <w:r>
              <w:rPr>
                <w:rFonts w:hint="eastAsia" w:ascii="宋体" w:hAnsi="宋体" w:eastAsia="宋体" w:cs="Times New Roman"/>
                <w:color w:val="auto"/>
                <w:szCs w:val="21"/>
                <w:highlight w:val="none"/>
              </w:rPr>
              <w:t>投标文件符合招标文件第二章“投标人须知 第 3.7.4项规定。</w:t>
            </w:r>
          </w:p>
          <w:p w14:paraId="0ECE5179">
            <w:pPr>
              <w:spacing w:line="380" w:lineRule="exact"/>
              <w:ind w:firstLine="422" w:firstLineChars="200"/>
              <w:rPr>
                <w:rFonts w:hint="eastAsia" w:ascii="宋体" w:hAnsi="宋体" w:eastAsia="宋体" w:cs="Times New Roman"/>
                <w:color w:val="auto"/>
                <w:szCs w:val="21"/>
                <w:highlight w:val="none"/>
                <w:lang w:eastAsia="zh-CN"/>
              </w:rPr>
            </w:pPr>
            <w:r>
              <w:rPr>
                <w:rFonts w:hint="eastAsia" w:ascii="宋体" w:hAnsi="宋体" w:eastAsia="宋体" w:cs="Times New Roman"/>
                <w:b/>
                <w:bCs/>
                <w:color w:val="auto"/>
                <w:szCs w:val="21"/>
                <w:highlight w:val="none"/>
                <w:lang w:val="en-US" w:eastAsia="zh-CN"/>
              </w:rPr>
              <w:t>（13）</w:t>
            </w:r>
            <w:r>
              <w:rPr>
                <w:rFonts w:hint="eastAsia" w:ascii="宋体" w:hAnsi="宋体" w:eastAsia="宋体" w:cs="Times New Roman"/>
                <w:color w:val="auto"/>
                <w:szCs w:val="21"/>
                <w:highlight w:val="none"/>
              </w:rPr>
              <w:t>投标文件未附有招标人不能接受的条件</w:t>
            </w:r>
            <w:r>
              <w:rPr>
                <w:rFonts w:hint="eastAsia" w:ascii="宋体" w:hAnsi="宋体" w:eastAsia="宋体" w:cs="Times New Roman"/>
                <w:color w:val="auto"/>
                <w:szCs w:val="21"/>
                <w:highlight w:val="none"/>
                <w:lang w:eastAsia="zh-CN"/>
              </w:rPr>
              <w:t>。</w:t>
            </w:r>
          </w:p>
          <w:p w14:paraId="725836AA">
            <w:pPr>
              <w:spacing w:line="380" w:lineRule="exact"/>
              <w:ind w:firstLine="422" w:firstLineChars="200"/>
              <w:rPr>
                <w:rFonts w:hint="eastAsia" w:ascii="宋体" w:hAnsi="宋体"/>
                <w:b/>
                <w:color w:val="auto"/>
                <w:szCs w:val="21"/>
                <w:highlight w:val="none"/>
              </w:rPr>
            </w:pPr>
            <w:r>
              <w:rPr>
                <w:rFonts w:hint="eastAsia" w:ascii="宋体" w:hAnsi="宋体" w:eastAsia="宋体" w:cs="Times New Roman"/>
                <w:b/>
                <w:bCs/>
                <w:color w:val="auto"/>
                <w:szCs w:val="21"/>
                <w:highlight w:val="none"/>
                <w:lang w:val="en-US" w:eastAsia="zh-CN"/>
              </w:rPr>
              <w:t>（14）</w:t>
            </w:r>
            <w:r>
              <w:rPr>
                <w:rFonts w:hint="eastAsia" w:ascii="宋体" w:hAnsi="宋体" w:eastAsia="宋体" w:cs="Times New Roman"/>
                <w:b w:val="0"/>
                <w:bCs w:val="0"/>
                <w:color w:val="auto"/>
                <w:szCs w:val="21"/>
                <w:highlight w:val="none"/>
                <w:lang w:val="en-US" w:eastAsia="zh-CN"/>
              </w:rPr>
              <w:t>经云浮市公共资源交易服务平台交易系统检测投标文件未存在投标端网络IP地址、网卡MAC地址、CPU序列号、硬盘序列号、主板序列号、软件制作码一致的</w:t>
            </w:r>
            <w:r>
              <w:rPr>
                <w:rFonts w:hint="eastAsia" w:ascii="宋体" w:hAnsi="宋体" w:eastAsia="宋体" w:cs="Times New Roman"/>
                <w:color w:val="auto"/>
                <w:szCs w:val="21"/>
                <w:highlight w:val="none"/>
              </w:rPr>
              <w:t>。</w:t>
            </w:r>
          </w:p>
          <w:p w14:paraId="05F86663">
            <w:pPr>
              <w:spacing w:line="380" w:lineRule="exact"/>
              <w:rPr>
                <w:rFonts w:hint="eastAsia" w:ascii="宋体" w:hAnsi="宋体"/>
                <w:b/>
                <w:color w:val="auto"/>
                <w:szCs w:val="21"/>
                <w:highlight w:val="none"/>
              </w:rPr>
            </w:pPr>
          </w:p>
          <w:p w14:paraId="4F06263D">
            <w:pPr>
              <w:spacing w:line="380" w:lineRule="exact"/>
              <w:rPr>
                <w:rFonts w:hint="eastAsia" w:ascii="宋体" w:hAnsi="宋体"/>
                <w:b/>
                <w:color w:val="auto"/>
                <w:szCs w:val="21"/>
                <w:highlight w:val="none"/>
              </w:rPr>
            </w:pPr>
            <w:r>
              <w:rPr>
                <w:rFonts w:hint="eastAsia" w:ascii="宋体" w:hAnsi="宋体"/>
                <w:b/>
                <w:color w:val="auto"/>
                <w:szCs w:val="21"/>
                <w:highlight w:val="none"/>
              </w:rPr>
              <w:t>第二个信封（报价文件）的评审标准：</w:t>
            </w:r>
          </w:p>
          <w:p w14:paraId="3B2178B6">
            <w:pPr>
              <w:spacing w:line="380" w:lineRule="exact"/>
              <w:ind w:firstLine="422" w:firstLineChars="200"/>
              <w:rPr>
                <w:rFonts w:hint="eastAsia" w:ascii="宋体" w:hAnsi="宋体"/>
                <w:color w:val="auto"/>
                <w:szCs w:val="21"/>
                <w:highlight w:val="none"/>
              </w:rPr>
            </w:pPr>
            <w:r>
              <w:rPr>
                <w:rFonts w:hint="eastAsia" w:ascii="宋体" w:hAnsi="宋体" w:eastAsia="宋体" w:cs="Times New Roman"/>
                <w:b/>
                <w:bCs/>
                <w:color w:val="auto"/>
                <w:szCs w:val="21"/>
                <w:highlight w:val="none"/>
                <w:lang w:val="en-US" w:eastAsia="zh-CN"/>
              </w:rPr>
              <w:t>（1）</w:t>
            </w:r>
            <w:r>
              <w:rPr>
                <w:rFonts w:hint="eastAsia" w:ascii="宋体" w:hAnsi="宋体"/>
                <w:color w:val="auto"/>
                <w:szCs w:val="21"/>
                <w:highlight w:val="none"/>
              </w:rPr>
              <w:t>投标文件按照招标文件规定的格式、内容填写，字迹清晰可辩：</w:t>
            </w:r>
          </w:p>
          <w:p w14:paraId="03BA7E21">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 投标函按招标文件规定填报了项目名称、标段号（如有)、补遗书编号（如有)、投标总报价（包括大写金额和小写金额)；</w:t>
            </w:r>
          </w:p>
          <w:p w14:paraId="030EE9BD">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b. 投标文件组成齐全完整，内容均按规定填写。</w:t>
            </w:r>
          </w:p>
          <w:p w14:paraId="1CF9336B">
            <w:pPr>
              <w:spacing w:line="380" w:lineRule="exact"/>
              <w:ind w:firstLine="422" w:firstLineChars="200"/>
              <w:rPr>
                <w:rFonts w:hint="eastAsia" w:ascii="宋体" w:hAnsi="宋体"/>
                <w:color w:val="auto"/>
                <w:szCs w:val="21"/>
                <w:highlight w:val="none"/>
              </w:rPr>
            </w:pPr>
            <w:r>
              <w:rPr>
                <w:rFonts w:hint="eastAsia" w:ascii="宋体" w:hAnsi="宋体" w:eastAsia="宋体" w:cs="Times New Roman"/>
                <w:b/>
                <w:bCs/>
                <w:color w:val="auto"/>
                <w:szCs w:val="21"/>
                <w:highlight w:val="none"/>
                <w:lang w:val="en-US" w:eastAsia="zh-CN"/>
              </w:rPr>
              <w:t>（2）</w:t>
            </w:r>
            <w:r>
              <w:rPr>
                <w:rFonts w:hint="eastAsia" w:ascii="宋体" w:hAnsi="宋体"/>
                <w:color w:val="auto"/>
                <w:szCs w:val="21"/>
                <w:highlight w:val="none"/>
              </w:rPr>
              <w:t>投标文件上法定代表人或其委托代理人的签字、投标人的单位章盖章齐全，符合招标文件规定。</w:t>
            </w:r>
          </w:p>
          <w:p w14:paraId="38459C62">
            <w:pPr>
              <w:spacing w:line="380" w:lineRule="exact"/>
              <w:ind w:firstLine="422" w:firstLineChars="200"/>
              <w:rPr>
                <w:rFonts w:hint="eastAsia" w:ascii="宋体" w:hAnsi="宋体"/>
                <w:color w:val="auto"/>
                <w:szCs w:val="21"/>
                <w:highlight w:val="none"/>
              </w:rPr>
            </w:pPr>
            <w:r>
              <w:rPr>
                <w:rFonts w:hint="eastAsia" w:ascii="宋体" w:hAnsi="宋体" w:eastAsia="宋体" w:cs="Times New Roman"/>
                <w:b/>
                <w:bCs/>
                <w:color w:val="auto"/>
                <w:szCs w:val="21"/>
                <w:highlight w:val="none"/>
                <w:lang w:val="en-US" w:eastAsia="zh-CN"/>
              </w:rPr>
              <w:t>（3）</w:t>
            </w:r>
            <w:r>
              <w:rPr>
                <w:rFonts w:hint="eastAsia" w:ascii="宋体" w:hAnsi="宋体"/>
                <w:color w:val="auto"/>
                <w:szCs w:val="21"/>
                <w:highlight w:val="none"/>
              </w:rPr>
              <w:t>投标</w:t>
            </w:r>
            <w:r>
              <w:rPr>
                <w:rFonts w:hint="eastAsia" w:ascii="宋体" w:hAnsi="宋体"/>
                <w:color w:val="auto"/>
                <w:szCs w:val="21"/>
                <w:highlight w:val="none"/>
                <w:lang w:eastAsia="zh-CN"/>
              </w:rPr>
              <w:t>总</w:t>
            </w:r>
            <w:r>
              <w:rPr>
                <w:rFonts w:hint="eastAsia" w:ascii="宋体" w:hAnsi="宋体"/>
                <w:color w:val="auto"/>
                <w:szCs w:val="21"/>
                <w:highlight w:val="none"/>
              </w:rPr>
              <w:t>报价或调价函中的报价未超过招标文件设定的最高投标限价（如有)及最高评标限价（如有）。</w:t>
            </w:r>
          </w:p>
          <w:p w14:paraId="2DFD1B1A">
            <w:pPr>
              <w:spacing w:line="380" w:lineRule="exact"/>
              <w:ind w:firstLine="422" w:firstLineChars="200"/>
              <w:rPr>
                <w:rFonts w:hint="eastAsia" w:ascii="宋体" w:hAnsi="宋体"/>
                <w:color w:val="auto"/>
                <w:szCs w:val="21"/>
                <w:highlight w:val="none"/>
              </w:rPr>
            </w:pPr>
            <w:r>
              <w:rPr>
                <w:rFonts w:hint="eastAsia" w:ascii="宋体" w:hAnsi="宋体" w:eastAsia="宋体" w:cs="Times New Roman"/>
                <w:b/>
                <w:bCs/>
                <w:color w:val="auto"/>
                <w:szCs w:val="21"/>
                <w:highlight w:val="none"/>
                <w:lang w:val="en-US" w:eastAsia="zh-CN"/>
              </w:rPr>
              <w:t>（4）</w:t>
            </w:r>
            <w:r>
              <w:rPr>
                <w:rFonts w:hint="eastAsia" w:ascii="宋体" w:hAnsi="宋体"/>
                <w:color w:val="auto"/>
                <w:szCs w:val="21"/>
                <w:highlight w:val="none"/>
              </w:rPr>
              <w:t>投标总报价或调价函中报价的大写金额能够确定具体数值。</w:t>
            </w:r>
          </w:p>
          <w:p w14:paraId="17F88B6D">
            <w:pPr>
              <w:spacing w:line="380" w:lineRule="exact"/>
              <w:ind w:firstLine="422" w:firstLineChars="200"/>
              <w:rPr>
                <w:rFonts w:hint="eastAsia" w:ascii="宋体" w:hAnsi="宋体"/>
                <w:color w:val="auto"/>
                <w:szCs w:val="21"/>
                <w:highlight w:val="none"/>
              </w:rPr>
            </w:pPr>
            <w:r>
              <w:rPr>
                <w:rFonts w:hint="eastAsia" w:ascii="宋体" w:hAnsi="宋体" w:eastAsia="宋体" w:cs="Times New Roman"/>
                <w:b/>
                <w:bCs/>
                <w:color w:val="auto"/>
                <w:szCs w:val="21"/>
                <w:highlight w:val="none"/>
                <w:lang w:val="en-US" w:eastAsia="zh-CN"/>
              </w:rPr>
              <w:t>（5）</w:t>
            </w:r>
            <w:r>
              <w:rPr>
                <w:rFonts w:hint="eastAsia" w:ascii="宋体" w:hAnsi="宋体"/>
                <w:color w:val="auto"/>
                <w:szCs w:val="21"/>
                <w:highlight w:val="none"/>
              </w:rPr>
              <w:t>同一投标人未提交两个以上不同的投标报价，但招标文件要求提交备选投标的除外。</w:t>
            </w:r>
          </w:p>
          <w:p w14:paraId="0938020A">
            <w:pPr>
              <w:spacing w:line="380" w:lineRule="exact"/>
              <w:ind w:firstLine="422" w:firstLineChars="200"/>
              <w:rPr>
                <w:rFonts w:hint="eastAsia" w:ascii="宋体" w:hAnsi="宋体"/>
                <w:color w:val="auto"/>
                <w:szCs w:val="21"/>
                <w:highlight w:val="none"/>
              </w:rPr>
            </w:pPr>
            <w:r>
              <w:rPr>
                <w:rFonts w:hint="eastAsia" w:ascii="宋体" w:hAnsi="宋体" w:eastAsia="宋体" w:cs="Times New Roman"/>
                <w:b/>
                <w:bCs/>
                <w:color w:val="auto"/>
                <w:szCs w:val="21"/>
                <w:highlight w:val="none"/>
                <w:lang w:val="en-US" w:eastAsia="zh-CN"/>
              </w:rPr>
              <w:t>（6）</w:t>
            </w:r>
            <w:r>
              <w:rPr>
                <w:rFonts w:hint="eastAsia" w:ascii="宋体" w:hAnsi="宋体"/>
                <w:color w:val="auto"/>
                <w:szCs w:val="21"/>
                <w:highlight w:val="none"/>
              </w:rPr>
              <w:t>投标人若提交调价函，调价函符合招标文件第二章“投标人须知”第 3.2.6 项要求。</w:t>
            </w:r>
          </w:p>
          <w:p w14:paraId="0F030A5E">
            <w:pPr>
              <w:spacing w:line="380" w:lineRule="exact"/>
              <w:ind w:firstLine="422" w:firstLineChars="200"/>
              <w:rPr>
                <w:rFonts w:hint="eastAsia" w:ascii="宋体" w:hAnsi="宋体"/>
                <w:color w:val="auto"/>
                <w:szCs w:val="21"/>
                <w:highlight w:val="none"/>
              </w:rPr>
            </w:pPr>
            <w:r>
              <w:rPr>
                <w:rFonts w:hint="eastAsia" w:ascii="宋体" w:hAnsi="宋体" w:eastAsia="宋体" w:cs="Times New Roman"/>
                <w:b/>
                <w:bCs/>
                <w:color w:val="auto"/>
                <w:szCs w:val="21"/>
                <w:highlight w:val="none"/>
                <w:lang w:val="en-US" w:eastAsia="zh-CN"/>
              </w:rPr>
              <w:t>（7）</w:t>
            </w:r>
            <w:r>
              <w:rPr>
                <w:rFonts w:hint="eastAsia" w:ascii="宋体" w:hAnsi="宋体"/>
                <w:color w:val="auto"/>
                <w:szCs w:val="21"/>
                <w:highlight w:val="none"/>
              </w:rPr>
              <w:t>投标人若填写工程量固化清单，填写完毕的工程量固化清单未对工程量固化清单电子文件中的数据、格式和运算定义进行修改；工程量固化清单中的投标</w:t>
            </w:r>
            <w:r>
              <w:rPr>
                <w:rFonts w:hint="eastAsia" w:ascii="宋体" w:hAnsi="宋体"/>
                <w:color w:val="auto"/>
                <w:szCs w:val="21"/>
                <w:highlight w:val="none"/>
                <w:lang w:eastAsia="zh-CN"/>
              </w:rPr>
              <w:t>总</w:t>
            </w:r>
            <w:r>
              <w:rPr>
                <w:rFonts w:hint="eastAsia" w:ascii="宋体" w:hAnsi="宋体"/>
                <w:color w:val="auto"/>
                <w:szCs w:val="21"/>
                <w:highlight w:val="none"/>
              </w:rPr>
              <w:t>报价和投标函大写金额报价一致。</w:t>
            </w:r>
          </w:p>
          <w:p w14:paraId="4DC5FBF5">
            <w:pPr>
              <w:spacing w:line="380" w:lineRule="exact"/>
              <w:ind w:firstLine="422" w:firstLineChars="200"/>
              <w:rPr>
                <w:rFonts w:hint="eastAsia" w:ascii="宋体" w:hAnsi="宋体"/>
                <w:b/>
                <w:bCs/>
                <w:color w:val="auto"/>
                <w:szCs w:val="21"/>
                <w:highlight w:val="none"/>
              </w:rPr>
            </w:pPr>
            <w:r>
              <w:rPr>
                <w:rFonts w:hint="eastAsia" w:ascii="宋体" w:hAnsi="宋体" w:eastAsia="宋体" w:cs="Times New Roman"/>
                <w:b/>
                <w:bCs/>
                <w:color w:val="auto"/>
                <w:szCs w:val="21"/>
                <w:highlight w:val="none"/>
                <w:lang w:val="en-US" w:eastAsia="zh-CN"/>
              </w:rPr>
              <w:t>（8）</w:t>
            </w:r>
            <w:r>
              <w:rPr>
                <w:rFonts w:hint="eastAsia" w:ascii="宋体" w:hAnsi="宋体"/>
                <w:color w:val="auto"/>
                <w:szCs w:val="21"/>
                <w:highlight w:val="none"/>
              </w:rPr>
              <w:t>投标文件符合招标文件第二章“投标人须知”第 3.7.4项规定。</w:t>
            </w:r>
          </w:p>
        </w:tc>
      </w:tr>
      <w:tr w14:paraId="325F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851" w:type="dxa"/>
            <w:noWrap w:val="0"/>
            <w:vAlign w:val="center"/>
          </w:tcPr>
          <w:p w14:paraId="28B07A36">
            <w:pPr>
              <w:spacing w:line="400" w:lineRule="exact"/>
              <w:jc w:val="center"/>
              <w:rPr>
                <w:rFonts w:hint="eastAsia" w:ascii="宋体" w:hAnsi="宋体"/>
                <w:color w:val="auto"/>
                <w:szCs w:val="21"/>
                <w:highlight w:val="none"/>
              </w:rPr>
            </w:pPr>
            <w:r>
              <w:rPr>
                <w:rFonts w:hint="eastAsia" w:ascii="宋体" w:hAnsi="宋体"/>
                <w:color w:val="auto"/>
                <w:szCs w:val="21"/>
                <w:highlight w:val="none"/>
              </w:rPr>
              <w:t>2.1.2</w:t>
            </w:r>
          </w:p>
        </w:tc>
        <w:tc>
          <w:tcPr>
            <w:tcW w:w="709" w:type="dxa"/>
            <w:noWrap w:val="0"/>
            <w:vAlign w:val="center"/>
          </w:tcPr>
          <w:p w14:paraId="00AD9072">
            <w:pPr>
              <w:spacing w:line="400" w:lineRule="exact"/>
              <w:ind w:firstLine="21" w:firstLineChars="10"/>
              <w:rPr>
                <w:rFonts w:hint="eastAsia" w:ascii="宋体" w:hAnsi="宋体"/>
                <w:color w:val="auto"/>
                <w:szCs w:val="21"/>
                <w:highlight w:val="none"/>
              </w:rPr>
            </w:pPr>
            <w:r>
              <w:rPr>
                <w:rFonts w:hint="eastAsia" w:ascii="宋体" w:hAnsi="宋体"/>
                <w:color w:val="auto"/>
                <w:szCs w:val="21"/>
                <w:highlight w:val="none"/>
              </w:rPr>
              <w:t>资格评审标准</w:t>
            </w:r>
          </w:p>
        </w:tc>
        <w:tc>
          <w:tcPr>
            <w:tcW w:w="7800" w:type="dxa"/>
            <w:noWrap w:val="0"/>
            <w:vAlign w:val="top"/>
          </w:tcPr>
          <w:p w14:paraId="715F9DF7">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（1）</w:t>
            </w:r>
            <w:r>
              <w:rPr>
                <w:rFonts w:hint="eastAsia" w:ascii="宋体" w:hAnsi="宋体" w:eastAsia="宋体" w:cs="Times New Roman"/>
                <w:color w:val="auto"/>
                <w:szCs w:val="21"/>
                <w:highlight w:val="none"/>
              </w:rPr>
              <w:t>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56B8E84F">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color w:val="auto"/>
                <w:szCs w:val="21"/>
                <w:highlight w:val="none"/>
              </w:rPr>
              <w:t>投标人的资质等级符合招标文件规定；</w:t>
            </w:r>
          </w:p>
          <w:p w14:paraId="57ECF06E">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（3）</w:t>
            </w:r>
            <w:r>
              <w:rPr>
                <w:rFonts w:hint="eastAsia" w:ascii="宋体" w:hAnsi="宋体" w:eastAsia="宋体" w:cs="Times New Roman"/>
                <w:color w:val="auto"/>
                <w:szCs w:val="21"/>
                <w:highlight w:val="none"/>
              </w:rPr>
              <w:t>投标人的财务状况符合招标文件规定；</w:t>
            </w:r>
          </w:p>
          <w:p w14:paraId="759B7690">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color w:val="auto"/>
                <w:szCs w:val="21"/>
                <w:highlight w:val="none"/>
              </w:rPr>
              <w:t>投标人的类似项目业绩符合招标文件规定；</w:t>
            </w:r>
          </w:p>
          <w:p w14:paraId="33A5A9B0">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（5）</w:t>
            </w:r>
            <w:r>
              <w:rPr>
                <w:rFonts w:hint="eastAsia" w:ascii="宋体" w:hAnsi="宋体" w:eastAsia="宋体" w:cs="Times New Roman"/>
                <w:color w:val="auto"/>
                <w:szCs w:val="21"/>
                <w:highlight w:val="none"/>
              </w:rPr>
              <w:t>投标人的信誉符合招标文件规定；</w:t>
            </w:r>
          </w:p>
          <w:p w14:paraId="27C53A94">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（6）</w:t>
            </w:r>
            <w:r>
              <w:rPr>
                <w:rFonts w:hint="eastAsia" w:ascii="宋体" w:hAnsi="宋体" w:eastAsia="宋体" w:cs="Times New Roman"/>
                <w:color w:val="auto"/>
                <w:szCs w:val="21"/>
                <w:highlight w:val="none"/>
              </w:rPr>
              <w:t>投标人的项目经理和项目总工资格、在岗情况符合招标文件规定，并按规定在投标文件中签字确认；</w:t>
            </w:r>
          </w:p>
          <w:p w14:paraId="6E6886E0">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（7）</w:t>
            </w:r>
            <w:r>
              <w:rPr>
                <w:rFonts w:hint="eastAsia" w:ascii="宋体" w:hAnsi="宋体" w:eastAsia="宋体" w:cs="Times New Roman"/>
                <w:color w:val="auto"/>
                <w:szCs w:val="21"/>
                <w:highlight w:val="none"/>
              </w:rPr>
              <w:t>投标人的其他要求符合招标文件规定；</w:t>
            </w:r>
          </w:p>
          <w:p w14:paraId="16E6EDEB">
            <w:pPr>
              <w:spacing w:line="38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（8）</w:t>
            </w:r>
            <w:r>
              <w:rPr>
                <w:rFonts w:hint="eastAsia" w:ascii="宋体" w:hAnsi="宋体" w:eastAsia="宋体" w:cs="Times New Roman"/>
                <w:color w:val="auto"/>
                <w:szCs w:val="21"/>
                <w:highlight w:val="none"/>
              </w:rPr>
              <w:t>投标人不存在第二章“投标人须知”第 1.4.3 项或第 1.4.4 项规定的任何一种情形；</w:t>
            </w:r>
          </w:p>
          <w:p w14:paraId="37937ECB">
            <w:pPr>
              <w:spacing w:line="380" w:lineRule="exact"/>
              <w:ind w:firstLine="422" w:firstLineChars="200"/>
              <w:rPr>
                <w:rFonts w:hint="eastAsia" w:ascii="宋体" w:hAnsi="宋体"/>
                <w:color w:val="auto"/>
                <w:szCs w:val="21"/>
                <w:highlight w:val="none"/>
              </w:rPr>
            </w:pPr>
            <w:r>
              <w:rPr>
                <w:rFonts w:hint="eastAsia" w:ascii="宋体" w:hAnsi="宋体" w:eastAsia="宋体" w:cs="Times New Roman"/>
                <w:b/>
                <w:bCs/>
                <w:color w:val="auto"/>
                <w:szCs w:val="21"/>
                <w:highlight w:val="none"/>
                <w:lang w:val="en-US" w:eastAsia="zh-CN"/>
              </w:rPr>
              <w:t>（9）</w:t>
            </w:r>
            <w:r>
              <w:rPr>
                <w:rFonts w:hint="eastAsia" w:ascii="宋体" w:hAnsi="宋体" w:eastAsia="宋体" w:cs="Times New Roman"/>
                <w:color w:val="auto"/>
                <w:szCs w:val="21"/>
                <w:highlight w:val="none"/>
              </w:rPr>
              <w:t>投标人符合第二章“投标人须知”第 1.4.5 项规定；</w:t>
            </w:r>
          </w:p>
        </w:tc>
      </w:tr>
    </w:tbl>
    <w:p w14:paraId="3DE9A3B1">
      <w:pPr>
        <w:spacing w:line="400" w:lineRule="exact"/>
        <w:ind w:right="420"/>
        <w:jc w:val="right"/>
        <w:rPr>
          <w:rFonts w:ascii="宋体" w:hAnsi="宋体"/>
          <w:color w:val="auto"/>
          <w:sz w:val="11"/>
          <w:szCs w:val="11"/>
          <w:highlight w:val="none"/>
        </w:rPr>
      </w:pPr>
    </w:p>
    <w:tbl>
      <w:tblPr>
        <w:tblStyle w:val="5"/>
        <w:tblW w:w="937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2"/>
        <w:gridCol w:w="114"/>
        <w:gridCol w:w="98"/>
        <w:gridCol w:w="355"/>
        <w:gridCol w:w="708"/>
        <w:gridCol w:w="398"/>
        <w:gridCol w:w="595"/>
        <w:gridCol w:w="567"/>
        <w:gridCol w:w="5553"/>
      </w:tblGrid>
      <w:tr w14:paraId="2A3E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102" w:type="dxa"/>
            <w:gridSpan w:val="3"/>
            <w:noWrap w:val="0"/>
            <w:vAlign w:val="top"/>
          </w:tcPr>
          <w:p w14:paraId="21033248">
            <w:pPr>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559" w:type="dxa"/>
            <w:gridSpan w:val="4"/>
            <w:noWrap w:val="0"/>
            <w:vAlign w:val="top"/>
          </w:tcPr>
          <w:p w14:paraId="5F365C59">
            <w:pPr>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6715" w:type="dxa"/>
            <w:gridSpan w:val="3"/>
            <w:noWrap w:val="0"/>
            <w:vAlign w:val="top"/>
          </w:tcPr>
          <w:p w14:paraId="7AA869BC">
            <w:pPr>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473A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102" w:type="dxa"/>
            <w:gridSpan w:val="3"/>
            <w:noWrap w:val="0"/>
            <w:vAlign w:val="center"/>
          </w:tcPr>
          <w:p w14:paraId="0112304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559" w:type="dxa"/>
            <w:gridSpan w:val="4"/>
            <w:noWrap w:val="0"/>
            <w:vAlign w:val="center"/>
          </w:tcPr>
          <w:p w14:paraId="60639BA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第一个信封评分分值构成</w:t>
            </w:r>
          </w:p>
          <w:p w14:paraId="0D182AE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6715" w:type="dxa"/>
            <w:gridSpan w:val="3"/>
            <w:noWrap w:val="0"/>
            <w:vAlign w:val="top"/>
          </w:tcPr>
          <w:p w14:paraId="50F4F6D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施工组织设计（A）：</w:t>
            </w:r>
            <w:r>
              <w:rPr>
                <w:rFonts w:hint="eastAsia" w:ascii="宋体" w:hAnsi="宋体" w:eastAsia="宋体" w:cs="宋体"/>
                <w:b/>
                <w:color w:val="auto"/>
                <w:sz w:val="21"/>
                <w:szCs w:val="21"/>
                <w:highlight w:val="none"/>
                <w:u w:val="single"/>
              </w:rPr>
              <w:t xml:space="preserve"> 40 </w:t>
            </w:r>
            <w:r>
              <w:rPr>
                <w:rFonts w:hint="eastAsia" w:ascii="宋体" w:hAnsi="宋体" w:eastAsia="宋体" w:cs="宋体"/>
                <w:b/>
                <w:color w:val="auto"/>
                <w:sz w:val="21"/>
                <w:szCs w:val="21"/>
                <w:highlight w:val="none"/>
              </w:rPr>
              <w:t>分</w:t>
            </w:r>
          </w:p>
          <w:p w14:paraId="0BD63D8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主要人员（B）：</w:t>
            </w:r>
            <w:r>
              <w:rPr>
                <w:rFonts w:hint="eastAsia" w:ascii="宋体" w:hAnsi="宋体" w:eastAsia="宋体" w:cs="宋体"/>
                <w:b/>
                <w:color w:val="auto"/>
                <w:sz w:val="21"/>
                <w:szCs w:val="21"/>
                <w:highlight w:val="none"/>
                <w:u w:val="single"/>
              </w:rPr>
              <w:t xml:space="preserve"> 30 </w:t>
            </w:r>
            <w:r>
              <w:rPr>
                <w:rFonts w:hint="eastAsia" w:ascii="宋体" w:hAnsi="宋体" w:eastAsia="宋体" w:cs="宋体"/>
                <w:b/>
                <w:color w:val="auto"/>
                <w:sz w:val="21"/>
                <w:szCs w:val="21"/>
                <w:highlight w:val="none"/>
              </w:rPr>
              <w:t>分</w:t>
            </w:r>
          </w:p>
          <w:p w14:paraId="12F3659A">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其他因素（C）</w:t>
            </w:r>
          </w:p>
          <w:p w14:paraId="1FE67F9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技术能力：</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分</w:t>
            </w:r>
          </w:p>
          <w:p w14:paraId="360E577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履约信誉：</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分</w:t>
            </w:r>
          </w:p>
        </w:tc>
      </w:tr>
      <w:tr w14:paraId="3DD7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02" w:type="dxa"/>
            <w:gridSpan w:val="3"/>
            <w:noWrap w:val="0"/>
            <w:vAlign w:val="center"/>
          </w:tcPr>
          <w:p w14:paraId="144F03C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559" w:type="dxa"/>
            <w:gridSpan w:val="4"/>
            <w:noWrap w:val="0"/>
            <w:vAlign w:val="center"/>
          </w:tcPr>
          <w:p w14:paraId="68F97F8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第二个信封详细评审标准</w:t>
            </w:r>
          </w:p>
        </w:tc>
        <w:tc>
          <w:tcPr>
            <w:tcW w:w="6715" w:type="dxa"/>
            <w:gridSpan w:val="3"/>
            <w:noWrap w:val="0"/>
            <w:vAlign w:val="top"/>
          </w:tcPr>
          <w:p w14:paraId="32E70CFB">
            <w:pPr>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评标价的评审：</w:t>
            </w:r>
          </w:p>
          <w:p w14:paraId="6AFCE230">
            <w:pP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（1）</w:t>
            </w:r>
            <w:r>
              <w:rPr>
                <w:rFonts w:hint="eastAsia" w:ascii="宋体" w:hAnsi="宋体" w:eastAsia="宋体" w:cs="宋体"/>
                <w:color w:val="auto"/>
                <w:sz w:val="21"/>
                <w:szCs w:val="21"/>
                <w:highlight w:val="none"/>
              </w:rPr>
              <w:t>评标价计算公式：</w:t>
            </w:r>
          </w:p>
          <w:p w14:paraId="5A72F69C">
            <w:pPr>
              <w:spacing w:line="360" w:lineRule="atLeas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评标价=修正后的投标总报价一暂估价一暂列金额（不含计日工总额）</w:t>
            </w:r>
          </w:p>
          <w:p w14:paraId="7B1E85E6">
            <w:pPr>
              <w:spacing w:line="360" w:lineRule="atLeast"/>
              <w:ind w:firstLine="441" w:firstLineChars="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若投标人的评标价小于最高投标限价85％的，启动澄清程序，要求投标人作出</w:t>
            </w:r>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14:paraId="15BC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02" w:type="dxa"/>
            <w:gridSpan w:val="3"/>
            <w:noWrap w:val="0"/>
            <w:vAlign w:val="center"/>
          </w:tcPr>
          <w:p w14:paraId="1C00F36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559" w:type="dxa"/>
            <w:gridSpan w:val="4"/>
            <w:noWrap w:val="0"/>
            <w:vAlign w:val="center"/>
          </w:tcPr>
          <w:p w14:paraId="076D02C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通过第一个信封详细评审的投标人数量</w:t>
            </w:r>
          </w:p>
        </w:tc>
        <w:tc>
          <w:tcPr>
            <w:tcW w:w="6715" w:type="dxa"/>
            <w:gridSpan w:val="3"/>
            <w:noWrap w:val="0"/>
            <w:vAlign w:val="center"/>
          </w:tcPr>
          <w:p w14:paraId="3D47BFEA">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按照投标人的商务和技术得分由高到低排序，选择</w:t>
            </w:r>
            <w:r>
              <w:rPr>
                <w:rFonts w:hint="eastAsia" w:ascii="宋体" w:hAnsi="宋体" w:eastAsia="宋体" w:cs="宋体"/>
                <w:b/>
                <w:bCs w:val="0"/>
                <w:color w:val="auto"/>
                <w:sz w:val="21"/>
                <w:szCs w:val="21"/>
                <w:highlight w:val="none"/>
                <w:u w:val="single"/>
              </w:rPr>
              <w:t>前 5 名（不少于3名但不足5名时，按全部实际数量）</w:t>
            </w:r>
            <w:r>
              <w:rPr>
                <w:rFonts w:hint="eastAsia" w:ascii="宋体" w:hAnsi="宋体" w:eastAsia="宋体" w:cs="宋体"/>
                <w:bCs/>
                <w:color w:val="auto"/>
                <w:sz w:val="21"/>
                <w:szCs w:val="21"/>
                <w:highlight w:val="none"/>
              </w:rPr>
              <w:t>通过详细评审。</w:t>
            </w:r>
          </w:p>
        </w:tc>
      </w:tr>
      <w:tr w14:paraId="3659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823" w:type="dxa"/>
            <w:gridSpan w:val="9"/>
            <w:noWrap w:val="0"/>
            <w:vAlign w:val="center"/>
          </w:tcPr>
          <w:p w14:paraId="2093C98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评分因素与权重分值</w:t>
            </w:r>
          </w:p>
        </w:tc>
        <w:tc>
          <w:tcPr>
            <w:tcW w:w="5553" w:type="dxa"/>
            <w:noWrap w:val="0"/>
            <w:vAlign w:val="center"/>
          </w:tcPr>
          <w:p w14:paraId="06B666E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0C84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46" w:type="dxa"/>
            <w:noWrap w:val="0"/>
            <w:vAlign w:val="center"/>
          </w:tcPr>
          <w:p w14:paraId="1D5152B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709" w:type="dxa"/>
            <w:gridSpan w:val="4"/>
            <w:noWrap w:val="0"/>
            <w:vAlign w:val="center"/>
          </w:tcPr>
          <w:p w14:paraId="0C94DD0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708" w:type="dxa"/>
            <w:noWrap w:val="0"/>
            <w:vAlign w:val="center"/>
          </w:tcPr>
          <w:p w14:paraId="37A6F597">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评分因素权重</w:t>
            </w:r>
          </w:p>
        </w:tc>
        <w:tc>
          <w:tcPr>
            <w:tcW w:w="993" w:type="dxa"/>
            <w:gridSpan w:val="2"/>
            <w:noWrap w:val="0"/>
            <w:vAlign w:val="center"/>
          </w:tcPr>
          <w:p w14:paraId="1508E81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各评分因素细分项</w:t>
            </w:r>
          </w:p>
        </w:tc>
        <w:tc>
          <w:tcPr>
            <w:tcW w:w="567" w:type="dxa"/>
            <w:noWrap w:val="0"/>
            <w:vAlign w:val="center"/>
          </w:tcPr>
          <w:p w14:paraId="432D194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5553" w:type="dxa"/>
            <w:noWrap w:val="0"/>
            <w:vAlign w:val="center"/>
          </w:tcPr>
          <w:p w14:paraId="5A843841">
            <w:pPr>
              <w:spacing w:line="400" w:lineRule="exact"/>
              <w:jc w:val="center"/>
              <w:rPr>
                <w:rFonts w:hint="eastAsia" w:ascii="宋体" w:hAnsi="宋体" w:eastAsia="宋体" w:cs="宋体"/>
                <w:color w:val="auto"/>
                <w:sz w:val="21"/>
                <w:szCs w:val="21"/>
                <w:highlight w:val="none"/>
              </w:rPr>
            </w:pPr>
          </w:p>
        </w:tc>
      </w:tr>
      <w:tr w14:paraId="6592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46" w:type="dxa"/>
            <w:vMerge w:val="restart"/>
            <w:noWrap w:val="0"/>
            <w:vAlign w:val="center"/>
          </w:tcPr>
          <w:p w14:paraId="254EB40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p w14:paraId="7676D7A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09" w:type="dxa"/>
            <w:gridSpan w:val="4"/>
            <w:vMerge w:val="restart"/>
            <w:noWrap w:val="0"/>
            <w:vAlign w:val="center"/>
          </w:tcPr>
          <w:p w14:paraId="26A5F95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p>
        </w:tc>
        <w:tc>
          <w:tcPr>
            <w:tcW w:w="708" w:type="dxa"/>
            <w:vMerge w:val="restart"/>
            <w:noWrap w:val="0"/>
            <w:vAlign w:val="center"/>
          </w:tcPr>
          <w:p w14:paraId="2CEE0322">
            <w:pPr>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40</w:t>
            </w:r>
            <w:r>
              <w:rPr>
                <w:rFonts w:hint="eastAsia" w:ascii="宋体" w:hAnsi="宋体" w:eastAsia="宋体" w:cs="宋体"/>
                <w:b/>
                <w:color w:val="auto"/>
                <w:sz w:val="21"/>
                <w:szCs w:val="21"/>
                <w:highlight w:val="none"/>
              </w:rPr>
              <w:t>分</w:t>
            </w:r>
          </w:p>
        </w:tc>
        <w:tc>
          <w:tcPr>
            <w:tcW w:w="993" w:type="dxa"/>
            <w:gridSpan w:val="2"/>
            <w:noWrap w:val="0"/>
            <w:vAlign w:val="center"/>
          </w:tcPr>
          <w:p w14:paraId="53931EE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总体施工组织布置及规划</w:t>
            </w:r>
          </w:p>
        </w:tc>
        <w:tc>
          <w:tcPr>
            <w:tcW w:w="567" w:type="dxa"/>
            <w:noWrap w:val="0"/>
            <w:vAlign w:val="center"/>
          </w:tcPr>
          <w:p w14:paraId="5E0832EE">
            <w:pPr>
              <w:spacing w:line="400" w:lineRule="exact"/>
              <w:jc w:val="center"/>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15分</w:t>
            </w:r>
          </w:p>
        </w:tc>
        <w:tc>
          <w:tcPr>
            <w:tcW w:w="5553" w:type="dxa"/>
            <w:noWrap w:val="0"/>
            <w:vAlign w:val="center"/>
          </w:tcPr>
          <w:p w14:paraId="7F38C3F3">
            <w:pPr>
              <w:spacing w:line="40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（1）对项目的基本情况了解全面、准确，施工总体布置规划、施工进度计划科学合理、可操作性强，按《广东省公路工程施工标准化指南》及《公路工程施工安全防护设施</w:t>
            </w:r>
          </w:p>
          <w:p w14:paraId="5CE012D8">
            <w:pPr>
              <w:spacing w:line="40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技术指南》执行，得12-15分（满分分值的 80%～100%）；</w:t>
            </w:r>
          </w:p>
          <w:p w14:paraId="241E66A8">
            <w:pPr>
              <w:spacing w:line="40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（2）满足工程建设需要，施工总体布置规划、施工进度计划基本可行，得9-12分（满分分值的 60%～80%）；</w:t>
            </w:r>
          </w:p>
          <w:p w14:paraId="6769867F">
            <w:pPr>
              <w:spacing w:line="40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（3）一般但不被评定为不响应的,得9分（满分分值的60%）。</w:t>
            </w:r>
          </w:p>
        </w:tc>
      </w:tr>
      <w:tr w14:paraId="7029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46" w:type="dxa"/>
            <w:vMerge w:val="continue"/>
            <w:noWrap w:val="0"/>
            <w:vAlign w:val="center"/>
          </w:tcPr>
          <w:p w14:paraId="1C712C24">
            <w:pPr>
              <w:spacing w:line="400" w:lineRule="exact"/>
              <w:jc w:val="center"/>
              <w:rPr>
                <w:rFonts w:hint="eastAsia" w:ascii="宋体" w:hAnsi="宋体" w:eastAsia="宋体" w:cs="宋体"/>
                <w:color w:val="auto"/>
                <w:sz w:val="21"/>
                <w:szCs w:val="21"/>
                <w:highlight w:val="none"/>
              </w:rPr>
            </w:pPr>
          </w:p>
        </w:tc>
        <w:tc>
          <w:tcPr>
            <w:tcW w:w="709" w:type="dxa"/>
            <w:gridSpan w:val="4"/>
            <w:vMerge w:val="continue"/>
            <w:noWrap w:val="0"/>
            <w:vAlign w:val="center"/>
          </w:tcPr>
          <w:p w14:paraId="2911CCA3">
            <w:pPr>
              <w:spacing w:line="400" w:lineRule="exact"/>
              <w:jc w:val="center"/>
              <w:rPr>
                <w:rFonts w:hint="eastAsia" w:ascii="宋体" w:hAnsi="宋体" w:eastAsia="宋体" w:cs="宋体"/>
                <w:color w:val="auto"/>
                <w:sz w:val="21"/>
                <w:szCs w:val="21"/>
                <w:highlight w:val="none"/>
              </w:rPr>
            </w:pPr>
          </w:p>
        </w:tc>
        <w:tc>
          <w:tcPr>
            <w:tcW w:w="708" w:type="dxa"/>
            <w:vMerge w:val="continue"/>
            <w:noWrap w:val="0"/>
            <w:vAlign w:val="center"/>
          </w:tcPr>
          <w:p w14:paraId="016D785D">
            <w:pPr>
              <w:spacing w:line="400" w:lineRule="exact"/>
              <w:jc w:val="center"/>
              <w:rPr>
                <w:rFonts w:hint="eastAsia" w:ascii="宋体" w:hAnsi="宋体" w:eastAsia="宋体" w:cs="宋体"/>
                <w:color w:val="auto"/>
                <w:sz w:val="21"/>
                <w:szCs w:val="21"/>
                <w:highlight w:val="none"/>
                <w:u w:val="single"/>
              </w:rPr>
            </w:pPr>
          </w:p>
        </w:tc>
        <w:tc>
          <w:tcPr>
            <w:tcW w:w="993" w:type="dxa"/>
            <w:gridSpan w:val="2"/>
            <w:noWrap w:val="0"/>
            <w:vAlign w:val="center"/>
          </w:tcPr>
          <w:p w14:paraId="337E23A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重点、难点和关键工程的施工方案与技术措施</w:t>
            </w:r>
          </w:p>
        </w:tc>
        <w:tc>
          <w:tcPr>
            <w:tcW w:w="567" w:type="dxa"/>
            <w:noWrap w:val="0"/>
            <w:vAlign w:val="center"/>
          </w:tcPr>
          <w:p w14:paraId="7E860005">
            <w:pPr>
              <w:spacing w:line="400" w:lineRule="exact"/>
              <w:jc w:val="center"/>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u w:val="single"/>
              </w:rPr>
              <w:t>分</w:t>
            </w:r>
          </w:p>
        </w:tc>
        <w:tc>
          <w:tcPr>
            <w:tcW w:w="5553" w:type="dxa"/>
            <w:noWrap w:val="0"/>
            <w:vAlign w:val="center"/>
          </w:tcPr>
          <w:p w14:paraId="593ACEE6">
            <w:pPr>
              <w:spacing w:line="40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对项目重点、难点和关键工程认识分析透彻，能充分发挥自身优势，积极采用“四新”技术，制定的施工方案与技术措施针对性和可操作性强，重点突出的，按《广东省公路工程施工标准化指南》及《公路工程施工安全防护设施技术指南》执行，得12-15分（满分分值的80%~100%）；</w:t>
            </w:r>
          </w:p>
          <w:p w14:paraId="2C10A9E9">
            <w:pPr>
              <w:spacing w:line="40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（2）对项目重点、难点和关键工程认识基本到位，施工方案与技术措施基本可行，重点较为突出的，得9-12分（满分分值的60%～80%）；</w:t>
            </w:r>
          </w:p>
          <w:p w14:paraId="3FD4B598">
            <w:pPr>
              <w:spacing w:line="40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（3）一般但不被评定为不响应的,得9分（满分分值的60%）。</w:t>
            </w:r>
          </w:p>
        </w:tc>
      </w:tr>
      <w:tr w14:paraId="33DB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46" w:type="dxa"/>
            <w:vMerge w:val="continue"/>
            <w:noWrap w:val="0"/>
            <w:vAlign w:val="center"/>
          </w:tcPr>
          <w:p w14:paraId="3A8DD884">
            <w:pPr>
              <w:spacing w:line="400" w:lineRule="exact"/>
              <w:jc w:val="center"/>
              <w:rPr>
                <w:rFonts w:hint="eastAsia" w:ascii="宋体" w:hAnsi="宋体" w:eastAsia="宋体" w:cs="宋体"/>
                <w:color w:val="auto"/>
                <w:sz w:val="21"/>
                <w:szCs w:val="21"/>
                <w:highlight w:val="none"/>
              </w:rPr>
            </w:pPr>
          </w:p>
        </w:tc>
        <w:tc>
          <w:tcPr>
            <w:tcW w:w="709" w:type="dxa"/>
            <w:gridSpan w:val="4"/>
            <w:vMerge w:val="continue"/>
            <w:noWrap w:val="0"/>
            <w:vAlign w:val="center"/>
          </w:tcPr>
          <w:p w14:paraId="00B71A66">
            <w:pPr>
              <w:spacing w:line="400" w:lineRule="exact"/>
              <w:jc w:val="center"/>
              <w:rPr>
                <w:rFonts w:hint="eastAsia" w:ascii="宋体" w:hAnsi="宋体" w:eastAsia="宋体" w:cs="宋体"/>
                <w:color w:val="auto"/>
                <w:sz w:val="21"/>
                <w:szCs w:val="21"/>
                <w:highlight w:val="none"/>
              </w:rPr>
            </w:pPr>
          </w:p>
        </w:tc>
        <w:tc>
          <w:tcPr>
            <w:tcW w:w="708" w:type="dxa"/>
            <w:vMerge w:val="continue"/>
            <w:noWrap w:val="0"/>
            <w:vAlign w:val="center"/>
          </w:tcPr>
          <w:p w14:paraId="065C3D8A">
            <w:pPr>
              <w:spacing w:line="400" w:lineRule="exact"/>
              <w:jc w:val="center"/>
              <w:rPr>
                <w:rFonts w:hint="eastAsia" w:ascii="宋体" w:hAnsi="宋体" w:eastAsia="宋体" w:cs="宋体"/>
                <w:color w:val="auto"/>
                <w:sz w:val="21"/>
                <w:szCs w:val="21"/>
                <w:highlight w:val="none"/>
                <w:u w:val="single"/>
              </w:rPr>
            </w:pPr>
          </w:p>
        </w:tc>
        <w:tc>
          <w:tcPr>
            <w:tcW w:w="993" w:type="dxa"/>
            <w:gridSpan w:val="2"/>
            <w:noWrap w:val="0"/>
            <w:vAlign w:val="center"/>
          </w:tcPr>
          <w:p w14:paraId="1534D2A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工期、质量、安全、环保水保、文明施工保证措施</w:t>
            </w:r>
          </w:p>
        </w:tc>
        <w:tc>
          <w:tcPr>
            <w:tcW w:w="567" w:type="dxa"/>
            <w:noWrap w:val="0"/>
            <w:vAlign w:val="center"/>
          </w:tcPr>
          <w:p w14:paraId="09D55556">
            <w:pPr>
              <w:spacing w:line="400" w:lineRule="exact"/>
              <w:jc w:val="center"/>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10</w:t>
            </w:r>
            <w:r>
              <w:rPr>
                <w:rFonts w:hint="eastAsia" w:ascii="宋体" w:hAnsi="宋体" w:eastAsia="宋体" w:cs="宋体"/>
                <w:b/>
                <w:bCs/>
                <w:color w:val="auto"/>
                <w:sz w:val="21"/>
                <w:szCs w:val="21"/>
                <w:highlight w:val="none"/>
                <w:u w:val="single"/>
              </w:rPr>
              <w:t>分</w:t>
            </w:r>
          </w:p>
        </w:tc>
        <w:tc>
          <w:tcPr>
            <w:tcW w:w="5553" w:type="dxa"/>
            <w:noWrap w:val="0"/>
            <w:vAlign w:val="center"/>
          </w:tcPr>
          <w:p w14:paraId="110B365D">
            <w:pPr>
              <w:spacing w:line="40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（1）能够准确预判分析工期、质量、安全、环保、水保、文明施工目标实现的主要影响因素，拟采取预防保证措施针对性强、科学有效，重点突出的，按《广东省公路工程</w:t>
            </w:r>
          </w:p>
          <w:p w14:paraId="77B666A6">
            <w:pPr>
              <w:spacing w:line="40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施工标准化指南》及《公路工程施工安全防护设施技术指南》执行，得8-10分（满分分值的80%～100%）；</w:t>
            </w:r>
          </w:p>
          <w:p w14:paraId="68002A0A">
            <w:pPr>
              <w:spacing w:line="40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（2）对工期、质量、安全、环保、水保等风险有一定认识，预防保证措施基本可行，重点较为突出的，得6-8分（满分分值的60%～80%）；</w:t>
            </w:r>
          </w:p>
          <w:p w14:paraId="5D1D0512">
            <w:pPr>
              <w:spacing w:line="40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（3）一般但不被评定为不响应的,得6分（满分分值的60%）。</w:t>
            </w:r>
          </w:p>
        </w:tc>
      </w:tr>
      <w:tr w14:paraId="422D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46" w:type="dxa"/>
            <w:vMerge w:val="restart"/>
            <w:noWrap w:val="0"/>
            <w:vAlign w:val="center"/>
          </w:tcPr>
          <w:p w14:paraId="5E8AE03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p w14:paraId="55A9F0C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09" w:type="dxa"/>
            <w:gridSpan w:val="4"/>
            <w:vMerge w:val="restart"/>
            <w:noWrap w:val="0"/>
            <w:vAlign w:val="center"/>
          </w:tcPr>
          <w:p w14:paraId="76039C7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w:t>
            </w:r>
          </w:p>
        </w:tc>
        <w:tc>
          <w:tcPr>
            <w:tcW w:w="708" w:type="dxa"/>
            <w:vMerge w:val="restart"/>
            <w:noWrap w:val="0"/>
            <w:vAlign w:val="center"/>
          </w:tcPr>
          <w:p w14:paraId="36CBC86A">
            <w:pPr>
              <w:spacing w:line="400" w:lineRule="exact"/>
              <w:jc w:val="center"/>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30分</w:t>
            </w:r>
          </w:p>
        </w:tc>
        <w:tc>
          <w:tcPr>
            <w:tcW w:w="993" w:type="dxa"/>
            <w:gridSpan w:val="2"/>
            <w:noWrap w:val="0"/>
            <w:vAlign w:val="center"/>
          </w:tcPr>
          <w:p w14:paraId="7172237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项目经理任职资格与业绩</w:t>
            </w:r>
          </w:p>
        </w:tc>
        <w:tc>
          <w:tcPr>
            <w:tcW w:w="567" w:type="dxa"/>
            <w:noWrap w:val="0"/>
            <w:vAlign w:val="center"/>
          </w:tcPr>
          <w:p w14:paraId="73B0FF9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15分</w:t>
            </w:r>
          </w:p>
        </w:tc>
        <w:tc>
          <w:tcPr>
            <w:tcW w:w="5553" w:type="dxa"/>
            <w:noWrap w:val="0"/>
            <w:vAlign w:val="center"/>
          </w:tcPr>
          <w:p w14:paraId="15AF13EF">
            <w:pPr>
              <w:numPr>
                <w:ilvl w:val="0"/>
                <w:numId w:val="1"/>
              </w:numPr>
              <w:spacing w:line="400" w:lineRule="exact"/>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项目经理在满足资格审查条件的最低要求时，得 9 分；</w:t>
            </w:r>
          </w:p>
          <w:p w14:paraId="0381A05F">
            <w:pPr>
              <w:numPr>
                <w:ilvl w:val="0"/>
                <w:numId w:val="1"/>
              </w:numPr>
              <w:spacing w:line="40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sz w:val="21"/>
                <w:szCs w:val="21"/>
              </w:rPr>
              <w:t>项目经理具有高级工程师（或以上）职称的加 6 分。</w:t>
            </w:r>
          </w:p>
        </w:tc>
      </w:tr>
      <w:tr w14:paraId="33D4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46" w:type="dxa"/>
            <w:vMerge w:val="continue"/>
            <w:noWrap w:val="0"/>
            <w:vAlign w:val="center"/>
          </w:tcPr>
          <w:p w14:paraId="36F3C8FF">
            <w:pPr>
              <w:spacing w:line="400" w:lineRule="exact"/>
              <w:jc w:val="center"/>
              <w:rPr>
                <w:rFonts w:hint="eastAsia" w:ascii="宋体" w:hAnsi="宋体" w:eastAsia="宋体" w:cs="宋体"/>
                <w:color w:val="auto"/>
                <w:sz w:val="21"/>
                <w:szCs w:val="21"/>
                <w:highlight w:val="none"/>
              </w:rPr>
            </w:pPr>
          </w:p>
        </w:tc>
        <w:tc>
          <w:tcPr>
            <w:tcW w:w="709" w:type="dxa"/>
            <w:gridSpan w:val="4"/>
            <w:vMerge w:val="continue"/>
            <w:noWrap w:val="0"/>
            <w:vAlign w:val="center"/>
          </w:tcPr>
          <w:p w14:paraId="24CF70FC">
            <w:pPr>
              <w:spacing w:line="400" w:lineRule="exact"/>
              <w:jc w:val="center"/>
              <w:rPr>
                <w:rFonts w:hint="eastAsia" w:ascii="宋体" w:hAnsi="宋体" w:eastAsia="宋体" w:cs="宋体"/>
                <w:color w:val="auto"/>
                <w:sz w:val="21"/>
                <w:szCs w:val="21"/>
                <w:highlight w:val="none"/>
              </w:rPr>
            </w:pPr>
          </w:p>
        </w:tc>
        <w:tc>
          <w:tcPr>
            <w:tcW w:w="708" w:type="dxa"/>
            <w:vMerge w:val="continue"/>
            <w:noWrap w:val="0"/>
            <w:vAlign w:val="center"/>
          </w:tcPr>
          <w:p w14:paraId="13035F31">
            <w:pPr>
              <w:spacing w:line="400" w:lineRule="exact"/>
              <w:jc w:val="center"/>
              <w:rPr>
                <w:rFonts w:hint="eastAsia" w:ascii="宋体" w:hAnsi="宋体" w:eastAsia="宋体" w:cs="宋体"/>
                <w:b/>
                <w:color w:val="auto"/>
                <w:sz w:val="21"/>
                <w:szCs w:val="21"/>
                <w:highlight w:val="none"/>
                <w:u w:val="single"/>
              </w:rPr>
            </w:pPr>
          </w:p>
        </w:tc>
        <w:tc>
          <w:tcPr>
            <w:tcW w:w="993" w:type="dxa"/>
            <w:gridSpan w:val="2"/>
            <w:noWrap w:val="0"/>
            <w:vAlign w:val="center"/>
          </w:tcPr>
          <w:p w14:paraId="72E4925E">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项目总工任职资格与业绩</w:t>
            </w:r>
          </w:p>
        </w:tc>
        <w:tc>
          <w:tcPr>
            <w:tcW w:w="567" w:type="dxa"/>
            <w:noWrap w:val="0"/>
            <w:vAlign w:val="center"/>
          </w:tcPr>
          <w:p w14:paraId="210A82BD">
            <w:pPr>
              <w:spacing w:line="400" w:lineRule="exact"/>
              <w:jc w:val="center"/>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15分</w:t>
            </w:r>
          </w:p>
        </w:tc>
        <w:tc>
          <w:tcPr>
            <w:tcW w:w="5553" w:type="dxa"/>
            <w:noWrap w:val="0"/>
            <w:vAlign w:val="center"/>
          </w:tcPr>
          <w:p w14:paraId="2FB2A9AD">
            <w:pPr>
              <w:numPr>
                <w:ilvl w:val="0"/>
                <w:numId w:val="2"/>
              </w:numPr>
              <w:spacing w:line="400" w:lineRule="exact"/>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项目总工在满足资格审查条件的最低要求时，得 9 分；</w:t>
            </w:r>
          </w:p>
          <w:p w14:paraId="075FDC8A">
            <w:pPr>
              <w:numPr>
                <w:ilvl w:val="0"/>
                <w:numId w:val="2"/>
              </w:numPr>
              <w:spacing w:line="40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sz w:val="21"/>
                <w:szCs w:val="21"/>
              </w:rPr>
              <w:t xml:space="preserve">每担任 1 个类似工程项目总工岗位工作经验的，加 3 分，最多加 3 分。 </w:t>
            </w:r>
          </w:p>
          <w:p w14:paraId="5F813FA3">
            <w:pPr>
              <w:numPr>
                <w:ilvl w:val="0"/>
                <w:numId w:val="2"/>
              </w:numPr>
              <w:spacing w:line="40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sz w:val="21"/>
                <w:szCs w:val="21"/>
              </w:rPr>
              <w:t>项目总工具有高级工程师（或以上）职称的加 3 分。</w:t>
            </w:r>
          </w:p>
        </w:tc>
      </w:tr>
      <w:tr w14:paraId="6F15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46" w:type="dxa"/>
            <w:vMerge w:val="restart"/>
            <w:noWrap w:val="0"/>
            <w:vAlign w:val="center"/>
          </w:tcPr>
          <w:p w14:paraId="2A9B928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p w14:paraId="37EFF07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54" w:type="dxa"/>
            <w:gridSpan w:val="3"/>
            <w:vMerge w:val="restart"/>
            <w:noWrap w:val="0"/>
            <w:vAlign w:val="center"/>
          </w:tcPr>
          <w:p w14:paraId="64DDAC7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w:t>
            </w:r>
          </w:p>
        </w:tc>
        <w:tc>
          <w:tcPr>
            <w:tcW w:w="355" w:type="dxa"/>
            <w:noWrap w:val="0"/>
            <w:vAlign w:val="center"/>
          </w:tcPr>
          <w:p w14:paraId="3597F2B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技术能力</w:t>
            </w:r>
          </w:p>
        </w:tc>
        <w:tc>
          <w:tcPr>
            <w:tcW w:w="708" w:type="dxa"/>
            <w:noWrap w:val="0"/>
            <w:vAlign w:val="center"/>
          </w:tcPr>
          <w:p w14:paraId="72A3BAB3">
            <w:pPr>
              <w:spacing w:line="400" w:lineRule="exact"/>
              <w:jc w:val="center"/>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lang w:val="en-US" w:eastAsia="zh-CN"/>
              </w:rPr>
              <w:t>15</w:t>
            </w:r>
            <w:r>
              <w:rPr>
                <w:rFonts w:hint="eastAsia" w:ascii="宋体" w:hAnsi="宋体" w:eastAsia="宋体" w:cs="宋体"/>
                <w:b/>
                <w:color w:val="auto"/>
                <w:sz w:val="21"/>
                <w:szCs w:val="21"/>
                <w:highlight w:val="none"/>
                <w:u w:val="single"/>
              </w:rPr>
              <w:t>分</w:t>
            </w:r>
          </w:p>
        </w:tc>
        <w:tc>
          <w:tcPr>
            <w:tcW w:w="7113" w:type="dxa"/>
            <w:gridSpan w:val="4"/>
            <w:noWrap w:val="0"/>
            <w:vAlign w:val="center"/>
          </w:tcPr>
          <w:p w14:paraId="413D8262">
            <w:pPr>
              <w:spacing w:line="400" w:lineRule="exact"/>
              <w:jc w:val="both"/>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（1）</w:t>
            </w:r>
            <w:r>
              <w:rPr>
                <w:rFonts w:hint="eastAsia" w:ascii="宋体" w:hAnsi="宋体" w:eastAsia="宋体" w:cs="宋体"/>
                <w:b w:val="0"/>
                <w:bCs/>
                <w:color w:val="auto"/>
                <w:sz w:val="21"/>
                <w:szCs w:val="21"/>
                <w:highlight w:val="none"/>
              </w:rPr>
              <w:t>投标人获得与项目施工有关</w:t>
            </w:r>
            <w:r>
              <w:rPr>
                <w:rFonts w:hint="eastAsia" w:ascii="宋体" w:hAnsi="宋体" w:eastAsia="宋体" w:cs="宋体"/>
                <w:b w:val="0"/>
                <w:bCs/>
                <w:color w:val="auto"/>
                <w:sz w:val="21"/>
                <w:szCs w:val="21"/>
                <w:highlight w:val="none"/>
                <w:lang w:val="en-US" w:eastAsia="zh-CN"/>
              </w:rPr>
              <w:t>（指与项目标类相对应）</w:t>
            </w:r>
            <w:r>
              <w:rPr>
                <w:rFonts w:hint="eastAsia" w:ascii="宋体" w:hAnsi="宋体" w:eastAsia="宋体" w:cs="宋体"/>
                <w:b w:val="0"/>
                <w:bCs/>
                <w:color w:val="auto"/>
                <w:sz w:val="21"/>
                <w:szCs w:val="21"/>
                <w:highlight w:val="none"/>
              </w:rPr>
              <w:t>的国家级工法、专利（发明专利或实用新型专利）、</w:t>
            </w:r>
            <w:r>
              <w:rPr>
                <w:rFonts w:hint="eastAsia" w:ascii="宋体" w:hAnsi="宋体" w:eastAsia="宋体" w:cs="宋体"/>
                <w:b w:val="0"/>
                <w:bCs/>
                <w:color w:val="auto"/>
                <w:sz w:val="21"/>
                <w:szCs w:val="21"/>
                <w:highlight w:val="none"/>
                <w:lang w:val="en-US" w:eastAsia="zh-CN"/>
              </w:rPr>
              <w:t>国家级科学技术进步奖、鲁班奖、詹天佑奖、主编或参编过国家标准，</w:t>
            </w:r>
            <w:r>
              <w:rPr>
                <w:rFonts w:hint="eastAsia" w:ascii="宋体" w:hAnsi="宋体" w:eastAsia="宋体" w:cs="宋体"/>
                <w:b w:val="0"/>
                <w:bCs/>
                <w:color w:val="auto"/>
                <w:sz w:val="21"/>
                <w:szCs w:val="21"/>
                <w:highlight w:val="none"/>
              </w:rPr>
              <w:t>每项加</w:t>
            </w:r>
            <w:r>
              <w:rPr>
                <w:rFonts w:hint="eastAsia" w:ascii="宋体" w:hAnsi="宋体" w:eastAsia="宋体" w:cs="宋体"/>
                <w:b/>
                <w:bCs w:val="0"/>
                <w:color w:val="auto"/>
                <w:sz w:val="21"/>
                <w:szCs w:val="21"/>
                <w:highlight w:val="none"/>
                <w:u w:val="single"/>
                <w:lang w:val="en-US" w:eastAsia="zh-CN"/>
              </w:rPr>
              <w:t>2</w:t>
            </w:r>
            <w:r>
              <w:rPr>
                <w:rFonts w:hint="eastAsia" w:ascii="宋体" w:hAnsi="宋体" w:eastAsia="宋体" w:cs="宋体"/>
                <w:b/>
                <w:bCs w:val="0"/>
                <w:color w:val="auto"/>
                <w:sz w:val="21"/>
                <w:szCs w:val="21"/>
                <w:highlight w:val="none"/>
                <w:u w:val="single"/>
              </w:rPr>
              <w:t>分</w:t>
            </w:r>
            <w:r>
              <w:rPr>
                <w:rFonts w:hint="eastAsia" w:ascii="宋体" w:hAnsi="宋体" w:eastAsia="宋体" w:cs="宋体"/>
                <w:b w:val="0"/>
                <w:bCs/>
                <w:color w:val="auto"/>
                <w:sz w:val="21"/>
                <w:szCs w:val="21"/>
                <w:highlight w:val="none"/>
              </w:rPr>
              <w:t xml:space="preserve">； </w:t>
            </w:r>
          </w:p>
          <w:p w14:paraId="521B4C53">
            <w:pPr>
              <w:spacing w:line="400" w:lineRule="exact"/>
              <w:jc w:val="both"/>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（2）</w:t>
            </w:r>
            <w:r>
              <w:rPr>
                <w:rFonts w:hint="eastAsia" w:ascii="宋体" w:hAnsi="宋体" w:eastAsia="宋体" w:cs="宋体"/>
                <w:b w:val="0"/>
                <w:bCs/>
                <w:color w:val="auto"/>
                <w:sz w:val="21"/>
                <w:szCs w:val="21"/>
                <w:highlight w:val="none"/>
                <w:lang w:val="en-US" w:eastAsia="zh-CN"/>
              </w:rPr>
              <w:t>投标人获得与项目施工有关（指与项目标类相对应）省级科学技术进步奖，主编或参编过的行业或地方（指省级）标准，</w:t>
            </w:r>
            <w:r>
              <w:rPr>
                <w:rFonts w:hint="eastAsia" w:ascii="宋体" w:hAnsi="宋体" w:eastAsia="宋体" w:cs="宋体"/>
                <w:b w:val="0"/>
                <w:bCs/>
                <w:color w:val="auto"/>
                <w:sz w:val="21"/>
                <w:szCs w:val="21"/>
                <w:highlight w:val="none"/>
              </w:rPr>
              <w:t>每项加</w:t>
            </w:r>
            <w:r>
              <w:rPr>
                <w:rFonts w:hint="eastAsia" w:ascii="宋体" w:hAnsi="宋体" w:eastAsia="宋体" w:cs="宋体"/>
                <w:b/>
                <w:bCs w:val="0"/>
                <w:color w:val="auto"/>
                <w:sz w:val="21"/>
                <w:szCs w:val="21"/>
                <w:highlight w:val="none"/>
                <w:u w:val="single"/>
                <w:lang w:val="en-US" w:eastAsia="zh-CN"/>
              </w:rPr>
              <w:t>1</w:t>
            </w:r>
            <w:r>
              <w:rPr>
                <w:rFonts w:hint="eastAsia" w:ascii="宋体" w:hAnsi="宋体" w:eastAsia="宋体" w:cs="宋体"/>
                <w:b/>
                <w:bCs w:val="0"/>
                <w:color w:val="auto"/>
                <w:sz w:val="21"/>
                <w:szCs w:val="21"/>
                <w:highlight w:val="none"/>
                <w:u w:val="single"/>
              </w:rPr>
              <w:t>分</w:t>
            </w:r>
            <w:r>
              <w:rPr>
                <w:rFonts w:hint="eastAsia" w:ascii="宋体" w:hAnsi="宋体" w:eastAsia="宋体" w:cs="宋体"/>
                <w:b w:val="0"/>
                <w:bCs/>
                <w:color w:val="auto"/>
                <w:sz w:val="21"/>
                <w:szCs w:val="21"/>
                <w:highlight w:val="none"/>
              </w:rPr>
              <w:t xml:space="preserve">； </w:t>
            </w:r>
          </w:p>
          <w:p w14:paraId="6E5DCAF6">
            <w:pPr>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本项累计加分最高</w:t>
            </w:r>
            <w:r>
              <w:rPr>
                <w:rFonts w:hint="eastAsia" w:ascii="宋体" w:hAnsi="宋体" w:eastAsia="宋体" w:cs="宋体"/>
                <w:b/>
                <w:bCs w:val="0"/>
                <w:color w:val="auto"/>
                <w:sz w:val="21"/>
                <w:szCs w:val="21"/>
                <w:highlight w:val="none"/>
                <w:u w:val="single"/>
              </w:rPr>
              <w:t>1</w:t>
            </w:r>
            <w:r>
              <w:rPr>
                <w:rFonts w:hint="eastAsia" w:ascii="宋体" w:hAnsi="宋体" w:eastAsia="宋体" w:cs="宋体"/>
                <w:b/>
                <w:bCs w:val="0"/>
                <w:color w:val="auto"/>
                <w:sz w:val="21"/>
                <w:szCs w:val="21"/>
                <w:highlight w:val="none"/>
                <w:u w:val="single"/>
                <w:lang w:val="en-US" w:eastAsia="zh-CN"/>
              </w:rPr>
              <w:t>5</w:t>
            </w:r>
            <w:r>
              <w:rPr>
                <w:rFonts w:hint="eastAsia" w:ascii="宋体" w:hAnsi="宋体" w:eastAsia="宋体" w:cs="宋体"/>
                <w:b/>
                <w:bCs w:val="0"/>
                <w:color w:val="auto"/>
                <w:sz w:val="21"/>
                <w:szCs w:val="21"/>
                <w:highlight w:val="none"/>
                <w:u w:val="single"/>
              </w:rPr>
              <w:t>分</w:t>
            </w:r>
            <w:r>
              <w:rPr>
                <w:rFonts w:hint="eastAsia" w:ascii="宋体" w:hAnsi="宋体" w:eastAsia="宋体" w:cs="宋体"/>
                <w:b w:val="0"/>
                <w:bCs/>
                <w:color w:val="auto"/>
                <w:sz w:val="21"/>
                <w:szCs w:val="21"/>
                <w:highlight w:val="none"/>
              </w:rPr>
              <w:t>，同一事项按较高分只计一次。</w:t>
            </w:r>
          </w:p>
        </w:tc>
      </w:tr>
      <w:tr w14:paraId="76EA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46" w:type="dxa"/>
            <w:vMerge w:val="continue"/>
            <w:noWrap w:val="0"/>
            <w:vAlign w:val="center"/>
          </w:tcPr>
          <w:p w14:paraId="069954EA">
            <w:pPr>
              <w:spacing w:line="400" w:lineRule="exact"/>
              <w:jc w:val="center"/>
              <w:rPr>
                <w:rFonts w:hint="eastAsia" w:ascii="宋体" w:hAnsi="宋体" w:eastAsia="宋体" w:cs="宋体"/>
                <w:color w:val="auto"/>
                <w:sz w:val="21"/>
                <w:szCs w:val="21"/>
                <w:highlight w:val="none"/>
              </w:rPr>
            </w:pPr>
          </w:p>
        </w:tc>
        <w:tc>
          <w:tcPr>
            <w:tcW w:w="354" w:type="dxa"/>
            <w:gridSpan w:val="3"/>
            <w:vMerge w:val="continue"/>
            <w:noWrap w:val="0"/>
            <w:vAlign w:val="center"/>
          </w:tcPr>
          <w:p w14:paraId="5590F83A">
            <w:pPr>
              <w:spacing w:line="400" w:lineRule="exact"/>
              <w:jc w:val="center"/>
              <w:rPr>
                <w:rFonts w:hint="eastAsia" w:ascii="宋体" w:hAnsi="宋体" w:eastAsia="宋体" w:cs="宋体"/>
                <w:color w:val="auto"/>
                <w:sz w:val="21"/>
                <w:szCs w:val="21"/>
                <w:highlight w:val="none"/>
              </w:rPr>
            </w:pPr>
          </w:p>
        </w:tc>
        <w:tc>
          <w:tcPr>
            <w:tcW w:w="355" w:type="dxa"/>
            <w:noWrap w:val="0"/>
            <w:vAlign w:val="center"/>
          </w:tcPr>
          <w:p w14:paraId="62023AA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履约信誉</w:t>
            </w:r>
          </w:p>
        </w:tc>
        <w:tc>
          <w:tcPr>
            <w:tcW w:w="708" w:type="dxa"/>
            <w:noWrap w:val="0"/>
            <w:vAlign w:val="center"/>
          </w:tcPr>
          <w:p w14:paraId="00BB59A1">
            <w:pPr>
              <w:spacing w:line="400" w:lineRule="exact"/>
              <w:jc w:val="center"/>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lang w:val="en-US" w:eastAsia="zh-CN"/>
              </w:rPr>
              <w:t>15</w:t>
            </w:r>
            <w:r>
              <w:rPr>
                <w:rFonts w:hint="eastAsia" w:ascii="宋体" w:hAnsi="宋体" w:eastAsia="宋体" w:cs="宋体"/>
                <w:b/>
                <w:color w:val="auto"/>
                <w:sz w:val="21"/>
                <w:szCs w:val="21"/>
                <w:highlight w:val="none"/>
                <w:u w:val="single"/>
              </w:rPr>
              <w:t>分</w:t>
            </w:r>
          </w:p>
        </w:tc>
        <w:tc>
          <w:tcPr>
            <w:tcW w:w="7113" w:type="dxa"/>
            <w:gridSpan w:val="4"/>
            <w:noWrap w:val="0"/>
            <w:vAlign w:val="center"/>
          </w:tcPr>
          <w:p w14:paraId="68F0D106">
            <w:pPr>
              <w:spacing w:line="400" w:lineRule="exact"/>
              <w:ind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1、信用等级分值（1</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p w14:paraId="6ED974DF">
            <w:pPr>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AA、A、B、C级单位的信用等级分得分分别为</w:t>
            </w:r>
            <w:r>
              <w:rPr>
                <w:rFonts w:hint="eastAsia" w:ascii="宋体" w:hAnsi="宋体" w:eastAsia="宋体" w:cs="宋体"/>
                <w:b/>
                <w:bCs/>
                <w:color w:val="auto"/>
                <w:sz w:val="21"/>
                <w:szCs w:val="21"/>
                <w:highlight w:val="none"/>
                <w:u w:val="single"/>
              </w:rPr>
              <w:t>10、9.5、8.9、7.3分</w:t>
            </w:r>
            <w:r>
              <w:rPr>
                <w:rFonts w:hint="eastAsia" w:ascii="宋体" w:hAnsi="宋体" w:eastAsia="宋体" w:cs="宋体"/>
                <w:color w:val="auto"/>
                <w:sz w:val="21"/>
                <w:szCs w:val="21"/>
                <w:highlight w:val="none"/>
              </w:rPr>
              <w:t xml:space="preserve">。 </w:t>
            </w:r>
          </w:p>
          <w:p w14:paraId="1AC39D53">
            <w:pPr>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注：信用等级的确定原则遵循投标人须知前附表10.2款的规定。</w:t>
            </w:r>
          </w:p>
          <w:p w14:paraId="74DB426D">
            <w:pPr>
              <w:spacing w:line="400" w:lineRule="exact"/>
              <w:ind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2、履约情况（</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p w14:paraId="1D083E98">
            <w:pPr>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若没出现下述情形得满分；</w:t>
            </w:r>
          </w:p>
          <w:p w14:paraId="5A67516E">
            <w:pPr>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投标文件递交截止日前1年内，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 xml:space="preserve">因公路工程（含附属设施）质量、安全、履约或招标投标问题等原因被： </w:t>
            </w:r>
          </w:p>
          <w:p w14:paraId="3D1AF0FF">
            <w:pPr>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val="0"/>
                <w:bCs w:val="0"/>
                <w:color w:val="auto"/>
                <w:sz w:val="21"/>
                <w:szCs w:val="21"/>
                <w:highlight w:val="none"/>
                <w:lang w:val="en-US" w:eastAsia="zh-CN"/>
              </w:rPr>
              <w:t>交通运输部行政处罚的，</w:t>
            </w:r>
            <w:r>
              <w:rPr>
                <w:rFonts w:hint="eastAsia" w:ascii="宋体" w:hAnsi="宋体" w:eastAsia="宋体" w:cs="宋体"/>
                <w:color w:val="auto"/>
                <w:sz w:val="21"/>
                <w:szCs w:val="21"/>
                <w:highlight w:val="none"/>
              </w:rPr>
              <w:t>扣</w:t>
            </w:r>
            <w:r>
              <w:rPr>
                <w:rFonts w:hint="eastAsia" w:ascii="宋体" w:hAnsi="宋体" w:eastAsia="宋体" w:cs="宋体"/>
                <w:b/>
                <w:bCs/>
                <w:color w:val="auto"/>
                <w:sz w:val="21"/>
                <w:szCs w:val="21"/>
                <w:highlight w:val="none"/>
                <w:u w:val="single"/>
              </w:rPr>
              <w:t>5分/次</w:t>
            </w:r>
            <w:r>
              <w:rPr>
                <w:rFonts w:hint="eastAsia" w:ascii="宋体" w:hAnsi="宋体" w:eastAsia="宋体" w:cs="宋体"/>
                <w:color w:val="auto"/>
                <w:sz w:val="21"/>
                <w:szCs w:val="21"/>
                <w:highlight w:val="none"/>
              </w:rPr>
              <w:t xml:space="preserve">； </w:t>
            </w:r>
          </w:p>
          <w:p w14:paraId="052E703C">
            <w:pPr>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val="0"/>
                <w:bCs w:val="0"/>
                <w:color w:val="auto"/>
                <w:sz w:val="21"/>
                <w:szCs w:val="21"/>
                <w:highlight w:val="none"/>
                <w:lang w:val="en-US" w:eastAsia="zh-CN"/>
              </w:rPr>
              <w:t>广东省交通运输厅行政处罚的，</w:t>
            </w:r>
            <w:r>
              <w:rPr>
                <w:rFonts w:hint="eastAsia" w:ascii="宋体" w:hAnsi="宋体" w:eastAsia="宋体" w:cs="宋体"/>
                <w:color w:val="auto"/>
                <w:sz w:val="21"/>
                <w:szCs w:val="21"/>
                <w:highlight w:val="none"/>
              </w:rPr>
              <w:t>扣</w:t>
            </w: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rPr>
              <w:t>分/次</w:t>
            </w:r>
            <w:r>
              <w:rPr>
                <w:rFonts w:hint="eastAsia" w:ascii="宋体" w:hAnsi="宋体" w:eastAsia="宋体" w:cs="宋体"/>
                <w:color w:val="auto"/>
                <w:sz w:val="21"/>
                <w:szCs w:val="21"/>
                <w:highlight w:val="none"/>
              </w:rPr>
              <w:t xml:space="preserve">； </w:t>
            </w:r>
          </w:p>
          <w:p w14:paraId="78E933DD">
            <w:pPr>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lang w:val="en-US" w:eastAsia="zh-CN"/>
              </w:rPr>
              <w:t>招标项目所在地地级以上市交通运输局行政处罚的，</w:t>
            </w:r>
            <w:r>
              <w:rPr>
                <w:rFonts w:hint="eastAsia" w:ascii="宋体" w:hAnsi="宋体" w:eastAsia="宋体" w:cs="宋体"/>
                <w:color w:val="auto"/>
                <w:sz w:val="21"/>
                <w:szCs w:val="21"/>
                <w:highlight w:val="none"/>
              </w:rPr>
              <w:t>扣</w:t>
            </w:r>
            <w:r>
              <w:rPr>
                <w:rFonts w:hint="eastAsia" w:ascii="宋体" w:hAnsi="宋体" w:eastAsia="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u w:val="single"/>
              </w:rPr>
              <w:t>分/次</w:t>
            </w:r>
            <w:r>
              <w:rPr>
                <w:rFonts w:hint="eastAsia" w:ascii="宋体" w:hAnsi="宋体" w:eastAsia="宋体" w:cs="宋体"/>
                <w:color w:val="auto"/>
                <w:sz w:val="21"/>
                <w:szCs w:val="21"/>
                <w:highlight w:val="none"/>
              </w:rPr>
              <w:t>；</w:t>
            </w:r>
          </w:p>
          <w:p w14:paraId="53C8C46D">
            <w:pPr>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广东省交通运输厅正式约谈的，</w:t>
            </w:r>
            <w:r>
              <w:rPr>
                <w:rFonts w:hint="eastAsia" w:ascii="宋体" w:hAnsi="宋体" w:eastAsia="宋体" w:cs="宋体"/>
                <w:color w:val="auto"/>
                <w:sz w:val="21"/>
                <w:szCs w:val="21"/>
                <w:highlight w:val="none"/>
              </w:rPr>
              <w:t>扣</w:t>
            </w:r>
            <w:r>
              <w:rPr>
                <w:rFonts w:hint="eastAsia" w:ascii="宋体" w:hAnsi="宋体" w:eastAsia="宋体" w:cs="宋体"/>
                <w:b/>
                <w:bCs/>
                <w:color w:val="auto"/>
                <w:sz w:val="21"/>
                <w:szCs w:val="21"/>
                <w:highlight w:val="none"/>
                <w:u w:val="single"/>
                <w:lang w:val="en-US" w:eastAsia="zh-CN"/>
              </w:rPr>
              <w:t>0.1</w:t>
            </w:r>
            <w:r>
              <w:rPr>
                <w:rFonts w:hint="eastAsia" w:ascii="宋体" w:hAnsi="宋体" w:eastAsia="宋体" w:cs="宋体"/>
                <w:b/>
                <w:bCs/>
                <w:color w:val="auto"/>
                <w:sz w:val="21"/>
                <w:szCs w:val="21"/>
                <w:highlight w:val="none"/>
                <w:u w:val="single"/>
              </w:rPr>
              <w:t>分/次</w:t>
            </w:r>
            <w:r>
              <w:rPr>
                <w:rFonts w:hint="eastAsia" w:ascii="宋体" w:hAnsi="宋体" w:eastAsia="宋体" w:cs="宋体"/>
                <w:color w:val="auto"/>
                <w:sz w:val="21"/>
                <w:szCs w:val="21"/>
                <w:highlight w:val="none"/>
              </w:rPr>
              <w:t>。</w:t>
            </w:r>
          </w:p>
          <w:p w14:paraId="59233C21">
            <w:pPr>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事项同时被多个部门行政处罚或正式约谈只按最高的扣分计算1次。如果扣完本项分值，可以从总分中扣。以联合体形式投标的，若各联合体成员任何一方或均存在上述情形的，对联合体各成员进行累计扣分。</w:t>
            </w:r>
          </w:p>
          <w:p w14:paraId="6D5D684F">
            <w:pPr>
              <w:spacing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tc>
      </w:tr>
      <w:tr w14:paraId="48B6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376" w:type="dxa"/>
            <w:gridSpan w:val="10"/>
            <w:noWrap w:val="0"/>
            <w:vAlign w:val="center"/>
          </w:tcPr>
          <w:p w14:paraId="0B4FD877">
            <w:pPr>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需要补充的其他内容：</w:t>
            </w:r>
          </w:p>
        </w:tc>
      </w:tr>
      <w:tr w14:paraId="48DA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88" w:type="dxa"/>
            <w:gridSpan w:val="2"/>
            <w:noWrap w:val="0"/>
            <w:vAlign w:val="center"/>
          </w:tcPr>
          <w:p w14:paraId="1B7981A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8388" w:type="dxa"/>
            <w:gridSpan w:val="8"/>
            <w:noWrap w:val="0"/>
            <w:vAlign w:val="center"/>
          </w:tcPr>
          <w:p w14:paraId="2F72524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补充或修改的内容</w:t>
            </w:r>
          </w:p>
        </w:tc>
      </w:tr>
      <w:tr w14:paraId="0DB7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88" w:type="dxa"/>
            <w:gridSpan w:val="2"/>
            <w:noWrap w:val="0"/>
            <w:vAlign w:val="center"/>
          </w:tcPr>
          <w:p w14:paraId="6C5CD55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388" w:type="dxa"/>
            <w:gridSpan w:val="8"/>
            <w:noWrap w:val="0"/>
            <w:vAlign w:val="center"/>
          </w:tcPr>
          <w:p w14:paraId="365237F4">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将评标办法原文第 1 条“评标方法”改为“评标方法、组织及工作程序”，原文内容修改如下：</w:t>
            </w:r>
          </w:p>
          <w:p w14:paraId="18543C64">
            <w:pPr>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1.评标方法、组织及工作程序</w:t>
            </w:r>
          </w:p>
          <w:p w14:paraId="2C383A23">
            <w:pPr>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 评标方法</w:t>
            </w:r>
          </w:p>
          <w:p w14:paraId="05A7A16E">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w:t>
            </w:r>
            <w:r>
              <w:rPr>
                <w:rFonts w:hint="eastAsia" w:ascii="宋体" w:hAnsi="宋体" w:eastAsia="宋体" w:cs="宋体"/>
                <w:b/>
                <w:bCs/>
                <w:color w:val="auto"/>
                <w:sz w:val="21"/>
                <w:szCs w:val="21"/>
                <w:highlight w:val="none"/>
                <w:u w:val="single"/>
              </w:rPr>
              <w:t>双信封的技术评分最低标价法</w:t>
            </w:r>
            <w:r>
              <w:rPr>
                <w:rFonts w:hint="eastAsia" w:ascii="宋体" w:hAnsi="宋体" w:eastAsia="宋体" w:cs="宋体"/>
                <w:color w:val="auto"/>
                <w:sz w:val="21"/>
                <w:szCs w:val="21"/>
                <w:highlight w:val="none"/>
              </w:rPr>
              <w:t>。评标委员会对满足招标文件实质性要求的投标文件，按照本章第2.2款规定对通过初步评审的投标人的施工组织设计、主要人员、其他因素等进行评分，按照得分由高到低排序，对排名在招标文件规定数量前5名（不少于3名但不足5名时，按全部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14:paraId="422ACDA3">
            <w:pPr>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 评标组织</w:t>
            </w:r>
          </w:p>
          <w:p w14:paraId="2CFA622E">
            <w:pPr>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1.2.1 协助工作组</w:t>
            </w:r>
          </w:p>
          <w:p w14:paraId="34FE58A7">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招标人可在评标工作开始前成立协助工作组，选派熟悉招标工作、政治素质高的人员组成，协助评标委员会工作。协助工作组人员的具体数量由招标人视评标工作量确定。</w:t>
            </w:r>
          </w:p>
          <w:p w14:paraId="1BD3B9FA">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招标人可以协助评标委员会开展下列工作并提供相关信息：</w:t>
            </w:r>
          </w:p>
          <w:p w14:paraId="3C50EA87">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（1）根据招标文件，编制评标使用的相应表格；</w:t>
            </w:r>
          </w:p>
          <w:p w14:paraId="325E866D">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（2）对投标报价进行算术性校核（如采用固化工程量清单，本步骤省略）；</w:t>
            </w:r>
          </w:p>
          <w:p w14:paraId="17C5C268">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（3）以评标标准和方法为依据，列出投标文件相对于招标文件的所有偏差，并进行归类汇总；</w:t>
            </w:r>
          </w:p>
          <w:p w14:paraId="2FDA6846">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（4）查询</w:t>
            </w:r>
            <w:r>
              <w:rPr>
                <w:rFonts w:hint="eastAsia" w:ascii="宋体" w:hAnsi="宋体" w:eastAsia="宋体" w:cs="宋体"/>
                <w:color w:val="auto"/>
                <w:sz w:val="21"/>
                <w:szCs w:val="21"/>
                <w:highlight w:val="none"/>
                <w:lang w:eastAsia="zh-CN"/>
              </w:rPr>
              <w:t>公路建设市场监督管理系统</w:t>
            </w:r>
            <w:r>
              <w:rPr>
                <w:rFonts w:hint="eastAsia" w:ascii="宋体" w:hAnsi="宋体" w:eastAsia="宋体" w:cs="宋体"/>
                <w:color w:val="auto"/>
                <w:sz w:val="21"/>
                <w:szCs w:val="21"/>
                <w:highlight w:val="none"/>
              </w:rPr>
              <w:t>，对投标人的资质、业绩、主要人员资历和目前在岗情况、信用等级进行核实。</w:t>
            </w:r>
          </w:p>
          <w:p w14:paraId="027E8408">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招标人不得对投标文件作出任何评价，不得故意遗漏或者片面摘录，不得在评标委员会对所有偏差定性之前透露存有偏差的投标人名称。</w:t>
            </w:r>
          </w:p>
          <w:p w14:paraId="58EBA293">
            <w:pPr>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 评标委员会</w:t>
            </w:r>
          </w:p>
          <w:p w14:paraId="0B1AB950">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评标委员会由招标人按国家、广东省等的有关规定依法组建。评标委员会的主要工作内容包括：</w:t>
            </w:r>
          </w:p>
          <w:p w14:paraId="11A7E244">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（1）评标委员会开始评标工作之前，首先听取招标人、协助工作组关于工程情况和辅助工作的说明，并认真研读招标文件，获取评标所需的重要信息和数据；</w:t>
            </w:r>
          </w:p>
          <w:p w14:paraId="4776D25A">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（2）对协助工作组提供的评标工作用表和评标内容进行核查。</w:t>
            </w:r>
          </w:p>
          <w:p w14:paraId="139F3F11">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（3）按照以下 1.3 款程序进行各项评审工作。</w:t>
            </w:r>
          </w:p>
          <w:p w14:paraId="27EF6DC6">
            <w:pPr>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评审工作程序</w:t>
            </w:r>
          </w:p>
          <w:p w14:paraId="4825AEE9">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（一）第一个信封（商务及技术文件）：</w:t>
            </w:r>
          </w:p>
          <w:p w14:paraId="4D21BF29">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l、初步评审：包括形式评审与响应性评审、资格评审（适用于未进行资格预审）；</w:t>
            </w:r>
          </w:p>
          <w:p w14:paraId="55E3C38A">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详细评审（评审打分）：评标委员会首先对通过第一个信封初步评审的投标文件进行详细评审，对投标人的施工组织设计、主要人员、其他因素等分别评审打分，并按照综合得分由高到低排序，排名在招标文件规定数量前5名（不少于3名但不足5名的，按全部实际数量）的投标人，其投标文件第一个信封（商务及技术文件）通过详细评审。</w:t>
            </w:r>
          </w:p>
          <w:p w14:paraId="0F495CF5">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（二）第二个信封（报价文件）：</w:t>
            </w:r>
          </w:p>
          <w:p w14:paraId="56A6FAC7">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1、初步评审：（1）只有对投标文件第一个信封通过详细评审的投标人的报价文件才能继续参加第二个信封报价文件的形式评审与响应性评审。</w:t>
            </w:r>
          </w:p>
          <w:p w14:paraId="47AF8A3B">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（2）报价算术性修正（如采用固化工程量清单，本步骤省略）；</w:t>
            </w:r>
          </w:p>
          <w:p w14:paraId="6BC0D8D0">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2、详细评审：计算评标价。</w:t>
            </w:r>
          </w:p>
          <w:p w14:paraId="4EFF8844">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（三）投标文件相关信息的核查。</w:t>
            </w:r>
          </w:p>
          <w:p w14:paraId="242BDB99">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（四）投标文件的澄清和说明(如有)</w:t>
            </w:r>
            <w:r>
              <w:rPr>
                <w:rFonts w:hint="eastAsia" w:ascii="宋体" w:hAnsi="宋体" w:eastAsia="宋体" w:cs="宋体"/>
                <w:color w:val="auto"/>
                <w:sz w:val="21"/>
                <w:szCs w:val="21"/>
                <w:highlight w:val="none"/>
                <w:lang w:eastAsia="zh-CN"/>
              </w:rPr>
              <w:t>。</w:t>
            </w:r>
          </w:p>
          <w:p w14:paraId="70911DDD">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（五）按评标办法规定按照第二个信封的评标价由低到高的顺序推荐中标候选人，编写评标报告。</w:t>
            </w:r>
          </w:p>
        </w:tc>
      </w:tr>
      <w:tr w14:paraId="7F0E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88" w:type="dxa"/>
            <w:gridSpan w:val="2"/>
            <w:noWrap w:val="0"/>
            <w:vAlign w:val="center"/>
          </w:tcPr>
          <w:p w14:paraId="5A75AADF">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w:t>
            </w:r>
          </w:p>
        </w:tc>
        <w:tc>
          <w:tcPr>
            <w:tcW w:w="8388" w:type="dxa"/>
            <w:gridSpan w:val="8"/>
            <w:noWrap w:val="0"/>
            <w:vAlign w:val="center"/>
          </w:tcPr>
          <w:p w14:paraId="700BC0D2">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将评标办法原文第 3.2.2 项修改如下：</w:t>
            </w:r>
          </w:p>
          <w:p w14:paraId="6697EF77">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投标人的商务和技术得分分值计算保留小数点后三位，小数点后第四位“四舍五入”。</w:t>
            </w:r>
          </w:p>
        </w:tc>
      </w:tr>
      <w:tr w14:paraId="631E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88" w:type="dxa"/>
            <w:gridSpan w:val="2"/>
            <w:noWrap w:val="0"/>
            <w:vAlign w:val="center"/>
          </w:tcPr>
          <w:p w14:paraId="5D635242">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3.2.3</w:t>
            </w:r>
          </w:p>
        </w:tc>
        <w:tc>
          <w:tcPr>
            <w:tcW w:w="8388" w:type="dxa"/>
            <w:gridSpan w:val="8"/>
            <w:noWrap w:val="0"/>
            <w:vAlign w:val="center"/>
          </w:tcPr>
          <w:p w14:paraId="1944D19D">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将评标办法范本原文第3.2.3项细化如下： </w:t>
            </w:r>
          </w:p>
          <w:p w14:paraId="6359C422">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投标人的商务和技术得分=A+B+C。 </w:t>
            </w:r>
          </w:p>
          <w:p w14:paraId="5E46188F">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除履约信誉、技术能力得分外，投标文件各评分因素细分项得分均不应低于其权重分的60%，评分低于权重分值60%的，评标委员会成员应当在评标报告中作出说明。计算投标人技术得分时:对各评分因素细分项中取消一个最高、一个最低分后计算算术平均值的和为投标人的最终技术得分，平均值计算保留小数点后三位，小数点后第四位“四舍五入”。</w:t>
            </w:r>
          </w:p>
        </w:tc>
      </w:tr>
      <w:tr w14:paraId="0DB9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88" w:type="dxa"/>
            <w:gridSpan w:val="2"/>
            <w:noWrap w:val="0"/>
            <w:vAlign w:val="center"/>
          </w:tcPr>
          <w:p w14:paraId="425343F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8388" w:type="dxa"/>
            <w:gridSpan w:val="8"/>
            <w:noWrap w:val="0"/>
            <w:vAlign w:val="center"/>
          </w:tcPr>
          <w:p w14:paraId="5793D6C8">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3.6.2项（2）目末增加以下条款：</w:t>
            </w:r>
          </w:p>
          <w:p w14:paraId="2B083590">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g.当一家以上投标人评标价相同时，若各投标人工程量清单细目单价也相同，视为串标（一个标段仅一工作细目报价的除外）。</w:t>
            </w:r>
          </w:p>
          <w:p w14:paraId="1452E477">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h.广东省实施《中华人民共和国招标投标法》办法第十六条规定的情形。增加3.6.3项：</w:t>
            </w:r>
          </w:p>
          <w:p w14:paraId="3E761CCA">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3872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88" w:type="dxa"/>
            <w:gridSpan w:val="2"/>
            <w:noWrap w:val="0"/>
            <w:vAlign w:val="center"/>
          </w:tcPr>
          <w:p w14:paraId="6D60466E">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8388" w:type="dxa"/>
            <w:gridSpan w:val="8"/>
            <w:noWrap w:val="0"/>
            <w:vAlign w:val="center"/>
          </w:tcPr>
          <w:p w14:paraId="5E6013E7">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 3.9.3-3.9.7 项：</w:t>
            </w:r>
          </w:p>
          <w:p w14:paraId="53C46A8F">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3.9.3 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16BA41ED">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3.9.4 通过第一个信封商务及技术文件评审的投标人少于3个的，评标委员会应否决全部投标。</w:t>
            </w:r>
          </w:p>
          <w:p w14:paraId="1D3C5E7C">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3.9.5 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41F08467">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3.9.6 如果发生无法确定推荐中标候选人的其他意外情况，评标委员会可建议招标人重新招标。</w:t>
            </w:r>
          </w:p>
          <w:p w14:paraId="547EBC0B">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3.9.7 本招标文件规定的否决投标条款包含在以下条款：</w:t>
            </w:r>
          </w:p>
          <w:p w14:paraId="684150B4">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（1）招标公告投标人资格要求；</w:t>
            </w:r>
          </w:p>
          <w:p w14:paraId="7E904DEF">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 1.4.3 项、1.4.4 项、1.4.5 项、1.11.1 项、1.12.2 项、3.4.2 项、3.5.11 项、3.6.1 项；</w:t>
            </w:r>
          </w:p>
          <w:p w14:paraId="2BEFC41B">
            <w:pPr>
              <w:spacing w:line="400" w:lineRule="exact"/>
              <w:ind w:firstLine="457" w:firstLineChars="21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（3）本评标办法的否决条款。</w:t>
            </w:r>
          </w:p>
        </w:tc>
      </w:tr>
    </w:tbl>
    <w:p w14:paraId="7AF64337">
      <w:pPr>
        <w:spacing w:line="400" w:lineRule="exact"/>
        <w:ind w:right="1260"/>
        <w:rPr>
          <w:rFonts w:ascii="宋体" w:hAnsi="宋体"/>
          <w:color w:val="auto"/>
          <w:szCs w:val="21"/>
          <w:highlight w:val="none"/>
        </w:rPr>
      </w:pPr>
    </w:p>
    <w:p w14:paraId="1713E3F6">
      <w:pPr>
        <w:pStyle w:val="4"/>
        <w:spacing w:line="400" w:lineRule="exact"/>
        <w:outlineLvl w:val="1"/>
        <w:rPr>
          <w:rFonts w:ascii="宋体" w:hAnsi="宋体"/>
          <w:color w:val="auto"/>
          <w:sz w:val="21"/>
          <w:highlight w:val="none"/>
        </w:rPr>
      </w:pPr>
      <w:r>
        <w:rPr>
          <w:rFonts w:ascii="宋体" w:hAnsi="宋体"/>
          <w:color w:val="auto"/>
          <w:highlight w:val="none"/>
        </w:rPr>
        <w:br w:type="page"/>
      </w:r>
      <w:bookmarkStart w:id="2" w:name="_Toc513216149"/>
      <w:bookmarkStart w:id="3" w:name="_Toc22194"/>
      <w:r>
        <w:rPr>
          <w:rFonts w:ascii="宋体" w:hAnsi="宋体"/>
          <w:color w:val="auto"/>
          <w:sz w:val="21"/>
          <w:highlight w:val="none"/>
        </w:rPr>
        <w:t>1．评标方法</w:t>
      </w:r>
      <w:bookmarkEnd w:id="2"/>
      <w:bookmarkEnd w:id="3"/>
    </w:p>
    <w:p w14:paraId="6874540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本次评标采用双信封的技术评分最低标价法</w:t>
      </w:r>
      <w:r>
        <w:rPr>
          <w:rFonts w:ascii="宋体" w:hAnsi="宋体"/>
          <w:color w:val="auto"/>
          <w:szCs w:val="21"/>
          <w:highlight w:val="none"/>
        </w:rPr>
        <w:t>。</w:t>
      </w:r>
      <w:r>
        <w:rPr>
          <w:rFonts w:hint="eastAsia" w:ascii="宋体" w:hAnsi="宋体"/>
          <w:color w:val="auto"/>
          <w:szCs w:val="21"/>
          <w:highlight w:val="none"/>
        </w:rPr>
        <w:t>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r>
        <w:rPr>
          <w:rFonts w:ascii="宋体" w:hAnsi="宋体"/>
          <w:color w:val="auto"/>
          <w:szCs w:val="21"/>
          <w:highlight w:val="none"/>
        </w:rPr>
        <w:t>。</w:t>
      </w:r>
    </w:p>
    <w:p w14:paraId="4DF18477">
      <w:pPr>
        <w:pStyle w:val="4"/>
        <w:spacing w:line="400" w:lineRule="exact"/>
        <w:outlineLvl w:val="1"/>
        <w:rPr>
          <w:rFonts w:ascii="宋体" w:hAnsi="宋体"/>
          <w:color w:val="auto"/>
          <w:sz w:val="21"/>
          <w:highlight w:val="none"/>
        </w:rPr>
      </w:pPr>
      <w:bookmarkStart w:id="4" w:name="_Toc513216150"/>
      <w:bookmarkStart w:id="5" w:name="_Toc152042367"/>
      <w:bookmarkStart w:id="6" w:name="_Toc152045590"/>
      <w:bookmarkStart w:id="7" w:name="_Toc20912"/>
      <w:bookmarkStart w:id="8" w:name="_Toc144974557"/>
      <w:bookmarkStart w:id="9" w:name="_Toc179632608"/>
      <w:r>
        <w:rPr>
          <w:rFonts w:ascii="宋体" w:hAnsi="宋体"/>
          <w:color w:val="auto"/>
          <w:sz w:val="21"/>
          <w:highlight w:val="none"/>
        </w:rPr>
        <w:t>2.评审标准</w:t>
      </w:r>
      <w:bookmarkEnd w:id="4"/>
      <w:bookmarkEnd w:id="5"/>
      <w:bookmarkEnd w:id="6"/>
      <w:bookmarkEnd w:id="7"/>
      <w:bookmarkEnd w:id="8"/>
      <w:bookmarkEnd w:id="9"/>
    </w:p>
    <w:p w14:paraId="2E803E92">
      <w:pPr>
        <w:spacing w:line="400" w:lineRule="exact"/>
        <w:rPr>
          <w:rFonts w:ascii="宋体" w:hAnsi="宋体"/>
          <w:b/>
          <w:color w:val="auto"/>
          <w:szCs w:val="21"/>
          <w:highlight w:val="none"/>
        </w:rPr>
      </w:pPr>
      <w:bookmarkStart w:id="10" w:name="_Toc152042368"/>
      <w:bookmarkStart w:id="11" w:name="_Toc144974558"/>
      <w:bookmarkStart w:id="12" w:name="_Toc152045591"/>
      <w:bookmarkStart w:id="13" w:name="_Toc179632609"/>
      <w:r>
        <w:rPr>
          <w:rFonts w:ascii="宋体" w:hAnsi="宋体"/>
          <w:b/>
          <w:color w:val="auto"/>
          <w:szCs w:val="21"/>
          <w:highlight w:val="none"/>
        </w:rPr>
        <w:t>2.1初步评审标准</w:t>
      </w:r>
      <w:bookmarkEnd w:id="10"/>
      <w:bookmarkEnd w:id="11"/>
      <w:bookmarkEnd w:id="12"/>
      <w:bookmarkEnd w:id="13"/>
    </w:p>
    <w:p w14:paraId="3040ADA1">
      <w:pPr>
        <w:spacing w:line="400" w:lineRule="exact"/>
        <w:ind w:firstLine="420" w:firstLineChars="200"/>
        <w:rPr>
          <w:rFonts w:ascii="宋体" w:hAnsi="宋体"/>
          <w:color w:val="auto"/>
          <w:szCs w:val="21"/>
          <w:highlight w:val="none"/>
        </w:rPr>
      </w:pPr>
      <w:r>
        <w:rPr>
          <w:rFonts w:ascii="宋体" w:hAnsi="宋体"/>
          <w:color w:val="auto"/>
          <w:szCs w:val="21"/>
          <w:highlight w:val="none"/>
        </w:rPr>
        <w:t>2.1.1形式评审标准：见评标办法前附表</w:t>
      </w:r>
    </w:p>
    <w:p w14:paraId="4C448A1D">
      <w:pPr>
        <w:spacing w:line="400" w:lineRule="exact"/>
        <w:ind w:firstLine="420" w:firstLineChars="200"/>
        <w:rPr>
          <w:rFonts w:ascii="宋体" w:hAnsi="宋体"/>
          <w:color w:val="auto"/>
          <w:szCs w:val="21"/>
          <w:highlight w:val="none"/>
        </w:rPr>
      </w:pPr>
      <w:r>
        <w:rPr>
          <w:rFonts w:ascii="宋体" w:hAnsi="宋体"/>
          <w:color w:val="auto"/>
          <w:szCs w:val="21"/>
          <w:highlight w:val="none"/>
        </w:rPr>
        <w:t>2.1.2资格评审标准：</w:t>
      </w:r>
      <w:r>
        <w:rPr>
          <w:rFonts w:hint="eastAsia" w:ascii="宋体" w:hAnsi="宋体"/>
          <w:color w:val="auto"/>
          <w:szCs w:val="21"/>
          <w:highlight w:val="none"/>
        </w:rPr>
        <w:t>见评标办法前附表</w:t>
      </w:r>
    </w:p>
    <w:p w14:paraId="397E2A1E">
      <w:pPr>
        <w:spacing w:line="400" w:lineRule="exact"/>
        <w:ind w:firstLine="420" w:firstLineChars="200"/>
        <w:rPr>
          <w:rFonts w:ascii="宋体" w:hAnsi="宋体"/>
          <w:color w:val="auto"/>
          <w:szCs w:val="21"/>
          <w:highlight w:val="none"/>
        </w:rPr>
      </w:pPr>
      <w:r>
        <w:rPr>
          <w:rFonts w:ascii="宋体" w:hAnsi="宋体"/>
          <w:color w:val="auto"/>
          <w:szCs w:val="21"/>
          <w:highlight w:val="none"/>
        </w:rPr>
        <w:t>2.1.3响应性评审标准：见评标办法前附表</w:t>
      </w:r>
    </w:p>
    <w:p w14:paraId="7C2FDB1E">
      <w:pPr>
        <w:spacing w:line="400" w:lineRule="exact"/>
        <w:ind w:right="840"/>
        <w:rPr>
          <w:rFonts w:ascii="宋体" w:hAnsi="宋体"/>
          <w:b/>
          <w:color w:val="auto"/>
          <w:szCs w:val="21"/>
          <w:highlight w:val="none"/>
        </w:rPr>
      </w:pPr>
      <w:r>
        <w:rPr>
          <w:rFonts w:ascii="宋体" w:hAnsi="宋体"/>
          <w:b/>
          <w:color w:val="auto"/>
          <w:szCs w:val="21"/>
          <w:highlight w:val="none"/>
        </w:rPr>
        <w:t>2.2分值构成与评分标准</w:t>
      </w:r>
    </w:p>
    <w:p w14:paraId="14D8128B">
      <w:pPr>
        <w:spacing w:line="400" w:lineRule="exact"/>
        <w:ind w:right="840" w:firstLine="424" w:firstLineChars="201"/>
        <w:rPr>
          <w:rFonts w:hint="eastAsia" w:ascii="宋体" w:hAnsi="宋体"/>
          <w:b/>
          <w:bCs/>
          <w:color w:val="auto"/>
          <w:szCs w:val="21"/>
          <w:highlight w:val="none"/>
          <w:lang w:bidi="zh-CN"/>
        </w:rPr>
      </w:pPr>
      <w:r>
        <w:rPr>
          <w:rFonts w:hint="eastAsia" w:ascii="宋体" w:hAnsi="宋体"/>
          <w:b/>
          <w:bCs/>
          <w:color w:val="auto"/>
          <w:szCs w:val="21"/>
          <w:highlight w:val="none"/>
        </w:rPr>
        <w:t>2.2.1</w:t>
      </w:r>
      <w:r>
        <w:rPr>
          <w:rFonts w:hint="eastAsia" w:ascii="宋体" w:hAnsi="宋体"/>
          <w:b/>
          <w:bCs/>
          <w:color w:val="auto"/>
          <w:szCs w:val="21"/>
          <w:highlight w:val="none"/>
          <w:lang w:bidi="zh-CN"/>
        </w:rPr>
        <w:t>第一个信封评分分值构成</w:t>
      </w:r>
    </w:p>
    <w:p w14:paraId="318BC626">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（1）施工组织设计：见评标办法前附表；</w:t>
      </w:r>
    </w:p>
    <w:p w14:paraId="346EB8A4">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（2）主要人员：见评标办法前附表；</w:t>
      </w:r>
    </w:p>
    <w:p w14:paraId="02BE0CB9">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（3）其他评分因素：见评标办法前附表。</w:t>
      </w:r>
    </w:p>
    <w:p w14:paraId="4C8257B4">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评标基准价计算方法：见评标办法前附表</w:t>
      </w:r>
    </w:p>
    <w:p w14:paraId="6F3C253B">
      <w:pPr>
        <w:spacing w:line="400" w:lineRule="exact"/>
        <w:ind w:right="840" w:firstLine="424" w:firstLineChars="201"/>
        <w:rPr>
          <w:rFonts w:hint="eastAsia" w:ascii="宋体" w:hAnsi="宋体"/>
          <w:b/>
          <w:bCs/>
          <w:color w:val="auto"/>
          <w:szCs w:val="21"/>
          <w:highlight w:val="none"/>
          <w:lang w:bidi="zh-CN"/>
        </w:rPr>
      </w:pPr>
      <w:r>
        <w:rPr>
          <w:rFonts w:hint="eastAsia" w:ascii="宋体" w:hAnsi="宋体"/>
          <w:b/>
          <w:bCs/>
          <w:color w:val="auto"/>
          <w:szCs w:val="21"/>
          <w:highlight w:val="none"/>
        </w:rPr>
        <w:t>2.2.2</w:t>
      </w:r>
      <w:r>
        <w:rPr>
          <w:rFonts w:hint="eastAsia" w:ascii="宋体" w:hAnsi="宋体"/>
          <w:b/>
          <w:bCs/>
          <w:color w:val="auto"/>
          <w:szCs w:val="21"/>
          <w:highlight w:val="none"/>
          <w:lang w:bidi="zh-CN"/>
        </w:rPr>
        <w:t>第一个信封评分评分标准</w:t>
      </w:r>
    </w:p>
    <w:p w14:paraId="1449E4D8">
      <w:pPr>
        <w:spacing w:line="400" w:lineRule="exact"/>
        <w:ind w:right="840" w:firstLine="424" w:firstLineChars="202"/>
        <w:rPr>
          <w:rFonts w:ascii="宋体" w:hAnsi="宋体"/>
          <w:bCs/>
          <w:color w:val="auto"/>
          <w:szCs w:val="21"/>
          <w:highlight w:val="none"/>
          <w:lang w:bidi="zh-CN"/>
        </w:rPr>
      </w:pPr>
      <w:r>
        <w:rPr>
          <w:rFonts w:hint="eastAsia" w:ascii="宋体" w:hAnsi="宋体"/>
          <w:bCs/>
          <w:color w:val="auto"/>
          <w:szCs w:val="21"/>
          <w:highlight w:val="none"/>
          <w:lang w:bidi="zh-CN"/>
        </w:rPr>
        <w:t>（1）施工组织设计评分标准：见评标办法前附表；</w:t>
      </w:r>
    </w:p>
    <w:p w14:paraId="6B89132C">
      <w:pPr>
        <w:spacing w:line="400" w:lineRule="exact"/>
        <w:ind w:right="840" w:firstLine="422" w:firstLineChars="201"/>
        <w:rPr>
          <w:rFonts w:hint="eastAsia"/>
          <w:color w:val="auto"/>
          <w:szCs w:val="21"/>
          <w:highlight w:val="none"/>
        </w:rPr>
      </w:pPr>
      <w:r>
        <w:rPr>
          <w:rFonts w:hint="eastAsia" w:ascii="宋体" w:hAnsi="宋体"/>
          <w:bCs/>
          <w:color w:val="auto"/>
          <w:szCs w:val="21"/>
          <w:highlight w:val="none"/>
          <w:lang w:bidi="zh-CN"/>
        </w:rPr>
        <w:t>（2）</w:t>
      </w:r>
      <w:r>
        <w:rPr>
          <w:rFonts w:hint="eastAsia"/>
          <w:color w:val="auto"/>
          <w:szCs w:val="21"/>
          <w:highlight w:val="none"/>
        </w:rPr>
        <w:t>主要人员评分标准：见评标办法前附表；</w:t>
      </w:r>
    </w:p>
    <w:p w14:paraId="48C39665">
      <w:pPr>
        <w:spacing w:line="400" w:lineRule="exact"/>
        <w:ind w:right="840" w:firstLine="422" w:firstLineChars="201"/>
        <w:rPr>
          <w:rFonts w:hint="eastAsia" w:ascii="宋体" w:hAnsi="宋体"/>
          <w:bCs/>
          <w:color w:val="auto"/>
          <w:szCs w:val="21"/>
          <w:highlight w:val="none"/>
          <w:lang w:bidi="zh-CN"/>
        </w:rPr>
      </w:pPr>
      <w:r>
        <w:rPr>
          <w:rFonts w:hint="eastAsia"/>
          <w:color w:val="auto"/>
          <w:szCs w:val="21"/>
          <w:highlight w:val="none"/>
        </w:rPr>
        <w:t>（3）其他因素评分标准：见评标办法前附表。</w:t>
      </w:r>
    </w:p>
    <w:p w14:paraId="59C890B9">
      <w:pPr>
        <w:spacing w:line="400" w:lineRule="exact"/>
        <w:ind w:right="840" w:firstLine="420" w:firstLineChars="200"/>
        <w:rPr>
          <w:rFonts w:hint="eastAsia" w:ascii="宋体" w:hAnsi="宋体"/>
          <w:bCs/>
          <w:color w:val="auto"/>
          <w:szCs w:val="21"/>
          <w:highlight w:val="none"/>
        </w:rPr>
      </w:pPr>
      <w:r>
        <w:rPr>
          <w:rFonts w:hint="eastAsia" w:ascii="宋体" w:hAnsi="宋体"/>
          <w:bCs/>
          <w:color w:val="auto"/>
          <w:szCs w:val="21"/>
          <w:highlight w:val="none"/>
        </w:rPr>
        <w:t>2.2.3第二个信封详细评审标准：见评标办法前附表</w:t>
      </w:r>
    </w:p>
    <w:p w14:paraId="43758434">
      <w:pPr>
        <w:pStyle w:val="4"/>
        <w:spacing w:line="400" w:lineRule="exact"/>
        <w:outlineLvl w:val="1"/>
        <w:rPr>
          <w:rFonts w:ascii="宋体" w:hAnsi="宋体"/>
          <w:color w:val="auto"/>
          <w:sz w:val="21"/>
          <w:highlight w:val="none"/>
        </w:rPr>
      </w:pPr>
      <w:bookmarkStart w:id="14" w:name="_Toc513216151"/>
      <w:bookmarkStart w:id="15" w:name="_Toc15136"/>
      <w:r>
        <w:rPr>
          <w:rFonts w:ascii="宋体" w:hAnsi="宋体"/>
          <w:color w:val="auto"/>
          <w:sz w:val="21"/>
          <w:highlight w:val="none"/>
        </w:rPr>
        <w:t>3.评标程序</w:t>
      </w:r>
      <w:bookmarkEnd w:id="14"/>
      <w:bookmarkEnd w:id="15"/>
    </w:p>
    <w:p w14:paraId="04887F2A">
      <w:pPr>
        <w:spacing w:line="400" w:lineRule="exact"/>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1第一个信封初步</w:t>
      </w:r>
      <w:r>
        <w:rPr>
          <w:rFonts w:ascii="宋体" w:hAnsi="宋体"/>
          <w:b/>
          <w:color w:val="auto"/>
          <w:szCs w:val="21"/>
          <w:highlight w:val="none"/>
        </w:rPr>
        <w:t>评审</w:t>
      </w:r>
    </w:p>
    <w:p w14:paraId="07A4070B">
      <w:pPr>
        <w:spacing w:line="400" w:lineRule="exact"/>
        <w:ind w:right="70" w:firstLine="525" w:firstLineChars="250"/>
        <w:rPr>
          <w:rFonts w:hint="eastAsia" w:ascii="宋体" w:hAnsi="宋体"/>
          <w:color w:val="auto"/>
          <w:szCs w:val="21"/>
          <w:highlight w:val="none"/>
        </w:rPr>
      </w:pPr>
      <w:r>
        <w:rPr>
          <w:rFonts w:ascii="宋体" w:hAnsi="宋体"/>
          <w:color w:val="auto"/>
          <w:szCs w:val="21"/>
          <w:highlight w:val="none"/>
        </w:rPr>
        <w:t>3.1.1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w:t>
      </w:r>
    </w:p>
    <w:p w14:paraId="59F48A33">
      <w:pPr>
        <w:spacing w:line="400" w:lineRule="exact"/>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2第一个信封详细评审</w:t>
      </w:r>
    </w:p>
    <w:p w14:paraId="0ED620CA">
      <w:pPr>
        <w:spacing w:line="400" w:lineRule="exact"/>
        <w:ind w:firstLine="567" w:firstLineChars="270"/>
        <w:rPr>
          <w:rFonts w:hint="eastAsia" w:ascii="宋体" w:hAnsi="宋体"/>
          <w:color w:val="auto"/>
          <w:szCs w:val="21"/>
          <w:highlight w:val="none"/>
        </w:rPr>
      </w:pPr>
      <w:r>
        <w:rPr>
          <w:rFonts w:hint="eastAsia" w:ascii="宋体" w:hAnsi="宋体"/>
          <w:color w:val="auto"/>
          <w:szCs w:val="21"/>
          <w:highlight w:val="none"/>
        </w:rPr>
        <w:t>3.2.1评标委员会按本章第 2.2 款规定的量化因素和分值进行打分，并计算出各投标人的商务和技术得分</w:t>
      </w:r>
    </w:p>
    <w:p w14:paraId="40D53CEE">
      <w:pPr>
        <w:spacing w:line="400" w:lineRule="exact"/>
        <w:ind w:firstLine="567" w:firstLineChars="27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按本章第 2.2.2 项（1）目规定的评审因素和分值对施工组织设计部分计算出得分 A；</w:t>
      </w:r>
    </w:p>
    <w:p w14:paraId="08C3DCD4">
      <w:pPr>
        <w:spacing w:line="400" w:lineRule="exact"/>
        <w:ind w:firstLine="567" w:firstLineChars="270"/>
        <w:rPr>
          <w:rFonts w:hint="eastAsia" w:ascii="宋体" w:hAnsi="宋体"/>
          <w:color w:val="auto"/>
          <w:szCs w:val="21"/>
          <w:highlight w:val="none"/>
        </w:rPr>
      </w:pPr>
      <w:r>
        <w:rPr>
          <w:rFonts w:hint="eastAsia" w:ascii="宋体" w:hAnsi="宋体"/>
          <w:color w:val="auto"/>
          <w:szCs w:val="21"/>
          <w:highlight w:val="none"/>
        </w:rPr>
        <w:t>（2）按本章第 2.2.2 项（2）目规定的评审因素和分值对主要人员部分计算出得分B；</w:t>
      </w:r>
    </w:p>
    <w:p w14:paraId="5370599B">
      <w:pPr>
        <w:spacing w:line="400" w:lineRule="exact"/>
        <w:ind w:firstLine="567" w:firstLineChars="270"/>
        <w:rPr>
          <w:rFonts w:hint="eastAsia" w:ascii="宋体" w:hAnsi="宋体"/>
          <w:color w:val="auto"/>
          <w:szCs w:val="21"/>
          <w:highlight w:val="none"/>
        </w:rPr>
      </w:pPr>
      <w:r>
        <w:rPr>
          <w:rFonts w:hint="eastAsia" w:ascii="宋体" w:hAnsi="宋体"/>
          <w:color w:val="auto"/>
          <w:szCs w:val="21"/>
          <w:highlight w:val="none"/>
        </w:rPr>
        <w:t>（3）按本章第 2.2.2 项（3）目规定的评审因素和分值对其他部分计算出得分C。</w:t>
      </w:r>
    </w:p>
    <w:p w14:paraId="1EC63AD3">
      <w:pPr>
        <w:spacing w:line="400" w:lineRule="exact"/>
        <w:ind w:firstLine="567" w:firstLineChars="270"/>
        <w:rPr>
          <w:rFonts w:hint="eastAsia"/>
          <w:color w:val="auto"/>
          <w:szCs w:val="21"/>
          <w:highlight w:val="none"/>
        </w:rPr>
      </w:pPr>
      <w:r>
        <w:rPr>
          <w:rFonts w:hint="eastAsia" w:ascii="宋体" w:hAnsi="宋体"/>
          <w:color w:val="auto"/>
          <w:szCs w:val="21"/>
          <w:highlight w:val="none"/>
        </w:rPr>
        <w:t>3.2.2</w:t>
      </w:r>
      <w:r>
        <w:rPr>
          <w:rFonts w:hint="eastAsia"/>
          <w:color w:val="auto"/>
          <w:spacing w:val="-5"/>
          <w:szCs w:val="21"/>
          <w:highlight w:val="none"/>
        </w:rPr>
        <w:t>投标人的商务和技术得分分值计算保留小数点后两位，小数点后第三位“四</w:t>
      </w:r>
      <w:r>
        <w:rPr>
          <w:rFonts w:hint="eastAsia"/>
          <w:color w:val="auto"/>
          <w:szCs w:val="21"/>
          <w:highlight w:val="none"/>
        </w:rPr>
        <w:t>舍五入”。</w:t>
      </w:r>
    </w:p>
    <w:p w14:paraId="2B2D03D1">
      <w:pPr>
        <w:spacing w:line="400" w:lineRule="exact"/>
        <w:ind w:firstLine="567" w:firstLineChars="270"/>
        <w:rPr>
          <w:rFonts w:ascii="宋体" w:hAnsi="宋体"/>
          <w:color w:val="auto"/>
          <w:szCs w:val="21"/>
          <w:highlight w:val="none"/>
          <w:lang w:bidi="zh-CN"/>
        </w:rPr>
      </w:pPr>
      <w:r>
        <w:rPr>
          <w:rFonts w:hint="eastAsia" w:ascii="宋体" w:hAnsi="宋体"/>
          <w:color w:val="auto"/>
          <w:szCs w:val="21"/>
          <w:highlight w:val="none"/>
        </w:rPr>
        <w:t>3.2.3</w:t>
      </w:r>
      <w:r>
        <w:rPr>
          <w:rFonts w:hint="eastAsia" w:ascii="宋体" w:hAnsi="宋体"/>
          <w:color w:val="auto"/>
          <w:szCs w:val="21"/>
          <w:highlight w:val="none"/>
          <w:lang w:bidi="zh-CN"/>
        </w:rPr>
        <w:t>投标人的商务和技术得分=A+B+C。</w:t>
      </w:r>
    </w:p>
    <w:p w14:paraId="3FD2E3ED">
      <w:pPr>
        <w:spacing w:line="400" w:lineRule="exact"/>
        <w:ind w:firstLine="567" w:firstLineChars="270"/>
        <w:rPr>
          <w:rFonts w:ascii="宋体" w:hAnsi="宋体"/>
          <w:color w:val="auto"/>
          <w:szCs w:val="21"/>
          <w:highlight w:val="none"/>
          <w:lang w:bidi="zh-CN"/>
        </w:rPr>
      </w:pPr>
      <w:r>
        <w:rPr>
          <w:rFonts w:hint="eastAsia" w:ascii="宋体" w:hAnsi="宋体"/>
          <w:color w:val="auto"/>
          <w:szCs w:val="21"/>
          <w:highlight w:val="none"/>
        </w:rPr>
        <w:t>3.2.4</w:t>
      </w:r>
      <w:r>
        <w:rPr>
          <w:rFonts w:hint="eastAsia" w:ascii="宋体" w:hAnsi="宋体"/>
          <w:color w:val="auto"/>
          <w:szCs w:val="21"/>
          <w:highlight w:val="none"/>
          <w:lang w:bidi="zh-CN"/>
        </w:rPr>
        <w:t>评标委员会按照投标人的商务和技术得分由高到低排序，排名在评标办法前附表规定数量以内的投标人，其投标文件第一个信封（商务及技术文件）通过详细评审。</w:t>
      </w:r>
    </w:p>
    <w:p w14:paraId="649F3813">
      <w:pPr>
        <w:spacing w:line="400" w:lineRule="exact"/>
        <w:ind w:firstLine="567" w:firstLineChars="270"/>
        <w:rPr>
          <w:rFonts w:ascii="宋体" w:hAnsi="宋体"/>
          <w:color w:val="auto"/>
          <w:szCs w:val="21"/>
          <w:highlight w:val="none"/>
        </w:rPr>
      </w:pPr>
      <w:r>
        <w:rPr>
          <w:rFonts w:hint="eastAsia" w:ascii="宋体" w:hAnsi="宋体"/>
          <w:color w:val="auto"/>
          <w:szCs w:val="21"/>
          <w:highlight w:val="none"/>
        </w:rPr>
        <w:t>3.2.5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0E62B90E">
      <w:pPr>
        <w:spacing w:line="400" w:lineRule="exact"/>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3第二个信封开标</w:t>
      </w:r>
    </w:p>
    <w:p w14:paraId="6D55587E">
      <w:pPr>
        <w:tabs>
          <w:tab w:val="left" w:pos="9000"/>
        </w:tabs>
        <w:snapToGrid w:val="0"/>
        <w:spacing w:line="400" w:lineRule="exact"/>
        <w:ind w:right="70" w:firstLine="420" w:firstLineChars="200"/>
        <w:rPr>
          <w:rFonts w:ascii="宋体" w:hAnsi="宋体"/>
          <w:color w:val="auto"/>
          <w:szCs w:val="21"/>
          <w:highlight w:val="none"/>
        </w:rPr>
      </w:pPr>
      <w:r>
        <w:rPr>
          <w:rFonts w:hint="eastAsia" w:ascii="宋体" w:hAnsi="宋体"/>
          <w:color w:val="auto"/>
          <w:szCs w:val="21"/>
          <w:highlight w:val="none"/>
        </w:rPr>
        <w:t>第一个信封（商务及技术文件）评审结束后，招标人将按照第二章“投标人须知” 第 5.1 款规定的时间和地点对通过投标文件第一个信封（商务及技术文件）评审的投标文件第二个信封（报价文件）进行开标</w:t>
      </w:r>
      <w:r>
        <w:rPr>
          <w:rFonts w:ascii="宋体" w:hAnsi="宋体"/>
          <w:color w:val="auto"/>
          <w:szCs w:val="21"/>
          <w:highlight w:val="none"/>
        </w:rPr>
        <w:t>。</w:t>
      </w:r>
    </w:p>
    <w:p w14:paraId="3DC3DB91">
      <w:pPr>
        <w:spacing w:line="400" w:lineRule="exact"/>
        <w:rPr>
          <w:rFonts w:ascii="宋体" w:hAnsi="宋体"/>
          <w:b/>
          <w:color w:val="auto"/>
          <w:szCs w:val="21"/>
          <w:highlight w:val="none"/>
        </w:rPr>
      </w:pPr>
      <w:bookmarkStart w:id="16" w:name="_Toc144974562"/>
      <w:bookmarkStart w:id="17" w:name="_Toc179632613"/>
      <w:bookmarkStart w:id="18" w:name="_Toc152042372"/>
      <w:bookmarkStart w:id="19" w:name="_Toc152045595"/>
      <w:r>
        <w:rPr>
          <w:rFonts w:ascii="宋体" w:hAnsi="宋体"/>
          <w:b/>
          <w:color w:val="auto"/>
          <w:szCs w:val="21"/>
          <w:highlight w:val="none"/>
        </w:rPr>
        <w:t>3.</w:t>
      </w:r>
      <w:r>
        <w:rPr>
          <w:rFonts w:hint="eastAsia" w:ascii="宋体" w:hAnsi="宋体"/>
          <w:b/>
          <w:color w:val="auto"/>
          <w:szCs w:val="21"/>
          <w:highlight w:val="none"/>
        </w:rPr>
        <w:t>4</w:t>
      </w:r>
      <w:bookmarkEnd w:id="16"/>
      <w:bookmarkEnd w:id="17"/>
      <w:bookmarkEnd w:id="18"/>
      <w:bookmarkEnd w:id="19"/>
      <w:r>
        <w:rPr>
          <w:rFonts w:hint="eastAsia" w:ascii="宋体" w:hAnsi="宋体"/>
          <w:b/>
          <w:color w:val="auto"/>
          <w:szCs w:val="21"/>
          <w:highlight w:val="none"/>
        </w:rPr>
        <w:t>第二个信封初步评审</w:t>
      </w:r>
    </w:p>
    <w:p w14:paraId="0AF5EDB2">
      <w:pPr>
        <w:spacing w:line="400" w:lineRule="exact"/>
        <w:ind w:firstLine="420" w:firstLineChars="200"/>
        <w:rPr>
          <w:rFonts w:ascii="宋体" w:hAnsi="宋体"/>
          <w:color w:val="auto"/>
          <w:szCs w:val="21"/>
          <w:highlight w:val="none"/>
        </w:rPr>
      </w:pPr>
      <w:bookmarkStart w:id="20" w:name="_Toc152042373"/>
      <w:bookmarkStart w:id="21" w:name="_Toc152045596"/>
      <w:bookmarkStart w:id="22" w:name="_Toc144974563"/>
      <w:bookmarkStart w:id="23" w:name="_Toc179632614"/>
      <w:r>
        <w:rPr>
          <w:rFonts w:ascii="宋体" w:hAnsi="宋体"/>
          <w:color w:val="auto"/>
          <w:szCs w:val="21"/>
          <w:highlight w:val="none"/>
        </w:rPr>
        <w:t>3.4.1</w:t>
      </w:r>
      <w:r>
        <w:rPr>
          <w:rFonts w:hint="eastAsia" w:ascii="宋体" w:hAnsi="宋体"/>
          <w:color w:val="auto"/>
          <w:szCs w:val="21"/>
          <w:highlight w:val="none"/>
        </w:rPr>
        <w:t>评标委员会依据本章第 2.1.1 项、第 2.1.3 项规定的评审标准对投标文件第二个信封（报价文件）进行初步评审。有一项不符合评审标准的，评标委员会应否决其投标</w:t>
      </w:r>
      <w:r>
        <w:rPr>
          <w:rFonts w:ascii="宋体" w:hAnsi="宋体"/>
          <w:color w:val="auto"/>
          <w:szCs w:val="21"/>
          <w:highlight w:val="none"/>
        </w:rPr>
        <w:t>。</w:t>
      </w:r>
    </w:p>
    <w:p w14:paraId="3C2FDC94">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3.4.2</w:t>
      </w:r>
      <w:r>
        <w:rPr>
          <w:rFonts w:hint="eastAsia" w:ascii="宋体" w:hAnsi="宋体"/>
          <w:color w:val="auto"/>
          <w:szCs w:val="21"/>
          <w:highlight w:val="none"/>
        </w:rPr>
        <w:t>投标报价有算术错误的，评标委员会按以下原则对投标报价进行修正，修正的价格经投标人</w:t>
      </w:r>
      <w:r>
        <w:rPr>
          <w:rFonts w:hint="eastAsia" w:ascii="宋体" w:hAnsi="宋体"/>
          <w:color w:val="auto"/>
          <w:szCs w:val="21"/>
          <w:highlight w:val="none"/>
          <w:lang w:eastAsia="zh-CN"/>
        </w:rPr>
        <w:t>电子</w:t>
      </w:r>
      <w:r>
        <w:rPr>
          <w:rFonts w:hint="eastAsia" w:ascii="宋体" w:hAnsi="宋体"/>
          <w:color w:val="auto"/>
          <w:szCs w:val="21"/>
          <w:highlight w:val="none"/>
        </w:rPr>
        <w:t>确认后具有约束力。投标人不接受修正价格的，评标委员会应否决其投标。（如本项目招标由投标人按照招标人提供的书面工程量清单填写本合同各工程子目的单价、合价和总额价，则评标委员会按照本章第3.4.2项和第3.4.3项的规定对投标人的投标报价进行修正。如本项目招标由投标人按照招标人提供的工程量固化清单电子文件填写工程量清单，无须按照本章第3.4.2项和第3.4.3项的规定对投标报价进行修正，第3.4.2项至第3.4.4项内容不适用。）</w:t>
      </w:r>
    </w:p>
    <w:p w14:paraId="6D7F699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（1）投标文件中的大写金额与小写金额不一致的，以大写金额为准；</w:t>
      </w:r>
    </w:p>
    <w:p w14:paraId="60EE405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（2）总价金额与依据单价计算出的结果不一致的，以单价金额为准修正总价，但单价金额小数点有明显错误的除外；</w:t>
      </w:r>
    </w:p>
    <w:p w14:paraId="34074E1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（3）当单价与数量相乘不等于合价时，以单价计算为准，如果单价有明显的小数点位置差错，应以标出的合价为准，同时对单价予以修正；</w:t>
      </w:r>
    </w:p>
    <w:p w14:paraId="4993F681">
      <w:pPr>
        <w:spacing w:line="400" w:lineRule="exact"/>
        <w:ind w:firstLine="420" w:firstLineChars="200"/>
        <w:rPr>
          <w:rFonts w:hint="eastAsia"/>
          <w:color w:val="auto"/>
          <w:spacing w:val="-3"/>
          <w:szCs w:val="21"/>
          <w:highlight w:val="none"/>
        </w:rPr>
      </w:pPr>
      <w:r>
        <w:rPr>
          <w:rFonts w:hint="eastAsia" w:ascii="宋体" w:hAnsi="宋体"/>
          <w:color w:val="auto"/>
          <w:szCs w:val="21"/>
          <w:highlight w:val="none"/>
        </w:rPr>
        <w:t>（4）</w:t>
      </w:r>
      <w:r>
        <w:rPr>
          <w:rFonts w:hint="eastAsia"/>
          <w:color w:val="auto"/>
          <w:spacing w:val="-3"/>
          <w:szCs w:val="21"/>
          <w:highlight w:val="none"/>
        </w:rPr>
        <w:t>当各子目的合价累计不等于总价时，应以各子目合价累计数为准，修正总价。</w:t>
      </w:r>
    </w:p>
    <w:p w14:paraId="7C9D665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3.4.3工程量清单中的投标报价有其他错误的，评标委员会按以下原则对投标报价进行修正，修正的价格经投标人</w:t>
      </w:r>
      <w:r>
        <w:rPr>
          <w:rFonts w:hint="eastAsia" w:ascii="宋体" w:hAnsi="宋体"/>
          <w:color w:val="auto"/>
          <w:szCs w:val="21"/>
          <w:highlight w:val="none"/>
          <w:lang w:eastAsia="zh-CN"/>
        </w:rPr>
        <w:t>电子</w:t>
      </w:r>
      <w:r>
        <w:rPr>
          <w:rFonts w:hint="eastAsia" w:ascii="宋体" w:hAnsi="宋体"/>
          <w:color w:val="auto"/>
          <w:szCs w:val="21"/>
          <w:highlight w:val="none"/>
        </w:rPr>
        <w:t>确认后具有约束力。投标人不接受修正价格的，评标委员会应否决其投标。</w:t>
      </w:r>
    </w:p>
    <w:p w14:paraId="753D8FA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（1）在招标人给定的工程量清单中漏报了某个工程子目的单价、合价或总额价， 或所报单价、合价或总额价减少了报价范围，则漏报的工程子目单价、合价和总额价或单价、合价和总额价中减少的报价内容视为已含入其他工程子目的单价、合价和总额价之中。</w:t>
      </w:r>
    </w:p>
    <w:p w14:paraId="59F8B2F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（2）在招标人给定的工程量清单中多报了某个工程子目的单价、合价或总额价， 或所报单价、合价或总额价增加了报价范围，则从投标报价中扣除多报的工程子目报价或工程子目报价中增加了报价范围的部分报价。</w:t>
      </w:r>
    </w:p>
    <w:p w14:paraId="3EB2A16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（3）当单价与数量的乘积与合价（金额）虽然一致，但投标人修改了该子目的工程数量，则其合价按招标人给定的工程数量乘以投标人所报单价予以修正。</w:t>
      </w:r>
    </w:p>
    <w:p w14:paraId="65A3F3C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3.4.4修正后的最终投标报价若超过最高投标限价（如有），评标委员会应否决其投标。</w:t>
      </w:r>
    </w:p>
    <w:p w14:paraId="7831BA97">
      <w:pPr>
        <w:spacing w:line="400" w:lineRule="exact"/>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5</w:t>
      </w:r>
      <w:bookmarkEnd w:id="20"/>
      <w:bookmarkEnd w:id="21"/>
      <w:bookmarkEnd w:id="22"/>
      <w:bookmarkEnd w:id="23"/>
      <w:r>
        <w:rPr>
          <w:rFonts w:hint="eastAsia" w:ascii="宋体" w:hAnsi="宋体"/>
          <w:b/>
          <w:color w:val="auto"/>
          <w:szCs w:val="21"/>
          <w:highlight w:val="none"/>
        </w:rPr>
        <w:t>第二个信封详细评审</w:t>
      </w:r>
    </w:p>
    <w:p w14:paraId="278E2364">
      <w:pPr>
        <w:tabs>
          <w:tab w:val="left" w:pos="9000"/>
        </w:tabs>
        <w:snapToGrid w:val="0"/>
        <w:spacing w:line="400" w:lineRule="exact"/>
        <w:ind w:right="68" w:firstLine="420" w:firstLineChars="200"/>
        <w:rPr>
          <w:rFonts w:ascii="宋体" w:hAnsi="宋体"/>
          <w:color w:val="auto"/>
          <w:szCs w:val="21"/>
          <w:highlight w:val="none"/>
        </w:rPr>
      </w:pPr>
      <w:r>
        <w:rPr>
          <w:rFonts w:ascii="宋体" w:hAnsi="宋体"/>
          <w:color w:val="auto"/>
          <w:szCs w:val="21"/>
          <w:highlight w:val="none"/>
        </w:rPr>
        <w:t>3.5.1</w:t>
      </w:r>
      <w:r>
        <w:rPr>
          <w:rFonts w:hint="eastAsia" w:ascii="宋体" w:hAnsi="宋体"/>
          <w:color w:val="auto"/>
          <w:szCs w:val="21"/>
          <w:highlight w:val="none"/>
        </w:rPr>
        <w:t>评标委员会按本章第 2.2 款规定的量化因素和标准进行价格折算，计算出评标价，并编制价格比较一览表</w:t>
      </w:r>
      <w:r>
        <w:rPr>
          <w:rFonts w:ascii="宋体" w:hAnsi="宋体"/>
          <w:color w:val="auto"/>
          <w:szCs w:val="21"/>
          <w:highlight w:val="none"/>
        </w:rPr>
        <w:t>。</w:t>
      </w:r>
    </w:p>
    <w:p w14:paraId="7D406373">
      <w:pPr>
        <w:tabs>
          <w:tab w:val="left" w:pos="9000"/>
        </w:tabs>
        <w:snapToGrid w:val="0"/>
        <w:spacing w:line="400" w:lineRule="exact"/>
        <w:ind w:right="68" w:firstLine="420" w:firstLineChars="200"/>
        <w:rPr>
          <w:rFonts w:hint="eastAsia"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评标委员会发现投标人的报价明显低于其他投标报价，使得其投标报价可能低于其个别成本的，应要求该投标人作出</w:t>
      </w:r>
      <w:r>
        <w:rPr>
          <w:rFonts w:hint="eastAsia" w:ascii="宋体" w:hAnsi="宋体"/>
          <w:color w:val="auto"/>
          <w:szCs w:val="21"/>
          <w:highlight w:val="none"/>
          <w:lang w:eastAsia="zh-CN"/>
        </w:rPr>
        <w:t>电子</w:t>
      </w:r>
      <w:r>
        <w:rPr>
          <w:rFonts w:hint="eastAsia" w:ascii="宋体" w:hAnsi="宋体"/>
          <w:color w:val="auto"/>
          <w:szCs w:val="21"/>
          <w:highlight w:val="none"/>
        </w:rPr>
        <w:t>说明并提供相应的证明材料。投标人不能合理说明或不能提供相应证明材料的，由评标委员会认定该投标人以低于成本报价竞标，并否决其投标</w:t>
      </w:r>
      <w:r>
        <w:rPr>
          <w:rFonts w:ascii="宋体" w:hAnsi="宋体"/>
          <w:color w:val="auto"/>
          <w:szCs w:val="21"/>
          <w:highlight w:val="none"/>
        </w:rPr>
        <w:t>。</w:t>
      </w:r>
    </w:p>
    <w:p w14:paraId="7B02F35F">
      <w:pPr>
        <w:spacing w:line="400" w:lineRule="exact"/>
        <w:rPr>
          <w:rFonts w:ascii="宋体" w:hAnsi="宋体"/>
          <w:b/>
          <w:color w:val="auto"/>
          <w:szCs w:val="21"/>
          <w:highlight w:val="none"/>
        </w:rPr>
      </w:pPr>
      <w:bookmarkStart w:id="24" w:name="_Toc144974564"/>
      <w:bookmarkStart w:id="25" w:name="_Toc152045597"/>
      <w:bookmarkStart w:id="26" w:name="_Toc179632615"/>
      <w:bookmarkStart w:id="27" w:name="_Toc152042374"/>
      <w:r>
        <w:rPr>
          <w:rFonts w:ascii="宋体" w:hAnsi="宋体"/>
          <w:b/>
          <w:color w:val="auto"/>
          <w:szCs w:val="21"/>
          <w:highlight w:val="none"/>
        </w:rPr>
        <w:t>3.</w:t>
      </w:r>
      <w:r>
        <w:rPr>
          <w:rFonts w:hint="eastAsia" w:ascii="宋体" w:hAnsi="宋体"/>
          <w:b/>
          <w:color w:val="auto"/>
          <w:szCs w:val="21"/>
          <w:highlight w:val="none"/>
        </w:rPr>
        <w:t>6</w:t>
      </w:r>
      <w:bookmarkEnd w:id="24"/>
      <w:bookmarkEnd w:id="25"/>
      <w:bookmarkEnd w:id="26"/>
      <w:bookmarkEnd w:id="27"/>
      <w:r>
        <w:rPr>
          <w:rFonts w:hint="eastAsia" w:ascii="宋体" w:hAnsi="宋体"/>
          <w:b/>
          <w:color w:val="auto"/>
          <w:szCs w:val="21"/>
          <w:highlight w:val="none"/>
        </w:rPr>
        <w:t>投标文件相关信息的核查</w:t>
      </w:r>
    </w:p>
    <w:p w14:paraId="6524C62A">
      <w:pPr>
        <w:spacing w:line="400" w:lineRule="exact"/>
        <w:ind w:firstLine="420" w:firstLineChars="200"/>
        <w:rPr>
          <w:rFonts w:ascii="宋体" w:hAnsi="宋体"/>
          <w:color w:val="auto"/>
          <w:szCs w:val="21"/>
          <w:highlight w:val="none"/>
        </w:rPr>
      </w:pPr>
      <w:r>
        <w:rPr>
          <w:rFonts w:ascii="宋体" w:hAnsi="宋体"/>
          <w:color w:val="auto"/>
          <w:szCs w:val="21"/>
          <w:highlight w:val="none"/>
        </w:rPr>
        <w:t>3.6.1</w:t>
      </w:r>
      <w:r>
        <w:rPr>
          <w:rFonts w:hint="eastAsia" w:ascii="宋体" w:hAnsi="宋体"/>
          <w:color w:val="auto"/>
          <w:szCs w:val="21"/>
          <w:highlight w:val="none"/>
        </w:rPr>
        <w:t>在评标过程中，评标委员会应查询交通运输主管部门“</w:t>
      </w:r>
      <w:r>
        <w:rPr>
          <w:rFonts w:hint="eastAsia" w:ascii="宋体" w:hAnsi="宋体"/>
          <w:color w:val="auto"/>
          <w:szCs w:val="21"/>
          <w:highlight w:val="none"/>
          <w:lang w:eastAsia="zh-CN"/>
        </w:rPr>
        <w:t>公路建设市场监督管理系统</w:t>
      </w:r>
      <w:r>
        <w:rPr>
          <w:rFonts w:hint="eastAsia" w:ascii="宋体" w:hAnsi="宋体"/>
          <w:color w:val="auto"/>
          <w:szCs w:val="21"/>
          <w:highlight w:val="none"/>
        </w:rPr>
        <w:t>”，对投标人的资质、业绩、主要人员资历和目前在岗情况、信用等级等信息进行核实。若投标文件载明的信息与交通运输主管部门“</w:t>
      </w:r>
      <w:r>
        <w:rPr>
          <w:rFonts w:hint="eastAsia" w:ascii="宋体" w:hAnsi="宋体"/>
          <w:color w:val="auto"/>
          <w:szCs w:val="21"/>
          <w:highlight w:val="none"/>
          <w:lang w:eastAsia="zh-CN"/>
        </w:rPr>
        <w:t>公路建设市场监督管理系统</w:t>
      </w:r>
      <w:r>
        <w:rPr>
          <w:rFonts w:hint="eastAsia" w:ascii="宋体" w:hAnsi="宋体"/>
          <w:color w:val="auto"/>
          <w:szCs w:val="21"/>
          <w:highlight w:val="none"/>
        </w:rPr>
        <w:t>”发布的信息不符，使得投标人的资格条件不符合招标文件规定的，评标委员会应否决其投标</w:t>
      </w:r>
      <w:r>
        <w:rPr>
          <w:rFonts w:ascii="宋体" w:hAnsi="宋体"/>
          <w:color w:val="auto"/>
          <w:szCs w:val="21"/>
          <w:highlight w:val="none"/>
        </w:rPr>
        <w:t>。</w:t>
      </w:r>
    </w:p>
    <w:p w14:paraId="563746E6">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评标委员会应对在评标过程中发现的投标人与投标人之间、投标人与招标人之间存在的串通投标的情形进行评审和认定。投标人存在串通投标、弄虚作假、行贿等违法行为的，评标委员会应否决其投标</w:t>
      </w:r>
      <w:r>
        <w:rPr>
          <w:rFonts w:ascii="宋体" w:hAnsi="宋体"/>
          <w:color w:val="auto"/>
          <w:szCs w:val="21"/>
          <w:highlight w:val="none"/>
        </w:rPr>
        <w:t>。</w:t>
      </w:r>
    </w:p>
    <w:p w14:paraId="07AFC0C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（1）有下列情形之一的，属于投标人相互串通投标：</w:t>
      </w:r>
    </w:p>
    <w:p w14:paraId="6B1D90F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 投标人之间协商投标报价等投标文件的实质性内容；</w:t>
      </w:r>
    </w:p>
    <w:p w14:paraId="18416EA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b．投标人之间约定中标人；</w:t>
      </w:r>
    </w:p>
    <w:p w14:paraId="1CA8263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 投标人之间约定部分投标人放弃投标或中标；</w:t>
      </w:r>
    </w:p>
    <w:p w14:paraId="0FB265D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 属于同一集团、协会、商会等组织成员的投标人按照该组织要求协同投标；</w:t>
      </w:r>
    </w:p>
    <w:p w14:paraId="2CA73E9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e. 投标人之间为谋取中标或排斥特定投标人而采取的其他联合行动。</w:t>
      </w:r>
    </w:p>
    <w:p w14:paraId="60E7B6B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（2）有下列情形之一的，视为投标人相互串通投标：</w:t>
      </w:r>
    </w:p>
    <w:p w14:paraId="02192EA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 不同投标人的投标文件由同一单位或个人编制；</w:t>
      </w:r>
    </w:p>
    <w:p w14:paraId="5C16249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b．不同投标人委托同一单位或个人办理投标事宜；</w:t>
      </w:r>
    </w:p>
    <w:p w14:paraId="586621D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 不同投标人的投标文件载明的项目管理成员为同一人；</w:t>
      </w:r>
    </w:p>
    <w:p w14:paraId="3EDB21A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 不同投标人的投标文件异常一致或投标报价呈规律性差异；</w:t>
      </w:r>
    </w:p>
    <w:p w14:paraId="491EF6D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e. 不同投标人的投标文件相互混装；</w:t>
      </w:r>
    </w:p>
    <w:p w14:paraId="1E5CC34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f．不同投标人的投标保证金从同一单位或个人的账户转出。</w:t>
      </w:r>
    </w:p>
    <w:p w14:paraId="43D0F59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（3）有下列情形之一的，属于招标人与投标人串通投标：</w:t>
      </w:r>
    </w:p>
    <w:p w14:paraId="1D29FFC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 招标人在开标前开启投标文件并将有关信息泄露给其他投标人；</w:t>
      </w:r>
    </w:p>
    <w:p w14:paraId="53BCB63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b．招标人直接或间接向投标人泄露标底、评标委员会成员等信息；</w:t>
      </w:r>
    </w:p>
    <w:p w14:paraId="1B7D4C5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 招标人明示或暗示投标人压低或抬高投标报价；</w:t>
      </w:r>
    </w:p>
    <w:p w14:paraId="1D4A097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 招标人授意投标人撤换、修改投标文件；</w:t>
      </w:r>
    </w:p>
    <w:p w14:paraId="268883D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e. 招标人明示或暗示投标人为特定投标人中标提供方便；</w:t>
      </w:r>
    </w:p>
    <w:p w14:paraId="2E0AB8D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f．招标人与投标人为谋求特定投标人中标而采取的其他串通行为。</w:t>
      </w:r>
    </w:p>
    <w:p w14:paraId="764D330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（4）投标人有下列情形之一的，属于弄虚作假的行为：</w:t>
      </w:r>
    </w:p>
    <w:p w14:paraId="1B8F1AD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 使用通过受让或租借等方式获取的资格、资质证书投标；</w:t>
      </w:r>
    </w:p>
    <w:p w14:paraId="3F81210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b．使用伪造、变造的许可证件；</w:t>
      </w:r>
    </w:p>
    <w:p w14:paraId="4EC9D43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 提供虚假的财务状况或业绩；</w:t>
      </w:r>
    </w:p>
    <w:p w14:paraId="1A7B692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 提供虚假的项目负责人或主要技术人员简历、劳动关系证明；</w:t>
      </w:r>
    </w:p>
    <w:p w14:paraId="39F126F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e. 提供虚假的信用状况；</w:t>
      </w:r>
      <w:bookmarkStart w:id="28" w:name="_GoBack"/>
      <w:bookmarkEnd w:id="28"/>
    </w:p>
    <w:p w14:paraId="5831327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f．其他弄虚作假的行为。</w:t>
      </w:r>
    </w:p>
    <w:p w14:paraId="540C6A06">
      <w:pPr>
        <w:spacing w:line="400" w:lineRule="exact"/>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7投标文件的澄清和说明</w:t>
      </w:r>
    </w:p>
    <w:p w14:paraId="5F573A8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3.7.1在评标过程中，评标委员会可以</w:t>
      </w:r>
      <w:r>
        <w:rPr>
          <w:rFonts w:hint="eastAsia" w:ascii="宋体" w:hAnsi="宋体"/>
          <w:color w:val="auto"/>
          <w:szCs w:val="21"/>
          <w:highlight w:val="none"/>
          <w:lang w:eastAsia="zh-CN"/>
        </w:rPr>
        <w:t>电子</w:t>
      </w:r>
      <w:r>
        <w:rPr>
          <w:rFonts w:hint="eastAsia" w:ascii="宋体" w:hAnsi="宋体"/>
          <w:color w:val="auto"/>
          <w:szCs w:val="21"/>
          <w:highlight w:val="none"/>
        </w:rPr>
        <w:t>形式要求投标人对投标文件中含义不明确的内容、明显文字或计算错误进行</w:t>
      </w:r>
      <w:r>
        <w:rPr>
          <w:rFonts w:hint="eastAsia" w:ascii="宋体" w:hAnsi="宋体"/>
          <w:color w:val="auto"/>
          <w:szCs w:val="21"/>
          <w:highlight w:val="none"/>
          <w:lang w:eastAsia="zh-CN"/>
        </w:rPr>
        <w:t>电子</w:t>
      </w:r>
      <w:r>
        <w:rPr>
          <w:rFonts w:hint="eastAsia" w:ascii="宋体" w:hAnsi="宋体"/>
          <w:color w:val="auto"/>
          <w:szCs w:val="21"/>
          <w:highlight w:val="none"/>
        </w:rPr>
        <w:t>澄清或说明。评标委员会不接受投标人主动提出的澄清、说明。投标人不按评标委员会要求澄清或说明的，评标委员会应否决其投标</w:t>
      </w:r>
      <w:r>
        <w:rPr>
          <w:rFonts w:ascii="宋体" w:hAnsi="宋体"/>
          <w:color w:val="auto"/>
          <w:szCs w:val="21"/>
          <w:highlight w:val="none"/>
        </w:rPr>
        <w:t>。</w:t>
      </w:r>
    </w:p>
    <w:p w14:paraId="0DAD41D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3.7.2澄清和说明不得超出投标文件的范围或改变投标文件的实质性内容（算术性错误的修正除外）。投标人的</w:t>
      </w:r>
      <w:r>
        <w:rPr>
          <w:rFonts w:hint="eastAsia" w:ascii="宋体" w:hAnsi="宋体"/>
          <w:color w:val="auto"/>
          <w:szCs w:val="21"/>
          <w:highlight w:val="none"/>
          <w:lang w:eastAsia="zh-CN"/>
        </w:rPr>
        <w:t>电子</w:t>
      </w:r>
      <w:r>
        <w:rPr>
          <w:rFonts w:hint="eastAsia" w:ascii="宋体" w:hAnsi="宋体"/>
          <w:color w:val="auto"/>
          <w:szCs w:val="21"/>
          <w:highlight w:val="none"/>
        </w:rPr>
        <w:t>澄清、说明属于投标文件的组成部分。</w:t>
      </w:r>
    </w:p>
    <w:p w14:paraId="2F14499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3.7.3评标委员会不得暗示或诱导投标人作出澄清、说明，对投标人提交的澄清、说明有疑问的，可以要求投标人进一步澄清或说明，直至满足评标委员会的要求。</w:t>
      </w:r>
    </w:p>
    <w:p w14:paraId="5FBD455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3.7.4凡超出招标文件规定的或给发包人带来未曾要求的利益的变化、偏差或其他因素在评标时不予考虑。</w:t>
      </w:r>
    </w:p>
    <w:p w14:paraId="70093DBA">
      <w:pPr>
        <w:spacing w:line="400" w:lineRule="exact"/>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8不得否决投标的情形</w:t>
      </w:r>
    </w:p>
    <w:p w14:paraId="607F539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投标文件存在第二章“投标人须知”第 1.12.3项所列情形的，均视为细微偏差， 评标委员会不得否决投标人的投标，应按照第二章“投标人须知”第 1.12.4 项规定的原则处理</w:t>
      </w:r>
      <w:r>
        <w:rPr>
          <w:rFonts w:ascii="宋体" w:hAnsi="宋体"/>
          <w:color w:val="auto"/>
          <w:szCs w:val="21"/>
          <w:highlight w:val="none"/>
        </w:rPr>
        <w:t>。</w:t>
      </w:r>
    </w:p>
    <w:p w14:paraId="4075439C">
      <w:pPr>
        <w:spacing w:line="400" w:lineRule="exact"/>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9评标结果</w:t>
      </w:r>
    </w:p>
    <w:p w14:paraId="67DA5D62">
      <w:pPr>
        <w:spacing w:line="400" w:lineRule="exact"/>
        <w:ind w:firstLine="424" w:firstLineChars="202"/>
        <w:rPr>
          <w:rFonts w:ascii="宋体" w:hAnsi="宋体"/>
          <w:color w:val="auto"/>
          <w:szCs w:val="21"/>
          <w:highlight w:val="none"/>
        </w:rPr>
      </w:pPr>
      <w:r>
        <w:rPr>
          <w:rFonts w:hint="eastAsia" w:ascii="宋体" w:hAnsi="宋体"/>
          <w:color w:val="auto"/>
          <w:szCs w:val="21"/>
          <w:highlight w:val="none"/>
        </w:rPr>
        <w:t>3.9.1除第二章“投标人须知”前附表授权直接确定中标人外，评标委员会按照评标价由低到高的顺序推荐中标候选人，并标明排序。</w:t>
      </w:r>
    </w:p>
    <w:p w14:paraId="4ED3D47E">
      <w:pPr>
        <w:spacing w:line="400" w:lineRule="exact"/>
        <w:ind w:firstLine="424" w:firstLineChars="202"/>
        <w:rPr>
          <w:rFonts w:ascii="宋体" w:hAnsi="宋体"/>
          <w:color w:val="auto"/>
          <w:szCs w:val="21"/>
          <w:highlight w:val="none"/>
        </w:rPr>
      </w:pPr>
      <w:r>
        <w:rPr>
          <w:rFonts w:hint="eastAsia" w:ascii="宋体" w:hAnsi="宋体"/>
          <w:color w:val="auto"/>
          <w:szCs w:val="21"/>
          <w:highlight w:val="none"/>
        </w:rPr>
        <w:t>3.9.2评标委员会完成评标后，应向招标人提交</w:t>
      </w:r>
      <w:r>
        <w:rPr>
          <w:rFonts w:hint="eastAsia" w:ascii="宋体" w:hAnsi="宋体"/>
          <w:color w:val="auto"/>
          <w:szCs w:val="21"/>
          <w:highlight w:val="none"/>
          <w:lang w:eastAsia="zh-CN"/>
        </w:rPr>
        <w:t>电子</w:t>
      </w:r>
      <w:r>
        <w:rPr>
          <w:rFonts w:hint="eastAsia" w:ascii="宋体" w:hAnsi="宋体"/>
          <w:color w:val="auto"/>
          <w:szCs w:val="21"/>
          <w:highlight w:val="none"/>
        </w:rPr>
        <w:t>评标报告。</w:t>
      </w:r>
    </w:p>
    <w:p w14:paraId="77869211"/>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3A402"/>
    <w:multiLevelType w:val="singleLevel"/>
    <w:tmpl w:val="8C93A402"/>
    <w:lvl w:ilvl="0" w:tentative="0">
      <w:start w:val="1"/>
      <w:numFmt w:val="decimal"/>
      <w:lvlText w:val="(%1)"/>
      <w:lvlJc w:val="left"/>
      <w:pPr>
        <w:tabs>
          <w:tab w:val="left" w:pos="312"/>
        </w:tabs>
      </w:pPr>
    </w:lvl>
  </w:abstractNum>
  <w:abstractNum w:abstractNumId="1">
    <w:nsid w:val="684351AA"/>
    <w:multiLevelType w:val="singleLevel"/>
    <w:tmpl w:val="684351A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106A9"/>
    <w:rsid w:val="20F10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jc w:val="center"/>
      <w:outlineLvl w:val="1"/>
    </w:pPr>
    <w:rPr>
      <w:rFonts w:ascii="Arial" w:hAnsi="Arial"/>
      <w:b/>
      <w:bCs/>
      <w:sz w:val="44"/>
      <w:szCs w:val="32"/>
    </w:rPr>
  </w:style>
  <w:style w:type="paragraph" w:styleId="4">
    <w:name w:val="heading 3"/>
    <w:basedOn w:val="1"/>
    <w:next w:val="1"/>
    <w:qFormat/>
    <w:uiPriority w:val="0"/>
    <w:pPr>
      <w:keepNext/>
      <w:keepLines/>
      <w:spacing w:line="360" w:lineRule="auto"/>
      <w:outlineLvl w:val="2"/>
    </w:pPr>
    <w:rPr>
      <w:b/>
      <w:bCs/>
      <w:sz w:val="28"/>
      <w:szCs w:val="21"/>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2025-10-20T07:34:00Z</dcterms:created>
  <dc:creator>淼淼</dc:creator>
  <cp:lastModifiedBy>淼淼</cp:lastModifiedBy>
  <dcterms:modified xsi:type="dcterms:W3CDTF">2025-10-20T07:35:02Z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5CFDC27730B045AE80442BBDAEEB476A_11</vt:lpwstr>
  </property>
  <property fmtid="{D5CDD505-2E9C-101B-9397-08002B2CF9AE}" pid="4" name="KSOTemplateDocerSaveRecord">
    <vt:lpwstr>eyJoZGlkIjoiNjk0YzUyMDRjMjEzZDc4YzRiMDI5YjA0MDQwNjQwZDEiLCJ1c2VySWQiOiI0MzE5NDMzMjIifQ==</vt:lpwstr>
  </property>
</Properties>
</file>