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4CF0E">
      <w:pPr>
        <w:spacing w:line="253"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附件3:评标办法</w:t>
      </w:r>
    </w:p>
    <w:p w14:paraId="1149706C">
      <w:pPr>
        <w:spacing w:before="169" w:line="219" w:lineRule="auto"/>
        <w:ind w:left="2098"/>
        <w:outlineLvl w:val="0"/>
        <w:rPr>
          <w:rFonts w:hint="eastAsia" w:ascii="仿宋" w:hAnsi="仿宋" w:eastAsia="仿宋" w:cs="仿宋"/>
          <w:b/>
          <w:bCs/>
          <w:color w:val="auto"/>
          <w:spacing w:val="-5"/>
          <w:sz w:val="52"/>
          <w:szCs w:val="52"/>
          <w:highlight w:val="none"/>
        </w:rPr>
      </w:pPr>
    </w:p>
    <w:p w14:paraId="30DA41AA">
      <w:pPr>
        <w:spacing w:before="169" w:line="219" w:lineRule="auto"/>
        <w:ind w:left="2098"/>
        <w:outlineLvl w:val="0"/>
        <w:rPr>
          <w:rFonts w:hint="eastAsia" w:ascii="仿宋" w:hAnsi="仿宋" w:eastAsia="仿宋" w:cs="仿宋"/>
          <w:b/>
          <w:bCs/>
          <w:color w:val="auto"/>
          <w:spacing w:val="-5"/>
          <w:sz w:val="52"/>
          <w:szCs w:val="52"/>
          <w:highlight w:val="none"/>
        </w:rPr>
      </w:pPr>
    </w:p>
    <w:p w14:paraId="0A13599D">
      <w:pPr>
        <w:pStyle w:val="2"/>
        <w:spacing w:before="169" w:line="221" w:lineRule="auto"/>
        <w:jc w:val="both"/>
        <w:outlineLvl w:val="0"/>
        <w:rPr>
          <w:rFonts w:hint="eastAsia" w:ascii="仿宋" w:hAnsi="仿宋" w:eastAsia="仿宋" w:cs="仿宋"/>
          <w:color w:val="auto"/>
          <w:spacing w:val="10"/>
          <w:highlight w:val="none"/>
          <w14:textOutline w14:w="9461" w14:cap="sq" w14:cmpd="sng">
            <w14:solidFill>
              <w14:srgbClr w14:val="000000"/>
            </w14:solidFill>
            <w14:prstDash w14:val="solid"/>
            <w14:bevel/>
          </w14:textOutline>
        </w:rPr>
      </w:pPr>
    </w:p>
    <w:p w14:paraId="3D0EC018">
      <w:pPr>
        <w:pStyle w:val="2"/>
        <w:spacing w:before="169" w:line="221" w:lineRule="auto"/>
        <w:jc w:val="center"/>
        <w:outlineLvl w:val="0"/>
        <w:rPr>
          <w:rFonts w:hint="eastAsia" w:ascii="仿宋" w:hAnsi="仿宋" w:eastAsia="仿宋" w:cs="仿宋"/>
          <w:color w:val="auto"/>
          <w:spacing w:val="10"/>
          <w:highlight w:val="none"/>
          <w14:textOutline w14:w="9461" w14:cap="sq" w14:cmpd="sng">
            <w14:solidFill>
              <w14:srgbClr w14:val="000000"/>
            </w14:solidFill>
            <w14:prstDash w14:val="solid"/>
            <w14:bevel/>
          </w14:textOutline>
        </w:rPr>
      </w:pPr>
      <w:bookmarkStart w:id="0" w:name="_Toc24374"/>
      <w:bookmarkStart w:id="1" w:name="_Toc9705"/>
      <w:r>
        <w:rPr>
          <w:rFonts w:hint="eastAsia" w:ascii="仿宋" w:hAnsi="仿宋" w:eastAsia="仿宋" w:cs="仿宋"/>
          <w:color w:val="auto"/>
          <w:spacing w:val="10"/>
          <w:highlight w:val="none"/>
          <w14:textOutline w14:w="9461" w14:cap="sq" w14:cmpd="sng">
            <w14:solidFill>
              <w14:srgbClr w14:val="000000"/>
            </w14:solidFill>
            <w14:prstDash w14:val="solid"/>
            <w14:bevel/>
          </w14:textOutline>
        </w:rPr>
        <w:t>第三章评标办法</w:t>
      </w:r>
      <w:bookmarkEnd w:id="0"/>
      <w:bookmarkEnd w:id="1"/>
    </w:p>
    <w:p w14:paraId="35394099">
      <w:pPr>
        <w:pStyle w:val="2"/>
        <w:spacing w:before="169" w:line="221" w:lineRule="auto"/>
        <w:jc w:val="center"/>
        <w:outlineLvl w:val="0"/>
        <w:rPr>
          <w:rFonts w:hint="eastAsia" w:ascii="仿宋" w:hAnsi="仿宋" w:eastAsia="仿宋" w:cs="仿宋"/>
          <w:color w:val="auto"/>
          <w:sz w:val="52"/>
          <w:szCs w:val="52"/>
          <w:highlight w:val="none"/>
        </w:rPr>
      </w:pPr>
      <w:bookmarkStart w:id="2" w:name="_Toc20216"/>
      <w:bookmarkStart w:id="3" w:name="_Toc23421"/>
      <w:bookmarkStart w:id="4" w:name="_Toc9047"/>
      <w:r>
        <w:rPr>
          <w:rFonts w:hint="eastAsia" w:ascii="仿宋" w:hAnsi="仿宋" w:eastAsia="仿宋" w:cs="仿宋"/>
          <w:color w:val="auto"/>
          <w:position w:val="28"/>
          <w:sz w:val="35"/>
          <w:szCs w:val="35"/>
          <w:highlight w:val="none"/>
          <w14:textOutline w14:w="6537" w14:cap="sq" w14:cmpd="sng">
            <w14:solidFill>
              <w14:srgbClr w14:val="000000"/>
            </w14:solidFill>
            <w14:prstDash w14:val="solid"/>
            <w14:bevel/>
          </w14:textOutline>
        </w:rPr>
        <w:t>（双信封的</w:t>
      </w:r>
      <w:r>
        <w:rPr>
          <w:rFonts w:hint="eastAsia" w:ascii="仿宋" w:hAnsi="仿宋" w:eastAsia="仿宋" w:cs="仿宋"/>
          <w:color w:val="auto"/>
          <w:position w:val="28"/>
          <w:sz w:val="35"/>
          <w:szCs w:val="35"/>
          <w:highlight w:val="none"/>
          <w:lang w:val="en-US" w:eastAsia="zh-CN"/>
          <w14:textOutline w14:w="6537" w14:cap="sq" w14:cmpd="sng">
            <w14:solidFill>
              <w14:srgbClr w14:val="000000"/>
            </w14:solidFill>
            <w14:prstDash w14:val="solid"/>
            <w14:bevel/>
          </w14:textOutline>
        </w:rPr>
        <w:t>综合评估法</w:t>
      </w:r>
      <w:r>
        <w:rPr>
          <w:rFonts w:hint="eastAsia" w:ascii="仿宋" w:hAnsi="仿宋" w:eastAsia="仿宋" w:cs="仿宋"/>
          <w:color w:val="auto"/>
          <w:position w:val="28"/>
          <w:sz w:val="35"/>
          <w:szCs w:val="35"/>
          <w:highlight w:val="none"/>
          <w14:textOutline w14:w="6537" w14:cap="sq" w14:cmpd="sng">
            <w14:solidFill>
              <w14:srgbClr w14:val="000000"/>
            </w14:solidFill>
            <w14:prstDash w14:val="solid"/>
            <w14:bevel/>
          </w14:textOutline>
        </w:rPr>
        <w:t>）</w:t>
      </w:r>
      <w:bookmarkEnd w:id="2"/>
      <w:bookmarkEnd w:id="3"/>
      <w:bookmarkEnd w:id="4"/>
    </w:p>
    <w:p w14:paraId="7BE97E4C">
      <w:pPr>
        <w:spacing w:line="245" w:lineRule="auto"/>
        <w:rPr>
          <w:rFonts w:hint="eastAsia" w:ascii="仿宋" w:hAnsi="仿宋" w:eastAsia="仿宋" w:cs="仿宋"/>
          <w:color w:val="auto"/>
          <w:sz w:val="21"/>
          <w:highlight w:val="none"/>
        </w:rPr>
      </w:pPr>
    </w:p>
    <w:p w14:paraId="3213C103">
      <w:pPr>
        <w:spacing w:line="245" w:lineRule="auto"/>
        <w:rPr>
          <w:rFonts w:hint="eastAsia" w:ascii="仿宋" w:hAnsi="仿宋" w:eastAsia="仿宋" w:cs="仿宋"/>
          <w:color w:val="auto"/>
          <w:sz w:val="21"/>
          <w:highlight w:val="none"/>
        </w:rPr>
      </w:pPr>
    </w:p>
    <w:p w14:paraId="7374A40A">
      <w:pPr>
        <w:spacing w:line="245" w:lineRule="auto"/>
        <w:rPr>
          <w:rFonts w:hint="eastAsia" w:ascii="仿宋" w:hAnsi="仿宋" w:eastAsia="仿宋" w:cs="仿宋"/>
          <w:color w:val="auto"/>
          <w:sz w:val="21"/>
          <w:highlight w:val="none"/>
        </w:rPr>
      </w:pPr>
    </w:p>
    <w:p w14:paraId="333B39C9">
      <w:pPr>
        <w:spacing w:line="245" w:lineRule="auto"/>
        <w:rPr>
          <w:rFonts w:hint="eastAsia" w:ascii="仿宋" w:hAnsi="仿宋" w:eastAsia="仿宋" w:cs="仿宋"/>
          <w:color w:val="auto"/>
          <w:sz w:val="21"/>
          <w:highlight w:val="none"/>
        </w:rPr>
      </w:pPr>
    </w:p>
    <w:p w14:paraId="6A017F09">
      <w:pPr>
        <w:spacing w:line="245" w:lineRule="auto"/>
        <w:rPr>
          <w:rFonts w:hint="eastAsia" w:ascii="仿宋" w:hAnsi="仿宋" w:eastAsia="仿宋" w:cs="仿宋"/>
          <w:color w:val="auto"/>
          <w:sz w:val="21"/>
          <w:highlight w:val="none"/>
        </w:rPr>
      </w:pPr>
    </w:p>
    <w:p w14:paraId="12607F29">
      <w:pPr>
        <w:spacing w:line="245" w:lineRule="auto"/>
        <w:rPr>
          <w:rFonts w:hint="eastAsia" w:ascii="仿宋" w:hAnsi="仿宋" w:eastAsia="仿宋" w:cs="仿宋"/>
          <w:color w:val="auto"/>
          <w:sz w:val="21"/>
          <w:highlight w:val="none"/>
        </w:rPr>
      </w:pPr>
    </w:p>
    <w:p w14:paraId="5ADCB9B5">
      <w:pPr>
        <w:spacing w:line="245" w:lineRule="auto"/>
        <w:rPr>
          <w:rFonts w:hint="eastAsia" w:ascii="仿宋" w:hAnsi="仿宋" w:eastAsia="仿宋" w:cs="仿宋"/>
          <w:color w:val="auto"/>
          <w:sz w:val="21"/>
          <w:highlight w:val="none"/>
        </w:rPr>
      </w:pPr>
    </w:p>
    <w:p w14:paraId="64348317">
      <w:pPr>
        <w:spacing w:line="245" w:lineRule="auto"/>
        <w:rPr>
          <w:rFonts w:hint="eastAsia" w:ascii="仿宋" w:hAnsi="仿宋" w:eastAsia="仿宋" w:cs="仿宋"/>
          <w:color w:val="auto"/>
          <w:sz w:val="21"/>
          <w:highlight w:val="none"/>
        </w:rPr>
      </w:pPr>
    </w:p>
    <w:p w14:paraId="0A94897E">
      <w:pPr>
        <w:spacing w:line="245" w:lineRule="auto"/>
        <w:rPr>
          <w:rFonts w:hint="eastAsia" w:ascii="仿宋" w:hAnsi="仿宋" w:eastAsia="仿宋" w:cs="仿宋"/>
          <w:color w:val="auto"/>
          <w:sz w:val="21"/>
          <w:highlight w:val="none"/>
        </w:rPr>
      </w:pPr>
    </w:p>
    <w:p w14:paraId="62A63642">
      <w:pPr>
        <w:spacing w:line="245" w:lineRule="auto"/>
        <w:rPr>
          <w:rFonts w:hint="eastAsia" w:ascii="仿宋" w:hAnsi="仿宋" w:eastAsia="仿宋" w:cs="仿宋"/>
          <w:color w:val="auto"/>
          <w:sz w:val="21"/>
          <w:highlight w:val="none"/>
        </w:rPr>
      </w:pPr>
    </w:p>
    <w:p w14:paraId="31A137CC">
      <w:pPr>
        <w:spacing w:line="245" w:lineRule="auto"/>
        <w:rPr>
          <w:rFonts w:hint="eastAsia" w:ascii="仿宋" w:hAnsi="仿宋" w:eastAsia="仿宋" w:cs="仿宋"/>
          <w:color w:val="auto"/>
          <w:sz w:val="21"/>
          <w:highlight w:val="none"/>
        </w:rPr>
      </w:pPr>
    </w:p>
    <w:p w14:paraId="44593D9F">
      <w:pPr>
        <w:spacing w:line="245" w:lineRule="auto"/>
        <w:rPr>
          <w:rFonts w:hint="eastAsia" w:ascii="仿宋" w:hAnsi="仿宋" w:eastAsia="仿宋" w:cs="仿宋"/>
          <w:color w:val="auto"/>
          <w:sz w:val="21"/>
          <w:highlight w:val="none"/>
        </w:rPr>
      </w:pPr>
    </w:p>
    <w:p w14:paraId="0C43A030">
      <w:pPr>
        <w:spacing w:line="245" w:lineRule="auto"/>
        <w:rPr>
          <w:rFonts w:hint="eastAsia" w:ascii="仿宋" w:hAnsi="仿宋" w:eastAsia="仿宋" w:cs="仿宋"/>
          <w:color w:val="auto"/>
          <w:sz w:val="21"/>
          <w:highlight w:val="none"/>
        </w:rPr>
      </w:pPr>
    </w:p>
    <w:p w14:paraId="18A6A49D">
      <w:pPr>
        <w:spacing w:line="245" w:lineRule="auto"/>
        <w:rPr>
          <w:rFonts w:hint="eastAsia" w:ascii="仿宋" w:hAnsi="仿宋" w:eastAsia="仿宋" w:cs="仿宋"/>
          <w:color w:val="auto"/>
          <w:sz w:val="21"/>
          <w:highlight w:val="none"/>
        </w:rPr>
      </w:pPr>
    </w:p>
    <w:p w14:paraId="1FDED517">
      <w:pPr>
        <w:spacing w:line="245" w:lineRule="auto"/>
        <w:rPr>
          <w:rFonts w:hint="eastAsia" w:ascii="仿宋" w:hAnsi="仿宋" w:eastAsia="仿宋" w:cs="仿宋"/>
          <w:color w:val="auto"/>
          <w:sz w:val="21"/>
          <w:highlight w:val="none"/>
        </w:rPr>
      </w:pPr>
    </w:p>
    <w:p w14:paraId="6AC3BC3E">
      <w:pPr>
        <w:spacing w:line="245" w:lineRule="auto"/>
        <w:rPr>
          <w:rFonts w:hint="eastAsia" w:ascii="仿宋" w:hAnsi="仿宋" w:eastAsia="仿宋" w:cs="仿宋"/>
          <w:color w:val="auto"/>
          <w:sz w:val="21"/>
          <w:highlight w:val="none"/>
        </w:rPr>
      </w:pPr>
    </w:p>
    <w:p w14:paraId="63656D4A">
      <w:pPr>
        <w:spacing w:line="245" w:lineRule="auto"/>
        <w:rPr>
          <w:rFonts w:hint="eastAsia" w:ascii="仿宋" w:hAnsi="仿宋" w:eastAsia="仿宋" w:cs="仿宋"/>
          <w:color w:val="auto"/>
          <w:sz w:val="21"/>
          <w:highlight w:val="none"/>
        </w:rPr>
      </w:pPr>
    </w:p>
    <w:p w14:paraId="4BEAA90A">
      <w:pPr>
        <w:spacing w:line="245" w:lineRule="auto"/>
        <w:rPr>
          <w:rFonts w:hint="eastAsia" w:ascii="仿宋" w:hAnsi="仿宋" w:eastAsia="仿宋" w:cs="仿宋"/>
          <w:color w:val="auto"/>
          <w:sz w:val="21"/>
          <w:highlight w:val="none"/>
        </w:rPr>
      </w:pPr>
    </w:p>
    <w:p w14:paraId="3E3654B4">
      <w:pPr>
        <w:spacing w:line="245" w:lineRule="auto"/>
        <w:rPr>
          <w:rFonts w:hint="eastAsia" w:ascii="仿宋" w:hAnsi="仿宋" w:eastAsia="仿宋" w:cs="仿宋"/>
          <w:color w:val="auto"/>
          <w:sz w:val="21"/>
          <w:highlight w:val="none"/>
        </w:rPr>
      </w:pPr>
    </w:p>
    <w:p w14:paraId="074C6886">
      <w:pPr>
        <w:spacing w:line="245" w:lineRule="auto"/>
        <w:rPr>
          <w:rFonts w:hint="eastAsia" w:ascii="仿宋" w:hAnsi="仿宋" w:eastAsia="仿宋" w:cs="仿宋"/>
          <w:color w:val="auto"/>
          <w:sz w:val="21"/>
          <w:highlight w:val="none"/>
        </w:rPr>
      </w:pPr>
    </w:p>
    <w:p w14:paraId="2571E377">
      <w:pPr>
        <w:spacing w:line="245" w:lineRule="auto"/>
        <w:rPr>
          <w:rFonts w:hint="eastAsia" w:ascii="仿宋" w:hAnsi="仿宋" w:eastAsia="仿宋" w:cs="仿宋"/>
          <w:color w:val="auto"/>
          <w:sz w:val="21"/>
          <w:highlight w:val="none"/>
        </w:rPr>
      </w:pPr>
    </w:p>
    <w:p w14:paraId="39C5E7F8">
      <w:pPr>
        <w:spacing w:line="245" w:lineRule="auto"/>
        <w:rPr>
          <w:rFonts w:hint="eastAsia" w:ascii="仿宋" w:hAnsi="仿宋" w:eastAsia="仿宋" w:cs="仿宋"/>
          <w:color w:val="auto"/>
          <w:sz w:val="21"/>
          <w:highlight w:val="none"/>
        </w:rPr>
      </w:pPr>
    </w:p>
    <w:p w14:paraId="4C0740AA">
      <w:pPr>
        <w:spacing w:line="245" w:lineRule="auto"/>
        <w:rPr>
          <w:rFonts w:hint="eastAsia" w:ascii="仿宋" w:hAnsi="仿宋" w:eastAsia="仿宋" w:cs="仿宋"/>
          <w:color w:val="auto"/>
          <w:sz w:val="21"/>
          <w:highlight w:val="none"/>
        </w:rPr>
      </w:pPr>
    </w:p>
    <w:p w14:paraId="4F65FBED">
      <w:pPr>
        <w:spacing w:line="245" w:lineRule="auto"/>
        <w:rPr>
          <w:rFonts w:hint="eastAsia" w:ascii="仿宋" w:hAnsi="仿宋" w:eastAsia="仿宋" w:cs="仿宋"/>
          <w:color w:val="auto"/>
          <w:sz w:val="21"/>
          <w:highlight w:val="none"/>
        </w:rPr>
      </w:pPr>
    </w:p>
    <w:p w14:paraId="27A02D52">
      <w:pPr>
        <w:spacing w:line="245" w:lineRule="auto"/>
        <w:rPr>
          <w:rFonts w:hint="eastAsia" w:ascii="仿宋" w:hAnsi="仿宋" w:eastAsia="仿宋" w:cs="仿宋"/>
          <w:color w:val="auto"/>
          <w:sz w:val="21"/>
          <w:highlight w:val="none"/>
        </w:rPr>
      </w:pPr>
    </w:p>
    <w:p w14:paraId="14813E6F">
      <w:pPr>
        <w:spacing w:line="245" w:lineRule="auto"/>
        <w:rPr>
          <w:rFonts w:hint="eastAsia" w:ascii="仿宋" w:hAnsi="仿宋" w:eastAsia="仿宋" w:cs="仿宋"/>
          <w:color w:val="auto"/>
          <w:sz w:val="21"/>
          <w:highlight w:val="none"/>
        </w:rPr>
      </w:pPr>
    </w:p>
    <w:p w14:paraId="2F46A2F3">
      <w:pPr>
        <w:spacing w:line="245" w:lineRule="auto"/>
        <w:rPr>
          <w:rFonts w:hint="eastAsia" w:ascii="仿宋" w:hAnsi="仿宋" w:eastAsia="仿宋" w:cs="仿宋"/>
          <w:color w:val="auto"/>
          <w:sz w:val="21"/>
          <w:highlight w:val="none"/>
        </w:rPr>
      </w:pPr>
    </w:p>
    <w:p w14:paraId="7B72FB0C">
      <w:pPr>
        <w:spacing w:line="245" w:lineRule="auto"/>
        <w:rPr>
          <w:rFonts w:hint="eastAsia" w:ascii="仿宋" w:hAnsi="仿宋" w:eastAsia="仿宋" w:cs="仿宋"/>
          <w:color w:val="auto"/>
          <w:sz w:val="21"/>
          <w:highlight w:val="none"/>
        </w:rPr>
      </w:pPr>
    </w:p>
    <w:p w14:paraId="61967828">
      <w:pPr>
        <w:spacing w:line="245" w:lineRule="auto"/>
        <w:rPr>
          <w:rFonts w:hint="eastAsia" w:ascii="仿宋" w:hAnsi="仿宋" w:eastAsia="仿宋" w:cs="仿宋"/>
          <w:color w:val="auto"/>
          <w:sz w:val="21"/>
          <w:highlight w:val="none"/>
        </w:rPr>
      </w:pPr>
    </w:p>
    <w:p w14:paraId="5785DF71">
      <w:pPr>
        <w:spacing w:line="245" w:lineRule="auto"/>
        <w:rPr>
          <w:rFonts w:hint="eastAsia" w:ascii="仿宋" w:hAnsi="仿宋" w:eastAsia="仿宋" w:cs="仿宋"/>
          <w:color w:val="auto"/>
          <w:sz w:val="21"/>
          <w:highlight w:val="none"/>
        </w:rPr>
      </w:pPr>
    </w:p>
    <w:p w14:paraId="390A0730">
      <w:pPr>
        <w:spacing w:line="212" w:lineRule="auto"/>
        <w:ind w:left="18"/>
        <w:jc w:val="center"/>
        <w:outlineLvl w:val="1"/>
        <w:rPr>
          <w:rFonts w:hint="eastAsia" w:ascii="仿宋" w:hAnsi="仿宋" w:eastAsia="仿宋" w:cs="仿宋"/>
          <w:color w:val="auto"/>
          <w:spacing w:val="-1"/>
          <w:sz w:val="28"/>
          <w:szCs w:val="28"/>
          <w:highlight w:val="none"/>
          <w14:textOutline w14:w="5103" w14:cap="sq" w14:cmpd="sng">
            <w14:solidFill>
              <w14:srgbClr w14:val="000000"/>
            </w14:solidFill>
            <w14:prstDash w14:val="solid"/>
            <w14:bevel/>
          </w14:textOutline>
        </w:rPr>
      </w:pPr>
    </w:p>
    <w:p w14:paraId="0CE6B62C">
      <w:pPr>
        <w:spacing w:line="212" w:lineRule="auto"/>
        <w:ind w:left="18"/>
        <w:jc w:val="center"/>
        <w:outlineLvl w:val="1"/>
        <w:rPr>
          <w:rFonts w:hint="eastAsia" w:ascii="仿宋" w:hAnsi="仿宋" w:eastAsia="仿宋" w:cs="仿宋"/>
          <w:color w:val="auto"/>
          <w:spacing w:val="-1"/>
          <w:sz w:val="28"/>
          <w:szCs w:val="28"/>
          <w:highlight w:val="none"/>
          <w14:textOutline w14:w="5103" w14:cap="sq" w14:cmpd="sng">
            <w14:solidFill>
              <w14:srgbClr w14:val="000000"/>
            </w14:solidFill>
            <w14:prstDash w14:val="solid"/>
            <w14:bevel/>
          </w14:textOutline>
        </w:rPr>
      </w:pPr>
    </w:p>
    <w:p w14:paraId="6A4DB2A9">
      <w:pPr>
        <w:spacing w:line="212" w:lineRule="auto"/>
        <w:ind w:left="18"/>
        <w:jc w:val="center"/>
        <w:outlineLvl w:val="1"/>
        <w:rPr>
          <w:rFonts w:hint="eastAsia" w:ascii="仿宋" w:hAnsi="仿宋" w:eastAsia="仿宋" w:cs="仿宋"/>
          <w:color w:val="auto"/>
          <w:spacing w:val="-1"/>
          <w:sz w:val="28"/>
          <w:szCs w:val="28"/>
          <w:highlight w:val="none"/>
          <w14:textOutline w14:w="5103" w14:cap="sq" w14:cmpd="sng">
            <w14:solidFill>
              <w14:srgbClr w14:val="000000"/>
            </w14:solidFill>
            <w14:prstDash w14:val="solid"/>
            <w14:bevel/>
          </w14:textOutline>
        </w:rPr>
      </w:pPr>
    </w:p>
    <w:p w14:paraId="571A0863">
      <w:pPr>
        <w:spacing w:line="212" w:lineRule="auto"/>
        <w:ind w:left="18"/>
        <w:jc w:val="center"/>
        <w:outlineLvl w:val="1"/>
        <w:rPr>
          <w:rFonts w:hint="eastAsia" w:ascii="仿宋" w:hAnsi="仿宋" w:eastAsia="仿宋" w:cs="仿宋"/>
          <w:color w:val="auto"/>
          <w:spacing w:val="-1"/>
          <w:sz w:val="28"/>
          <w:szCs w:val="28"/>
          <w:highlight w:val="none"/>
          <w14:textOutline w14:w="5103" w14:cap="sq" w14:cmpd="sng">
            <w14:solidFill>
              <w14:srgbClr w14:val="000000"/>
            </w14:solidFill>
            <w14:prstDash w14:val="solid"/>
            <w14:bevel/>
          </w14:textOutline>
        </w:rPr>
      </w:pPr>
    </w:p>
    <w:p w14:paraId="63A759D1">
      <w:pPr>
        <w:spacing w:line="212" w:lineRule="auto"/>
        <w:ind w:left="18"/>
        <w:jc w:val="center"/>
        <w:outlineLvl w:val="1"/>
        <w:rPr>
          <w:rFonts w:hint="eastAsia" w:ascii="仿宋" w:hAnsi="仿宋" w:eastAsia="仿宋" w:cs="仿宋"/>
          <w:color w:val="auto"/>
          <w:spacing w:val="-1"/>
          <w:sz w:val="28"/>
          <w:szCs w:val="28"/>
          <w:highlight w:val="none"/>
          <w14:textOutline w14:w="5103" w14:cap="sq" w14:cmpd="sng">
            <w14:solidFill>
              <w14:srgbClr w14:val="000000"/>
            </w14:solidFill>
            <w14:prstDash w14:val="solid"/>
            <w14:bevel/>
          </w14:textOutline>
        </w:rPr>
      </w:pPr>
    </w:p>
    <w:p w14:paraId="5AD10535">
      <w:pPr>
        <w:spacing w:line="212" w:lineRule="auto"/>
        <w:ind w:left="18"/>
        <w:jc w:val="center"/>
        <w:outlineLvl w:val="1"/>
        <w:rPr>
          <w:rFonts w:hint="eastAsia" w:ascii="仿宋" w:hAnsi="仿宋" w:eastAsia="仿宋" w:cs="仿宋"/>
          <w:color w:val="auto"/>
          <w:sz w:val="21"/>
          <w:highlight w:val="none"/>
        </w:rPr>
      </w:pPr>
      <w:r>
        <w:rPr>
          <w:rFonts w:hint="eastAsia" w:ascii="仿宋" w:hAnsi="仿宋" w:eastAsia="仿宋" w:cs="仿宋"/>
          <w:color w:val="auto"/>
          <w:spacing w:val="-1"/>
          <w:sz w:val="28"/>
          <w:szCs w:val="28"/>
          <w:highlight w:val="none"/>
          <w14:textOutline w14:w="5103" w14:cap="sq" w14:cmpd="sng">
            <w14:solidFill>
              <w14:srgbClr w14:val="000000"/>
            </w14:solidFill>
            <w14:prstDash w14:val="solid"/>
            <w14:bevel/>
          </w14:textOutline>
        </w:rPr>
        <w:t>评标办法前附表</w:t>
      </w:r>
    </w:p>
    <w:p w14:paraId="19855730">
      <w:pPr>
        <w:spacing w:line="245" w:lineRule="auto"/>
        <w:rPr>
          <w:rFonts w:hint="eastAsia" w:ascii="仿宋" w:hAnsi="仿宋" w:eastAsia="仿宋" w:cs="仿宋"/>
          <w:color w:val="auto"/>
          <w:sz w:val="21"/>
          <w:highlight w:val="none"/>
        </w:rPr>
      </w:pPr>
    </w:p>
    <w:tbl>
      <w:tblPr>
        <w:tblStyle w:val="7"/>
        <w:tblW w:w="97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1139"/>
        <w:gridCol w:w="7661"/>
      </w:tblGrid>
      <w:tr w14:paraId="43B05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2065" w:type="dxa"/>
            <w:gridSpan w:val="2"/>
            <w:vAlign w:val="center"/>
          </w:tcPr>
          <w:p w14:paraId="147B33D5">
            <w:pPr>
              <w:pStyle w:val="6"/>
              <w:spacing w:before="104" w:line="228" w:lineRule="auto"/>
              <w:ind w:left="72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14:textOutline w14:w="3795" w14:cap="sq" w14:cmpd="sng">
                  <w14:solidFill>
                    <w14:srgbClr w14:val="000000"/>
                  </w14:solidFill>
                  <w14:prstDash w14:val="solid"/>
                  <w14:bevel/>
                </w14:textOutline>
              </w:rPr>
              <w:t>条款号</w:t>
            </w:r>
          </w:p>
        </w:tc>
        <w:tc>
          <w:tcPr>
            <w:tcW w:w="7661" w:type="dxa"/>
            <w:vAlign w:val="center"/>
          </w:tcPr>
          <w:p w14:paraId="3D1A5E23">
            <w:pPr>
              <w:pStyle w:val="6"/>
              <w:spacing w:before="104" w:line="228" w:lineRule="auto"/>
              <w:ind w:left="2582"/>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14:textOutline w14:w="3795" w14:cap="sq" w14:cmpd="sng">
                  <w14:solidFill>
                    <w14:srgbClr w14:val="000000"/>
                  </w14:solidFill>
                  <w14:prstDash w14:val="solid"/>
                  <w14:bevel/>
                </w14:textOutline>
              </w:rPr>
              <w:t>评审因素与评审标准</w:t>
            </w:r>
          </w:p>
        </w:tc>
      </w:tr>
      <w:tr w14:paraId="6304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26" w:type="dxa"/>
            <w:vAlign w:val="center"/>
          </w:tcPr>
          <w:p w14:paraId="0793D4D4">
            <w:pPr>
              <w:pStyle w:val="6"/>
              <w:spacing w:before="65" w:line="189" w:lineRule="auto"/>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1139" w:type="dxa"/>
            <w:vAlign w:val="center"/>
          </w:tcPr>
          <w:p w14:paraId="30175671">
            <w:pPr>
              <w:pStyle w:val="6"/>
              <w:spacing w:before="65" w:line="360" w:lineRule="auto"/>
              <w:jc w:val="center"/>
              <w:rPr>
                <w:rFonts w:hint="eastAsia" w:ascii="仿宋" w:hAnsi="仿宋" w:eastAsia="仿宋" w:cs="仿宋"/>
                <w:snapToGrid w:val="0"/>
                <w:color w:val="auto"/>
                <w:kern w:val="0"/>
                <w:sz w:val="22"/>
                <w:szCs w:val="22"/>
                <w:highlight w:val="none"/>
                <w:lang w:val="zh-CN" w:eastAsia="zh-CN" w:bidi="ar-SA"/>
              </w:rPr>
            </w:pPr>
            <w:r>
              <w:rPr>
                <w:rFonts w:hint="eastAsia" w:ascii="仿宋" w:hAnsi="仿宋" w:eastAsia="仿宋" w:cs="仿宋"/>
                <w:snapToGrid w:val="0"/>
                <w:color w:val="auto"/>
                <w:kern w:val="0"/>
                <w:sz w:val="22"/>
                <w:szCs w:val="22"/>
                <w:highlight w:val="none"/>
                <w:lang w:val="zh-CN" w:eastAsia="zh-CN" w:bidi="ar-SA"/>
              </w:rPr>
              <w:t>评标方法</w:t>
            </w:r>
          </w:p>
        </w:tc>
        <w:tc>
          <w:tcPr>
            <w:tcW w:w="7661" w:type="dxa"/>
            <w:vAlign w:val="center"/>
          </w:tcPr>
          <w:p w14:paraId="1573DAE6">
            <w:pPr>
              <w:pStyle w:val="6"/>
              <w:spacing w:before="29" w:line="360" w:lineRule="auto"/>
              <w:ind w:left="115" w:right="107" w:firstLine="288"/>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综合评分相等时，评标委员会依次按照以下优先顺序推荐中标候选人或确定中标人：</w:t>
            </w:r>
          </w:p>
          <w:p w14:paraId="7C10D0A4">
            <w:pPr>
              <w:pStyle w:val="6"/>
              <w:spacing w:before="33" w:line="360" w:lineRule="auto"/>
              <w:ind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（1）评标价低的投标人优先；</w:t>
            </w:r>
          </w:p>
          <w:p w14:paraId="334B9287">
            <w:pPr>
              <w:pStyle w:val="6"/>
              <w:spacing w:before="33" w:line="360" w:lineRule="auto"/>
              <w:ind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2）按招标文件规定被认定为广东省信用等级较高的投标人优先（采用如下的优先顺序：承诺使用的AA级投标人、不承诺使用的AA级投标人、承诺使用的A级投标人、不承诺使用的A级投标人、B级投标人、未参评且被确定为B级投标人）；</w:t>
            </w:r>
          </w:p>
          <w:p w14:paraId="618180DD">
            <w:pPr>
              <w:pStyle w:val="6"/>
              <w:spacing w:before="33" w:line="360" w:lineRule="auto"/>
              <w:ind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（3）商务和技术得分较高的投标人优先；</w:t>
            </w:r>
          </w:p>
          <w:p w14:paraId="158F74AD">
            <w:pPr>
              <w:pStyle w:val="6"/>
              <w:spacing w:before="33" w:line="360" w:lineRule="auto"/>
              <w:ind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（4）由评标委员会投票确定。</w:t>
            </w:r>
          </w:p>
        </w:tc>
      </w:tr>
      <w:tr w14:paraId="1CE7D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0" w:hRule="atLeast"/>
          <w:jc w:val="center"/>
        </w:trPr>
        <w:tc>
          <w:tcPr>
            <w:tcW w:w="926" w:type="dxa"/>
            <w:vAlign w:val="center"/>
          </w:tcPr>
          <w:p w14:paraId="441E1D4E">
            <w:pPr>
              <w:pStyle w:val="6"/>
              <w:spacing w:before="65" w:line="408" w:lineRule="exact"/>
              <w:ind w:left="208"/>
              <w:jc w:val="center"/>
              <w:rPr>
                <w:rFonts w:hint="eastAsia" w:ascii="仿宋" w:hAnsi="仿宋" w:eastAsia="仿宋" w:cs="仿宋"/>
                <w:color w:val="auto"/>
                <w:sz w:val="22"/>
                <w:szCs w:val="22"/>
                <w:highlight w:val="none"/>
              </w:rPr>
            </w:pPr>
            <w:r>
              <w:rPr>
                <w:rFonts w:hint="eastAsia" w:ascii="仿宋" w:hAnsi="仿宋" w:eastAsia="仿宋" w:cs="仿宋"/>
                <w:color w:val="auto"/>
                <w:spacing w:val="2"/>
                <w:position w:val="18"/>
                <w:sz w:val="22"/>
                <w:szCs w:val="22"/>
                <w:highlight w:val="none"/>
              </w:rPr>
              <w:t>2.1.1</w:t>
            </w:r>
          </w:p>
          <w:p w14:paraId="64993758">
            <w:pPr>
              <w:pStyle w:val="6"/>
              <w:spacing w:line="189" w:lineRule="auto"/>
              <w:ind w:left="208"/>
              <w:jc w:val="center"/>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2.1.3</w:t>
            </w:r>
          </w:p>
        </w:tc>
        <w:tc>
          <w:tcPr>
            <w:tcW w:w="1139" w:type="dxa"/>
            <w:vAlign w:val="center"/>
          </w:tcPr>
          <w:p w14:paraId="7631A98E">
            <w:pPr>
              <w:pStyle w:val="6"/>
              <w:spacing w:before="28" w:line="228" w:lineRule="auto"/>
              <w:jc w:val="center"/>
              <w:rPr>
                <w:rFonts w:hint="eastAsia" w:ascii="仿宋" w:hAnsi="仿宋" w:eastAsia="仿宋" w:cs="仿宋"/>
                <w:color w:val="auto"/>
                <w:sz w:val="22"/>
                <w:szCs w:val="22"/>
                <w:highlight w:val="none"/>
              </w:rPr>
            </w:pPr>
            <w:r>
              <w:rPr>
                <w:rFonts w:hint="eastAsia" w:ascii="仿宋" w:hAnsi="仿宋" w:eastAsia="仿宋" w:cs="仿宋"/>
                <w:snapToGrid w:val="0"/>
                <w:color w:val="auto"/>
                <w:spacing w:val="9"/>
                <w:kern w:val="0"/>
                <w:sz w:val="22"/>
                <w:szCs w:val="22"/>
                <w:highlight w:val="none"/>
                <w:lang w:val="zh-CN" w:eastAsia="zh-CN" w:bidi="ar-SA"/>
              </w:rPr>
              <w:t>形式评审与响应性评审标准</w:t>
            </w:r>
          </w:p>
        </w:tc>
        <w:tc>
          <w:tcPr>
            <w:tcW w:w="7661" w:type="dxa"/>
            <w:vAlign w:val="center"/>
          </w:tcPr>
          <w:p w14:paraId="2386F785">
            <w:pPr>
              <w:pStyle w:val="6"/>
              <w:spacing w:before="33" w:line="228" w:lineRule="auto"/>
              <w:ind w:left="533"/>
              <w:rPr>
                <w:rFonts w:hint="eastAsia" w:ascii="仿宋" w:hAnsi="仿宋" w:eastAsia="仿宋" w:cs="仿宋"/>
                <w:b/>
                <w:bCs/>
                <w:snapToGrid w:val="0"/>
                <w:color w:val="auto"/>
                <w:spacing w:val="9"/>
                <w:kern w:val="0"/>
                <w:sz w:val="22"/>
                <w:szCs w:val="22"/>
                <w:highlight w:val="none"/>
                <w:lang w:val="zh-CN" w:eastAsia="zh-CN" w:bidi="ar-SA"/>
              </w:rPr>
            </w:pPr>
            <w:r>
              <w:rPr>
                <w:rFonts w:hint="eastAsia" w:ascii="仿宋" w:hAnsi="仿宋" w:eastAsia="仿宋" w:cs="仿宋"/>
                <w:b/>
                <w:bCs/>
                <w:snapToGrid w:val="0"/>
                <w:color w:val="auto"/>
                <w:spacing w:val="9"/>
                <w:kern w:val="0"/>
                <w:sz w:val="22"/>
                <w:szCs w:val="22"/>
                <w:highlight w:val="none"/>
                <w:lang w:val="zh-CN" w:eastAsia="zh-CN" w:bidi="ar-SA"/>
              </w:rPr>
              <w:t>第一个信封（商务及技术文件）评审标准：</w:t>
            </w:r>
          </w:p>
          <w:p w14:paraId="227DE8E8">
            <w:pPr>
              <w:pStyle w:val="6"/>
              <w:spacing w:before="161" w:line="362" w:lineRule="auto"/>
              <w:ind w:right="109"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（1）投标文件按照招标文件规定的格式、内容填写，字迹清晰可辨：</w:t>
            </w:r>
          </w:p>
          <w:p w14:paraId="42B0B146">
            <w:pPr>
              <w:pStyle w:val="6"/>
              <w:spacing w:before="32" w:line="364" w:lineRule="auto"/>
              <w:ind w:right="109"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a.投标函按招标文件规定填报了项目名称、标段号、补遗书编号（如有）、监理服务期限、工程质量要求及安全目标；</w:t>
            </w:r>
          </w:p>
          <w:p w14:paraId="65975C50">
            <w:pPr>
              <w:pStyle w:val="6"/>
              <w:spacing w:before="28" w:line="228" w:lineRule="auto"/>
              <w:ind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b.投标文件组成齐全完整，内容均按规定填写。</w:t>
            </w:r>
          </w:p>
          <w:p w14:paraId="2CDE63EC">
            <w:pPr>
              <w:pStyle w:val="6"/>
              <w:spacing w:before="160" w:line="302" w:lineRule="auto"/>
              <w:ind w:right="109"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（2）投标文件上法定代表人或其委托代理人的签字、投标人的单位章盖章齐全，符合招标文件规定。【注：签字，可以加盖个人电子印章，或亲笔签名后扫描上传的任一方式操作。】</w:t>
            </w:r>
          </w:p>
          <w:p w14:paraId="5FB30254">
            <w:pPr>
              <w:pStyle w:val="6"/>
              <w:spacing w:before="163" w:line="227" w:lineRule="auto"/>
              <w:ind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（3）投标人按照招标文件的规定提供了投标保证金：</w:t>
            </w:r>
          </w:p>
          <w:p w14:paraId="5C9D799F">
            <w:pPr>
              <w:pStyle w:val="6"/>
              <w:spacing w:before="161" w:line="365" w:lineRule="auto"/>
              <w:ind w:right="107"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a.投标保证金金额符合招标文件规定的金额，且投标保证金有效期不少于投标有效期；</w:t>
            </w:r>
          </w:p>
          <w:p w14:paraId="75047C97">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b.若投标保证金采用银行转账形式提交，投标人应在招标文件规定的投标保证金递交截止时间之前，将投标保证金由投标人的基本账户转入招标人指定账户；</w:t>
            </w:r>
          </w:p>
          <w:p w14:paraId="60EA2366">
            <w:pPr>
              <w:pStyle w:val="6"/>
              <w:spacing w:before="33" w:line="362" w:lineRule="auto"/>
              <w:ind w:right="107" w:firstLine="476" w:firstLineChars="200"/>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c.若投标保证金采用</w:t>
            </w:r>
            <w:r>
              <w:rPr>
                <w:rFonts w:hint="eastAsia" w:ascii="仿宋" w:hAnsi="仿宋" w:eastAsia="仿宋" w:cs="仿宋"/>
                <w:snapToGrid w:val="0"/>
                <w:color w:val="auto"/>
                <w:spacing w:val="9"/>
                <w:kern w:val="0"/>
                <w:sz w:val="22"/>
                <w:szCs w:val="22"/>
                <w:highlight w:val="none"/>
                <w:lang w:val="en-US" w:eastAsia="zh-CN" w:bidi="ar-SA"/>
              </w:rPr>
              <w:t>电子</w:t>
            </w:r>
            <w:r>
              <w:rPr>
                <w:rFonts w:hint="eastAsia" w:ascii="仿宋" w:hAnsi="仿宋" w:eastAsia="仿宋" w:cs="仿宋"/>
                <w:snapToGrid w:val="0"/>
                <w:color w:val="auto"/>
                <w:spacing w:val="9"/>
                <w:kern w:val="0"/>
                <w:sz w:val="22"/>
                <w:szCs w:val="22"/>
                <w:highlight w:val="none"/>
                <w:lang w:val="zh-CN" w:eastAsia="zh-CN" w:bidi="ar-SA"/>
              </w:rPr>
              <w:t>保函或投标人须知前附表3.4.1项规定的其他形式提交，应满足招标文件要求。</w:t>
            </w:r>
          </w:p>
          <w:p w14:paraId="7F5C5879">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（4）投标人法定代表人授权委托代理人签署投标文件的，须提交授权委托书，</w:t>
            </w:r>
            <w:r>
              <w:rPr>
                <w:rFonts w:hint="eastAsia" w:ascii="仿宋" w:hAnsi="仿宋" w:eastAsia="仿宋" w:cs="仿宋"/>
                <w:color w:val="auto"/>
                <w:spacing w:val="9"/>
                <w:sz w:val="22"/>
                <w:szCs w:val="22"/>
                <w:highlight w:val="none"/>
                <w:lang w:val="zh-CN" w:eastAsia="zh-CN"/>
              </w:rPr>
              <w:t>且授权人和被授权人</w:t>
            </w:r>
            <w:r>
              <w:rPr>
                <w:rFonts w:hint="eastAsia" w:ascii="仿宋" w:hAnsi="仿宋" w:eastAsia="仿宋" w:cs="仿宋"/>
                <w:b w:val="0"/>
                <w:bCs w:val="0"/>
                <w:color w:val="auto"/>
                <w:spacing w:val="9"/>
                <w:sz w:val="22"/>
                <w:szCs w:val="22"/>
                <w:highlight w:val="none"/>
                <w:lang w:val="zh-CN" w:eastAsia="zh-CN"/>
              </w:rPr>
              <w:t>均在授权委托书上加盖个人电子印章或亲笔签名后扫描上传</w:t>
            </w:r>
            <w:r>
              <w:rPr>
                <w:rFonts w:hint="eastAsia" w:ascii="仿宋" w:hAnsi="仿宋" w:eastAsia="仿宋" w:cs="仿宋"/>
                <w:b w:val="0"/>
                <w:color w:val="auto"/>
                <w:spacing w:val="9"/>
                <w:sz w:val="22"/>
                <w:szCs w:val="22"/>
                <w:highlight w:val="none"/>
                <w:lang w:val="zh-CN" w:eastAsia="zh-CN"/>
              </w:rPr>
              <w:t>。</w:t>
            </w:r>
          </w:p>
          <w:p w14:paraId="368BBB2D">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（5）投标人法定代表人亲自签署投标文件的，提供了法定代表人身份证明，</w:t>
            </w:r>
            <w:r>
              <w:rPr>
                <w:rFonts w:hint="eastAsia" w:ascii="仿宋" w:hAnsi="仿宋" w:eastAsia="仿宋" w:cs="仿宋"/>
                <w:color w:val="auto"/>
                <w:spacing w:val="9"/>
                <w:sz w:val="22"/>
                <w:szCs w:val="22"/>
                <w:highlight w:val="none"/>
                <w:lang w:val="zh-CN" w:eastAsia="zh-CN"/>
              </w:rPr>
              <w:t>且法定代表人</w:t>
            </w:r>
            <w:r>
              <w:rPr>
                <w:rFonts w:hint="eastAsia" w:ascii="仿宋" w:hAnsi="仿宋" w:eastAsia="仿宋" w:cs="仿宋"/>
                <w:b w:val="0"/>
                <w:bCs w:val="0"/>
                <w:color w:val="auto"/>
                <w:spacing w:val="9"/>
                <w:sz w:val="22"/>
                <w:szCs w:val="22"/>
                <w:highlight w:val="none"/>
                <w:lang w:val="zh-CN" w:eastAsia="zh-CN"/>
              </w:rPr>
              <w:t>在法定代表人身份证明上加盖个人电子印章或亲笔签名后扫描上传</w:t>
            </w:r>
            <w:r>
              <w:rPr>
                <w:rFonts w:hint="eastAsia" w:ascii="仿宋" w:hAnsi="仿宋" w:eastAsia="仿宋" w:cs="仿宋"/>
                <w:b w:val="0"/>
                <w:color w:val="auto"/>
                <w:spacing w:val="9"/>
                <w:sz w:val="22"/>
                <w:szCs w:val="22"/>
                <w:highlight w:val="none"/>
                <w:lang w:val="zh-CN" w:eastAsia="zh-CN"/>
              </w:rPr>
              <w:t>。</w:t>
            </w:r>
          </w:p>
          <w:p w14:paraId="1DB61FB6">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（6）</w:t>
            </w:r>
            <w:r>
              <w:rPr>
                <w:rFonts w:hint="eastAsia" w:ascii="仿宋" w:hAnsi="仿宋" w:eastAsia="仿宋" w:cs="仿宋"/>
                <w:color w:val="auto"/>
                <w:spacing w:val="9"/>
                <w:sz w:val="22"/>
                <w:szCs w:val="22"/>
                <w:highlight w:val="none"/>
                <w:lang w:val="zh-CN" w:eastAsia="zh-CN"/>
              </w:rPr>
              <w:t>投标人未以联合体形式投标。</w:t>
            </w:r>
          </w:p>
          <w:p w14:paraId="6F12B16E">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w:t>
            </w:r>
            <w:r>
              <w:rPr>
                <w:rFonts w:hint="eastAsia" w:ascii="仿宋" w:hAnsi="仿宋" w:eastAsia="仿宋" w:cs="仿宋"/>
                <w:snapToGrid w:val="0"/>
                <w:color w:val="auto"/>
                <w:spacing w:val="9"/>
                <w:kern w:val="0"/>
                <w:sz w:val="22"/>
                <w:szCs w:val="22"/>
                <w:highlight w:val="none"/>
                <w:lang w:val="en-US" w:eastAsia="zh-CN" w:bidi="ar-SA"/>
              </w:rPr>
              <w:t>7</w:t>
            </w:r>
            <w:r>
              <w:rPr>
                <w:rFonts w:hint="eastAsia" w:ascii="仿宋" w:hAnsi="仿宋" w:eastAsia="仿宋" w:cs="仿宋"/>
                <w:snapToGrid w:val="0"/>
                <w:color w:val="auto"/>
                <w:spacing w:val="9"/>
                <w:kern w:val="0"/>
                <w:sz w:val="22"/>
                <w:szCs w:val="22"/>
                <w:highlight w:val="none"/>
                <w:lang w:val="zh-CN" w:eastAsia="zh-CN" w:bidi="ar-SA"/>
              </w:rPr>
              <w:t>）同一投标人未提交两个以上不同的投标文件，但招标文件要求提交备选投标的除外。</w:t>
            </w:r>
          </w:p>
          <w:p w14:paraId="55C214B5">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w:t>
            </w:r>
            <w:r>
              <w:rPr>
                <w:rFonts w:hint="eastAsia" w:ascii="仿宋" w:hAnsi="仿宋" w:eastAsia="仿宋" w:cs="仿宋"/>
                <w:snapToGrid w:val="0"/>
                <w:color w:val="auto"/>
                <w:spacing w:val="9"/>
                <w:kern w:val="0"/>
                <w:sz w:val="22"/>
                <w:szCs w:val="22"/>
                <w:highlight w:val="none"/>
                <w:lang w:val="en-US" w:eastAsia="zh-CN" w:bidi="ar-SA"/>
              </w:rPr>
              <w:t>8</w:t>
            </w:r>
            <w:r>
              <w:rPr>
                <w:rFonts w:hint="eastAsia" w:ascii="仿宋" w:hAnsi="仿宋" w:eastAsia="仿宋" w:cs="仿宋"/>
                <w:snapToGrid w:val="0"/>
                <w:color w:val="auto"/>
                <w:spacing w:val="9"/>
                <w:kern w:val="0"/>
                <w:sz w:val="22"/>
                <w:szCs w:val="22"/>
                <w:highlight w:val="none"/>
                <w:lang w:val="zh-CN" w:eastAsia="zh-CN" w:bidi="ar-SA"/>
              </w:rPr>
              <w:t>）投标文件中未出现有关投标报价的内容。</w:t>
            </w:r>
          </w:p>
          <w:p w14:paraId="112FC9F2">
            <w:pPr>
              <w:pStyle w:val="6"/>
              <w:kinsoku/>
              <w:spacing w:before="29" w:line="368" w:lineRule="auto"/>
              <w:ind w:right="108"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w:t>
            </w:r>
            <w:r>
              <w:rPr>
                <w:rFonts w:hint="eastAsia" w:ascii="仿宋" w:hAnsi="仿宋" w:eastAsia="仿宋" w:cs="仿宋"/>
                <w:snapToGrid w:val="0"/>
                <w:color w:val="auto"/>
                <w:spacing w:val="9"/>
                <w:kern w:val="0"/>
                <w:sz w:val="22"/>
                <w:szCs w:val="22"/>
                <w:highlight w:val="none"/>
                <w:lang w:val="en-US" w:eastAsia="zh-CN" w:bidi="ar-SA"/>
              </w:rPr>
              <w:t>9</w:t>
            </w:r>
            <w:r>
              <w:rPr>
                <w:rFonts w:hint="eastAsia" w:ascii="仿宋" w:hAnsi="仿宋" w:eastAsia="仿宋" w:cs="仿宋"/>
                <w:snapToGrid w:val="0"/>
                <w:color w:val="auto"/>
                <w:spacing w:val="9"/>
                <w:kern w:val="0"/>
                <w:sz w:val="22"/>
                <w:szCs w:val="22"/>
                <w:highlight w:val="none"/>
                <w:lang w:val="zh-CN" w:eastAsia="zh-CN" w:bidi="ar-SA"/>
              </w:rPr>
              <w:t>）投标文件载明的招标项目完成期限未超过招标文件规定的时限。</w:t>
            </w:r>
          </w:p>
          <w:p w14:paraId="379544CB">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w:t>
            </w:r>
            <w:r>
              <w:rPr>
                <w:rFonts w:hint="eastAsia" w:ascii="仿宋" w:hAnsi="仿宋" w:eastAsia="仿宋" w:cs="仿宋"/>
                <w:snapToGrid w:val="0"/>
                <w:color w:val="auto"/>
                <w:spacing w:val="9"/>
                <w:kern w:val="0"/>
                <w:sz w:val="22"/>
                <w:szCs w:val="22"/>
                <w:highlight w:val="none"/>
                <w:lang w:val="en-US" w:eastAsia="zh-CN" w:bidi="ar-SA"/>
              </w:rPr>
              <w:t>0</w:t>
            </w:r>
            <w:r>
              <w:rPr>
                <w:rFonts w:hint="eastAsia" w:ascii="仿宋" w:hAnsi="仿宋" w:eastAsia="仿宋" w:cs="仿宋"/>
                <w:snapToGrid w:val="0"/>
                <w:color w:val="auto"/>
                <w:spacing w:val="9"/>
                <w:kern w:val="0"/>
                <w:sz w:val="22"/>
                <w:szCs w:val="22"/>
                <w:highlight w:val="none"/>
                <w:lang w:val="zh-CN" w:eastAsia="zh-CN" w:bidi="ar-SA"/>
              </w:rPr>
              <w:t>）投标文件对招标文件的实质性要求和条件作出响应。</w:t>
            </w:r>
          </w:p>
          <w:p w14:paraId="30D5D72F">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w:t>
            </w:r>
            <w:r>
              <w:rPr>
                <w:rFonts w:hint="eastAsia" w:ascii="仿宋" w:hAnsi="仿宋" w:eastAsia="仿宋" w:cs="仿宋"/>
                <w:snapToGrid w:val="0"/>
                <w:color w:val="auto"/>
                <w:spacing w:val="9"/>
                <w:kern w:val="0"/>
                <w:sz w:val="22"/>
                <w:szCs w:val="22"/>
                <w:highlight w:val="none"/>
                <w:lang w:val="en-US" w:eastAsia="zh-CN" w:bidi="ar-SA"/>
              </w:rPr>
              <w:t>1</w:t>
            </w:r>
            <w:r>
              <w:rPr>
                <w:rFonts w:hint="eastAsia" w:ascii="仿宋" w:hAnsi="仿宋" w:eastAsia="仿宋" w:cs="仿宋"/>
                <w:snapToGrid w:val="0"/>
                <w:color w:val="auto"/>
                <w:spacing w:val="9"/>
                <w:kern w:val="0"/>
                <w:sz w:val="22"/>
                <w:szCs w:val="22"/>
                <w:highlight w:val="none"/>
                <w:lang w:val="zh-CN" w:eastAsia="zh-CN" w:bidi="ar-SA"/>
              </w:rPr>
              <w:t>）权利义务符合招标文件规定：</w:t>
            </w:r>
          </w:p>
          <w:p w14:paraId="408F67A5">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a.投标人应接受招标文件规定的风险划分原则，未提出新的风险划分办法；</w:t>
            </w:r>
          </w:p>
          <w:p w14:paraId="00C986D1">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b.投标人未增加委托人的责任范围，或减少投标人义务；</w:t>
            </w:r>
          </w:p>
          <w:p w14:paraId="4A7D4219">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c.投标人未提出不同的支付办法；</w:t>
            </w:r>
          </w:p>
          <w:p w14:paraId="7A1E765C">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d.投标人对合同纠纷、事故处理办法未提出异议；</w:t>
            </w:r>
          </w:p>
          <w:p w14:paraId="5CE8EBBB">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e.投标人在投标活动中无欺诈行为；</w:t>
            </w:r>
          </w:p>
          <w:p w14:paraId="6EE5D681">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f.投标人未对合同条款有重要保留。</w:t>
            </w:r>
          </w:p>
          <w:p w14:paraId="1934E6EF">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w:t>
            </w:r>
            <w:r>
              <w:rPr>
                <w:rFonts w:hint="eastAsia" w:ascii="仿宋" w:hAnsi="仿宋" w:eastAsia="仿宋" w:cs="仿宋"/>
                <w:snapToGrid w:val="0"/>
                <w:color w:val="auto"/>
                <w:spacing w:val="9"/>
                <w:kern w:val="0"/>
                <w:sz w:val="22"/>
                <w:szCs w:val="22"/>
                <w:highlight w:val="none"/>
                <w:lang w:val="en-US" w:eastAsia="zh-CN" w:bidi="ar-SA"/>
              </w:rPr>
              <w:t>2</w:t>
            </w:r>
            <w:r>
              <w:rPr>
                <w:rFonts w:hint="eastAsia" w:ascii="仿宋" w:hAnsi="仿宋" w:eastAsia="仿宋" w:cs="仿宋"/>
                <w:snapToGrid w:val="0"/>
                <w:color w:val="auto"/>
                <w:spacing w:val="9"/>
                <w:kern w:val="0"/>
                <w:sz w:val="22"/>
                <w:szCs w:val="22"/>
                <w:highlight w:val="none"/>
                <w:lang w:val="zh-CN" w:eastAsia="zh-CN" w:bidi="ar-SA"/>
              </w:rPr>
              <w:t>）投标文件正、副本份数符合招标文件第二章“投标人须知”第3.7.4项规定。</w:t>
            </w:r>
          </w:p>
          <w:p w14:paraId="1794EC35">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p>
          <w:p w14:paraId="53541D4C">
            <w:pPr>
              <w:pStyle w:val="6"/>
              <w:spacing w:before="33" w:line="360" w:lineRule="auto"/>
              <w:rPr>
                <w:rFonts w:hint="eastAsia" w:ascii="仿宋" w:hAnsi="仿宋" w:eastAsia="仿宋" w:cs="仿宋"/>
                <w:b/>
                <w:bCs/>
                <w:snapToGrid w:val="0"/>
                <w:color w:val="auto"/>
                <w:spacing w:val="9"/>
                <w:kern w:val="0"/>
                <w:sz w:val="22"/>
                <w:szCs w:val="22"/>
                <w:highlight w:val="none"/>
                <w:lang w:val="zh-CN" w:eastAsia="zh-CN" w:bidi="ar-SA"/>
              </w:rPr>
            </w:pPr>
            <w:r>
              <w:rPr>
                <w:rFonts w:hint="eastAsia" w:ascii="仿宋" w:hAnsi="仿宋" w:eastAsia="仿宋" w:cs="仿宋"/>
                <w:b/>
                <w:bCs/>
                <w:snapToGrid w:val="0"/>
                <w:color w:val="auto"/>
                <w:spacing w:val="9"/>
                <w:kern w:val="0"/>
                <w:sz w:val="22"/>
                <w:szCs w:val="22"/>
                <w:highlight w:val="none"/>
                <w:lang w:val="zh-CN" w:eastAsia="zh-CN" w:bidi="ar-SA"/>
              </w:rPr>
              <w:t>第二个信封（报价文件）评审标准：</w:t>
            </w:r>
          </w:p>
          <w:p w14:paraId="1667EB83">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（1）投标文件按照招标文件规定的格式、内容填写，字迹清晰可辨，内容齐全完整：</w:t>
            </w:r>
          </w:p>
          <w:p w14:paraId="46580185">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a.投标函按招标文件规定填报了项目名称、标段号、补遗书编号（如有）、投标价（包括大写金额和小写金额）；</w:t>
            </w:r>
          </w:p>
          <w:p w14:paraId="5C4488DC">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b.已标价报价清单说明文字与招标文件规定一致，未进行实质性修改和删减；</w:t>
            </w:r>
          </w:p>
          <w:p w14:paraId="77584AF3">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c.投标文件组成齐全完整，内容均按规定填写。</w:t>
            </w:r>
          </w:p>
          <w:p w14:paraId="34E535CD">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（2）投标文件上法定代表人或其委托代理人的签字、投标人的单位章盖章齐全，符合招标文件规定。【注：签字，可以以加盖个人电子印章，或亲笔签名后扫描上传的任一方式操作。】</w:t>
            </w:r>
          </w:p>
          <w:p w14:paraId="6A7A88A2">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（3）投标报价未超过招标文件设定的最高投标限价（如有）。</w:t>
            </w:r>
          </w:p>
          <w:p w14:paraId="13FF0E7C">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（4）投标报价的大写金额能够确定具体数值。</w:t>
            </w:r>
          </w:p>
          <w:p w14:paraId="15B1BE2E">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（5）同一投标人未提交两个以上不同的投标报价，但招标文件要求提交备选投标的除外。</w:t>
            </w:r>
          </w:p>
          <w:p w14:paraId="736030B6">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（6）投标文件正、副本份数符合招标文件第二章“投标人须知”第3.7.4项规定。</w:t>
            </w:r>
          </w:p>
        </w:tc>
      </w:tr>
      <w:tr w14:paraId="1098D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926" w:type="dxa"/>
            <w:vAlign w:val="center"/>
          </w:tcPr>
          <w:p w14:paraId="3E1DA694">
            <w:pPr>
              <w:pStyle w:val="6"/>
              <w:spacing w:line="189" w:lineRule="auto"/>
              <w:ind w:left="208"/>
              <w:jc w:val="center"/>
              <w:rPr>
                <w:rFonts w:hint="eastAsia" w:ascii="仿宋" w:hAnsi="仿宋" w:eastAsia="仿宋" w:cs="仿宋"/>
                <w:color w:val="auto"/>
                <w:spacing w:val="2"/>
                <w:sz w:val="22"/>
                <w:szCs w:val="22"/>
                <w:highlight w:val="none"/>
              </w:rPr>
            </w:pPr>
          </w:p>
        </w:tc>
        <w:tc>
          <w:tcPr>
            <w:tcW w:w="1139" w:type="dxa"/>
            <w:vAlign w:val="center"/>
          </w:tcPr>
          <w:p w14:paraId="1FEB11AA">
            <w:pPr>
              <w:pStyle w:val="6"/>
              <w:spacing w:before="29" w:line="367" w:lineRule="auto"/>
              <w:ind w:right="107"/>
              <w:jc w:val="center"/>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资格评审标准</w:t>
            </w:r>
          </w:p>
        </w:tc>
        <w:tc>
          <w:tcPr>
            <w:tcW w:w="7661" w:type="dxa"/>
            <w:vAlign w:val="center"/>
          </w:tcPr>
          <w:p w14:paraId="74B53760">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投标人已录入交通运输部“全国公路建设市场信用信息管理系统（http：//glxy.mot.gov.cn）”中的公路工程施工监理资质企业名录，且投标人名称和资质与该名录中的相应企业名称和资质完全一致。</w:t>
            </w:r>
          </w:p>
          <w:p w14:paraId="6D44AA2C">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（2）投标人的资质等级符合招标文件规定。</w:t>
            </w:r>
          </w:p>
          <w:p w14:paraId="6FE83D38">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（3）投标人的类似工程业绩符合招标文件规定。</w:t>
            </w:r>
          </w:p>
          <w:p w14:paraId="45EB0D9A">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（4）投标人的信誉符合招标文件规定。</w:t>
            </w:r>
          </w:p>
          <w:p w14:paraId="3B3959EB">
            <w:pPr>
              <w:pStyle w:val="6"/>
              <w:kinsoku/>
              <w:overflowPunct w:val="0"/>
              <w:spacing w:before="29" w:line="368" w:lineRule="auto"/>
              <w:ind w:right="108"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5）投标人的总监理工程师或驻地监理工程师（含备选，如有资格、在岗情况符合招标文件规定，并按规定在投标文件中签字确认。注：签字，可以以加盖个人电子印章，或亲笔签名后扫描上传的任一方式操作。</w:t>
            </w:r>
          </w:p>
          <w:p w14:paraId="20DD31C0">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（6）投标人的其他要求符合招标文件规定。</w:t>
            </w:r>
          </w:p>
          <w:p w14:paraId="533B72DD">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（7）投标人不存在第二章“投标人须知”第1.4.3项或第1.4.4项规定的任何一种情形。</w:t>
            </w:r>
          </w:p>
          <w:p w14:paraId="37A5EF3F">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（8）投标人符合第二章“投标人须知”第1.4.5项规定。</w:t>
            </w:r>
          </w:p>
          <w:p w14:paraId="48B6C6B4">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p>
        </w:tc>
      </w:tr>
    </w:tbl>
    <w:p w14:paraId="46E48D93">
      <w:pPr>
        <w:spacing w:line="245" w:lineRule="auto"/>
        <w:rPr>
          <w:rFonts w:hint="eastAsia" w:ascii="仿宋" w:hAnsi="仿宋" w:eastAsia="仿宋" w:cs="仿宋"/>
          <w:color w:val="auto"/>
          <w:sz w:val="21"/>
          <w:highlight w:val="none"/>
        </w:rPr>
      </w:pPr>
    </w:p>
    <w:p w14:paraId="375A5608">
      <w:pPr>
        <w:spacing w:line="245" w:lineRule="auto"/>
        <w:rPr>
          <w:rFonts w:hint="eastAsia" w:ascii="仿宋" w:hAnsi="仿宋" w:eastAsia="仿宋" w:cs="仿宋"/>
          <w:color w:val="auto"/>
          <w:sz w:val="21"/>
          <w:highlight w:val="none"/>
        </w:rPr>
      </w:pPr>
    </w:p>
    <w:p w14:paraId="05034FE3">
      <w:pPr>
        <w:spacing w:line="245" w:lineRule="auto"/>
        <w:rPr>
          <w:rFonts w:hint="eastAsia" w:ascii="仿宋" w:hAnsi="仿宋" w:eastAsia="仿宋" w:cs="仿宋"/>
          <w:color w:val="auto"/>
          <w:sz w:val="21"/>
          <w:highlight w:val="none"/>
        </w:rPr>
      </w:pPr>
    </w:p>
    <w:p w14:paraId="15BD0C03">
      <w:pPr>
        <w:spacing w:line="245" w:lineRule="auto"/>
        <w:rPr>
          <w:rFonts w:hint="eastAsia" w:ascii="仿宋" w:hAnsi="仿宋" w:eastAsia="仿宋" w:cs="仿宋"/>
          <w:color w:val="auto"/>
          <w:sz w:val="21"/>
          <w:highlight w:val="none"/>
        </w:rPr>
      </w:pPr>
    </w:p>
    <w:p w14:paraId="692A14BE">
      <w:pPr>
        <w:spacing w:line="245" w:lineRule="auto"/>
        <w:rPr>
          <w:rFonts w:hint="eastAsia" w:ascii="仿宋" w:hAnsi="仿宋" w:eastAsia="仿宋" w:cs="仿宋"/>
          <w:color w:val="auto"/>
          <w:sz w:val="21"/>
          <w:highlight w:val="none"/>
        </w:rPr>
      </w:pPr>
    </w:p>
    <w:p w14:paraId="621EFF79">
      <w:pPr>
        <w:spacing w:line="245" w:lineRule="auto"/>
        <w:rPr>
          <w:rFonts w:hint="eastAsia" w:ascii="仿宋" w:hAnsi="仿宋" w:eastAsia="仿宋" w:cs="仿宋"/>
          <w:color w:val="auto"/>
          <w:sz w:val="21"/>
          <w:highlight w:val="none"/>
        </w:rPr>
      </w:pPr>
    </w:p>
    <w:tbl>
      <w:tblPr>
        <w:tblStyle w:val="7"/>
        <w:tblW w:w="9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633"/>
        <w:gridCol w:w="6438"/>
      </w:tblGrid>
      <w:tr w14:paraId="6190D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792" w:type="dxa"/>
            <w:gridSpan w:val="2"/>
            <w:vAlign w:val="top"/>
          </w:tcPr>
          <w:p w14:paraId="11609DF9">
            <w:pPr>
              <w:pStyle w:val="6"/>
              <w:spacing w:before="211" w:line="228" w:lineRule="auto"/>
              <w:ind w:left="6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14:textOutline w14:w="3795" w14:cap="sq" w14:cmpd="sng">
                  <w14:solidFill>
                    <w14:srgbClr w14:val="000000"/>
                  </w14:solidFill>
                  <w14:prstDash w14:val="solid"/>
                  <w14:bevel/>
                </w14:textOutline>
              </w:rPr>
              <w:t>条款号</w:t>
            </w:r>
          </w:p>
        </w:tc>
        <w:tc>
          <w:tcPr>
            <w:tcW w:w="6438" w:type="dxa"/>
            <w:vAlign w:val="top"/>
          </w:tcPr>
          <w:p w14:paraId="7DEAA831">
            <w:pPr>
              <w:pStyle w:val="6"/>
              <w:spacing w:before="211" w:line="228" w:lineRule="auto"/>
              <w:ind w:left="2644"/>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14:textOutline w14:w="3795" w14:cap="sq" w14:cmpd="sng">
                  <w14:solidFill>
                    <w14:srgbClr w14:val="000000"/>
                  </w14:solidFill>
                  <w14:prstDash w14:val="solid"/>
                  <w14:bevel/>
                </w14:textOutline>
              </w:rPr>
              <w:t>评审因素与评审标准</w:t>
            </w:r>
          </w:p>
        </w:tc>
      </w:tr>
      <w:tr w14:paraId="7346C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1159" w:type="dxa"/>
            <w:vAlign w:val="center"/>
          </w:tcPr>
          <w:p w14:paraId="7D031132">
            <w:pPr>
              <w:pStyle w:val="6"/>
              <w:spacing w:before="65" w:line="407"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2.2.1</w:t>
            </w:r>
          </w:p>
        </w:tc>
        <w:tc>
          <w:tcPr>
            <w:tcW w:w="1633" w:type="dxa"/>
            <w:vAlign w:val="center"/>
          </w:tcPr>
          <w:p w14:paraId="16D0DE37">
            <w:pPr>
              <w:pStyle w:val="6"/>
              <w:spacing w:line="228" w:lineRule="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分值构成</w:t>
            </w:r>
          </w:p>
          <w:p w14:paraId="04DA97AE">
            <w:pPr>
              <w:pStyle w:val="6"/>
              <w:spacing w:line="22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(总分100分）</w:t>
            </w:r>
          </w:p>
        </w:tc>
        <w:tc>
          <w:tcPr>
            <w:tcW w:w="6438" w:type="dxa"/>
            <w:vAlign w:val="top"/>
          </w:tcPr>
          <w:p w14:paraId="0CADB54D">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第一个信封（商务及技术文件）评分分值构成:</w:t>
            </w:r>
          </w:p>
          <w:p w14:paraId="77D7D92C">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技术建议书：30 分</w:t>
            </w:r>
          </w:p>
          <w:p w14:paraId="0BEA18FD">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主要人员：25 分</w:t>
            </w:r>
          </w:p>
          <w:p w14:paraId="33B3B9BA">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技术能力：0 分</w:t>
            </w:r>
          </w:p>
          <w:p w14:paraId="5093AA03">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业绩：25 分</w:t>
            </w:r>
          </w:p>
          <w:p w14:paraId="3D70A29D">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履约信誉：10 分</w:t>
            </w:r>
          </w:p>
          <w:p w14:paraId="157ACD12">
            <w:pPr>
              <w:pStyle w:val="6"/>
              <w:spacing w:before="29" w:line="367" w:lineRule="auto"/>
              <w:ind w:right="107" w:firstLine="476" w:firstLineChars="200"/>
              <w:jc w:val="both"/>
              <w:rPr>
                <w:rFonts w:hint="eastAsia" w:ascii="仿宋" w:hAnsi="仿宋" w:eastAsia="仿宋" w:cs="仿宋"/>
                <w:snapToGrid w:val="0"/>
                <w:color w:val="auto"/>
                <w:spacing w:val="9"/>
                <w:kern w:val="0"/>
                <w:sz w:val="22"/>
                <w:szCs w:val="22"/>
                <w:highlight w:val="none"/>
                <w:lang w:val="zh-CN" w:eastAsia="zh-CN" w:bidi="ar-SA"/>
              </w:rPr>
            </w:pPr>
            <w:r>
              <w:rPr>
                <w:rFonts w:hint="eastAsia" w:ascii="仿宋" w:hAnsi="仿宋" w:eastAsia="仿宋" w:cs="仿宋"/>
                <w:snapToGrid w:val="0"/>
                <w:color w:val="auto"/>
                <w:spacing w:val="9"/>
                <w:kern w:val="0"/>
                <w:sz w:val="22"/>
                <w:szCs w:val="22"/>
                <w:highlight w:val="none"/>
                <w:lang w:val="zh-CN" w:eastAsia="zh-CN" w:bidi="ar-SA"/>
              </w:rPr>
              <w:t>第二个信封（报价文件）评分分值构成：</w:t>
            </w:r>
          </w:p>
          <w:p w14:paraId="223A8E19">
            <w:pPr>
              <w:pStyle w:val="6"/>
              <w:spacing w:before="29" w:line="367" w:lineRule="auto"/>
              <w:ind w:right="107" w:firstLine="476" w:firstLineChars="200"/>
              <w:jc w:val="both"/>
              <w:rPr>
                <w:rFonts w:hint="eastAsia" w:ascii="仿宋" w:hAnsi="仿宋" w:eastAsia="仿宋" w:cs="仿宋"/>
                <w:color w:val="auto"/>
                <w:sz w:val="21"/>
                <w:szCs w:val="21"/>
                <w:highlight w:val="none"/>
              </w:rPr>
            </w:pPr>
            <w:r>
              <w:rPr>
                <w:rFonts w:hint="eastAsia" w:ascii="仿宋" w:hAnsi="仿宋" w:eastAsia="仿宋" w:cs="仿宋"/>
                <w:snapToGrid w:val="0"/>
                <w:color w:val="auto"/>
                <w:spacing w:val="9"/>
                <w:kern w:val="0"/>
                <w:sz w:val="22"/>
                <w:szCs w:val="22"/>
                <w:highlight w:val="none"/>
                <w:lang w:val="zh-CN" w:eastAsia="zh-CN" w:bidi="ar-SA"/>
              </w:rPr>
              <w:t>评标价：10 分</w:t>
            </w:r>
          </w:p>
        </w:tc>
      </w:tr>
      <w:tr w14:paraId="30DE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1159" w:type="dxa"/>
            <w:vAlign w:val="center"/>
          </w:tcPr>
          <w:p w14:paraId="49969FDD">
            <w:pPr>
              <w:widowControl w:val="0"/>
              <w:autoSpaceDE w:val="0"/>
              <w:autoSpaceDN w:val="0"/>
              <w:spacing w:before="1"/>
              <w:ind w:right="114"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zh-CN" w:eastAsia="zh-CN" w:bidi="zh-CN"/>
              </w:rPr>
              <w:t>2.2.</w:t>
            </w:r>
            <w:r>
              <w:rPr>
                <w:rFonts w:hint="eastAsia" w:ascii="仿宋" w:hAnsi="仿宋" w:eastAsia="仿宋" w:cs="仿宋"/>
                <w:color w:val="auto"/>
                <w:sz w:val="21"/>
                <w:szCs w:val="21"/>
                <w:highlight w:val="none"/>
                <w:lang w:val="en-US" w:eastAsia="zh-CN" w:bidi="zh-CN"/>
              </w:rPr>
              <w:t>2</w:t>
            </w:r>
          </w:p>
        </w:tc>
        <w:tc>
          <w:tcPr>
            <w:tcW w:w="1633" w:type="dxa"/>
            <w:vAlign w:val="center"/>
          </w:tcPr>
          <w:p w14:paraId="64FF715E">
            <w:pPr>
              <w:spacing w:line="360" w:lineRule="auto"/>
              <w:jc w:val="center"/>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评标基准价计算方法</w:t>
            </w:r>
          </w:p>
        </w:tc>
        <w:tc>
          <w:tcPr>
            <w:tcW w:w="6438" w:type="dxa"/>
            <w:vAlign w:val="top"/>
          </w:tcPr>
          <w:p w14:paraId="454CC072">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lang w:val="en-US" w:eastAsia="zh-CN"/>
              </w:rPr>
              <w:t xml:space="preserve">评标基准价的计算： </w:t>
            </w:r>
          </w:p>
          <w:p w14:paraId="3D87C744">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lang w:val="en-US" w:eastAsia="zh-CN"/>
              </w:rPr>
              <w:t xml:space="preserve">在开标现场，招标人将当场计算并宣布评标基准价。 </w:t>
            </w:r>
          </w:p>
          <w:p w14:paraId="26953D7D">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lang w:val="en-US" w:eastAsia="zh-CN"/>
              </w:rPr>
              <w:t xml:space="preserve">（1）评标价的确定： </w:t>
            </w:r>
          </w:p>
          <w:p w14:paraId="5B39B5CE">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lang w:val="en-US" w:eastAsia="zh-CN"/>
              </w:rPr>
              <w:t xml:space="preserve">评标价＝投标函文字报价 </w:t>
            </w:r>
          </w:p>
          <w:p w14:paraId="6999E7C6">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lang w:val="en-US" w:eastAsia="zh-CN"/>
              </w:rPr>
              <w:t>（2）评标价的平均值或最高评标限价的计算：</w:t>
            </w:r>
          </w:p>
          <w:p w14:paraId="059AE8D3">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①除按第二章“投标人须知”第5.2.4项规定开标现场被宣布为不进入评标基准价计算的投标报价之外，所有投标人的评标价去掉一个最高值和一个最低值后的算术平均值即为评标价平均值（如果参加评标价平均值计算的有效投标人少于5家时，则计算评标价平均值时不去掉最高值和最低值）。</w:t>
            </w:r>
          </w:p>
          <w:p w14:paraId="33817CE8">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②参与评标价平均值计算的评标价的范围：最高投标限价的 85%≤参与评标价平均值计算的评标价≤最高投标限价的100%；</w:t>
            </w:r>
          </w:p>
          <w:p w14:paraId="48B1C8E7">
            <w:pPr>
              <w:spacing w:line="360" w:lineRule="auto"/>
              <w:ind w:firstLine="440" w:firstLineChars="200"/>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③小于最高投标限价的85%的评标价不参与评标价平均值的计 算，但仍参与评标价的得分计算。若投标人的评标价均小于最高投标限价的85%时，则以最高投标限价的85%为评标价平均值。</w:t>
            </w:r>
          </w:p>
          <w:p w14:paraId="7AD8A0C8">
            <w:pPr>
              <w:pStyle w:val="3"/>
              <w:spacing w:line="360" w:lineRule="auto"/>
              <w:ind w:firstLine="440" w:firstLineChars="200"/>
              <w:rPr>
                <w:rFonts w:hint="eastAsia" w:ascii="仿宋" w:hAnsi="仿宋" w:eastAsia="仿宋" w:cs="仿宋"/>
                <w:snapToGrid w:val="0"/>
                <w:color w:val="auto"/>
                <w:spacing w:val="5"/>
                <w:kern w:val="0"/>
                <w:sz w:val="21"/>
                <w:szCs w:val="21"/>
                <w:highlight w:val="none"/>
                <w:lang w:val="en-US" w:eastAsia="en-US" w:bidi="ar-SA"/>
              </w:rPr>
            </w:pPr>
            <w:r>
              <w:rPr>
                <w:rFonts w:hint="eastAsia" w:ascii="仿宋" w:hAnsi="仿宋" w:eastAsia="仿宋" w:cs="仿宋"/>
                <w:snapToGrid w:val="0"/>
                <w:color w:val="auto"/>
                <w:spacing w:val="5"/>
                <w:kern w:val="0"/>
                <w:sz w:val="21"/>
                <w:szCs w:val="21"/>
                <w:highlight w:val="none"/>
                <w:lang w:val="en-US" w:eastAsia="en-US" w:bidi="ar-SA"/>
              </w:rPr>
              <w:t>（3）评标基准价的确定：</w:t>
            </w:r>
          </w:p>
          <w:p w14:paraId="5C3964FB">
            <w:pPr>
              <w:pStyle w:val="3"/>
              <w:spacing w:line="360" w:lineRule="auto"/>
              <w:ind w:firstLine="440" w:firstLineChars="200"/>
              <w:rPr>
                <w:rFonts w:hint="eastAsia" w:ascii="仿宋" w:hAnsi="仿宋" w:eastAsia="仿宋" w:cs="仿宋"/>
                <w:snapToGrid w:val="0"/>
                <w:color w:val="auto"/>
                <w:spacing w:val="5"/>
                <w:kern w:val="0"/>
                <w:sz w:val="21"/>
                <w:szCs w:val="21"/>
                <w:highlight w:val="none"/>
                <w:lang w:val="en-US" w:eastAsia="en-US" w:bidi="ar-SA"/>
              </w:rPr>
            </w:pPr>
            <w:r>
              <w:rPr>
                <w:rFonts w:hint="eastAsia" w:ascii="仿宋" w:hAnsi="仿宋" w:eastAsia="仿宋" w:cs="仿宋"/>
                <w:snapToGrid w:val="0"/>
                <w:color w:val="auto"/>
                <w:spacing w:val="5"/>
                <w:kern w:val="0"/>
                <w:sz w:val="21"/>
                <w:szCs w:val="21"/>
                <w:highlight w:val="none"/>
                <w:lang w:val="en-US" w:eastAsia="en-US" w:bidi="ar-SA"/>
              </w:rPr>
              <w:t>将评标价平均值直接作为评标基准价。</w:t>
            </w:r>
          </w:p>
          <w:p w14:paraId="46A4CA80">
            <w:pPr>
              <w:pStyle w:val="3"/>
              <w:spacing w:line="360" w:lineRule="auto"/>
              <w:ind w:firstLine="440" w:firstLineChars="200"/>
              <w:rPr>
                <w:rFonts w:hint="eastAsia" w:ascii="仿宋" w:hAnsi="仿宋" w:eastAsia="仿宋" w:cs="仿宋"/>
                <w:snapToGrid w:val="0"/>
                <w:color w:val="auto"/>
                <w:spacing w:val="5"/>
                <w:kern w:val="0"/>
                <w:sz w:val="21"/>
                <w:szCs w:val="21"/>
                <w:highlight w:val="none"/>
                <w:lang w:val="en-US" w:eastAsia="en-US" w:bidi="ar-SA"/>
              </w:rPr>
            </w:pPr>
            <w:r>
              <w:rPr>
                <w:rFonts w:hint="eastAsia" w:ascii="仿宋" w:hAnsi="仿宋" w:eastAsia="仿宋" w:cs="仿宋"/>
                <w:snapToGrid w:val="0"/>
                <w:color w:val="auto"/>
                <w:spacing w:val="5"/>
                <w:kern w:val="0"/>
                <w:sz w:val="21"/>
                <w:szCs w:val="21"/>
                <w:highlight w:val="none"/>
                <w:lang w:val="en-US" w:eastAsia="en-US" w:bidi="ar-SA"/>
              </w:rPr>
              <w:t>在评标过程中，评标委员会应对招标人计算的评标基准价进行复核，存在计算错误的应予以修正并在评标报告中作出说明。除此之外，评标基准价在整个评标期间保持不变，不随任何因素发生变化。</w:t>
            </w:r>
          </w:p>
          <w:p w14:paraId="37AD0DC4">
            <w:pPr>
              <w:pStyle w:val="3"/>
              <w:spacing w:line="360" w:lineRule="auto"/>
              <w:ind w:firstLine="440" w:firstLineChars="200"/>
              <w:rPr>
                <w:rFonts w:hint="eastAsia"/>
              </w:rPr>
            </w:pPr>
            <w:r>
              <w:rPr>
                <w:rFonts w:hint="eastAsia" w:ascii="仿宋" w:hAnsi="仿宋" w:eastAsia="仿宋" w:cs="仿宋"/>
                <w:snapToGrid w:val="0"/>
                <w:color w:val="auto"/>
                <w:spacing w:val="5"/>
                <w:kern w:val="0"/>
                <w:sz w:val="21"/>
                <w:szCs w:val="21"/>
                <w:highlight w:val="none"/>
                <w:lang w:val="en-US" w:eastAsia="en-US" w:bidi="ar-SA"/>
              </w:rPr>
              <w:t>注：评标价平均值、最高评标限价、评标基准价均四舍五入至个位整数。</w:t>
            </w:r>
          </w:p>
        </w:tc>
      </w:tr>
      <w:tr w14:paraId="4AF1A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1159" w:type="dxa"/>
            <w:vAlign w:val="center"/>
          </w:tcPr>
          <w:p w14:paraId="5CB2E469">
            <w:pPr>
              <w:widowControl w:val="0"/>
              <w:autoSpaceDE w:val="0"/>
              <w:autoSpaceDN w:val="0"/>
              <w:spacing w:before="1"/>
              <w:ind w:right="114" w:rightChars="0"/>
              <w:jc w:val="center"/>
              <w:rPr>
                <w:rFonts w:hint="default" w:ascii="仿宋" w:hAnsi="仿宋" w:eastAsia="仿宋" w:cs="仿宋"/>
                <w:color w:val="auto"/>
                <w:sz w:val="21"/>
                <w:szCs w:val="21"/>
                <w:highlight w:val="none"/>
                <w:lang w:val="en-US" w:eastAsia="zh-CN" w:bidi="zh-CN"/>
              </w:rPr>
            </w:pPr>
            <w:r>
              <w:rPr>
                <w:rFonts w:hint="eastAsia" w:ascii="仿宋" w:hAnsi="仿宋" w:eastAsia="仿宋" w:cs="仿宋"/>
                <w:color w:val="auto"/>
                <w:sz w:val="21"/>
                <w:szCs w:val="21"/>
                <w:highlight w:val="none"/>
                <w:lang w:val="en-US" w:eastAsia="zh-CN" w:bidi="zh-CN"/>
              </w:rPr>
              <w:t>2.2.3</w:t>
            </w:r>
          </w:p>
        </w:tc>
        <w:tc>
          <w:tcPr>
            <w:tcW w:w="1633" w:type="dxa"/>
            <w:vAlign w:val="center"/>
          </w:tcPr>
          <w:p w14:paraId="0E500807">
            <w:pPr>
              <w:spacing w:line="360" w:lineRule="auto"/>
              <w:jc w:val="center"/>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评标价的偏差率计算公式</w:t>
            </w:r>
          </w:p>
        </w:tc>
        <w:tc>
          <w:tcPr>
            <w:tcW w:w="6438" w:type="dxa"/>
            <w:vAlign w:val="center"/>
          </w:tcPr>
          <w:p w14:paraId="5E55FC60">
            <w:pPr>
              <w:spacing w:line="360" w:lineRule="auto"/>
              <w:jc w:val="both"/>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偏差率=100% ×（投标人评标价－评标基准价）/评标基准价</w:t>
            </w:r>
          </w:p>
        </w:tc>
      </w:tr>
    </w:tbl>
    <w:p w14:paraId="5001C91E">
      <w:pPr>
        <w:pStyle w:val="8"/>
        <w:rPr>
          <w:rFonts w:hint="eastAsia"/>
          <w:color w:val="auto"/>
          <w:highlight w:val="none"/>
        </w:rPr>
        <w:sectPr>
          <w:pgSz w:w="11906" w:h="16839"/>
          <w:pgMar w:top="1440" w:right="1440" w:bottom="1440" w:left="1440" w:header="0" w:footer="1090" w:gutter="0"/>
          <w:cols w:space="720" w:num="1"/>
        </w:sectPr>
      </w:pPr>
    </w:p>
    <w:tbl>
      <w:tblPr>
        <w:tblStyle w:val="7"/>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416"/>
        <w:gridCol w:w="514"/>
        <w:gridCol w:w="989"/>
        <w:gridCol w:w="1289"/>
        <w:gridCol w:w="705"/>
        <w:gridCol w:w="850"/>
        <w:gridCol w:w="3958"/>
        <w:gridCol w:w="200"/>
      </w:tblGrid>
      <w:tr w14:paraId="2A14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4763" w:type="dxa"/>
            <w:gridSpan w:val="6"/>
            <w:vAlign w:val="center"/>
          </w:tcPr>
          <w:p w14:paraId="434468F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评分因素与权重分值</w:t>
            </w:r>
          </w:p>
        </w:tc>
        <w:tc>
          <w:tcPr>
            <w:tcW w:w="5008" w:type="dxa"/>
            <w:gridSpan w:val="3"/>
            <w:vMerge w:val="restart"/>
            <w:vAlign w:val="center"/>
          </w:tcPr>
          <w:p w14:paraId="57D4199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评分标准</w:t>
            </w:r>
          </w:p>
        </w:tc>
      </w:tr>
      <w:tr w14:paraId="4C2B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850" w:type="dxa"/>
            <w:vAlign w:val="center"/>
          </w:tcPr>
          <w:p w14:paraId="69C47B8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条款号</w:t>
            </w:r>
          </w:p>
        </w:tc>
        <w:tc>
          <w:tcPr>
            <w:tcW w:w="930" w:type="dxa"/>
            <w:gridSpan w:val="2"/>
            <w:vAlign w:val="center"/>
          </w:tcPr>
          <w:p w14:paraId="0CA4D79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评分因素</w:t>
            </w:r>
          </w:p>
        </w:tc>
        <w:tc>
          <w:tcPr>
            <w:tcW w:w="989" w:type="dxa"/>
            <w:vAlign w:val="center"/>
          </w:tcPr>
          <w:p w14:paraId="0807D669">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评分因素</w:t>
            </w:r>
          </w:p>
          <w:p w14:paraId="0AD39AD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权重分值</w:t>
            </w:r>
          </w:p>
        </w:tc>
        <w:tc>
          <w:tcPr>
            <w:tcW w:w="1289" w:type="dxa"/>
            <w:vAlign w:val="center"/>
          </w:tcPr>
          <w:p w14:paraId="178D2FB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各评分因素</w:t>
            </w:r>
          </w:p>
          <w:p w14:paraId="6113084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细分项</w:t>
            </w:r>
          </w:p>
        </w:tc>
        <w:tc>
          <w:tcPr>
            <w:tcW w:w="705" w:type="dxa"/>
            <w:vAlign w:val="center"/>
          </w:tcPr>
          <w:p w14:paraId="289D4F3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r>
              <w:rPr>
                <w:rFonts w:hint="eastAsia" w:ascii="仿宋" w:hAnsi="仿宋" w:eastAsia="仿宋" w:cs="仿宋"/>
                <w:b/>
                <w:bCs/>
                <w:color w:val="auto"/>
                <w:spacing w:val="2"/>
                <w:position w:val="16"/>
                <w:sz w:val="22"/>
                <w:szCs w:val="22"/>
                <w:highlight w:val="none"/>
              </w:rPr>
              <w:t>分值</w:t>
            </w:r>
          </w:p>
        </w:tc>
        <w:tc>
          <w:tcPr>
            <w:tcW w:w="5008" w:type="dxa"/>
            <w:gridSpan w:val="3"/>
            <w:vMerge w:val="continue"/>
            <w:vAlign w:val="center"/>
          </w:tcPr>
          <w:p w14:paraId="74F8FC8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bCs/>
                <w:color w:val="auto"/>
                <w:spacing w:val="2"/>
                <w:position w:val="16"/>
                <w:sz w:val="22"/>
                <w:szCs w:val="22"/>
                <w:highlight w:val="none"/>
              </w:rPr>
            </w:pPr>
          </w:p>
        </w:tc>
      </w:tr>
      <w:tr w14:paraId="5122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1" w:hRule="atLeast"/>
          <w:jc w:val="center"/>
        </w:trPr>
        <w:tc>
          <w:tcPr>
            <w:tcW w:w="850" w:type="dxa"/>
            <w:vMerge w:val="restart"/>
            <w:vAlign w:val="center"/>
          </w:tcPr>
          <w:p w14:paraId="6BF9859E">
            <w:pPr>
              <w:pStyle w:val="6"/>
              <w:spacing w:before="65" w:line="375" w:lineRule="exact"/>
              <w:ind w:left="17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2"/>
                <w:position w:val="16"/>
                <w:sz w:val="22"/>
                <w:szCs w:val="22"/>
                <w:highlight w:val="none"/>
              </w:rPr>
              <w:t>2.2.</w:t>
            </w:r>
            <w:r>
              <w:rPr>
                <w:rFonts w:hint="eastAsia" w:ascii="仿宋" w:hAnsi="仿宋" w:eastAsia="仿宋" w:cs="仿宋"/>
                <w:color w:val="auto"/>
                <w:spacing w:val="2"/>
                <w:position w:val="16"/>
                <w:sz w:val="22"/>
                <w:szCs w:val="22"/>
                <w:highlight w:val="none"/>
                <w:lang w:val="en-US" w:eastAsia="zh-CN"/>
              </w:rPr>
              <w:t>4</w:t>
            </w:r>
          </w:p>
          <w:p w14:paraId="3B503A26">
            <w:pPr>
              <w:pStyle w:val="6"/>
              <w:spacing w:line="230" w:lineRule="auto"/>
              <w:ind w:left="310"/>
              <w:jc w:val="both"/>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(1)</w:t>
            </w:r>
          </w:p>
        </w:tc>
        <w:tc>
          <w:tcPr>
            <w:tcW w:w="930" w:type="dxa"/>
            <w:gridSpan w:val="2"/>
            <w:vMerge w:val="restart"/>
            <w:vAlign w:val="center"/>
          </w:tcPr>
          <w:p w14:paraId="56C94A5A">
            <w:pPr>
              <w:pStyle w:val="6"/>
              <w:spacing w:before="65" w:line="408" w:lineRule="exact"/>
              <w:ind w:left="152"/>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7"/>
                <w:position w:val="15"/>
                <w:sz w:val="22"/>
                <w:szCs w:val="22"/>
                <w:highlight w:val="none"/>
                <w:lang w:eastAsia="zh-CN"/>
              </w:rPr>
              <w:t>技术建议书</w:t>
            </w:r>
          </w:p>
        </w:tc>
        <w:tc>
          <w:tcPr>
            <w:tcW w:w="989" w:type="dxa"/>
            <w:vMerge w:val="restart"/>
            <w:vAlign w:val="center"/>
          </w:tcPr>
          <w:p w14:paraId="3D7AEC1C">
            <w:pPr>
              <w:pStyle w:val="6"/>
              <w:spacing w:before="65" w:line="228" w:lineRule="auto"/>
              <w:ind w:left="211"/>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u w:val="single" w:color="auto"/>
                <w:lang w:val="en-US" w:eastAsia="zh-CN"/>
              </w:rPr>
              <w:t>30</w:t>
            </w:r>
            <w:r>
              <w:rPr>
                <w:rFonts w:hint="eastAsia" w:ascii="仿宋" w:hAnsi="仿宋" w:eastAsia="仿宋" w:cs="仿宋"/>
                <w:color w:val="auto"/>
                <w:spacing w:val="1"/>
                <w:sz w:val="22"/>
                <w:szCs w:val="22"/>
                <w:highlight w:val="none"/>
              </w:rPr>
              <w:t>分</w:t>
            </w:r>
          </w:p>
        </w:tc>
        <w:tc>
          <w:tcPr>
            <w:tcW w:w="1289" w:type="dxa"/>
            <w:vMerge w:val="restart"/>
            <w:vAlign w:val="center"/>
          </w:tcPr>
          <w:p w14:paraId="7B3CE70D">
            <w:pPr>
              <w:widowControl w:val="0"/>
              <w:autoSpaceDE w:val="0"/>
              <w:autoSpaceDN w:val="0"/>
              <w:spacing w:line="321" w:lineRule="auto"/>
              <w:ind w:left="191" w:leftChars="0" w:right="182" w:rightChars="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监理大纲（或监理方案）和措施</w:t>
            </w:r>
          </w:p>
        </w:tc>
        <w:tc>
          <w:tcPr>
            <w:tcW w:w="705" w:type="dxa"/>
            <w:vMerge w:val="restart"/>
            <w:vAlign w:val="center"/>
          </w:tcPr>
          <w:p w14:paraId="3E21D06A">
            <w:pPr>
              <w:widowControl w:val="0"/>
              <w:autoSpaceDE w:val="0"/>
              <w:autoSpaceDN w:val="0"/>
              <w:spacing w:line="321" w:lineRule="auto"/>
              <w:ind w:right="182" w:rightChars="0"/>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15分</w:t>
            </w:r>
          </w:p>
        </w:tc>
        <w:tc>
          <w:tcPr>
            <w:tcW w:w="850" w:type="dxa"/>
            <w:vAlign w:val="center"/>
          </w:tcPr>
          <w:p w14:paraId="2DA6D2F0">
            <w:pPr>
              <w:widowControl w:val="0"/>
              <w:numPr>
                <w:ilvl w:val="0"/>
                <w:numId w:val="0"/>
              </w:numPr>
              <w:tabs>
                <w:tab w:val="left" w:pos="650"/>
              </w:tabs>
              <w:autoSpaceDE w:val="0"/>
              <w:autoSpaceDN w:val="0"/>
              <w:spacing w:before="0" w:after="0" w:line="321" w:lineRule="auto"/>
              <w:ind w:right="10" w:rightChars="0"/>
              <w:jc w:val="center"/>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质量和安全监理（5 分）</w:t>
            </w:r>
          </w:p>
        </w:tc>
        <w:tc>
          <w:tcPr>
            <w:tcW w:w="4158" w:type="dxa"/>
            <w:gridSpan w:val="2"/>
            <w:vAlign w:val="center"/>
          </w:tcPr>
          <w:p w14:paraId="4C0EA5C9">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质量和安全监理目标明确，且完全响应广东省施工标准化和安全标准化指南的得3.0 分；监理措施具体且有效，对质量和安全问题所采取的对策及预控方法合理可行的 ，响应广东省施工标准化和安全标准化指南程度，酌情加0-2.0分；</w:t>
            </w:r>
          </w:p>
        </w:tc>
      </w:tr>
      <w:tr w14:paraId="523F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850" w:type="dxa"/>
            <w:vMerge w:val="continue"/>
            <w:vAlign w:val="center"/>
          </w:tcPr>
          <w:p w14:paraId="4919F200">
            <w:pPr>
              <w:pStyle w:val="6"/>
              <w:spacing w:line="230" w:lineRule="auto"/>
              <w:ind w:left="310"/>
              <w:jc w:val="both"/>
              <w:rPr>
                <w:rFonts w:hint="eastAsia" w:ascii="仿宋" w:hAnsi="仿宋" w:eastAsia="仿宋" w:cs="仿宋"/>
                <w:color w:val="auto"/>
                <w:spacing w:val="-10"/>
                <w:sz w:val="22"/>
                <w:szCs w:val="22"/>
                <w:highlight w:val="none"/>
              </w:rPr>
            </w:pPr>
          </w:p>
        </w:tc>
        <w:tc>
          <w:tcPr>
            <w:tcW w:w="930" w:type="dxa"/>
            <w:gridSpan w:val="2"/>
            <w:vMerge w:val="continue"/>
            <w:vAlign w:val="center"/>
          </w:tcPr>
          <w:p w14:paraId="5926BA33">
            <w:pPr>
              <w:pStyle w:val="6"/>
              <w:spacing w:before="65" w:line="408" w:lineRule="exact"/>
              <w:ind w:left="152"/>
              <w:jc w:val="center"/>
              <w:rPr>
                <w:rFonts w:hint="eastAsia" w:ascii="仿宋" w:hAnsi="仿宋" w:eastAsia="仿宋" w:cs="仿宋"/>
                <w:color w:val="auto"/>
                <w:spacing w:val="7"/>
                <w:position w:val="15"/>
                <w:sz w:val="22"/>
                <w:szCs w:val="22"/>
                <w:highlight w:val="none"/>
                <w:lang w:eastAsia="zh-CN"/>
              </w:rPr>
            </w:pPr>
          </w:p>
        </w:tc>
        <w:tc>
          <w:tcPr>
            <w:tcW w:w="989" w:type="dxa"/>
            <w:vMerge w:val="continue"/>
            <w:vAlign w:val="center"/>
          </w:tcPr>
          <w:p w14:paraId="17ECD4D0">
            <w:pPr>
              <w:pStyle w:val="6"/>
              <w:spacing w:before="65" w:line="228" w:lineRule="auto"/>
              <w:ind w:left="211"/>
              <w:jc w:val="center"/>
              <w:rPr>
                <w:rFonts w:hint="eastAsia" w:ascii="仿宋" w:hAnsi="仿宋" w:eastAsia="仿宋" w:cs="仿宋"/>
                <w:color w:val="auto"/>
                <w:spacing w:val="1"/>
                <w:sz w:val="22"/>
                <w:szCs w:val="22"/>
                <w:highlight w:val="none"/>
                <w:u w:val="single" w:color="auto"/>
                <w:lang w:val="en-US" w:eastAsia="zh-CN"/>
              </w:rPr>
            </w:pPr>
          </w:p>
        </w:tc>
        <w:tc>
          <w:tcPr>
            <w:tcW w:w="1289" w:type="dxa"/>
            <w:vMerge w:val="continue"/>
            <w:vAlign w:val="center"/>
          </w:tcPr>
          <w:p w14:paraId="6F6CDBF3">
            <w:pPr>
              <w:widowControl w:val="0"/>
              <w:autoSpaceDE w:val="0"/>
              <w:autoSpaceDN w:val="0"/>
              <w:spacing w:line="321" w:lineRule="auto"/>
              <w:ind w:left="191" w:leftChars="0" w:right="182" w:rightChars="0"/>
              <w:jc w:val="center"/>
              <w:rPr>
                <w:rFonts w:hint="eastAsia" w:ascii="仿宋" w:hAnsi="仿宋" w:eastAsia="仿宋" w:cs="仿宋"/>
                <w:color w:val="auto"/>
                <w:sz w:val="22"/>
                <w:szCs w:val="22"/>
                <w:highlight w:val="none"/>
                <w:lang w:eastAsia="zh-CN"/>
              </w:rPr>
            </w:pPr>
          </w:p>
        </w:tc>
        <w:tc>
          <w:tcPr>
            <w:tcW w:w="705" w:type="dxa"/>
            <w:vMerge w:val="continue"/>
            <w:vAlign w:val="center"/>
          </w:tcPr>
          <w:p w14:paraId="167F301D">
            <w:pPr>
              <w:widowControl w:val="0"/>
              <w:autoSpaceDE w:val="0"/>
              <w:autoSpaceDN w:val="0"/>
              <w:spacing w:line="321" w:lineRule="auto"/>
              <w:ind w:right="182" w:rightChars="0"/>
              <w:jc w:val="center"/>
              <w:rPr>
                <w:rFonts w:hint="eastAsia" w:ascii="仿宋" w:hAnsi="仿宋" w:eastAsia="仿宋" w:cs="仿宋"/>
                <w:color w:val="auto"/>
                <w:sz w:val="22"/>
                <w:szCs w:val="22"/>
                <w:highlight w:val="none"/>
                <w:lang w:val="en-US" w:eastAsia="zh-CN"/>
              </w:rPr>
            </w:pPr>
          </w:p>
        </w:tc>
        <w:tc>
          <w:tcPr>
            <w:tcW w:w="850" w:type="dxa"/>
            <w:vAlign w:val="center"/>
          </w:tcPr>
          <w:p w14:paraId="3A8D2596">
            <w:pPr>
              <w:widowControl w:val="0"/>
              <w:numPr>
                <w:ilvl w:val="0"/>
                <w:numId w:val="0"/>
              </w:numPr>
              <w:tabs>
                <w:tab w:val="left" w:pos="650"/>
              </w:tabs>
              <w:autoSpaceDE w:val="0"/>
              <w:autoSpaceDN w:val="0"/>
              <w:spacing w:before="0" w:after="0" w:line="321" w:lineRule="auto"/>
              <w:ind w:right="10" w:rightChars="0"/>
              <w:jc w:val="center"/>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进度监理（5分）</w:t>
            </w:r>
          </w:p>
        </w:tc>
        <w:tc>
          <w:tcPr>
            <w:tcW w:w="4158" w:type="dxa"/>
            <w:gridSpan w:val="2"/>
            <w:vAlign w:val="center"/>
          </w:tcPr>
          <w:p w14:paraId="3FFC8024">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进度监理目标明确并满足招标文件的要求得3.0分；监理措施具体且有效，对保证工期所采取的对策及预控方法合理可行的，酌情加0-2.0分。</w:t>
            </w:r>
          </w:p>
        </w:tc>
      </w:tr>
      <w:tr w14:paraId="29E3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850" w:type="dxa"/>
            <w:vMerge w:val="continue"/>
            <w:vAlign w:val="top"/>
          </w:tcPr>
          <w:p w14:paraId="12203CD2">
            <w:pPr>
              <w:rPr>
                <w:rFonts w:hint="eastAsia" w:ascii="仿宋" w:hAnsi="仿宋" w:eastAsia="仿宋" w:cs="仿宋"/>
                <w:color w:val="auto"/>
                <w:sz w:val="22"/>
                <w:szCs w:val="22"/>
                <w:highlight w:val="none"/>
              </w:rPr>
            </w:pPr>
          </w:p>
        </w:tc>
        <w:tc>
          <w:tcPr>
            <w:tcW w:w="930" w:type="dxa"/>
            <w:gridSpan w:val="2"/>
            <w:vMerge w:val="continue"/>
            <w:vAlign w:val="top"/>
          </w:tcPr>
          <w:p w14:paraId="4C9C9669">
            <w:pPr>
              <w:rPr>
                <w:rFonts w:hint="eastAsia" w:ascii="仿宋" w:hAnsi="仿宋" w:eastAsia="仿宋" w:cs="仿宋"/>
                <w:color w:val="auto"/>
                <w:sz w:val="22"/>
                <w:szCs w:val="22"/>
                <w:highlight w:val="none"/>
              </w:rPr>
            </w:pPr>
          </w:p>
        </w:tc>
        <w:tc>
          <w:tcPr>
            <w:tcW w:w="989" w:type="dxa"/>
            <w:vMerge w:val="continue"/>
            <w:vAlign w:val="top"/>
          </w:tcPr>
          <w:p w14:paraId="57FC8AC4">
            <w:pPr>
              <w:rPr>
                <w:rFonts w:hint="eastAsia" w:ascii="仿宋" w:hAnsi="仿宋" w:eastAsia="仿宋" w:cs="仿宋"/>
                <w:color w:val="auto"/>
                <w:sz w:val="22"/>
                <w:szCs w:val="22"/>
                <w:highlight w:val="none"/>
              </w:rPr>
            </w:pPr>
          </w:p>
        </w:tc>
        <w:tc>
          <w:tcPr>
            <w:tcW w:w="1289" w:type="dxa"/>
            <w:vMerge w:val="continue"/>
            <w:vAlign w:val="center"/>
          </w:tcPr>
          <w:p w14:paraId="3B3C8B14">
            <w:pPr>
              <w:widowControl w:val="0"/>
              <w:autoSpaceDE w:val="0"/>
              <w:autoSpaceDN w:val="0"/>
              <w:spacing w:line="321" w:lineRule="auto"/>
              <w:ind w:left="123" w:leftChars="0" w:right="42" w:rightChars="0"/>
              <w:jc w:val="center"/>
              <w:rPr>
                <w:rFonts w:hint="eastAsia" w:ascii="仿宋" w:hAnsi="仿宋" w:eastAsia="仿宋" w:cs="仿宋"/>
                <w:color w:val="auto"/>
                <w:sz w:val="22"/>
                <w:szCs w:val="22"/>
                <w:highlight w:val="none"/>
              </w:rPr>
            </w:pPr>
          </w:p>
        </w:tc>
        <w:tc>
          <w:tcPr>
            <w:tcW w:w="705" w:type="dxa"/>
            <w:vMerge w:val="continue"/>
            <w:vAlign w:val="center"/>
          </w:tcPr>
          <w:p w14:paraId="2D0EF00D">
            <w:pPr>
              <w:widowControl w:val="0"/>
              <w:autoSpaceDE w:val="0"/>
              <w:autoSpaceDN w:val="0"/>
              <w:spacing w:line="321" w:lineRule="auto"/>
              <w:ind w:right="42" w:rightChars="0"/>
              <w:jc w:val="center"/>
              <w:rPr>
                <w:rFonts w:hint="eastAsia" w:ascii="仿宋" w:hAnsi="仿宋" w:eastAsia="仿宋" w:cs="仿宋"/>
                <w:color w:val="auto"/>
                <w:sz w:val="22"/>
                <w:szCs w:val="22"/>
                <w:highlight w:val="none"/>
                <w:lang w:val="en-US" w:eastAsia="zh-CN"/>
              </w:rPr>
            </w:pPr>
          </w:p>
        </w:tc>
        <w:tc>
          <w:tcPr>
            <w:tcW w:w="850" w:type="dxa"/>
            <w:vAlign w:val="center"/>
          </w:tcPr>
          <w:p w14:paraId="49DAE346">
            <w:pPr>
              <w:widowControl w:val="0"/>
              <w:numPr>
                <w:ilvl w:val="0"/>
                <w:numId w:val="0"/>
              </w:numPr>
              <w:tabs>
                <w:tab w:val="left" w:pos="650"/>
              </w:tabs>
              <w:autoSpaceDE w:val="0"/>
              <w:autoSpaceDN w:val="0"/>
              <w:spacing w:before="0" w:after="0" w:line="321" w:lineRule="auto"/>
              <w:ind w:right="10" w:rightChars="0"/>
              <w:jc w:val="center"/>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费用和合同监理（3分）</w:t>
            </w:r>
          </w:p>
        </w:tc>
        <w:tc>
          <w:tcPr>
            <w:tcW w:w="4158" w:type="dxa"/>
            <w:gridSpan w:val="2"/>
            <w:vAlign w:val="center"/>
          </w:tcPr>
          <w:p w14:paraId="0962D6C9">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有工程计量与支付监理方面的具体管理方法和措施具体且有效，有明确的变更管理、预防索赔、减少合同纠纷的管理和控制措施得1.8 分 ；有合理可行的控制超计量支付及提前计量支付的预控方法的，酌情加0- 1.2分。</w:t>
            </w:r>
          </w:p>
        </w:tc>
      </w:tr>
      <w:tr w14:paraId="379D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7" w:hRule="atLeast"/>
          <w:jc w:val="center"/>
        </w:trPr>
        <w:tc>
          <w:tcPr>
            <w:tcW w:w="850" w:type="dxa"/>
            <w:vMerge w:val="continue"/>
            <w:vAlign w:val="top"/>
          </w:tcPr>
          <w:p w14:paraId="06D63B92">
            <w:pPr>
              <w:rPr>
                <w:rFonts w:hint="eastAsia" w:ascii="仿宋" w:hAnsi="仿宋" w:eastAsia="仿宋" w:cs="仿宋"/>
                <w:color w:val="auto"/>
                <w:sz w:val="22"/>
                <w:szCs w:val="22"/>
                <w:highlight w:val="none"/>
              </w:rPr>
            </w:pPr>
          </w:p>
        </w:tc>
        <w:tc>
          <w:tcPr>
            <w:tcW w:w="930" w:type="dxa"/>
            <w:gridSpan w:val="2"/>
            <w:vMerge w:val="continue"/>
            <w:vAlign w:val="top"/>
          </w:tcPr>
          <w:p w14:paraId="10B57625">
            <w:pPr>
              <w:rPr>
                <w:rFonts w:hint="eastAsia" w:ascii="仿宋" w:hAnsi="仿宋" w:eastAsia="仿宋" w:cs="仿宋"/>
                <w:color w:val="auto"/>
                <w:sz w:val="22"/>
                <w:szCs w:val="22"/>
                <w:highlight w:val="none"/>
              </w:rPr>
            </w:pPr>
          </w:p>
        </w:tc>
        <w:tc>
          <w:tcPr>
            <w:tcW w:w="989" w:type="dxa"/>
            <w:vMerge w:val="continue"/>
            <w:vAlign w:val="top"/>
          </w:tcPr>
          <w:p w14:paraId="4FA77C8F">
            <w:pPr>
              <w:rPr>
                <w:rFonts w:hint="eastAsia" w:ascii="仿宋" w:hAnsi="仿宋" w:eastAsia="仿宋" w:cs="仿宋"/>
                <w:color w:val="auto"/>
                <w:sz w:val="22"/>
                <w:szCs w:val="22"/>
                <w:highlight w:val="none"/>
              </w:rPr>
            </w:pPr>
          </w:p>
        </w:tc>
        <w:tc>
          <w:tcPr>
            <w:tcW w:w="1289" w:type="dxa"/>
            <w:vMerge w:val="continue"/>
            <w:vAlign w:val="center"/>
          </w:tcPr>
          <w:p w14:paraId="2CDA611D">
            <w:pPr>
              <w:widowControl w:val="0"/>
              <w:autoSpaceDE w:val="0"/>
              <w:autoSpaceDN w:val="0"/>
              <w:spacing w:line="321" w:lineRule="auto"/>
              <w:ind w:left="123" w:leftChars="0" w:right="113" w:rightChars="0"/>
              <w:jc w:val="center"/>
              <w:rPr>
                <w:rFonts w:hint="eastAsia" w:ascii="仿宋" w:hAnsi="仿宋" w:eastAsia="仿宋" w:cs="仿宋"/>
                <w:color w:val="auto"/>
                <w:sz w:val="22"/>
                <w:szCs w:val="22"/>
                <w:highlight w:val="none"/>
              </w:rPr>
            </w:pPr>
          </w:p>
        </w:tc>
        <w:tc>
          <w:tcPr>
            <w:tcW w:w="705" w:type="dxa"/>
            <w:vMerge w:val="continue"/>
            <w:vAlign w:val="center"/>
          </w:tcPr>
          <w:p w14:paraId="01990FA6">
            <w:pPr>
              <w:widowControl w:val="0"/>
              <w:autoSpaceDE w:val="0"/>
              <w:autoSpaceDN w:val="0"/>
              <w:spacing w:line="321" w:lineRule="auto"/>
              <w:ind w:right="113" w:rightChars="0"/>
              <w:jc w:val="center"/>
              <w:rPr>
                <w:rFonts w:hint="eastAsia" w:ascii="仿宋" w:hAnsi="仿宋" w:eastAsia="仿宋" w:cs="仿宋"/>
                <w:color w:val="auto"/>
                <w:sz w:val="22"/>
                <w:szCs w:val="22"/>
                <w:highlight w:val="none"/>
                <w:lang w:val="en-US" w:eastAsia="zh-CN"/>
              </w:rPr>
            </w:pPr>
          </w:p>
        </w:tc>
        <w:tc>
          <w:tcPr>
            <w:tcW w:w="850" w:type="dxa"/>
            <w:vAlign w:val="center"/>
          </w:tcPr>
          <w:p w14:paraId="4F648650">
            <w:pPr>
              <w:widowControl w:val="0"/>
              <w:numPr>
                <w:ilvl w:val="0"/>
                <w:numId w:val="0"/>
              </w:numPr>
              <w:tabs>
                <w:tab w:val="left" w:pos="650"/>
              </w:tabs>
              <w:autoSpaceDE w:val="0"/>
              <w:autoSpaceDN w:val="0"/>
              <w:spacing w:before="0" w:after="0" w:line="321" w:lineRule="auto"/>
              <w:ind w:right="10" w:rightChars="0"/>
              <w:jc w:val="center"/>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施工环境保护管理（2 分）</w:t>
            </w:r>
          </w:p>
        </w:tc>
        <w:tc>
          <w:tcPr>
            <w:tcW w:w="4158" w:type="dxa"/>
            <w:gridSpan w:val="2"/>
            <w:vAlign w:val="center"/>
          </w:tcPr>
          <w:p w14:paraId="5D8FE32A">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有环保监理措施，且完全响应广东省施工标准化和安全标准化指南的得1.2分 ；环保监理措施和方法具体且有效的，响应广东省施工标准化和安全标准化指南程度 ，酌情加0-0.8分。</w:t>
            </w:r>
          </w:p>
        </w:tc>
      </w:tr>
      <w:tr w14:paraId="75EF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jc w:val="center"/>
        </w:trPr>
        <w:tc>
          <w:tcPr>
            <w:tcW w:w="850" w:type="dxa"/>
            <w:vMerge w:val="continue"/>
            <w:vAlign w:val="top"/>
          </w:tcPr>
          <w:p w14:paraId="07D2D528">
            <w:pPr>
              <w:rPr>
                <w:rFonts w:hint="eastAsia" w:ascii="仿宋" w:hAnsi="仿宋" w:eastAsia="仿宋" w:cs="仿宋"/>
                <w:color w:val="auto"/>
                <w:sz w:val="22"/>
                <w:szCs w:val="22"/>
                <w:highlight w:val="none"/>
              </w:rPr>
            </w:pPr>
          </w:p>
        </w:tc>
        <w:tc>
          <w:tcPr>
            <w:tcW w:w="930" w:type="dxa"/>
            <w:gridSpan w:val="2"/>
            <w:vMerge w:val="continue"/>
            <w:vAlign w:val="top"/>
          </w:tcPr>
          <w:p w14:paraId="2B2BEAB7">
            <w:pPr>
              <w:rPr>
                <w:rFonts w:hint="eastAsia" w:ascii="仿宋" w:hAnsi="仿宋" w:eastAsia="仿宋" w:cs="仿宋"/>
                <w:color w:val="auto"/>
                <w:sz w:val="22"/>
                <w:szCs w:val="22"/>
                <w:highlight w:val="none"/>
              </w:rPr>
            </w:pPr>
          </w:p>
        </w:tc>
        <w:tc>
          <w:tcPr>
            <w:tcW w:w="989" w:type="dxa"/>
            <w:vMerge w:val="continue"/>
            <w:vAlign w:val="top"/>
          </w:tcPr>
          <w:p w14:paraId="4FCF73A9">
            <w:pPr>
              <w:rPr>
                <w:rFonts w:hint="eastAsia" w:ascii="仿宋" w:hAnsi="仿宋" w:eastAsia="仿宋" w:cs="仿宋"/>
                <w:color w:val="auto"/>
                <w:sz w:val="22"/>
                <w:szCs w:val="22"/>
                <w:highlight w:val="none"/>
              </w:rPr>
            </w:pPr>
          </w:p>
        </w:tc>
        <w:tc>
          <w:tcPr>
            <w:tcW w:w="1289" w:type="dxa"/>
            <w:vAlign w:val="center"/>
          </w:tcPr>
          <w:p w14:paraId="611CB375">
            <w:pPr>
              <w:widowControl w:val="0"/>
              <w:autoSpaceDE w:val="0"/>
              <w:autoSpaceDN w:val="0"/>
              <w:spacing w:line="321" w:lineRule="auto"/>
              <w:ind w:right="182" w:rightChars="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本工程监理工作的重点与难 点分析</w:t>
            </w:r>
          </w:p>
        </w:tc>
        <w:tc>
          <w:tcPr>
            <w:tcW w:w="705" w:type="dxa"/>
            <w:vAlign w:val="center"/>
          </w:tcPr>
          <w:p w14:paraId="4F53F8C1">
            <w:pPr>
              <w:widowControl w:val="0"/>
              <w:autoSpaceDE w:val="0"/>
              <w:autoSpaceDN w:val="0"/>
              <w:spacing w:line="321" w:lineRule="auto"/>
              <w:ind w:left="191" w:leftChars="0" w:right="182"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10分</w:t>
            </w:r>
          </w:p>
        </w:tc>
        <w:tc>
          <w:tcPr>
            <w:tcW w:w="5008" w:type="dxa"/>
            <w:gridSpan w:val="3"/>
            <w:vAlign w:val="center"/>
          </w:tcPr>
          <w:p w14:paraId="25802F89">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有对工程重点、难点的分析得6.0分；分析准确，且有合理可行的应对措施的，酌情加0-4.0分。</w:t>
            </w:r>
          </w:p>
        </w:tc>
      </w:tr>
      <w:tr w14:paraId="383F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4" w:hRule="atLeast"/>
          <w:jc w:val="center"/>
        </w:trPr>
        <w:tc>
          <w:tcPr>
            <w:tcW w:w="850" w:type="dxa"/>
            <w:vMerge w:val="continue"/>
            <w:vAlign w:val="top"/>
          </w:tcPr>
          <w:p w14:paraId="0FD9A5D9">
            <w:pPr>
              <w:rPr>
                <w:rFonts w:hint="eastAsia" w:ascii="仿宋" w:hAnsi="仿宋" w:eastAsia="仿宋" w:cs="仿宋"/>
                <w:color w:val="auto"/>
                <w:sz w:val="22"/>
                <w:szCs w:val="22"/>
                <w:highlight w:val="none"/>
              </w:rPr>
            </w:pPr>
          </w:p>
        </w:tc>
        <w:tc>
          <w:tcPr>
            <w:tcW w:w="930" w:type="dxa"/>
            <w:gridSpan w:val="2"/>
            <w:vMerge w:val="continue"/>
            <w:vAlign w:val="top"/>
          </w:tcPr>
          <w:p w14:paraId="02B33645">
            <w:pPr>
              <w:rPr>
                <w:rFonts w:hint="eastAsia" w:ascii="仿宋" w:hAnsi="仿宋" w:eastAsia="仿宋" w:cs="仿宋"/>
                <w:color w:val="auto"/>
                <w:sz w:val="22"/>
                <w:szCs w:val="22"/>
                <w:highlight w:val="none"/>
              </w:rPr>
            </w:pPr>
          </w:p>
        </w:tc>
        <w:tc>
          <w:tcPr>
            <w:tcW w:w="989" w:type="dxa"/>
            <w:vMerge w:val="continue"/>
            <w:vAlign w:val="top"/>
          </w:tcPr>
          <w:p w14:paraId="40108E18">
            <w:pPr>
              <w:rPr>
                <w:rFonts w:hint="eastAsia" w:ascii="仿宋" w:hAnsi="仿宋" w:eastAsia="仿宋" w:cs="仿宋"/>
                <w:color w:val="auto"/>
                <w:sz w:val="22"/>
                <w:szCs w:val="22"/>
                <w:highlight w:val="none"/>
              </w:rPr>
            </w:pPr>
          </w:p>
        </w:tc>
        <w:tc>
          <w:tcPr>
            <w:tcW w:w="1289" w:type="dxa"/>
            <w:vAlign w:val="center"/>
          </w:tcPr>
          <w:p w14:paraId="4DC6E812">
            <w:pPr>
              <w:widowControl w:val="0"/>
              <w:autoSpaceDE w:val="0"/>
              <w:autoSpaceDN w:val="0"/>
              <w:spacing w:line="321" w:lineRule="auto"/>
              <w:ind w:right="182" w:rightChars="0"/>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对本工程的建议</w:t>
            </w:r>
          </w:p>
        </w:tc>
        <w:tc>
          <w:tcPr>
            <w:tcW w:w="705" w:type="dxa"/>
            <w:vAlign w:val="center"/>
          </w:tcPr>
          <w:p w14:paraId="52D0FB9A">
            <w:pPr>
              <w:widowControl w:val="0"/>
              <w:autoSpaceDE w:val="0"/>
              <w:autoSpaceDN w:val="0"/>
              <w:spacing w:line="321" w:lineRule="auto"/>
              <w:ind w:left="191" w:leftChars="0" w:right="182" w:rightChars="0"/>
              <w:jc w:val="center"/>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5分</w:t>
            </w:r>
          </w:p>
        </w:tc>
        <w:tc>
          <w:tcPr>
            <w:tcW w:w="5008" w:type="dxa"/>
            <w:gridSpan w:val="3"/>
            <w:vAlign w:val="center"/>
          </w:tcPr>
          <w:p w14:paraId="7B0D1B48">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有对本工程的建议的3.0分；对管理模式、工程质量、进度、投资控制、合同管理等方面均提出合理可 行的建议的，酌情加 0-2.0 分。</w:t>
            </w:r>
          </w:p>
        </w:tc>
      </w:tr>
      <w:tr w14:paraId="0C8E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0" w:type="dxa"/>
          <w:trHeight w:val="621" w:hRule="atLeast"/>
          <w:jc w:val="center"/>
        </w:trPr>
        <w:tc>
          <w:tcPr>
            <w:tcW w:w="4763" w:type="dxa"/>
            <w:gridSpan w:val="6"/>
            <w:vAlign w:val="center"/>
          </w:tcPr>
          <w:p w14:paraId="67E972AB">
            <w:pPr>
              <w:pStyle w:val="6"/>
              <w:spacing w:before="35" w:line="228" w:lineRule="auto"/>
              <w:ind w:left="1441"/>
              <w:jc w:val="both"/>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14:textOutline w14:w="3795" w14:cap="sq" w14:cmpd="sng">
                  <w14:solidFill>
                    <w14:srgbClr w14:val="000000"/>
                  </w14:solidFill>
                  <w14:prstDash w14:val="solid"/>
                  <w14:bevel/>
                </w14:textOutline>
              </w:rPr>
              <w:t>评分因素与权重分值</w:t>
            </w:r>
          </w:p>
        </w:tc>
        <w:tc>
          <w:tcPr>
            <w:tcW w:w="4808" w:type="dxa"/>
            <w:gridSpan w:val="2"/>
            <w:vMerge w:val="restart"/>
            <w:vAlign w:val="top"/>
          </w:tcPr>
          <w:p w14:paraId="4E094334">
            <w:pPr>
              <w:spacing w:line="453" w:lineRule="auto"/>
              <w:rPr>
                <w:rFonts w:hint="eastAsia" w:ascii="仿宋" w:hAnsi="仿宋" w:eastAsia="仿宋" w:cs="仿宋"/>
                <w:color w:val="auto"/>
                <w:sz w:val="22"/>
                <w:szCs w:val="22"/>
                <w:highlight w:val="none"/>
              </w:rPr>
            </w:pPr>
          </w:p>
          <w:p w14:paraId="5182E6EF">
            <w:pPr>
              <w:pStyle w:val="6"/>
              <w:spacing w:before="65" w:line="228" w:lineRule="auto"/>
              <w:ind w:left="1864"/>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14:textOutline w14:w="3795" w14:cap="sq" w14:cmpd="sng">
                  <w14:solidFill>
                    <w14:srgbClr w14:val="000000"/>
                  </w14:solidFill>
                  <w14:prstDash w14:val="solid"/>
                  <w14:bevel/>
                </w14:textOutline>
              </w:rPr>
              <w:t>评分标准</w:t>
            </w:r>
          </w:p>
        </w:tc>
      </w:tr>
      <w:tr w14:paraId="0F11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0" w:type="dxa"/>
          <w:trHeight w:val="887" w:hRule="atLeast"/>
          <w:jc w:val="center"/>
        </w:trPr>
        <w:tc>
          <w:tcPr>
            <w:tcW w:w="850" w:type="dxa"/>
            <w:vAlign w:val="top"/>
          </w:tcPr>
          <w:p w14:paraId="0D133C54">
            <w:pPr>
              <w:pStyle w:val="6"/>
              <w:spacing w:before="199" w:line="228" w:lineRule="auto"/>
              <w:ind w:left="222"/>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14:textOutline w14:w="3795" w14:cap="sq" w14:cmpd="sng">
                  <w14:solidFill>
                    <w14:srgbClr w14:val="000000"/>
                  </w14:solidFill>
                  <w14:prstDash w14:val="solid"/>
                  <w14:bevel/>
                </w14:textOutline>
              </w:rPr>
              <w:t>条款</w:t>
            </w:r>
          </w:p>
          <w:p w14:paraId="3D982844">
            <w:pPr>
              <w:pStyle w:val="6"/>
              <w:spacing w:before="24" w:line="229" w:lineRule="auto"/>
              <w:ind w:left="331"/>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14:textOutline w14:w="3795" w14:cap="sq" w14:cmpd="sng">
                  <w14:solidFill>
                    <w14:srgbClr w14:val="000000"/>
                  </w14:solidFill>
                  <w14:prstDash w14:val="solid"/>
                  <w14:bevel/>
                </w14:textOutline>
              </w:rPr>
              <w:t>号</w:t>
            </w:r>
          </w:p>
        </w:tc>
        <w:tc>
          <w:tcPr>
            <w:tcW w:w="930" w:type="dxa"/>
            <w:gridSpan w:val="2"/>
            <w:vAlign w:val="top"/>
          </w:tcPr>
          <w:p w14:paraId="3C465DC9">
            <w:pPr>
              <w:pStyle w:val="6"/>
              <w:spacing w:before="199" w:line="271" w:lineRule="exact"/>
              <w:ind w:left="257"/>
              <w:rPr>
                <w:rFonts w:hint="eastAsia" w:ascii="仿宋" w:hAnsi="仿宋" w:eastAsia="仿宋" w:cs="仿宋"/>
                <w:color w:val="auto"/>
                <w:sz w:val="22"/>
                <w:szCs w:val="22"/>
                <w:highlight w:val="none"/>
              </w:rPr>
            </w:pPr>
            <w:r>
              <w:rPr>
                <w:rFonts w:hint="eastAsia" w:ascii="仿宋" w:hAnsi="仿宋" w:eastAsia="仿宋" w:cs="仿宋"/>
                <w:color w:val="auto"/>
                <w:spacing w:val="6"/>
                <w:position w:val="4"/>
                <w:sz w:val="22"/>
                <w:szCs w:val="22"/>
                <w:highlight w:val="none"/>
                <w14:textOutline w14:w="3795" w14:cap="sq" w14:cmpd="sng">
                  <w14:solidFill>
                    <w14:srgbClr w14:val="000000"/>
                  </w14:solidFill>
                  <w14:prstDash w14:val="solid"/>
                  <w14:bevel/>
                </w14:textOutline>
              </w:rPr>
              <w:t>评分</w:t>
            </w:r>
          </w:p>
          <w:p w14:paraId="1F57F284">
            <w:pPr>
              <w:pStyle w:val="6"/>
              <w:spacing w:line="227" w:lineRule="auto"/>
              <w:ind w:left="27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14:textOutline w14:w="3795" w14:cap="sq" w14:cmpd="sng">
                  <w14:solidFill>
                    <w14:srgbClr w14:val="000000"/>
                  </w14:solidFill>
                  <w14:prstDash w14:val="solid"/>
                  <w14:bevel/>
                </w14:textOutline>
              </w:rPr>
              <w:t>因素</w:t>
            </w:r>
          </w:p>
        </w:tc>
        <w:tc>
          <w:tcPr>
            <w:tcW w:w="989" w:type="dxa"/>
            <w:vAlign w:val="top"/>
          </w:tcPr>
          <w:p w14:paraId="51D3C753">
            <w:pPr>
              <w:pStyle w:val="6"/>
              <w:spacing w:before="63" w:line="228" w:lineRule="auto"/>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14:textOutline w14:w="3795" w14:cap="sq" w14:cmpd="sng">
                  <w14:solidFill>
                    <w14:srgbClr w14:val="000000"/>
                  </w14:solidFill>
                  <w14:prstDash w14:val="solid"/>
                  <w14:bevel/>
                </w14:textOutline>
              </w:rPr>
              <w:t>评分因</w:t>
            </w:r>
            <w:r>
              <w:rPr>
                <w:rFonts w:hint="eastAsia" w:ascii="仿宋" w:hAnsi="仿宋" w:eastAsia="仿宋" w:cs="仿宋"/>
                <w:color w:val="auto"/>
                <w:spacing w:val="6"/>
                <w:sz w:val="22"/>
                <w:szCs w:val="22"/>
                <w:highlight w:val="none"/>
                <w14:textOutline w14:w="3795" w14:cap="sq" w14:cmpd="sng">
                  <w14:solidFill>
                    <w14:srgbClr w14:val="000000"/>
                  </w14:solidFill>
                  <w14:prstDash w14:val="solid"/>
                  <w14:bevel/>
                </w14:textOutline>
              </w:rPr>
              <w:t>素权重</w:t>
            </w:r>
            <w:r>
              <w:rPr>
                <w:rFonts w:hint="eastAsia" w:ascii="仿宋" w:hAnsi="仿宋" w:eastAsia="仿宋" w:cs="仿宋"/>
                <w:color w:val="auto"/>
                <w:spacing w:val="4"/>
                <w:sz w:val="22"/>
                <w:szCs w:val="22"/>
                <w:highlight w:val="none"/>
                <w14:textOutline w14:w="3795" w14:cap="sq" w14:cmpd="sng">
                  <w14:solidFill>
                    <w14:srgbClr w14:val="000000"/>
                  </w14:solidFill>
                  <w14:prstDash w14:val="solid"/>
                  <w14:bevel/>
                </w14:textOutline>
              </w:rPr>
              <w:t>分值</w:t>
            </w:r>
          </w:p>
        </w:tc>
        <w:tc>
          <w:tcPr>
            <w:tcW w:w="1289" w:type="dxa"/>
            <w:vAlign w:val="top"/>
          </w:tcPr>
          <w:p w14:paraId="4EF5E146">
            <w:pPr>
              <w:pStyle w:val="6"/>
              <w:spacing w:before="200" w:line="239" w:lineRule="auto"/>
              <w:ind w:right="115"/>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14:textOutline w14:w="3795" w14:cap="sq" w14:cmpd="sng">
                  <w14:solidFill>
                    <w14:srgbClr w14:val="000000"/>
                  </w14:solidFill>
                  <w14:prstDash w14:val="solid"/>
                  <w14:bevel/>
                </w14:textOutline>
              </w:rPr>
              <w:t>各评分因素</w:t>
            </w:r>
            <w:r>
              <w:rPr>
                <w:rFonts w:hint="eastAsia" w:ascii="仿宋" w:hAnsi="仿宋" w:eastAsia="仿宋" w:cs="仿宋"/>
                <w:color w:val="auto"/>
                <w:spacing w:val="7"/>
                <w:sz w:val="22"/>
                <w:szCs w:val="22"/>
                <w:highlight w:val="none"/>
                <w14:textOutline w14:w="3795" w14:cap="sq" w14:cmpd="sng">
                  <w14:solidFill>
                    <w14:srgbClr w14:val="000000"/>
                  </w14:solidFill>
                  <w14:prstDash w14:val="solid"/>
                  <w14:bevel/>
                </w14:textOutline>
              </w:rPr>
              <w:t>细分项</w:t>
            </w:r>
          </w:p>
        </w:tc>
        <w:tc>
          <w:tcPr>
            <w:tcW w:w="705" w:type="dxa"/>
            <w:vAlign w:val="top"/>
          </w:tcPr>
          <w:p w14:paraId="6BD6EDD1">
            <w:pPr>
              <w:pStyle w:val="6"/>
              <w:spacing w:before="65" w:line="228" w:lineRule="auto"/>
              <w:ind w:left="151"/>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14:textOutline w14:w="3795" w14:cap="sq" w14:cmpd="sng">
                  <w14:solidFill>
                    <w14:srgbClr w14:val="000000"/>
                  </w14:solidFill>
                  <w14:prstDash w14:val="solid"/>
                  <w14:bevel/>
                </w14:textOutline>
              </w:rPr>
              <w:t>分值</w:t>
            </w:r>
          </w:p>
        </w:tc>
        <w:tc>
          <w:tcPr>
            <w:tcW w:w="4808" w:type="dxa"/>
            <w:gridSpan w:val="2"/>
            <w:vMerge w:val="continue"/>
            <w:vAlign w:val="top"/>
          </w:tcPr>
          <w:p w14:paraId="40A07D5F">
            <w:pPr>
              <w:rPr>
                <w:rFonts w:hint="eastAsia" w:ascii="仿宋" w:hAnsi="仿宋" w:eastAsia="仿宋" w:cs="仿宋"/>
                <w:color w:val="auto"/>
                <w:sz w:val="22"/>
                <w:szCs w:val="22"/>
                <w:highlight w:val="none"/>
              </w:rPr>
            </w:pPr>
          </w:p>
        </w:tc>
      </w:tr>
      <w:tr w14:paraId="56C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0" w:type="dxa"/>
          <w:trHeight w:val="2116" w:hRule="atLeast"/>
          <w:jc w:val="center"/>
        </w:trPr>
        <w:tc>
          <w:tcPr>
            <w:tcW w:w="850" w:type="dxa"/>
            <w:vAlign w:val="center"/>
          </w:tcPr>
          <w:p w14:paraId="2F4F0641">
            <w:pPr>
              <w:pStyle w:val="6"/>
              <w:spacing w:before="65" w:line="240" w:lineRule="auto"/>
              <w:ind w:left="170"/>
              <w:jc w:val="both"/>
              <w:rPr>
                <w:rFonts w:hint="eastAsia" w:ascii="仿宋" w:hAnsi="仿宋" w:eastAsia="仿宋" w:cs="仿宋"/>
                <w:color w:val="auto"/>
                <w:sz w:val="22"/>
                <w:szCs w:val="22"/>
                <w:highlight w:val="none"/>
                <w:lang w:eastAsia="zh-CN"/>
              </w:rPr>
            </w:pPr>
            <w:r>
              <w:rPr>
                <w:rFonts w:hint="eastAsia" w:ascii="仿宋" w:hAnsi="仿宋" w:eastAsia="仿宋" w:cs="仿宋"/>
                <w:color w:val="auto"/>
                <w:spacing w:val="2"/>
                <w:position w:val="16"/>
                <w:sz w:val="22"/>
                <w:szCs w:val="22"/>
                <w:highlight w:val="none"/>
              </w:rPr>
              <w:t>2.2.</w:t>
            </w:r>
            <w:r>
              <w:rPr>
                <w:rFonts w:hint="eastAsia" w:ascii="仿宋" w:hAnsi="仿宋" w:eastAsia="仿宋" w:cs="仿宋"/>
                <w:color w:val="auto"/>
                <w:spacing w:val="2"/>
                <w:position w:val="16"/>
                <w:sz w:val="22"/>
                <w:szCs w:val="22"/>
                <w:highlight w:val="none"/>
                <w:lang w:val="en-US" w:eastAsia="zh-CN"/>
              </w:rPr>
              <w:t>4</w:t>
            </w:r>
          </w:p>
          <w:p w14:paraId="705B66A9">
            <w:pPr>
              <w:pStyle w:val="6"/>
              <w:spacing w:line="240" w:lineRule="auto"/>
              <w:ind w:left="310"/>
              <w:jc w:val="both"/>
              <w:rPr>
                <w:rFonts w:hint="eastAsia" w:ascii="仿宋" w:hAnsi="仿宋" w:eastAsia="仿宋" w:cs="仿宋"/>
                <w:color w:val="auto"/>
                <w:sz w:val="22"/>
                <w:szCs w:val="22"/>
                <w:highlight w:val="none"/>
              </w:rPr>
            </w:pPr>
            <w:r>
              <w:rPr>
                <w:rFonts w:hint="eastAsia" w:ascii="仿宋" w:hAnsi="仿宋" w:eastAsia="仿宋" w:cs="仿宋"/>
                <w:color w:val="auto"/>
                <w:spacing w:val="-10"/>
                <w:sz w:val="22"/>
                <w:szCs w:val="22"/>
                <w:highlight w:val="none"/>
              </w:rPr>
              <w:t>(2)</w:t>
            </w:r>
          </w:p>
        </w:tc>
        <w:tc>
          <w:tcPr>
            <w:tcW w:w="930" w:type="dxa"/>
            <w:gridSpan w:val="2"/>
            <w:vAlign w:val="center"/>
          </w:tcPr>
          <w:p w14:paraId="11F4F9AC">
            <w:pPr>
              <w:pStyle w:val="6"/>
              <w:spacing w:before="65" w:line="240" w:lineRule="auto"/>
              <w:ind w:left="260"/>
              <w:jc w:val="both"/>
              <w:rPr>
                <w:rFonts w:hint="eastAsia" w:ascii="仿宋" w:hAnsi="仿宋" w:eastAsia="仿宋" w:cs="仿宋"/>
                <w:color w:val="auto"/>
                <w:sz w:val="22"/>
                <w:szCs w:val="22"/>
                <w:highlight w:val="none"/>
              </w:rPr>
            </w:pPr>
            <w:r>
              <w:rPr>
                <w:rFonts w:hint="eastAsia" w:ascii="仿宋" w:hAnsi="仿宋" w:eastAsia="仿宋" w:cs="仿宋"/>
                <w:color w:val="auto"/>
                <w:spacing w:val="3"/>
                <w:position w:val="15"/>
                <w:sz w:val="22"/>
                <w:szCs w:val="22"/>
                <w:highlight w:val="none"/>
              </w:rPr>
              <w:t>主要</w:t>
            </w:r>
          </w:p>
          <w:p w14:paraId="6477B7FB">
            <w:pPr>
              <w:pStyle w:val="6"/>
              <w:spacing w:line="240" w:lineRule="auto"/>
              <w:ind w:left="260"/>
              <w:jc w:val="both"/>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人员</w:t>
            </w:r>
          </w:p>
        </w:tc>
        <w:tc>
          <w:tcPr>
            <w:tcW w:w="989" w:type="dxa"/>
            <w:vAlign w:val="center"/>
          </w:tcPr>
          <w:p w14:paraId="62DCF240">
            <w:pPr>
              <w:pStyle w:val="6"/>
              <w:spacing w:before="65" w:line="240" w:lineRule="auto"/>
              <w:ind w:left="290"/>
              <w:jc w:val="both"/>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lang w:val="en-US" w:eastAsia="zh-CN"/>
              </w:rPr>
              <w:t>25</w:t>
            </w:r>
            <w:r>
              <w:rPr>
                <w:rFonts w:hint="eastAsia" w:ascii="仿宋" w:hAnsi="仿宋" w:eastAsia="仿宋" w:cs="仿宋"/>
                <w:color w:val="auto"/>
                <w:spacing w:val="-3"/>
                <w:sz w:val="22"/>
                <w:szCs w:val="22"/>
                <w:highlight w:val="none"/>
              </w:rPr>
              <w:t>分</w:t>
            </w:r>
          </w:p>
        </w:tc>
        <w:tc>
          <w:tcPr>
            <w:tcW w:w="1289" w:type="dxa"/>
            <w:vAlign w:val="center"/>
          </w:tcPr>
          <w:p w14:paraId="2880F324">
            <w:pPr>
              <w:widowControl w:val="0"/>
              <w:numPr>
                <w:ilvl w:val="0"/>
                <w:numId w:val="0"/>
              </w:numPr>
              <w:tabs>
                <w:tab w:val="left" w:pos="650"/>
              </w:tabs>
              <w:autoSpaceDE w:val="0"/>
              <w:autoSpaceDN w:val="0"/>
              <w:spacing w:before="0" w:after="0" w:line="321" w:lineRule="auto"/>
              <w:ind w:left="124" w:leftChars="0" w:right="10" w:rightChars="0" w:firstLine="44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总监理工程师或驻地监理工程师任职资格与业绩</w:t>
            </w:r>
          </w:p>
        </w:tc>
        <w:tc>
          <w:tcPr>
            <w:tcW w:w="705" w:type="dxa"/>
            <w:vAlign w:val="center"/>
          </w:tcPr>
          <w:p w14:paraId="0E8FE3FF">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25分</w:t>
            </w:r>
          </w:p>
        </w:tc>
        <w:tc>
          <w:tcPr>
            <w:tcW w:w="4808" w:type="dxa"/>
            <w:gridSpan w:val="2"/>
            <w:vAlign w:val="center"/>
          </w:tcPr>
          <w:p w14:paraId="5821E674">
            <w:pPr>
              <w:widowControl w:val="0"/>
              <w:numPr>
                <w:ilvl w:val="0"/>
                <w:numId w:val="0"/>
              </w:numPr>
              <w:tabs>
                <w:tab w:val="left" w:pos="650"/>
              </w:tabs>
              <w:autoSpaceDE w:val="0"/>
              <w:autoSpaceDN w:val="0"/>
              <w:spacing w:before="0" w:after="0" w:line="321" w:lineRule="auto"/>
              <w:ind w:left="124" w:leftChars="0" w:right="10" w:rightChars="0" w:firstLine="440" w:firstLineChars="200"/>
              <w:jc w:val="both"/>
              <w:rPr>
                <w:rFonts w:hint="default"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监理人员符合资格审查要求的，得25分。</w:t>
            </w:r>
          </w:p>
        </w:tc>
      </w:tr>
      <w:tr w14:paraId="3A06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0" w:type="dxa"/>
          <w:trHeight w:val="2116" w:hRule="atLeast"/>
          <w:jc w:val="center"/>
        </w:trPr>
        <w:tc>
          <w:tcPr>
            <w:tcW w:w="850" w:type="dxa"/>
            <w:vAlign w:val="center"/>
          </w:tcPr>
          <w:p w14:paraId="2C594F97">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2.2.4 (3)</w:t>
            </w:r>
          </w:p>
        </w:tc>
        <w:tc>
          <w:tcPr>
            <w:tcW w:w="930" w:type="dxa"/>
            <w:gridSpan w:val="2"/>
            <w:vAlign w:val="center"/>
          </w:tcPr>
          <w:p w14:paraId="35146A40">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评标价</w:t>
            </w:r>
          </w:p>
        </w:tc>
        <w:tc>
          <w:tcPr>
            <w:tcW w:w="989" w:type="dxa"/>
            <w:vAlign w:val="center"/>
          </w:tcPr>
          <w:p w14:paraId="4F6E9AF3">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 分</w:t>
            </w:r>
          </w:p>
        </w:tc>
        <w:tc>
          <w:tcPr>
            <w:tcW w:w="6802" w:type="dxa"/>
            <w:gridSpan w:val="4"/>
            <w:vAlign w:val="top"/>
          </w:tcPr>
          <w:p w14:paraId="188A498D">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评标价得分计算公式示例：</w:t>
            </w:r>
          </w:p>
          <w:p w14:paraId="2EFCD469">
            <w:pPr>
              <w:widowControl w:val="0"/>
              <w:numPr>
                <w:ilvl w:val="0"/>
                <w:numId w:val="0"/>
              </w:numPr>
              <w:tabs>
                <w:tab w:val="left" w:pos="650"/>
              </w:tabs>
              <w:autoSpaceDE w:val="0"/>
              <w:autoSpaceDN w:val="0"/>
              <w:spacing w:before="0" w:after="0" w:line="321" w:lineRule="auto"/>
              <w:ind w:left="124" w:leftChars="0" w:right="10" w:rightChars="0" w:firstLine="44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(1)如果投标人的评标价&gt;评标基准价，则评标价得分＝F－偏差率×100× E1；</w:t>
            </w:r>
          </w:p>
          <w:p w14:paraId="2AFD5047">
            <w:pPr>
              <w:widowControl w:val="0"/>
              <w:numPr>
                <w:ilvl w:val="0"/>
                <w:numId w:val="0"/>
              </w:numPr>
              <w:tabs>
                <w:tab w:val="left" w:pos="650"/>
              </w:tabs>
              <w:autoSpaceDE w:val="0"/>
              <w:autoSpaceDN w:val="0"/>
              <w:spacing w:before="0" w:after="0" w:line="321" w:lineRule="auto"/>
              <w:ind w:left="124" w:leftChars="0" w:right="10" w:rightChars="0" w:firstLine="44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(2)如果投标人的评标价≤评标基准价，则评标价得分＝F+偏差率× 100× E2。</w:t>
            </w:r>
          </w:p>
          <w:p w14:paraId="3C54BD5C">
            <w:pPr>
              <w:widowControl w:val="0"/>
              <w:numPr>
                <w:ilvl w:val="0"/>
                <w:numId w:val="0"/>
              </w:numPr>
              <w:tabs>
                <w:tab w:val="left" w:pos="650"/>
              </w:tabs>
              <w:autoSpaceDE w:val="0"/>
              <w:autoSpaceDN w:val="0"/>
              <w:spacing w:before="0" w:after="0" w:line="321" w:lineRule="auto"/>
              <w:ind w:left="124" w:leftChars="0" w:right="10" w:rightChars="0" w:firstLine="440" w:firstLineChars="200"/>
              <w:jc w:val="both"/>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bidi="zh-CN"/>
              </w:rPr>
              <w:t>其中：F=10，一般原则上 E1=1.0，E2=0.5，评标价得分保留小数点后四位，第五位四舍五入。</w:t>
            </w:r>
          </w:p>
        </w:tc>
      </w:tr>
      <w:tr w14:paraId="6A59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0" w:type="dxa"/>
          <w:trHeight w:val="1262" w:hRule="atLeast"/>
          <w:jc w:val="center"/>
        </w:trPr>
        <w:tc>
          <w:tcPr>
            <w:tcW w:w="850" w:type="dxa"/>
            <w:vMerge w:val="restart"/>
            <w:vAlign w:val="center"/>
          </w:tcPr>
          <w:p w14:paraId="4558E46B">
            <w:pPr>
              <w:spacing w:line="360" w:lineRule="exact"/>
              <w:ind w:left="-59" w:leftChars="-28" w:right="-83"/>
              <w:jc w:val="center"/>
              <w:rPr>
                <w:rFonts w:hint="eastAsia" w:ascii="仿宋" w:hAnsi="仿宋" w:eastAsia="仿宋" w:cs="仿宋"/>
                <w:szCs w:val="21"/>
              </w:rPr>
            </w:pPr>
            <w:r>
              <w:rPr>
                <w:rFonts w:hint="eastAsia" w:ascii="仿宋" w:hAnsi="仿宋" w:eastAsia="仿宋" w:cs="仿宋"/>
                <w:szCs w:val="21"/>
              </w:rPr>
              <w:t>2.2.4</w:t>
            </w:r>
          </w:p>
          <w:p w14:paraId="7934D60D">
            <w:pPr>
              <w:pStyle w:val="6"/>
              <w:spacing w:line="230" w:lineRule="auto"/>
              <w:jc w:val="center"/>
              <w:rPr>
                <w:rFonts w:hint="eastAsia" w:ascii="仿宋" w:hAnsi="仿宋" w:eastAsia="仿宋" w:cs="仿宋"/>
                <w:color w:val="auto"/>
                <w:sz w:val="22"/>
                <w:szCs w:val="22"/>
                <w:highlight w:val="none"/>
                <w:lang w:val="en-US" w:eastAsia="zh-CN"/>
              </w:rPr>
            </w:pPr>
            <w:r>
              <w:rPr>
                <w:rFonts w:hint="eastAsia" w:ascii="仿宋" w:hAnsi="仿宋" w:eastAsia="仿宋" w:cs="仿宋"/>
                <w:szCs w:val="21"/>
              </w:rPr>
              <w:t>(4)</w:t>
            </w:r>
          </w:p>
        </w:tc>
        <w:tc>
          <w:tcPr>
            <w:tcW w:w="416" w:type="dxa"/>
            <w:vMerge w:val="restart"/>
            <w:vAlign w:val="center"/>
          </w:tcPr>
          <w:p w14:paraId="50A5CFFB">
            <w:pPr>
              <w:pStyle w:val="6"/>
              <w:spacing w:before="143" w:line="228" w:lineRule="auto"/>
              <w:jc w:val="center"/>
              <w:rPr>
                <w:rFonts w:hint="eastAsia" w:ascii="仿宋" w:hAnsi="仿宋" w:eastAsia="仿宋" w:cs="仿宋"/>
                <w:snapToGrid w:val="0"/>
                <w:color w:val="auto"/>
                <w:kern w:val="0"/>
                <w:sz w:val="22"/>
                <w:szCs w:val="22"/>
                <w:highlight w:val="none"/>
                <w:lang w:val="en-US" w:eastAsia="zh-CN" w:bidi="zh-CN"/>
              </w:rPr>
            </w:pPr>
            <w:r>
              <w:rPr>
                <w:rFonts w:hint="eastAsia" w:ascii="仿宋" w:hAnsi="仿宋" w:eastAsia="仿宋" w:cs="仿宋"/>
                <w:szCs w:val="21"/>
              </w:rPr>
              <w:t>其他因素</w:t>
            </w:r>
          </w:p>
        </w:tc>
        <w:tc>
          <w:tcPr>
            <w:tcW w:w="514" w:type="dxa"/>
            <w:vAlign w:val="center"/>
          </w:tcPr>
          <w:p w14:paraId="0D44705D">
            <w:pPr>
              <w:pStyle w:val="6"/>
              <w:spacing w:before="143" w:line="240" w:lineRule="auto"/>
              <w:jc w:val="center"/>
              <w:rPr>
                <w:rFonts w:hint="eastAsia" w:ascii="仿宋" w:hAnsi="仿宋" w:eastAsia="仿宋" w:cs="仿宋"/>
                <w:snapToGrid w:val="0"/>
                <w:color w:val="auto"/>
                <w:kern w:val="0"/>
                <w:sz w:val="22"/>
                <w:szCs w:val="22"/>
                <w:highlight w:val="none"/>
                <w:lang w:val="en-US" w:eastAsia="zh-CN" w:bidi="zh-CN"/>
              </w:rPr>
            </w:pPr>
            <w:r>
              <w:rPr>
                <w:rFonts w:hint="eastAsia" w:ascii="仿宋" w:hAnsi="仿宋" w:eastAsia="仿宋" w:cs="仿宋"/>
                <w:snapToGrid w:val="0"/>
                <w:color w:val="auto"/>
                <w:kern w:val="0"/>
                <w:sz w:val="22"/>
                <w:szCs w:val="22"/>
                <w:highlight w:val="none"/>
                <w:lang w:val="en-US" w:eastAsia="zh-CN" w:bidi="zh-CN"/>
              </w:rPr>
              <w:t>业绩</w:t>
            </w:r>
          </w:p>
        </w:tc>
        <w:tc>
          <w:tcPr>
            <w:tcW w:w="989" w:type="dxa"/>
            <w:vAlign w:val="center"/>
          </w:tcPr>
          <w:p w14:paraId="4D6A80D4">
            <w:pPr>
              <w:widowControl w:val="0"/>
              <w:autoSpaceDE w:val="0"/>
              <w:autoSpaceDN w:val="0"/>
              <w:spacing w:line="240" w:lineRule="auto"/>
              <w:ind w:left="191" w:leftChars="0" w:right="182" w:rightChars="0"/>
              <w:jc w:val="center"/>
              <w:rPr>
                <w:rFonts w:hint="default"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25分</w:t>
            </w:r>
          </w:p>
        </w:tc>
        <w:tc>
          <w:tcPr>
            <w:tcW w:w="1289" w:type="dxa"/>
            <w:vAlign w:val="center"/>
          </w:tcPr>
          <w:p w14:paraId="25BF2D52">
            <w:pPr>
              <w:widowControl w:val="0"/>
              <w:numPr>
                <w:ilvl w:val="0"/>
                <w:numId w:val="0"/>
              </w:numPr>
              <w:tabs>
                <w:tab w:val="left" w:pos="650"/>
              </w:tabs>
              <w:autoSpaceDE w:val="0"/>
              <w:autoSpaceDN w:val="0"/>
              <w:spacing w:before="0" w:after="0" w:line="240" w:lineRule="auto"/>
              <w:ind w:right="10" w:rightChars="0"/>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基本要求</w:t>
            </w:r>
          </w:p>
        </w:tc>
        <w:tc>
          <w:tcPr>
            <w:tcW w:w="705" w:type="dxa"/>
            <w:vAlign w:val="center"/>
          </w:tcPr>
          <w:p w14:paraId="2ACF3866">
            <w:pPr>
              <w:widowControl w:val="0"/>
              <w:numPr>
                <w:ilvl w:val="0"/>
                <w:numId w:val="0"/>
              </w:numPr>
              <w:tabs>
                <w:tab w:val="left" w:pos="650"/>
              </w:tabs>
              <w:autoSpaceDE w:val="0"/>
              <w:autoSpaceDN w:val="0"/>
              <w:spacing w:before="0" w:after="0" w:line="240" w:lineRule="auto"/>
              <w:ind w:left="0" w:leftChars="0" w:right="10" w:rightChars="0" w:firstLine="0" w:firstLineChars="0"/>
              <w:jc w:val="center"/>
              <w:rPr>
                <w:rFonts w:hint="default"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25分</w:t>
            </w:r>
          </w:p>
        </w:tc>
        <w:tc>
          <w:tcPr>
            <w:tcW w:w="4808" w:type="dxa"/>
            <w:gridSpan w:val="2"/>
            <w:vAlign w:val="center"/>
          </w:tcPr>
          <w:p w14:paraId="56F22D18">
            <w:pPr>
              <w:widowControl w:val="0"/>
              <w:numPr>
                <w:ilvl w:val="0"/>
                <w:numId w:val="0"/>
              </w:numPr>
              <w:tabs>
                <w:tab w:val="left" w:pos="650"/>
              </w:tabs>
              <w:autoSpaceDE w:val="0"/>
              <w:autoSpaceDN w:val="0"/>
              <w:spacing w:line="240" w:lineRule="auto"/>
              <w:ind w:right="10" w:rightChars="0"/>
              <w:jc w:val="both"/>
              <w:rPr>
                <w:rFonts w:hint="eastAsia" w:ascii="仿宋" w:hAnsi="仿宋" w:eastAsia="仿宋" w:cs="仿宋"/>
                <w:color w:val="auto"/>
                <w:sz w:val="22"/>
                <w:szCs w:val="22"/>
                <w:highlight w:val="cyan"/>
                <w:lang w:val="en-US" w:eastAsia="zh-CN" w:bidi="zh-CN"/>
              </w:rPr>
            </w:pPr>
            <w:r>
              <w:rPr>
                <w:rFonts w:hint="eastAsia" w:ascii="仿宋" w:hAnsi="仿宋" w:eastAsia="仿宋" w:cs="仿宋"/>
                <w:color w:val="auto"/>
                <w:sz w:val="22"/>
                <w:szCs w:val="22"/>
                <w:highlight w:val="none"/>
                <w:lang w:val="en-US" w:eastAsia="zh-CN" w:bidi="zh-CN"/>
              </w:rPr>
              <w:t>满足招标文件附录2业绩最低要求的，得25分。</w:t>
            </w:r>
          </w:p>
        </w:tc>
      </w:tr>
      <w:tr w14:paraId="43B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0" w:type="dxa"/>
          <w:trHeight w:val="849" w:hRule="atLeast"/>
          <w:jc w:val="center"/>
        </w:trPr>
        <w:tc>
          <w:tcPr>
            <w:tcW w:w="850" w:type="dxa"/>
            <w:vMerge w:val="continue"/>
            <w:vAlign w:val="top"/>
          </w:tcPr>
          <w:p w14:paraId="58CA37CC">
            <w:pPr>
              <w:pStyle w:val="6"/>
              <w:spacing w:line="230" w:lineRule="auto"/>
              <w:jc w:val="center"/>
              <w:rPr>
                <w:rFonts w:hint="eastAsia" w:ascii="仿宋" w:hAnsi="仿宋" w:eastAsia="仿宋" w:cs="仿宋"/>
                <w:color w:val="auto"/>
                <w:sz w:val="22"/>
                <w:szCs w:val="22"/>
                <w:highlight w:val="none"/>
                <w:lang w:val="en-US" w:eastAsia="zh-CN"/>
              </w:rPr>
            </w:pPr>
          </w:p>
        </w:tc>
        <w:tc>
          <w:tcPr>
            <w:tcW w:w="416" w:type="dxa"/>
            <w:vMerge w:val="continue"/>
            <w:vAlign w:val="top"/>
          </w:tcPr>
          <w:p w14:paraId="632DA958">
            <w:pPr>
              <w:pStyle w:val="6"/>
              <w:spacing w:before="143" w:line="228" w:lineRule="auto"/>
              <w:rPr>
                <w:rFonts w:hint="eastAsia" w:ascii="仿宋" w:hAnsi="仿宋" w:eastAsia="仿宋" w:cs="仿宋"/>
                <w:snapToGrid w:val="0"/>
                <w:color w:val="auto"/>
                <w:kern w:val="0"/>
                <w:sz w:val="22"/>
                <w:szCs w:val="22"/>
                <w:highlight w:val="none"/>
                <w:lang w:val="en-US" w:eastAsia="zh-CN" w:bidi="zh-CN"/>
              </w:rPr>
            </w:pPr>
          </w:p>
        </w:tc>
        <w:tc>
          <w:tcPr>
            <w:tcW w:w="514" w:type="dxa"/>
            <w:vAlign w:val="center"/>
          </w:tcPr>
          <w:p w14:paraId="5A3E149B">
            <w:pPr>
              <w:pStyle w:val="6"/>
              <w:spacing w:before="143" w:line="228" w:lineRule="auto"/>
              <w:jc w:val="center"/>
              <w:rPr>
                <w:rFonts w:hint="eastAsia" w:ascii="仿宋" w:hAnsi="仿宋" w:eastAsia="仿宋" w:cs="仿宋"/>
                <w:snapToGrid w:val="0"/>
                <w:color w:val="auto"/>
                <w:kern w:val="0"/>
                <w:sz w:val="22"/>
                <w:szCs w:val="22"/>
                <w:highlight w:val="none"/>
                <w:lang w:val="en-US" w:eastAsia="zh-CN" w:bidi="zh-CN"/>
              </w:rPr>
            </w:pPr>
            <w:r>
              <w:rPr>
                <w:rFonts w:hint="eastAsia" w:ascii="仿宋" w:hAnsi="仿宋" w:eastAsia="仿宋" w:cs="仿宋"/>
                <w:snapToGrid w:val="0"/>
                <w:color w:val="auto"/>
                <w:kern w:val="0"/>
                <w:sz w:val="22"/>
                <w:szCs w:val="22"/>
                <w:highlight w:val="none"/>
                <w:lang w:val="zh-CN" w:eastAsia="zh-CN" w:bidi="zh-CN"/>
              </w:rPr>
              <w:t>履约信誉</w:t>
            </w:r>
          </w:p>
        </w:tc>
        <w:tc>
          <w:tcPr>
            <w:tcW w:w="989" w:type="dxa"/>
            <w:vAlign w:val="center"/>
          </w:tcPr>
          <w:p w14:paraId="0FB544F3">
            <w:pPr>
              <w:pStyle w:val="6"/>
              <w:spacing w:before="143" w:line="228" w:lineRule="auto"/>
              <w:jc w:val="center"/>
              <w:rPr>
                <w:rFonts w:hint="eastAsia" w:ascii="仿宋" w:hAnsi="仿宋" w:eastAsia="仿宋" w:cs="仿宋"/>
                <w:snapToGrid w:val="0"/>
                <w:color w:val="auto"/>
                <w:kern w:val="0"/>
                <w:sz w:val="22"/>
                <w:szCs w:val="22"/>
                <w:highlight w:val="none"/>
                <w:lang w:val="zh-CN" w:eastAsia="zh-CN" w:bidi="zh-CN"/>
              </w:rPr>
            </w:pPr>
            <w:r>
              <w:rPr>
                <w:rFonts w:hint="eastAsia" w:ascii="仿宋" w:hAnsi="仿宋" w:eastAsia="仿宋" w:cs="仿宋"/>
                <w:snapToGrid w:val="0"/>
                <w:color w:val="auto"/>
                <w:kern w:val="0"/>
                <w:sz w:val="22"/>
                <w:szCs w:val="22"/>
                <w:highlight w:val="none"/>
                <w:lang w:val="en-US" w:eastAsia="zh-CN" w:bidi="zh-CN"/>
              </w:rPr>
              <w:t>10</w:t>
            </w:r>
            <w:r>
              <w:rPr>
                <w:rFonts w:hint="eastAsia" w:ascii="仿宋" w:hAnsi="仿宋" w:eastAsia="仿宋" w:cs="仿宋"/>
                <w:snapToGrid w:val="0"/>
                <w:color w:val="auto"/>
                <w:kern w:val="0"/>
                <w:sz w:val="22"/>
                <w:szCs w:val="22"/>
                <w:highlight w:val="none"/>
                <w:lang w:val="zh-CN" w:eastAsia="zh-CN" w:bidi="zh-CN"/>
              </w:rPr>
              <w:t>分</w:t>
            </w:r>
          </w:p>
        </w:tc>
        <w:tc>
          <w:tcPr>
            <w:tcW w:w="6802" w:type="dxa"/>
            <w:gridSpan w:val="4"/>
            <w:vAlign w:val="top"/>
          </w:tcPr>
          <w:p w14:paraId="51A82EC1">
            <w:pPr>
              <w:widowControl w:val="0"/>
              <w:autoSpaceDE w:val="0"/>
              <w:autoSpaceDN w:val="0"/>
              <w:spacing w:line="321" w:lineRule="auto"/>
              <w:ind w:left="191" w:leftChars="0" w:right="182" w:rightChars="0"/>
              <w:jc w:val="left"/>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 xml:space="preserve">1. </w:t>
            </w:r>
            <w:r>
              <w:rPr>
                <w:rFonts w:hint="eastAsia" w:ascii="仿宋" w:hAnsi="仿宋" w:eastAsia="仿宋" w:cs="仿宋"/>
                <w:b/>
                <w:bCs/>
                <w:color w:val="auto"/>
                <w:sz w:val="22"/>
                <w:szCs w:val="22"/>
                <w:highlight w:val="none"/>
                <w:lang w:val="zh-CN" w:eastAsia="zh-CN" w:bidi="zh-CN"/>
              </w:rPr>
              <w:t>信用等级分值（</w:t>
            </w:r>
            <w:r>
              <w:rPr>
                <w:rFonts w:hint="eastAsia" w:ascii="仿宋" w:hAnsi="仿宋" w:eastAsia="仿宋" w:cs="仿宋"/>
                <w:b/>
                <w:bCs/>
                <w:color w:val="auto"/>
                <w:sz w:val="22"/>
                <w:szCs w:val="22"/>
                <w:highlight w:val="none"/>
                <w:lang w:val="en-US" w:eastAsia="zh-CN" w:bidi="zh-CN"/>
              </w:rPr>
              <w:t>5</w:t>
            </w:r>
            <w:r>
              <w:rPr>
                <w:rFonts w:hint="eastAsia" w:ascii="仿宋" w:hAnsi="仿宋" w:eastAsia="仿宋" w:cs="仿宋"/>
                <w:b/>
                <w:bCs/>
                <w:color w:val="auto"/>
                <w:sz w:val="22"/>
                <w:szCs w:val="22"/>
                <w:highlight w:val="none"/>
                <w:lang w:val="zh-CN" w:eastAsia="zh-CN" w:bidi="zh-CN"/>
              </w:rPr>
              <w:t>分）</w:t>
            </w:r>
          </w:p>
          <w:p w14:paraId="6F7558E8">
            <w:pPr>
              <w:widowControl w:val="0"/>
              <w:autoSpaceDE w:val="0"/>
              <w:autoSpaceDN w:val="0"/>
              <w:spacing w:line="321" w:lineRule="auto"/>
              <w:ind w:right="182" w:rightChars="0"/>
              <w:jc w:val="left"/>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AA、A、B、C级单位的信用等级分得分分别为5.00、4.75、4.45、3.65分。</w:t>
            </w:r>
          </w:p>
          <w:p w14:paraId="7A5D885B">
            <w:pPr>
              <w:widowControl w:val="0"/>
              <w:autoSpaceDE w:val="0"/>
              <w:autoSpaceDN w:val="0"/>
              <w:spacing w:line="321" w:lineRule="auto"/>
              <w:ind w:right="182" w:rightChars="0"/>
              <w:jc w:val="left"/>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注：信用等级的确定原则应遵循投标人须知前附表10.2款的规定。</w:t>
            </w:r>
          </w:p>
          <w:p w14:paraId="675F1FD5">
            <w:pPr>
              <w:widowControl w:val="0"/>
              <w:autoSpaceDE w:val="0"/>
              <w:autoSpaceDN w:val="0"/>
              <w:spacing w:line="321" w:lineRule="auto"/>
              <w:ind w:left="191" w:leftChars="0" w:right="182" w:rightChars="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 xml:space="preserve">2. </w:t>
            </w:r>
            <w:r>
              <w:rPr>
                <w:rFonts w:hint="eastAsia" w:ascii="仿宋" w:hAnsi="仿宋" w:eastAsia="仿宋" w:cs="仿宋"/>
                <w:b/>
                <w:bCs/>
                <w:color w:val="auto"/>
                <w:sz w:val="22"/>
                <w:szCs w:val="22"/>
                <w:highlight w:val="none"/>
                <w:lang w:val="en-US" w:eastAsia="zh-CN" w:bidi="zh-CN"/>
              </w:rPr>
              <w:t>履约情况（5分）</w:t>
            </w:r>
          </w:p>
          <w:p w14:paraId="4D408682">
            <w:pPr>
              <w:widowControl w:val="0"/>
              <w:autoSpaceDE w:val="0"/>
              <w:autoSpaceDN w:val="0"/>
              <w:spacing w:line="321" w:lineRule="auto"/>
              <w:ind w:right="182" w:rightChars="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若没出现下述情形得满分；</w:t>
            </w:r>
          </w:p>
          <w:p w14:paraId="4FD42F7C">
            <w:pPr>
              <w:widowControl w:val="0"/>
              <w:autoSpaceDE w:val="0"/>
              <w:autoSpaceDN w:val="0"/>
              <w:spacing w:line="321" w:lineRule="auto"/>
              <w:ind w:right="182" w:rightChars="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投标文件递交截止日前1年内，投标人因公路工程（含附属设施）质量、安全、履约或招标投标问题等原因被：</w:t>
            </w:r>
          </w:p>
          <w:p w14:paraId="2C5F9F89">
            <w:pPr>
              <w:widowControl w:val="0"/>
              <w:autoSpaceDE w:val="0"/>
              <w:autoSpaceDN w:val="0"/>
              <w:spacing w:line="321" w:lineRule="auto"/>
              <w:ind w:left="191" w:leftChars="0" w:right="182" w:rightChars="0" w:firstLine="220" w:firstLineChars="10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（1）交通运输部行政处罚的，扣5分/次。</w:t>
            </w:r>
          </w:p>
          <w:p w14:paraId="1C1284A8">
            <w:pPr>
              <w:widowControl w:val="0"/>
              <w:autoSpaceDE w:val="0"/>
              <w:autoSpaceDN w:val="0"/>
              <w:spacing w:line="321" w:lineRule="auto"/>
              <w:ind w:left="191" w:leftChars="0" w:right="182" w:rightChars="0" w:firstLine="220" w:firstLineChars="10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（2）广东省交通运输厅行政处罚的，扣3分/次。</w:t>
            </w:r>
          </w:p>
          <w:p w14:paraId="4C5830EC">
            <w:pPr>
              <w:widowControl w:val="0"/>
              <w:autoSpaceDE w:val="0"/>
              <w:autoSpaceDN w:val="0"/>
              <w:spacing w:line="321" w:lineRule="auto"/>
              <w:ind w:left="191" w:leftChars="0" w:right="182" w:rightChars="0" w:firstLine="220" w:firstLineChars="10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（3）招标项目所在地地级以上市交通运输局行政处罚的，扣 1.5 分/次。</w:t>
            </w:r>
          </w:p>
          <w:p w14:paraId="59A836CA">
            <w:pPr>
              <w:widowControl w:val="0"/>
              <w:autoSpaceDE w:val="0"/>
              <w:autoSpaceDN w:val="0"/>
              <w:spacing w:line="321" w:lineRule="auto"/>
              <w:ind w:left="191" w:leftChars="0" w:right="182" w:rightChars="0" w:firstLine="220" w:firstLineChars="100"/>
              <w:jc w:val="left"/>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（4）广东省交通运输厅正式约谈的，扣0.1分/次。</w:t>
            </w:r>
          </w:p>
          <w:p w14:paraId="006C1DBA">
            <w:pPr>
              <w:widowControl w:val="0"/>
              <w:autoSpaceDE w:val="0"/>
              <w:autoSpaceDN w:val="0"/>
              <w:spacing w:line="321" w:lineRule="auto"/>
              <w:ind w:left="191" w:leftChars="0" w:right="182" w:rightChars="0" w:firstLine="220" w:firstLineChars="100"/>
              <w:jc w:val="left"/>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en-US" w:eastAsia="zh-CN" w:bidi="zh-CN"/>
              </w:rPr>
              <w:t>同一事项同时被多个部门行政处罚或正式约谈只按最高的扣分计算1次。如果扣完本项分值，可以从总分中扣。</w:t>
            </w:r>
            <w:r>
              <w:rPr>
                <w:rFonts w:hint="eastAsia" w:ascii="仿宋" w:hAnsi="仿宋" w:eastAsia="仿宋" w:cs="仿宋"/>
                <w:b/>
                <w:bCs/>
                <w:color w:val="auto"/>
                <w:sz w:val="22"/>
                <w:szCs w:val="22"/>
                <w:highlight w:val="none"/>
                <w:lang w:val="en-US" w:eastAsia="zh-CN" w:bidi="zh-CN"/>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tc>
      </w:tr>
    </w:tbl>
    <w:p w14:paraId="54E74DD3">
      <w:pPr>
        <w:pStyle w:val="9"/>
        <w:ind w:left="0" w:leftChars="0" w:firstLine="0" w:firstLineChars="0"/>
        <w:rPr>
          <w:rFonts w:hint="eastAsia"/>
          <w:color w:val="auto"/>
          <w:highlight w:val="none"/>
        </w:rPr>
        <w:sectPr>
          <w:pgSz w:w="11906" w:h="16839"/>
          <w:pgMar w:top="1440" w:right="1440" w:bottom="1440" w:left="1440" w:header="0" w:footer="1090" w:gutter="0"/>
          <w:cols w:space="720" w:num="1"/>
        </w:sectPr>
      </w:pPr>
    </w:p>
    <w:tbl>
      <w:tblPr>
        <w:tblStyle w:val="7"/>
        <w:tblW w:w="9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8404"/>
      </w:tblGrid>
      <w:tr w14:paraId="7B47E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jc w:val="center"/>
        </w:trPr>
        <w:tc>
          <w:tcPr>
            <w:tcW w:w="9377" w:type="dxa"/>
            <w:gridSpan w:val="2"/>
            <w:vAlign w:val="center"/>
          </w:tcPr>
          <w:p w14:paraId="4A953BB4">
            <w:pPr>
              <w:widowControl w:val="0"/>
              <w:autoSpaceDE w:val="0"/>
              <w:autoSpaceDN w:val="0"/>
              <w:spacing w:before="1"/>
              <w:ind w:left="107" w:leftChars="0"/>
              <w:jc w:val="both"/>
              <w:rPr>
                <w:rFonts w:hint="eastAsia" w:ascii="仿宋" w:hAnsi="仿宋" w:eastAsia="仿宋" w:cs="仿宋"/>
                <w:color w:val="auto"/>
                <w:spacing w:val="8"/>
                <w:sz w:val="22"/>
                <w:szCs w:val="22"/>
                <w:highlight w:val="none"/>
              </w:rPr>
            </w:pPr>
            <w:bookmarkStart w:id="6" w:name="_GoBack"/>
            <w:bookmarkEnd w:id="6"/>
            <w:r>
              <w:rPr>
                <w:rFonts w:hint="eastAsia" w:ascii="仿宋" w:hAnsi="仿宋" w:eastAsia="仿宋" w:cs="仿宋"/>
                <w:b/>
                <w:color w:val="auto"/>
                <w:sz w:val="22"/>
                <w:szCs w:val="22"/>
                <w:highlight w:val="none"/>
                <w:lang w:val="zh-CN" w:eastAsia="zh-CN" w:bidi="zh-CN"/>
              </w:rPr>
              <w:t>需要补充的其他内容：</w:t>
            </w:r>
          </w:p>
        </w:tc>
      </w:tr>
      <w:tr w14:paraId="33599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73" w:type="dxa"/>
            <w:vAlign w:val="center"/>
          </w:tcPr>
          <w:p w14:paraId="7BB187A5">
            <w:pPr>
              <w:widowControl w:val="0"/>
              <w:autoSpaceDE w:val="0"/>
              <w:autoSpaceDN w:val="0"/>
              <w:spacing w:before="11"/>
              <w:ind w:left="143" w:leftChars="0" w:right="133" w:rightChars="0"/>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zh-CN" w:eastAsia="zh-CN" w:bidi="zh-CN"/>
              </w:rPr>
              <w:t>条款号</w:t>
            </w:r>
          </w:p>
        </w:tc>
        <w:tc>
          <w:tcPr>
            <w:tcW w:w="8404" w:type="dxa"/>
            <w:vAlign w:val="center"/>
          </w:tcPr>
          <w:p w14:paraId="229EB08A">
            <w:pPr>
              <w:widowControl w:val="0"/>
              <w:autoSpaceDE w:val="0"/>
              <w:autoSpaceDN w:val="0"/>
              <w:spacing w:before="11"/>
              <w:ind w:left="3179" w:leftChars="0" w:right="3168" w:rightChars="0"/>
              <w:jc w:val="center"/>
              <w:rPr>
                <w:rFonts w:hint="eastAsia" w:ascii="仿宋" w:hAnsi="仿宋" w:eastAsia="仿宋" w:cs="仿宋"/>
                <w:color w:val="auto"/>
                <w:sz w:val="22"/>
                <w:szCs w:val="22"/>
                <w:highlight w:val="none"/>
              </w:rPr>
            </w:pPr>
            <w:r>
              <w:rPr>
                <w:rFonts w:hint="eastAsia" w:ascii="仿宋" w:hAnsi="仿宋" w:eastAsia="仿宋" w:cs="仿宋"/>
                <w:b/>
                <w:color w:val="auto"/>
                <w:sz w:val="22"/>
                <w:szCs w:val="22"/>
                <w:highlight w:val="none"/>
                <w:lang w:val="zh-CN" w:eastAsia="zh-CN" w:bidi="zh-CN"/>
              </w:rPr>
              <w:t>补充或修改的内容</w:t>
            </w:r>
          </w:p>
        </w:tc>
      </w:tr>
      <w:tr w14:paraId="3BBC4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3" w:hRule="atLeast"/>
          <w:jc w:val="center"/>
        </w:trPr>
        <w:tc>
          <w:tcPr>
            <w:tcW w:w="973" w:type="dxa"/>
            <w:vAlign w:val="top"/>
          </w:tcPr>
          <w:p w14:paraId="22ECC62D">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455051F3">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10AEC859">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1163C173">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47AC9992">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08ADA992">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472BFE58">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2C40B32D">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0BA8AA9A">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594514DE">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3AD1B35B">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2C5DF97B">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2B7654AA">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608E2FA0">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71C662C1">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62DDC3C4">
            <w:pPr>
              <w:widowControl w:val="0"/>
              <w:numPr>
                <w:ilvl w:val="0"/>
                <w:numId w:val="0"/>
              </w:numPr>
              <w:tabs>
                <w:tab w:val="left" w:pos="650"/>
              </w:tabs>
              <w:autoSpaceDE w:val="0"/>
              <w:autoSpaceDN w:val="0"/>
              <w:spacing w:before="0" w:after="0" w:line="321" w:lineRule="auto"/>
              <w:ind w:right="10" w:rightChars="0"/>
              <w:jc w:val="center"/>
              <w:rPr>
                <w:rFonts w:hint="eastAsia" w:ascii="仿宋" w:hAnsi="仿宋" w:eastAsia="仿宋" w:cs="仿宋"/>
                <w:color w:val="auto"/>
                <w:sz w:val="22"/>
                <w:szCs w:val="22"/>
                <w:highlight w:val="none"/>
                <w:lang w:val="en-US" w:eastAsia="en-US" w:bidi="zh-CN"/>
              </w:rPr>
            </w:pPr>
            <w:r>
              <w:rPr>
                <w:rFonts w:hint="eastAsia" w:ascii="仿宋" w:hAnsi="仿宋" w:eastAsia="仿宋" w:cs="仿宋"/>
                <w:color w:val="auto"/>
                <w:sz w:val="22"/>
                <w:szCs w:val="22"/>
                <w:highlight w:val="none"/>
                <w:lang w:val="en-US" w:eastAsia="zh-CN" w:bidi="zh-CN"/>
              </w:rPr>
              <w:t>1</w:t>
            </w:r>
          </w:p>
        </w:tc>
        <w:tc>
          <w:tcPr>
            <w:tcW w:w="8404" w:type="dxa"/>
            <w:vAlign w:val="top"/>
          </w:tcPr>
          <w:p w14:paraId="64F17902">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1.1评标方法</w:t>
            </w:r>
          </w:p>
          <w:p w14:paraId="0D194507">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本次评标采用</w:t>
            </w:r>
            <w:r>
              <w:rPr>
                <w:rFonts w:hint="eastAsia" w:ascii="仿宋" w:hAnsi="仿宋" w:eastAsia="仿宋" w:cs="仿宋"/>
                <w:b/>
                <w:bCs/>
                <w:color w:val="auto"/>
                <w:sz w:val="22"/>
                <w:szCs w:val="22"/>
                <w:highlight w:val="none"/>
                <w:lang w:val="en-US" w:eastAsia="zh-CN" w:bidi="zh-CN"/>
              </w:rPr>
              <w:t>双信封的综合评估法</w:t>
            </w:r>
            <w:r>
              <w:rPr>
                <w:rFonts w:hint="eastAsia" w:ascii="仿宋" w:hAnsi="仿宋" w:eastAsia="仿宋" w:cs="仿宋"/>
                <w:color w:val="auto"/>
                <w:sz w:val="22"/>
                <w:szCs w:val="22"/>
                <w:highlight w:val="none"/>
                <w:lang w:val="en-US" w:eastAsia="zh-CN" w:bidi="zh-CN"/>
              </w:rPr>
              <w:t>。评标委员会对满足招标文件实质性要求的投标文件，按照本章第2.2款规定的评分标准进行打分，并按得分由高到低顺序，对排名在招标文件规定数量前5名</w:t>
            </w:r>
            <w:r>
              <w:rPr>
                <w:rFonts w:hint="eastAsia" w:ascii="仿宋" w:hAnsi="仿宋" w:eastAsia="仿宋" w:cs="仿宋"/>
                <w:b/>
                <w:bCs/>
                <w:color w:val="auto"/>
                <w:sz w:val="22"/>
                <w:szCs w:val="22"/>
                <w:highlight w:val="none"/>
                <w:lang w:val="en-US" w:eastAsia="zh-CN" w:bidi="zh-CN"/>
              </w:rPr>
              <w:t>（不少于3名但不足5名时，按全部实际数量）</w:t>
            </w:r>
            <w:r>
              <w:rPr>
                <w:rFonts w:hint="eastAsia" w:ascii="仿宋" w:hAnsi="仿宋" w:eastAsia="仿宋" w:cs="仿宋"/>
                <w:color w:val="auto"/>
                <w:sz w:val="22"/>
                <w:szCs w:val="22"/>
                <w:highlight w:val="none"/>
                <w:lang w:val="en-US" w:eastAsia="zh-CN" w:bidi="zh-CN"/>
              </w:rPr>
              <w:t>的投标人的报价文件进行评审，按得分由高到低顺序推荐中标候选人，</w:t>
            </w:r>
            <w:r>
              <w:rPr>
                <w:rFonts w:hint="eastAsia" w:ascii="仿宋" w:hAnsi="仿宋" w:eastAsia="仿宋" w:cs="仿宋"/>
                <w:b/>
                <w:bCs/>
                <w:color w:val="auto"/>
                <w:sz w:val="22"/>
                <w:szCs w:val="22"/>
                <w:highlight w:val="none"/>
                <w:lang w:val="en-US" w:eastAsia="zh-CN" w:bidi="zh-CN"/>
              </w:rPr>
              <w:t>但投标报价低于其成本的除外</w:t>
            </w:r>
            <w:r>
              <w:rPr>
                <w:rFonts w:hint="eastAsia" w:ascii="仿宋" w:hAnsi="仿宋" w:eastAsia="仿宋" w:cs="仿宋"/>
                <w:color w:val="auto"/>
                <w:sz w:val="22"/>
                <w:szCs w:val="22"/>
                <w:highlight w:val="none"/>
                <w:lang w:val="en-US" w:eastAsia="zh-CN" w:bidi="zh-CN"/>
              </w:rPr>
              <w:t>。综合评分相等时，评标委员会应按照评标办法前附表规定的优先次序推荐中标候选人或确定中标人。</w:t>
            </w:r>
          </w:p>
          <w:p w14:paraId="25600D37">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1.2评标组织</w:t>
            </w:r>
          </w:p>
          <w:p w14:paraId="6DFAE0F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1.2.1协助工作组</w:t>
            </w:r>
          </w:p>
          <w:p w14:paraId="06F1D70A">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招标人可在评标工作开始前成立协助工作组，选派熟悉招标工作、政治素质高的人员组成，协助评标委员会工作。协助工作组人员的具体数量由招标人视评标工作量确定。</w:t>
            </w:r>
          </w:p>
          <w:p w14:paraId="4ADABADB">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招标人可以协助评标委员会开展下列工作并提供相关信息：</w:t>
            </w:r>
          </w:p>
          <w:p w14:paraId="7F92BFAF">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（1）根据招标文件，编制评标使用的相应表格；</w:t>
            </w:r>
          </w:p>
          <w:p w14:paraId="74086CE0">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（2）对投标报价进行算术性校核；</w:t>
            </w:r>
          </w:p>
          <w:p w14:paraId="1550E54E">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（3）以评标标准和方法为依据，列出投标文件相对于招标文件的所有偏差，并进行归类汇总；</w:t>
            </w:r>
          </w:p>
          <w:p w14:paraId="316678A4">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（4）查询全国公路建设市场监督管理系统，对投标人的资质、业绩、主要人员资历和目前在岗情况、信用等级进行核实（如有）。</w:t>
            </w:r>
          </w:p>
          <w:p w14:paraId="0BBEB430">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招标人不得对投标文件作出任何评价，不得故意遗漏或者片面摘录，不得在评标委员会对所有偏差定性之前透露存有偏差的投标人名称。</w:t>
            </w:r>
          </w:p>
          <w:p w14:paraId="1179A99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1.2.2评标委员会</w:t>
            </w:r>
          </w:p>
          <w:p w14:paraId="47D75EE2">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评标委员会由招标人按国家、广东省等的有关规定依法组建。评标委员人数参见本招标文件“投标人须知前附表第6.1.1款。评标委员会的主要工作内容包括：</w:t>
            </w:r>
          </w:p>
          <w:p w14:paraId="006CA1B2">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（1）评标委员会开始评标工作之前，首先听取招标人、协助工作组关于工程情况和辅助工作的说明，并认真研读招标文件，获取评标所需的重要信息和数据；</w:t>
            </w:r>
          </w:p>
          <w:p w14:paraId="48E345AA">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（2）对协助工作组提供的评标工作用表和评标内容进行核查。</w:t>
            </w:r>
          </w:p>
          <w:p w14:paraId="3A2587A4">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（3）按照以下1.3款程序进行各项评审工作。</w:t>
            </w:r>
          </w:p>
          <w:p w14:paraId="728FC60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1.3评审工作程序</w:t>
            </w:r>
          </w:p>
          <w:p w14:paraId="130E4A42">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（一）第一信封（商务及技术文件）：</w:t>
            </w:r>
          </w:p>
          <w:p w14:paraId="01F9D72D">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l、初步评审：包括形式评审与响应性评审、资格评审；</w:t>
            </w:r>
          </w:p>
          <w:p w14:paraId="0194BF51">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详细评审（评审打分）：评标委员会首先对通过初步评审的投标文件第一个信封（商务及技术文件）进行详细评审，对投标人的监理实施方案、主要人员、其他因素等分别评审打分。并按照综合得分由高到低排序，排名在招标文件规定数量前5名</w:t>
            </w:r>
            <w:r>
              <w:rPr>
                <w:rFonts w:hint="eastAsia" w:ascii="仿宋" w:hAnsi="仿宋" w:eastAsia="仿宋" w:cs="仿宋"/>
                <w:b/>
                <w:bCs/>
                <w:color w:val="auto"/>
                <w:sz w:val="22"/>
                <w:szCs w:val="22"/>
                <w:highlight w:val="none"/>
                <w:lang w:val="en-US" w:eastAsia="zh-CN" w:bidi="zh-CN"/>
              </w:rPr>
              <w:t>（不少于3名但不足5名的，按全部实际数量）</w:t>
            </w:r>
            <w:r>
              <w:rPr>
                <w:rFonts w:hint="eastAsia" w:ascii="仿宋" w:hAnsi="仿宋" w:eastAsia="仿宋" w:cs="仿宋"/>
                <w:color w:val="auto"/>
                <w:sz w:val="22"/>
                <w:szCs w:val="22"/>
                <w:highlight w:val="none"/>
                <w:lang w:val="en-US" w:eastAsia="zh-CN" w:bidi="zh-CN"/>
              </w:rPr>
              <w:t>的投标人，其投标文件第一个信封（商务及技术文件）通过详细评审。</w:t>
            </w:r>
          </w:p>
          <w:p w14:paraId="479EC43A">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（二）第二信封（报价文件）：</w:t>
            </w:r>
          </w:p>
          <w:p w14:paraId="5CD41904">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1、初步评审：</w:t>
            </w:r>
          </w:p>
          <w:p w14:paraId="6D6F5D63">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（1）只有投标文件第一个信封通过详细评审的投标人才能继续参加第二信封报价文件的形式评审与响应性评审；</w:t>
            </w:r>
          </w:p>
          <w:p w14:paraId="18D66D03">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（2）报价算术性修正；</w:t>
            </w:r>
          </w:p>
          <w:p w14:paraId="35827AA4">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2、详细评审：计算评标基准价、评标价得分及综合得分；</w:t>
            </w:r>
          </w:p>
          <w:p w14:paraId="43992C81">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（三）投标文件相关信息的核查。</w:t>
            </w:r>
          </w:p>
          <w:p w14:paraId="3FE71B0A">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(四)投标文件的澄清和说明(如有)</w:t>
            </w:r>
          </w:p>
          <w:p w14:paraId="5717AC5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en-US" w:bidi="zh-CN"/>
              </w:rPr>
            </w:pPr>
            <w:r>
              <w:rPr>
                <w:rFonts w:hint="eastAsia" w:ascii="仿宋" w:hAnsi="仿宋" w:eastAsia="仿宋" w:cs="仿宋"/>
                <w:color w:val="auto"/>
                <w:sz w:val="22"/>
                <w:szCs w:val="22"/>
                <w:highlight w:val="none"/>
                <w:lang w:val="en-US" w:eastAsia="zh-CN" w:bidi="zh-CN"/>
              </w:rPr>
              <w:t>（五）按评标办法规定推荐中标候选人，编写评标报告。</w:t>
            </w:r>
          </w:p>
        </w:tc>
      </w:tr>
      <w:tr w14:paraId="18939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jc w:val="center"/>
        </w:trPr>
        <w:tc>
          <w:tcPr>
            <w:tcW w:w="973" w:type="dxa"/>
            <w:vAlign w:val="center"/>
          </w:tcPr>
          <w:p w14:paraId="3633FB46">
            <w:pPr>
              <w:widowControl w:val="0"/>
              <w:numPr>
                <w:ilvl w:val="0"/>
                <w:numId w:val="0"/>
              </w:numPr>
              <w:tabs>
                <w:tab w:val="left" w:pos="650"/>
              </w:tabs>
              <w:autoSpaceDE w:val="0"/>
              <w:autoSpaceDN w:val="0"/>
              <w:spacing w:before="0" w:after="0" w:line="321" w:lineRule="auto"/>
              <w:ind w:right="10" w:rightChars="0"/>
              <w:jc w:val="center"/>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eastAsia="zh-CN" w:bidi="zh-CN"/>
              </w:rPr>
              <w:t>3.1.1</w:t>
            </w:r>
          </w:p>
        </w:tc>
        <w:tc>
          <w:tcPr>
            <w:tcW w:w="8404" w:type="dxa"/>
            <w:vAlign w:val="center"/>
          </w:tcPr>
          <w:p w14:paraId="34911DD6">
            <w:pPr>
              <w:widowControl w:val="0"/>
              <w:numPr>
                <w:ilvl w:val="0"/>
                <w:numId w:val="0"/>
              </w:numPr>
              <w:tabs>
                <w:tab w:val="left" w:pos="650"/>
              </w:tabs>
              <w:kinsoku/>
              <w:spacing w:line="322" w:lineRule="auto"/>
              <w:ind w:right="11" w:firstLine="440" w:firstLineChars="200"/>
              <w:jc w:val="both"/>
              <w:rPr>
                <w:rFonts w:hint="eastAsia" w:ascii="仿宋" w:hAnsi="仿宋" w:eastAsia="仿宋" w:cs="仿宋"/>
                <w:b w:val="0"/>
                <w:bCs w:val="0"/>
                <w:color w:val="auto"/>
                <w:sz w:val="22"/>
                <w:szCs w:val="22"/>
                <w:highlight w:val="none"/>
                <w:lang w:eastAsia="zh-CN" w:bidi="zh-CN"/>
              </w:rPr>
            </w:pPr>
            <w:r>
              <w:rPr>
                <w:rFonts w:hint="eastAsia" w:ascii="仿宋" w:hAnsi="仿宋" w:eastAsia="仿宋" w:cs="仿宋"/>
                <w:b w:val="0"/>
                <w:bCs w:val="0"/>
                <w:color w:val="auto"/>
                <w:sz w:val="22"/>
                <w:szCs w:val="22"/>
                <w:highlight w:val="none"/>
                <w:lang w:eastAsia="zh-CN" w:bidi="zh-CN"/>
              </w:rPr>
              <w:t>将评标办法原文第3.1.1项修改如下：</w:t>
            </w:r>
          </w:p>
          <w:p w14:paraId="192E198C">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eastAsia="zh-CN" w:bidi="zh-CN"/>
              </w:rPr>
              <w:t>3.1.1评标委员会依据本章第2.1款规定的标准对投标文件第一个信封（商务及技术文件）进行初步评审。有一项不符合评审标准的，评标委员会应否决其投标。</w:t>
            </w:r>
          </w:p>
        </w:tc>
      </w:tr>
      <w:tr w14:paraId="1B101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jc w:val="center"/>
        </w:trPr>
        <w:tc>
          <w:tcPr>
            <w:tcW w:w="973" w:type="dxa"/>
            <w:vAlign w:val="top"/>
          </w:tcPr>
          <w:p w14:paraId="2F2ACCCB">
            <w:pPr>
              <w:widowControl w:val="0"/>
              <w:numPr>
                <w:ilvl w:val="0"/>
                <w:numId w:val="0"/>
              </w:numPr>
              <w:tabs>
                <w:tab w:val="left" w:pos="650"/>
              </w:tabs>
              <w:autoSpaceDE w:val="0"/>
              <w:autoSpaceDN w:val="0"/>
              <w:spacing w:before="0" w:after="0" w:line="321" w:lineRule="auto"/>
              <w:ind w:right="10" w:rightChars="0" w:firstLineChars="200"/>
              <w:jc w:val="center"/>
              <w:rPr>
                <w:rFonts w:hint="eastAsia" w:ascii="仿宋" w:hAnsi="仿宋" w:eastAsia="仿宋" w:cs="仿宋"/>
                <w:color w:val="auto"/>
                <w:sz w:val="22"/>
                <w:szCs w:val="22"/>
                <w:highlight w:val="none"/>
                <w:lang w:val="en-US" w:eastAsia="zh-CN" w:bidi="zh-CN"/>
              </w:rPr>
            </w:pPr>
          </w:p>
          <w:p w14:paraId="4CDE9740">
            <w:pPr>
              <w:widowControl/>
              <w:numPr>
                <w:ilvl w:val="-1"/>
                <w:numId w:val="0"/>
              </w:numPr>
              <w:autoSpaceDE/>
              <w:autoSpaceDN/>
              <w:spacing w:before="0" w:after="0" w:line="240" w:lineRule="auto"/>
              <w:ind w:right="0" w:rightChars="0" w:firstLineChars="0"/>
              <w:jc w:val="left"/>
              <w:rPr>
                <w:rFonts w:hint="eastAsia" w:ascii="Arial" w:hAnsi="Arial" w:eastAsia="Arial" w:cs="Arial"/>
                <w:snapToGrid w:val="0"/>
                <w:color w:val="auto"/>
                <w:kern w:val="0"/>
                <w:sz w:val="21"/>
                <w:szCs w:val="21"/>
                <w:highlight w:val="none"/>
                <w:lang w:val="en-US" w:eastAsia="zh-CN" w:bidi="ar-SA"/>
              </w:rPr>
            </w:pPr>
          </w:p>
          <w:p w14:paraId="09806C2A">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2A0498CC">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0F8DDB99">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2E93F3B4">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174D3D27">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4CE64ECE">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45267CB1">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542A009B">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2BD625E3">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131D7E3C">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233B6020">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75E8349F">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6FD3F47A">
            <w:pPr>
              <w:widowControl/>
              <w:numPr>
                <w:ilvl w:val="-1"/>
                <w:numId w:val="0"/>
              </w:numPr>
              <w:autoSpaceDE/>
              <w:autoSpaceDN/>
              <w:spacing w:before="0" w:after="0" w:line="240" w:lineRule="auto"/>
              <w:ind w:right="0" w:rightChars="0" w:firstLine="0" w:firstLineChars="0"/>
              <w:jc w:val="center"/>
              <w:rPr>
                <w:rFonts w:hint="default"/>
                <w:color w:val="auto"/>
                <w:highlight w:val="none"/>
                <w:lang w:val="en-US" w:eastAsia="zh-CN"/>
              </w:rPr>
            </w:pPr>
            <w:r>
              <w:rPr>
                <w:rFonts w:hint="eastAsia"/>
                <w:color w:val="auto"/>
                <w:highlight w:val="none"/>
                <w:lang w:val="en-US" w:eastAsia="zh-CN"/>
              </w:rPr>
              <w:t>3.2.2</w:t>
            </w:r>
          </w:p>
        </w:tc>
        <w:tc>
          <w:tcPr>
            <w:tcW w:w="8404" w:type="dxa"/>
            <w:vAlign w:val="top"/>
          </w:tcPr>
          <w:p w14:paraId="228FF774">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原3.2.2条款补充细化如下：</w:t>
            </w:r>
          </w:p>
          <w:p w14:paraId="7978C4C6">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评标委员会在第一个信封详细评审时，各评分因素（主要人员、技术能力（如有）、履约信誉除外）得分一般不得低于该权重分值的60%，评标委员会成员对某一项评分因素的评分低于权重值60%的，应当在评标报告中作出说明。</w:t>
            </w:r>
          </w:p>
          <w:p w14:paraId="55AD09AC">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商务评分（主要人员、其他因素）得分应以评标委员会各成员的算术平均值确定。</w:t>
            </w:r>
          </w:p>
          <w:p w14:paraId="7DC39705">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评标委员会人数为9人时，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1389BE0E">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b/>
                <w:bCs/>
                <w:color w:val="auto"/>
                <w:sz w:val="22"/>
                <w:szCs w:val="22"/>
                <w:highlight w:val="none"/>
                <w:lang w:val="en-US" w:eastAsia="zh-CN" w:bidi="zh-CN"/>
              </w:rPr>
              <w:t>取消其中1名评委所有评分的办法一（依次按照以下流程）：</w:t>
            </w:r>
            <w:r>
              <w:rPr>
                <w:rFonts w:hint="eastAsia" w:ascii="仿宋" w:hAnsi="仿宋" w:eastAsia="仿宋" w:cs="仿宋"/>
                <w:color w:val="auto"/>
                <w:sz w:val="22"/>
                <w:szCs w:val="22"/>
                <w:highlight w:val="none"/>
                <w:lang w:val="en-US" w:eastAsia="zh-CN" w:bidi="zh-CN"/>
              </w:rPr>
              <w:t>（1）对比上述出现技术评分总分差值最大值相等的评委的次分差值（次分差值＝某一评委技术评分总分的最高分－该评委技术评分总分的次低分），取消次分差值最大的评委所有评分；（2）如次分差值仍相同，则按随机抽取的方式选定取消1名评委评分。</w:t>
            </w:r>
          </w:p>
          <w:p w14:paraId="6438F23D">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取消其中1名评委所有评分的办法二：按随机抽取的方式选定取消1名评委评分。</w:t>
            </w:r>
          </w:p>
          <w:p w14:paraId="2CFBB6A4">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评标委员会人数为7人时，计算投标人技术得分时:各评分因素细分项中取消一个最高、一个最低分后计算算术平均值的和为投标人的最终技术得分，平均值计算保留小数点后三位，小数点后第四位“四舍五入”。</w:t>
            </w:r>
          </w:p>
          <w:p w14:paraId="50823423">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以上评标委员会人数以实际参与评审的评标委员会人数数量为准。</w:t>
            </w:r>
          </w:p>
          <w:p w14:paraId="0E3E8AC5">
            <w:pPr>
              <w:widowControl w:val="0"/>
              <w:numPr>
                <w:ilvl w:val="0"/>
                <w:numId w:val="0"/>
              </w:numPr>
              <w:tabs>
                <w:tab w:val="left" w:pos="650"/>
              </w:tabs>
              <w:kinsoku/>
              <w:autoSpaceDE w:val="0"/>
              <w:autoSpaceDN w:val="0"/>
              <w:spacing w:before="0" w:after="0" w:line="322" w:lineRule="auto"/>
              <w:ind w:right="11"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投标人的商务得分保留至小数点后两位，小数点后第三位“四舍五入”。</w:t>
            </w:r>
          </w:p>
        </w:tc>
      </w:tr>
      <w:tr w14:paraId="5FEE1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3" w:type="dxa"/>
            <w:vAlign w:val="top"/>
          </w:tcPr>
          <w:p w14:paraId="3D8ACEF9">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p>
          <w:p w14:paraId="607CC280">
            <w:pPr>
              <w:widowControl/>
              <w:numPr>
                <w:ilvl w:val="-1"/>
                <w:numId w:val="0"/>
              </w:numPr>
              <w:autoSpaceDE/>
              <w:autoSpaceDN/>
              <w:spacing w:before="0" w:after="0" w:line="240" w:lineRule="auto"/>
              <w:ind w:right="0" w:rightChars="0" w:firstLineChars="0"/>
              <w:jc w:val="center"/>
              <w:rPr>
                <w:rFonts w:hint="default" w:ascii="Arial" w:hAnsi="Arial" w:eastAsia="Arial" w:cs="Arial"/>
                <w:snapToGrid w:val="0"/>
                <w:color w:val="auto"/>
                <w:kern w:val="0"/>
                <w:sz w:val="21"/>
                <w:szCs w:val="21"/>
                <w:highlight w:val="none"/>
                <w:lang w:val="en-US" w:eastAsia="zh-CN" w:bidi="ar-SA"/>
              </w:rPr>
            </w:pPr>
            <w:r>
              <w:rPr>
                <w:rFonts w:hint="eastAsia" w:cs="Arial"/>
                <w:snapToGrid w:val="0"/>
                <w:color w:val="auto"/>
                <w:kern w:val="0"/>
                <w:sz w:val="21"/>
                <w:szCs w:val="21"/>
                <w:highlight w:val="none"/>
                <w:lang w:val="en-US" w:eastAsia="zh-CN" w:bidi="ar-SA"/>
              </w:rPr>
              <w:t>3.6.1</w:t>
            </w:r>
          </w:p>
        </w:tc>
        <w:tc>
          <w:tcPr>
            <w:tcW w:w="8404" w:type="dxa"/>
            <w:vAlign w:val="top"/>
          </w:tcPr>
          <w:p w14:paraId="2E4D92E3">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3.6.1项（2）目末增加以下条款：</w:t>
            </w:r>
          </w:p>
          <w:p w14:paraId="00A596FB">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g.广东省实施《中华人民共和国招标投标法》办法第十六条规定的情形。</w:t>
            </w:r>
          </w:p>
        </w:tc>
      </w:tr>
      <w:tr w14:paraId="47187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73" w:type="dxa"/>
            <w:vAlign w:val="top"/>
          </w:tcPr>
          <w:p w14:paraId="59A9DA01">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p>
          <w:p w14:paraId="04D7F8C2">
            <w:pPr>
              <w:widowControl/>
              <w:numPr>
                <w:ilvl w:val="-1"/>
                <w:numId w:val="0"/>
              </w:numPr>
              <w:autoSpaceDE/>
              <w:autoSpaceDN/>
              <w:spacing w:before="0" w:after="0" w:line="240" w:lineRule="auto"/>
              <w:ind w:right="0" w:rightChars="0" w:firstLineChars="0"/>
              <w:jc w:val="left"/>
              <w:rPr>
                <w:rFonts w:hint="eastAsia" w:ascii="Arial" w:hAnsi="Arial" w:eastAsia="Arial" w:cs="Arial"/>
                <w:snapToGrid w:val="0"/>
                <w:color w:val="auto"/>
                <w:kern w:val="0"/>
                <w:sz w:val="21"/>
                <w:szCs w:val="21"/>
                <w:highlight w:val="none"/>
                <w:lang w:val="en-US" w:eastAsia="zh-CN" w:bidi="ar-SA"/>
              </w:rPr>
            </w:pPr>
          </w:p>
          <w:p w14:paraId="73BB6B5B">
            <w:pPr>
              <w:widowControl/>
              <w:numPr>
                <w:ilvl w:val="-1"/>
                <w:numId w:val="0"/>
              </w:numPr>
              <w:autoSpaceDE/>
              <w:autoSpaceDN/>
              <w:spacing w:before="0" w:after="0" w:line="240" w:lineRule="auto"/>
              <w:ind w:right="0" w:rightChars="0" w:firstLineChars="0"/>
              <w:jc w:val="left"/>
              <w:rPr>
                <w:rFonts w:hint="eastAsia"/>
                <w:color w:val="auto"/>
                <w:highlight w:val="none"/>
                <w:lang w:val="en-US" w:eastAsia="zh-CN"/>
              </w:rPr>
            </w:pPr>
          </w:p>
          <w:p w14:paraId="2ACA7A46">
            <w:pPr>
              <w:widowControl/>
              <w:numPr>
                <w:ilvl w:val="-1"/>
                <w:numId w:val="0"/>
              </w:numPr>
              <w:autoSpaceDE/>
              <w:autoSpaceDN/>
              <w:spacing w:before="0" w:after="0" w:line="240" w:lineRule="auto"/>
              <w:ind w:right="0" w:rightChars="0" w:firstLineChars="0"/>
              <w:jc w:val="center"/>
              <w:rPr>
                <w:rFonts w:hint="default"/>
                <w:color w:val="auto"/>
                <w:highlight w:val="none"/>
                <w:lang w:val="en-US" w:eastAsia="zh-CN"/>
              </w:rPr>
            </w:pPr>
            <w:r>
              <w:rPr>
                <w:rFonts w:hint="eastAsia" w:cs="Arial"/>
                <w:snapToGrid w:val="0"/>
                <w:color w:val="auto"/>
                <w:kern w:val="0"/>
                <w:sz w:val="21"/>
                <w:szCs w:val="21"/>
                <w:highlight w:val="none"/>
                <w:lang w:val="en-US" w:eastAsia="zh-CN" w:bidi="ar-SA"/>
              </w:rPr>
              <w:t>3.6.3</w:t>
            </w:r>
          </w:p>
        </w:tc>
        <w:tc>
          <w:tcPr>
            <w:tcW w:w="8404" w:type="dxa"/>
            <w:vAlign w:val="top"/>
          </w:tcPr>
          <w:p w14:paraId="5FC754B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增加3.6.3项：</w:t>
            </w:r>
          </w:p>
          <w:p w14:paraId="1A4404E4">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1FB3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973" w:type="dxa"/>
            <w:vAlign w:val="top"/>
          </w:tcPr>
          <w:p w14:paraId="0FEB351A">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19F7535B">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158A2D4E">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761BF253">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5BA3652C">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52C7612F">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3102050D">
            <w:pPr>
              <w:widowControl w:val="0"/>
              <w:numPr>
                <w:ilvl w:val="0"/>
                <w:numId w:val="0"/>
              </w:numPr>
              <w:tabs>
                <w:tab w:val="left" w:pos="650"/>
              </w:tabs>
              <w:autoSpaceDE w:val="0"/>
              <w:autoSpaceDN w:val="0"/>
              <w:spacing w:before="0" w:after="0" w:line="321" w:lineRule="auto"/>
              <w:ind w:right="10" w:rightChars="0"/>
              <w:jc w:val="center"/>
              <w:rPr>
                <w:rFonts w:hint="default"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3.9</w:t>
            </w:r>
          </w:p>
          <w:p w14:paraId="3B833664">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2AB6C479">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144F38C2">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2A176299">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6A3D298A">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67407B76">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37C92E24">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6463F9BF">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273DC92D">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730EAF78">
            <w:pPr>
              <w:widowControl w:val="0"/>
              <w:numPr>
                <w:ilvl w:val="0"/>
                <w:numId w:val="0"/>
              </w:numPr>
              <w:tabs>
                <w:tab w:val="left" w:pos="650"/>
              </w:tabs>
              <w:autoSpaceDE w:val="0"/>
              <w:autoSpaceDN w:val="0"/>
              <w:spacing w:before="0" w:after="0" w:line="321" w:lineRule="auto"/>
              <w:ind w:right="10" w:rightChars="0"/>
              <w:jc w:val="both"/>
              <w:rPr>
                <w:rFonts w:hint="eastAsia" w:ascii="仿宋" w:hAnsi="仿宋" w:eastAsia="仿宋" w:cs="仿宋"/>
                <w:color w:val="auto"/>
                <w:sz w:val="22"/>
                <w:szCs w:val="22"/>
                <w:highlight w:val="none"/>
                <w:lang w:val="en-US" w:eastAsia="zh-CN" w:bidi="zh-CN"/>
              </w:rPr>
            </w:pPr>
          </w:p>
          <w:p w14:paraId="486F6793">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p>
        </w:tc>
        <w:tc>
          <w:tcPr>
            <w:tcW w:w="8404" w:type="dxa"/>
            <w:vAlign w:val="top"/>
          </w:tcPr>
          <w:p w14:paraId="5A934829">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增加3.9.3、3.9.4、3.9.5、3.9.6、3.6.7条款后增加：</w:t>
            </w:r>
          </w:p>
          <w:p w14:paraId="100EF42D">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3.9.3推荐中标候选人方式：按各合同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14:paraId="356BAEFD">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3.9.4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4EFB1F0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3.9.5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4566EB55">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3.9.6如果发生无法确定推荐中标候选人的其它意外情况，评标委员会可建议招标人重新招标。</w:t>
            </w:r>
          </w:p>
          <w:p w14:paraId="029FBE66">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3.9.7本招标文件规定的否决投标条款包含在以下条款：</w:t>
            </w:r>
          </w:p>
          <w:p w14:paraId="4E9D45E2">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（1）招标公告第3点投标人资格要求；</w:t>
            </w:r>
          </w:p>
          <w:p w14:paraId="6F8A408F">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（2）</w:t>
            </w:r>
            <w:r>
              <w:rPr>
                <w:rFonts w:hint="eastAsia" w:ascii="仿宋" w:hAnsi="仿宋" w:eastAsia="仿宋" w:cs="仿宋"/>
                <w:color w:val="auto"/>
                <w:sz w:val="22"/>
                <w:szCs w:val="22"/>
                <w:highlight w:val="none"/>
                <w:u w:val="single"/>
                <w:lang w:val="en-US" w:eastAsia="zh-CN" w:bidi="zh-CN"/>
              </w:rPr>
              <w:t>投标人须知1.4.3项、1.4.4项、1.4.5项、1.12项、3.4项、3.5项；</w:t>
            </w:r>
          </w:p>
          <w:p w14:paraId="4D5BDD27">
            <w:pPr>
              <w:widowControl w:val="0"/>
              <w:numPr>
                <w:ilvl w:val="0"/>
                <w:numId w:val="0"/>
              </w:numPr>
              <w:tabs>
                <w:tab w:val="left" w:pos="650"/>
              </w:tabs>
              <w:autoSpaceDE w:val="0"/>
              <w:autoSpaceDN w:val="0"/>
              <w:spacing w:before="0" w:after="0" w:line="321" w:lineRule="auto"/>
              <w:ind w:right="10" w:rightChars="0" w:firstLineChars="200"/>
              <w:jc w:val="both"/>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（3）本评标办法的否决条款。</w:t>
            </w:r>
          </w:p>
        </w:tc>
      </w:tr>
    </w:tbl>
    <w:p w14:paraId="53FA4A51">
      <w:pPr>
        <w:pStyle w:val="9"/>
        <w:rPr>
          <w:rFonts w:hint="eastAsia"/>
          <w:color w:val="auto"/>
          <w:highlight w:val="none"/>
        </w:rPr>
        <w:sectPr>
          <w:footerReference r:id="rId5" w:type="default"/>
          <w:pgSz w:w="11906" w:h="16839"/>
          <w:pgMar w:top="1440" w:right="1440" w:bottom="1440" w:left="1440" w:header="0" w:footer="1090" w:gutter="0"/>
          <w:cols w:space="720" w:num="1"/>
        </w:sectPr>
      </w:pPr>
    </w:p>
    <w:p w14:paraId="64245F9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1.评标方法</w:t>
      </w:r>
    </w:p>
    <w:p w14:paraId="408DE3E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C62B45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2.评审标准</w:t>
      </w:r>
    </w:p>
    <w:p w14:paraId="71A22BC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2.1初步评审标准</w:t>
      </w:r>
    </w:p>
    <w:p w14:paraId="2A47F1E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2.1.1形式评审标准：见评标办法前附表。</w:t>
      </w:r>
    </w:p>
    <w:p w14:paraId="4DBCA2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lang w:eastAsia="zh-CN"/>
        </w:rPr>
      </w:pPr>
      <w:r>
        <w:rPr>
          <w:rFonts w:hint="eastAsia" w:ascii="仿宋" w:hAnsi="仿宋" w:eastAsia="仿宋" w:cs="仿宋"/>
          <w:color w:val="auto"/>
          <w:sz w:val="21"/>
          <w:highlight w:val="none"/>
        </w:rPr>
        <w:t>2.1.2资格评审标准：见评标办法前附表。</w:t>
      </w:r>
      <w:r>
        <w:rPr>
          <w:rFonts w:hint="eastAsia" w:ascii="仿宋" w:hAnsi="仿宋" w:eastAsia="仿宋" w:cs="仿宋"/>
          <w:color w:val="auto"/>
          <w:sz w:val="21"/>
          <w:highlight w:val="none"/>
          <w:lang w:eastAsia="zh-CN"/>
        </w:rPr>
        <w:t>（</w:t>
      </w:r>
      <w:r>
        <w:rPr>
          <w:rFonts w:hint="eastAsia" w:ascii="仿宋" w:hAnsi="仿宋" w:eastAsia="仿宋" w:cs="仿宋"/>
          <w:color w:val="auto"/>
          <w:sz w:val="21"/>
          <w:highlight w:val="none"/>
          <w:lang w:val="en-US" w:eastAsia="zh-CN"/>
        </w:rPr>
        <w:t>适用于未进行资格预审的</w:t>
      </w:r>
      <w:r>
        <w:rPr>
          <w:rFonts w:hint="eastAsia" w:ascii="仿宋" w:hAnsi="仿宋" w:eastAsia="仿宋" w:cs="仿宋"/>
          <w:color w:val="auto"/>
          <w:sz w:val="21"/>
          <w:highlight w:val="none"/>
          <w:lang w:eastAsia="zh-CN"/>
        </w:rPr>
        <w:t>）</w:t>
      </w:r>
    </w:p>
    <w:p w14:paraId="3E86B7A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2.1.3响应性评审标准：见评标办法前附表。</w:t>
      </w:r>
    </w:p>
    <w:p w14:paraId="08B9CA4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2.2分值构成与评分标准</w:t>
      </w:r>
    </w:p>
    <w:p w14:paraId="24BFE087">
      <w:pPr>
        <w:spacing w:after="0" w:line="360" w:lineRule="auto"/>
        <w:ind w:firstLine="420" w:firstLineChars="200"/>
        <w:jc w:val="left"/>
        <w:rPr>
          <w:rFonts w:hint="eastAsia" w:ascii="仿宋" w:hAnsi="仿宋" w:eastAsia="仿宋" w:cs="仿宋"/>
          <w:b w:val="0"/>
          <w:i w:val="0"/>
          <w:strike w:val="0"/>
          <w:color w:val="auto"/>
          <w:sz w:val="21"/>
          <w:szCs w:val="21"/>
          <w:highlight w:val="none"/>
          <w:u w:val="none"/>
        </w:rPr>
      </w:pPr>
      <w:r>
        <w:rPr>
          <w:rFonts w:hint="eastAsia" w:ascii="仿宋" w:hAnsi="仿宋" w:eastAsia="仿宋" w:cs="仿宋"/>
          <w:b w:val="0"/>
          <w:i w:val="0"/>
          <w:strike w:val="0"/>
          <w:color w:val="auto"/>
          <w:sz w:val="21"/>
          <w:szCs w:val="21"/>
          <w:highlight w:val="none"/>
          <w:u w:val="none"/>
        </w:rPr>
        <w:t>（1）技术建议书：见评标办法前附表；</w:t>
      </w:r>
    </w:p>
    <w:p w14:paraId="0AA34C4E">
      <w:pPr>
        <w:spacing w:after="0" w:line="360" w:lineRule="auto"/>
        <w:ind w:firstLine="420" w:firstLineChars="200"/>
        <w:jc w:val="left"/>
        <w:rPr>
          <w:rFonts w:hint="eastAsia" w:ascii="仿宋" w:hAnsi="仿宋" w:eastAsia="仿宋" w:cs="仿宋"/>
          <w:b w:val="0"/>
          <w:i w:val="0"/>
          <w:strike w:val="0"/>
          <w:color w:val="auto"/>
          <w:sz w:val="21"/>
          <w:szCs w:val="21"/>
          <w:highlight w:val="none"/>
          <w:u w:val="none"/>
        </w:rPr>
      </w:pPr>
      <w:r>
        <w:rPr>
          <w:rFonts w:hint="eastAsia" w:ascii="仿宋" w:hAnsi="仿宋" w:eastAsia="仿宋" w:cs="仿宋"/>
          <w:b w:val="0"/>
          <w:i w:val="0"/>
          <w:strike w:val="0"/>
          <w:color w:val="auto"/>
          <w:sz w:val="21"/>
          <w:szCs w:val="21"/>
          <w:highlight w:val="none"/>
          <w:u w:val="none"/>
        </w:rPr>
        <w:t>（2）主要人员：见评标办法前附表；</w:t>
      </w:r>
    </w:p>
    <w:p w14:paraId="4DB87509">
      <w:pPr>
        <w:spacing w:after="0" w:line="360" w:lineRule="auto"/>
        <w:ind w:firstLine="420" w:firstLineChars="200"/>
        <w:jc w:val="left"/>
        <w:rPr>
          <w:rFonts w:hint="eastAsia" w:ascii="仿宋" w:hAnsi="仿宋" w:eastAsia="仿宋" w:cs="仿宋"/>
          <w:b w:val="0"/>
          <w:i w:val="0"/>
          <w:strike w:val="0"/>
          <w:color w:val="auto"/>
          <w:sz w:val="21"/>
          <w:szCs w:val="21"/>
          <w:highlight w:val="none"/>
          <w:u w:val="none"/>
        </w:rPr>
      </w:pPr>
      <w:r>
        <w:rPr>
          <w:rFonts w:hint="eastAsia" w:ascii="仿宋" w:hAnsi="仿宋" w:eastAsia="仿宋" w:cs="仿宋"/>
          <w:b w:val="0"/>
          <w:i w:val="0"/>
          <w:strike w:val="0"/>
          <w:color w:val="auto"/>
          <w:sz w:val="21"/>
          <w:szCs w:val="21"/>
          <w:highlight w:val="none"/>
          <w:u w:val="none"/>
        </w:rPr>
        <w:t>（3）评标价：见评标办法前附表；</w:t>
      </w:r>
    </w:p>
    <w:p w14:paraId="798D2FB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lang w:eastAsia="zh-CN"/>
        </w:rPr>
      </w:pPr>
      <w:r>
        <w:rPr>
          <w:rFonts w:hint="eastAsia" w:ascii="仿宋" w:hAnsi="仿宋" w:eastAsia="仿宋" w:cs="仿宋"/>
          <w:b w:val="0"/>
          <w:i w:val="0"/>
          <w:strike w:val="0"/>
          <w:color w:val="auto"/>
          <w:sz w:val="21"/>
          <w:szCs w:val="21"/>
          <w:highlight w:val="none"/>
          <w:u w:val="none"/>
        </w:rPr>
        <w:t>（4）其他评分因素：见评标办法前附表。</w:t>
      </w:r>
    </w:p>
    <w:p w14:paraId="2AF30B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2.2.2评标基准价计算</w:t>
      </w:r>
    </w:p>
    <w:p w14:paraId="257E80D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评标基准价计算方法：见评标办法前附表。</w:t>
      </w:r>
    </w:p>
    <w:p w14:paraId="0251715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2.2.3投标报价的偏差率计算</w:t>
      </w:r>
    </w:p>
    <w:p w14:paraId="794D6D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投标报价的偏差率计算公式：见评标办法前附表。</w:t>
      </w:r>
    </w:p>
    <w:p w14:paraId="52D6E61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2.2.4评分标准</w:t>
      </w:r>
    </w:p>
    <w:p w14:paraId="786F3ED0">
      <w:pPr>
        <w:spacing w:after="0" w:line="360" w:lineRule="auto"/>
        <w:ind w:firstLine="420" w:firstLineChars="200"/>
        <w:jc w:val="left"/>
        <w:rPr>
          <w:rFonts w:hint="eastAsia" w:ascii="仿宋" w:hAnsi="仿宋" w:eastAsia="仿宋" w:cs="仿宋"/>
          <w:b w:val="0"/>
          <w:i w:val="0"/>
          <w:strike w:val="0"/>
          <w:color w:val="auto"/>
          <w:sz w:val="21"/>
          <w:szCs w:val="21"/>
          <w:highlight w:val="none"/>
          <w:u w:val="none"/>
        </w:rPr>
      </w:pPr>
      <w:r>
        <w:rPr>
          <w:rFonts w:hint="eastAsia" w:ascii="仿宋" w:hAnsi="仿宋" w:eastAsia="仿宋" w:cs="仿宋"/>
          <w:b w:val="0"/>
          <w:i w:val="0"/>
          <w:strike w:val="0"/>
          <w:color w:val="auto"/>
          <w:sz w:val="21"/>
          <w:szCs w:val="21"/>
          <w:highlight w:val="none"/>
          <w:u w:val="none"/>
        </w:rPr>
        <w:t>（1）技术建议书评分标准：见评标办法前附表；</w:t>
      </w:r>
    </w:p>
    <w:p w14:paraId="0EE405ED">
      <w:pPr>
        <w:spacing w:after="0" w:line="360" w:lineRule="auto"/>
        <w:ind w:firstLine="420" w:firstLineChars="200"/>
        <w:jc w:val="left"/>
        <w:rPr>
          <w:rFonts w:hint="eastAsia" w:ascii="仿宋" w:hAnsi="仿宋" w:eastAsia="仿宋" w:cs="仿宋"/>
          <w:b w:val="0"/>
          <w:i w:val="0"/>
          <w:strike w:val="0"/>
          <w:color w:val="auto"/>
          <w:sz w:val="21"/>
          <w:szCs w:val="21"/>
          <w:highlight w:val="none"/>
          <w:u w:val="none"/>
        </w:rPr>
      </w:pPr>
      <w:r>
        <w:rPr>
          <w:rFonts w:hint="eastAsia" w:ascii="仿宋" w:hAnsi="仿宋" w:eastAsia="仿宋" w:cs="仿宋"/>
          <w:b w:val="0"/>
          <w:i w:val="0"/>
          <w:strike w:val="0"/>
          <w:color w:val="auto"/>
          <w:sz w:val="21"/>
          <w:szCs w:val="21"/>
          <w:highlight w:val="none"/>
          <w:u w:val="none"/>
        </w:rPr>
        <w:t>（2）主要人员评分标准：见评标办法前附表；</w:t>
      </w:r>
    </w:p>
    <w:p w14:paraId="38EAD553">
      <w:pPr>
        <w:spacing w:after="0" w:line="360" w:lineRule="auto"/>
        <w:ind w:firstLine="420" w:firstLineChars="200"/>
        <w:jc w:val="left"/>
        <w:rPr>
          <w:rFonts w:hint="eastAsia" w:ascii="仿宋" w:hAnsi="仿宋" w:eastAsia="仿宋" w:cs="仿宋"/>
          <w:b w:val="0"/>
          <w:i w:val="0"/>
          <w:strike w:val="0"/>
          <w:color w:val="auto"/>
          <w:sz w:val="21"/>
          <w:szCs w:val="21"/>
          <w:highlight w:val="none"/>
          <w:u w:val="none"/>
        </w:rPr>
      </w:pPr>
      <w:r>
        <w:rPr>
          <w:rFonts w:hint="eastAsia" w:ascii="仿宋" w:hAnsi="仿宋" w:eastAsia="仿宋" w:cs="仿宋"/>
          <w:b w:val="0"/>
          <w:i w:val="0"/>
          <w:strike w:val="0"/>
          <w:color w:val="auto"/>
          <w:sz w:val="21"/>
          <w:szCs w:val="21"/>
          <w:highlight w:val="none"/>
          <w:u w:val="none"/>
        </w:rPr>
        <w:t>（3）评标价评分标准：见评标办法前附表；</w:t>
      </w:r>
    </w:p>
    <w:p w14:paraId="7414D4A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b w:val="0"/>
          <w:i w:val="0"/>
          <w:strike w:val="0"/>
          <w:color w:val="auto"/>
          <w:sz w:val="21"/>
          <w:szCs w:val="21"/>
          <w:highlight w:val="none"/>
          <w:u w:val="none"/>
        </w:rPr>
        <w:t>（4）其他因素评分标准：见评标办法前附表。</w:t>
      </w:r>
    </w:p>
    <w:p w14:paraId="0C7F9A0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3.评标程序</w:t>
      </w:r>
    </w:p>
    <w:p w14:paraId="6AA7F2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3.1</w:t>
      </w:r>
      <w:r>
        <w:rPr>
          <w:rFonts w:hint="eastAsia" w:ascii="仿宋" w:hAnsi="仿宋" w:eastAsia="仿宋" w:cs="仿宋"/>
          <w:color w:val="auto"/>
          <w:sz w:val="21"/>
          <w:highlight w:val="none"/>
          <w:lang w:val="en-US" w:eastAsia="zh-CN"/>
        </w:rPr>
        <w:t>第一个信封</w:t>
      </w:r>
      <w:r>
        <w:rPr>
          <w:rFonts w:hint="eastAsia" w:ascii="仿宋" w:hAnsi="仿宋" w:eastAsia="仿宋" w:cs="仿宋"/>
          <w:color w:val="auto"/>
          <w:sz w:val="21"/>
          <w:highlight w:val="none"/>
        </w:rPr>
        <w:t>初步评审</w:t>
      </w:r>
    </w:p>
    <w:p w14:paraId="0130FD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b w:val="0"/>
          <w:i w:val="0"/>
          <w:strike w:val="0"/>
          <w:color w:val="auto"/>
          <w:sz w:val="21"/>
          <w:szCs w:val="21"/>
          <w:highlight w:val="none"/>
          <w:u w:val="none"/>
        </w:rPr>
        <w:t>3.1.1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3A3BEF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3.2</w:t>
      </w:r>
      <w:r>
        <w:rPr>
          <w:rFonts w:hint="eastAsia" w:ascii="仿宋" w:hAnsi="仿宋" w:eastAsia="仿宋" w:cs="仿宋"/>
          <w:color w:val="auto"/>
          <w:sz w:val="21"/>
          <w:highlight w:val="none"/>
          <w:lang w:val="en-US" w:eastAsia="zh-CN"/>
        </w:rPr>
        <w:t>第一个信封</w:t>
      </w:r>
      <w:r>
        <w:rPr>
          <w:rFonts w:hint="eastAsia" w:ascii="仿宋" w:hAnsi="仿宋" w:eastAsia="仿宋" w:cs="仿宋"/>
          <w:color w:val="auto"/>
          <w:sz w:val="21"/>
          <w:highlight w:val="none"/>
        </w:rPr>
        <w:t>详细评审</w:t>
      </w:r>
    </w:p>
    <w:p w14:paraId="33B843B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3.2.1评标委员会按本章第2.2款规定的量化因素和分值进行打分，并计算出综合评估得分。</w:t>
      </w:r>
    </w:p>
    <w:p w14:paraId="39A2D2B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（1）按本章第2.2.4（1）目规定的评审因素和分值对资信业绩部分计算出得分A；</w:t>
      </w:r>
    </w:p>
    <w:p w14:paraId="7568CD6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（2）按本章第2.2.4（2）目规定的评审因素和分值对监理大纲部分计算出得分B；</w:t>
      </w:r>
    </w:p>
    <w:p w14:paraId="1A5ED4C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（3）按本章第2.2.4（4）目规定的评审因素和分值对其他部分计算出得分D。</w:t>
      </w:r>
    </w:p>
    <w:p w14:paraId="0664EEA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3.2.2评分分值计算保留小数点后两位，小数点后第三位“四舍五入”。</w:t>
      </w:r>
    </w:p>
    <w:p w14:paraId="5269F1E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3.2.3投标人得分=A+B+D。</w:t>
      </w:r>
    </w:p>
    <w:p w14:paraId="16E6583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3.3第二个信封开标</w:t>
      </w:r>
    </w:p>
    <w:p w14:paraId="5F1F8E1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第一个信封（商务及技术文件）评审结束后，招标人将按照第二章“投标人须知”第5.1款规定的时间和地点对通过投标文件第一个信封（商务及技术文件）评审的</w:t>
      </w:r>
      <w:bookmarkStart w:id="5" w:name="bookmark102"/>
      <w:bookmarkEnd w:id="5"/>
      <w:r>
        <w:rPr>
          <w:rFonts w:hint="eastAsia" w:ascii="仿宋" w:hAnsi="仿宋" w:eastAsia="仿宋" w:cs="仿宋"/>
          <w:color w:val="auto"/>
          <w:sz w:val="21"/>
          <w:highlight w:val="none"/>
        </w:rPr>
        <w:t>投标文件第二个信封（报价文件）进行开标。</w:t>
      </w:r>
    </w:p>
    <w:p w14:paraId="1B1EE6F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3.4第二个信封初步评审</w:t>
      </w:r>
    </w:p>
    <w:p w14:paraId="0054B9F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3.4.1评标委员会依据本章第2.1.1项、第2.1.3项规定的评审标准对投标文件第二个信封（报价文件）进行初步评审。有一项不符合评审标准的，评标委员会应否决其投标。</w:t>
      </w:r>
    </w:p>
    <w:p w14:paraId="41ABFD9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3.4.2投标报价有算术错误的，评标委员会按以下原则对投标报价进行修正，修正的价格经投标人书面确认后具有约束力。投标人不接受修正价格的，评标委员会应否决其投标。</w:t>
      </w:r>
    </w:p>
    <w:p w14:paraId="1CB1E52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（1）投标文件中的大写金额与小写金额不一致的，以大写金额为准；</w:t>
      </w:r>
    </w:p>
    <w:p w14:paraId="5F7957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（2）总价金额与依据单价计算出的结果不一致的，以单价金额为准修正总价，但单价金额小数点有明显错误的除外；</w:t>
      </w:r>
    </w:p>
    <w:p w14:paraId="1DB7E5C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（3）当单价与数量相乘不等于合价时，以单价计算为准，如果单价有明显的小数点位置差错，应以标出的合价为准，同时对单价予以修正；</w:t>
      </w:r>
    </w:p>
    <w:p w14:paraId="7F9DCFB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（4）当各子目的合价累计不等于总价时，应以各子目合价累计数为准，修正总价。</w:t>
      </w:r>
    </w:p>
    <w:p w14:paraId="10A093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3.4.3修正后的最终投标报价若超过最高投标限价（如有），评标委员会应否决其投标。</w:t>
      </w:r>
    </w:p>
    <w:p w14:paraId="6C8E1FC5">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3.4.4修正后的最终投标报价仅作为签订合同的一个依据，不参与评标价得分的计算。</w:t>
      </w:r>
    </w:p>
    <w:p w14:paraId="21AC5A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3.5第二个信封详细评审</w:t>
      </w:r>
    </w:p>
    <w:p w14:paraId="4B78D67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3.5.1评标委员会按本章第2.2.4项（3）目规定的评审因素和分值对评标价计算出得分C。评标价得分分值计算保留小数点后两位，小数点后第三位“四舍五入”。</w:t>
      </w:r>
    </w:p>
    <w:p w14:paraId="7A85BD2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3.5.2投标人综合得分=投标人的商务和技术得分+C。</w:t>
      </w:r>
    </w:p>
    <w:p w14:paraId="5966D9F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0201AEF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3.6投标文件相关信息的核查</w:t>
      </w:r>
    </w:p>
    <w:p w14:paraId="1C7A2E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736C593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41CBB6E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（1）有下列情形之一的，属于投标人相互串通投标：</w:t>
      </w:r>
    </w:p>
    <w:p w14:paraId="56E8F2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a.投标人之间协商投标报价等投标文件的实质性内容；</w:t>
      </w:r>
    </w:p>
    <w:p w14:paraId="0262BBB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b.投标人之间约定中标人；</w:t>
      </w:r>
    </w:p>
    <w:p w14:paraId="5A1A76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c.投标人之间约定部分投标人放弃投标或中标；</w:t>
      </w:r>
    </w:p>
    <w:p w14:paraId="4EC124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d.属于同一集团、协会、商会等组织成员的投标人按照该组织要求协同投标；</w:t>
      </w:r>
    </w:p>
    <w:p w14:paraId="068A52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e.投标人之间为谋取中标或排斥特定投标人而采取的其他联合行动。</w:t>
      </w:r>
    </w:p>
    <w:p w14:paraId="05C5C34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（2）有下列情形之一的，视为投标人相互串通投标：</w:t>
      </w:r>
    </w:p>
    <w:p w14:paraId="37CC6E3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a.不同投标人的投标文件由同一单位或个人编制；</w:t>
      </w:r>
    </w:p>
    <w:p w14:paraId="5BD01AA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b.不同投标人委托同一单位或个人办理投标事宜；</w:t>
      </w:r>
    </w:p>
    <w:p w14:paraId="1F998B8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c.不同投标人的投标文件载明的项目管理成员为同一人；</w:t>
      </w:r>
    </w:p>
    <w:p w14:paraId="19312B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d.不同投标人的投标文件异常一致或投标报价呈规律性差异；</w:t>
      </w:r>
    </w:p>
    <w:p w14:paraId="73DAC6D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e.不同投标人的投标文件相互混装；</w:t>
      </w:r>
    </w:p>
    <w:p w14:paraId="2104150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f.不同投标人的投标保证金从同一单位或个人的账户转出。</w:t>
      </w:r>
    </w:p>
    <w:p w14:paraId="083EA53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（3）有下列情形之一的，属于招标人与投标人串通投标：</w:t>
      </w:r>
    </w:p>
    <w:p w14:paraId="3FB88A5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a.招标人在开标前开启投标文件并将有关信息泄露给其他投标人;</w:t>
      </w:r>
    </w:p>
    <w:p w14:paraId="52B41B4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b.招标人直接或间接向投标人泄露标底、评标委员会成员等信息；</w:t>
      </w:r>
    </w:p>
    <w:p w14:paraId="2EAB407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c.招标人明示或暗示投标人压低或抬高投标报价；</w:t>
      </w:r>
    </w:p>
    <w:p w14:paraId="7D63CAE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d.招标人授意投标人撤换、修改投标文件；</w:t>
      </w:r>
    </w:p>
    <w:p w14:paraId="3F6E4F0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e.招标人明示或暗示投标人为特定投标人中标提供方便；</w:t>
      </w:r>
    </w:p>
    <w:p w14:paraId="329AC5B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f.招标人与投标人为谋求特定投标人中标而采取的其他串通行为。</w:t>
      </w:r>
    </w:p>
    <w:p w14:paraId="21229C4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（4）投标人有下列情形之一的，属于弄虚作假的行为：</w:t>
      </w:r>
    </w:p>
    <w:p w14:paraId="35419C3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a.使用通过受让或租借等方式获取的资格、资质证书投标；</w:t>
      </w:r>
    </w:p>
    <w:p w14:paraId="05B23DC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b.使用伪造、变造的许可证件；</w:t>
      </w:r>
    </w:p>
    <w:p w14:paraId="2BD1396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c.提供虚假的业绩；</w:t>
      </w:r>
    </w:p>
    <w:p w14:paraId="764A395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d.提供虚假的项目负责人或主要技术人员简历、劳动关系证明；</w:t>
      </w:r>
    </w:p>
    <w:p w14:paraId="59AEC3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e.提供虚假的信用状况；</w:t>
      </w:r>
    </w:p>
    <w:p w14:paraId="784A59F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f.其他弄虚作假的行为。</w:t>
      </w:r>
    </w:p>
    <w:p w14:paraId="529093C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3.7投标文件的澄清和说明</w:t>
      </w:r>
    </w:p>
    <w:p w14:paraId="0A7B246A">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342B217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3.7.2澄清和说明不得超出投标文件的范围或改变投标文件的实质性内容（算术性错误的修正除外）。投标人的书面澄清、说明属于投标文件的组成部分。</w:t>
      </w:r>
    </w:p>
    <w:p w14:paraId="01305CE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3.7.3评标委员会不得暗示或诱导投标人作出澄清、说明，对投标人提交的澄清、说明有疑问的，可以要求投标人进一步澄清或说明，直至满足评标委员会的要求。</w:t>
      </w:r>
    </w:p>
    <w:p w14:paraId="556AE0A1">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3.7.4凡超出招标文件规定的或给委托人带来未曾要求的利益的变化、偏差或其他因素在评标时不予考虑。</w:t>
      </w:r>
    </w:p>
    <w:p w14:paraId="5F7B38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3.8不得否决投标的情形</w:t>
      </w:r>
    </w:p>
    <w:p w14:paraId="5B027E1A">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投标文件存在第二章“投标人须知”第1.12.3项所列情形的，均视为细微偏差，评标委员会不得否决投标人的投标，应按照第二章“投标人须知”第1.12.4项规定的原则处理。</w:t>
      </w:r>
    </w:p>
    <w:p w14:paraId="5F7BAD6F">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3.9评标结果</w:t>
      </w:r>
    </w:p>
    <w:p w14:paraId="31AC3CF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3.9.1除第二章“投标人须知”前附表授权直接确定中标人外，评标委员会按照得分由高到低的顺序推荐中标候选人，并标明排序。</w:t>
      </w:r>
    </w:p>
    <w:p w14:paraId="2E9885E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r>
        <w:rPr>
          <w:rFonts w:hint="eastAsia" w:ascii="仿宋" w:hAnsi="仿宋" w:eastAsia="仿宋" w:cs="仿宋"/>
          <w:color w:val="auto"/>
          <w:sz w:val="21"/>
          <w:highlight w:val="none"/>
        </w:rPr>
        <w:t>3.9.2评标委员会完成评标后，应向招标人提交书面评标报告。</w:t>
      </w:r>
    </w:p>
    <w:p w14:paraId="4DFCECD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仿宋" w:hAnsi="仿宋" w:eastAsia="仿宋" w:cs="仿宋"/>
          <w:color w:val="auto"/>
          <w:sz w:val="21"/>
          <w:highlight w:val="none"/>
        </w:rPr>
      </w:pPr>
    </w:p>
    <w:p w14:paraId="0C1A2FBB">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1527">
    <w:pPr>
      <w:spacing w:line="161" w:lineRule="auto"/>
      <w:rPr>
        <w:rFonts w:ascii="Microsoft JhengHei" w:hAnsi="Microsoft JhengHei" w:eastAsia="Microsoft JhengHei" w:cs="Microsoft JhengHe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AA667">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8AA667">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C0CF8"/>
    <w:rsid w:val="01FC129D"/>
    <w:rsid w:val="030E75D0"/>
    <w:rsid w:val="3CDC0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52"/>
      <w:szCs w:val="52"/>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_Style 3"/>
    <w:next w:val="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9">
    <w:name w:val="列表段落1"/>
    <w:basedOn w:val="1"/>
    <w:autoRedefine/>
    <w:qFormat/>
    <w:uiPriority w:val="99"/>
    <w:pPr>
      <w:ind w:left="424" w:firstLine="4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8494</Words>
  <Characters>8990</Characters>
  <Lines>0</Lines>
  <Paragraphs>0</Paragraphs>
  <TotalTime>1</TotalTime>
  <ScaleCrop>false</ScaleCrop>
  <LinksUpToDate>false</LinksUpToDate>
  <CharactersWithSpaces>8996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2025-09-18T08:15:00Z</dcterms:created>
  <dc:creator>admin</dc:creator>
  <cp:lastModifiedBy>admin</cp:lastModifiedBy>
  <dcterms:modified xsi:type="dcterms:W3CDTF">2025-09-23T00:37:57Z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3DC91067F7004A1A8D34565CD9B7A903_11</vt:lpwstr>
  </property>
  <property fmtid="{D5CDD505-2E9C-101B-9397-08002B2CF9AE}" pid="4" name="KSOTemplateDocerSaveRecord">
    <vt:lpwstr>eyJoZGlkIjoiNGVhYWUwMjFjM2Q5NmYxYTA3MGFkNjc0ZWM1NWNlMTAiLCJ1c2VySWQiOiI0Mjg3NzU1MjQifQ==</vt:lpwstr>
  </property>
</Properties>
</file>