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8EBA">
      <w:pPr>
        <w:pStyle w:val="7"/>
        <w:rPr>
          <w:rFonts w:hint="eastAsia" w:ascii="仿宋" w:hAnsi="仿宋" w:eastAsia="仿宋" w:cs="仿宋"/>
          <w:color w:val="auto"/>
          <w:sz w:val="21"/>
          <w:highlight w:val="none"/>
          <w:lang w:eastAsia="zh-CN"/>
        </w:rPr>
      </w:pPr>
    </w:p>
    <w:p w14:paraId="0D314E70">
      <w:pPr>
        <w:pStyle w:val="7"/>
        <w:rPr>
          <w:rFonts w:hint="eastAsia" w:ascii="仿宋" w:hAnsi="仿宋" w:eastAsia="仿宋" w:cs="仿宋"/>
          <w:color w:val="auto"/>
          <w:sz w:val="21"/>
          <w:highlight w:val="none"/>
          <w:lang w:eastAsia="zh-CN"/>
        </w:rPr>
      </w:pPr>
    </w:p>
    <w:p w14:paraId="379AE280">
      <w:pPr>
        <w:pStyle w:val="7"/>
        <w:rPr>
          <w:rFonts w:hint="eastAsia" w:ascii="仿宋" w:hAnsi="仿宋" w:eastAsia="仿宋" w:cs="仿宋"/>
          <w:color w:val="auto"/>
          <w:sz w:val="21"/>
          <w:highlight w:val="none"/>
          <w:lang w:eastAsia="zh-CN"/>
        </w:rPr>
      </w:pPr>
    </w:p>
    <w:p w14:paraId="4BF00ABC">
      <w:pPr>
        <w:pStyle w:val="7"/>
        <w:rPr>
          <w:rFonts w:hint="eastAsia" w:ascii="仿宋" w:hAnsi="仿宋" w:eastAsia="仿宋" w:cs="仿宋"/>
          <w:color w:val="auto"/>
          <w:sz w:val="21"/>
          <w:highlight w:val="none"/>
          <w:lang w:eastAsia="zh-CN"/>
        </w:rPr>
      </w:pPr>
    </w:p>
    <w:p w14:paraId="52D8BE04">
      <w:pPr>
        <w:pStyle w:val="7"/>
        <w:rPr>
          <w:rFonts w:hint="eastAsia" w:ascii="仿宋" w:hAnsi="仿宋" w:eastAsia="仿宋" w:cs="仿宋"/>
          <w:color w:val="auto"/>
          <w:sz w:val="21"/>
          <w:highlight w:val="none"/>
          <w:lang w:eastAsia="zh-CN"/>
        </w:rPr>
      </w:pPr>
    </w:p>
    <w:p w14:paraId="5FFE729F">
      <w:pPr>
        <w:pStyle w:val="7"/>
        <w:rPr>
          <w:rFonts w:hint="eastAsia" w:ascii="仿宋" w:hAnsi="仿宋" w:eastAsia="仿宋" w:cs="仿宋"/>
          <w:color w:val="auto"/>
          <w:sz w:val="21"/>
          <w:highlight w:val="none"/>
          <w:lang w:eastAsia="zh-CN"/>
        </w:rPr>
      </w:pPr>
    </w:p>
    <w:p w14:paraId="3F802F6E">
      <w:pPr>
        <w:spacing w:line="248" w:lineRule="auto"/>
        <w:rPr>
          <w:rFonts w:hint="eastAsia" w:ascii="仿宋" w:hAnsi="仿宋" w:eastAsia="仿宋" w:cs="仿宋"/>
          <w:color w:val="auto"/>
          <w:highlight w:val="none"/>
          <w:lang w:eastAsia="zh-CN"/>
        </w:rPr>
      </w:pPr>
    </w:p>
    <w:p w14:paraId="33A8577E">
      <w:pPr>
        <w:spacing w:line="248" w:lineRule="auto"/>
        <w:rPr>
          <w:rFonts w:hint="eastAsia" w:ascii="仿宋" w:hAnsi="仿宋" w:eastAsia="仿宋" w:cs="仿宋"/>
          <w:color w:val="auto"/>
          <w:highlight w:val="none"/>
          <w:lang w:eastAsia="zh-CN"/>
        </w:rPr>
      </w:pPr>
    </w:p>
    <w:p w14:paraId="5C315004">
      <w:pPr>
        <w:spacing w:line="249" w:lineRule="auto"/>
        <w:rPr>
          <w:rFonts w:hint="eastAsia" w:ascii="仿宋" w:hAnsi="仿宋" w:eastAsia="仿宋" w:cs="仿宋"/>
          <w:color w:val="auto"/>
          <w:highlight w:val="none"/>
          <w:lang w:eastAsia="zh-CN"/>
        </w:rPr>
      </w:pPr>
    </w:p>
    <w:p w14:paraId="6AD7A216">
      <w:pPr>
        <w:spacing w:line="249" w:lineRule="auto"/>
        <w:rPr>
          <w:rFonts w:hint="eastAsia" w:ascii="仿宋" w:hAnsi="仿宋" w:eastAsia="仿宋" w:cs="仿宋"/>
          <w:color w:val="auto"/>
          <w:highlight w:val="none"/>
          <w:lang w:eastAsia="zh-CN"/>
        </w:rPr>
      </w:pPr>
    </w:p>
    <w:p w14:paraId="6D7210C3">
      <w:pPr>
        <w:spacing w:line="249" w:lineRule="auto"/>
        <w:rPr>
          <w:rFonts w:hint="eastAsia" w:ascii="仿宋" w:hAnsi="仿宋" w:eastAsia="仿宋" w:cs="仿宋"/>
          <w:color w:val="auto"/>
          <w:highlight w:val="none"/>
          <w:lang w:eastAsia="zh-CN"/>
        </w:rPr>
      </w:pPr>
    </w:p>
    <w:p w14:paraId="4BFA02E6">
      <w:pPr>
        <w:spacing w:line="249" w:lineRule="auto"/>
        <w:rPr>
          <w:rFonts w:hint="eastAsia" w:ascii="仿宋" w:hAnsi="仿宋" w:eastAsia="仿宋" w:cs="仿宋"/>
          <w:color w:val="auto"/>
          <w:highlight w:val="none"/>
          <w:lang w:eastAsia="zh-CN"/>
        </w:rPr>
      </w:pPr>
    </w:p>
    <w:p w14:paraId="514E0759">
      <w:pPr>
        <w:pStyle w:val="4"/>
        <w:spacing w:before="169" w:line="221" w:lineRule="auto"/>
        <w:jc w:val="center"/>
        <w:outlineLvl w:val="0"/>
        <w:rPr>
          <w:rFonts w:hint="eastAsia" w:ascii="仿宋" w:hAnsi="仿宋" w:eastAsia="仿宋" w:cs="仿宋"/>
          <w:color w:val="auto"/>
          <w:highlight w:val="none"/>
          <w:lang w:eastAsia="zh-CN"/>
        </w:rPr>
      </w:pPr>
      <w:bookmarkStart w:id="0" w:name="_Toc9033"/>
      <w:r>
        <w:rPr>
          <w:rFonts w:hint="eastAsia" w:ascii="仿宋" w:hAnsi="仿宋" w:eastAsia="仿宋" w:cs="仿宋"/>
          <w:color w:val="auto"/>
          <w:spacing w:val="10"/>
          <w:highlight w:val="none"/>
          <w:lang w:eastAsia="zh-CN"/>
          <w14:textOutline w14:w="9461" w14:cap="sq" w14:cmpd="sng" w14:algn="ctr">
            <w14:solidFill>
              <w14:srgbClr w14:val="000000"/>
            </w14:solidFill>
            <w14:prstDash w14:val="solid"/>
            <w14:bevel/>
          </w14:textOutline>
        </w:rPr>
        <w:t>第</w:t>
      </w:r>
      <w:r>
        <w:rPr>
          <w:rFonts w:hint="eastAsia" w:ascii="仿宋" w:hAnsi="仿宋" w:eastAsia="仿宋" w:cs="仿宋"/>
          <w:color w:val="auto"/>
          <w:spacing w:val="-144"/>
          <w:highlight w:val="none"/>
          <w:lang w:eastAsia="zh-CN"/>
        </w:rPr>
        <w:t xml:space="preserve"> </w:t>
      </w:r>
      <w:r>
        <w:rPr>
          <w:rFonts w:hint="eastAsia" w:ascii="仿宋" w:hAnsi="仿宋" w:eastAsia="仿宋" w:cs="仿宋"/>
          <w:color w:val="auto"/>
          <w:spacing w:val="10"/>
          <w:highlight w:val="none"/>
          <w:lang w:eastAsia="zh-CN"/>
          <w14:textOutline w14:w="9461" w14:cap="sq" w14:cmpd="sng" w14:algn="ctr">
            <w14:solidFill>
              <w14:srgbClr w14:val="000000"/>
            </w14:solidFill>
            <w14:prstDash w14:val="solid"/>
            <w14:bevel/>
          </w14:textOutline>
        </w:rPr>
        <w:t>三章</w:t>
      </w:r>
      <w:r>
        <w:rPr>
          <w:rFonts w:hint="eastAsia" w:ascii="仿宋" w:hAnsi="仿宋" w:eastAsia="仿宋" w:cs="仿宋"/>
          <w:color w:val="auto"/>
          <w:spacing w:val="180"/>
          <w:highlight w:val="none"/>
          <w:lang w:eastAsia="zh-CN"/>
        </w:rPr>
        <w:t xml:space="preserve"> </w:t>
      </w:r>
      <w:r>
        <w:rPr>
          <w:rFonts w:hint="eastAsia" w:ascii="仿宋" w:hAnsi="仿宋" w:eastAsia="仿宋" w:cs="仿宋"/>
          <w:color w:val="auto"/>
          <w:spacing w:val="10"/>
          <w:highlight w:val="none"/>
          <w:lang w:eastAsia="zh-CN"/>
          <w14:textOutline w14:w="9461" w14:cap="sq" w14:cmpd="sng" w14:algn="ctr">
            <w14:solidFill>
              <w14:srgbClr w14:val="000000"/>
            </w14:solidFill>
            <w14:prstDash w14:val="solid"/>
            <w14:bevel/>
          </w14:textOutline>
        </w:rPr>
        <w:t>评标办法</w:t>
      </w:r>
      <w:bookmarkEnd w:id="0"/>
    </w:p>
    <w:p w14:paraId="397CBA59">
      <w:pPr>
        <w:spacing w:line="221" w:lineRule="auto"/>
        <w:jc w:val="center"/>
        <w:rPr>
          <w:rFonts w:hint="eastAsia" w:ascii="仿宋" w:hAnsi="仿宋" w:eastAsia="仿宋" w:cs="仿宋"/>
          <w:color w:val="auto"/>
          <w:highlight w:val="none"/>
          <w:lang w:eastAsia="zh-CN"/>
        </w:rPr>
        <w:sectPr>
          <w:headerReference r:id="rId3" w:type="default"/>
          <w:footerReference r:id="rId4" w:type="default"/>
          <w:pgSz w:w="11900" w:h="16839"/>
          <w:pgMar w:top="1440" w:right="1080" w:bottom="1440" w:left="1080" w:header="707" w:footer="922" w:gutter="0"/>
          <w:cols w:space="720" w:num="1"/>
        </w:sectPr>
      </w:pPr>
      <w:r>
        <w:rPr>
          <w:rFonts w:hint="eastAsia" w:ascii="仿宋" w:hAnsi="仿宋" w:eastAsia="仿宋" w:cs="仿宋"/>
          <w:color w:val="auto"/>
          <w:position w:val="28"/>
          <w:sz w:val="35"/>
          <w:szCs w:val="35"/>
          <w:highlight w:val="none"/>
          <w:lang w:eastAsia="zh-CN"/>
          <w14:textOutline w14:w="6540" w14:cap="sq" w14:cmpd="sng" w14:algn="ctr">
            <w14:solidFill>
              <w14:srgbClr w14:val="000000"/>
            </w14:solidFill>
            <w14:prstDash w14:val="solid"/>
            <w14:bevel/>
          </w14:textOutline>
        </w:rPr>
        <w:t>（双信封的综合评分法</w:t>
      </w:r>
      <w:r>
        <w:rPr>
          <w:rFonts w:hint="eastAsia" w:ascii="仿宋" w:hAnsi="仿宋" w:eastAsia="仿宋" w:cs="仿宋"/>
          <w:color w:val="auto"/>
          <w:spacing w:val="-93"/>
          <w:position w:val="28"/>
          <w:sz w:val="35"/>
          <w:szCs w:val="35"/>
          <w:highlight w:val="none"/>
          <w:lang w:eastAsia="zh-CN"/>
        </w:rPr>
        <w:t xml:space="preserve"> </w:t>
      </w:r>
      <w:r>
        <w:rPr>
          <w:rFonts w:hint="eastAsia" w:ascii="仿宋" w:hAnsi="仿宋" w:eastAsia="仿宋" w:cs="仿宋"/>
          <w:color w:val="auto"/>
          <w:position w:val="28"/>
          <w:sz w:val="35"/>
          <w:szCs w:val="35"/>
          <w:highlight w:val="none"/>
          <w:lang w:eastAsia="zh-CN"/>
          <w14:textOutline w14:w="6540" w14:cap="sq" w14:cmpd="sng" w14:algn="ctr">
            <w14:solidFill>
              <w14:srgbClr w14:val="000000"/>
            </w14:solidFill>
            <w14:prstDash w14:val="solid"/>
            <w14:bevel/>
          </w14:textOutline>
        </w:rPr>
        <w:t>）</w:t>
      </w:r>
    </w:p>
    <w:p w14:paraId="0105BA15">
      <w:pPr>
        <w:spacing w:line="212" w:lineRule="auto"/>
        <w:ind w:left="18"/>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pacing w:val="-1"/>
          <w:sz w:val="28"/>
          <w:szCs w:val="28"/>
          <w:highlight w:val="none"/>
          <w14:textOutline w14:w="5105" w14:cap="sq" w14:cmpd="sng" w14:algn="ctr">
            <w14:solidFill>
              <w14:srgbClr w14:val="000000"/>
            </w14:solidFill>
            <w14:prstDash w14:val="solid"/>
            <w14:bevel/>
          </w14:textOutline>
        </w:rPr>
        <w:t>评标办法前附表</w:t>
      </w:r>
    </w:p>
    <w:tbl>
      <w:tblPr>
        <w:tblStyle w:val="11"/>
        <w:tblW w:w="97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139"/>
        <w:gridCol w:w="7661"/>
      </w:tblGrid>
      <w:tr w14:paraId="110E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65" w:type="dxa"/>
            <w:gridSpan w:val="2"/>
          </w:tcPr>
          <w:p w14:paraId="53C0719F">
            <w:pPr>
              <w:pStyle w:val="10"/>
              <w:spacing w:before="104" w:line="228" w:lineRule="auto"/>
              <w:ind w:left="72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14:textOutline w14:w="3797" w14:cap="sq" w14:cmpd="sng" w14:algn="ctr">
                  <w14:solidFill>
                    <w14:srgbClr w14:val="000000"/>
                  </w14:solidFill>
                  <w14:prstDash w14:val="solid"/>
                  <w14:bevel/>
                </w14:textOutline>
              </w:rPr>
              <w:t>条款号</w:t>
            </w:r>
          </w:p>
        </w:tc>
        <w:tc>
          <w:tcPr>
            <w:tcW w:w="7661" w:type="dxa"/>
          </w:tcPr>
          <w:p w14:paraId="18D3D13C">
            <w:pPr>
              <w:pStyle w:val="10"/>
              <w:spacing w:before="104" w:line="228" w:lineRule="auto"/>
              <w:ind w:left="2582"/>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14:textOutline w14:w="3797" w14:cap="sq" w14:cmpd="sng" w14:algn="ctr">
                  <w14:solidFill>
                    <w14:srgbClr w14:val="000000"/>
                  </w14:solidFill>
                  <w14:prstDash w14:val="solid"/>
                  <w14:bevel/>
                </w14:textOutline>
              </w:rPr>
              <w:t>评审因素与评审标准</w:t>
            </w:r>
          </w:p>
        </w:tc>
      </w:tr>
      <w:tr w14:paraId="3352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26" w:type="dxa"/>
            <w:vAlign w:val="center"/>
          </w:tcPr>
          <w:p w14:paraId="788478FA">
            <w:pPr>
              <w:pStyle w:val="10"/>
              <w:spacing w:before="65" w:line="189"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139" w:type="dxa"/>
            <w:vAlign w:val="center"/>
          </w:tcPr>
          <w:p w14:paraId="0D22171E">
            <w:pPr>
              <w:pStyle w:val="10"/>
              <w:spacing w:before="65"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评标方法</w:t>
            </w:r>
          </w:p>
        </w:tc>
        <w:tc>
          <w:tcPr>
            <w:tcW w:w="7661" w:type="dxa"/>
          </w:tcPr>
          <w:p w14:paraId="6FDD9CF5">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综合评分相等时，评标委员会依次按照以下优先顺序推荐中标候选人或确定中标人：</w:t>
            </w:r>
          </w:p>
          <w:p w14:paraId="23DB52A6">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（1）评标价低的优先；</w:t>
            </w:r>
          </w:p>
          <w:p w14:paraId="2FFE76A8">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（2）以投标人企业最新年度净资产较高的优先[如果联合体参加投标的，本款中最新年度净资产以承担施工任务的联合体成员方（数量不止1家，按就高不就低的原则确定）的情况为准。]；</w:t>
            </w:r>
          </w:p>
          <w:p w14:paraId="501AE864">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（3）评标委员会视投标人情况综合比较，投票确定其名次。</w:t>
            </w:r>
          </w:p>
        </w:tc>
      </w:tr>
      <w:tr w14:paraId="0B10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jc w:val="center"/>
        </w:trPr>
        <w:tc>
          <w:tcPr>
            <w:tcW w:w="926" w:type="dxa"/>
            <w:vAlign w:val="center"/>
          </w:tcPr>
          <w:p w14:paraId="723953D2">
            <w:pPr>
              <w:pStyle w:val="10"/>
              <w:spacing w:before="65" w:line="408" w:lineRule="exact"/>
              <w:ind w:left="208"/>
              <w:jc w:val="both"/>
              <w:rPr>
                <w:rFonts w:hint="eastAsia" w:ascii="仿宋" w:hAnsi="仿宋" w:eastAsia="仿宋" w:cs="仿宋"/>
                <w:color w:val="auto"/>
                <w:sz w:val="22"/>
                <w:szCs w:val="22"/>
                <w:highlight w:val="none"/>
              </w:rPr>
            </w:pPr>
            <w:r>
              <w:rPr>
                <w:rFonts w:hint="eastAsia" w:ascii="仿宋" w:hAnsi="仿宋" w:eastAsia="仿宋" w:cs="仿宋"/>
                <w:color w:val="auto"/>
                <w:spacing w:val="2"/>
                <w:position w:val="18"/>
                <w:sz w:val="22"/>
                <w:szCs w:val="22"/>
                <w:highlight w:val="none"/>
              </w:rPr>
              <w:t>2.1.1</w:t>
            </w:r>
          </w:p>
          <w:p w14:paraId="1C51A57D">
            <w:pPr>
              <w:pStyle w:val="10"/>
              <w:spacing w:line="189" w:lineRule="auto"/>
              <w:ind w:left="208"/>
              <w:jc w:val="both"/>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2.1.3</w:t>
            </w:r>
          </w:p>
        </w:tc>
        <w:tc>
          <w:tcPr>
            <w:tcW w:w="1139" w:type="dxa"/>
            <w:vAlign w:val="center"/>
          </w:tcPr>
          <w:p w14:paraId="03466C2E">
            <w:pPr>
              <w:pStyle w:val="10"/>
              <w:spacing w:before="65" w:line="377" w:lineRule="auto"/>
              <w:ind w:right="124"/>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19"/>
                <w:sz w:val="22"/>
                <w:szCs w:val="22"/>
                <w:highlight w:val="none"/>
                <w:lang w:eastAsia="zh-CN"/>
              </w:rPr>
              <w:t>形式评审</w:t>
            </w:r>
            <w:r>
              <w:rPr>
                <w:rFonts w:hint="eastAsia" w:ascii="仿宋" w:hAnsi="仿宋" w:eastAsia="仿宋" w:cs="仿宋"/>
                <w:color w:val="auto"/>
                <w:sz w:val="22"/>
                <w:szCs w:val="22"/>
                <w:highlight w:val="none"/>
                <w:lang w:eastAsia="zh-CN"/>
              </w:rPr>
              <w:t xml:space="preserve"> </w:t>
            </w:r>
            <w:r>
              <w:rPr>
                <w:rFonts w:hint="eastAsia" w:ascii="仿宋" w:hAnsi="仿宋" w:eastAsia="仿宋" w:cs="仿宋"/>
                <w:color w:val="auto"/>
                <w:spacing w:val="18"/>
                <w:sz w:val="22"/>
                <w:szCs w:val="22"/>
                <w:highlight w:val="none"/>
                <w:lang w:eastAsia="zh-CN"/>
              </w:rPr>
              <w:t>与响应性</w:t>
            </w:r>
            <w:r>
              <w:rPr>
                <w:rFonts w:hint="eastAsia" w:ascii="仿宋" w:hAnsi="仿宋" w:eastAsia="仿宋" w:cs="仿宋"/>
                <w:color w:val="auto"/>
                <w:spacing w:val="7"/>
                <w:sz w:val="22"/>
                <w:szCs w:val="22"/>
                <w:highlight w:val="none"/>
                <w:lang w:eastAsia="zh-CN"/>
              </w:rPr>
              <w:t>评审标准</w:t>
            </w:r>
          </w:p>
        </w:tc>
        <w:tc>
          <w:tcPr>
            <w:tcW w:w="7661" w:type="dxa"/>
          </w:tcPr>
          <w:p w14:paraId="3FB0C3ED">
            <w:pPr>
              <w:widowControl w:val="0"/>
              <w:tabs>
                <w:tab w:val="left" w:pos="1087"/>
              </w:tabs>
              <w:spacing w:line="360" w:lineRule="auto"/>
              <w:ind w:firstLine="478" w:firstLineChars="200"/>
              <w:jc w:val="both"/>
              <w:rPr>
                <w:rFonts w:hint="eastAsia" w:ascii="仿宋" w:hAnsi="仿宋" w:eastAsia="仿宋" w:cs="仿宋"/>
                <w:b/>
                <w:bCs/>
                <w:color w:val="auto"/>
                <w:spacing w:val="9"/>
                <w:sz w:val="22"/>
                <w:szCs w:val="22"/>
                <w:highlight w:val="none"/>
                <w:lang w:eastAsia="zh-CN"/>
              </w:rPr>
            </w:pPr>
            <w:r>
              <w:rPr>
                <w:rFonts w:hint="eastAsia" w:ascii="仿宋" w:hAnsi="仿宋" w:eastAsia="仿宋" w:cs="仿宋"/>
                <w:b/>
                <w:bCs/>
                <w:color w:val="auto"/>
                <w:spacing w:val="9"/>
                <w:sz w:val="22"/>
                <w:szCs w:val="22"/>
                <w:highlight w:val="none"/>
                <w:lang w:val="zh-CN" w:eastAsia="zh-CN"/>
              </w:rPr>
              <w:t>第一个信封（商务及技术文件）评审标准：</w:t>
            </w:r>
          </w:p>
          <w:p w14:paraId="7B59432C">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（1）投标文件按照招标文件规定的格式、内容填写，字迹清晰可辨：</w:t>
            </w:r>
          </w:p>
          <w:p w14:paraId="2A72EB4B">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a.投标函按招标文件规定填报了项目名称、标段号（如有)、补遗书编号（如有)、工期、工程质量要求及安全目标；</w:t>
            </w:r>
          </w:p>
          <w:p w14:paraId="15B95CEA">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b.投标函附录的所有数据均符合招标文件规定；</w:t>
            </w:r>
          </w:p>
          <w:p w14:paraId="032E271F">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c.投标文件组成齐全完整，内容均按规定填写。</w:t>
            </w:r>
          </w:p>
          <w:p w14:paraId="1C9F86E3">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（2）投标文件上法定代表人或其委托代理人的签字、投标人的单位章盖章齐全，符合招标文件规定。</w:t>
            </w:r>
          </w:p>
          <w:p w14:paraId="2F0675E7">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（3）投标人按照招标文件的规定提供了投标保证金：</w:t>
            </w:r>
          </w:p>
          <w:p w14:paraId="25E5FBAE">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a.投标保证金金额符合招标文件规定的金额，且投标保证金有效期不少于投标有效期；</w:t>
            </w:r>
          </w:p>
          <w:p w14:paraId="02F5171C">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b.若投标保证金采用现金或支票形式提交，投标人应在投标人须知 3.4.1款规定的时间，将投标保证金由投标人的基本账户转入招标人指定账户；</w:t>
            </w:r>
          </w:p>
          <w:p w14:paraId="0F8438EF">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c.若投标保证金采用银行保函或投标人须知前附表3.4.1项规定的其他形式提交，应满足招标文件要求。</w:t>
            </w:r>
          </w:p>
          <w:p w14:paraId="5E88DF4C">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（4）投标人法定代表人授权委托代理人签署投标文件的，需提交授权委托书，且授权人和被授权人均在授权委托书上签名，未使用印章、签名章或其他电子制版签名代替。</w:t>
            </w:r>
          </w:p>
          <w:p w14:paraId="43EB5979">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（5）投标人法定代表人亲自签署投标文件的，提供了法定代表人身份证明，且法定代表人在法定代表人身份证明上签名，未使用印章、签名章或其他电子制版签名代替。</w:t>
            </w:r>
          </w:p>
          <w:p w14:paraId="36D46241">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（6）投标人以联合体形式投标时，联合体满足招标文件的要求：投标人按照招标文件提供的格式签订了联合体协议书，明确各方承担连带责任，并明确了联合体牵头人。</w:t>
            </w:r>
          </w:p>
          <w:p w14:paraId="0CCA35A7">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（7）如投标人不具备拟分包工程所需的某专项工程相应资质或投标人如有分包计划，符合招标文件第二章“投标人须知”第1.11款规定，且按招标文件第</w:t>
            </w:r>
            <w:r>
              <w:rPr>
                <w:rFonts w:hint="eastAsia" w:ascii="仿宋" w:hAnsi="仿宋" w:eastAsia="仿宋" w:cs="仿宋"/>
                <w:color w:val="auto"/>
                <w:spacing w:val="9"/>
                <w:sz w:val="22"/>
                <w:szCs w:val="22"/>
                <w:highlight w:val="none"/>
                <w:lang w:val="en-US" w:eastAsia="zh-CN"/>
              </w:rPr>
              <w:t>五</w:t>
            </w:r>
            <w:r>
              <w:rPr>
                <w:rFonts w:hint="eastAsia" w:ascii="仿宋" w:hAnsi="仿宋" w:eastAsia="仿宋" w:cs="仿宋"/>
                <w:color w:val="auto"/>
                <w:spacing w:val="9"/>
                <w:sz w:val="22"/>
                <w:szCs w:val="22"/>
                <w:highlight w:val="none"/>
                <w:lang w:val="zh-CN" w:eastAsia="zh-CN"/>
              </w:rPr>
              <w:t>章“投标文件格式”的要求填写了“拟分包项目情况表”。</w:t>
            </w:r>
          </w:p>
          <w:p w14:paraId="4478F992">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（8）同一投标人未提交两个以上不同的投标文件，但招标文件要求提交备选投标的除外。</w:t>
            </w:r>
          </w:p>
          <w:p w14:paraId="700B2ED4">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（9）投标文件中未出现有关投标报价的内容。</w:t>
            </w:r>
          </w:p>
          <w:p w14:paraId="78105E38">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（10）投标文件载明的招标项目完成期限未超过招标文件规定的时限。</w:t>
            </w:r>
          </w:p>
          <w:p w14:paraId="26FB7711">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（11）投标文件对招标文件的实质性要求和条件作出响应。</w:t>
            </w:r>
          </w:p>
          <w:p w14:paraId="1813903C">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（12）权利义务符合招标文件规定：</w:t>
            </w:r>
          </w:p>
          <w:p w14:paraId="41910518">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a. 投标人应接受招标文件规定的风险划分原则，未提出新的风险划分办法；</w:t>
            </w:r>
          </w:p>
          <w:p w14:paraId="737D4581">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b.</w:t>
            </w:r>
            <w:r>
              <w:rPr>
                <w:rFonts w:hint="eastAsia" w:ascii="仿宋" w:hAnsi="仿宋" w:eastAsia="仿宋" w:cs="仿宋"/>
                <w:color w:val="auto"/>
                <w:spacing w:val="9"/>
                <w:sz w:val="22"/>
                <w:szCs w:val="22"/>
                <w:highlight w:val="none"/>
                <w:lang w:eastAsia="zh-CN"/>
              </w:rPr>
              <w:t xml:space="preserve"> </w:t>
            </w:r>
            <w:r>
              <w:rPr>
                <w:rFonts w:hint="eastAsia" w:ascii="仿宋" w:hAnsi="仿宋" w:eastAsia="仿宋" w:cs="仿宋"/>
                <w:color w:val="auto"/>
                <w:spacing w:val="9"/>
                <w:sz w:val="22"/>
                <w:szCs w:val="22"/>
                <w:highlight w:val="none"/>
                <w:lang w:val="zh-CN" w:eastAsia="zh-CN"/>
              </w:rPr>
              <w:t>投标人未增加发包人的责任范围，或减少投标人义务；</w:t>
            </w:r>
          </w:p>
          <w:p w14:paraId="27E05343">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c.投标人未提出不同的工程验收、计量、支付办法；</w:t>
            </w:r>
          </w:p>
          <w:p w14:paraId="63E6EC4E">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d. 投标人对合同纠纷、事故处理办法未提出异议；</w:t>
            </w:r>
          </w:p>
          <w:p w14:paraId="2D046AAB">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e. 投标人在投标活动中无欺诈行为；</w:t>
            </w:r>
          </w:p>
          <w:p w14:paraId="1D7CDF0A">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f. 投标人未对合同条款有重要保留。</w:t>
            </w:r>
          </w:p>
          <w:p w14:paraId="5A854FF5">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（13）至投标文件递交截止日，没有被交通运输部或广东省交通运输厅行政处罚且取消投标资格或信用等级被广东省交通运输厅降低为D级等情况之一的。</w:t>
            </w:r>
          </w:p>
          <w:p w14:paraId="4759553A">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w:t>
            </w:r>
            <w:r>
              <w:rPr>
                <w:rFonts w:hint="eastAsia" w:ascii="仿宋" w:hAnsi="仿宋" w:eastAsia="仿宋" w:cs="仿宋"/>
                <w:color w:val="auto"/>
                <w:spacing w:val="9"/>
                <w:sz w:val="22"/>
                <w:szCs w:val="22"/>
                <w:highlight w:val="none"/>
                <w:lang w:eastAsia="zh-CN"/>
              </w:rPr>
              <w:t>4</w:t>
            </w:r>
            <w:r>
              <w:rPr>
                <w:rFonts w:hint="eastAsia" w:ascii="仿宋" w:hAnsi="仿宋" w:eastAsia="仿宋" w:cs="仿宋"/>
                <w:color w:val="auto"/>
                <w:spacing w:val="9"/>
                <w:sz w:val="22"/>
                <w:szCs w:val="22"/>
                <w:highlight w:val="none"/>
                <w:lang w:val="zh-CN" w:eastAsia="zh-CN"/>
              </w:rPr>
              <w:t>）经云浮市公共资源交易服务平台交易系统检测投标文件存在投标端网络IP地址、网卡MAC地址、CPU序列号、硬盘序列号、主板序列号、软件制作码一致的。</w:t>
            </w:r>
          </w:p>
          <w:p w14:paraId="49276923">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w:t>
            </w:r>
            <w:r>
              <w:rPr>
                <w:rFonts w:hint="eastAsia" w:ascii="仿宋" w:hAnsi="仿宋" w:eastAsia="仿宋" w:cs="仿宋"/>
                <w:color w:val="auto"/>
                <w:spacing w:val="9"/>
                <w:sz w:val="22"/>
                <w:szCs w:val="22"/>
                <w:highlight w:val="none"/>
                <w:lang w:eastAsia="zh-CN"/>
              </w:rPr>
              <w:t>15</w:t>
            </w:r>
            <w:r>
              <w:rPr>
                <w:rFonts w:hint="eastAsia" w:ascii="仿宋" w:hAnsi="仿宋" w:eastAsia="仿宋" w:cs="仿宋"/>
                <w:color w:val="auto"/>
                <w:spacing w:val="9"/>
                <w:sz w:val="22"/>
                <w:szCs w:val="22"/>
                <w:highlight w:val="none"/>
                <w:lang w:val="zh-CN" w:eastAsia="zh-CN"/>
              </w:rPr>
              <w:t>）投标文件未附有招标人不能接受的条件。</w:t>
            </w:r>
          </w:p>
          <w:p w14:paraId="07F9401B">
            <w:pPr>
              <w:widowControl w:val="0"/>
              <w:tabs>
                <w:tab w:val="left" w:pos="1087"/>
              </w:tabs>
              <w:spacing w:line="360" w:lineRule="auto"/>
              <w:ind w:firstLine="478" w:firstLineChars="200"/>
              <w:jc w:val="both"/>
              <w:rPr>
                <w:rFonts w:hint="eastAsia" w:ascii="仿宋" w:hAnsi="仿宋" w:eastAsia="仿宋" w:cs="仿宋"/>
                <w:b/>
                <w:bCs/>
                <w:color w:val="auto"/>
                <w:spacing w:val="9"/>
                <w:sz w:val="22"/>
                <w:szCs w:val="22"/>
                <w:highlight w:val="none"/>
                <w:lang w:val="zh-CN" w:eastAsia="zh-CN"/>
              </w:rPr>
            </w:pPr>
            <w:r>
              <w:rPr>
                <w:rFonts w:hint="eastAsia" w:ascii="仿宋" w:hAnsi="仿宋" w:eastAsia="仿宋" w:cs="仿宋"/>
                <w:b/>
                <w:bCs/>
                <w:color w:val="auto"/>
                <w:spacing w:val="9"/>
                <w:sz w:val="22"/>
                <w:szCs w:val="22"/>
                <w:highlight w:val="none"/>
                <w:lang w:val="zh-CN" w:eastAsia="zh-CN"/>
              </w:rPr>
              <w:t>第二个信封（报价文件）评审标准：</w:t>
            </w:r>
          </w:p>
          <w:p w14:paraId="001CFDDD">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（1）投标文件按照招标文件规定的格式、内容填写，字迹清晰可辩：</w:t>
            </w:r>
          </w:p>
          <w:p w14:paraId="7343C7A5">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a. 投标函按招标文件规定填报了项目名称、标段号（如有)、补遗书编号（如有)、投标总报价（包括大写金额和小写金额)；</w:t>
            </w:r>
          </w:p>
          <w:p w14:paraId="0A4F0646">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eastAsia="zh-CN"/>
              </w:rPr>
              <w:t>b</w:t>
            </w:r>
            <w:r>
              <w:rPr>
                <w:rFonts w:hint="eastAsia" w:ascii="仿宋" w:hAnsi="仿宋" w:eastAsia="仿宋" w:cs="仿宋"/>
                <w:color w:val="auto"/>
                <w:spacing w:val="9"/>
                <w:sz w:val="22"/>
                <w:szCs w:val="22"/>
                <w:highlight w:val="none"/>
                <w:lang w:val="zh-CN" w:eastAsia="zh-CN"/>
              </w:rPr>
              <w:t>. 投标文件组成齐全完整，内容均按规定填写。</w:t>
            </w:r>
          </w:p>
          <w:p w14:paraId="14B05A90">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（2）投标文件上法定代表人或其委托代理人的签字、投标人的单位章盖章齐全，符合招标文件规定。</w:t>
            </w:r>
          </w:p>
          <w:p w14:paraId="4C8F0374">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（3）投标总报价报价未超过招标文件设定的最高投标限价（如有)及最高评标限价（如有）。</w:t>
            </w:r>
          </w:p>
          <w:p w14:paraId="25845B60">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（4）投标总报价的大写金额能够确定具体数值。</w:t>
            </w:r>
          </w:p>
          <w:p w14:paraId="61B22A5F">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（5）同一投标人未提交两个以上不同的投标报价，但招标文件要求提交备选投标的除外。</w:t>
            </w:r>
          </w:p>
        </w:tc>
      </w:tr>
      <w:tr w14:paraId="07B09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926" w:type="dxa"/>
            <w:vAlign w:val="center"/>
          </w:tcPr>
          <w:p w14:paraId="0CDB0937">
            <w:pPr>
              <w:pStyle w:val="10"/>
              <w:spacing w:line="189" w:lineRule="auto"/>
              <w:ind w:left="208"/>
              <w:jc w:val="both"/>
              <w:rPr>
                <w:rFonts w:hint="eastAsia" w:ascii="仿宋" w:hAnsi="仿宋" w:eastAsia="仿宋" w:cs="仿宋"/>
                <w:color w:val="auto"/>
                <w:spacing w:val="2"/>
                <w:sz w:val="22"/>
                <w:szCs w:val="22"/>
                <w:highlight w:val="none"/>
                <w:lang w:eastAsia="zh-CN"/>
              </w:rPr>
            </w:pPr>
            <w:r>
              <w:rPr>
                <w:rFonts w:hint="eastAsia" w:ascii="仿宋" w:hAnsi="仿宋" w:eastAsia="仿宋" w:cs="仿宋"/>
                <w:color w:val="auto"/>
                <w:spacing w:val="2"/>
                <w:sz w:val="22"/>
                <w:szCs w:val="22"/>
                <w:highlight w:val="none"/>
                <w:lang w:eastAsia="zh-CN"/>
              </w:rPr>
              <w:t>2.1.2</w:t>
            </w:r>
          </w:p>
        </w:tc>
        <w:tc>
          <w:tcPr>
            <w:tcW w:w="1139" w:type="dxa"/>
            <w:vAlign w:val="center"/>
          </w:tcPr>
          <w:p w14:paraId="49FD43F1">
            <w:pPr>
              <w:widowControl w:val="0"/>
              <w:tabs>
                <w:tab w:val="left" w:pos="1087"/>
              </w:tabs>
              <w:spacing w:line="360" w:lineRule="auto"/>
              <w:jc w:val="center"/>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资格评审</w:t>
            </w:r>
          </w:p>
          <w:p w14:paraId="142460E6">
            <w:pPr>
              <w:widowControl w:val="0"/>
              <w:tabs>
                <w:tab w:val="left" w:pos="1087"/>
              </w:tabs>
              <w:spacing w:line="360" w:lineRule="auto"/>
              <w:jc w:val="center"/>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标准</w:t>
            </w:r>
          </w:p>
        </w:tc>
        <w:tc>
          <w:tcPr>
            <w:tcW w:w="7661" w:type="dxa"/>
          </w:tcPr>
          <w:p w14:paraId="52A6240E">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4AC21862">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（2）投标人的资质等级符合招标文件规定；</w:t>
            </w:r>
          </w:p>
          <w:p w14:paraId="132E45A4">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（3）投标人的财务状况符合招标文件规定；</w:t>
            </w:r>
          </w:p>
          <w:p w14:paraId="7132567A">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（4）投标人的类似项目业绩符合招标文件规定；</w:t>
            </w:r>
          </w:p>
          <w:p w14:paraId="332C857A">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（5）投标人的</w:t>
            </w:r>
            <w:r>
              <w:rPr>
                <w:rFonts w:hint="eastAsia" w:ascii="仿宋" w:hAnsi="仿宋" w:eastAsia="仿宋" w:cs="仿宋"/>
                <w:color w:val="auto"/>
                <w:spacing w:val="9"/>
                <w:sz w:val="22"/>
                <w:szCs w:val="22"/>
                <w:highlight w:val="none"/>
                <w:lang w:eastAsia="zh-CN"/>
              </w:rPr>
              <w:t>项目总负责人、</w:t>
            </w:r>
            <w:r>
              <w:rPr>
                <w:rFonts w:hint="eastAsia" w:ascii="仿宋" w:hAnsi="仿宋" w:eastAsia="仿宋" w:cs="仿宋"/>
                <w:color w:val="auto"/>
                <w:spacing w:val="9"/>
                <w:sz w:val="22"/>
                <w:szCs w:val="22"/>
                <w:highlight w:val="none"/>
                <w:lang w:val="zh-CN" w:eastAsia="zh-CN"/>
              </w:rPr>
              <w:t>项目经理、项目总工、设计负责人资格，项目经理、项目总工及、设计负责人的签字、在岗情况符合招标文件规定。</w:t>
            </w:r>
          </w:p>
          <w:p w14:paraId="4E09563D">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（6）投标人不存在第二章“投标人须知”第1.4.3项或第1.4.4项规定的任何一种情形。</w:t>
            </w:r>
          </w:p>
          <w:p w14:paraId="573E2F7C">
            <w:pPr>
              <w:widowControl w:val="0"/>
              <w:tabs>
                <w:tab w:val="left" w:pos="1087"/>
              </w:tabs>
              <w:spacing w:line="360" w:lineRule="auto"/>
              <w:ind w:firstLine="476" w:firstLineChars="200"/>
              <w:jc w:val="both"/>
              <w:rPr>
                <w:rFonts w:hint="eastAsia" w:ascii="仿宋" w:hAnsi="仿宋" w:eastAsia="仿宋" w:cs="仿宋"/>
                <w:color w:val="auto"/>
                <w:spacing w:val="9"/>
                <w:sz w:val="22"/>
                <w:szCs w:val="22"/>
                <w:highlight w:val="none"/>
                <w:lang w:val="zh-CN" w:eastAsia="zh-CN"/>
              </w:rPr>
            </w:pPr>
            <w:r>
              <w:rPr>
                <w:rFonts w:hint="eastAsia" w:ascii="仿宋" w:hAnsi="仿宋" w:eastAsia="仿宋" w:cs="仿宋"/>
                <w:color w:val="auto"/>
                <w:spacing w:val="9"/>
                <w:sz w:val="22"/>
                <w:szCs w:val="22"/>
                <w:highlight w:val="none"/>
                <w:lang w:val="zh-CN" w:eastAsia="zh-CN"/>
              </w:rPr>
              <w:t>（7）以联合体形式参与投标的，联合体各方均未再以自己名义单独或参加其他联合体在同一项目包中投标；独立参与投标的，投标人未同时参加联合体在同一项目包中投标。</w:t>
            </w:r>
          </w:p>
        </w:tc>
      </w:tr>
    </w:tbl>
    <w:p w14:paraId="1C0E9523">
      <w:pPr>
        <w:spacing w:line="267" w:lineRule="auto"/>
        <w:rPr>
          <w:rFonts w:hint="eastAsia" w:ascii="仿宋" w:hAnsi="仿宋" w:eastAsia="仿宋" w:cs="仿宋"/>
          <w:color w:val="auto"/>
          <w:highlight w:val="none"/>
          <w:lang w:eastAsia="zh-CN"/>
        </w:rPr>
      </w:pPr>
    </w:p>
    <w:p w14:paraId="767C15BC">
      <w:pPr>
        <w:spacing w:line="257" w:lineRule="auto"/>
        <w:rPr>
          <w:rFonts w:hint="eastAsia" w:ascii="仿宋" w:hAnsi="仿宋" w:eastAsia="仿宋" w:cs="仿宋"/>
          <w:color w:val="auto"/>
          <w:highlight w:val="none"/>
          <w:lang w:eastAsia="zh-CN"/>
        </w:rPr>
      </w:pPr>
    </w:p>
    <w:p w14:paraId="115ACC14">
      <w:pPr>
        <w:spacing w:line="258" w:lineRule="auto"/>
        <w:rPr>
          <w:rFonts w:hint="eastAsia" w:ascii="仿宋" w:hAnsi="仿宋" w:eastAsia="仿宋" w:cs="仿宋"/>
          <w:color w:val="auto"/>
          <w:highlight w:val="none"/>
          <w:lang w:eastAsia="zh-CN"/>
        </w:rPr>
      </w:pPr>
    </w:p>
    <w:p w14:paraId="6353DBA1">
      <w:pPr>
        <w:spacing w:line="273" w:lineRule="auto"/>
        <w:rPr>
          <w:rFonts w:hint="eastAsia" w:ascii="仿宋" w:hAnsi="仿宋" w:eastAsia="仿宋" w:cs="仿宋"/>
          <w:color w:val="auto"/>
          <w:highlight w:val="none"/>
          <w:lang w:eastAsia="zh-CN"/>
        </w:rPr>
      </w:pPr>
    </w:p>
    <w:p w14:paraId="231D8A74">
      <w:pPr>
        <w:spacing w:line="271" w:lineRule="auto"/>
        <w:rPr>
          <w:rFonts w:hint="eastAsia" w:ascii="仿宋" w:hAnsi="仿宋" w:eastAsia="仿宋" w:cs="仿宋"/>
          <w:color w:val="auto"/>
          <w:highlight w:val="none"/>
          <w:lang w:eastAsia="zh-CN"/>
        </w:rPr>
      </w:pPr>
      <w:bookmarkStart w:id="1" w:name="bookmark138"/>
      <w:bookmarkEnd w:id="1"/>
    </w:p>
    <w:p w14:paraId="3F554B3F">
      <w:pPr>
        <w:spacing w:line="271" w:lineRule="auto"/>
        <w:rPr>
          <w:rFonts w:hint="eastAsia" w:ascii="仿宋" w:hAnsi="仿宋" w:eastAsia="仿宋" w:cs="仿宋"/>
          <w:color w:val="auto"/>
          <w:highlight w:val="none"/>
          <w:lang w:eastAsia="zh-CN"/>
        </w:rPr>
      </w:pPr>
    </w:p>
    <w:p w14:paraId="46349830">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tbl>
      <w:tblPr>
        <w:tblStyle w:val="11"/>
        <w:tblW w:w="515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0"/>
        <w:gridCol w:w="106"/>
        <w:gridCol w:w="130"/>
        <w:gridCol w:w="106"/>
        <w:gridCol w:w="310"/>
        <w:gridCol w:w="599"/>
        <w:gridCol w:w="553"/>
        <w:gridCol w:w="307"/>
        <w:gridCol w:w="1283"/>
        <w:gridCol w:w="4427"/>
      </w:tblGrid>
      <w:tr w14:paraId="79A3B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469" w:type="pct"/>
            <w:gridSpan w:val="7"/>
          </w:tcPr>
          <w:p w14:paraId="6ABF3D48">
            <w:pPr>
              <w:pStyle w:val="10"/>
              <w:spacing w:before="211" w:line="228" w:lineRule="auto"/>
              <w:ind w:left="63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14:textOutline w14:w="3797" w14:cap="sq" w14:cmpd="sng" w14:algn="ctr">
                  <w14:solidFill>
                    <w14:srgbClr w14:val="000000"/>
                  </w14:solidFill>
                  <w14:prstDash w14:val="solid"/>
                  <w14:bevel/>
                </w14:textOutline>
              </w:rPr>
              <w:t>条款号</w:t>
            </w:r>
          </w:p>
        </w:tc>
        <w:tc>
          <w:tcPr>
            <w:tcW w:w="3530" w:type="pct"/>
            <w:gridSpan w:val="3"/>
          </w:tcPr>
          <w:p w14:paraId="459ED6D0">
            <w:pPr>
              <w:pStyle w:val="10"/>
              <w:spacing w:before="211" w:line="228" w:lineRule="auto"/>
              <w:ind w:left="2644"/>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14:textOutline w14:w="3797" w14:cap="sq" w14:cmpd="sng" w14:algn="ctr">
                  <w14:solidFill>
                    <w14:srgbClr w14:val="000000"/>
                  </w14:solidFill>
                  <w14:prstDash w14:val="solid"/>
                  <w14:bevel/>
                </w14:textOutline>
              </w:rPr>
              <w:t>评审因素与评审标准</w:t>
            </w:r>
          </w:p>
        </w:tc>
      </w:tr>
      <w:tr w14:paraId="45D6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jc w:val="center"/>
        </w:trPr>
        <w:tc>
          <w:tcPr>
            <w:tcW w:w="607" w:type="pct"/>
            <w:gridSpan w:val="4"/>
            <w:vAlign w:val="center"/>
          </w:tcPr>
          <w:p w14:paraId="1824F3C5">
            <w:pPr>
              <w:pStyle w:val="10"/>
              <w:spacing w:before="65" w:line="407" w:lineRule="exact"/>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2.2.1</w:t>
            </w:r>
          </w:p>
        </w:tc>
        <w:tc>
          <w:tcPr>
            <w:tcW w:w="861" w:type="pct"/>
            <w:gridSpan w:val="3"/>
            <w:vAlign w:val="center"/>
          </w:tcPr>
          <w:p w14:paraId="5CA87F24">
            <w:pPr>
              <w:pStyle w:val="10"/>
              <w:spacing w:line="228" w:lineRule="auto"/>
              <w:jc w:val="center"/>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分值构成</w:t>
            </w:r>
          </w:p>
          <w:p w14:paraId="47227938">
            <w:pPr>
              <w:pStyle w:val="10"/>
              <w:spacing w:line="228"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(总分100分）</w:t>
            </w:r>
          </w:p>
        </w:tc>
        <w:tc>
          <w:tcPr>
            <w:tcW w:w="3530" w:type="pct"/>
            <w:gridSpan w:val="3"/>
          </w:tcPr>
          <w:p w14:paraId="10913DD3">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eastAsia="zh-CN" w:bidi="ar"/>
              </w:rPr>
              <w:t>施工组织设计</w:t>
            </w:r>
            <w:r>
              <w:rPr>
                <w:rFonts w:hint="eastAsia" w:ascii="仿宋" w:hAnsi="仿宋" w:eastAsia="仿宋" w:cs="仿宋"/>
                <w:color w:val="auto"/>
                <w:sz w:val="22"/>
                <w:szCs w:val="22"/>
                <w:highlight w:val="none"/>
                <w:lang w:eastAsia="zh-CN"/>
              </w:rPr>
              <w:t>：15分</w:t>
            </w:r>
          </w:p>
          <w:p w14:paraId="2EFD9162">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（2）项目管理机构：5分</w:t>
            </w:r>
          </w:p>
          <w:p w14:paraId="50BF2C40">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（3）投标报价：55分</w:t>
            </w:r>
          </w:p>
          <w:p w14:paraId="5111704F">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（4）其他评分因素：</w:t>
            </w:r>
          </w:p>
          <w:p w14:paraId="250E7778">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技术能力：5分</w:t>
            </w:r>
          </w:p>
          <w:p w14:paraId="3709F83B">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业绩：15分</w:t>
            </w:r>
          </w:p>
          <w:p w14:paraId="1484CDC5">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履约信誉：5分</w:t>
            </w:r>
          </w:p>
        </w:tc>
      </w:tr>
      <w:tr w14:paraId="09314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607" w:type="pct"/>
            <w:gridSpan w:val="4"/>
            <w:vAlign w:val="center"/>
          </w:tcPr>
          <w:p w14:paraId="5C6A1446">
            <w:pPr>
              <w:widowControl w:val="0"/>
              <w:spacing w:before="1"/>
              <w:ind w:right="114"/>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zh-CN" w:eastAsia="zh-CN" w:bidi="zh-CN"/>
              </w:rPr>
              <w:t>2.2.</w:t>
            </w:r>
            <w:r>
              <w:rPr>
                <w:rFonts w:hint="eastAsia" w:ascii="仿宋" w:hAnsi="仿宋" w:eastAsia="仿宋" w:cs="仿宋"/>
                <w:color w:val="auto"/>
                <w:sz w:val="22"/>
                <w:szCs w:val="22"/>
                <w:highlight w:val="none"/>
                <w:lang w:eastAsia="zh-CN" w:bidi="zh-CN"/>
              </w:rPr>
              <w:t>2</w:t>
            </w:r>
          </w:p>
        </w:tc>
        <w:tc>
          <w:tcPr>
            <w:tcW w:w="861" w:type="pct"/>
            <w:gridSpan w:val="3"/>
            <w:vAlign w:val="center"/>
          </w:tcPr>
          <w:p w14:paraId="6C98A622">
            <w:pPr>
              <w:widowControl w:val="0"/>
              <w:spacing w:line="364" w:lineRule="auto"/>
              <w:ind w:left="178" w:right="168"/>
              <w:jc w:val="center"/>
              <w:rPr>
                <w:rFonts w:hint="eastAsia" w:ascii="仿宋" w:hAnsi="仿宋" w:eastAsia="仿宋" w:cs="仿宋"/>
                <w:color w:val="auto"/>
                <w:spacing w:val="6"/>
                <w:sz w:val="22"/>
                <w:szCs w:val="22"/>
                <w:highlight w:val="none"/>
                <w:lang w:eastAsia="zh-CN"/>
              </w:rPr>
            </w:pPr>
            <w:r>
              <w:rPr>
                <w:rFonts w:hint="eastAsia" w:ascii="仿宋" w:hAnsi="仿宋" w:eastAsia="仿宋" w:cs="仿宋"/>
                <w:color w:val="auto"/>
                <w:sz w:val="22"/>
                <w:szCs w:val="22"/>
                <w:highlight w:val="none"/>
                <w:lang w:val="zh-CN" w:eastAsia="zh-CN" w:bidi="zh-CN"/>
              </w:rPr>
              <w:t>第二个信封详细评审标准</w:t>
            </w:r>
          </w:p>
        </w:tc>
        <w:tc>
          <w:tcPr>
            <w:tcW w:w="3530" w:type="pct"/>
            <w:gridSpan w:val="3"/>
            <w:shd w:val="clear" w:color="auto" w:fill="auto"/>
            <w:vAlign w:val="center"/>
          </w:tcPr>
          <w:p w14:paraId="372A44FD">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评标基准价的计算：</w:t>
            </w:r>
          </w:p>
          <w:p w14:paraId="6BA56145">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在开标现场，招标人将当场计算并宣布评标基准价。</w:t>
            </w:r>
          </w:p>
          <w:p w14:paraId="42917938">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（1）评标价的确定：</w:t>
            </w:r>
          </w:p>
          <w:p w14:paraId="61E43B93">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评标价＝投标函文字报价</w:t>
            </w:r>
          </w:p>
          <w:p w14:paraId="0BCE5544">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（2）评标价平均值的计算：（方案一）</w:t>
            </w:r>
          </w:p>
          <w:p w14:paraId="05A9C389">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①按第一个信封（商务及技术文件）评审得分由高到低的顺序选取前5名（若不足5名，则选取相应数量），对其第二个信封（报价文件）的评标价作算术平均（根据第二章“投标人须知”第5.2.4项规定在开标现场被宣布为不应进入评标基准价计算的评标价除外），将该平均值作为评标价平均值。</w:t>
            </w:r>
          </w:p>
          <w:p w14:paraId="5CBF0A3A">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②参与评标价平均值计算的评标价的范围：最高投标限价的85%≤参与评标价平均值计算的评标价≤最高投标限价的100%；（注：小于最高投标限价的85%的评标价不参与评标价平均值的计算，但仍参与评标价的得分计算。）</w:t>
            </w:r>
          </w:p>
          <w:p w14:paraId="27F83A66">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③若投标人的评标价均小于最高投标限价的85%时，则以最高投标限价的85%为评标价平均值。评标委员会可对评标价小于85％的启动澄清程序，要求投标人作出书面说明并提供相关证明材料，若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14:paraId="78E52109">
            <w:pPr>
              <w:widowControl w:val="0"/>
              <w:tabs>
                <w:tab w:val="left" w:pos="650"/>
              </w:tabs>
              <w:spacing w:line="360" w:lineRule="auto"/>
              <w:ind w:right="115"/>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即使某投标文件第二个信封未通过形式评审与响应性评审，如其评标价处于参与评标价平均值计算的评标价的范围内，其评标价仍应参与有效评标价平均值的计算。</w:t>
            </w:r>
          </w:p>
        </w:tc>
      </w:tr>
      <w:tr w14:paraId="467D2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07" w:type="pct"/>
            <w:gridSpan w:val="4"/>
            <w:vAlign w:val="center"/>
          </w:tcPr>
          <w:p w14:paraId="42CF88B9">
            <w:pPr>
              <w:widowControl w:val="0"/>
              <w:ind w:right="114"/>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bidi="zh-CN"/>
              </w:rPr>
              <w:t>2.2.3</w:t>
            </w:r>
          </w:p>
        </w:tc>
        <w:tc>
          <w:tcPr>
            <w:tcW w:w="861" w:type="pct"/>
            <w:gridSpan w:val="3"/>
            <w:vAlign w:val="center"/>
          </w:tcPr>
          <w:p w14:paraId="2EBD0636">
            <w:pPr>
              <w:widowControl w:val="0"/>
              <w:ind w:right="114"/>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投标报价的偏差率计算公式</w:t>
            </w:r>
          </w:p>
        </w:tc>
        <w:tc>
          <w:tcPr>
            <w:tcW w:w="3530" w:type="pct"/>
            <w:gridSpan w:val="3"/>
            <w:shd w:val="clear" w:color="auto" w:fill="auto"/>
            <w:vAlign w:val="center"/>
          </w:tcPr>
          <w:p w14:paraId="24A419C3">
            <w:pPr>
              <w:widowControl w:val="0"/>
              <w:ind w:right="114"/>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偏差率=100% ×(投标人评标价－评标基准价)/评标基准价</w:t>
            </w:r>
          </w:p>
        </w:tc>
      </w:tr>
      <w:tr w14:paraId="68912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607" w:type="pct"/>
            <w:gridSpan w:val="4"/>
            <w:vAlign w:val="center"/>
          </w:tcPr>
          <w:p w14:paraId="4A4E310C">
            <w:pPr>
              <w:widowControl w:val="0"/>
              <w:ind w:right="114"/>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zh-CN" w:eastAsia="zh-CN" w:bidi="zh-CN"/>
              </w:rPr>
              <w:t>3.2.4</w:t>
            </w:r>
          </w:p>
        </w:tc>
        <w:tc>
          <w:tcPr>
            <w:tcW w:w="861" w:type="pct"/>
            <w:gridSpan w:val="3"/>
            <w:vAlign w:val="center"/>
          </w:tcPr>
          <w:p w14:paraId="34BC717A">
            <w:pPr>
              <w:widowControl w:val="0"/>
              <w:spacing w:before="1" w:line="364" w:lineRule="auto"/>
              <w:ind w:right="65"/>
              <w:jc w:val="center"/>
              <w:rPr>
                <w:rFonts w:hint="eastAsia" w:ascii="仿宋" w:hAnsi="仿宋" w:eastAsia="仿宋" w:cs="仿宋"/>
                <w:color w:val="auto"/>
                <w:spacing w:val="6"/>
                <w:sz w:val="22"/>
                <w:szCs w:val="22"/>
                <w:highlight w:val="none"/>
                <w:lang w:eastAsia="zh-CN"/>
              </w:rPr>
            </w:pPr>
            <w:r>
              <w:rPr>
                <w:rFonts w:hint="eastAsia" w:ascii="仿宋" w:hAnsi="仿宋" w:eastAsia="仿宋" w:cs="仿宋"/>
                <w:color w:val="auto"/>
                <w:sz w:val="22"/>
                <w:szCs w:val="22"/>
                <w:highlight w:val="none"/>
                <w:lang w:val="zh-CN" w:eastAsia="zh-CN" w:bidi="zh-CN"/>
              </w:rPr>
              <w:t>通过第一个信封详细评审的投标人数</w:t>
            </w:r>
            <w:r>
              <w:rPr>
                <w:rFonts w:hint="eastAsia" w:ascii="仿宋" w:hAnsi="仿宋" w:eastAsia="仿宋" w:cs="仿宋"/>
                <w:color w:val="auto"/>
                <w:w w:val="99"/>
                <w:sz w:val="22"/>
                <w:szCs w:val="22"/>
                <w:highlight w:val="none"/>
                <w:lang w:val="zh-CN" w:eastAsia="zh-CN" w:bidi="zh-CN"/>
              </w:rPr>
              <w:t>量</w:t>
            </w:r>
          </w:p>
        </w:tc>
        <w:tc>
          <w:tcPr>
            <w:tcW w:w="3530" w:type="pct"/>
            <w:gridSpan w:val="3"/>
            <w:vAlign w:val="center"/>
          </w:tcPr>
          <w:p w14:paraId="3C5A202D">
            <w:pPr>
              <w:widowControl w:val="0"/>
              <w:tabs>
                <w:tab w:val="left" w:pos="6820"/>
              </w:tabs>
              <w:spacing w:line="364" w:lineRule="auto"/>
              <w:ind w:left="123" w:right="113"/>
              <w:jc w:val="center"/>
              <w:rPr>
                <w:rFonts w:hint="eastAsia" w:ascii="仿宋" w:hAnsi="仿宋" w:eastAsia="仿宋" w:cs="仿宋"/>
                <w:color w:val="auto"/>
                <w:spacing w:val="5"/>
                <w:sz w:val="22"/>
                <w:szCs w:val="22"/>
                <w:highlight w:val="none"/>
                <w:lang w:eastAsia="zh-CN"/>
              </w:rPr>
            </w:pPr>
            <w:r>
              <w:rPr>
                <w:rFonts w:hint="eastAsia" w:ascii="仿宋" w:hAnsi="仿宋" w:eastAsia="仿宋" w:cs="仿宋"/>
                <w:color w:val="auto"/>
                <w:spacing w:val="-1"/>
                <w:sz w:val="22"/>
                <w:szCs w:val="22"/>
                <w:highlight w:val="none"/>
                <w:lang w:val="zh-CN" w:eastAsia="zh-CN" w:bidi="zh-CN"/>
              </w:rPr>
              <w:t>按</w:t>
            </w:r>
            <w:r>
              <w:rPr>
                <w:rFonts w:hint="eastAsia" w:ascii="仿宋" w:hAnsi="仿宋" w:eastAsia="仿宋" w:cs="仿宋"/>
                <w:color w:val="auto"/>
                <w:sz w:val="22"/>
                <w:szCs w:val="22"/>
                <w:highlight w:val="none"/>
                <w:lang w:val="zh-CN" w:eastAsia="zh-CN" w:bidi="zh-CN"/>
              </w:rPr>
              <w:t>照投标人的商务和技术得分由高到低排序，选择前</w:t>
            </w:r>
            <w:r>
              <w:rPr>
                <w:rFonts w:hint="eastAsia" w:ascii="仿宋" w:hAnsi="仿宋" w:eastAsia="仿宋" w:cs="仿宋"/>
                <w:color w:val="auto"/>
                <w:sz w:val="22"/>
                <w:szCs w:val="22"/>
                <w:highlight w:val="none"/>
                <w:u w:val="single"/>
                <w:lang w:val="zh-CN" w:eastAsia="zh-CN" w:bidi="zh-CN"/>
              </w:rPr>
              <w:t>5名（不少于3名但不足5名时，按全部实际数量）</w:t>
            </w:r>
            <w:r>
              <w:rPr>
                <w:rFonts w:hint="eastAsia" w:ascii="仿宋" w:hAnsi="仿宋" w:eastAsia="仿宋" w:cs="仿宋"/>
                <w:color w:val="auto"/>
                <w:sz w:val="22"/>
                <w:szCs w:val="22"/>
                <w:highlight w:val="none"/>
                <w:lang w:val="zh-CN" w:eastAsia="zh-CN" w:bidi="zh-CN"/>
              </w:rPr>
              <w:t>通过详细评审。</w:t>
            </w:r>
          </w:p>
        </w:tc>
      </w:tr>
      <w:tr w14:paraId="52E60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2409" w:type="pct"/>
            <w:gridSpan w:val="9"/>
            <w:vAlign w:val="center"/>
          </w:tcPr>
          <w:p w14:paraId="23091EEF">
            <w:pPr>
              <w:pStyle w:val="10"/>
              <w:jc w:val="center"/>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评分因素与权重分值</w:t>
            </w:r>
          </w:p>
        </w:tc>
        <w:tc>
          <w:tcPr>
            <w:tcW w:w="2590" w:type="pct"/>
            <w:vMerge w:val="restart"/>
            <w:tcBorders>
              <w:bottom w:val="nil"/>
            </w:tcBorders>
            <w:vAlign w:val="center"/>
          </w:tcPr>
          <w:p w14:paraId="2FF486D9">
            <w:pPr>
              <w:pStyle w:val="10"/>
              <w:jc w:val="center"/>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评分标准</w:t>
            </w:r>
          </w:p>
        </w:tc>
      </w:tr>
      <w:tr w14:paraId="5A79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389" w:type="pct"/>
            <w:vAlign w:val="center"/>
          </w:tcPr>
          <w:p w14:paraId="5E7574AC">
            <w:pPr>
              <w:pStyle w:val="10"/>
              <w:jc w:val="center"/>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条款号</w:t>
            </w:r>
          </w:p>
        </w:tc>
        <w:tc>
          <w:tcPr>
            <w:tcW w:w="405" w:type="pct"/>
            <w:gridSpan w:val="4"/>
            <w:vAlign w:val="center"/>
          </w:tcPr>
          <w:p w14:paraId="5B09D45B">
            <w:pPr>
              <w:pStyle w:val="10"/>
              <w:jc w:val="center"/>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评分因素</w:t>
            </w:r>
          </w:p>
        </w:tc>
        <w:tc>
          <w:tcPr>
            <w:tcW w:w="345" w:type="pct"/>
            <w:vAlign w:val="center"/>
          </w:tcPr>
          <w:p w14:paraId="23249A27">
            <w:pPr>
              <w:pStyle w:val="10"/>
              <w:jc w:val="center"/>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权重分值</w:t>
            </w:r>
          </w:p>
        </w:tc>
        <w:tc>
          <w:tcPr>
            <w:tcW w:w="513" w:type="pct"/>
            <w:gridSpan w:val="2"/>
            <w:vAlign w:val="center"/>
          </w:tcPr>
          <w:p w14:paraId="4E3A7DA5">
            <w:pPr>
              <w:pStyle w:val="10"/>
              <w:jc w:val="center"/>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评分因素</w:t>
            </w:r>
            <w:r>
              <w:rPr>
                <w:rFonts w:hint="eastAsia" w:ascii="仿宋" w:hAnsi="仿宋" w:eastAsia="仿宋" w:cs="仿宋"/>
                <w:b/>
                <w:bCs/>
                <w:color w:val="auto"/>
                <w:spacing w:val="2"/>
                <w:position w:val="16"/>
                <w:sz w:val="22"/>
                <w:szCs w:val="22"/>
                <w:highlight w:val="none"/>
                <w:lang w:eastAsia="zh-CN"/>
              </w:rPr>
              <w:t>权重</w:t>
            </w:r>
            <w:r>
              <w:rPr>
                <w:rFonts w:hint="eastAsia" w:ascii="仿宋" w:hAnsi="仿宋" w:eastAsia="仿宋" w:cs="仿宋"/>
                <w:b/>
                <w:bCs/>
                <w:color w:val="auto"/>
                <w:spacing w:val="2"/>
                <w:position w:val="16"/>
                <w:sz w:val="22"/>
                <w:szCs w:val="22"/>
                <w:highlight w:val="none"/>
              </w:rPr>
              <w:t>分项</w:t>
            </w:r>
          </w:p>
        </w:tc>
        <w:tc>
          <w:tcPr>
            <w:tcW w:w="755" w:type="pct"/>
            <w:vAlign w:val="center"/>
          </w:tcPr>
          <w:p w14:paraId="34F2F49D">
            <w:pPr>
              <w:pStyle w:val="10"/>
              <w:jc w:val="center"/>
              <w:rPr>
                <w:rFonts w:hint="eastAsia" w:ascii="仿宋" w:hAnsi="仿宋" w:eastAsia="仿宋" w:cs="仿宋"/>
                <w:b/>
                <w:bCs/>
                <w:color w:val="auto"/>
                <w:spacing w:val="2"/>
                <w:position w:val="16"/>
                <w:sz w:val="22"/>
                <w:szCs w:val="22"/>
                <w:highlight w:val="none"/>
                <w:lang w:eastAsia="zh-CN"/>
              </w:rPr>
            </w:pPr>
            <w:r>
              <w:rPr>
                <w:rFonts w:hint="eastAsia" w:ascii="仿宋" w:hAnsi="仿宋" w:eastAsia="仿宋" w:cs="仿宋"/>
                <w:b/>
                <w:bCs/>
                <w:color w:val="auto"/>
                <w:spacing w:val="2"/>
                <w:position w:val="16"/>
                <w:sz w:val="22"/>
                <w:szCs w:val="22"/>
                <w:highlight w:val="none"/>
                <w:lang w:eastAsia="zh-CN"/>
              </w:rPr>
              <w:t>评分因素细分项</w:t>
            </w:r>
          </w:p>
        </w:tc>
        <w:tc>
          <w:tcPr>
            <w:tcW w:w="2590" w:type="pct"/>
            <w:vMerge w:val="continue"/>
            <w:tcBorders>
              <w:top w:val="nil"/>
            </w:tcBorders>
            <w:vAlign w:val="center"/>
          </w:tcPr>
          <w:p w14:paraId="679F046C">
            <w:pPr>
              <w:pStyle w:val="10"/>
              <w:jc w:val="center"/>
              <w:rPr>
                <w:rFonts w:hint="eastAsia" w:ascii="仿宋" w:hAnsi="仿宋" w:eastAsia="仿宋" w:cs="仿宋"/>
                <w:b/>
                <w:bCs/>
                <w:color w:val="auto"/>
                <w:spacing w:val="2"/>
                <w:position w:val="16"/>
                <w:sz w:val="22"/>
                <w:szCs w:val="22"/>
                <w:highlight w:val="none"/>
              </w:rPr>
            </w:pPr>
          </w:p>
        </w:tc>
      </w:tr>
      <w:tr w14:paraId="3B5A2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389" w:type="pct"/>
            <w:vMerge w:val="restart"/>
            <w:vAlign w:val="center"/>
          </w:tcPr>
          <w:p w14:paraId="05C24569">
            <w:pPr>
              <w:pStyle w:val="10"/>
              <w:spacing w:before="65" w:line="375" w:lineRule="exact"/>
              <w:ind w:left="17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2"/>
                <w:position w:val="16"/>
                <w:sz w:val="22"/>
                <w:szCs w:val="22"/>
                <w:highlight w:val="none"/>
              </w:rPr>
              <w:t>2.2.</w:t>
            </w:r>
            <w:r>
              <w:rPr>
                <w:rFonts w:hint="eastAsia" w:ascii="仿宋" w:hAnsi="仿宋" w:eastAsia="仿宋" w:cs="仿宋"/>
                <w:color w:val="auto"/>
                <w:spacing w:val="2"/>
                <w:position w:val="16"/>
                <w:sz w:val="22"/>
                <w:szCs w:val="22"/>
                <w:highlight w:val="none"/>
                <w:lang w:eastAsia="zh-CN"/>
              </w:rPr>
              <w:t>4</w:t>
            </w:r>
          </w:p>
          <w:p w14:paraId="08ED72C3">
            <w:pPr>
              <w:pStyle w:val="10"/>
              <w:spacing w:line="23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(1)</w:t>
            </w:r>
          </w:p>
        </w:tc>
        <w:tc>
          <w:tcPr>
            <w:tcW w:w="405" w:type="pct"/>
            <w:gridSpan w:val="4"/>
            <w:vMerge w:val="restart"/>
            <w:vAlign w:val="center"/>
          </w:tcPr>
          <w:p w14:paraId="18585D5D">
            <w:pPr>
              <w:widowControl w:val="0"/>
              <w:ind w:right="114"/>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施工组织设计</w:t>
            </w:r>
          </w:p>
        </w:tc>
        <w:tc>
          <w:tcPr>
            <w:tcW w:w="345" w:type="pct"/>
            <w:vMerge w:val="restart"/>
            <w:vAlign w:val="center"/>
          </w:tcPr>
          <w:p w14:paraId="110266F2">
            <w:pPr>
              <w:widowControl w:val="0"/>
              <w:ind w:right="114"/>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en-US" w:eastAsia="zh-CN" w:bidi="zh-CN"/>
              </w:rPr>
              <w:t>15</w:t>
            </w:r>
            <w:r>
              <w:rPr>
                <w:rFonts w:hint="eastAsia" w:ascii="仿宋" w:hAnsi="仿宋" w:eastAsia="仿宋" w:cs="仿宋"/>
                <w:color w:val="auto"/>
                <w:sz w:val="22"/>
                <w:szCs w:val="22"/>
                <w:highlight w:val="none"/>
                <w:lang w:val="zh-CN" w:eastAsia="zh-CN" w:bidi="zh-CN"/>
              </w:rPr>
              <w:t>分</w:t>
            </w:r>
          </w:p>
        </w:tc>
        <w:tc>
          <w:tcPr>
            <w:tcW w:w="513" w:type="pct"/>
            <w:gridSpan w:val="2"/>
            <w:vMerge w:val="restart"/>
            <w:vAlign w:val="center"/>
          </w:tcPr>
          <w:p w14:paraId="24340132">
            <w:pPr>
              <w:widowControl w:val="0"/>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总体实施方案（3分）</w:t>
            </w:r>
          </w:p>
        </w:tc>
        <w:tc>
          <w:tcPr>
            <w:tcW w:w="755" w:type="pct"/>
            <w:vAlign w:val="center"/>
          </w:tcPr>
          <w:p w14:paraId="7A1EA63D">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对总承包项目的总体理解和思路（</w:t>
            </w:r>
            <w:r>
              <w:rPr>
                <w:rFonts w:hint="eastAsia" w:ascii="仿宋" w:hAnsi="仿宋" w:eastAsia="仿宋" w:cs="仿宋"/>
                <w:color w:val="auto"/>
                <w:sz w:val="22"/>
                <w:szCs w:val="22"/>
                <w:highlight w:val="none"/>
                <w:lang w:eastAsia="zh-CN" w:bidi="zh-CN"/>
              </w:rPr>
              <w:t>2分</w:t>
            </w:r>
            <w:r>
              <w:rPr>
                <w:rFonts w:hint="eastAsia" w:ascii="仿宋" w:hAnsi="仿宋" w:eastAsia="仿宋" w:cs="仿宋"/>
                <w:color w:val="auto"/>
                <w:sz w:val="22"/>
                <w:szCs w:val="22"/>
                <w:highlight w:val="none"/>
                <w:lang w:val="zh-CN" w:eastAsia="zh-CN" w:bidi="zh-CN"/>
              </w:rPr>
              <w:t>）</w:t>
            </w:r>
          </w:p>
        </w:tc>
        <w:tc>
          <w:tcPr>
            <w:tcW w:w="2590" w:type="pct"/>
            <w:vAlign w:val="center"/>
          </w:tcPr>
          <w:p w14:paraId="04DC7284">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 xml:space="preserve">（1）对总承包项目的工作范围和任务描述很准确,总体思路很清晰、切实可行程度很高，得 </w:t>
            </w:r>
            <w:r>
              <w:rPr>
                <w:rFonts w:hint="eastAsia" w:ascii="仿宋" w:hAnsi="仿宋" w:eastAsia="仿宋" w:cs="仿宋"/>
                <w:color w:val="auto"/>
                <w:sz w:val="22"/>
                <w:szCs w:val="22"/>
                <w:highlight w:val="none"/>
                <w:lang w:eastAsia="zh-CN" w:bidi="zh-CN"/>
              </w:rPr>
              <w:t>1.6</w:t>
            </w:r>
            <w:r>
              <w:rPr>
                <w:rFonts w:hint="eastAsia" w:ascii="仿宋" w:hAnsi="仿宋" w:eastAsia="仿宋" w:cs="仿宋"/>
                <w:color w:val="auto"/>
                <w:sz w:val="22"/>
                <w:szCs w:val="22"/>
                <w:highlight w:val="none"/>
                <w:lang w:val="zh-CN" w:eastAsia="zh-CN" w:bidi="zh-CN"/>
              </w:rPr>
              <w:t>-</w:t>
            </w:r>
            <w:r>
              <w:rPr>
                <w:rFonts w:hint="eastAsia" w:ascii="仿宋" w:hAnsi="仿宋" w:eastAsia="仿宋" w:cs="仿宋"/>
                <w:color w:val="auto"/>
                <w:sz w:val="22"/>
                <w:szCs w:val="22"/>
                <w:highlight w:val="none"/>
                <w:lang w:eastAsia="zh-CN" w:bidi="zh-CN"/>
              </w:rPr>
              <w:t>2.0</w:t>
            </w:r>
            <w:r>
              <w:rPr>
                <w:rFonts w:hint="eastAsia" w:ascii="仿宋" w:hAnsi="仿宋" w:eastAsia="仿宋" w:cs="仿宋"/>
                <w:color w:val="auto"/>
                <w:sz w:val="22"/>
                <w:szCs w:val="22"/>
                <w:highlight w:val="none"/>
                <w:lang w:val="zh-CN" w:eastAsia="zh-CN" w:bidi="zh-CN"/>
              </w:rPr>
              <w:t xml:space="preserve"> 分（满分分值的80%~100%）；</w:t>
            </w:r>
          </w:p>
          <w:p w14:paraId="1821EB47">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（2）对总承包项目的工作范围和任务描述较为准确,总体思路较为清晰，基本可行，得 1.</w:t>
            </w:r>
            <w:r>
              <w:rPr>
                <w:rFonts w:hint="eastAsia" w:ascii="仿宋" w:hAnsi="仿宋" w:eastAsia="仿宋" w:cs="仿宋"/>
                <w:color w:val="auto"/>
                <w:sz w:val="22"/>
                <w:szCs w:val="22"/>
                <w:highlight w:val="none"/>
                <w:lang w:eastAsia="zh-CN" w:bidi="zh-CN"/>
              </w:rPr>
              <w:t>2</w:t>
            </w:r>
            <w:r>
              <w:rPr>
                <w:rFonts w:hint="eastAsia" w:ascii="仿宋" w:hAnsi="仿宋" w:eastAsia="仿宋" w:cs="仿宋"/>
                <w:color w:val="auto"/>
                <w:sz w:val="22"/>
                <w:szCs w:val="22"/>
                <w:highlight w:val="none"/>
                <w:lang w:val="zh-CN" w:eastAsia="zh-CN" w:bidi="zh-CN"/>
              </w:rPr>
              <w:t>-</w:t>
            </w:r>
            <w:r>
              <w:rPr>
                <w:rFonts w:hint="eastAsia" w:ascii="仿宋" w:hAnsi="仿宋" w:eastAsia="仿宋" w:cs="仿宋"/>
                <w:color w:val="auto"/>
                <w:sz w:val="22"/>
                <w:szCs w:val="22"/>
                <w:highlight w:val="none"/>
                <w:lang w:eastAsia="zh-CN" w:bidi="zh-CN"/>
              </w:rPr>
              <w:t>1.6</w:t>
            </w:r>
            <w:r>
              <w:rPr>
                <w:rFonts w:hint="eastAsia" w:ascii="仿宋" w:hAnsi="仿宋" w:eastAsia="仿宋" w:cs="仿宋"/>
                <w:color w:val="auto"/>
                <w:sz w:val="22"/>
                <w:szCs w:val="22"/>
                <w:highlight w:val="none"/>
                <w:lang w:val="zh-CN" w:eastAsia="zh-CN" w:bidi="zh-CN"/>
              </w:rPr>
              <w:t xml:space="preserve"> 分（满分分值的60%~80%）；</w:t>
            </w:r>
          </w:p>
          <w:p w14:paraId="684BB48B">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（3）一般但不被评定为不响应的, 起评分 1.</w:t>
            </w:r>
            <w:r>
              <w:rPr>
                <w:rFonts w:hint="eastAsia" w:ascii="仿宋" w:hAnsi="仿宋" w:eastAsia="仿宋" w:cs="仿宋"/>
                <w:color w:val="auto"/>
                <w:sz w:val="22"/>
                <w:szCs w:val="22"/>
                <w:highlight w:val="none"/>
                <w:lang w:eastAsia="zh-CN" w:bidi="zh-CN"/>
              </w:rPr>
              <w:t>2</w:t>
            </w:r>
            <w:r>
              <w:rPr>
                <w:rFonts w:hint="eastAsia" w:ascii="仿宋" w:hAnsi="仿宋" w:eastAsia="仿宋" w:cs="仿宋"/>
                <w:color w:val="auto"/>
                <w:sz w:val="22"/>
                <w:szCs w:val="22"/>
                <w:highlight w:val="none"/>
                <w:lang w:val="zh-CN" w:eastAsia="zh-CN" w:bidi="zh-CN"/>
              </w:rPr>
              <w:t xml:space="preserve"> 分（满分分值的60%）。</w:t>
            </w:r>
          </w:p>
        </w:tc>
      </w:tr>
      <w:tr w14:paraId="6834A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jc w:val="center"/>
        </w:trPr>
        <w:tc>
          <w:tcPr>
            <w:tcW w:w="389" w:type="pct"/>
            <w:vMerge w:val="continue"/>
            <w:vAlign w:val="center"/>
          </w:tcPr>
          <w:p w14:paraId="0CFF1691">
            <w:pPr>
              <w:widowControl w:val="0"/>
              <w:spacing w:line="321" w:lineRule="auto"/>
              <w:ind w:right="182"/>
              <w:jc w:val="center"/>
              <w:rPr>
                <w:rFonts w:hint="eastAsia" w:ascii="仿宋" w:hAnsi="仿宋" w:eastAsia="仿宋" w:cs="仿宋"/>
                <w:color w:val="auto"/>
                <w:sz w:val="22"/>
                <w:szCs w:val="22"/>
                <w:highlight w:val="none"/>
                <w:lang w:eastAsia="zh-CN"/>
              </w:rPr>
            </w:pPr>
          </w:p>
        </w:tc>
        <w:tc>
          <w:tcPr>
            <w:tcW w:w="405" w:type="pct"/>
            <w:gridSpan w:val="4"/>
            <w:vMerge w:val="continue"/>
            <w:vAlign w:val="center"/>
          </w:tcPr>
          <w:p w14:paraId="31117E49">
            <w:pPr>
              <w:widowControl w:val="0"/>
              <w:spacing w:line="321" w:lineRule="auto"/>
              <w:ind w:right="182"/>
              <w:jc w:val="center"/>
              <w:rPr>
                <w:rFonts w:hint="eastAsia" w:ascii="仿宋" w:hAnsi="仿宋" w:eastAsia="仿宋" w:cs="仿宋"/>
                <w:color w:val="auto"/>
                <w:sz w:val="22"/>
                <w:szCs w:val="22"/>
                <w:highlight w:val="none"/>
                <w:lang w:eastAsia="zh-CN"/>
              </w:rPr>
            </w:pPr>
          </w:p>
        </w:tc>
        <w:tc>
          <w:tcPr>
            <w:tcW w:w="345" w:type="pct"/>
            <w:vMerge w:val="continue"/>
            <w:vAlign w:val="center"/>
          </w:tcPr>
          <w:p w14:paraId="0726868C">
            <w:pPr>
              <w:widowControl w:val="0"/>
              <w:spacing w:line="321" w:lineRule="auto"/>
              <w:ind w:right="182"/>
              <w:jc w:val="center"/>
              <w:rPr>
                <w:rFonts w:hint="eastAsia" w:ascii="仿宋" w:hAnsi="仿宋" w:eastAsia="仿宋" w:cs="仿宋"/>
                <w:color w:val="auto"/>
                <w:sz w:val="22"/>
                <w:szCs w:val="22"/>
                <w:highlight w:val="none"/>
                <w:lang w:eastAsia="zh-CN"/>
              </w:rPr>
            </w:pPr>
          </w:p>
        </w:tc>
        <w:tc>
          <w:tcPr>
            <w:tcW w:w="513" w:type="pct"/>
            <w:gridSpan w:val="2"/>
            <w:vMerge w:val="continue"/>
            <w:vAlign w:val="center"/>
          </w:tcPr>
          <w:p w14:paraId="6C045C08">
            <w:pPr>
              <w:widowControl w:val="0"/>
              <w:spacing w:line="321" w:lineRule="auto"/>
              <w:ind w:right="182"/>
              <w:jc w:val="center"/>
              <w:rPr>
                <w:rFonts w:hint="eastAsia" w:ascii="仿宋" w:hAnsi="仿宋" w:eastAsia="仿宋" w:cs="仿宋"/>
                <w:color w:val="auto"/>
                <w:sz w:val="22"/>
                <w:szCs w:val="22"/>
                <w:highlight w:val="none"/>
                <w:lang w:eastAsia="zh-CN"/>
              </w:rPr>
            </w:pPr>
          </w:p>
        </w:tc>
        <w:tc>
          <w:tcPr>
            <w:tcW w:w="755" w:type="pct"/>
            <w:vAlign w:val="center"/>
          </w:tcPr>
          <w:p w14:paraId="7E4BA16E">
            <w:pPr>
              <w:widowControl w:val="0"/>
              <w:spacing w:line="360" w:lineRule="auto"/>
              <w:ind w:right="114"/>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项目管理</w:t>
            </w:r>
          </w:p>
          <w:p w14:paraId="367CE2FC">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方案（</w:t>
            </w:r>
            <w:r>
              <w:rPr>
                <w:rFonts w:hint="eastAsia" w:ascii="仿宋" w:hAnsi="仿宋" w:eastAsia="仿宋" w:cs="仿宋"/>
                <w:color w:val="auto"/>
                <w:sz w:val="22"/>
                <w:szCs w:val="22"/>
                <w:highlight w:val="none"/>
                <w:lang w:eastAsia="zh-CN" w:bidi="zh-CN"/>
              </w:rPr>
              <w:t>1分</w:t>
            </w:r>
            <w:r>
              <w:rPr>
                <w:rFonts w:hint="eastAsia" w:ascii="仿宋" w:hAnsi="仿宋" w:eastAsia="仿宋" w:cs="仿宋"/>
                <w:color w:val="auto"/>
                <w:sz w:val="22"/>
                <w:szCs w:val="22"/>
                <w:highlight w:val="none"/>
                <w:lang w:val="zh-CN" w:eastAsia="zh-CN" w:bidi="zh-CN"/>
              </w:rPr>
              <w:t>）</w:t>
            </w:r>
          </w:p>
        </w:tc>
        <w:tc>
          <w:tcPr>
            <w:tcW w:w="2590" w:type="pct"/>
            <w:vAlign w:val="center"/>
          </w:tcPr>
          <w:p w14:paraId="701CB848">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 xml:space="preserve">（1）对总承包项目的管理体系、保证措施及对项目的重点、难点分析的合理性、可实施性和分析描述很准确，得 </w:t>
            </w:r>
            <w:r>
              <w:rPr>
                <w:rFonts w:hint="eastAsia" w:ascii="仿宋" w:hAnsi="仿宋" w:eastAsia="仿宋" w:cs="仿宋"/>
                <w:color w:val="auto"/>
                <w:sz w:val="22"/>
                <w:szCs w:val="22"/>
                <w:highlight w:val="none"/>
                <w:lang w:eastAsia="zh-CN" w:bidi="zh-CN"/>
              </w:rPr>
              <w:t>0.8-1.0</w:t>
            </w:r>
            <w:r>
              <w:rPr>
                <w:rFonts w:hint="eastAsia" w:ascii="仿宋" w:hAnsi="仿宋" w:eastAsia="仿宋" w:cs="仿宋"/>
                <w:color w:val="auto"/>
                <w:sz w:val="22"/>
                <w:szCs w:val="22"/>
                <w:highlight w:val="none"/>
                <w:lang w:val="zh-CN" w:eastAsia="zh-CN" w:bidi="zh-CN"/>
              </w:rPr>
              <w:t>分（满分分值的80%~100%）；</w:t>
            </w:r>
          </w:p>
          <w:p w14:paraId="18D6A116">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（2）对总承包项目的管理体系、保证措施及对项目的重点、难点分析的合理性、可实施性和分析描述较为准确，得</w:t>
            </w:r>
            <w:r>
              <w:rPr>
                <w:rFonts w:hint="eastAsia" w:ascii="仿宋" w:hAnsi="仿宋" w:eastAsia="仿宋" w:cs="仿宋"/>
                <w:color w:val="auto"/>
                <w:sz w:val="22"/>
                <w:szCs w:val="22"/>
                <w:highlight w:val="none"/>
                <w:lang w:eastAsia="zh-CN" w:bidi="zh-CN"/>
              </w:rPr>
              <w:t>0.6</w:t>
            </w:r>
            <w:r>
              <w:rPr>
                <w:rFonts w:hint="eastAsia" w:ascii="仿宋" w:hAnsi="仿宋" w:eastAsia="仿宋" w:cs="仿宋"/>
                <w:color w:val="auto"/>
                <w:sz w:val="22"/>
                <w:szCs w:val="22"/>
                <w:highlight w:val="none"/>
                <w:lang w:val="zh-CN" w:eastAsia="zh-CN" w:bidi="zh-CN"/>
              </w:rPr>
              <w:t>-</w:t>
            </w:r>
            <w:r>
              <w:rPr>
                <w:rFonts w:hint="eastAsia" w:ascii="仿宋" w:hAnsi="仿宋" w:eastAsia="仿宋" w:cs="仿宋"/>
                <w:color w:val="auto"/>
                <w:sz w:val="22"/>
                <w:szCs w:val="22"/>
                <w:highlight w:val="none"/>
                <w:lang w:eastAsia="zh-CN" w:bidi="zh-CN"/>
              </w:rPr>
              <w:t>0.8</w:t>
            </w:r>
            <w:r>
              <w:rPr>
                <w:rFonts w:hint="eastAsia" w:ascii="仿宋" w:hAnsi="仿宋" w:eastAsia="仿宋" w:cs="仿宋"/>
                <w:color w:val="auto"/>
                <w:sz w:val="22"/>
                <w:szCs w:val="22"/>
                <w:highlight w:val="none"/>
                <w:lang w:val="zh-CN" w:eastAsia="zh-CN" w:bidi="zh-CN"/>
              </w:rPr>
              <w:t>分（满分分值的60%~80%）；</w:t>
            </w:r>
          </w:p>
          <w:p w14:paraId="7CEE9770">
            <w:pPr>
              <w:widowControl w:val="0"/>
              <w:spacing w:line="360" w:lineRule="auto"/>
              <w:ind w:right="114"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（3）一般但不被评定为不响应的, 起评分</w:t>
            </w:r>
            <w:r>
              <w:rPr>
                <w:rFonts w:hint="eastAsia" w:ascii="仿宋" w:hAnsi="仿宋" w:eastAsia="仿宋" w:cs="仿宋"/>
                <w:color w:val="auto"/>
                <w:sz w:val="22"/>
                <w:szCs w:val="22"/>
                <w:highlight w:val="none"/>
                <w:lang w:eastAsia="zh-CN" w:bidi="zh-CN"/>
              </w:rPr>
              <w:t>0.6</w:t>
            </w:r>
            <w:r>
              <w:rPr>
                <w:rFonts w:hint="eastAsia" w:ascii="仿宋" w:hAnsi="仿宋" w:eastAsia="仿宋" w:cs="仿宋"/>
                <w:color w:val="auto"/>
                <w:sz w:val="22"/>
                <w:szCs w:val="22"/>
                <w:highlight w:val="none"/>
                <w:lang w:val="zh-CN" w:eastAsia="zh-CN" w:bidi="zh-CN"/>
              </w:rPr>
              <w:t>分（满分分值的60%）。</w:t>
            </w:r>
          </w:p>
        </w:tc>
      </w:tr>
      <w:tr w14:paraId="432F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389" w:type="pct"/>
            <w:vMerge w:val="continue"/>
            <w:tcBorders>
              <w:top w:val="nil"/>
              <w:bottom w:val="nil"/>
            </w:tcBorders>
          </w:tcPr>
          <w:p w14:paraId="4785C7E2">
            <w:pPr>
              <w:rPr>
                <w:rFonts w:hint="eastAsia" w:ascii="仿宋" w:hAnsi="仿宋" w:eastAsia="仿宋" w:cs="仿宋"/>
                <w:color w:val="auto"/>
                <w:sz w:val="22"/>
                <w:szCs w:val="22"/>
                <w:highlight w:val="none"/>
                <w:lang w:eastAsia="zh-CN"/>
              </w:rPr>
            </w:pPr>
          </w:p>
        </w:tc>
        <w:tc>
          <w:tcPr>
            <w:tcW w:w="405" w:type="pct"/>
            <w:gridSpan w:val="4"/>
            <w:vMerge w:val="continue"/>
            <w:tcBorders>
              <w:top w:val="nil"/>
              <w:bottom w:val="nil"/>
            </w:tcBorders>
          </w:tcPr>
          <w:p w14:paraId="7251F2AE">
            <w:pPr>
              <w:rPr>
                <w:rFonts w:hint="eastAsia" w:ascii="仿宋" w:hAnsi="仿宋" w:eastAsia="仿宋" w:cs="仿宋"/>
                <w:color w:val="auto"/>
                <w:sz w:val="22"/>
                <w:szCs w:val="22"/>
                <w:highlight w:val="none"/>
                <w:lang w:eastAsia="zh-CN"/>
              </w:rPr>
            </w:pPr>
          </w:p>
        </w:tc>
        <w:tc>
          <w:tcPr>
            <w:tcW w:w="345" w:type="pct"/>
            <w:vMerge w:val="continue"/>
            <w:tcBorders>
              <w:top w:val="nil"/>
              <w:bottom w:val="nil"/>
            </w:tcBorders>
          </w:tcPr>
          <w:p w14:paraId="4CD7E549">
            <w:pPr>
              <w:rPr>
                <w:rFonts w:hint="eastAsia" w:ascii="仿宋" w:hAnsi="仿宋" w:eastAsia="仿宋" w:cs="仿宋"/>
                <w:color w:val="auto"/>
                <w:sz w:val="22"/>
                <w:szCs w:val="22"/>
                <w:highlight w:val="none"/>
                <w:lang w:eastAsia="zh-CN"/>
              </w:rPr>
            </w:pPr>
          </w:p>
        </w:tc>
        <w:tc>
          <w:tcPr>
            <w:tcW w:w="513" w:type="pct"/>
            <w:gridSpan w:val="2"/>
            <w:vMerge w:val="restart"/>
            <w:vAlign w:val="center"/>
          </w:tcPr>
          <w:p w14:paraId="118406E7">
            <w:pPr>
              <w:widowControl w:val="0"/>
              <w:spacing w:line="321" w:lineRule="auto"/>
              <w:ind w:left="123" w:right="42"/>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设计方案（9 分）</w:t>
            </w:r>
          </w:p>
        </w:tc>
        <w:tc>
          <w:tcPr>
            <w:tcW w:w="755" w:type="pct"/>
            <w:vAlign w:val="center"/>
          </w:tcPr>
          <w:p w14:paraId="1109762E">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对招标项目设计的理解和总体设计思路（</w:t>
            </w:r>
            <w:r>
              <w:rPr>
                <w:rFonts w:hint="eastAsia" w:ascii="仿宋" w:hAnsi="仿宋" w:eastAsia="仿宋" w:cs="仿宋"/>
                <w:color w:val="auto"/>
                <w:sz w:val="22"/>
                <w:szCs w:val="22"/>
                <w:highlight w:val="none"/>
                <w:lang w:eastAsia="zh-CN" w:bidi="zh-CN"/>
              </w:rPr>
              <w:t>2分</w:t>
            </w:r>
            <w:r>
              <w:rPr>
                <w:rFonts w:hint="eastAsia" w:ascii="仿宋" w:hAnsi="仿宋" w:eastAsia="仿宋" w:cs="仿宋"/>
                <w:color w:val="auto"/>
                <w:sz w:val="22"/>
                <w:szCs w:val="22"/>
                <w:highlight w:val="none"/>
                <w:lang w:val="zh-CN" w:eastAsia="zh-CN" w:bidi="zh-CN"/>
              </w:rPr>
              <w:t>）</w:t>
            </w:r>
          </w:p>
        </w:tc>
        <w:tc>
          <w:tcPr>
            <w:tcW w:w="2590" w:type="pct"/>
            <w:shd w:val="clear" w:color="auto" w:fill="auto"/>
            <w:vAlign w:val="center"/>
          </w:tcPr>
          <w:p w14:paraId="33078745">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（1）对设计工作范围和任务描述准确程度和总体设计思路很清晰、切实可行程度很高，得</w:t>
            </w:r>
            <w:r>
              <w:rPr>
                <w:rFonts w:hint="eastAsia" w:ascii="仿宋" w:hAnsi="仿宋" w:eastAsia="仿宋" w:cs="仿宋"/>
                <w:color w:val="auto"/>
                <w:sz w:val="22"/>
                <w:szCs w:val="22"/>
                <w:highlight w:val="none"/>
                <w:lang w:eastAsia="zh-CN" w:bidi="zh-CN"/>
              </w:rPr>
              <w:t>1.6-2.0</w:t>
            </w:r>
            <w:r>
              <w:rPr>
                <w:rFonts w:hint="eastAsia" w:ascii="仿宋" w:hAnsi="仿宋" w:eastAsia="仿宋" w:cs="仿宋"/>
                <w:color w:val="auto"/>
                <w:sz w:val="22"/>
                <w:szCs w:val="22"/>
                <w:highlight w:val="none"/>
                <w:lang w:val="zh-CN" w:eastAsia="zh-CN" w:bidi="zh-CN"/>
              </w:rPr>
              <w:t>分（满分分值的80%~100%）；</w:t>
            </w:r>
          </w:p>
          <w:p w14:paraId="42DD43A0">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（2）对设计工作范围和任务描述准确程度和总体设计思路较为清晰、基本可行，得</w:t>
            </w:r>
            <w:r>
              <w:rPr>
                <w:rFonts w:hint="eastAsia" w:ascii="仿宋" w:hAnsi="仿宋" w:eastAsia="仿宋" w:cs="仿宋"/>
                <w:color w:val="auto"/>
                <w:sz w:val="22"/>
                <w:szCs w:val="22"/>
                <w:highlight w:val="none"/>
                <w:lang w:eastAsia="zh-CN" w:bidi="zh-CN"/>
              </w:rPr>
              <w:t>1.2-1.6</w:t>
            </w:r>
            <w:r>
              <w:rPr>
                <w:rFonts w:hint="eastAsia" w:ascii="仿宋" w:hAnsi="仿宋" w:eastAsia="仿宋" w:cs="仿宋"/>
                <w:color w:val="auto"/>
                <w:sz w:val="22"/>
                <w:szCs w:val="22"/>
                <w:highlight w:val="none"/>
                <w:lang w:val="zh-CN" w:eastAsia="zh-CN" w:bidi="zh-CN"/>
              </w:rPr>
              <w:t>分（满分分值的60%~80%）；</w:t>
            </w:r>
          </w:p>
          <w:p w14:paraId="3D7817A2">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（3）一般但不被评定为不响应的, 起评分</w:t>
            </w:r>
            <w:r>
              <w:rPr>
                <w:rFonts w:hint="eastAsia" w:ascii="仿宋" w:hAnsi="仿宋" w:eastAsia="仿宋" w:cs="仿宋"/>
                <w:color w:val="auto"/>
                <w:sz w:val="22"/>
                <w:szCs w:val="22"/>
                <w:highlight w:val="none"/>
                <w:lang w:eastAsia="zh-CN" w:bidi="zh-CN"/>
              </w:rPr>
              <w:t>1.2</w:t>
            </w:r>
            <w:r>
              <w:rPr>
                <w:rFonts w:hint="eastAsia" w:ascii="仿宋" w:hAnsi="仿宋" w:eastAsia="仿宋" w:cs="仿宋"/>
                <w:color w:val="auto"/>
                <w:sz w:val="22"/>
                <w:szCs w:val="22"/>
                <w:highlight w:val="none"/>
                <w:lang w:val="zh-CN" w:eastAsia="zh-CN" w:bidi="zh-CN"/>
              </w:rPr>
              <w:t>分（满分分值的60%）。</w:t>
            </w:r>
          </w:p>
        </w:tc>
      </w:tr>
      <w:tr w14:paraId="27306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389" w:type="pct"/>
            <w:vMerge w:val="continue"/>
            <w:tcBorders>
              <w:top w:val="nil"/>
              <w:bottom w:val="nil"/>
            </w:tcBorders>
          </w:tcPr>
          <w:p w14:paraId="0F38EC05">
            <w:pPr>
              <w:rPr>
                <w:rFonts w:hint="eastAsia" w:ascii="仿宋" w:hAnsi="仿宋" w:eastAsia="仿宋" w:cs="仿宋"/>
                <w:color w:val="auto"/>
                <w:sz w:val="22"/>
                <w:szCs w:val="22"/>
                <w:highlight w:val="none"/>
                <w:lang w:eastAsia="zh-CN"/>
              </w:rPr>
            </w:pPr>
          </w:p>
        </w:tc>
        <w:tc>
          <w:tcPr>
            <w:tcW w:w="405" w:type="pct"/>
            <w:gridSpan w:val="4"/>
            <w:vMerge w:val="continue"/>
            <w:tcBorders>
              <w:top w:val="nil"/>
              <w:bottom w:val="nil"/>
            </w:tcBorders>
          </w:tcPr>
          <w:p w14:paraId="15C3361D">
            <w:pPr>
              <w:rPr>
                <w:rFonts w:hint="eastAsia" w:ascii="仿宋" w:hAnsi="仿宋" w:eastAsia="仿宋" w:cs="仿宋"/>
                <w:color w:val="auto"/>
                <w:sz w:val="22"/>
                <w:szCs w:val="22"/>
                <w:highlight w:val="none"/>
                <w:lang w:eastAsia="zh-CN"/>
              </w:rPr>
            </w:pPr>
          </w:p>
        </w:tc>
        <w:tc>
          <w:tcPr>
            <w:tcW w:w="345" w:type="pct"/>
            <w:vMerge w:val="continue"/>
            <w:tcBorders>
              <w:top w:val="nil"/>
              <w:bottom w:val="nil"/>
            </w:tcBorders>
          </w:tcPr>
          <w:p w14:paraId="7CFFB625">
            <w:pPr>
              <w:rPr>
                <w:rFonts w:hint="eastAsia" w:ascii="仿宋" w:hAnsi="仿宋" w:eastAsia="仿宋" w:cs="仿宋"/>
                <w:color w:val="auto"/>
                <w:sz w:val="22"/>
                <w:szCs w:val="22"/>
                <w:highlight w:val="none"/>
                <w:lang w:eastAsia="zh-CN"/>
              </w:rPr>
            </w:pPr>
          </w:p>
        </w:tc>
        <w:tc>
          <w:tcPr>
            <w:tcW w:w="513" w:type="pct"/>
            <w:gridSpan w:val="2"/>
            <w:vMerge w:val="continue"/>
            <w:vAlign w:val="center"/>
          </w:tcPr>
          <w:p w14:paraId="78FBB1CF">
            <w:pPr>
              <w:widowControl w:val="0"/>
              <w:spacing w:line="321" w:lineRule="auto"/>
              <w:ind w:left="123" w:right="42"/>
              <w:jc w:val="center"/>
              <w:rPr>
                <w:rFonts w:hint="eastAsia" w:ascii="仿宋" w:hAnsi="仿宋" w:eastAsia="仿宋" w:cs="仿宋"/>
                <w:color w:val="auto"/>
                <w:sz w:val="22"/>
                <w:szCs w:val="22"/>
                <w:highlight w:val="none"/>
                <w:lang w:eastAsia="zh-CN"/>
              </w:rPr>
            </w:pPr>
          </w:p>
        </w:tc>
        <w:tc>
          <w:tcPr>
            <w:tcW w:w="755" w:type="pct"/>
            <w:vAlign w:val="center"/>
          </w:tcPr>
          <w:p w14:paraId="6AE14284">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招标项目设计的特点、关键技术问题的认识及其对策措施（</w:t>
            </w:r>
            <w:r>
              <w:rPr>
                <w:rFonts w:hint="eastAsia" w:ascii="仿宋" w:hAnsi="仿宋" w:eastAsia="仿宋" w:cs="仿宋"/>
                <w:color w:val="auto"/>
                <w:sz w:val="22"/>
                <w:szCs w:val="22"/>
                <w:highlight w:val="none"/>
                <w:lang w:eastAsia="zh-CN" w:bidi="zh-CN"/>
              </w:rPr>
              <w:t>3分</w:t>
            </w:r>
            <w:r>
              <w:rPr>
                <w:rFonts w:hint="eastAsia" w:ascii="仿宋" w:hAnsi="仿宋" w:eastAsia="仿宋" w:cs="仿宋"/>
                <w:color w:val="auto"/>
                <w:sz w:val="22"/>
                <w:szCs w:val="22"/>
                <w:highlight w:val="none"/>
                <w:lang w:val="zh-CN" w:eastAsia="zh-CN" w:bidi="zh-CN"/>
              </w:rPr>
              <w:t>）</w:t>
            </w:r>
          </w:p>
        </w:tc>
        <w:tc>
          <w:tcPr>
            <w:tcW w:w="2590" w:type="pct"/>
            <w:shd w:val="clear" w:color="auto" w:fill="auto"/>
            <w:vAlign w:val="center"/>
          </w:tcPr>
          <w:p w14:paraId="5EC1A695">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（1）对项目特点、关键技术问题的把握程度和初步设计、施工图设计应着重解决的技术问题所提出处理措施的可行性程度很高，得2.4-3</w:t>
            </w:r>
            <w:r>
              <w:rPr>
                <w:rFonts w:hint="eastAsia" w:ascii="仿宋" w:hAnsi="仿宋" w:eastAsia="仿宋" w:cs="仿宋"/>
                <w:color w:val="auto"/>
                <w:sz w:val="22"/>
                <w:szCs w:val="22"/>
                <w:highlight w:val="none"/>
                <w:lang w:eastAsia="zh-CN" w:bidi="zh-CN"/>
              </w:rPr>
              <w:t>.0</w:t>
            </w:r>
            <w:r>
              <w:rPr>
                <w:rFonts w:hint="eastAsia" w:ascii="仿宋" w:hAnsi="仿宋" w:eastAsia="仿宋" w:cs="仿宋"/>
                <w:color w:val="auto"/>
                <w:sz w:val="22"/>
                <w:szCs w:val="22"/>
                <w:highlight w:val="none"/>
                <w:lang w:val="zh-CN" w:eastAsia="zh-CN" w:bidi="zh-CN"/>
              </w:rPr>
              <w:t>分（满分分值的80%~100%）；</w:t>
            </w:r>
          </w:p>
          <w:p w14:paraId="462079DF">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（2）对项目特点、关键技术问题的把握程度和初步设计、施工图设计应着重解决的技术问题所提出处理措施的可行性程度较高，得1.8-2.4分（满分分值的60%~80%）；</w:t>
            </w:r>
          </w:p>
          <w:p w14:paraId="66F02E62">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（3）一般但不被评定为不响应的, 起评分1.8分（满分分值的60%）。</w:t>
            </w:r>
          </w:p>
        </w:tc>
      </w:tr>
      <w:tr w14:paraId="788E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389" w:type="pct"/>
            <w:vMerge w:val="continue"/>
            <w:tcBorders>
              <w:top w:val="nil"/>
              <w:bottom w:val="nil"/>
            </w:tcBorders>
          </w:tcPr>
          <w:p w14:paraId="06B8A1C5">
            <w:pPr>
              <w:rPr>
                <w:rFonts w:hint="eastAsia" w:ascii="仿宋" w:hAnsi="仿宋" w:eastAsia="仿宋" w:cs="仿宋"/>
                <w:color w:val="auto"/>
                <w:sz w:val="22"/>
                <w:szCs w:val="22"/>
                <w:highlight w:val="none"/>
                <w:lang w:eastAsia="zh-CN"/>
              </w:rPr>
            </w:pPr>
          </w:p>
        </w:tc>
        <w:tc>
          <w:tcPr>
            <w:tcW w:w="405" w:type="pct"/>
            <w:gridSpan w:val="4"/>
            <w:vMerge w:val="continue"/>
            <w:tcBorders>
              <w:top w:val="nil"/>
              <w:bottom w:val="nil"/>
            </w:tcBorders>
          </w:tcPr>
          <w:p w14:paraId="7422BDD5">
            <w:pPr>
              <w:rPr>
                <w:rFonts w:hint="eastAsia" w:ascii="仿宋" w:hAnsi="仿宋" w:eastAsia="仿宋" w:cs="仿宋"/>
                <w:color w:val="auto"/>
                <w:sz w:val="22"/>
                <w:szCs w:val="22"/>
                <w:highlight w:val="none"/>
                <w:lang w:eastAsia="zh-CN"/>
              </w:rPr>
            </w:pPr>
          </w:p>
        </w:tc>
        <w:tc>
          <w:tcPr>
            <w:tcW w:w="345" w:type="pct"/>
            <w:vMerge w:val="continue"/>
            <w:tcBorders>
              <w:top w:val="nil"/>
              <w:bottom w:val="nil"/>
            </w:tcBorders>
          </w:tcPr>
          <w:p w14:paraId="73D98837">
            <w:pPr>
              <w:rPr>
                <w:rFonts w:hint="eastAsia" w:ascii="仿宋" w:hAnsi="仿宋" w:eastAsia="仿宋" w:cs="仿宋"/>
                <w:color w:val="auto"/>
                <w:sz w:val="22"/>
                <w:szCs w:val="22"/>
                <w:highlight w:val="none"/>
                <w:lang w:eastAsia="zh-CN"/>
              </w:rPr>
            </w:pPr>
          </w:p>
        </w:tc>
        <w:tc>
          <w:tcPr>
            <w:tcW w:w="513" w:type="pct"/>
            <w:gridSpan w:val="2"/>
            <w:vMerge w:val="continue"/>
            <w:vAlign w:val="center"/>
          </w:tcPr>
          <w:p w14:paraId="7B4B9F49">
            <w:pPr>
              <w:widowControl w:val="0"/>
              <w:spacing w:line="321" w:lineRule="auto"/>
              <w:ind w:left="123" w:right="42"/>
              <w:jc w:val="center"/>
              <w:rPr>
                <w:rFonts w:hint="eastAsia" w:ascii="仿宋" w:hAnsi="仿宋" w:eastAsia="仿宋" w:cs="仿宋"/>
                <w:color w:val="auto"/>
                <w:sz w:val="22"/>
                <w:szCs w:val="22"/>
                <w:highlight w:val="none"/>
                <w:lang w:eastAsia="zh-CN"/>
              </w:rPr>
            </w:pPr>
          </w:p>
        </w:tc>
        <w:tc>
          <w:tcPr>
            <w:tcW w:w="755" w:type="pct"/>
            <w:vAlign w:val="center"/>
          </w:tcPr>
          <w:p w14:paraId="1F2AB6B9">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设计工作量及计划安排（</w:t>
            </w:r>
            <w:r>
              <w:rPr>
                <w:rFonts w:hint="eastAsia" w:ascii="仿宋" w:hAnsi="仿宋" w:eastAsia="仿宋" w:cs="仿宋"/>
                <w:color w:val="auto"/>
                <w:sz w:val="22"/>
                <w:szCs w:val="22"/>
                <w:highlight w:val="none"/>
                <w:lang w:eastAsia="zh-CN" w:bidi="zh-CN"/>
              </w:rPr>
              <w:t>1分</w:t>
            </w:r>
            <w:r>
              <w:rPr>
                <w:rFonts w:hint="eastAsia" w:ascii="仿宋" w:hAnsi="仿宋" w:eastAsia="仿宋" w:cs="仿宋"/>
                <w:color w:val="auto"/>
                <w:sz w:val="22"/>
                <w:szCs w:val="22"/>
                <w:highlight w:val="none"/>
                <w:lang w:val="zh-CN" w:eastAsia="zh-CN" w:bidi="zh-CN"/>
              </w:rPr>
              <w:t>）</w:t>
            </w:r>
          </w:p>
        </w:tc>
        <w:tc>
          <w:tcPr>
            <w:tcW w:w="2590" w:type="pct"/>
            <w:shd w:val="clear" w:color="auto" w:fill="auto"/>
            <w:vAlign w:val="center"/>
          </w:tcPr>
          <w:p w14:paraId="44B08CC8">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（1）工作计划实施、安排的合理性很高，得0.8-1</w:t>
            </w:r>
            <w:r>
              <w:rPr>
                <w:rFonts w:hint="eastAsia" w:ascii="仿宋" w:hAnsi="仿宋" w:eastAsia="仿宋" w:cs="仿宋"/>
                <w:color w:val="auto"/>
                <w:sz w:val="22"/>
                <w:szCs w:val="22"/>
                <w:highlight w:val="none"/>
                <w:lang w:eastAsia="zh-CN" w:bidi="zh-CN"/>
              </w:rPr>
              <w:t>.0</w:t>
            </w:r>
            <w:r>
              <w:rPr>
                <w:rFonts w:hint="eastAsia" w:ascii="仿宋" w:hAnsi="仿宋" w:eastAsia="仿宋" w:cs="仿宋"/>
                <w:color w:val="auto"/>
                <w:sz w:val="22"/>
                <w:szCs w:val="22"/>
                <w:highlight w:val="none"/>
                <w:lang w:val="zh-CN" w:eastAsia="zh-CN" w:bidi="zh-CN"/>
              </w:rPr>
              <w:t>分（满分分值的80%~100%）；</w:t>
            </w:r>
          </w:p>
          <w:p w14:paraId="4415A9A0">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（2）工作计划实施、安排的合理性较高，得0.6-0.8分（满分分值的60%~80%）；</w:t>
            </w:r>
          </w:p>
          <w:p w14:paraId="0E193838">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（3）一般但不被评定为不响应的, 起评分0.6分（满分分值的60%）。</w:t>
            </w:r>
          </w:p>
        </w:tc>
      </w:tr>
      <w:tr w14:paraId="3CCA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389" w:type="pct"/>
            <w:vMerge w:val="continue"/>
            <w:tcBorders>
              <w:top w:val="nil"/>
              <w:bottom w:val="nil"/>
            </w:tcBorders>
          </w:tcPr>
          <w:p w14:paraId="0B397EE8">
            <w:pPr>
              <w:rPr>
                <w:rFonts w:hint="eastAsia" w:ascii="仿宋" w:hAnsi="仿宋" w:eastAsia="仿宋" w:cs="仿宋"/>
                <w:color w:val="auto"/>
                <w:sz w:val="22"/>
                <w:szCs w:val="22"/>
                <w:highlight w:val="none"/>
                <w:lang w:eastAsia="zh-CN"/>
              </w:rPr>
            </w:pPr>
          </w:p>
        </w:tc>
        <w:tc>
          <w:tcPr>
            <w:tcW w:w="405" w:type="pct"/>
            <w:gridSpan w:val="4"/>
            <w:vMerge w:val="continue"/>
            <w:tcBorders>
              <w:top w:val="nil"/>
              <w:bottom w:val="nil"/>
            </w:tcBorders>
          </w:tcPr>
          <w:p w14:paraId="37C62E79">
            <w:pPr>
              <w:rPr>
                <w:rFonts w:hint="eastAsia" w:ascii="仿宋" w:hAnsi="仿宋" w:eastAsia="仿宋" w:cs="仿宋"/>
                <w:color w:val="auto"/>
                <w:sz w:val="22"/>
                <w:szCs w:val="22"/>
                <w:highlight w:val="none"/>
                <w:lang w:eastAsia="zh-CN"/>
              </w:rPr>
            </w:pPr>
          </w:p>
        </w:tc>
        <w:tc>
          <w:tcPr>
            <w:tcW w:w="345" w:type="pct"/>
            <w:vMerge w:val="continue"/>
            <w:tcBorders>
              <w:top w:val="nil"/>
              <w:bottom w:val="nil"/>
            </w:tcBorders>
          </w:tcPr>
          <w:p w14:paraId="48F1A788">
            <w:pPr>
              <w:rPr>
                <w:rFonts w:hint="eastAsia" w:ascii="仿宋" w:hAnsi="仿宋" w:eastAsia="仿宋" w:cs="仿宋"/>
                <w:color w:val="auto"/>
                <w:sz w:val="22"/>
                <w:szCs w:val="22"/>
                <w:highlight w:val="none"/>
                <w:lang w:eastAsia="zh-CN"/>
              </w:rPr>
            </w:pPr>
          </w:p>
        </w:tc>
        <w:tc>
          <w:tcPr>
            <w:tcW w:w="513" w:type="pct"/>
            <w:gridSpan w:val="2"/>
            <w:vMerge w:val="continue"/>
            <w:vAlign w:val="center"/>
          </w:tcPr>
          <w:p w14:paraId="79B4E27F">
            <w:pPr>
              <w:widowControl w:val="0"/>
              <w:spacing w:line="321" w:lineRule="auto"/>
              <w:ind w:left="123" w:right="42"/>
              <w:jc w:val="center"/>
              <w:rPr>
                <w:rFonts w:hint="eastAsia" w:ascii="仿宋" w:hAnsi="仿宋" w:eastAsia="仿宋" w:cs="仿宋"/>
                <w:color w:val="auto"/>
                <w:sz w:val="22"/>
                <w:szCs w:val="22"/>
                <w:highlight w:val="none"/>
                <w:lang w:eastAsia="zh-CN"/>
              </w:rPr>
            </w:pPr>
          </w:p>
        </w:tc>
        <w:tc>
          <w:tcPr>
            <w:tcW w:w="755" w:type="pct"/>
            <w:vAlign w:val="center"/>
          </w:tcPr>
          <w:p w14:paraId="2B621707">
            <w:pPr>
              <w:widowControl w:val="0"/>
              <w:spacing w:line="360" w:lineRule="auto"/>
              <w:ind w:right="114"/>
              <w:jc w:val="center"/>
              <w:rPr>
                <w:rFonts w:hint="eastAsia" w:ascii="仿宋" w:hAnsi="仿宋" w:eastAsia="仿宋" w:cs="仿宋"/>
                <w:b/>
                <w:bCs/>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设计的质量保证措施、进度保证措施（</w:t>
            </w:r>
            <w:r>
              <w:rPr>
                <w:rFonts w:hint="eastAsia" w:ascii="仿宋" w:hAnsi="仿宋" w:eastAsia="仿宋" w:cs="仿宋"/>
                <w:color w:val="auto"/>
                <w:sz w:val="22"/>
                <w:szCs w:val="22"/>
                <w:highlight w:val="none"/>
                <w:lang w:eastAsia="zh-CN" w:bidi="zh-CN"/>
              </w:rPr>
              <w:t>2分</w:t>
            </w:r>
            <w:r>
              <w:rPr>
                <w:rFonts w:hint="eastAsia" w:ascii="仿宋" w:hAnsi="仿宋" w:eastAsia="仿宋" w:cs="仿宋"/>
                <w:color w:val="auto"/>
                <w:sz w:val="22"/>
                <w:szCs w:val="22"/>
                <w:highlight w:val="none"/>
                <w:lang w:val="zh-CN" w:eastAsia="zh-CN" w:bidi="zh-CN"/>
              </w:rPr>
              <w:t>）</w:t>
            </w:r>
          </w:p>
        </w:tc>
        <w:tc>
          <w:tcPr>
            <w:tcW w:w="2590" w:type="pct"/>
            <w:shd w:val="clear" w:color="auto" w:fill="auto"/>
            <w:vAlign w:val="center"/>
          </w:tcPr>
          <w:p w14:paraId="6D1A28CE">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（1）进度和质量保证措施的可实施性很高，得1.6-2</w:t>
            </w:r>
            <w:r>
              <w:rPr>
                <w:rFonts w:hint="eastAsia" w:ascii="仿宋" w:hAnsi="仿宋" w:eastAsia="仿宋" w:cs="仿宋"/>
                <w:color w:val="auto"/>
                <w:sz w:val="22"/>
                <w:szCs w:val="22"/>
                <w:highlight w:val="none"/>
                <w:lang w:eastAsia="zh-CN" w:bidi="zh-CN"/>
              </w:rPr>
              <w:t>.0</w:t>
            </w:r>
            <w:r>
              <w:rPr>
                <w:rFonts w:hint="eastAsia" w:ascii="仿宋" w:hAnsi="仿宋" w:eastAsia="仿宋" w:cs="仿宋"/>
                <w:color w:val="auto"/>
                <w:sz w:val="22"/>
                <w:szCs w:val="22"/>
                <w:highlight w:val="none"/>
                <w:lang w:val="zh-CN" w:eastAsia="zh-CN" w:bidi="zh-CN"/>
              </w:rPr>
              <w:t>分（满分分值的80%~100%）；</w:t>
            </w:r>
          </w:p>
          <w:p w14:paraId="1F9C48B2">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（2）进度和质量保证措施的可实施性较高，得1.2-1.6分（满分分值的60%~80%）；</w:t>
            </w:r>
          </w:p>
          <w:p w14:paraId="499D90D5">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（3）一般但不被评定为不响应的, 起评分1.2分（满分分值的60%）。</w:t>
            </w:r>
          </w:p>
        </w:tc>
      </w:tr>
      <w:tr w14:paraId="6B1EA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389" w:type="pct"/>
            <w:vMerge w:val="continue"/>
            <w:tcBorders>
              <w:top w:val="nil"/>
              <w:bottom w:val="nil"/>
            </w:tcBorders>
          </w:tcPr>
          <w:p w14:paraId="2ECB0075">
            <w:pPr>
              <w:rPr>
                <w:rFonts w:hint="eastAsia" w:ascii="仿宋" w:hAnsi="仿宋" w:eastAsia="仿宋" w:cs="仿宋"/>
                <w:color w:val="auto"/>
                <w:sz w:val="22"/>
                <w:szCs w:val="22"/>
                <w:highlight w:val="none"/>
                <w:lang w:eastAsia="zh-CN"/>
              </w:rPr>
            </w:pPr>
          </w:p>
        </w:tc>
        <w:tc>
          <w:tcPr>
            <w:tcW w:w="405" w:type="pct"/>
            <w:gridSpan w:val="4"/>
            <w:vMerge w:val="continue"/>
            <w:tcBorders>
              <w:top w:val="nil"/>
              <w:bottom w:val="nil"/>
            </w:tcBorders>
          </w:tcPr>
          <w:p w14:paraId="3CDD5BD3">
            <w:pPr>
              <w:rPr>
                <w:rFonts w:hint="eastAsia" w:ascii="仿宋" w:hAnsi="仿宋" w:eastAsia="仿宋" w:cs="仿宋"/>
                <w:color w:val="auto"/>
                <w:sz w:val="22"/>
                <w:szCs w:val="22"/>
                <w:highlight w:val="none"/>
                <w:lang w:eastAsia="zh-CN"/>
              </w:rPr>
            </w:pPr>
          </w:p>
        </w:tc>
        <w:tc>
          <w:tcPr>
            <w:tcW w:w="345" w:type="pct"/>
            <w:vMerge w:val="continue"/>
            <w:tcBorders>
              <w:top w:val="nil"/>
              <w:bottom w:val="nil"/>
            </w:tcBorders>
          </w:tcPr>
          <w:p w14:paraId="131886E5">
            <w:pPr>
              <w:rPr>
                <w:rFonts w:hint="eastAsia" w:ascii="仿宋" w:hAnsi="仿宋" w:eastAsia="仿宋" w:cs="仿宋"/>
                <w:color w:val="auto"/>
                <w:sz w:val="22"/>
                <w:szCs w:val="22"/>
                <w:highlight w:val="none"/>
                <w:lang w:eastAsia="zh-CN"/>
              </w:rPr>
            </w:pPr>
          </w:p>
        </w:tc>
        <w:tc>
          <w:tcPr>
            <w:tcW w:w="513" w:type="pct"/>
            <w:gridSpan w:val="2"/>
            <w:vMerge w:val="continue"/>
            <w:vAlign w:val="center"/>
          </w:tcPr>
          <w:p w14:paraId="2EFBBF7B">
            <w:pPr>
              <w:widowControl w:val="0"/>
              <w:spacing w:line="321" w:lineRule="auto"/>
              <w:ind w:left="123" w:right="42"/>
              <w:jc w:val="center"/>
              <w:rPr>
                <w:rFonts w:hint="eastAsia" w:ascii="仿宋" w:hAnsi="仿宋" w:eastAsia="仿宋" w:cs="仿宋"/>
                <w:color w:val="auto"/>
                <w:sz w:val="22"/>
                <w:szCs w:val="22"/>
                <w:highlight w:val="none"/>
                <w:lang w:eastAsia="zh-CN"/>
              </w:rPr>
            </w:pPr>
          </w:p>
        </w:tc>
        <w:tc>
          <w:tcPr>
            <w:tcW w:w="755" w:type="pct"/>
            <w:vAlign w:val="center"/>
          </w:tcPr>
          <w:p w14:paraId="0AEDA5AF">
            <w:pPr>
              <w:widowControl w:val="0"/>
              <w:spacing w:line="360" w:lineRule="auto"/>
              <w:ind w:right="114"/>
              <w:jc w:val="center"/>
              <w:rPr>
                <w:rFonts w:hint="eastAsia" w:ascii="仿宋" w:hAnsi="仿宋" w:eastAsia="仿宋" w:cs="仿宋"/>
                <w:b/>
                <w:bCs/>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后续服务的安排及保证措施（</w:t>
            </w:r>
            <w:r>
              <w:rPr>
                <w:rFonts w:hint="eastAsia" w:ascii="仿宋" w:hAnsi="仿宋" w:eastAsia="仿宋" w:cs="仿宋"/>
                <w:color w:val="auto"/>
                <w:sz w:val="22"/>
                <w:szCs w:val="22"/>
                <w:highlight w:val="none"/>
                <w:lang w:eastAsia="zh-CN" w:bidi="zh-CN"/>
              </w:rPr>
              <w:t>1分</w:t>
            </w:r>
            <w:r>
              <w:rPr>
                <w:rFonts w:hint="eastAsia" w:ascii="仿宋" w:hAnsi="仿宋" w:eastAsia="仿宋" w:cs="仿宋"/>
                <w:color w:val="auto"/>
                <w:sz w:val="22"/>
                <w:szCs w:val="22"/>
                <w:highlight w:val="none"/>
                <w:lang w:val="zh-CN" w:eastAsia="zh-CN" w:bidi="zh-CN"/>
              </w:rPr>
              <w:t>）</w:t>
            </w:r>
          </w:p>
        </w:tc>
        <w:tc>
          <w:tcPr>
            <w:tcW w:w="2590" w:type="pct"/>
            <w:shd w:val="clear" w:color="auto" w:fill="auto"/>
            <w:vAlign w:val="center"/>
          </w:tcPr>
          <w:p w14:paraId="59F9CF70">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（1）承诺的后续服务机构人员的完善程度很高，得0.8-1</w:t>
            </w:r>
            <w:r>
              <w:rPr>
                <w:rFonts w:hint="eastAsia" w:ascii="仿宋" w:hAnsi="仿宋" w:eastAsia="仿宋" w:cs="仿宋"/>
                <w:color w:val="auto"/>
                <w:sz w:val="22"/>
                <w:szCs w:val="22"/>
                <w:highlight w:val="none"/>
                <w:lang w:eastAsia="zh-CN" w:bidi="zh-CN"/>
              </w:rPr>
              <w:t>.0</w:t>
            </w:r>
            <w:r>
              <w:rPr>
                <w:rFonts w:hint="eastAsia" w:ascii="仿宋" w:hAnsi="仿宋" w:eastAsia="仿宋" w:cs="仿宋"/>
                <w:color w:val="auto"/>
                <w:sz w:val="22"/>
                <w:szCs w:val="22"/>
                <w:highlight w:val="none"/>
                <w:lang w:val="zh-CN" w:eastAsia="zh-CN" w:bidi="zh-CN"/>
              </w:rPr>
              <w:t>分（满分分值的80%~100%）；</w:t>
            </w:r>
          </w:p>
          <w:p w14:paraId="5F97E39D">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（2）承诺的后续服务机构人员的完善程度较高，得0.6-0.8分（满分分值的60%~80%）；</w:t>
            </w:r>
          </w:p>
          <w:p w14:paraId="6103D566">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（3）一般但不被评定为不响应的, 起评分0.6分（满分分值的60%）。</w:t>
            </w:r>
          </w:p>
        </w:tc>
      </w:tr>
      <w:tr w14:paraId="1322D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4" w:hRule="atLeast"/>
          <w:jc w:val="center"/>
        </w:trPr>
        <w:tc>
          <w:tcPr>
            <w:tcW w:w="389" w:type="pct"/>
            <w:vMerge w:val="continue"/>
            <w:tcBorders>
              <w:top w:val="nil"/>
              <w:bottom w:val="nil"/>
            </w:tcBorders>
          </w:tcPr>
          <w:p w14:paraId="1145C55C">
            <w:pPr>
              <w:rPr>
                <w:rFonts w:hint="eastAsia" w:ascii="仿宋" w:hAnsi="仿宋" w:eastAsia="仿宋" w:cs="仿宋"/>
                <w:color w:val="auto"/>
                <w:sz w:val="22"/>
                <w:szCs w:val="22"/>
                <w:highlight w:val="none"/>
                <w:lang w:eastAsia="zh-CN"/>
              </w:rPr>
            </w:pPr>
          </w:p>
        </w:tc>
        <w:tc>
          <w:tcPr>
            <w:tcW w:w="405" w:type="pct"/>
            <w:gridSpan w:val="4"/>
            <w:vMerge w:val="continue"/>
            <w:tcBorders>
              <w:top w:val="nil"/>
              <w:bottom w:val="nil"/>
            </w:tcBorders>
          </w:tcPr>
          <w:p w14:paraId="3CB11C49">
            <w:pPr>
              <w:rPr>
                <w:rFonts w:hint="eastAsia" w:ascii="仿宋" w:hAnsi="仿宋" w:eastAsia="仿宋" w:cs="仿宋"/>
                <w:color w:val="auto"/>
                <w:sz w:val="22"/>
                <w:szCs w:val="22"/>
                <w:highlight w:val="none"/>
                <w:lang w:eastAsia="zh-CN"/>
              </w:rPr>
            </w:pPr>
          </w:p>
        </w:tc>
        <w:tc>
          <w:tcPr>
            <w:tcW w:w="345" w:type="pct"/>
            <w:vMerge w:val="continue"/>
            <w:tcBorders>
              <w:top w:val="nil"/>
              <w:bottom w:val="nil"/>
            </w:tcBorders>
          </w:tcPr>
          <w:p w14:paraId="7196E965">
            <w:pPr>
              <w:rPr>
                <w:rFonts w:hint="eastAsia" w:ascii="仿宋" w:hAnsi="仿宋" w:eastAsia="仿宋" w:cs="仿宋"/>
                <w:color w:val="auto"/>
                <w:sz w:val="22"/>
                <w:szCs w:val="22"/>
                <w:highlight w:val="none"/>
                <w:lang w:eastAsia="zh-CN"/>
              </w:rPr>
            </w:pPr>
          </w:p>
        </w:tc>
        <w:tc>
          <w:tcPr>
            <w:tcW w:w="513" w:type="pct"/>
            <w:gridSpan w:val="2"/>
            <w:vMerge w:val="restart"/>
            <w:vAlign w:val="center"/>
          </w:tcPr>
          <w:p w14:paraId="4584AF78">
            <w:pPr>
              <w:widowControl w:val="0"/>
              <w:spacing w:line="321" w:lineRule="auto"/>
              <w:ind w:left="123" w:right="42"/>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施工组织设计方案（3分）</w:t>
            </w:r>
          </w:p>
        </w:tc>
        <w:tc>
          <w:tcPr>
            <w:tcW w:w="755" w:type="pct"/>
            <w:vAlign w:val="center"/>
          </w:tcPr>
          <w:p w14:paraId="0E4C581A">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质量、安全保证体系及工期保证措施（</w:t>
            </w:r>
            <w:r>
              <w:rPr>
                <w:rFonts w:hint="eastAsia" w:ascii="仿宋" w:hAnsi="仿宋" w:eastAsia="仿宋" w:cs="仿宋"/>
                <w:color w:val="auto"/>
                <w:sz w:val="22"/>
                <w:szCs w:val="22"/>
                <w:highlight w:val="none"/>
                <w:lang w:eastAsia="zh-CN" w:bidi="zh-CN"/>
              </w:rPr>
              <w:t>1.5分</w:t>
            </w:r>
            <w:r>
              <w:rPr>
                <w:rFonts w:hint="eastAsia" w:ascii="仿宋" w:hAnsi="仿宋" w:eastAsia="仿宋" w:cs="仿宋"/>
                <w:color w:val="auto"/>
                <w:sz w:val="22"/>
                <w:szCs w:val="22"/>
                <w:highlight w:val="none"/>
                <w:lang w:val="zh-CN" w:eastAsia="zh-CN" w:bidi="zh-CN"/>
              </w:rPr>
              <w:t>）</w:t>
            </w:r>
          </w:p>
        </w:tc>
        <w:tc>
          <w:tcPr>
            <w:tcW w:w="2590" w:type="pct"/>
            <w:shd w:val="clear" w:color="auto" w:fill="auto"/>
            <w:vAlign w:val="center"/>
          </w:tcPr>
          <w:p w14:paraId="21DC9831">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（1）对本项目质量及安全控制</w:t>
            </w:r>
            <w:r>
              <w:rPr>
                <w:rFonts w:hint="eastAsia" w:ascii="仿宋" w:hAnsi="仿宋" w:eastAsia="仿宋" w:cs="仿宋"/>
                <w:color w:val="auto"/>
                <w:sz w:val="22"/>
                <w:szCs w:val="22"/>
                <w:highlight w:val="none"/>
                <w:lang w:eastAsia="zh-CN" w:bidi="zh-CN"/>
              </w:rPr>
              <w:t>、工期保证体系及保证措施</w:t>
            </w:r>
            <w:r>
              <w:rPr>
                <w:rFonts w:hint="eastAsia" w:ascii="仿宋" w:hAnsi="仿宋" w:eastAsia="仿宋" w:cs="仿宋"/>
                <w:color w:val="auto"/>
                <w:sz w:val="22"/>
                <w:szCs w:val="22"/>
                <w:highlight w:val="none"/>
                <w:lang w:val="zh-CN" w:eastAsia="zh-CN" w:bidi="zh-CN"/>
              </w:rPr>
              <w:t>有透彻的认识，对施工过程中可能发生的各种质量和安全问题</w:t>
            </w:r>
            <w:r>
              <w:rPr>
                <w:rFonts w:hint="eastAsia" w:ascii="仿宋" w:hAnsi="仿宋" w:eastAsia="仿宋" w:cs="仿宋"/>
                <w:color w:val="auto"/>
                <w:sz w:val="22"/>
                <w:szCs w:val="22"/>
                <w:highlight w:val="none"/>
                <w:lang w:eastAsia="zh-CN" w:bidi="zh-CN"/>
              </w:rPr>
              <w:t>、工期保证体系及保证措施</w:t>
            </w:r>
            <w:r>
              <w:rPr>
                <w:rFonts w:hint="eastAsia" w:ascii="仿宋" w:hAnsi="仿宋" w:eastAsia="仿宋" w:cs="仿宋"/>
                <w:color w:val="auto"/>
                <w:sz w:val="22"/>
                <w:szCs w:val="22"/>
                <w:highlight w:val="none"/>
                <w:lang w:val="zh-CN" w:eastAsia="zh-CN" w:bidi="zh-CN"/>
              </w:rPr>
              <w:t>有深刻的认识和合理的预见，并有相应的应对措施，应对措施应科学、充分，能有效处理各种突发问题的，得</w:t>
            </w:r>
            <w:r>
              <w:rPr>
                <w:rFonts w:hint="eastAsia" w:ascii="仿宋" w:hAnsi="仿宋" w:eastAsia="仿宋" w:cs="仿宋"/>
                <w:color w:val="auto"/>
                <w:sz w:val="22"/>
                <w:szCs w:val="22"/>
                <w:highlight w:val="none"/>
                <w:lang w:eastAsia="zh-CN" w:bidi="zh-CN"/>
              </w:rPr>
              <w:t>1.2</w:t>
            </w:r>
            <w:r>
              <w:rPr>
                <w:rFonts w:hint="eastAsia" w:ascii="仿宋" w:hAnsi="仿宋" w:eastAsia="仿宋" w:cs="仿宋"/>
                <w:color w:val="auto"/>
                <w:sz w:val="22"/>
                <w:szCs w:val="22"/>
                <w:highlight w:val="none"/>
                <w:lang w:val="zh-CN" w:eastAsia="zh-CN" w:bidi="zh-CN"/>
              </w:rPr>
              <w:t>-</w:t>
            </w:r>
            <w:r>
              <w:rPr>
                <w:rFonts w:hint="eastAsia" w:ascii="仿宋" w:hAnsi="仿宋" w:eastAsia="仿宋" w:cs="仿宋"/>
                <w:color w:val="auto"/>
                <w:sz w:val="22"/>
                <w:szCs w:val="22"/>
                <w:highlight w:val="none"/>
                <w:lang w:eastAsia="zh-CN" w:bidi="zh-CN"/>
              </w:rPr>
              <w:t>1.5</w:t>
            </w:r>
            <w:r>
              <w:rPr>
                <w:rFonts w:hint="eastAsia" w:ascii="仿宋" w:hAnsi="仿宋" w:eastAsia="仿宋" w:cs="仿宋"/>
                <w:color w:val="auto"/>
                <w:sz w:val="22"/>
                <w:szCs w:val="22"/>
                <w:highlight w:val="none"/>
                <w:lang w:val="zh-CN" w:eastAsia="zh-CN" w:bidi="zh-CN"/>
              </w:rPr>
              <w:t>分（满分分值的80%~100%）；</w:t>
            </w:r>
          </w:p>
          <w:p w14:paraId="26C752DD">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对本项目质量及安全控制、工期保证体系及保证措施有一定的认识，基本能合理的预见施工过程中可能发生的各种质量、安全问题、工期保证体系及保证措施，并有相应的应对措施，应对措施较为科学、充分，基本能有效处理各种质量和安全问题的，得</w:t>
            </w:r>
            <w:r>
              <w:rPr>
                <w:rFonts w:hint="eastAsia" w:ascii="仿宋" w:hAnsi="仿宋" w:eastAsia="仿宋" w:cs="仿宋"/>
                <w:color w:val="auto"/>
                <w:sz w:val="22"/>
                <w:szCs w:val="22"/>
                <w:highlight w:val="none"/>
                <w:lang w:eastAsia="zh-CN" w:bidi="zh-CN"/>
              </w:rPr>
              <w:t>0.9</w:t>
            </w:r>
            <w:r>
              <w:rPr>
                <w:rFonts w:hint="eastAsia" w:ascii="仿宋" w:hAnsi="仿宋" w:eastAsia="仿宋" w:cs="仿宋"/>
                <w:color w:val="auto"/>
                <w:sz w:val="22"/>
                <w:szCs w:val="22"/>
                <w:highlight w:val="none"/>
                <w:lang w:val="zh-CN" w:eastAsia="zh-CN" w:bidi="zh-CN"/>
              </w:rPr>
              <w:t>-</w:t>
            </w:r>
            <w:r>
              <w:rPr>
                <w:rFonts w:hint="eastAsia" w:ascii="仿宋" w:hAnsi="仿宋" w:eastAsia="仿宋" w:cs="仿宋"/>
                <w:color w:val="auto"/>
                <w:sz w:val="22"/>
                <w:szCs w:val="22"/>
                <w:highlight w:val="none"/>
                <w:lang w:eastAsia="zh-CN" w:bidi="zh-CN"/>
              </w:rPr>
              <w:t>1.2</w:t>
            </w:r>
            <w:r>
              <w:rPr>
                <w:rFonts w:hint="eastAsia" w:ascii="仿宋" w:hAnsi="仿宋" w:eastAsia="仿宋" w:cs="仿宋"/>
                <w:color w:val="auto"/>
                <w:sz w:val="22"/>
                <w:szCs w:val="22"/>
                <w:highlight w:val="none"/>
                <w:lang w:val="zh-CN" w:eastAsia="zh-CN" w:bidi="zh-CN"/>
              </w:rPr>
              <w:t>分（满分分值的60%~80%）；</w:t>
            </w:r>
          </w:p>
          <w:p w14:paraId="47C2B191">
            <w:pPr>
              <w:widowControl w:val="0"/>
              <w:spacing w:line="360" w:lineRule="auto"/>
              <w:ind w:right="114"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（3）一般但不被评定为不响应的, 起评分</w:t>
            </w:r>
            <w:r>
              <w:rPr>
                <w:rFonts w:hint="eastAsia" w:ascii="仿宋" w:hAnsi="仿宋" w:eastAsia="仿宋" w:cs="仿宋"/>
                <w:color w:val="auto"/>
                <w:sz w:val="22"/>
                <w:szCs w:val="22"/>
                <w:highlight w:val="none"/>
                <w:lang w:eastAsia="zh-CN" w:bidi="zh-CN"/>
              </w:rPr>
              <w:t>0.9</w:t>
            </w:r>
            <w:r>
              <w:rPr>
                <w:rFonts w:hint="eastAsia" w:ascii="仿宋" w:hAnsi="仿宋" w:eastAsia="仿宋" w:cs="仿宋"/>
                <w:color w:val="auto"/>
                <w:sz w:val="22"/>
                <w:szCs w:val="22"/>
                <w:highlight w:val="none"/>
                <w:lang w:val="zh-CN" w:eastAsia="zh-CN" w:bidi="zh-CN"/>
              </w:rPr>
              <w:t>分（满分分值的60%）。</w:t>
            </w:r>
          </w:p>
        </w:tc>
      </w:tr>
      <w:tr w14:paraId="75757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jc w:val="center"/>
        </w:trPr>
        <w:tc>
          <w:tcPr>
            <w:tcW w:w="389" w:type="pct"/>
            <w:tcBorders>
              <w:top w:val="nil"/>
            </w:tcBorders>
          </w:tcPr>
          <w:p w14:paraId="3A272E2A">
            <w:pPr>
              <w:rPr>
                <w:rFonts w:hint="eastAsia" w:ascii="仿宋" w:hAnsi="仿宋" w:eastAsia="仿宋" w:cs="仿宋"/>
                <w:color w:val="auto"/>
                <w:sz w:val="22"/>
                <w:szCs w:val="22"/>
                <w:highlight w:val="none"/>
                <w:lang w:eastAsia="zh-CN"/>
              </w:rPr>
            </w:pPr>
          </w:p>
        </w:tc>
        <w:tc>
          <w:tcPr>
            <w:tcW w:w="405" w:type="pct"/>
            <w:gridSpan w:val="4"/>
            <w:tcBorders>
              <w:top w:val="nil"/>
            </w:tcBorders>
          </w:tcPr>
          <w:p w14:paraId="0C22C96B">
            <w:pPr>
              <w:rPr>
                <w:rFonts w:hint="eastAsia" w:ascii="仿宋" w:hAnsi="仿宋" w:eastAsia="仿宋" w:cs="仿宋"/>
                <w:color w:val="auto"/>
                <w:sz w:val="22"/>
                <w:szCs w:val="22"/>
                <w:highlight w:val="none"/>
                <w:lang w:eastAsia="zh-CN"/>
              </w:rPr>
            </w:pPr>
          </w:p>
        </w:tc>
        <w:tc>
          <w:tcPr>
            <w:tcW w:w="345" w:type="pct"/>
            <w:tcBorders>
              <w:top w:val="nil"/>
            </w:tcBorders>
          </w:tcPr>
          <w:p w14:paraId="2D95BE47">
            <w:pPr>
              <w:rPr>
                <w:rFonts w:hint="eastAsia" w:ascii="仿宋" w:hAnsi="仿宋" w:eastAsia="仿宋" w:cs="仿宋"/>
                <w:color w:val="auto"/>
                <w:sz w:val="22"/>
                <w:szCs w:val="22"/>
                <w:highlight w:val="none"/>
                <w:lang w:eastAsia="zh-CN"/>
              </w:rPr>
            </w:pPr>
          </w:p>
        </w:tc>
        <w:tc>
          <w:tcPr>
            <w:tcW w:w="513" w:type="pct"/>
            <w:gridSpan w:val="2"/>
            <w:vMerge w:val="continue"/>
            <w:vAlign w:val="center"/>
          </w:tcPr>
          <w:p w14:paraId="64B16A4E">
            <w:pPr>
              <w:widowControl w:val="0"/>
              <w:spacing w:line="321" w:lineRule="auto"/>
              <w:ind w:left="123" w:right="113"/>
              <w:jc w:val="center"/>
              <w:rPr>
                <w:rFonts w:hint="eastAsia" w:ascii="仿宋" w:hAnsi="仿宋" w:eastAsia="仿宋" w:cs="仿宋"/>
                <w:color w:val="auto"/>
                <w:sz w:val="22"/>
                <w:szCs w:val="22"/>
                <w:highlight w:val="none"/>
                <w:lang w:eastAsia="zh-CN"/>
              </w:rPr>
            </w:pPr>
          </w:p>
        </w:tc>
        <w:tc>
          <w:tcPr>
            <w:tcW w:w="755" w:type="pct"/>
            <w:shd w:val="clear" w:color="auto" w:fill="auto"/>
            <w:vAlign w:val="center"/>
          </w:tcPr>
          <w:p w14:paraId="05481B3D">
            <w:pPr>
              <w:widowControl w:val="0"/>
              <w:spacing w:line="360" w:lineRule="auto"/>
              <w:ind w:right="114"/>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环境保护、文明施工保证体系及措施（</w:t>
            </w:r>
            <w:r>
              <w:rPr>
                <w:rFonts w:hint="eastAsia" w:ascii="仿宋" w:hAnsi="仿宋" w:eastAsia="仿宋" w:cs="仿宋"/>
                <w:color w:val="auto"/>
                <w:sz w:val="22"/>
                <w:szCs w:val="22"/>
                <w:highlight w:val="none"/>
                <w:lang w:eastAsia="zh-CN" w:bidi="zh-CN"/>
              </w:rPr>
              <w:t>1.5</w:t>
            </w:r>
            <w:r>
              <w:rPr>
                <w:rFonts w:hint="eastAsia" w:ascii="仿宋" w:hAnsi="仿宋" w:eastAsia="仿宋" w:cs="仿宋"/>
                <w:color w:val="auto"/>
                <w:sz w:val="22"/>
                <w:szCs w:val="22"/>
                <w:highlight w:val="none"/>
                <w:lang w:val="zh-CN" w:eastAsia="zh-CN" w:bidi="zh-CN"/>
              </w:rPr>
              <w:t>分）</w:t>
            </w:r>
          </w:p>
        </w:tc>
        <w:tc>
          <w:tcPr>
            <w:tcW w:w="2590" w:type="pct"/>
            <w:shd w:val="clear" w:color="auto" w:fill="auto"/>
            <w:vAlign w:val="center"/>
          </w:tcPr>
          <w:p w14:paraId="3A49B207">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（1）对本项目的环保及文明施工等工作有独到的见解，能制定科学的措施，施工做到符合环保的要求，对文明施工有相应的措施，能创造良好的施工环境的，得1.2-1.5分（满分分值的80%~100%）；</w:t>
            </w:r>
          </w:p>
          <w:p w14:paraId="383F793B">
            <w:pPr>
              <w:widowControl w:val="0"/>
              <w:spacing w:line="360" w:lineRule="auto"/>
              <w:ind w:right="114"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（2）对工程环保及文明施工等工作制定有相关的措施，基本能满足本项目环保及文明施工的要求的，得0.9-1.2分（满分分值的60%~80%）；</w:t>
            </w:r>
          </w:p>
          <w:p w14:paraId="761A993B">
            <w:pPr>
              <w:widowControl w:val="0"/>
              <w:spacing w:line="360" w:lineRule="auto"/>
              <w:ind w:right="114"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（3）一般但不被评定为不响应的, 起评分</w:t>
            </w:r>
            <w:r>
              <w:rPr>
                <w:rFonts w:hint="eastAsia" w:ascii="仿宋" w:hAnsi="仿宋" w:eastAsia="仿宋" w:cs="仿宋"/>
                <w:color w:val="auto"/>
                <w:sz w:val="22"/>
                <w:szCs w:val="22"/>
                <w:highlight w:val="none"/>
                <w:lang w:eastAsia="zh-CN" w:bidi="zh-CN"/>
              </w:rPr>
              <w:t>0.9</w:t>
            </w:r>
            <w:r>
              <w:rPr>
                <w:rFonts w:hint="eastAsia" w:ascii="仿宋" w:hAnsi="仿宋" w:eastAsia="仿宋" w:cs="仿宋"/>
                <w:color w:val="auto"/>
                <w:sz w:val="22"/>
                <w:szCs w:val="22"/>
                <w:highlight w:val="none"/>
                <w:lang w:val="zh-CN" w:eastAsia="zh-CN" w:bidi="zh-CN"/>
              </w:rPr>
              <w:t>分（满分分值的60%）。</w:t>
            </w:r>
          </w:p>
        </w:tc>
      </w:tr>
      <w:tr w14:paraId="6115D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35E0CEDC">
            <w:pPr>
              <w:pStyle w:val="10"/>
              <w:spacing w:before="65"/>
              <w:ind w:left="170"/>
              <w:jc w:val="both"/>
              <w:rPr>
                <w:rFonts w:hint="eastAsia" w:ascii="仿宋" w:hAnsi="仿宋" w:eastAsia="仿宋" w:cs="仿宋"/>
                <w:color w:val="auto"/>
                <w:sz w:val="22"/>
                <w:szCs w:val="22"/>
                <w:highlight w:val="none"/>
              </w:rPr>
            </w:pPr>
            <w:r>
              <w:rPr>
                <w:rFonts w:hint="eastAsia" w:ascii="仿宋" w:hAnsi="仿宋" w:eastAsia="仿宋" w:cs="仿宋"/>
                <w:color w:val="auto"/>
                <w:spacing w:val="2"/>
                <w:position w:val="16"/>
                <w:sz w:val="22"/>
                <w:szCs w:val="22"/>
                <w:highlight w:val="none"/>
              </w:rPr>
              <w:t>2.2.</w:t>
            </w:r>
            <w:r>
              <w:rPr>
                <w:rFonts w:hint="eastAsia" w:ascii="仿宋" w:hAnsi="仿宋" w:eastAsia="仿宋" w:cs="仿宋"/>
                <w:color w:val="auto"/>
                <w:spacing w:val="2"/>
                <w:position w:val="16"/>
                <w:sz w:val="22"/>
                <w:szCs w:val="22"/>
                <w:highlight w:val="none"/>
                <w:lang w:eastAsia="zh-CN"/>
              </w:rPr>
              <w:t>4（2）</w:t>
            </w:r>
          </w:p>
        </w:tc>
        <w:tc>
          <w:tcPr>
            <w:tcW w:w="751" w:type="pct"/>
            <w:gridSpan w:val="5"/>
            <w:tcBorders>
              <w:top w:val="single" w:color="auto" w:sz="4" w:space="0"/>
              <w:left w:val="single" w:color="auto" w:sz="4" w:space="0"/>
              <w:bottom w:val="single" w:color="auto" w:sz="4" w:space="0"/>
              <w:right w:val="single" w:color="auto" w:sz="4" w:space="0"/>
            </w:tcBorders>
            <w:vAlign w:val="center"/>
          </w:tcPr>
          <w:p w14:paraId="0C6CA7C4">
            <w:pPr>
              <w:pStyle w:val="1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3"/>
                <w:position w:val="15"/>
                <w:sz w:val="22"/>
                <w:szCs w:val="22"/>
                <w:highlight w:val="none"/>
                <w:lang w:eastAsia="zh-CN"/>
              </w:rPr>
              <w:t>项目管理机构</w:t>
            </w:r>
          </w:p>
        </w:tc>
        <w:tc>
          <w:tcPr>
            <w:tcW w:w="513" w:type="pct"/>
            <w:gridSpan w:val="2"/>
            <w:tcBorders>
              <w:top w:val="single" w:color="auto" w:sz="4" w:space="0"/>
              <w:left w:val="single" w:color="auto" w:sz="4" w:space="0"/>
              <w:bottom w:val="single" w:color="auto" w:sz="4" w:space="0"/>
            </w:tcBorders>
            <w:vAlign w:val="center"/>
          </w:tcPr>
          <w:p w14:paraId="3F6CB583">
            <w:pPr>
              <w:jc w:val="center"/>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lang w:eastAsia="zh-CN"/>
              </w:rPr>
              <w:t>5</w:t>
            </w:r>
            <w:r>
              <w:rPr>
                <w:rFonts w:hint="eastAsia" w:ascii="仿宋" w:hAnsi="仿宋" w:eastAsia="仿宋" w:cs="仿宋"/>
                <w:color w:val="auto"/>
                <w:spacing w:val="-3"/>
                <w:sz w:val="22"/>
                <w:szCs w:val="22"/>
                <w:highlight w:val="none"/>
              </w:rPr>
              <w:t>分</w:t>
            </w:r>
          </w:p>
        </w:tc>
        <w:tc>
          <w:tcPr>
            <w:tcW w:w="3345" w:type="pct"/>
            <w:gridSpan w:val="2"/>
            <w:vAlign w:val="center"/>
          </w:tcPr>
          <w:p w14:paraId="487C3BFB">
            <w:pPr>
              <w:widowControl w:val="0"/>
              <w:tabs>
                <w:tab w:val="left" w:pos="650"/>
              </w:tabs>
              <w:ind w:right="1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满足资格审查要求的得5分。</w:t>
            </w:r>
          </w:p>
        </w:tc>
      </w:tr>
      <w:tr w14:paraId="0DF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jc w:val="center"/>
        </w:trPr>
        <w:tc>
          <w:tcPr>
            <w:tcW w:w="389" w:type="pct"/>
            <w:tcBorders>
              <w:left w:val="single" w:color="auto" w:sz="4" w:space="0"/>
              <w:right w:val="single" w:color="auto" w:sz="4" w:space="0"/>
            </w:tcBorders>
            <w:vAlign w:val="center"/>
          </w:tcPr>
          <w:p w14:paraId="1E68B9E6">
            <w:pPr>
              <w:pStyle w:val="10"/>
              <w:jc w:val="center"/>
              <w:rPr>
                <w:rFonts w:hint="eastAsia" w:ascii="仿宋" w:hAnsi="仿宋" w:eastAsia="仿宋" w:cs="仿宋"/>
                <w:color w:val="auto"/>
                <w:spacing w:val="2"/>
                <w:position w:val="16"/>
                <w:sz w:val="22"/>
                <w:szCs w:val="22"/>
                <w:highlight w:val="none"/>
                <w:lang w:eastAsia="zh-CN"/>
              </w:rPr>
            </w:pPr>
            <w:r>
              <w:rPr>
                <w:rFonts w:hint="eastAsia" w:ascii="仿宋" w:hAnsi="仿宋" w:eastAsia="仿宋" w:cs="仿宋"/>
                <w:color w:val="auto"/>
                <w:spacing w:val="2"/>
                <w:position w:val="16"/>
                <w:sz w:val="22"/>
                <w:szCs w:val="22"/>
                <w:highlight w:val="none"/>
              </w:rPr>
              <w:t>2.2.</w:t>
            </w:r>
            <w:r>
              <w:rPr>
                <w:rFonts w:hint="eastAsia" w:ascii="仿宋" w:hAnsi="仿宋" w:eastAsia="仿宋" w:cs="仿宋"/>
                <w:color w:val="auto"/>
                <w:spacing w:val="2"/>
                <w:position w:val="16"/>
                <w:sz w:val="22"/>
                <w:szCs w:val="22"/>
                <w:highlight w:val="none"/>
                <w:lang w:eastAsia="zh-CN"/>
              </w:rPr>
              <w:t>4</w:t>
            </w:r>
          </w:p>
          <w:p w14:paraId="32B07888">
            <w:pPr>
              <w:pStyle w:val="10"/>
              <w:jc w:val="center"/>
              <w:rPr>
                <w:rFonts w:hint="eastAsia" w:ascii="仿宋" w:hAnsi="仿宋" w:eastAsia="仿宋" w:cs="仿宋"/>
                <w:color w:val="auto"/>
                <w:spacing w:val="-10"/>
                <w:sz w:val="22"/>
                <w:szCs w:val="22"/>
                <w:highlight w:val="none"/>
              </w:rPr>
            </w:pPr>
            <w:r>
              <w:rPr>
                <w:rFonts w:hint="eastAsia" w:ascii="仿宋" w:hAnsi="仿宋" w:eastAsia="仿宋" w:cs="仿宋"/>
                <w:color w:val="auto"/>
                <w:spacing w:val="2"/>
                <w:position w:val="16"/>
                <w:sz w:val="22"/>
                <w:szCs w:val="22"/>
                <w:highlight w:val="none"/>
                <w:lang w:eastAsia="zh-CN"/>
              </w:rPr>
              <w:t>（3）</w:t>
            </w:r>
          </w:p>
        </w:tc>
        <w:tc>
          <w:tcPr>
            <w:tcW w:w="751" w:type="pct"/>
            <w:gridSpan w:val="5"/>
            <w:tcBorders>
              <w:top w:val="single" w:color="auto" w:sz="4" w:space="0"/>
              <w:left w:val="single" w:color="auto" w:sz="4" w:space="0"/>
              <w:bottom w:val="single" w:color="auto" w:sz="4" w:space="0"/>
              <w:right w:val="single" w:color="auto" w:sz="4" w:space="0"/>
            </w:tcBorders>
            <w:vAlign w:val="center"/>
          </w:tcPr>
          <w:p w14:paraId="370CDA4A">
            <w:pPr>
              <w:jc w:val="center"/>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eastAsia="zh-CN"/>
              </w:rPr>
              <w:t>投标报价</w:t>
            </w:r>
          </w:p>
        </w:tc>
        <w:tc>
          <w:tcPr>
            <w:tcW w:w="513" w:type="pct"/>
            <w:gridSpan w:val="2"/>
            <w:tcBorders>
              <w:top w:val="single" w:color="auto" w:sz="4" w:space="0"/>
              <w:left w:val="single" w:color="auto" w:sz="4" w:space="0"/>
              <w:bottom w:val="single" w:color="auto" w:sz="4" w:space="0"/>
            </w:tcBorders>
            <w:vAlign w:val="center"/>
          </w:tcPr>
          <w:p w14:paraId="031F1D68">
            <w:pPr>
              <w:jc w:val="center"/>
              <w:rPr>
                <w:rFonts w:hint="eastAsia" w:ascii="仿宋" w:hAnsi="仿宋" w:eastAsia="仿宋" w:cs="仿宋"/>
                <w:color w:val="auto"/>
                <w:spacing w:val="-3"/>
                <w:sz w:val="22"/>
                <w:szCs w:val="22"/>
                <w:highlight w:val="none"/>
              </w:rPr>
            </w:pPr>
            <w:r>
              <w:rPr>
                <w:rFonts w:hint="eastAsia" w:ascii="仿宋" w:hAnsi="仿宋" w:eastAsia="仿宋" w:cs="仿宋"/>
                <w:color w:val="auto"/>
                <w:spacing w:val="-3"/>
                <w:sz w:val="22"/>
                <w:szCs w:val="22"/>
                <w:highlight w:val="none"/>
                <w:lang w:eastAsia="zh-CN"/>
              </w:rPr>
              <w:t>55</w:t>
            </w:r>
            <w:r>
              <w:rPr>
                <w:rFonts w:hint="eastAsia" w:ascii="仿宋" w:hAnsi="仿宋" w:eastAsia="仿宋" w:cs="仿宋"/>
                <w:color w:val="auto"/>
                <w:spacing w:val="-3"/>
                <w:sz w:val="22"/>
                <w:szCs w:val="22"/>
                <w:highlight w:val="none"/>
              </w:rPr>
              <w:t>分</w:t>
            </w:r>
          </w:p>
        </w:tc>
        <w:tc>
          <w:tcPr>
            <w:tcW w:w="3345" w:type="pct"/>
            <w:gridSpan w:val="2"/>
            <w:vAlign w:val="center"/>
          </w:tcPr>
          <w:p w14:paraId="5BB7CE0F">
            <w:pPr>
              <w:spacing w:line="360" w:lineRule="auto"/>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eastAsia="zh-CN"/>
              </w:rPr>
              <w:t>评标价得分计算公式示例：</w:t>
            </w:r>
          </w:p>
          <w:p w14:paraId="356906E5">
            <w:pPr>
              <w:spacing w:line="360" w:lineRule="auto"/>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eastAsia="zh-CN"/>
              </w:rPr>
              <w:t>(1)如果投标人的评标价&gt;评标基准价，则评标价得分＝F-偏差率×100× D1；D1=</w:t>
            </w:r>
            <w:r>
              <w:rPr>
                <w:rFonts w:hint="eastAsia" w:ascii="仿宋" w:hAnsi="仿宋" w:eastAsia="仿宋" w:cs="仿宋"/>
                <w:color w:val="auto"/>
                <w:spacing w:val="-3"/>
                <w:sz w:val="22"/>
                <w:szCs w:val="22"/>
                <w:highlight w:val="none"/>
                <w:lang w:val="en-US" w:eastAsia="zh-CN"/>
              </w:rPr>
              <w:t>1.5</w:t>
            </w:r>
            <w:r>
              <w:rPr>
                <w:rFonts w:hint="eastAsia" w:ascii="仿宋" w:hAnsi="仿宋" w:eastAsia="仿宋" w:cs="仿宋"/>
                <w:color w:val="auto"/>
                <w:spacing w:val="-3"/>
                <w:sz w:val="22"/>
                <w:szCs w:val="22"/>
                <w:highlight w:val="none"/>
                <w:lang w:eastAsia="zh-CN"/>
              </w:rPr>
              <w:t xml:space="preserve"> ；</w:t>
            </w:r>
          </w:p>
          <w:p w14:paraId="193A49D3">
            <w:pPr>
              <w:spacing w:line="360" w:lineRule="auto"/>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eastAsia="zh-CN"/>
              </w:rPr>
              <w:t>(2)如果投标人的评标价≤评标基准价，则评标价得分＝F＋偏差率× 100×D2；D2＝</w:t>
            </w:r>
            <w:r>
              <w:rPr>
                <w:rFonts w:hint="eastAsia" w:ascii="仿宋" w:hAnsi="仿宋" w:eastAsia="仿宋" w:cs="仿宋"/>
                <w:color w:val="auto"/>
                <w:spacing w:val="-3"/>
                <w:sz w:val="22"/>
                <w:szCs w:val="22"/>
                <w:highlight w:val="none"/>
                <w:lang w:val="en-US" w:eastAsia="zh-CN"/>
              </w:rPr>
              <w:t>0.5</w:t>
            </w:r>
            <w:r>
              <w:rPr>
                <w:rFonts w:hint="eastAsia" w:ascii="仿宋" w:hAnsi="仿宋" w:eastAsia="仿宋" w:cs="仿宋"/>
                <w:color w:val="auto"/>
                <w:spacing w:val="-3"/>
                <w:sz w:val="22"/>
                <w:szCs w:val="22"/>
                <w:highlight w:val="none"/>
                <w:lang w:eastAsia="zh-CN"/>
              </w:rPr>
              <w:t>。</w:t>
            </w:r>
          </w:p>
          <w:p w14:paraId="6C2ED3D4">
            <w:pPr>
              <w:spacing w:line="360" w:lineRule="auto"/>
              <w:rPr>
                <w:rFonts w:hint="default" w:ascii="仿宋" w:hAnsi="仿宋" w:eastAsia="仿宋" w:cs="仿宋"/>
                <w:color w:val="auto"/>
                <w:spacing w:val="-3"/>
                <w:sz w:val="22"/>
                <w:szCs w:val="22"/>
                <w:highlight w:val="none"/>
                <w:lang w:val="en-US" w:eastAsia="zh-CN"/>
              </w:rPr>
            </w:pPr>
            <w:r>
              <w:rPr>
                <w:rFonts w:hint="eastAsia" w:ascii="仿宋" w:hAnsi="仿宋" w:eastAsia="仿宋" w:cs="仿宋"/>
                <w:color w:val="auto"/>
                <w:spacing w:val="-3"/>
                <w:sz w:val="22"/>
                <w:szCs w:val="22"/>
                <w:highlight w:val="none"/>
                <w:lang w:eastAsia="zh-CN"/>
              </w:rPr>
              <w:t>其中：原则上D1是D2的2或3倍。</w:t>
            </w:r>
            <w:r>
              <w:rPr>
                <w:rFonts w:hint="eastAsia" w:ascii="仿宋" w:hAnsi="仿宋" w:eastAsia="仿宋" w:cs="仿宋"/>
                <w:color w:val="auto"/>
                <w:spacing w:val="-3"/>
                <w:sz w:val="22"/>
                <w:szCs w:val="22"/>
                <w:highlight w:val="none"/>
                <w:lang w:val="en-US" w:eastAsia="zh-CN"/>
              </w:rPr>
              <w:t>F=55</w:t>
            </w:r>
          </w:p>
          <w:p w14:paraId="5B816459">
            <w:pPr>
              <w:spacing w:line="360" w:lineRule="auto"/>
              <w:rPr>
                <w:rFonts w:hint="eastAsia" w:ascii="仿宋" w:hAnsi="仿宋" w:eastAsia="仿宋" w:cs="仿宋"/>
                <w:color w:val="auto"/>
                <w:spacing w:val="-3"/>
                <w:sz w:val="22"/>
                <w:szCs w:val="22"/>
                <w:highlight w:val="none"/>
                <w:lang w:eastAsia="zh-CN"/>
              </w:rPr>
            </w:pPr>
            <w:r>
              <w:rPr>
                <w:rFonts w:hint="eastAsia" w:ascii="仿宋" w:hAnsi="仿宋" w:eastAsia="仿宋" w:cs="仿宋"/>
                <w:color w:val="auto"/>
                <w:spacing w:val="-3"/>
                <w:sz w:val="22"/>
                <w:szCs w:val="22"/>
                <w:highlight w:val="none"/>
                <w:lang w:eastAsia="zh-CN"/>
              </w:rPr>
              <w:t>注：评标价得分四舍五入至小数点后四位。</w:t>
            </w:r>
          </w:p>
        </w:tc>
      </w:tr>
      <w:tr w14:paraId="3B59E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8" w:hRule="atLeast"/>
          <w:jc w:val="center"/>
        </w:trPr>
        <w:tc>
          <w:tcPr>
            <w:tcW w:w="389" w:type="pct"/>
            <w:vMerge w:val="restart"/>
            <w:vAlign w:val="center"/>
          </w:tcPr>
          <w:p w14:paraId="56442E10">
            <w:pPr>
              <w:pStyle w:val="10"/>
              <w:spacing w:line="23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2.2.4</w:t>
            </w:r>
          </w:p>
          <w:p w14:paraId="10A80730">
            <w:pPr>
              <w:pStyle w:val="10"/>
              <w:spacing w:line="23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w:t>
            </w:r>
          </w:p>
        </w:tc>
        <w:tc>
          <w:tcPr>
            <w:tcW w:w="150" w:type="pct"/>
            <w:gridSpan w:val="2"/>
            <w:vMerge w:val="restart"/>
            <w:vAlign w:val="center"/>
          </w:tcPr>
          <w:p w14:paraId="19287B15">
            <w:pPr>
              <w:pStyle w:val="10"/>
              <w:spacing w:before="143" w:line="228" w:lineRule="auto"/>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其他因素</w:t>
            </w:r>
          </w:p>
        </w:tc>
        <w:tc>
          <w:tcPr>
            <w:tcW w:w="255" w:type="pct"/>
            <w:gridSpan w:val="2"/>
            <w:vAlign w:val="center"/>
          </w:tcPr>
          <w:p w14:paraId="41068269">
            <w:pPr>
              <w:pStyle w:val="10"/>
              <w:spacing w:before="143" w:line="228" w:lineRule="auto"/>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eastAsia="zh-CN" w:bidi="zh-CN"/>
              </w:rPr>
              <w:t>技术能力</w:t>
            </w:r>
          </w:p>
        </w:tc>
        <w:tc>
          <w:tcPr>
            <w:tcW w:w="345" w:type="pct"/>
            <w:vAlign w:val="center"/>
          </w:tcPr>
          <w:p w14:paraId="31C5CF4F">
            <w:pPr>
              <w:widowControl w:val="0"/>
              <w:spacing w:line="321" w:lineRule="auto"/>
              <w:ind w:left="191" w:right="182"/>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eastAsia="zh-CN" w:bidi="zh-CN"/>
              </w:rPr>
              <w:t>5</w:t>
            </w:r>
            <w:r>
              <w:rPr>
                <w:rFonts w:hint="eastAsia" w:ascii="仿宋" w:hAnsi="仿宋" w:eastAsia="仿宋" w:cs="仿宋"/>
                <w:color w:val="auto"/>
                <w:sz w:val="22"/>
                <w:szCs w:val="22"/>
                <w:highlight w:val="none"/>
                <w:lang w:val="zh-CN" w:eastAsia="zh-CN" w:bidi="zh-CN"/>
              </w:rPr>
              <w:t>分</w:t>
            </w:r>
          </w:p>
        </w:tc>
        <w:tc>
          <w:tcPr>
            <w:tcW w:w="3859" w:type="pct"/>
            <w:gridSpan w:val="4"/>
            <w:vAlign w:val="center"/>
          </w:tcPr>
          <w:p w14:paraId="0CAEE963">
            <w:pPr>
              <w:widowControl w:val="0"/>
              <w:spacing w:line="321" w:lineRule="auto"/>
              <w:ind w:right="182"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（1）投标人获得与项目施工有关的国家级工法、专利（发明专利或实用新型专利）、国家级科学技术进步奖、鲁班奖、詹天佑奖，主编或参编过国家标准，每项加</w:t>
            </w:r>
            <w:r>
              <w:rPr>
                <w:rFonts w:hint="eastAsia" w:ascii="仿宋" w:hAnsi="仿宋" w:eastAsia="仿宋" w:cs="仿宋"/>
                <w:color w:val="auto"/>
                <w:sz w:val="22"/>
                <w:szCs w:val="22"/>
                <w:highlight w:val="none"/>
                <w:lang w:eastAsia="zh-CN" w:bidi="zh-CN"/>
              </w:rPr>
              <w:t>1</w:t>
            </w:r>
            <w:r>
              <w:rPr>
                <w:rFonts w:hint="eastAsia" w:ascii="仿宋" w:hAnsi="仿宋" w:eastAsia="仿宋" w:cs="仿宋"/>
                <w:color w:val="auto"/>
                <w:sz w:val="22"/>
                <w:szCs w:val="22"/>
                <w:highlight w:val="none"/>
                <w:lang w:val="zh-CN" w:eastAsia="zh-CN" w:bidi="zh-CN"/>
              </w:rPr>
              <w:t>分；</w:t>
            </w:r>
          </w:p>
          <w:p w14:paraId="2D3C2CB8">
            <w:pPr>
              <w:widowControl w:val="0"/>
              <w:spacing w:line="321" w:lineRule="auto"/>
              <w:ind w:right="182"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（2）投标人获得省级科学技术进步奖，主编或参编过的行业或地方（指省级）标准，每项加</w:t>
            </w:r>
            <w:r>
              <w:rPr>
                <w:rFonts w:hint="eastAsia" w:ascii="仿宋" w:hAnsi="仿宋" w:eastAsia="仿宋" w:cs="仿宋"/>
                <w:color w:val="auto"/>
                <w:sz w:val="22"/>
                <w:szCs w:val="22"/>
                <w:highlight w:val="none"/>
                <w:lang w:eastAsia="zh-CN" w:bidi="zh-CN"/>
              </w:rPr>
              <w:t>1</w:t>
            </w:r>
            <w:r>
              <w:rPr>
                <w:rFonts w:hint="eastAsia" w:ascii="仿宋" w:hAnsi="仿宋" w:eastAsia="仿宋" w:cs="仿宋"/>
                <w:color w:val="auto"/>
                <w:sz w:val="22"/>
                <w:szCs w:val="22"/>
                <w:highlight w:val="none"/>
                <w:lang w:val="zh-CN" w:eastAsia="zh-CN" w:bidi="zh-CN"/>
              </w:rPr>
              <w:t>分；</w:t>
            </w:r>
          </w:p>
          <w:p w14:paraId="788C59B2">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注：</w:t>
            </w:r>
            <w:r>
              <w:rPr>
                <w:rFonts w:hint="eastAsia" w:ascii="仿宋" w:hAnsi="仿宋" w:eastAsia="仿宋" w:cs="仿宋"/>
                <w:b/>
                <w:bCs/>
                <w:color w:val="auto"/>
                <w:sz w:val="22"/>
                <w:szCs w:val="22"/>
                <w:highlight w:val="none"/>
                <w:lang w:val="zh-CN" w:eastAsia="zh-CN" w:bidi="zh-CN"/>
              </w:rPr>
              <w:t>技术能力加分最高</w:t>
            </w:r>
            <w:r>
              <w:rPr>
                <w:rFonts w:hint="eastAsia" w:ascii="仿宋" w:hAnsi="仿宋" w:eastAsia="仿宋" w:cs="仿宋"/>
                <w:b/>
                <w:bCs/>
                <w:color w:val="auto"/>
                <w:sz w:val="22"/>
                <w:szCs w:val="22"/>
                <w:highlight w:val="none"/>
                <w:lang w:eastAsia="zh-CN" w:bidi="zh-CN"/>
              </w:rPr>
              <w:t>5</w:t>
            </w:r>
            <w:r>
              <w:rPr>
                <w:rFonts w:hint="eastAsia" w:ascii="仿宋" w:hAnsi="仿宋" w:eastAsia="仿宋" w:cs="仿宋"/>
                <w:b/>
                <w:bCs/>
                <w:color w:val="auto"/>
                <w:sz w:val="22"/>
                <w:szCs w:val="22"/>
                <w:highlight w:val="none"/>
                <w:lang w:val="zh-CN" w:eastAsia="zh-CN" w:bidi="zh-CN"/>
              </w:rPr>
              <w:t>分</w:t>
            </w:r>
            <w:r>
              <w:rPr>
                <w:rFonts w:hint="eastAsia" w:ascii="仿宋" w:hAnsi="仿宋" w:eastAsia="仿宋" w:cs="仿宋"/>
                <w:color w:val="auto"/>
                <w:sz w:val="22"/>
                <w:szCs w:val="22"/>
                <w:highlight w:val="none"/>
                <w:lang w:val="zh-CN" w:eastAsia="zh-CN" w:bidi="zh-CN"/>
              </w:rPr>
              <w:t>，同一事项按较高分只计一次。国家级科学技术进步奖颁发部门为国务院（查询网址：国家科学技术奖励工作办公室http://www.nosta.gov.cn/），鲁班奖颁发部门为中国建筑业协会（中国建筑业协会http://www.zgjzy.org.cn/）詹天佑奖颁发部门为中国土木工程学会（查询网址：中国土木工程学会http://123.57.212.98/），专利证书须提供网址查询结果截图和证书文件，国家或行业标准须提供网址查询结果截图和标准文件。</w:t>
            </w:r>
            <w:r>
              <w:rPr>
                <w:rFonts w:hint="eastAsia" w:ascii="仿宋" w:hAnsi="仿宋" w:eastAsia="仿宋" w:cs="仿宋"/>
                <w:color w:val="auto"/>
                <w:sz w:val="22"/>
                <w:szCs w:val="22"/>
                <w:highlight w:val="none"/>
                <w:lang w:eastAsia="zh-CN" w:bidi="zh-CN"/>
              </w:rPr>
              <w:t>若投标人为联合体投标，此处仅计算一间公司的荣誉计分。</w:t>
            </w:r>
          </w:p>
        </w:tc>
      </w:tr>
      <w:tr w14:paraId="7501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0" w:hRule="atLeast"/>
          <w:jc w:val="center"/>
        </w:trPr>
        <w:tc>
          <w:tcPr>
            <w:tcW w:w="389" w:type="pct"/>
            <w:vMerge w:val="continue"/>
            <w:vAlign w:val="center"/>
          </w:tcPr>
          <w:p w14:paraId="03EA374C">
            <w:pPr>
              <w:pStyle w:val="10"/>
              <w:spacing w:line="230" w:lineRule="auto"/>
              <w:jc w:val="center"/>
              <w:rPr>
                <w:rFonts w:hint="eastAsia" w:ascii="仿宋" w:hAnsi="仿宋" w:eastAsia="仿宋" w:cs="仿宋"/>
                <w:color w:val="auto"/>
                <w:sz w:val="22"/>
                <w:szCs w:val="22"/>
                <w:highlight w:val="none"/>
                <w:lang w:eastAsia="zh-CN"/>
              </w:rPr>
            </w:pPr>
          </w:p>
        </w:tc>
        <w:tc>
          <w:tcPr>
            <w:tcW w:w="150" w:type="pct"/>
            <w:gridSpan w:val="2"/>
            <w:vMerge w:val="continue"/>
            <w:vAlign w:val="center"/>
          </w:tcPr>
          <w:p w14:paraId="4B581635">
            <w:pPr>
              <w:pStyle w:val="10"/>
              <w:spacing w:before="143" w:line="228" w:lineRule="auto"/>
              <w:jc w:val="center"/>
              <w:rPr>
                <w:rFonts w:hint="eastAsia" w:ascii="仿宋" w:hAnsi="仿宋" w:eastAsia="仿宋" w:cs="仿宋"/>
                <w:color w:val="auto"/>
                <w:sz w:val="22"/>
                <w:szCs w:val="22"/>
                <w:highlight w:val="none"/>
                <w:lang w:eastAsia="zh-CN" w:bidi="zh-CN"/>
              </w:rPr>
            </w:pPr>
          </w:p>
        </w:tc>
        <w:tc>
          <w:tcPr>
            <w:tcW w:w="255" w:type="pct"/>
            <w:gridSpan w:val="2"/>
            <w:vAlign w:val="center"/>
          </w:tcPr>
          <w:p w14:paraId="0D58C08E">
            <w:pPr>
              <w:pStyle w:val="10"/>
              <w:spacing w:before="143" w:line="228" w:lineRule="auto"/>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财务能力</w:t>
            </w:r>
          </w:p>
        </w:tc>
        <w:tc>
          <w:tcPr>
            <w:tcW w:w="345" w:type="pct"/>
            <w:vAlign w:val="center"/>
          </w:tcPr>
          <w:p w14:paraId="20DFBE23">
            <w:pPr>
              <w:pStyle w:val="10"/>
              <w:spacing w:before="143" w:line="228" w:lineRule="auto"/>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5分</w:t>
            </w:r>
          </w:p>
        </w:tc>
        <w:tc>
          <w:tcPr>
            <w:tcW w:w="3859" w:type="pct"/>
            <w:gridSpan w:val="4"/>
            <w:shd w:val="clear" w:color="auto" w:fill="auto"/>
            <w:vAlign w:val="center"/>
          </w:tcPr>
          <w:p w14:paraId="428E012F">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满足资格审查条件（财务最低要求）的得基本分1分，在此基础上：</w:t>
            </w:r>
          </w:p>
          <w:p w14:paraId="5CD031F4">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近三个年度的平均营业总收入每累计增加800 万元（尾数不计）加 0.1分，最高加分不超过4分。</w:t>
            </w:r>
          </w:p>
          <w:p w14:paraId="3A193B3A">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注：若为联合体投标，以牵头单位数据为准。</w:t>
            </w:r>
          </w:p>
        </w:tc>
      </w:tr>
      <w:tr w14:paraId="71C3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389" w:type="pct"/>
            <w:vMerge w:val="continue"/>
            <w:vAlign w:val="center"/>
          </w:tcPr>
          <w:p w14:paraId="671C99FB">
            <w:pPr>
              <w:pStyle w:val="10"/>
              <w:spacing w:line="230" w:lineRule="auto"/>
              <w:jc w:val="center"/>
              <w:rPr>
                <w:rFonts w:hint="eastAsia" w:ascii="仿宋" w:hAnsi="仿宋" w:eastAsia="仿宋" w:cs="仿宋"/>
                <w:color w:val="auto"/>
                <w:sz w:val="22"/>
                <w:szCs w:val="22"/>
                <w:highlight w:val="none"/>
                <w:lang w:eastAsia="zh-CN"/>
              </w:rPr>
            </w:pPr>
          </w:p>
        </w:tc>
        <w:tc>
          <w:tcPr>
            <w:tcW w:w="150" w:type="pct"/>
            <w:gridSpan w:val="2"/>
            <w:vMerge w:val="continue"/>
            <w:vAlign w:val="center"/>
          </w:tcPr>
          <w:p w14:paraId="4F4C1337">
            <w:pPr>
              <w:pStyle w:val="10"/>
              <w:spacing w:before="143" w:line="228" w:lineRule="auto"/>
              <w:jc w:val="center"/>
              <w:rPr>
                <w:rFonts w:hint="eastAsia" w:ascii="仿宋" w:hAnsi="仿宋" w:eastAsia="仿宋" w:cs="仿宋"/>
                <w:color w:val="auto"/>
                <w:sz w:val="22"/>
                <w:szCs w:val="22"/>
                <w:highlight w:val="none"/>
                <w:lang w:eastAsia="zh-CN" w:bidi="zh-CN"/>
              </w:rPr>
            </w:pPr>
          </w:p>
        </w:tc>
        <w:tc>
          <w:tcPr>
            <w:tcW w:w="255" w:type="pct"/>
            <w:gridSpan w:val="2"/>
            <w:vAlign w:val="center"/>
          </w:tcPr>
          <w:p w14:paraId="348A0770">
            <w:pPr>
              <w:pStyle w:val="10"/>
              <w:spacing w:before="143" w:line="228" w:lineRule="auto"/>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类似项目业绩</w:t>
            </w:r>
          </w:p>
        </w:tc>
        <w:tc>
          <w:tcPr>
            <w:tcW w:w="345" w:type="pct"/>
            <w:vAlign w:val="center"/>
          </w:tcPr>
          <w:p w14:paraId="2E4C2117">
            <w:pPr>
              <w:widowControl w:val="0"/>
              <w:ind w:right="182"/>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10分</w:t>
            </w:r>
          </w:p>
        </w:tc>
        <w:tc>
          <w:tcPr>
            <w:tcW w:w="3859" w:type="pct"/>
            <w:gridSpan w:val="4"/>
            <w:shd w:val="clear" w:color="auto" w:fill="auto"/>
            <w:vAlign w:val="center"/>
          </w:tcPr>
          <w:p w14:paraId="399E3B2F">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满足资格条件（业绩最低要求）的得基本分2分，在此基础上：</w:t>
            </w:r>
          </w:p>
          <w:p w14:paraId="06514D06">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（1）每累计增加10km（尾数不计）类似工程设计，加1分，最高加4分；</w:t>
            </w:r>
          </w:p>
          <w:p w14:paraId="78049593">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（2）每累计增加10km（尾数不计）类似工程，四级或以上公路施工工程，加1分，最高加4分。</w:t>
            </w:r>
          </w:p>
          <w:p w14:paraId="62EB23A8">
            <w:pPr>
              <w:widowControl w:val="0"/>
              <w:spacing w:line="321" w:lineRule="auto"/>
              <w:ind w:right="182" w:firstLine="440" w:firstLineChars="200"/>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eastAsia="zh-CN" w:bidi="zh-CN"/>
              </w:rPr>
              <w:t>注：年份以2020年1月1日至投标截止日止。</w:t>
            </w:r>
          </w:p>
        </w:tc>
      </w:tr>
      <w:tr w14:paraId="72D2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1" w:hRule="atLeast"/>
          <w:jc w:val="center"/>
        </w:trPr>
        <w:tc>
          <w:tcPr>
            <w:tcW w:w="389" w:type="pct"/>
            <w:vMerge w:val="continue"/>
          </w:tcPr>
          <w:p w14:paraId="01F270AA">
            <w:pPr>
              <w:pStyle w:val="10"/>
              <w:spacing w:line="230" w:lineRule="auto"/>
              <w:jc w:val="center"/>
              <w:rPr>
                <w:rFonts w:hint="eastAsia" w:ascii="仿宋" w:hAnsi="仿宋" w:eastAsia="仿宋" w:cs="仿宋"/>
                <w:color w:val="auto"/>
                <w:sz w:val="22"/>
                <w:szCs w:val="22"/>
                <w:highlight w:val="none"/>
                <w:lang w:eastAsia="zh-CN"/>
              </w:rPr>
            </w:pPr>
          </w:p>
        </w:tc>
        <w:tc>
          <w:tcPr>
            <w:tcW w:w="150" w:type="pct"/>
            <w:gridSpan w:val="2"/>
            <w:vMerge w:val="continue"/>
          </w:tcPr>
          <w:p w14:paraId="4CD8DB23">
            <w:pPr>
              <w:pStyle w:val="10"/>
              <w:spacing w:before="143" w:line="228" w:lineRule="auto"/>
              <w:rPr>
                <w:rFonts w:hint="eastAsia" w:ascii="仿宋" w:hAnsi="仿宋" w:eastAsia="仿宋" w:cs="仿宋"/>
                <w:color w:val="auto"/>
                <w:sz w:val="22"/>
                <w:szCs w:val="22"/>
                <w:highlight w:val="none"/>
                <w:lang w:eastAsia="zh-CN" w:bidi="zh-CN"/>
              </w:rPr>
            </w:pPr>
          </w:p>
        </w:tc>
        <w:tc>
          <w:tcPr>
            <w:tcW w:w="255" w:type="pct"/>
            <w:gridSpan w:val="2"/>
            <w:vAlign w:val="center"/>
          </w:tcPr>
          <w:p w14:paraId="365B9C18">
            <w:pPr>
              <w:pStyle w:val="10"/>
              <w:spacing w:before="143" w:line="228" w:lineRule="auto"/>
              <w:jc w:val="center"/>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val="zh-CN" w:eastAsia="zh-CN" w:bidi="zh-CN"/>
              </w:rPr>
              <w:t>履约信誉</w:t>
            </w:r>
          </w:p>
        </w:tc>
        <w:tc>
          <w:tcPr>
            <w:tcW w:w="345" w:type="pct"/>
            <w:vAlign w:val="center"/>
          </w:tcPr>
          <w:p w14:paraId="73800F0B">
            <w:pPr>
              <w:pStyle w:val="10"/>
              <w:spacing w:before="143" w:line="228" w:lineRule="auto"/>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5分</w:t>
            </w:r>
          </w:p>
        </w:tc>
        <w:tc>
          <w:tcPr>
            <w:tcW w:w="3859" w:type="pct"/>
            <w:gridSpan w:val="4"/>
          </w:tcPr>
          <w:p w14:paraId="12CE2065">
            <w:pPr>
              <w:widowControl w:val="0"/>
              <w:spacing w:line="321" w:lineRule="auto"/>
              <w:ind w:right="182"/>
              <w:rPr>
                <w:rFonts w:hint="eastAsia" w:ascii="仿宋" w:hAnsi="仿宋" w:eastAsia="仿宋" w:cs="仿宋"/>
                <w:color w:val="auto"/>
                <w:sz w:val="22"/>
                <w:szCs w:val="22"/>
                <w:highlight w:val="none"/>
                <w:lang w:eastAsia="zh-CN" w:bidi="zh-CN"/>
              </w:rPr>
            </w:pPr>
            <w:r>
              <w:rPr>
                <w:rFonts w:hint="eastAsia" w:ascii="仿宋" w:hAnsi="仿宋" w:eastAsia="仿宋" w:cs="仿宋"/>
                <w:b/>
                <w:bCs/>
                <w:color w:val="auto"/>
                <w:sz w:val="22"/>
                <w:szCs w:val="22"/>
                <w:highlight w:val="none"/>
                <w:lang w:eastAsia="zh-CN" w:bidi="zh-CN"/>
              </w:rPr>
              <w:t>履约情况（ 5 分）</w:t>
            </w:r>
          </w:p>
          <w:p w14:paraId="08BD7EDD">
            <w:pPr>
              <w:widowControl w:val="0"/>
              <w:spacing w:line="321" w:lineRule="auto"/>
              <w:ind w:left="191"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若没出现下述情形得满分；</w:t>
            </w:r>
          </w:p>
          <w:p w14:paraId="68B8924A">
            <w:pPr>
              <w:widowControl w:val="0"/>
              <w:spacing w:line="321" w:lineRule="auto"/>
              <w:ind w:right="182"/>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投标文件递交截止日前1年内，投标人因公路工程（含附属设施）质量、安全、履约或招标投标问题等原因被：</w:t>
            </w:r>
          </w:p>
          <w:p w14:paraId="0BD10EF5">
            <w:pPr>
              <w:widowControl w:val="0"/>
              <w:spacing w:line="321" w:lineRule="auto"/>
              <w:ind w:right="182"/>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（1）交通运输部行政处罚的，扣 5 分/次。</w:t>
            </w:r>
          </w:p>
          <w:p w14:paraId="6E3779F5">
            <w:pPr>
              <w:widowControl w:val="0"/>
              <w:spacing w:line="321" w:lineRule="auto"/>
              <w:ind w:right="182"/>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（2）广东省交通运输厅行政处罚的，扣 3 分/次。</w:t>
            </w:r>
          </w:p>
          <w:p w14:paraId="614EAB9B">
            <w:pPr>
              <w:widowControl w:val="0"/>
              <w:spacing w:line="321" w:lineRule="auto"/>
              <w:ind w:right="182"/>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（3）招标项目所在地地级以上市交通运输局行政处罚的，扣 1.5 分/次。</w:t>
            </w:r>
          </w:p>
          <w:p w14:paraId="221A400A">
            <w:pPr>
              <w:widowControl w:val="0"/>
              <w:spacing w:line="321" w:lineRule="auto"/>
              <w:ind w:right="182"/>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（4）广东省交通运输厅正式约谈的，扣 0.1 分/次。</w:t>
            </w:r>
          </w:p>
          <w:p w14:paraId="6417743B">
            <w:pPr>
              <w:widowControl w:val="0"/>
              <w:spacing w:line="321" w:lineRule="auto"/>
              <w:ind w:right="182"/>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eastAsia="zh-CN" w:bidi="zh-CN"/>
              </w:rPr>
              <w:t>同一事项同时被多个部门行政处罚或正式约谈只按最高的扣分计算1次。如果扣完本项分值，可以从总分中扣。</w:t>
            </w:r>
          </w:p>
        </w:tc>
      </w:tr>
      <w:tr w14:paraId="7E1D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5000" w:type="pct"/>
            <w:gridSpan w:val="10"/>
            <w:vAlign w:val="center"/>
          </w:tcPr>
          <w:p w14:paraId="203DCE38">
            <w:pPr>
              <w:widowControl w:val="0"/>
              <w:spacing w:before="1"/>
              <w:ind w:left="107"/>
              <w:jc w:val="center"/>
              <w:rPr>
                <w:rFonts w:hint="eastAsia" w:ascii="仿宋" w:hAnsi="仿宋" w:eastAsia="仿宋" w:cs="仿宋"/>
                <w:color w:val="auto"/>
                <w:spacing w:val="8"/>
                <w:sz w:val="22"/>
                <w:szCs w:val="22"/>
                <w:highlight w:val="none"/>
                <w:lang w:eastAsia="zh-CN"/>
              </w:rPr>
            </w:pPr>
            <w:r>
              <w:rPr>
                <w:rFonts w:hint="eastAsia" w:ascii="仿宋" w:hAnsi="仿宋" w:eastAsia="仿宋" w:cs="仿宋"/>
                <w:b/>
                <w:color w:val="auto"/>
                <w:sz w:val="22"/>
                <w:szCs w:val="22"/>
                <w:highlight w:val="none"/>
                <w:lang w:val="zh-CN" w:eastAsia="zh-CN" w:bidi="zh-CN"/>
              </w:rPr>
              <w:t>需要补充的其他内容：</w:t>
            </w:r>
          </w:p>
        </w:tc>
      </w:tr>
      <w:tr w14:paraId="536D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457" w:type="pct"/>
            <w:gridSpan w:val="2"/>
            <w:vAlign w:val="center"/>
          </w:tcPr>
          <w:p w14:paraId="3BB62B18">
            <w:pPr>
              <w:widowControl w:val="0"/>
              <w:spacing w:before="11"/>
              <w:ind w:left="143" w:right="133"/>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zh-CN" w:eastAsia="zh-CN" w:bidi="zh-CN"/>
              </w:rPr>
              <w:t>条款号</w:t>
            </w:r>
          </w:p>
        </w:tc>
        <w:tc>
          <w:tcPr>
            <w:tcW w:w="4542" w:type="pct"/>
            <w:gridSpan w:val="8"/>
            <w:vAlign w:val="center"/>
          </w:tcPr>
          <w:p w14:paraId="56A001AC">
            <w:pPr>
              <w:widowControl w:val="0"/>
              <w:spacing w:before="11"/>
              <w:ind w:left="3179" w:right="3168"/>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zh-CN" w:eastAsia="zh-CN" w:bidi="zh-CN"/>
              </w:rPr>
              <w:t>补充或修改的内容</w:t>
            </w:r>
          </w:p>
        </w:tc>
      </w:tr>
      <w:tr w14:paraId="65F3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jc w:val="center"/>
        </w:trPr>
        <w:tc>
          <w:tcPr>
            <w:tcW w:w="457" w:type="pct"/>
            <w:gridSpan w:val="2"/>
            <w:vAlign w:val="center"/>
          </w:tcPr>
          <w:p w14:paraId="18DA3855">
            <w:pPr>
              <w:widowControl w:val="0"/>
              <w:spacing w:before="130"/>
              <w:ind w:left="7"/>
              <w:jc w:val="center"/>
              <w:rPr>
                <w:rFonts w:hint="eastAsia" w:ascii="仿宋" w:hAnsi="仿宋" w:eastAsia="仿宋" w:cs="仿宋"/>
                <w:color w:val="auto"/>
                <w:sz w:val="22"/>
                <w:szCs w:val="22"/>
                <w:highlight w:val="none"/>
              </w:rPr>
            </w:pPr>
            <w:r>
              <w:rPr>
                <w:rFonts w:hint="eastAsia" w:ascii="仿宋" w:hAnsi="仿宋" w:eastAsia="仿宋" w:cs="仿宋"/>
                <w:color w:val="auto"/>
                <w:w w:val="99"/>
                <w:sz w:val="22"/>
                <w:szCs w:val="22"/>
                <w:highlight w:val="none"/>
                <w:lang w:val="zh-CN" w:eastAsia="zh-CN" w:bidi="zh-CN"/>
              </w:rPr>
              <w:t>1</w:t>
            </w:r>
          </w:p>
        </w:tc>
        <w:tc>
          <w:tcPr>
            <w:tcW w:w="4542" w:type="pct"/>
            <w:gridSpan w:val="8"/>
            <w:shd w:val="clear" w:color="auto" w:fill="auto"/>
            <w:vAlign w:val="center"/>
          </w:tcPr>
          <w:p w14:paraId="2FA4D838">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评标办法范本原文增加 3.9.3 款-3.9.6 款:</w:t>
            </w:r>
          </w:p>
          <w:p w14:paraId="2A7F0A19">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3.9.3 推荐中标候选人方式:按综合评分得分由高低顺序依次选定中标候选人，如果出现多个投标人综合评分相等时，由评标委员会依照评标办法前附表1评标办法规定推荐中标候选人。</w:t>
            </w:r>
          </w:p>
          <w:p w14:paraId="4B1D6586">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3.9.4 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4D622375">
            <w:pPr>
              <w:widowControl w:val="0"/>
              <w:spacing w:line="321" w:lineRule="auto"/>
              <w:ind w:right="182" w:firstLine="440" w:firstLineChars="200"/>
              <w:rPr>
                <w:rFonts w:hint="eastAsia" w:ascii="仿宋" w:hAnsi="仿宋" w:eastAsia="仿宋" w:cs="仿宋"/>
                <w:color w:val="auto"/>
                <w:sz w:val="22"/>
                <w:szCs w:val="22"/>
                <w:highlight w:val="none"/>
                <w:lang w:eastAsia="zh-CN" w:bidi="zh-CN"/>
              </w:rPr>
            </w:pPr>
            <w:r>
              <w:rPr>
                <w:rFonts w:hint="eastAsia" w:ascii="仿宋" w:hAnsi="仿宋" w:eastAsia="仿宋" w:cs="仿宋"/>
                <w:color w:val="auto"/>
                <w:sz w:val="22"/>
                <w:szCs w:val="22"/>
                <w:highlight w:val="none"/>
                <w:lang w:eastAsia="zh-CN" w:bidi="zh-CN"/>
              </w:rPr>
              <w:t>3.9.5 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14:paraId="2440D338">
            <w:pPr>
              <w:widowControl w:val="0"/>
              <w:spacing w:line="321" w:lineRule="auto"/>
              <w:ind w:right="182"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bidi="zh-CN"/>
              </w:rPr>
              <w:t>3.9.6如果发生无法确定推荐中标候选人的其他意外情况，评标委员会可建议招标人重新招标。</w:t>
            </w:r>
          </w:p>
        </w:tc>
      </w:tr>
    </w:tbl>
    <w:p w14:paraId="55D4CE77">
      <w:pPr>
        <w:spacing w:line="246" w:lineRule="auto"/>
        <w:rPr>
          <w:rFonts w:hint="eastAsia" w:ascii="仿宋" w:hAnsi="仿宋" w:eastAsia="仿宋" w:cs="仿宋"/>
          <w:color w:val="auto"/>
          <w:highlight w:val="none"/>
          <w:lang w:eastAsia="zh-CN"/>
        </w:rPr>
      </w:pPr>
    </w:p>
    <w:p w14:paraId="60018B70">
      <w:pPr>
        <w:spacing w:before="228"/>
        <w:rPr>
          <w:rFonts w:hint="eastAsia" w:ascii="仿宋" w:hAnsi="仿宋" w:eastAsia="仿宋" w:cs="仿宋"/>
          <w:color w:val="auto"/>
          <w:highlight w:val="none"/>
          <w:lang w:eastAsia="zh-CN"/>
        </w:rPr>
      </w:pPr>
    </w:p>
    <w:p w14:paraId="364F2A38">
      <w:pPr>
        <w:spacing w:line="266" w:lineRule="auto"/>
        <w:rPr>
          <w:rFonts w:hint="eastAsia" w:ascii="仿宋" w:hAnsi="仿宋" w:eastAsia="仿宋" w:cs="仿宋"/>
          <w:color w:val="auto"/>
          <w:highlight w:val="none"/>
          <w:lang w:eastAsia="zh-CN"/>
        </w:rPr>
      </w:pPr>
    </w:p>
    <w:p w14:paraId="16137AB7">
      <w:pPr>
        <w:pStyle w:val="4"/>
        <w:spacing w:before="101" w:line="226" w:lineRule="auto"/>
        <w:ind w:left="2572"/>
        <w:rPr>
          <w:rFonts w:hint="eastAsia" w:ascii="仿宋" w:hAnsi="仿宋" w:eastAsia="仿宋" w:cs="仿宋"/>
          <w:color w:val="auto"/>
          <w:spacing w:val="36"/>
          <w:sz w:val="31"/>
          <w:szCs w:val="31"/>
          <w:highlight w:val="none"/>
          <w:lang w:eastAsia="zh-CN"/>
          <w14:textOutline w14:w="5791" w14:cap="sq" w14:cmpd="sng" w14:algn="ctr">
            <w14:solidFill>
              <w14:srgbClr w14:val="000000"/>
            </w14:solidFill>
            <w14:prstDash w14:val="solid"/>
            <w14:bevel/>
          </w14:textOutline>
        </w:rPr>
      </w:pPr>
    </w:p>
    <w:p w14:paraId="04578631">
      <w:pPr>
        <w:rPr>
          <w:rFonts w:hint="eastAsia" w:ascii="仿宋" w:hAnsi="仿宋" w:eastAsia="仿宋" w:cs="仿宋"/>
          <w:color w:val="auto"/>
          <w:spacing w:val="36"/>
          <w:sz w:val="31"/>
          <w:szCs w:val="31"/>
          <w:highlight w:val="none"/>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36"/>
          <w:sz w:val="31"/>
          <w:szCs w:val="31"/>
          <w:highlight w:val="none"/>
          <w:lang w:eastAsia="zh-CN"/>
          <w14:textOutline w14:w="5791" w14:cap="sq" w14:cmpd="sng" w14:algn="ctr">
            <w14:solidFill>
              <w14:srgbClr w14:val="000000"/>
            </w14:solidFill>
            <w14:prstDash w14:val="solid"/>
            <w14:bevel/>
          </w14:textOutline>
        </w:rPr>
        <w:br w:type="page"/>
      </w:r>
    </w:p>
    <w:p w14:paraId="2CC3B2C2">
      <w:pPr>
        <w:pStyle w:val="3"/>
        <w:rPr>
          <w:rFonts w:hint="eastAsia" w:ascii="仿宋" w:hAnsi="仿宋" w:eastAsia="仿宋" w:cs="仿宋"/>
          <w:color w:val="auto"/>
          <w:sz w:val="22"/>
          <w:szCs w:val="22"/>
          <w:highlight w:val="none"/>
          <w:lang w:eastAsia="zh-CN"/>
        </w:rPr>
      </w:pPr>
      <w:bookmarkStart w:id="2" w:name="_Toc529780863"/>
      <w:r>
        <w:rPr>
          <w:rFonts w:hint="eastAsia" w:ascii="仿宋" w:hAnsi="仿宋" w:eastAsia="仿宋" w:cs="仿宋"/>
          <w:color w:val="auto"/>
          <w:sz w:val="22"/>
          <w:szCs w:val="22"/>
          <w:highlight w:val="none"/>
          <w:lang w:eastAsia="zh-CN"/>
        </w:rPr>
        <w:t>1.评标方法、组织及工作程序</w:t>
      </w:r>
    </w:p>
    <w:p w14:paraId="6AAD95B7">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1.1 评标方法</w:t>
      </w:r>
    </w:p>
    <w:p w14:paraId="20557422">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本次评标采用双信封的综合评分法。评标委员会对满足招标文件实质性要求的投标文件，按照本章第2.2款规定的评分标准进行打分，并按综合得分由高到低顺序推荐中标候选人，但投标报价低于其成本的除外。综合得分相等时，评标委员会应按照评标办法前附表规定的优先次序推荐中标候选人或确定中标人。</w:t>
      </w:r>
    </w:p>
    <w:p w14:paraId="0955105A">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1.2 评标组织</w:t>
      </w:r>
    </w:p>
    <w:p w14:paraId="1F60F190">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1.2.1 协助工作组</w:t>
      </w:r>
    </w:p>
    <w:p w14:paraId="651FE2DF">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招标人可在评标工作开始前成立协助工作组，选派熟悉招标工作、政治素质高的人员组成，协助评标委员会工作。协助工作组人员的具体数量由招标人视评标工作量确定。</w:t>
      </w:r>
    </w:p>
    <w:p w14:paraId="134F82BF">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招标人可以协助评标委员会开展下列工作并提供相关信息：</w:t>
      </w:r>
    </w:p>
    <w:p w14:paraId="6C5784EB">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（1）根据招标文件，编制评标使用的相应表格；</w:t>
      </w:r>
    </w:p>
    <w:p w14:paraId="749319AA">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（2）对投标报价进行算术性校核；</w:t>
      </w:r>
    </w:p>
    <w:p w14:paraId="4A4C76FC">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（3）以评标标准和方法为依据，列出投标文件相对于招标文件的所有偏差，并进行归类汇总；</w:t>
      </w:r>
    </w:p>
    <w:p w14:paraId="727D6E7F">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（4）查询公路建设市场信用信息管理系统及相关网站，对投标人的资质、业绩、主要人员资历和目前在岗情况进行核实（如需）。</w:t>
      </w:r>
    </w:p>
    <w:p w14:paraId="5104ECE1">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招标人不得对投标文件作出任何评价，不得故意遗漏或者片面摘录，不得在评标委员会对所有偏差定性之前透露存有偏差的投标人名称。</w:t>
      </w:r>
    </w:p>
    <w:p w14:paraId="45005F8F">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1.2.2 评标委员会</w:t>
      </w:r>
    </w:p>
    <w:p w14:paraId="3A5ED966">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评标委员会由招标人按国家、广东省等的有关规定依法组建。评标委员会的主要工作内容包括：</w:t>
      </w:r>
    </w:p>
    <w:p w14:paraId="63C6FFD6">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（1）评标委员会开始评标工作之前，首先听取招标人、协助工作组关于工程情况和辅助工作的说明，并认真研读招标文件，获取评标所需的重要信息和数据；</w:t>
      </w:r>
    </w:p>
    <w:p w14:paraId="64519027">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（2）对协助工作组提供的评标工作用表和评标内容进行核查。</w:t>
      </w:r>
    </w:p>
    <w:p w14:paraId="28141916">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（3）按照以下1.3款程序进行各项评审工作。</w:t>
      </w:r>
    </w:p>
    <w:p w14:paraId="26133091">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1.3 评审工作程序</w:t>
      </w:r>
    </w:p>
    <w:p w14:paraId="493B00C5">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1.3.1第一个信封（商务及技术文件）：</w:t>
      </w:r>
    </w:p>
    <w:p w14:paraId="77995417">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（l）初步评审：包括形式评审与响应性评审、资格评审；</w:t>
      </w:r>
    </w:p>
    <w:p w14:paraId="503BDDFB">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（2）详细评审（评审打分）：评标委员会首先对通过初步评审的投标文件第一个信封（商务及技术文件）进行详细评审，对投标人的总承包方案、项目管理机构、其他评分因素等分别评审打分。</w:t>
      </w:r>
    </w:p>
    <w:p w14:paraId="23BFC81E">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1.3.2第二个信封（报价文件）：</w:t>
      </w:r>
    </w:p>
    <w:p w14:paraId="0F6CE9E3">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（l）初步评审：</w:t>
      </w:r>
    </w:p>
    <w:p w14:paraId="60556BC6">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①只有投标文件第一个信封通过详细评审的投标人才能继续参加第二个信封报价文件的形式评审与响应性评审；</w:t>
      </w:r>
    </w:p>
    <w:p w14:paraId="4814819E">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②报价算术性修正（如采用固化清单，本步骤省略）；</w:t>
      </w:r>
    </w:p>
    <w:p w14:paraId="55BD5972">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（2）详细评审：计算评标基准价、评标价得分及综合得分；</w:t>
      </w:r>
    </w:p>
    <w:p w14:paraId="5C1D5C74">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1.3.3投标文件相关信息的核查。</w:t>
      </w:r>
    </w:p>
    <w:p w14:paraId="6D70B983">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1.3.4投标文件的澄清和说明(如有)</w:t>
      </w:r>
    </w:p>
    <w:p w14:paraId="1889BB99">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1.3.5按评标办法规定推荐中标候选人，编写评标报告。</w:t>
      </w:r>
    </w:p>
    <w:bookmarkEnd w:id="2"/>
    <w:p w14:paraId="76EE8A5C">
      <w:pPr>
        <w:pStyle w:val="3"/>
        <w:rPr>
          <w:rFonts w:hint="eastAsia" w:ascii="仿宋" w:hAnsi="仿宋" w:eastAsia="仿宋" w:cs="仿宋"/>
          <w:color w:val="auto"/>
          <w:sz w:val="22"/>
          <w:szCs w:val="22"/>
          <w:highlight w:val="none"/>
          <w:lang w:eastAsia="zh-CN"/>
        </w:rPr>
      </w:pPr>
      <w:bookmarkStart w:id="3" w:name="_Toc529780864"/>
      <w:bookmarkStart w:id="4" w:name="_Toc179632608"/>
      <w:bookmarkStart w:id="5" w:name="_Toc152045590"/>
      <w:bookmarkStart w:id="6" w:name="_Toc152042367"/>
      <w:bookmarkStart w:id="7" w:name="_Toc144974557"/>
      <w:r>
        <w:rPr>
          <w:rFonts w:hint="eastAsia" w:ascii="仿宋" w:hAnsi="仿宋" w:eastAsia="仿宋" w:cs="仿宋"/>
          <w:color w:val="auto"/>
          <w:sz w:val="22"/>
          <w:szCs w:val="22"/>
          <w:highlight w:val="none"/>
          <w:lang w:eastAsia="zh-CN"/>
        </w:rPr>
        <w:t>2．评审标准</w:t>
      </w:r>
      <w:bookmarkEnd w:id="3"/>
      <w:bookmarkEnd w:id="4"/>
      <w:bookmarkEnd w:id="5"/>
      <w:bookmarkEnd w:id="6"/>
      <w:bookmarkEnd w:id="7"/>
    </w:p>
    <w:p w14:paraId="383EEAF3">
      <w:pPr>
        <w:spacing w:line="360" w:lineRule="auto"/>
        <w:outlineLvl w:val="2"/>
        <w:rPr>
          <w:rFonts w:hint="eastAsia" w:ascii="仿宋" w:hAnsi="仿宋" w:eastAsia="仿宋" w:cs="仿宋"/>
          <w:b/>
          <w:color w:val="auto"/>
          <w:sz w:val="22"/>
          <w:szCs w:val="22"/>
          <w:highlight w:val="none"/>
          <w:lang w:eastAsia="zh-CN"/>
        </w:rPr>
      </w:pPr>
      <w:bookmarkStart w:id="8" w:name="_Toc152042368"/>
      <w:bookmarkStart w:id="9" w:name="_Toc152045591"/>
      <w:bookmarkStart w:id="10" w:name="_Toc179632609"/>
      <w:bookmarkStart w:id="11" w:name="_Toc144974558"/>
      <w:r>
        <w:rPr>
          <w:rFonts w:hint="eastAsia" w:ascii="仿宋" w:hAnsi="仿宋" w:eastAsia="仿宋" w:cs="仿宋"/>
          <w:b/>
          <w:color w:val="auto"/>
          <w:sz w:val="22"/>
          <w:szCs w:val="22"/>
          <w:highlight w:val="none"/>
          <w:lang w:eastAsia="zh-CN"/>
        </w:rPr>
        <w:t>2.1 初步评审标准</w:t>
      </w:r>
      <w:bookmarkEnd w:id="8"/>
      <w:bookmarkEnd w:id="9"/>
      <w:bookmarkEnd w:id="10"/>
      <w:bookmarkEnd w:id="11"/>
    </w:p>
    <w:p w14:paraId="60C84C1C">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2.1.1形式评审标准：见评标办法前附表</w:t>
      </w:r>
    </w:p>
    <w:p w14:paraId="7F1CB438">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2.1.2资格评审标准：见评标办法前附表</w:t>
      </w:r>
    </w:p>
    <w:p w14:paraId="0B3AD7AF">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2.1.3响应性评审标准：见评标办法前附表</w:t>
      </w:r>
    </w:p>
    <w:p w14:paraId="6B711A7B">
      <w:pPr>
        <w:spacing w:line="360" w:lineRule="auto"/>
        <w:ind w:right="840"/>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2.2 分值构成与评分标准</w:t>
      </w:r>
    </w:p>
    <w:p w14:paraId="6D11CC94">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2.2.1 第一个信封评分分值构成</w:t>
      </w:r>
    </w:p>
    <w:p w14:paraId="5EE2392F">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（1）总承包方案：见评标办法前附表；</w:t>
      </w:r>
    </w:p>
    <w:p w14:paraId="27B89DD0">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（2）项目管理机构：见评标办法前附表；</w:t>
      </w:r>
    </w:p>
    <w:p w14:paraId="708AF0F4">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（3）投标报价：见评标办法前附表；</w:t>
      </w:r>
    </w:p>
    <w:p w14:paraId="1D4AA9EB">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（4）其他评分因素：见评标办法前附表。</w:t>
      </w:r>
    </w:p>
    <w:p w14:paraId="546557CA">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2.2.2 评标基准价计算计算方法：见评标办法前附表。</w:t>
      </w:r>
    </w:p>
    <w:p w14:paraId="4EE5BBCB">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2.2.3 投标报价的偏差率计算公式：见评标办法前附表。</w:t>
      </w:r>
    </w:p>
    <w:p w14:paraId="5E624BA9">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2.2.4 评分标准</w:t>
      </w:r>
    </w:p>
    <w:p w14:paraId="7BFD8854">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（1）总承包方案评分标准：见评标办法前附表；</w:t>
      </w:r>
    </w:p>
    <w:p w14:paraId="4863FAF9">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（2）项目管理机构评分标准：见评标办法前附表；</w:t>
      </w:r>
    </w:p>
    <w:p w14:paraId="3E9FF10F">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（3）投标报价评分标准：见评标办法前附表；</w:t>
      </w:r>
    </w:p>
    <w:p w14:paraId="18EF94AF">
      <w:pPr>
        <w:spacing w:line="360" w:lineRule="auto"/>
        <w:ind w:right="840"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（4）其他因素评分标准：见评标办法前附表。</w:t>
      </w:r>
    </w:p>
    <w:p w14:paraId="3A27B4F2">
      <w:pPr>
        <w:pStyle w:val="3"/>
        <w:rPr>
          <w:rFonts w:hint="eastAsia" w:ascii="仿宋" w:hAnsi="仿宋" w:eastAsia="仿宋" w:cs="仿宋"/>
          <w:color w:val="auto"/>
          <w:sz w:val="22"/>
          <w:szCs w:val="22"/>
          <w:highlight w:val="none"/>
          <w:lang w:eastAsia="zh-CN"/>
        </w:rPr>
      </w:pPr>
      <w:bookmarkStart w:id="12" w:name="_Toc529780865"/>
      <w:r>
        <w:rPr>
          <w:rFonts w:hint="eastAsia" w:ascii="仿宋" w:hAnsi="仿宋" w:eastAsia="仿宋" w:cs="仿宋"/>
          <w:color w:val="auto"/>
          <w:sz w:val="22"/>
          <w:szCs w:val="22"/>
          <w:highlight w:val="none"/>
          <w:lang w:eastAsia="zh-CN"/>
        </w:rPr>
        <w:t>3. 评标程序</w:t>
      </w:r>
      <w:bookmarkEnd w:id="12"/>
    </w:p>
    <w:p w14:paraId="20558AAC">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3.1 第一个信封初步评审</w:t>
      </w:r>
    </w:p>
    <w:p w14:paraId="0CB5AB66">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307D2366">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3.2 第一个信封详细评审</w:t>
      </w:r>
    </w:p>
    <w:p w14:paraId="4BC3D480">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3.2.1 评标委员会按本章第2.2款规定的量化因素和分值进行打分，并计算出各投标人的商务和技术得分。</w:t>
      </w:r>
    </w:p>
    <w:p w14:paraId="32BC012D">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（1）按本章第2.2.2项（1）目规定的评审因素的分值对施工组织设计部分计算出得分A；</w:t>
      </w:r>
    </w:p>
    <w:p w14:paraId="7185EA8B">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（2）按本章第2.2.2项（2）目规定的评审因素的分值对主要人员部分计算出得分B；</w:t>
      </w:r>
    </w:p>
    <w:p w14:paraId="3983D679">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（3）按本章第2.2.2项（4）目规定的评审因素的分值对其他部分计算出得分D。</w:t>
      </w:r>
    </w:p>
    <w:p w14:paraId="11C7C317">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3.2.2 投标人的商务和技术得分分值计算保留小数点后两位，小数点后第三位“四舍五入”。</w:t>
      </w:r>
    </w:p>
    <w:p w14:paraId="379408BF">
      <w:pPr>
        <w:spacing w:line="360" w:lineRule="auto"/>
        <w:ind w:right="70" w:firstLine="550" w:firstLineChars="25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3.2.3 投标人的商务和技术得分=A+B+D。</w:t>
      </w:r>
    </w:p>
    <w:p w14:paraId="4520547D">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投标文件总承包方案的各评分因素细分项得分均不应低于其权重分的60%（保留小数点后一位），评分低于权重分值60%的，评标委员会成员应当在评标报告中作出说明。</w:t>
      </w:r>
    </w:p>
    <w:p w14:paraId="045615BB">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3.3 第二个信封开标</w:t>
      </w:r>
    </w:p>
    <w:p w14:paraId="758C63FF">
      <w:pPr>
        <w:spacing w:line="360" w:lineRule="auto"/>
        <w:ind w:right="70" w:firstLine="550" w:firstLineChars="25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第一个信封（商务及技术文件）评审结束后，招标人将按照第二章“投标人须知”第5.1款规定的时间和地点对通过投标文件第一个信封（商务及技术文件）评审的投标文件第二个信封（报价文件）进行开标。</w:t>
      </w:r>
    </w:p>
    <w:p w14:paraId="25E52F44">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3.4 第二个信封初步评审</w:t>
      </w:r>
    </w:p>
    <w:p w14:paraId="64530078">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3.4.1 评标委员会依据本章第2.1.1项、第2.1.3项规定的评审标准对投标文件第二个信封（报价文件）进行初步评审。有一项不符合评审标准的，评标委员会应否决其投标。</w:t>
      </w:r>
    </w:p>
    <w:p w14:paraId="5F45E158">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3.4.2 投标报价有算术错误的，评标委员会按以下原则对投标报价进行修正，修正的价格经投标人书面确认后具有约束力。投标人不接受修正价格的，评标委员会应否决其投标。</w:t>
      </w:r>
    </w:p>
    <w:p w14:paraId="16E2E070">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（1）投标文件中的大写金额与小写金额不一致的，以大写金额为准；</w:t>
      </w:r>
    </w:p>
    <w:p w14:paraId="18C8D8A5">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（2）总价金额与依据单价计算出的结果不一致的，以单价金额为准修正总价，但单价金额小数点有明显错误的除外；</w:t>
      </w:r>
    </w:p>
    <w:p w14:paraId="6C2BEF01">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（3）当单价与数量相乘不等于合价时，以单价计算为准，如果单价有明显的小数点位置差错，应以标出的合价为准，同时对单价予以修正；</w:t>
      </w:r>
    </w:p>
    <w:p w14:paraId="6C7CFAFD">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（4）当各子目的合价累计不等于总价时，应以各子目合价累计数为准，修正总价。</w:t>
      </w:r>
    </w:p>
    <w:p w14:paraId="11B59F0B">
      <w:pPr>
        <w:tabs>
          <w:tab w:val="left" w:pos="9000"/>
        </w:tabs>
        <w:spacing w:line="360" w:lineRule="auto"/>
        <w:ind w:right="70"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3.4.3 修正后的最终投标报价若超过最高投标限价（如有），评标委员会应否决其投标。</w:t>
      </w:r>
    </w:p>
    <w:p w14:paraId="7FA32875">
      <w:pPr>
        <w:spacing w:line="360" w:lineRule="auto"/>
        <w:outlineLvl w:val="2"/>
        <w:rPr>
          <w:rFonts w:hint="eastAsia" w:ascii="仿宋" w:hAnsi="仿宋" w:eastAsia="仿宋" w:cs="仿宋"/>
          <w:b/>
          <w:color w:val="auto"/>
          <w:sz w:val="22"/>
          <w:szCs w:val="22"/>
          <w:highlight w:val="none"/>
          <w:lang w:eastAsia="zh-CN"/>
        </w:rPr>
      </w:pPr>
      <w:bookmarkStart w:id="13" w:name="_Toc179632613"/>
      <w:bookmarkStart w:id="14" w:name="_Toc152042372"/>
      <w:bookmarkStart w:id="15" w:name="_Toc152045595"/>
      <w:bookmarkStart w:id="16" w:name="_Toc144974562"/>
      <w:r>
        <w:rPr>
          <w:rFonts w:hint="eastAsia" w:ascii="仿宋" w:hAnsi="仿宋" w:eastAsia="仿宋" w:cs="仿宋"/>
          <w:b/>
          <w:color w:val="auto"/>
          <w:sz w:val="22"/>
          <w:szCs w:val="22"/>
          <w:highlight w:val="none"/>
          <w:lang w:eastAsia="zh-CN"/>
        </w:rPr>
        <w:t>3.5 第二个信封详细评审</w:t>
      </w:r>
      <w:bookmarkEnd w:id="13"/>
      <w:bookmarkEnd w:id="14"/>
      <w:bookmarkEnd w:id="15"/>
      <w:bookmarkEnd w:id="16"/>
    </w:p>
    <w:p w14:paraId="31540AF0">
      <w:pPr>
        <w:spacing w:line="360" w:lineRule="auto"/>
        <w:ind w:firstLine="440" w:firstLineChars="200"/>
        <w:rPr>
          <w:rFonts w:hint="eastAsia" w:ascii="仿宋" w:hAnsi="仿宋" w:eastAsia="仿宋" w:cs="仿宋"/>
          <w:color w:val="auto"/>
          <w:sz w:val="22"/>
          <w:szCs w:val="22"/>
          <w:highlight w:val="none"/>
          <w:lang w:eastAsia="zh-CN"/>
        </w:rPr>
      </w:pPr>
      <w:bookmarkStart w:id="17" w:name="_Toc144974563"/>
      <w:bookmarkStart w:id="18" w:name="_Toc152045596"/>
      <w:bookmarkStart w:id="19" w:name="_Toc179632614"/>
      <w:bookmarkStart w:id="20" w:name="_Toc152042373"/>
      <w:r>
        <w:rPr>
          <w:rFonts w:hint="eastAsia" w:ascii="仿宋" w:hAnsi="仿宋" w:eastAsia="仿宋" w:cs="仿宋"/>
          <w:color w:val="auto"/>
          <w:sz w:val="22"/>
          <w:szCs w:val="22"/>
          <w:highlight w:val="none"/>
          <w:lang w:eastAsia="zh-CN"/>
        </w:rPr>
        <w:t>3.5.1 评标委员会按本章第2.2.4（3）目规定的评审因素和分值对投标报价计算出得分C。投标报价得分分值计算保留小数点后四位，小数点后第五位“四舍五入”。</w:t>
      </w:r>
    </w:p>
    <w:p w14:paraId="00346B8A">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3.5.2 投标人综合得分=投标人的商务和技术得分+</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C</w:t>
      </w:r>
    </w:p>
    <w:p w14:paraId="760E3225">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9A6AB4F">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3.6 投标文件</w:t>
      </w:r>
      <w:bookmarkEnd w:id="17"/>
      <w:bookmarkEnd w:id="18"/>
      <w:bookmarkEnd w:id="19"/>
      <w:bookmarkEnd w:id="20"/>
      <w:r>
        <w:rPr>
          <w:rFonts w:hint="eastAsia" w:ascii="仿宋" w:hAnsi="仿宋" w:eastAsia="仿宋" w:cs="仿宋"/>
          <w:b/>
          <w:color w:val="auto"/>
          <w:sz w:val="22"/>
          <w:szCs w:val="22"/>
          <w:highlight w:val="none"/>
          <w:lang w:eastAsia="zh-CN"/>
        </w:rPr>
        <w:t>相关信息的核查</w:t>
      </w:r>
    </w:p>
    <w:p w14:paraId="2A06ACEC">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5D24AE8D">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634948BD">
      <w:pPr>
        <w:tabs>
          <w:tab w:val="left" w:pos="9000"/>
        </w:tabs>
        <w:spacing w:line="360" w:lineRule="auto"/>
        <w:ind w:right="68"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（1）有下列情形之一的，属于投标人相互串通投标：</w:t>
      </w:r>
    </w:p>
    <w:p w14:paraId="0D785B9F">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a. 投标人之间协商投标报价等投标文件的实质性内容；</w:t>
      </w:r>
    </w:p>
    <w:p w14:paraId="5D5F97E2">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b. 投标人之间约定中标人；</w:t>
      </w:r>
    </w:p>
    <w:p w14:paraId="3752B0FD">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c. 投标人之间约定部分投标人放弃投标或中标；</w:t>
      </w:r>
    </w:p>
    <w:p w14:paraId="7A5CA55C">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d. 属于同一集团、协会、商会等组织成员的投标人按照该组织要求协同投标；</w:t>
      </w:r>
    </w:p>
    <w:p w14:paraId="4F40B740">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e. 投标人之间为谋取中标或排斥特定投标人而采取的其他联合行动。</w:t>
      </w:r>
    </w:p>
    <w:p w14:paraId="00C303C5">
      <w:pPr>
        <w:tabs>
          <w:tab w:val="left" w:pos="9000"/>
        </w:tabs>
        <w:spacing w:line="360" w:lineRule="auto"/>
        <w:ind w:right="68"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（2）有下列情形之一的，视为投标人相互串通投标：</w:t>
      </w:r>
    </w:p>
    <w:p w14:paraId="54745729">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a. 不同投标人的投标文件由同一单位或个人编制；</w:t>
      </w:r>
    </w:p>
    <w:p w14:paraId="0E409B63">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b. 不同投标人委托同一单位或个人办理投标事宜；</w:t>
      </w:r>
    </w:p>
    <w:p w14:paraId="5F95DB96">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c. 不同投标人的投标文件载明的项目管理成员为同一人；</w:t>
      </w:r>
    </w:p>
    <w:p w14:paraId="1315F34B">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d. 不同投标人的投标文件异常一致或投标报价呈规律性差异；</w:t>
      </w:r>
    </w:p>
    <w:p w14:paraId="4C234A01">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e. 不同投标人的投标文件相互混装；</w:t>
      </w:r>
    </w:p>
    <w:p w14:paraId="00DAE654">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f. 不同投标人的投标保证金从同一单位或个人的账户转出。</w:t>
      </w:r>
    </w:p>
    <w:p w14:paraId="68C2CF73">
      <w:pPr>
        <w:tabs>
          <w:tab w:val="left" w:pos="9000"/>
        </w:tabs>
        <w:spacing w:line="360" w:lineRule="auto"/>
        <w:ind w:right="68"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（3）有下列情形之一的，属于招标人与投标人串通投标：</w:t>
      </w:r>
    </w:p>
    <w:p w14:paraId="149D4BB1">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a. 招标人在开标前开启投标文件并将有关信息泄露给其他投标人；</w:t>
      </w:r>
    </w:p>
    <w:p w14:paraId="716D8D3B">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b. 招标人直接或间接向投标人泄露标底、评标委员会成员等信息；</w:t>
      </w:r>
    </w:p>
    <w:p w14:paraId="12CFF8A9">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c. 招标人明示或暗示投标人压低或抬高投标报价；</w:t>
      </w:r>
    </w:p>
    <w:p w14:paraId="4F833858">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d. 招标人授意投标人撤换、修改投标文件；</w:t>
      </w:r>
    </w:p>
    <w:p w14:paraId="781576B6">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e. 招标人明示或暗示投标人为特定投标人中标提供方便；</w:t>
      </w:r>
    </w:p>
    <w:p w14:paraId="6A780FC9">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f. 招标人与投标人为谋求特定投标人中标而采取的其他串通行为。</w:t>
      </w:r>
    </w:p>
    <w:p w14:paraId="1B0292F9">
      <w:pPr>
        <w:tabs>
          <w:tab w:val="left" w:pos="9000"/>
        </w:tabs>
        <w:spacing w:line="360" w:lineRule="auto"/>
        <w:ind w:right="68" w:firstLine="440" w:firstLineChars="200"/>
        <w:outlineLvl w:val="3"/>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（4）投标人有下列情形之一的，属于弄虚作假的行为：</w:t>
      </w:r>
    </w:p>
    <w:p w14:paraId="4CCD2516">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a. 使用通过受让或租借等方式获取的资格、资质证书投标；</w:t>
      </w:r>
    </w:p>
    <w:p w14:paraId="75149388">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b. 使用伪造、变造的许可证件；</w:t>
      </w:r>
    </w:p>
    <w:p w14:paraId="316CC0BE">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c. 提供虚假的财务状况或业绩；</w:t>
      </w:r>
    </w:p>
    <w:p w14:paraId="342B0813">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d. 提供虚假的项目负责人或主要技术人员简历、劳动关系证明；</w:t>
      </w:r>
    </w:p>
    <w:p w14:paraId="71E18C94">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e. 提供虚假的信用状况；</w:t>
      </w:r>
    </w:p>
    <w:p w14:paraId="74DAF523">
      <w:pPr>
        <w:tabs>
          <w:tab w:val="left" w:pos="9000"/>
        </w:tabs>
        <w:spacing w:line="360" w:lineRule="auto"/>
        <w:ind w:right="68"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f. 其他弄虚作假的行为。</w:t>
      </w:r>
    </w:p>
    <w:p w14:paraId="0EFB24CC">
      <w:pPr>
        <w:spacing w:line="360" w:lineRule="auto"/>
        <w:outlineLvl w:val="2"/>
        <w:rPr>
          <w:rFonts w:hint="eastAsia" w:ascii="仿宋" w:hAnsi="仿宋" w:eastAsia="仿宋" w:cs="仿宋"/>
          <w:b/>
          <w:color w:val="auto"/>
          <w:sz w:val="22"/>
          <w:szCs w:val="22"/>
          <w:highlight w:val="none"/>
          <w:lang w:eastAsia="zh-CN"/>
        </w:rPr>
      </w:pPr>
      <w:bookmarkStart w:id="21" w:name="_Toc179632615"/>
      <w:bookmarkStart w:id="22" w:name="_Toc152045597"/>
      <w:bookmarkStart w:id="23" w:name="_Toc144974564"/>
      <w:bookmarkStart w:id="24" w:name="_Toc152042374"/>
      <w:r>
        <w:rPr>
          <w:rFonts w:hint="eastAsia" w:ascii="仿宋" w:hAnsi="仿宋" w:eastAsia="仿宋" w:cs="仿宋"/>
          <w:b/>
          <w:color w:val="auto"/>
          <w:sz w:val="22"/>
          <w:szCs w:val="22"/>
          <w:highlight w:val="none"/>
          <w:lang w:eastAsia="zh-CN"/>
        </w:rPr>
        <w:t>3.7 投标文件的澄清和说明</w:t>
      </w:r>
      <w:bookmarkEnd w:id="21"/>
      <w:bookmarkEnd w:id="22"/>
      <w:bookmarkEnd w:id="23"/>
      <w:bookmarkEnd w:id="24"/>
    </w:p>
    <w:p w14:paraId="53BF5AEF">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F105ED5">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3.7.2 澄清和说明不得超出投标文件的范围或改变投标文件的实质性内容（算术性错误的修正除外）。投标人的书面澄清、说明属于投标文件的组成部分。</w:t>
      </w:r>
    </w:p>
    <w:p w14:paraId="621313AD">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3.7.3 评标委员会不得暗示或诱导投标人作出澄清、说明，对投标人提交的澄清、说明有疑问的，可以要求投标人进一步澄清或说明，直至满足评标委员会的要求。</w:t>
      </w:r>
    </w:p>
    <w:p w14:paraId="10E6CF42">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3.7.4 凡超出招标文件规定的或给发包人带来未曾要求的利益的变化、偏差或其他因素在评标时不予考虑。</w:t>
      </w:r>
    </w:p>
    <w:p w14:paraId="01A9D0AD">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3.8 不得否决投标的情形</w:t>
      </w:r>
    </w:p>
    <w:p w14:paraId="6AB72B13">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投标文件存在第二章“投标人须知”第1.12.3项所列情形的，均视为细微偏差，评标委员会不得否决投标人的投标，应按照第二章“投标人须知”第1.12.4项规定的原则处理。</w:t>
      </w:r>
    </w:p>
    <w:p w14:paraId="0FFC7AE2">
      <w:pPr>
        <w:spacing w:line="360" w:lineRule="auto"/>
        <w:outlineLvl w:val="2"/>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3.9 评标结果</w:t>
      </w:r>
    </w:p>
    <w:p w14:paraId="6402DC28">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3.9.1 除第二章“投标人须知”前附表授权直接确定中标人外，评标委员会按照评标价由低到高的顺序推荐中标候选人，并标明排序。</w:t>
      </w:r>
    </w:p>
    <w:p w14:paraId="5CC4E33D">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3.9.2 评标委员会完成评标后，应向招标人提交书面评标报告。</w:t>
      </w:r>
    </w:p>
    <w:p w14:paraId="084E8CE8">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3.9.3</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通过第一个信封商务及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4880496B">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3.9.4</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7C8D5CFE">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3.9.5</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如果发生无法确定推荐中标候选人的其它意外情况，评标委员会可建议招标人重新招标。</w:t>
      </w:r>
    </w:p>
    <w:p w14:paraId="56357548">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3.9.6</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本招标文件规定的否决投标条款包含在以下条款：[本款涉及的序号或条款号均对应本范本，如招标文件修改序号或条款号的，应对应修改。]</w:t>
      </w:r>
    </w:p>
    <w:p w14:paraId="5BE1327B">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（1）招标公告第3点 投标人资格要求；</w:t>
      </w:r>
    </w:p>
    <w:p w14:paraId="695A8507">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（2）投标人须知1.4.3项、1.4.4项、1.4.5项、1.11.1项、1.12.2项、3.2.1、3.4.2项、3.5.9项、3.6.1项；</w:t>
      </w:r>
    </w:p>
    <w:p w14:paraId="50AE5068">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（3）本评标办法的否决条款。</w:t>
      </w:r>
    </w:p>
    <w:p w14:paraId="4A4F9114">
      <w:pPr>
        <w:spacing w:line="360" w:lineRule="auto"/>
        <w:ind w:firstLine="440" w:firstLineChars="200"/>
        <w:rPr>
          <w:rFonts w:hint="eastAsia" w:ascii="仿宋" w:hAnsi="仿宋" w:eastAsia="仿宋" w:cs="仿宋"/>
          <w:color w:val="auto"/>
          <w:sz w:val="22"/>
          <w:szCs w:val="22"/>
          <w:highlight w:val="none"/>
          <w:lang w:eastAsia="zh-CN"/>
        </w:rPr>
      </w:pPr>
    </w:p>
    <w:p w14:paraId="697D8A4C">
      <w:pPr>
        <w:rPr>
          <w:rFonts w:hint="eastAsia" w:ascii="仿宋" w:hAnsi="仿宋" w:eastAsia="仿宋" w:cs="仿宋"/>
          <w:color w:val="auto"/>
          <w:spacing w:val="27"/>
          <w:highlight w:val="none"/>
          <w:lang w:eastAsia="zh-CN"/>
          <w14:textOutline w14:w="9461" w14:cap="sq" w14:cmpd="sng" w14:algn="ctr">
            <w14:solidFill>
              <w14:srgbClr w14:val="000000"/>
            </w14:solidFill>
            <w14:prstDash w14:val="solid"/>
            <w14:bevel/>
          </w14:textOutline>
        </w:rPr>
      </w:pPr>
      <w:r>
        <w:rPr>
          <w:rFonts w:hint="eastAsia" w:ascii="仿宋" w:hAnsi="仿宋" w:eastAsia="仿宋" w:cs="仿宋"/>
          <w:color w:val="auto"/>
          <w:spacing w:val="27"/>
          <w:highlight w:val="none"/>
          <w:lang w:eastAsia="zh-CN"/>
          <w14:textOutline w14:w="9461" w14:cap="sq" w14:cmpd="sng" w14:algn="ctr">
            <w14:solidFill>
              <w14:srgbClr w14:val="000000"/>
            </w14:solidFill>
            <w14:prstDash w14:val="solid"/>
            <w14:bevel/>
          </w14:textOutline>
        </w:rPr>
        <w:br w:type="page"/>
      </w:r>
    </w:p>
    <w:p w14:paraId="2E2B7830">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F8E4">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ABEA5">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1BABEA5">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439D">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97E1D"/>
    <w:rsid w:val="0E09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3"/>
    <w:basedOn w:val="1"/>
    <w:next w:val="1"/>
    <w:qFormat/>
    <w:uiPriority w:val="0"/>
    <w:pPr>
      <w:keepNext/>
      <w:keepLines/>
      <w:spacing w:line="360" w:lineRule="auto"/>
      <w:outlineLvl w:val="2"/>
    </w:pPr>
    <w:rPr>
      <w:b/>
      <w:bCs/>
      <w:kern w:val="2"/>
      <w:sz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4">
    <w:name w:val="Body Text"/>
    <w:basedOn w:val="1"/>
    <w:semiHidden/>
    <w:qFormat/>
    <w:uiPriority w:val="0"/>
    <w:rPr>
      <w:rFonts w:ascii="黑体" w:hAnsi="黑体" w:eastAsia="黑体" w:cs="黑体"/>
      <w:sz w:val="52"/>
      <w:szCs w:val="52"/>
    </w:rPr>
  </w:style>
  <w:style w:type="paragraph" w:styleId="5">
    <w:name w:val="footer"/>
    <w:basedOn w:val="1"/>
    <w:qFormat/>
    <w:uiPriority w:val="0"/>
    <w:pPr>
      <w:tabs>
        <w:tab w:val="center" w:pos="4153"/>
        <w:tab w:val="right" w:pos="8306"/>
      </w:tabs>
    </w:pPr>
    <w:rPr>
      <w:sz w:val="18"/>
      <w:szCs w:val="18"/>
    </w:rPr>
  </w:style>
  <w:style w:type="paragraph" w:styleId="6">
    <w:name w:val="header"/>
    <w:basedOn w:val="1"/>
    <w:qFormat/>
    <w:uiPriority w:val="0"/>
    <w:pPr>
      <w:pBdr>
        <w:bottom w:val="single" w:color="auto" w:sz="6" w:space="1"/>
      </w:pBdr>
      <w:tabs>
        <w:tab w:val="center" w:pos="4153"/>
        <w:tab w:val="right" w:pos="8306"/>
      </w:tabs>
      <w:jc w:val="center"/>
    </w:pPr>
    <w:rPr>
      <w:kern w:val="2"/>
      <w:sz w:val="18"/>
      <w:szCs w:val="18"/>
    </w:rPr>
  </w:style>
  <w:style w:type="paragraph" w:styleId="7">
    <w:name w:val="Body Text First Indent"/>
    <w:basedOn w:val="4"/>
    <w:qFormat/>
    <w:uiPriority w:val="0"/>
    <w:pPr>
      <w:ind w:firstLine="420"/>
    </w:pPr>
    <w:rPr>
      <w:sz w:val="34"/>
      <w:szCs w:val="20"/>
    </w:rPr>
  </w:style>
  <w:style w:type="paragraph" w:customStyle="1" w:styleId="10">
    <w:name w:val="Table Text"/>
    <w:basedOn w:val="1"/>
    <w:semiHidden/>
    <w:qFormat/>
    <w:uiPriority w:val="0"/>
    <w:rPr>
      <w:rFonts w:ascii="宋体" w:hAnsi="宋体" w:eastAsia="宋体" w:cs="宋体"/>
      <w:sz w:val="24"/>
      <w:szCs w:val="24"/>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2025-08-29T08:54:00Z</dcterms:created>
  <dc:creator>广东宇硕科技实业有限公司</dc:creator>
  <cp:lastModifiedBy>广东宇硕科技实业有限公司</cp:lastModifiedBy>
  <dcterms:modified xsi:type="dcterms:W3CDTF">2025-08-29T08:54:40Z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428E7B7029FE47DCB8E6FA95B3FB6FEF_11</vt:lpwstr>
  </property>
  <property fmtid="{D5CDD505-2E9C-101B-9397-08002B2CF9AE}" pid="4" name="KSOTemplateDocerSaveRecord">
    <vt:lpwstr>eyJoZGlkIjoiMjA1YjdhZmJmOWZkMzk4NzYxMTViYjUyOGNmNjVjMGQiLCJ1c2VySWQiOiI1ODU4MjE2NzMifQ==</vt:lpwstr>
  </property>
</Properties>
</file>