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D28F2">
      <w:pPr>
        <w:spacing w:before="91" w:line="219" w:lineRule="auto"/>
        <w:jc w:val="center"/>
        <w:outlineLvl w:val="1"/>
        <w:rPr>
          <w:rFonts w:hint="eastAsia" w:ascii="仿宋" w:hAnsi="仿宋" w:eastAsia="仿宋" w:cs="仿宋"/>
          <w:sz w:val="12"/>
          <w:szCs w:val="12"/>
          <w:lang w:eastAsia="zh-CN"/>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附录</w:t>
      </w:r>
      <w:r>
        <w:rPr>
          <w:rFonts w:hint="eastAsia" w:ascii="仿宋" w:hAnsi="仿宋" w:eastAsia="仿宋" w:cs="仿宋"/>
          <w:spacing w:val="-36"/>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1</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资格审查条件(资质最低条件)</w:t>
      </w:r>
    </w:p>
    <w:p w14:paraId="49D8B796">
      <w:pPr>
        <w:spacing w:line="170" w:lineRule="exact"/>
        <w:rPr>
          <w:rFonts w:hint="eastAsia" w:ascii="仿宋" w:hAnsi="仿宋" w:eastAsia="仿宋" w:cs="仿宋"/>
          <w:lang w:eastAsia="zh-CN"/>
        </w:rPr>
      </w:pPr>
    </w:p>
    <w:tbl>
      <w:tblPr>
        <w:tblStyle w:val="8"/>
        <w:tblW w:w="9121"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21"/>
      </w:tblGrid>
      <w:tr w14:paraId="38C3A06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7" w:hRule="atLeast"/>
          <w:jc w:val="center"/>
        </w:trPr>
        <w:tc>
          <w:tcPr>
            <w:tcW w:w="9121" w:type="dxa"/>
            <w:tcBorders>
              <w:bottom w:val="single" w:color="000000" w:sz="2" w:space="0"/>
            </w:tcBorders>
            <w:shd w:val="clear" w:color="auto" w:fill="DBE3F4" w:themeFill="accent1" w:themeFillTint="32"/>
            <w:vAlign w:val="center"/>
          </w:tcPr>
          <w:p w14:paraId="1A07D002">
            <w:pPr>
              <w:pStyle w:val="7"/>
              <w:spacing w:before="64"/>
              <w:ind w:left="3356"/>
              <w:jc w:val="both"/>
              <w:rPr>
                <w:rFonts w:hint="eastAsia" w:ascii="仿宋" w:hAnsi="仿宋" w:eastAsia="仿宋" w:cs="仿宋"/>
                <w:lang w:eastAsia="zh-CN"/>
              </w:rPr>
            </w:pPr>
            <w:r>
              <w:rPr>
                <w:rFonts w:hint="eastAsia" w:ascii="仿宋" w:hAnsi="仿宋" w:eastAsia="仿宋" w:cs="仿宋"/>
                <w:lang w:eastAsia="zh-CN"/>
                <w14:textOutline w14:w="4356" w14:cap="sq" w14:cmpd="sng" w14:algn="ctr">
                  <w14:solidFill>
                    <w14:srgbClr w14:val="000000"/>
                  </w14:solidFill>
                  <w14:prstDash w14:val="solid"/>
                  <w14:bevel/>
                </w14:textOutline>
              </w:rPr>
              <w:t>施工企业资质等级要求</w:t>
            </w:r>
          </w:p>
        </w:tc>
      </w:tr>
      <w:tr w14:paraId="55EF18E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7" w:hRule="atLeast"/>
          <w:jc w:val="center"/>
        </w:trPr>
        <w:tc>
          <w:tcPr>
            <w:tcW w:w="9121" w:type="dxa"/>
            <w:tcBorders>
              <w:top w:val="single" w:color="000000" w:sz="2" w:space="0"/>
            </w:tcBorders>
            <w:vAlign w:val="center"/>
          </w:tcPr>
          <w:p w14:paraId="43ECD0A1">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1、具备有效的营业执照；</w:t>
            </w:r>
          </w:p>
          <w:p w14:paraId="6F0C8215">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2、同时</w:t>
            </w:r>
            <w:r>
              <w:rPr>
                <w:rFonts w:hint="eastAsia" w:ascii="仿宋" w:hAnsi="仿宋" w:eastAsia="仿宋" w:cs="仿宋"/>
                <w:sz w:val="22"/>
                <w:szCs w:val="22"/>
                <w:lang w:eastAsia="zh-CN" w:bidi="mn-Mong-CN"/>
              </w:rPr>
              <w:t>具备公路工程施工总承包叁级（含</w:t>
            </w:r>
            <w:r>
              <w:rPr>
                <w:rFonts w:hint="eastAsia" w:ascii="仿宋" w:hAnsi="仿宋" w:eastAsia="仿宋" w:cs="仿宋"/>
                <w:sz w:val="22"/>
                <w:szCs w:val="22"/>
                <w:lang w:eastAsia="zh-CN"/>
              </w:rPr>
              <w:t>叁级）以上资质；</w:t>
            </w:r>
          </w:p>
          <w:p w14:paraId="4DE7586A">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3、具有合法有效的安全生产许可证；</w:t>
            </w:r>
          </w:p>
          <w:p w14:paraId="3F37ACDB">
            <w:pPr>
              <w:spacing w:line="360" w:lineRule="auto"/>
              <w:ind w:right="190" w:firstLine="440" w:firstLineChars="200"/>
              <w:rPr>
                <w:rFonts w:hint="eastAsia" w:ascii="仿宋" w:hAnsi="仿宋" w:eastAsia="仿宋" w:cs="仿宋"/>
                <w:lang w:eastAsia="zh-CN"/>
              </w:rPr>
            </w:pPr>
            <w:r>
              <w:rPr>
                <w:rFonts w:hint="eastAsia" w:ascii="仿宋" w:hAnsi="仿宋" w:eastAsia="仿宋" w:cs="仿宋"/>
                <w:sz w:val="22"/>
                <w:szCs w:val="22"/>
                <w:lang w:eastAsia="zh-CN"/>
              </w:rPr>
              <w:t>4、投标人应进入交通运输部“全国公路建设市场监督管理系统（https://hwdms.mot.gov.cn/）”中的公路工程施工资质企业名录，且投标人名称和资质与该名录中的相应企业名称和资质完全一致。否则，将不能通过资格审查。</w:t>
            </w:r>
          </w:p>
        </w:tc>
      </w:tr>
      <w:tr w14:paraId="1EB4F51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7" w:hRule="atLeast"/>
          <w:jc w:val="center"/>
        </w:trPr>
        <w:tc>
          <w:tcPr>
            <w:tcW w:w="9121" w:type="dxa"/>
            <w:tcBorders>
              <w:top w:val="single" w:color="000000" w:sz="2" w:space="0"/>
            </w:tcBorders>
            <w:shd w:val="clear" w:color="auto" w:fill="DBE3F4" w:themeFill="accent1" w:themeFillTint="32"/>
            <w:vAlign w:val="center"/>
          </w:tcPr>
          <w:p w14:paraId="509C7EB0">
            <w:pPr>
              <w:ind w:right="190"/>
              <w:jc w:val="center"/>
              <w:rPr>
                <w:rFonts w:hint="eastAsia" w:ascii="仿宋" w:hAnsi="仿宋" w:eastAsia="仿宋" w:cs="仿宋"/>
                <w:sz w:val="22"/>
                <w:szCs w:val="22"/>
                <w:lang w:eastAsia="zh-CN" w:bidi="mn-Mong-CN"/>
              </w:rPr>
            </w:pPr>
            <w:r>
              <w:rPr>
                <w:rFonts w:hint="eastAsia" w:ascii="仿宋" w:hAnsi="仿宋" w:eastAsia="仿宋" w:cs="仿宋"/>
                <w:sz w:val="24"/>
                <w:szCs w:val="24"/>
                <w:lang w:eastAsia="zh-CN"/>
                <w14:textOutline w14:w="4356" w14:cap="sq" w14:cmpd="sng" w14:algn="ctr">
                  <w14:solidFill>
                    <w14:srgbClr w14:val="000000"/>
                  </w14:solidFill>
                  <w14:prstDash w14:val="solid"/>
                  <w14:bevel/>
                </w14:textOutline>
              </w:rPr>
              <w:t>设计企业资质等级要求</w:t>
            </w:r>
          </w:p>
        </w:tc>
      </w:tr>
      <w:tr w14:paraId="5589E36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7" w:hRule="atLeast"/>
          <w:jc w:val="center"/>
        </w:trPr>
        <w:tc>
          <w:tcPr>
            <w:tcW w:w="9121" w:type="dxa"/>
            <w:tcBorders>
              <w:top w:val="single" w:color="000000" w:sz="2" w:space="0"/>
            </w:tcBorders>
            <w:vAlign w:val="center"/>
          </w:tcPr>
          <w:p w14:paraId="1F2A3976">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bidi="mn-Mong-CN"/>
              </w:rPr>
              <w:t>1、</w:t>
            </w:r>
            <w:r>
              <w:rPr>
                <w:rFonts w:hint="eastAsia" w:ascii="仿宋" w:hAnsi="仿宋" w:eastAsia="仿宋" w:cs="仿宋"/>
                <w:sz w:val="22"/>
                <w:szCs w:val="22"/>
                <w:lang w:eastAsia="zh-CN"/>
              </w:rPr>
              <w:t>具备有效的营业执照；</w:t>
            </w:r>
          </w:p>
          <w:p w14:paraId="31EB24C2">
            <w:pPr>
              <w:spacing w:line="360" w:lineRule="auto"/>
              <w:ind w:right="190" w:firstLine="440" w:firstLineChars="200"/>
              <w:rPr>
                <w:rFonts w:hint="eastAsia" w:ascii="仿宋" w:hAnsi="仿宋" w:eastAsia="仿宋" w:cs="仿宋"/>
                <w:sz w:val="22"/>
                <w:szCs w:val="22"/>
                <w:lang w:eastAsia="zh-CN" w:bidi="mn-Mong-CN"/>
              </w:rPr>
            </w:pPr>
            <w:r>
              <w:rPr>
                <w:rFonts w:hint="eastAsia" w:ascii="仿宋" w:hAnsi="仿宋" w:eastAsia="仿宋" w:cs="仿宋"/>
                <w:sz w:val="22"/>
                <w:szCs w:val="22"/>
                <w:lang w:eastAsia="zh-CN" w:bidi="mn-Mong-CN"/>
              </w:rPr>
              <w:t>2、工程设计综合甲级资质，或工程设计公路行业甲级资质，或工程设计公路行业(公路)专业乙级或以上资质。</w:t>
            </w:r>
          </w:p>
          <w:p w14:paraId="24EDE57E">
            <w:pPr>
              <w:spacing w:line="360" w:lineRule="auto"/>
              <w:ind w:right="190" w:firstLine="440" w:firstLineChars="200"/>
              <w:rPr>
                <w:rFonts w:hint="eastAsia" w:ascii="仿宋" w:hAnsi="仿宋" w:eastAsia="仿宋" w:cs="仿宋"/>
                <w:lang w:eastAsia="zh-CN"/>
              </w:rPr>
            </w:pPr>
            <w:r>
              <w:rPr>
                <w:rFonts w:hint="eastAsia" w:ascii="仿宋" w:hAnsi="仿宋" w:eastAsia="仿宋" w:cs="仿宋"/>
                <w:sz w:val="22"/>
                <w:szCs w:val="22"/>
                <w:lang w:eastAsia="zh-CN" w:bidi="mn-Mong-CN"/>
              </w:rPr>
              <w:t>3、投标人需在交通运输部</w:t>
            </w:r>
            <w:r>
              <w:rPr>
                <w:rFonts w:hint="eastAsia" w:ascii="仿宋" w:hAnsi="仿宋" w:eastAsia="仿宋" w:cs="仿宋"/>
                <w:sz w:val="22"/>
                <w:szCs w:val="22"/>
                <w:lang w:eastAsia="zh-CN"/>
              </w:rPr>
              <w:t>“全国公路建设市场监督管理系统（https://hwdms.mot.gov.cn/）”</w:t>
            </w:r>
            <w:r>
              <w:rPr>
                <w:rFonts w:hint="eastAsia" w:ascii="仿宋" w:hAnsi="仿宋" w:eastAsia="仿宋" w:cs="仿宋"/>
                <w:sz w:val="22"/>
                <w:szCs w:val="22"/>
                <w:lang w:eastAsia="zh-CN" w:bidi="mn-Mong-CN"/>
              </w:rPr>
              <w:t>网站中“公路工程设计资质企业名录”（以下简称“名录”）中。对于未列入“名录”或投标人名称、资质信息与“名录”查询结果不符的，将不能通过资格审查。</w:t>
            </w:r>
          </w:p>
        </w:tc>
      </w:tr>
    </w:tbl>
    <w:p w14:paraId="25E5849E">
      <w:pPr>
        <w:spacing w:line="360" w:lineRule="auto"/>
        <w:ind w:right="190" w:firstLine="440" w:firstLineChars="200"/>
        <w:rPr>
          <w:rFonts w:hint="eastAsia" w:ascii="仿宋" w:hAnsi="仿宋" w:eastAsia="仿宋" w:cs="仿宋"/>
          <w:sz w:val="22"/>
          <w:szCs w:val="22"/>
          <w:lang w:eastAsia="zh-CN"/>
        </w:rPr>
      </w:pPr>
    </w:p>
    <w:p w14:paraId="711D5C97">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注：投标人应根据投标文件第二章“投标人须知”第3.5.1项的要求附相关证明材料。</w:t>
      </w:r>
    </w:p>
    <w:p w14:paraId="0E75F9BB">
      <w:pP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pPr>
    </w:p>
    <w:p w14:paraId="5EFA2B8F">
      <w:pP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br w:type="page"/>
      </w:r>
    </w:p>
    <w:p w14:paraId="3E6608BB">
      <w:pPr>
        <w:spacing w:before="91" w:line="219" w:lineRule="auto"/>
        <w:jc w:val="center"/>
        <w:outlineLvl w:val="1"/>
        <w:rPr>
          <w:rFonts w:hint="eastAsia" w:ascii="仿宋" w:hAnsi="仿宋" w:eastAsia="仿宋" w:cs="仿宋"/>
          <w:sz w:val="12"/>
          <w:szCs w:val="12"/>
          <w:lang w:eastAsia="zh-CN"/>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附录</w:t>
      </w:r>
      <w:r>
        <w:rPr>
          <w:rFonts w:hint="eastAsia" w:ascii="仿宋" w:hAnsi="仿宋" w:eastAsia="仿宋" w:cs="仿宋"/>
          <w:spacing w:val="-46"/>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2</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资格审查条件(财务最低要求)</w:t>
      </w:r>
    </w:p>
    <w:p w14:paraId="6B69CA78">
      <w:pPr>
        <w:spacing w:before="117"/>
        <w:rPr>
          <w:rFonts w:hint="eastAsia" w:ascii="仿宋" w:hAnsi="仿宋" w:eastAsia="仿宋" w:cs="仿宋"/>
          <w:lang w:eastAsia="zh-CN"/>
        </w:rPr>
      </w:pPr>
    </w:p>
    <w:tbl>
      <w:tblPr>
        <w:tblStyle w:val="8"/>
        <w:tblW w:w="8957"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57"/>
      </w:tblGrid>
      <w:tr w14:paraId="310079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0" w:hRule="atLeast"/>
          <w:jc w:val="center"/>
        </w:trPr>
        <w:tc>
          <w:tcPr>
            <w:tcW w:w="8957" w:type="dxa"/>
            <w:tcBorders>
              <w:bottom w:val="single" w:color="000000" w:sz="2" w:space="0"/>
            </w:tcBorders>
            <w:shd w:val="clear" w:color="auto" w:fill="DBE3F4" w:themeFill="accent1" w:themeFillTint="32"/>
          </w:tcPr>
          <w:p w14:paraId="548943F2">
            <w:pPr>
              <w:pStyle w:val="7"/>
              <w:spacing w:before="243" w:line="219" w:lineRule="auto"/>
              <w:ind w:left="3816"/>
              <w:rPr>
                <w:rFonts w:hint="eastAsia" w:ascii="仿宋" w:hAnsi="仿宋" w:eastAsia="仿宋" w:cs="仿宋"/>
              </w:rPr>
            </w:pPr>
            <w:r>
              <w:rPr>
                <w:rFonts w:hint="eastAsia" w:ascii="仿宋" w:hAnsi="仿宋" w:eastAsia="仿宋" w:cs="仿宋"/>
                <w:spacing w:val="-8"/>
                <w14:textOutline w14:w="4356" w14:cap="sq" w14:cmpd="sng" w14:algn="ctr">
                  <w14:solidFill>
                    <w14:srgbClr w14:val="000000"/>
                  </w14:solidFill>
                  <w14:prstDash w14:val="solid"/>
                  <w14:bevel/>
                </w14:textOutline>
              </w:rPr>
              <w:t>财</w:t>
            </w:r>
            <w:r>
              <w:rPr>
                <w:rFonts w:hint="eastAsia" w:ascii="仿宋" w:hAnsi="仿宋" w:eastAsia="仿宋" w:cs="仿宋"/>
                <w:spacing w:val="11"/>
              </w:rPr>
              <w:t xml:space="preserve"> </w:t>
            </w:r>
            <w:r>
              <w:rPr>
                <w:rFonts w:hint="eastAsia" w:ascii="仿宋" w:hAnsi="仿宋" w:eastAsia="仿宋" w:cs="仿宋"/>
                <w:spacing w:val="-8"/>
                <w14:textOutline w14:w="4356" w14:cap="sq" w14:cmpd="sng" w14:algn="ctr">
                  <w14:solidFill>
                    <w14:srgbClr w14:val="000000"/>
                  </w14:solidFill>
                  <w14:prstDash w14:val="solid"/>
                  <w14:bevel/>
                </w14:textOutline>
              </w:rPr>
              <w:t>务</w:t>
            </w:r>
            <w:r>
              <w:rPr>
                <w:rFonts w:hint="eastAsia" w:ascii="仿宋" w:hAnsi="仿宋" w:eastAsia="仿宋" w:cs="仿宋"/>
                <w:spacing w:val="12"/>
              </w:rPr>
              <w:t xml:space="preserve"> </w:t>
            </w:r>
            <w:r>
              <w:rPr>
                <w:rFonts w:hint="eastAsia" w:ascii="仿宋" w:hAnsi="仿宋" w:eastAsia="仿宋" w:cs="仿宋"/>
                <w:spacing w:val="-8"/>
                <w14:textOutline w14:w="4356" w14:cap="sq" w14:cmpd="sng" w14:algn="ctr">
                  <w14:solidFill>
                    <w14:srgbClr w14:val="000000"/>
                  </w14:solidFill>
                  <w14:prstDash w14:val="solid"/>
                  <w14:bevel/>
                </w14:textOutline>
              </w:rPr>
              <w:t>要</w:t>
            </w:r>
            <w:r>
              <w:rPr>
                <w:rFonts w:hint="eastAsia" w:ascii="仿宋" w:hAnsi="仿宋" w:eastAsia="仿宋" w:cs="仿宋"/>
                <w:spacing w:val="13"/>
              </w:rPr>
              <w:t xml:space="preserve"> </w:t>
            </w:r>
            <w:r>
              <w:rPr>
                <w:rFonts w:hint="eastAsia" w:ascii="仿宋" w:hAnsi="仿宋" w:eastAsia="仿宋" w:cs="仿宋"/>
                <w:spacing w:val="-8"/>
                <w14:textOutline w14:w="4356" w14:cap="sq" w14:cmpd="sng" w14:algn="ctr">
                  <w14:solidFill>
                    <w14:srgbClr w14:val="000000"/>
                  </w14:solidFill>
                  <w14:prstDash w14:val="solid"/>
                  <w14:bevel/>
                </w14:textOutline>
              </w:rPr>
              <w:t>求</w:t>
            </w:r>
          </w:p>
        </w:tc>
      </w:tr>
      <w:tr w14:paraId="748AEB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jc w:val="center"/>
        </w:trPr>
        <w:tc>
          <w:tcPr>
            <w:tcW w:w="8957" w:type="dxa"/>
            <w:tcBorders>
              <w:top w:val="single" w:color="000000" w:sz="2" w:space="0"/>
            </w:tcBorders>
          </w:tcPr>
          <w:p w14:paraId="7A43D981">
            <w:pPr>
              <w:spacing w:line="360" w:lineRule="auto"/>
              <w:ind w:right="190" w:firstLine="440" w:firstLineChars="200"/>
              <w:rPr>
                <w:rFonts w:hint="eastAsia" w:ascii="仿宋" w:hAnsi="仿宋" w:eastAsia="仿宋" w:cs="仿宋"/>
                <w:sz w:val="22"/>
                <w:szCs w:val="22"/>
                <w:lang w:eastAsia="zh-CN" w:bidi="mn-Mong-CN"/>
              </w:rPr>
            </w:pPr>
            <w:r>
              <w:rPr>
                <w:rFonts w:hint="eastAsia" w:ascii="仿宋" w:hAnsi="仿宋" w:eastAsia="仿宋" w:cs="仿宋"/>
                <w:sz w:val="22"/>
                <w:szCs w:val="22"/>
                <w:lang w:eastAsia="zh-CN" w:bidi="mn-Mong-CN"/>
              </w:rPr>
              <w:t>1.企业净资产（总资产－总负债）不少于800万元人民币；</w:t>
            </w:r>
          </w:p>
          <w:p w14:paraId="17FC2E6A">
            <w:pPr>
              <w:spacing w:line="360" w:lineRule="auto"/>
              <w:ind w:right="190" w:firstLine="440" w:firstLineChars="200"/>
              <w:rPr>
                <w:rFonts w:hint="eastAsia" w:ascii="仿宋" w:hAnsi="仿宋" w:eastAsia="仿宋" w:cs="仿宋"/>
                <w:sz w:val="22"/>
                <w:szCs w:val="22"/>
                <w:lang w:eastAsia="zh-CN" w:bidi="mn-Mong-CN"/>
              </w:rPr>
            </w:pPr>
            <w:r>
              <w:rPr>
                <w:rFonts w:hint="eastAsia" w:ascii="仿宋" w:hAnsi="仿宋" w:eastAsia="仿宋" w:cs="仿宋"/>
                <w:sz w:val="22"/>
                <w:szCs w:val="22"/>
                <w:lang w:eastAsia="zh-CN" w:bidi="mn-Mong-CN"/>
              </w:rPr>
              <w:t>2.营运资金（流动资产－流动负债）不少于800万元人民币；或国内商业银行出具的信贷证明额度不少于800万元人民币。</w:t>
            </w:r>
          </w:p>
          <w:p w14:paraId="408D586C">
            <w:pPr>
              <w:spacing w:line="360" w:lineRule="auto"/>
              <w:ind w:right="190" w:firstLine="440" w:firstLineChars="200"/>
              <w:rPr>
                <w:rFonts w:hint="eastAsia" w:ascii="仿宋" w:hAnsi="仿宋" w:eastAsia="仿宋" w:cs="仿宋"/>
                <w:sz w:val="22"/>
                <w:szCs w:val="22"/>
                <w:lang w:eastAsia="zh-CN" w:bidi="mn-Mong-CN"/>
              </w:rPr>
            </w:pPr>
            <w:r>
              <w:rPr>
                <w:rFonts w:hint="eastAsia" w:ascii="仿宋" w:hAnsi="仿宋" w:eastAsia="仿宋" w:cs="仿宋"/>
                <w:sz w:val="22"/>
                <w:szCs w:val="22"/>
                <w:lang w:eastAsia="zh-CN" w:bidi="mn-Mong-CN"/>
              </w:rPr>
              <w:t>3.近三个年度的平均营业总收入不少于800万元人民币；</w:t>
            </w:r>
          </w:p>
          <w:p w14:paraId="0985FEC1">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color w:val="auto"/>
                <w:sz w:val="22"/>
                <w:szCs w:val="22"/>
                <w:lang w:eastAsia="zh-CN" w:bidi="mn-Mong-CN"/>
              </w:rPr>
              <w:t>4.</w:t>
            </w:r>
            <w:r>
              <w:rPr>
                <w:rFonts w:hint="eastAsia" w:ascii="仿宋" w:hAnsi="仿宋" w:eastAsia="仿宋" w:cs="仿宋"/>
                <w:color w:val="auto"/>
                <w:spacing w:val="7"/>
                <w:sz w:val="22"/>
                <w:szCs w:val="22"/>
                <w:lang w:eastAsia="zh-CN"/>
              </w:rPr>
              <w:t>最近三个年度均无亏损（若投标人成立不足三年的，则每年均无亏损）</w:t>
            </w:r>
            <w:r>
              <w:rPr>
                <w:rFonts w:hint="eastAsia" w:ascii="仿宋" w:hAnsi="仿宋" w:eastAsia="仿宋" w:cs="仿宋"/>
                <w:color w:val="auto"/>
                <w:sz w:val="22"/>
                <w:szCs w:val="22"/>
                <w:lang w:eastAsia="zh-CN" w:bidi="mn-Mong-CN"/>
              </w:rPr>
              <w:t>。</w:t>
            </w:r>
          </w:p>
        </w:tc>
      </w:tr>
    </w:tbl>
    <w:p w14:paraId="107C992F">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注：</w:t>
      </w:r>
    </w:p>
    <w:p w14:paraId="170D62D7">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1.企业净资产、营运资金是按交通运输部“全国公路建设市场信用信息管理系统”登记的最新年度（近三个年度的最后一年，下同）数据计算得出。</w:t>
      </w:r>
    </w:p>
    <w:p w14:paraId="77957F82">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2.近三个年度财务信息以投标人提供的“全国公路建设市场信用信息管理系统”企业所填的信息截图为准。</w:t>
      </w:r>
    </w:p>
    <w:p w14:paraId="3D49A147">
      <w:pPr>
        <w:spacing w:line="360" w:lineRule="auto"/>
        <w:ind w:right="19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3.以联合体形式投标的，财务最低要求中的第1、2、3、4项其财务能力以联合体牵头人为准。</w:t>
      </w:r>
      <w:r>
        <w:rPr>
          <w:rFonts w:hint="eastAsia" w:ascii="仿宋" w:hAnsi="仿宋" w:eastAsia="仿宋" w:cs="仿宋"/>
          <w:sz w:val="22"/>
          <w:szCs w:val="22"/>
          <w:lang w:eastAsia="zh-CN"/>
        </w:rPr>
        <w:br w:type="page"/>
      </w:r>
    </w:p>
    <w:p w14:paraId="4CBCEECB">
      <w:pPr>
        <w:spacing w:before="91" w:line="219" w:lineRule="auto"/>
        <w:jc w:val="center"/>
        <w:outlineLvl w:val="1"/>
        <w:rPr>
          <w:rFonts w:hint="eastAsia" w:ascii="仿宋" w:hAnsi="仿宋" w:eastAsia="仿宋" w:cs="仿宋"/>
          <w:sz w:val="12"/>
          <w:szCs w:val="12"/>
          <w:lang w:eastAsia="zh-CN"/>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附录</w:t>
      </w:r>
      <w:r>
        <w:rPr>
          <w:rFonts w:hint="eastAsia" w:ascii="仿宋" w:hAnsi="仿宋" w:eastAsia="仿宋" w:cs="仿宋"/>
          <w:spacing w:val="-44"/>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3</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资格审查条件(业绩最低要求)</w:t>
      </w:r>
    </w:p>
    <w:p w14:paraId="0721BEF6">
      <w:pPr>
        <w:spacing w:line="170" w:lineRule="exact"/>
        <w:rPr>
          <w:rFonts w:hint="eastAsia" w:ascii="仿宋" w:hAnsi="仿宋" w:eastAsia="仿宋" w:cs="仿宋"/>
          <w:lang w:eastAsia="zh-CN"/>
        </w:rPr>
      </w:pPr>
    </w:p>
    <w:tbl>
      <w:tblPr>
        <w:tblStyle w:val="8"/>
        <w:tblW w:w="9042"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42"/>
      </w:tblGrid>
      <w:tr w14:paraId="1C1930B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7" w:hRule="atLeast"/>
          <w:jc w:val="center"/>
        </w:trPr>
        <w:tc>
          <w:tcPr>
            <w:tcW w:w="9042" w:type="dxa"/>
            <w:tcBorders>
              <w:bottom w:val="single" w:color="000000" w:sz="2" w:space="0"/>
            </w:tcBorders>
            <w:shd w:val="clear" w:color="auto" w:fill="DBE3F4" w:themeFill="accent1" w:themeFillTint="32"/>
            <w:vAlign w:val="center"/>
          </w:tcPr>
          <w:p w14:paraId="34A79558">
            <w:pPr>
              <w:pStyle w:val="7"/>
              <w:spacing w:before="39"/>
              <w:jc w:val="center"/>
              <w:rPr>
                <w:rFonts w:hint="eastAsia" w:ascii="仿宋" w:hAnsi="仿宋" w:eastAsia="仿宋" w:cs="仿宋"/>
              </w:rPr>
            </w:pPr>
            <w:r>
              <w:rPr>
                <w:rFonts w:hint="eastAsia" w:ascii="仿宋" w:hAnsi="仿宋" w:eastAsia="仿宋" w:cs="仿宋"/>
                <w:spacing w:val="-2"/>
                <w:lang w:eastAsia="zh-CN"/>
                <w14:textOutline w14:w="4356" w14:cap="sq" w14:cmpd="sng" w14:algn="ctr">
                  <w14:solidFill>
                    <w14:srgbClr w14:val="000000"/>
                  </w14:solidFill>
                  <w14:prstDash w14:val="solid"/>
                  <w14:bevel/>
                </w14:textOutline>
              </w:rPr>
              <w:t>施工业绩要求</w:t>
            </w:r>
          </w:p>
        </w:tc>
      </w:tr>
      <w:tr w14:paraId="7D5DA9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01" w:hRule="atLeast"/>
          <w:jc w:val="center"/>
        </w:trPr>
        <w:tc>
          <w:tcPr>
            <w:tcW w:w="9042" w:type="dxa"/>
            <w:tcBorders>
              <w:top w:val="single" w:color="000000" w:sz="2" w:space="0"/>
              <w:bottom w:val="single" w:color="000000" w:sz="2" w:space="0"/>
            </w:tcBorders>
            <w:vAlign w:val="center"/>
          </w:tcPr>
          <w:p w14:paraId="0D6F2EA8">
            <w:pPr>
              <w:pStyle w:val="7"/>
              <w:spacing w:before="1" w:line="360" w:lineRule="auto"/>
              <w:ind w:left="107" w:firstLine="440" w:firstLineChars="2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2020年1月1日至投标截止日止，投标人（施工单位）至少独立完成过累计里程不少于10km的类似工程施工项目，其中至少包含2项里程不小于3km的类似工程施工项目。</w:t>
            </w:r>
          </w:p>
        </w:tc>
      </w:tr>
      <w:tr w14:paraId="661C00E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567" w:hRule="atLeast"/>
          <w:jc w:val="center"/>
        </w:trPr>
        <w:tc>
          <w:tcPr>
            <w:tcW w:w="9042" w:type="dxa"/>
            <w:tcBorders>
              <w:top w:val="single" w:color="000000" w:sz="2" w:space="0"/>
              <w:bottom w:val="single" w:color="000000" w:sz="2" w:space="0"/>
            </w:tcBorders>
            <w:shd w:val="clear" w:color="auto" w:fill="DBE3F4" w:themeFill="accent1" w:themeFillTint="32"/>
            <w:vAlign w:val="center"/>
          </w:tcPr>
          <w:p w14:paraId="0D4689AA">
            <w:pPr>
              <w:pStyle w:val="7"/>
              <w:spacing w:before="39"/>
              <w:jc w:val="center"/>
              <w:rPr>
                <w:rFonts w:hint="eastAsia" w:ascii="仿宋" w:hAnsi="仿宋" w:eastAsia="仿宋" w:cs="仿宋"/>
                <w:color w:val="auto"/>
                <w:sz w:val="22"/>
                <w:szCs w:val="22"/>
                <w:lang w:eastAsia="zh-CN"/>
              </w:rPr>
            </w:pPr>
            <w:r>
              <w:rPr>
                <w:rFonts w:hint="eastAsia" w:ascii="仿宋" w:hAnsi="仿宋" w:eastAsia="仿宋" w:cs="仿宋"/>
                <w:color w:val="auto"/>
                <w:spacing w:val="-2"/>
                <w:lang w:eastAsia="zh-CN"/>
                <w14:textOutline w14:w="4356" w14:cap="sq" w14:cmpd="sng" w14:algn="ctr">
                  <w14:solidFill>
                    <w14:srgbClr w14:val="000000"/>
                  </w14:solidFill>
                  <w14:prstDash w14:val="solid"/>
                  <w14:bevel/>
                </w14:textOutline>
              </w:rPr>
              <w:t>设计</w:t>
            </w:r>
            <w:r>
              <w:rPr>
                <w:rFonts w:hint="eastAsia" w:ascii="仿宋" w:hAnsi="仿宋" w:eastAsia="仿宋" w:cs="仿宋"/>
                <w:color w:val="auto"/>
                <w:spacing w:val="-2"/>
                <w14:textOutline w14:w="4356" w14:cap="sq" w14:cmpd="sng" w14:algn="ctr">
                  <w14:solidFill>
                    <w14:srgbClr w14:val="000000"/>
                  </w14:solidFill>
                  <w14:prstDash w14:val="solid"/>
                  <w14:bevel/>
                </w14:textOutline>
              </w:rPr>
              <w:t>业绩要求</w:t>
            </w:r>
          </w:p>
        </w:tc>
      </w:tr>
      <w:tr w14:paraId="78491C8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701" w:hRule="atLeast"/>
          <w:jc w:val="center"/>
        </w:trPr>
        <w:tc>
          <w:tcPr>
            <w:tcW w:w="9042" w:type="dxa"/>
            <w:tcBorders>
              <w:top w:val="single" w:color="000000" w:sz="2" w:space="0"/>
              <w:bottom w:val="single" w:color="000000" w:sz="2" w:space="0"/>
            </w:tcBorders>
            <w:vAlign w:val="center"/>
          </w:tcPr>
          <w:p w14:paraId="5B5C201F">
            <w:pPr>
              <w:pStyle w:val="7"/>
              <w:spacing w:before="1" w:line="360" w:lineRule="auto"/>
              <w:ind w:left="107" w:firstLine="440" w:firstLineChars="2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2020年1月1日至投标截止日止，投标人（设计单位）至少独立完成过累计里程不少于10km的类似工程设计项目，其中至少包含2项里程不小于3km的类似工程设计项目。</w:t>
            </w:r>
          </w:p>
        </w:tc>
      </w:tr>
    </w:tbl>
    <w:p w14:paraId="27D93E84">
      <w:pPr>
        <w:pStyle w:val="9"/>
        <w:spacing w:line="360" w:lineRule="auto"/>
        <w:ind w:left="0" w:firstLine="0"/>
        <w:rPr>
          <w:rFonts w:hint="eastAsia" w:ascii="仿宋" w:hAnsi="仿宋" w:eastAsia="仿宋" w:cs="仿宋"/>
          <w:sz w:val="22"/>
          <w:szCs w:val="22"/>
          <w:lang w:eastAsia="zh-CN"/>
        </w:rPr>
      </w:pPr>
    </w:p>
    <w:p w14:paraId="54401A01">
      <w:pPr>
        <w:pStyle w:val="9"/>
        <w:spacing w:line="360" w:lineRule="auto"/>
        <w:ind w:left="0" w:firstLine="0"/>
        <w:rPr>
          <w:rFonts w:hint="eastAsia" w:ascii="仿宋" w:hAnsi="仿宋" w:eastAsia="仿宋" w:cs="仿宋"/>
          <w:sz w:val="22"/>
          <w:szCs w:val="22"/>
          <w:lang w:eastAsia="zh-CN"/>
        </w:rPr>
      </w:pPr>
      <w:r>
        <w:rPr>
          <w:rFonts w:hint="eastAsia" w:ascii="仿宋" w:hAnsi="仿宋" w:eastAsia="仿宋" w:cs="仿宋"/>
          <w:sz w:val="22"/>
          <w:szCs w:val="22"/>
          <w:lang w:eastAsia="zh-CN"/>
        </w:rPr>
        <w:t>注：</w:t>
      </w:r>
    </w:p>
    <w:p w14:paraId="3A328037">
      <w:pPr>
        <w:pStyle w:val="9"/>
        <w:spacing w:line="360" w:lineRule="auto"/>
        <w:ind w:left="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1、本附录所要求的业绩仅限中华人民共和国境内业绩。</w:t>
      </w:r>
    </w:p>
    <w:p w14:paraId="3E6D8E61">
      <w:pPr>
        <w:pStyle w:val="9"/>
        <w:spacing w:line="360" w:lineRule="auto"/>
        <w:ind w:left="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2、投标人提供的业绩证明为交通运输部“全国公路建设市场监督管理系统”业绩信息的网页截图体现其完成的工作必须为新建、改建、扩建、路面改造（或大修）四级或以上（公路技术等级）公</w:t>
      </w:r>
      <w:r>
        <w:rPr>
          <w:rFonts w:hint="eastAsia" w:ascii="仿宋" w:hAnsi="仿宋" w:eastAsia="仿宋" w:cs="仿宋"/>
          <w:sz w:val="22"/>
          <w:szCs w:val="22"/>
          <w:highlight w:val="none"/>
          <w:lang w:eastAsia="zh-CN"/>
        </w:rPr>
        <w:t>路</w:t>
      </w:r>
      <w:r>
        <w:rPr>
          <w:rFonts w:hint="eastAsia" w:ascii="仿宋" w:hAnsi="仿宋" w:eastAsia="仿宋" w:cs="仿宋"/>
          <w:color w:val="auto"/>
          <w:sz w:val="22"/>
          <w:szCs w:val="22"/>
          <w:highlight w:val="none"/>
          <w:lang w:eastAsia="zh-CN"/>
        </w:rPr>
        <w:t>公路、桥梁施工工程项目</w:t>
      </w:r>
      <w:r>
        <w:rPr>
          <w:rFonts w:hint="eastAsia" w:ascii="仿宋" w:hAnsi="仿宋" w:eastAsia="仿宋" w:cs="仿宋"/>
          <w:sz w:val="22"/>
          <w:szCs w:val="22"/>
          <w:lang w:eastAsia="zh-CN"/>
        </w:rPr>
        <w:t>或设计项目。如投标人未提供相关项目网页截图复印件或相关项目网页截图中的信息无法证实投标人满足招标文件规定的资格审查条件（业绩最低要求）或评标办法评分标准（如有），则该项目业绩不予认定。</w:t>
      </w:r>
    </w:p>
    <w:p w14:paraId="0BFBF542">
      <w:pPr>
        <w:pStyle w:val="9"/>
        <w:spacing w:line="360" w:lineRule="auto"/>
        <w:ind w:left="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3、若为联合体投标，投标人业绩的资格审查条件和加分条件（如有）的认定原则如下：联合体成员须按联合体协议书中约定承担的各专业工程满足对应的业绩要求。若联合体各成员中有2家或以上的施工单位或设计单位，资格审查条件和加分条件只计算其中一家，不作累计（以资质最高或得分最高的为准）。</w:t>
      </w:r>
    </w:p>
    <w:p w14:paraId="5BFCAC88">
      <w:pPr>
        <w:pStyle w:val="9"/>
        <w:spacing w:line="360" w:lineRule="auto"/>
        <w:ind w:left="0"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4、投标人应根据招标文件第二章“投标人须知”第3.5.3项的要求附相关证明材料。</w:t>
      </w:r>
    </w:p>
    <w:p w14:paraId="0773C928">
      <w:pP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pPr>
      <w:bookmarkStart w:id="0" w:name="bookmark65"/>
      <w:bookmarkEnd w:id="0"/>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br w:type="page"/>
      </w:r>
    </w:p>
    <w:p w14:paraId="7FF8BEA5">
      <w:pPr>
        <w:spacing w:before="91" w:line="219" w:lineRule="auto"/>
        <w:jc w:val="center"/>
        <w:outlineLvl w:val="1"/>
        <w:rPr>
          <w:rFonts w:hint="eastAsia" w:ascii="仿宋" w:hAnsi="仿宋" w:eastAsia="仿宋" w:cs="仿宋"/>
          <w:sz w:val="12"/>
          <w:szCs w:val="12"/>
          <w:lang w:eastAsia="zh-CN"/>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附录</w:t>
      </w:r>
      <w:r>
        <w:rPr>
          <w:rFonts w:hint="eastAsia" w:ascii="仿宋" w:hAnsi="仿宋" w:eastAsia="仿宋" w:cs="仿宋"/>
          <w:spacing w:val="-46"/>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4</w:t>
      </w:r>
      <w:r>
        <w:rPr>
          <w:rFonts w:hint="eastAsia" w:ascii="仿宋" w:hAnsi="仿宋" w:eastAsia="仿宋" w:cs="仿宋"/>
          <w:spacing w:val="1"/>
          <w:sz w:val="28"/>
          <w:szCs w:val="28"/>
          <w:lang w:eastAsia="zh-CN"/>
        </w:rPr>
        <w:t xml:space="preserve">   </w:t>
      </w: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t>资格审查条件(项目经理、项目总工、设计负责人最低要求)</w:t>
      </w:r>
    </w:p>
    <w:p w14:paraId="04B6CC36">
      <w:pPr>
        <w:spacing w:line="295" w:lineRule="auto"/>
        <w:rPr>
          <w:rFonts w:hint="eastAsia" w:ascii="仿宋" w:hAnsi="仿宋" w:eastAsia="仿宋" w:cs="仿宋"/>
          <w:lang w:eastAsia="zh-CN"/>
        </w:rPr>
      </w:pPr>
    </w:p>
    <w:tbl>
      <w:tblPr>
        <w:tblStyle w:val="5"/>
        <w:tblW w:w="96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1"/>
        <w:gridCol w:w="930"/>
        <w:gridCol w:w="5111"/>
        <w:gridCol w:w="2005"/>
      </w:tblGrid>
      <w:tr w14:paraId="52A9E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1581" w:type="dxa"/>
            <w:shd w:val="clear" w:color="auto" w:fill="DBE3F4" w:themeFill="accent1" w:themeFillTint="32"/>
            <w:vAlign w:val="center"/>
          </w:tcPr>
          <w:p w14:paraId="73C4E84A">
            <w:pPr>
              <w:jc w:val="center"/>
              <w:rPr>
                <w:rFonts w:hint="eastAsia" w:ascii="仿宋" w:hAnsi="仿宋" w:eastAsia="仿宋" w:cs="仿宋"/>
                <w:b/>
                <w:bCs/>
                <w:sz w:val="22"/>
                <w:szCs w:val="22"/>
              </w:rPr>
            </w:pPr>
            <w:r>
              <w:rPr>
                <w:rFonts w:hint="eastAsia" w:ascii="仿宋" w:hAnsi="仿宋" w:eastAsia="仿宋" w:cs="仿宋"/>
                <w:b/>
                <w:bCs/>
                <w:sz w:val="22"/>
                <w:szCs w:val="22"/>
              </w:rPr>
              <w:t>人  员</w:t>
            </w:r>
          </w:p>
        </w:tc>
        <w:tc>
          <w:tcPr>
            <w:tcW w:w="930" w:type="dxa"/>
            <w:shd w:val="clear" w:color="auto" w:fill="DBE3F4" w:themeFill="accent1" w:themeFillTint="32"/>
            <w:vAlign w:val="center"/>
          </w:tcPr>
          <w:p w14:paraId="64105352">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5111" w:type="dxa"/>
            <w:shd w:val="clear" w:color="auto" w:fill="DBE3F4" w:themeFill="accent1" w:themeFillTint="32"/>
            <w:vAlign w:val="center"/>
          </w:tcPr>
          <w:p w14:paraId="6159551E">
            <w:pPr>
              <w:jc w:val="center"/>
              <w:rPr>
                <w:rFonts w:hint="eastAsia" w:ascii="仿宋" w:hAnsi="仿宋" w:eastAsia="仿宋" w:cs="仿宋"/>
                <w:b/>
                <w:bCs/>
                <w:sz w:val="22"/>
                <w:szCs w:val="22"/>
              </w:rPr>
            </w:pPr>
            <w:r>
              <w:rPr>
                <w:rFonts w:hint="eastAsia" w:ascii="仿宋" w:hAnsi="仿宋" w:eastAsia="仿宋" w:cs="仿宋"/>
                <w:b/>
                <w:bCs/>
                <w:sz w:val="22"/>
                <w:szCs w:val="22"/>
              </w:rPr>
              <w:t>资 格 要 求</w:t>
            </w:r>
          </w:p>
        </w:tc>
        <w:tc>
          <w:tcPr>
            <w:tcW w:w="2005" w:type="dxa"/>
            <w:shd w:val="clear" w:color="auto" w:fill="DBE3F4" w:themeFill="accent1" w:themeFillTint="32"/>
            <w:vAlign w:val="center"/>
          </w:tcPr>
          <w:p w14:paraId="3B23420E">
            <w:pPr>
              <w:jc w:val="center"/>
              <w:rPr>
                <w:rFonts w:hint="eastAsia" w:ascii="仿宋" w:hAnsi="仿宋" w:eastAsia="仿宋" w:cs="仿宋"/>
                <w:b/>
                <w:bCs/>
                <w:sz w:val="22"/>
                <w:szCs w:val="22"/>
              </w:rPr>
            </w:pPr>
            <w:r>
              <w:rPr>
                <w:rFonts w:hint="eastAsia" w:ascii="仿宋" w:hAnsi="仿宋" w:eastAsia="仿宋" w:cs="仿宋"/>
                <w:b/>
                <w:bCs/>
                <w:sz w:val="22"/>
                <w:szCs w:val="22"/>
              </w:rPr>
              <w:t>在岗要求</w:t>
            </w:r>
          </w:p>
        </w:tc>
      </w:tr>
      <w:tr w14:paraId="0A5D8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1" w:hRule="atLeast"/>
          <w:jc w:val="center"/>
        </w:trPr>
        <w:tc>
          <w:tcPr>
            <w:tcW w:w="1581" w:type="dxa"/>
            <w:shd w:val="clear" w:color="auto" w:fill="auto"/>
            <w:vAlign w:val="center"/>
          </w:tcPr>
          <w:p w14:paraId="5BA85521">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项目总负责人</w:t>
            </w:r>
          </w:p>
        </w:tc>
        <w:tc>
          <w:tcPr>
            <w:tcW w:w="930" w:type="dxa"/>
            <w:shd w:val="clear" w:color="auto" w:fill="auto"/>
            <w:vAlign w:val="center"/>
          </w:tcPr>
          <w:p w14:paraId="63D6CACC">
            <w:pPr>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w:t>
            </w:r>
          </w:p>
        </w:tc>
        <w:tc>
          <w:tcPr>
            <w:tcW w:w="5111" w:type="dxa"/>
            <w:shd w:val="clear" w:color="auto" w:fill="auto"/>
            <w:vAlign w:val="center"/>
          </w:tcPr>
          <w:p w14:paraId="422EDEF5">
            <w:pPr>
              <w:spacing w:line="360" w:lineRule="auto"/>
              <w:ind w:firstLine="440" w:firstLineChars="200"/>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担任牵头人单位副总经理或总经理助理或以上职务或经牵头人法定代表人授权的项目总负责人，具有丰富的统筹协调能力。（若为联合体投标，需为联合体牵头人的正式员工）</w:t>
            </w:r>
          </w:p>
        </w:tc>
        <w:tc>
          <w:tcPr>
            <w:tcW w:w="2005" w:type="dxa"/>
            <w:vAlign w:val="center"/>
          </w:tcPr>
          <w:p w14:paraId="1B2C3798">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无</w:t>
            </w:r>
          </w:p>
        </w:tc>
      </w:tr>
      <w:tr w14:paraId="2CBB6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91" w:hRule="atLeast"/>
          <w:jc w:val="center"/>
        </w:trPr>
        <w:tc>
          <w:tcPr>
            <w:tcW w:w="1581" w:type="dxa"/>
            <w:shd w:val="clear" w:color="auto" w:fill="auto"/>
            <w:vAlign w:val="center"/>
          </w:tcPr>
          <w:p w14:paraId="41F13760">
            <w:pPr>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项目经理</w:t>
            </w:r>
          </w:p>
        </w:tc>
        <w:tc>
          <w:tcPr>
            <w:tcW w:w="930" w:type="dxa"/>
            <w:shd w:val="clear" w:color="auto" w:fill="auto"/>
            <w:vAlign w:val="center"/>
          </w:tcPr>
          <w:p w14:paraId="5DE62FD8">
            <w:pPr>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个</w:t>
            </w:r>
          </w:p>
        </w:tc>
        <w:tc>
          <w:tcPr>
            <w:tcW w:w="5111" w:type="dxa"/>
            <w:shd w:val="clear" w:color="auto" w:fill="auto"/>
            <w:vAlign w:val="center"/>
          </w:tcPr>
          <w:p w14:paraId="62C666BB">
            <w:pPr>
              <w:spacing w:line="360" w:lineRule="auto"/>
              <w:ind w:firstLine="440" w:firstLineChars="200"/>
              <w:rPr>
                <w:rFonts w:hint="eastAsia" w:ascii="仿宋" w:hAnsi="仿宋" w:eastAsia="仿宋" w:cs="仿宋"/>
                <w:color w:val="FF0000"/>
                <w:sz w:val="22"/>
                <w:szCs w:val="22"/>
                <w:lang w:eastAsia="zh-CN"/>
              </w:rPr>
            </w:pPr>
            <w:r>
              <w:rPr>
                <w:rFonts w:hint="eastAsia" w:ascii="仿宋" w:hAnsi="仿宋" w:eastAsia="仿宋" w:cs="仿宋"/>
                <w:bCs/>
                <w:color w:val="auto"/>
                <w:sz w:val="22"/>
                <w:szCs w:val="22"/>
                <w:lang w:eastAsia="zh-CN"/>
              </w:rPr>
              <w:t>持有住房和城乡建设部</w:t>
            </w:r>
            <w:r>
              <w:rPr>
                <w:rFonts w:hint="eastAsia" w:ascii="仿宋" w:hAnsi="仿宋" w:eastAsia="仿宋" w:cs="仿宋"/>
                <w:color w:val="auto"/>
                <w:sz w:val="22"/>
                <w:szCs w:val="22"/>
                <w:lang w:eastAsia="zh-CN"/>
              </w:rPr>
              <w:t>门</w:t>
            </w:r>
            <w:r>
              <w:rPr>
                <w:rFonts w:hint="eastAsia" w:ascii="仿宋" w:hAnsi="仿宋" w:eastAsia="仿宋" w:cs="仿宋"/>
                <w:bCs/>
                <w:color w:val="auto"/>
                <w:sz w:val="22"/>
                <w:szCs w:val="22"/>
                <w:lang w:eastAsia="zh-CN"/>
              </w:rPr>
              <w:t>颁发的公路工程专业二级以上（含二级）注册建造师注册职业资格证书，同时具有交通主管部门颁发的有效安全生产“三类人员”B类证书。（需为施工单位的在职人员）</w:t>
            </w:r>
          </w:p>
        </w:tc>
        <w:tc>
          <w:tcPr>
            <w:tcW w:w="2005" w:type="dxa"/>
            <w:vMerge w:val="restart"/>
            <w:vAlign w:val="center"/>
          </w:tcPr>
          <w:p w14:paraId="705FF809">
            <w:pPr>
              <w:spacing w:line="360" w:lineRule="auto"/>
              <w:rPr>
                <w:rFonts w:hint="eastAsia" w:ascii="仿宋" w:hAnsi="仿宋" w:eastAsia="仿宋" w:cs="仿宋"/>
                <w:color w:val="FF0000"/>
                <w:sz w:val="22"/>
                <w:szCs w:val="22"/>
                <w:lang w:eastAsia="zh-CN"/>
              </w:rPr>
            </w:pPr>
            <w:r>
              <w:rPr>
                <w:rFonts w:hint="eastAsia" w:ascii="仿宋" w:hAnsi="仿宋" w:eastAsia="仿宋" w:cs="仿宋"/>
                <w:color w:val="auto"/>
                <w:sz w:val="22"/>
                <w:szCs w:val="22"/>
                <w:lang w:eastAsia="zh-CN"/>
              </w:rPr>
              <w:t>无在岗项目（指目前未在其他项目上任职，或虽在其他项目上任职但本项目中标后能够从该项目撤离）</w:t>
            </w:r>
          </w:p>
        </w:tc>
      </w:tr>
      <w:tr w14:paraId="4AFEA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2" w:hRule="atLeast"/>
          <w:jc w:val="center"/>
        </w:trPr>
        <w:tc>
          <w:tcPr>
            <w:tcW w:w="1581" w:type="dxa"/>
            <w:shd w:val="clear" w:color="auto" w:fill="auto"/>
            <w:vAlign w:val="center"/>
          </w:tcPr>
          <w:p w14:paraId="2C1A166F">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rPr>
              <w:t>项目总工</w:t>
            </w:r>
          </w:p>
        </w:tc>
        <w:tc>
          <w:tcPr>
            <w:tcW w:w="930" w:type="dxa"/>
            <w:shd w:val="clear" w:color="auto" w:fill="auto"/>
            <w:vAlign w:val="center"/>
          </w:tcPr>
          <w:p w14:paraId="7FDB5C1D">
            <w:pPr>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rPr>
              <w:t>1</w:t>
            </w:r>
            <w:r>
              <w:rPr>
                <w:rFonts w:hint="eastAsia" w:ascii="仿宋" w:hAnsi="仿宋" w:eastAsia="仿宋" w:cs="仿宋"/>
                <w:color w:val="auto"/>
                <w:sz w:val="22"/>
                <w:szCs w:val="22"/>
                <w:lang w:eastAsia="zh-CN"/>
              </w:rPr>
              <w:t>个</w:t>
            </w:r>
          </w:p>
        </w:tc>
        <w:tc>
          <w:tcPr>
            <w:tcW w:w="5111" w:type="dxa"/>
            <w:shd w:val="clear" w:color="auto" w:fill="auto"/>
            <w:vAlign w:val="center"/>
          </w:tcPr>
          <w:p w14:paraId="1D69C2CB">
            <w:pPr>
              <w:spacing w:line="360" w:lineRule="auto"/>
              <w:ind w:firstLine="440" w:firstLineChars="200"/>
              <w:rPr>
                <w:rFonts w:hint="eastAsia" w:ascii="仿宋" w:hAnsi="仿宋" w:eastAsia="仿宋" w:cs="仿宋"/>
                <w:strike/>
                <w:color w:val="auto"/>
                <w:sz w:val="22"/>
                <w:szCs w:val="22"/>
                <w:lang w:eastAsia="zh-CN"/>
              </w:rPr>
            </w:pPr>
            <w:r>
              <w:rPr>
                <w:rFonts w:hint="eastAsia" w:ascii="仿宋" w:hAnsi="仿宋" w:eastAsia="仿宋" w:cs="仿宋"/>
                <w:bCs/>
                <w:color w:val="auto"/>
                <w:sz w:val="22"/>
                <w:szCs w:val="22"/>
                <w:lang w:eastAsia="zh-CN"/>
              </w:rPr>
              <w:t>具备路桥相关专业的工程师或以上职称，同时具有交通运输部门颁发的有效安全生产“三类人员”B类证书。（需为施工单位的在职人员）</w:t>
            </w:r>
          </w:p>
        </w:tc>
        <w:tc>
          <w:tcPr>
            <w:tcW w:w="2005" w:type="dxa"/>
            <w:vMerge w:val="continue"/>
            <w:vAlign w:val="center"/>
          </w:tcPr>
          <w:p w14:paraId="7D629BC4">
            <w:pPr>
              <w:spacing w:line="360" w:lineRule="auto"/>
              <w:rPr>
                <w:rFonts w:hint="eastAsia" w:ascii="仿宋" w:hAnsi="仿宋" w:eastAsia="仿宋" w:cs="仿宋"/>
                <w:color w:val="FF0000"/>
                <w:sz w:val="22"/>
                <w:szCs w:val="22"/>
                <w:lang w:eastAsia="zh-CN"/>
              </w:rPr>
            </w:pPr>
          </w:p>
        </w:tc>
      </w:tr>
      <w:tr w14:paraId="6650D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1" w:hRule="atLeast"/>
          <w:jc w:val="center"/>
        </w:trPr>
        <w:tc>
          <w:tcPr>
            <w:tcW w:w="1581" w:type="dxa"/>
            <w:shd w:val="clear" w:color="auto" w:fill="auto"/>
            <w:vAlign w:val="center"/>
          </w:tcPr>
          <w:p w14:paraId="273EFFEA">
            <w:pPr>
              <w:spacing w:line="360" w:lineRule="auto"/>
              <w:jc w:val="center"/>
              <w:rPr>
                <w:rFonts w:hint="eastAsia" w:ascii="仿宋" w:hAnsi="仿宋" w:eastAsia="仿宋" w:cs="仿宋"/>
                <w:color w:val="auto"/>
                <w:sz w:val="22"/>
                <w:szCs w:val="22"/>
              </w:rPr>
            </w:pPr>
            <w:r>
              <w:rPr>
                <w:rFonts w:hint="eastAsia" w:ascii="仿宋" w:hAnsi="仿宋" w:eastAsia="仿宋" w:cs="仿宋"/>
                <w:color w:val="auto"/>
                <w:sz w:val="22"/>
                <w:szCs w:val="22"/>
                <w:lang w:eastAsia="zh-CN"/>
              </w:rPr>
              <w:t>设计负责人</w:t>
            </w:r>
          </w:p>
        </w:tc>
        <w:tc>
          <w:tcPr>
            <w:tcW w:w="930" w:type="dxa"/>
            <w:shd w:val="clear" w:color="auto" w:fill="auto"/>
            <w:vAlign w:val="center"/>
          </w:tcPr>
          <w:p w14:paraId="36EC689C">
            <w:pPr>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1人</w:t>
            </w:r>
          </w:p>
        </w:tc>
        <w:tc>
          <w:tcPr>
            <w:tcW w:w="5111" w:type="dxa"/>
            <w:shd w:val="clear" w:color="auto" w:fill="auto"/>
            <w:vAlign w:val="center"/>
          </w:tcPr>
          <w:p w14:paraId="2675EFC8">
            <w:pPr>
              <w:spacing w:line="360" w:lineRule="auto"/>
              <w:ind w:firstLine="440" w:firstLineChars="200"/>
              <w:rPr>
                <w:rFonts w:hint="eastAsia" w:ascii="仿宋" w:hAnsi="仿宋" w:eastAsia="仿宋" w:cs="仿宋"/>
                <w:strike/>
                <w:color w:val="auto"/>
                <w:sz w:val="22"/>
                <w:szCs w:val="22"/>
                <w:lang w:eastAsia="zh-CN"/>
              </w:rPr>
            </w:pPr>
            <w:r>
              <w:rPr>
                <w:rFonts w:hint="eastAsia" w:ascii="仿宋" w:hAnsi="仿宋" w:eastAsia="仿宋" w:cs="仿宋"/>
                <w:color w:val="auto"/>
                <w:sz w:val="22"/>
                <w:szCs w:val="22"/>
                <w:lang w:eastAsia="zh-CN"/>
              </w:rPr>
              <w:t>路桥相关专业中级工程师，近5年内作为项目负责人主持过1个合同段类似工程的设计或勘察设计工作。（需为设计单位的在职人员）</w:t>
            </w:r>
          </w:p>
        </w:tc>
        <w:tc>
          <w:tcPr>
            <w:tcW w:w="2005" w:type="dxa"/>
            <w:vAlign w:val="center"/>
          </w:tcPr>
          <w:p w14:paraId="157C8D99">
            <w:pPr>
              <w:spacing w:line="360" w:lineRule="auto"/>
              <w:jc w:val="center"/>
              <w:rPr>
                <w:rFonts w:hint="eastAsia" w:ascii="仿宋" w:hAnsi="仿宋" w:eastAsia="仿宋" w:cs="仿宋"/>
                <w:color w:val="FF0000"/>
                <w:sz w:val="22"/>
                <w:szCs w:val="22"/>
                <w:lang w:eastAsia="zh-CN"/>
              </w:rPr>
            </w:pPr>
            <w:r>
              <w:rPr>
                <w:rFonts w:hint="eastAsia" w:ascii="仿宋" w:hAnsi="仿宋" w:eastAsia="仿宋" w:cs="仿宋"/>
                <w:color w:val="auto"/>
                <w:sz w:val="22"/>
                <w:szCs w:val="22"/>
                <w:highlight w:val="none"/>
              </w:rPr>
              <w:t>无</w:t>
            </w:r>
          </w:p>
        </w:tc>
      </w:tr>
    </w:tbl>
    <w:p w14:paraId="45E44D78">
      <w:pPr>
        <w:spacing w:line="146" w:lineRule="exact"/>
        <w:rPr>
          <w:rFonts w:hint="eastAsia" w:ascii="仿宋" w:hAnsi="仿宋" w:eastAsia="仿宋" w:cs="仿宋"/>
          <w:lang w:eastAsia="zh-CN"/>
        </w:rPr>
      </w:pPr>
    </w:p>
    <w:p w14:paraId="627CBE65">
      <w:pPr>
        <w:spacing w:line="360" w:lineRule="auto"/>
        <w:rPr>
          <w:rFonts w:hint="eastAsia" w:ascii="仿宋" w:hAnsi="仿宋" w:eastAsia="仿宋" w:cs="仿宋"/>
          <w:sz w:val="22"/>
          <w:szCs w:val="22"/>
          <w:lang w:eastAsia="zh-CN"/>
        </w:rPr>
      </w:pPr>
      <w:r>
        <w:rPr>
          <w:rFonts w:hint="eastAsia" w:ascii="仿宋" w:hAnsi="仿宋" w:eastAsia="仿宋" w:cs="仿宋"/>
          <w:sz w:val="22"/>
          <w:szCs w:val="22"/>
          <w:lang w:eastAsia="zh-CN"/>
        </w:rPr>
        <w:t>注：</w:t>
      </w:r>
    </w:p>
    <w:p w14:paraId="66A125AB">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1、资格要求的人员建造师注册证书、安全生产“三类人员”B 类证书均应在申请人所在单位，否则视为无效。</w:t>
      </w:r>
    </w:p>
    <w:p w14:paraId="4F2F106C">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2、上述要求均以“全国公路建设市场监督管理系统”中载明的信息为准。</w:t>
      </w:r>
    </w:p>
    <w:p w14:paraId="5B95F060">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3、路桥相关专业包括路桥、市政路桥、道桥、道路、</w:t>
      </w:r>
      <w:r>
        <w:rPr>
          <w:rFonts w:hint="eastAsia" w:ascii="仿宋" w:hAnsi="仿宋" w:eastAsia="仿宋" w:cs="仿宋"/>
          <w:sz w:val="22"/>
          <w:szCs w:val="22"/>
          <w:highlight w:val="none"/>
          <w:lang w:val="en-US" w:eastAsia="zh-CN"/>
        </w:rPr>
        <w:t>道路桥梁、</w:t>
      </w:r>
      <w:r>
        <w:rPr>
          <w:rFonts w:hint="eastAsia" w:ascii="仿宋" w:hAnsi="仿宋" w:eastAsia="仿宋" w:cs="仿宋"/>
          <w:sz w:val="22"/>
          <w:szCs w:val="22"/>
          <w:highlight w:val="none"/>
          <w:lang w:eastAsia="zh-CN"/>
        </w:rPr>
        <w:t>桥</w:t>
      </w:r>
      <w:r>
        <w:rPr>
          <w:rFonts w:hint="eastAsia" w:ascii="仿宋" w:hAnsi="仿宋" w:eastAsia="仿宋" w:cs="仿宋"/>
          <w:sz w:val="22"/>
          <w:szCs w:val="22"/>
          <w:lang w:eastAsia="zh-CN"/>
        </w:rPr>
        <w:t>梁、交通土建、交通工程等专业。专业要求以职称资格证书上为准，若职称资格证书无专业则以其毕业证书上的专业为准。</w:t>
      </w:r>
    </w:p>
    <w:p w14:paraId="2233775B">
      <w:pPr>
        <w:spacing w:line="360" w:lineRule="auto"/>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4、附录</w:t>
      </w:r>
      <w:r>
        <w:rPr>
          <w:rFonts w:hint="eastAsia" w:ascii="仿宋" w:hAnsi="仿宋" w:eastAsia="仿宋" w:cs="仿宋"/>
          <w:sz w:val="22"/>
          <w:szCs w:val="22"/>
          <w:lang w:val="en-US" w:eastAsia="zh-CN"/>
        </w:rPr>
        <w:t>4</w:t>
      </w:r>
      <w:r>
        <w:rPr>
          <w:rFonts w:hint="eastAsia" w:ascii="仿宋" w:hAnsi="仿宋" w:eastAsia="仿宋" w:cs="仿宋"/>
          <w:sz w:val="22"/>
          <w:szCs w:val="22"/>
          <w:lang w:eastAsia="zh-CN"/>
        </w:rPr>
        <w:t>所要求人员须按资格审查资料表的要求附有效的证明材料，所有证明材料均须与身份证上的信息一致，否则视为无效证明材料。</w:t>
      </w:r>
    </w:p>
    <w:p w14:paraId="2B76A7CA">
      <w:pPr>
        <w:pStyle w:val="10"/>
        <w:rPr>
          <w:rFonts w:hint="eastAsia" w:ascii="仿宋" w:hAnsi="仿宋" w:eastAsia="仿宋" w:cs="仿宋"/>
        </w:rPr>
      </w:pPr>
    </w:p>
    <w:p w14:paraId="1C1A03B8">
      <w:pP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pPr>
      <w:r>
        <w:rPr>
          <w:rFonts w:hint="eastAsia" w:ascii="仿宋" w:hAnsi="仿宋" w:eastAsia="仿宋" w:cs="仿宋"/>
          <w:spacing w:val="1"/>
          <w:sz w:val="28"/>
          <w:szCs w:val="28"/>
          <w:lang w:eastAsia="zh-CN"/>
          <w14:textOutline w14:w="5105" w14:cap="sq" w14:cmpd="sng" w14:algn="ctr">
            <w14:solidFill>
              <w14:srgbClr w14:val="000000"/>
            </w14:solidFill>
            <w14:prstDash w14:val="solid"/>
            <w14:bevel/>
          </w14:textOutline>
        </w:rPr>
        <w:br w:type="page"/>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A101C"/>
    <w:rsid w:val="30BA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3">
    <w:name w:val="footer"/>
    <w:basedOn w:val="1"/>
    <w:qFormat/>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kern w:val="2"/>
      <w:sz w:val="18"/>
      <w:szCs w:val="18"/>
    </w:rPr>
  </w:style>
  <w:style w:type="paragraph" w:customStyle="1" w:styleId="7">
    <w:name w:val="Table Text"/>
    <w:basedOn w:val="1"/>
    <w:semiHidden/>
    <w:qFormat/>
    <w:uiPriority w:val="0"/>
    <w:rPr>
      <w:rFonts w:ascii="宋体" w:hAnsi="宋体" w:eastAsia="宋体" w:cs="宋体"/>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列表段落1"/>
    <w:basedOn w:val="1"/>
    <w:qFormat/>
    <w:uiPriority w:val="99"/>
    <w:pPr>
      <w:ind w:left="424" w:firstLine="480"/>
    </w:pPr>
  </w:style>
  <w:style w:type="paragraph" w:customStyle="1" w:styleId="10">
    <w:name w:val="_Style 3"/>
    <w:next w:val="9"/>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2025-08-29T07:28:00Z</dcterms:created>
  <dc:creator>广东宇硕科技实业有限公司</dc:creator>
  <cp:lastModifiedBy>广东宇硕科技实业有限公司</cp:lastModifiedBy>
  <dcterms:modified xsi:type="dcterms:W3CDTF">2025-08-29T07:29:16Z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F60D1AD35EC541849990187622EB7B43_11</vt:lpwstr>
  </property>
  <property fmtid="{D5CDD505-2E9C-101B-9397-08002B2CF9AE}" pid="4" name="KSOTemplateDocerSaveRecord">
    <vt:lpwstr>eyJoZGlkIjoiMjA1YjdhZmJmOWZkMzk4NzYxMTViYjUyOGNmNjVjMGQiLCJ1c2VySWQiOiI1ODU4MjE2NzMifQ==</vt:lpwstr>
  </property>
</Properties>
</file>