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color w:val="FF0000"/>
          <w:sz w:val="48"/>
          <w:szCs w:val="48"/>
        </w:rPr>
      </w:pPr>
      <w:bookmarkStart w:id="26" w:name="_GoBack"/>
      <w:bookmarkEnd w:id="26"/>
    </w:p>
    <w:p>
      <w:pPr>
        <w:jc w:val="center"/>
        <w:rPr>
          <w:rFonts w:ascii="黑体" w:eastAsia="黑体"/>
          <w:b/>
          <w:sz w:val="48"/>
          <w:szCs w:val="48"/>
        </w:rPr>
      </w:pP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云浮市公共资源交易信息化平台</w:t>
      </w: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一期升级改造项目</w:t>
      </w: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产权电子竞价</w:t>
      </w:r>
    </w:p>
    <w:p>
      <w:pPr>
        <w:jc w:val="center"/>
        <w:rPr>
          <w:rFonts w:ascii="黑体" w:eastAsia="黑体"/>
          <w:b/>
          <w:sz w:val="48"/>
          <w:szCs w:val="48"/>
        </w:rPr>
      </w:pPr>
      <w:r>
        <w:rPr>
          <w:rFonts w:hint="eastAsia" w:ascii="黑体" w:eastAsia="黑体"/>
          <w:b/>
          <w:sz w:val="48"/>
          <w:szCs w:val="48"/>
        </w:rPr>
        <w:t>（竞买人）</w:t>
      </w:r>
    </w:p>
    <w:p>
      <w:pPr>
        <w:spacing w:before="144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用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户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手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册</w:t>
      </w: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jc w:val="center"/>
        <w:rPr>
          <w:rFonts w:eastAsia="黑体"/>
          <w:b/>
          <w:bCs/>
          <w:sz w:val="28"/>
        </w:rPr>
      </w:pPr>
    </w:p>
    <w:p>
      <w:pPr>
        <w:jc w:val="center"/>
        <w:rPr>
          <w:rFonts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t>广州市中智软件开发有限公司 开发</w:t>
      </w:r>
    </w:p>
    <w:p>
      <w:pPr>
        <w:jc w:val="center"/>
        <w:rPr>
          <w:rFonts w:eastAsia="黑体"/>
          <w:b/>
          <w:bCs/>
          <w:sz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黑体"/>
          <w:b/>
          <w:bCs/>
          <w:sz w:val="28"/>
        </w:rPr>
        <w:t>202</w:t>
      </w:r>
      <w:r>
        <w:rPr>
          <w:rFonts w:hint="eastAsia" w:eastAsia="黑体"/>
          <w:b/>
          <w:bCs/>
          <w:sz w:val="28"/>
          <w:lang w:val="en-US" w:eastAsia="zh-CN"/>
        </w:rPr>
        <w:t>1</w:t>
      </w:r>
      <w:r>
        <w:rPr>
          <w:rFonts w:hint="eastAsia" w:eastAsia="黑体"/>
          <w:b/>
          <w:bCs/>
          <w:sz w:val="28"/>
        </w:rPr>
        <w:t>年1</w:t>
      </w:r>
      <w:r>
        <w:rPr>
          <w:rFonts w:hint="eastAsia" w:eastAsia="黑体"/>
          <w:b/>
          <w:bCs/>
          <w:sz w:val="28"/>
          <w:lang w:val="en-US" w:eastAsia="zh-CN"/>
        </w:rPr>
        <w:t>2</w:t>
      </w:r>
      <w:r>
        <w:rPr>
          <w:rFonts w:hint="eastAsia" w:eastAsia="黑体"/>
          <w:b/>
          <w:bCs/>
          <w:sz w:val="28"/>
        </w:rPr>
        <w:t>月</w:t>
      </w:r>
    </w:p>
    <w:sdt>
      <w:sdtPr>
        <w:rPr>
          <w:rFonts w:ascii="宋体" w:hAnsi="宋体" w:eastAsia="宋体"/>
          <w:sz w:val="21"/>
        </w:rPr>
        <w:id w:val="147482565"/>
        <w15:color w:val="DBDBDB"/>
        <w:docPartObj>
          <w:docPartGallery w:val="Table of Contents"/>
          <w:docPartUnique/>
        </w:docPartObj>
      </w:sdtPr>
      <w:sdtEndPr>
        <w:rPr>
          <w:rFonts w:hint="eastAsia" w:ascii="Tahoma" w:hAnsi="Tahoma" w:eastAsia="黑体"/>
          <w:bCs/>
          <w:sz w:val="22"/>
        </w:rPr>
      </w:sdtEndPr>
      <w:sdtContent>
        <w:p>
          <w:pPr>
            <w:spacing w:after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eastAsia="黑体"/>
              <w:b/>
              <w:bCs/>
              <w:sz w:val="28"/>
            </w:rPr>
            <w:fldChar w:fldCharType="begin"/>
          </w:r>
          <w:r>
            <w:rPr>
              <w:rFonts w:hint="eastAsia" w:eastAsia="黑体"/>
              <w:b/>
              <w:bCs/>
              <w:sz w:val="28"/>
            </w:rPr>
            <w:instrText xml:space="preserve">TOC \o "1-3" \h \u </w:instrText>
          </w:r>
          <w:r>
            <w:rPr>
              <w:rFonts w:hint="eastAsia" w:eastAsia="黑体"/>
              <w:b/>
              <w:bCs/>
              <w:sz w:val="28"/>
            </w:rPr>
            <w:fldChar w:fldCharType="separate"/>
          </w: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_Toc6591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1. </w:t>
          </w:r>
          <w:r>
            <w:rPr>
              <w:rFonts w:hint="eastAsia" w:ascii="黑体" w:hAnsi="Calibri" w:eastAsia="黑体" w:cs="Times New Roma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_Toc6591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_Toc18465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eastAsia"/>
            </w:rPr>
            <w:t>业务流程</w:t>
          </w:r>
          <w:r>
            <w:tab/>
          </w:r>
          <w:r>
            <w:fldChar w:fldCharType="begin"/>
          </w:r>
          <w:r>
            <w:instrText xml:space="preserve"> PAGEREF _Toc18465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_Toc10232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2. </w:t>
          </w:r>
          <w:r>
            <w:rPr>
              <w:rFonts w:hint="eastAsia" w:ascii="黑体" w:hAnsi="Calibri" w:eastAsia="黑体" w:cs="Times New Roman"/>
            </w:rPr>
            <w:t>业务操作说明</w:t>
          </w:r>
          <w:r>
            <w:tab/>
          </w:r>
          <w:r>
            <w:fldChar w:fldCharType="begin"/>
          </w:r>
          <w:r>
            <w:instrText xml:space="preserve"> PAGEREF _Toc10232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_Toc27625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 </w:t>
          </w:r>
          <w:r>
            <w:rPr>
              <w:rFonts w:hint="eastAsia"/>
              <w:lang w:val="en-US" w:eastAsia="zh-CN"/>
            </w:rPr>
            <w:t>查看交易公告和标的</w:t>
          </w:r>
          <w:r>
            <w:tab/>
          </w:r>
          <w:r>
            <w:fldChar w:fldCharType="begin"/>
          </w:r>
          <w:r>
            <w:instrText xml:space="preserve"> PAGEREF _Toc27625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_Toc18535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2.2. </w:t>
          </w:r>
          <w:r>
            <w:rPr>
              <w:rFonts w:hint="eastAsia"/>
            </w:rPr>
            <w:t>竞投报名</w:t>
          </w:r>
          <w:r>
            <w:tab/>
          </w:r>
          <w:r>
            <w:fldChar w:fldCharType="begin"/>
          </w:r>
          <w:r>
            <w:instrText xml:space="preserve"> PAGEREF _Toc18535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_Toc489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2.3. </w:t>
          </w:r>
          <w:r>
            <w:rPr>
              <w:rFonts w:hint="eastAsia"/>
            </w:rPr>
            <w:t>提交资格材料</w:t>
          </w:r>
          <w:r>
            <w:tab/>
          </w:r>
          <w:r>
            <w:fldChar w:fldCharType="begin"/>
          </w:r>
          <w:r>
            <w:instrText xml:space="preserve"> PAGEREF _Toc489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_Toc20638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2.4. </w:t>
          </w:r>
          <w:r>
            <w:rPr>
              <w:rFonts w:hint="eastAsia"/>
            </w:rPr>
            <w:t>保证金</w:t>
          </w:r>
          <w:r>
            <w:tab/>
          </w:r>
          <w:r>
            <w:fldChar w:fldCharType="begin"/>
          </w:r>
          <w:r>
            <w:instrText xml:space="preserve"> PAGEREF _Toc20638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_Toc31294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2.4.1. </w:t>
          </w:r>
          <w:r>
            <w:rPr>
              <w:rFonts w:hint="eastAsia"/>
              <w:lang w:val="en-US" w:eastAsia="zh-CN"/>
            </w:rPr>
            <w:t>缴纳保证金</w:t>
          </w:r>
          <w:r>
            <w:tab/>
          </w:r>
          <w:r>
            <w:fldChar w:fldCharType="begin"/>
          </w:r>
          <w:r>
            <w:instrText xml:space="preserve"> PAGEREF _Toc31294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_Toc26068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2.4.2. </w:t>
          </w:r>
          <w:r>
            <w:rPr>
              <w:rFonts w:hint="eastAsia"/>
              <w:lang w:val="en-US" w:eastAsia="zh-CN"/>
            </w:rPr>
            <w:t>保证金查询</w:t>
          </w:r>
          <w:r>
            <w:tab/>
          </w:r>
          <w:r>
            <w:fldChar w:fldCharType="begin"/>
          </w:r>
          <w:r>
            <w:instrText xml:space="preserve"> PAGEREF _Toc26068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_Toc11429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2.5. </w:t>
          </w:r>
          <w:r>
            <w:rPr>
              <w:rFonts w:hint="eastAsia"/>
            </w:rPr>
            <w:t>交易竞拍</w:t>
          </w:r>
          <w:r>
            <w:tab/>
          </w:r>
          <w:r>
            <w:fldChar w:fldCharType="begin"/>
          </w:r>
          <w:r>
            <w:instrText xml:space="preserve"> PAGEREF _Toc11429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_Toc12966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2.5.1. </w:t>
          </w:r>
          <w:r>
            <w:rPr>
              <w:rFonts w:hint="eastAsia"/>
            </w:rPr>
            <w:t>正在竞拍</w:t>
          </w:r>
          <w:r>
            <w:tab/>
          </w:r>
          <w:r>
            <w:fldChar w:fldCharType="begin"/>
          </w:r>
          <w:r>
            <w:instrText xml:space="preserve"> PAGEREF _Toc12966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_Toc27575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2.5.2.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竞</w:t>
          </w:r>
          <w:r>
            <w:rPr>
              <w:rFonts w:hint="eastAsia"/>
              <w:lang w:val="en-US" w:eastAsia="zh-CN"/>
            </w:rPr>
            <w:t>价</w:t>
          </w:r>
          <w:r>
            <w:rPr>
              <w:rFonts w:hint="eastAsia"/>
            </w:rPr>
            <w:t>成功</w:t>
          </w:r>
          <w:r>
            <w:rPr>
              <w:rFonts w:hint="eastAsia"/>
              <w:lang w:val="en-US" w:eastAsia="zh-CN"/>
            </w:rPr>
            <w:t>的标的</w:t>
          </w:r>
          <w:r>
            <w:tab/>
          </w:r>
          <w:r>
            <w:fldChar w:fldCharType="begin"/>
          </w:r>
          <w:r>
            <w:instrText xml:space="preserve"> PAGEREF _Toc27575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_Toc4086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2.5.3.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竞</w:t>
          </w:r>
          <w:r>
            <w:rPr>
              <w:rFonts w:hint="eastAsia"/>
              <w:lang w:val="en-US" w:eastAsia="zh-CN"/>
            </w:rPr>
            <w:t>价</w:t>
          </w:r>
          <w:r>
            <w:rPr>
              <w:rFonts w:hint="eastAsia"/>
            </w:rPr>
            <w:t>失败</w:t>
          </w:r>
          <w:r>
            <w:rPr>
              <w:rFonts w:hint="eastAsia"/>
              <w:lang w:val="en-US" w:eastAsia="zh-CN"/>
            </w:rPr>
            <w:t>的标的</w:t>
          </w:r>
          <w:r>
            <w:tab/>
          </w:r>
          <w:r>
            <w:fldChar w:fldCharType="begin"/>
          </w:r>
          <w:r>
            <w:instrText xml:space="preserve"> PAGEREF _Toc4086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_Toc25298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2.6. </w:t>
          </w:r>
          <w:r>
            <w:rPr>
              <w:rFonts w:hint="eastAsia"/>
              <w:lang w:val="en-US" w:eastAsia="zh-CN"/>
            </w:rPr>
            <w:t>交易结果处理</w:t>
          </w:r>
          <w:r>
            <w:tab/>
          </w:r>
          <w:r>
            <w:fldChar w:fldCharType="begin"/>
          </w:r>
          <w:r>
            <w:instrText xml:space="preserve"> PAGEREF _Toc25298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_Toc24998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2.6.1. </w:t>
          </w:r>
          <w:r>
            <w:rPr>
              <w:rFonts w:hint="eastAsia"/>
              <w:lang w:val="en-US" w:eastAsia="zh-CN"/>
            </w:rPr>
            <w:t>提交后审资料</w:t>
          </w:r>
          <w:r>
            <w:tab/>
          </w:r>
          <w:r>
            <w:fldChar w:fldCharType="begin"/>
          </w:r>
          <w:r>
            <w:instrText xml:space="preserve"> PAGEREF _Toc24998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_Toc7264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2.6.2. </w:t>
          </w:r>
          <w:r>
            <w:rPr>
              <w:rFonts w:hint="eastAsia"/>
              <w:lang w:val="en-US" w:eastAsia="zh-CN"/>
            </w:rPr>
            <w:t>提交成交确认资料</w:t>
          </w:r>
          <w:r>
            <w:tab/>
          </w:r>
          <w:r>
            <w:fldChar w:fldCharType="begin"/>
          </w:r>
          <w:r>
            <w:instrText xml:space="preserve"> PAGEREF _Toc7264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_Toc11840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2.6.3. </w:t>
          </w:r>
          <w:r>
            <w:rPr>
              <w:rFonts w:hint="eastAsia"/>
              <w:lang w:val="en-US" w:eastAsia="zh-CN"/>
            </w:rPr>
            <w:t>放弃成交</w:t>
          </w:r>
          <w:r>
            <w:tab/>
          </w:r>
          <w:r>
            <w:fldChar w:fldCharType="begin"/>
          </w:r>
          <w:r>
            <w:instrText xml:space="preserve"> PAGEREF _Toc11840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_Toc15207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2.6.4. </w:t>
          </w:r>
          <w:r>
            <w:rPr>
              <w:rFonts w:hint="eastAsia"/>
              <w:lang w:val="en-US" w:eastAsia="zh-CN"/>
            </w:rPr>
            <w:t>查看成交确认资料</w:t>
          </w:r>
          <w:r>
            <w:tab/>
          </w:r>
          <w:r>
            <w:fldChar w:fldCharType="begin"/>
          </w:r>
          <w:r>
            <w:instrText xml:space="preserve"> PAGEREF _Toc15207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_Toc28875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2.6.5. </w:t>
          </w:r>
          <w:r>
            <w:rPr>
              <w:rFonts w:hint="eastAsia"/>
              <w:lang w:val="en-US" w:eastAsia="zh-CN"/>
            </w:rPr>
            <w:t>查看交易结果公示</w:t>
          </w:r>
          <w:r>
            <w:tab/>
          </w:r>
          <w:r>
            <w:fldChar w:fldCharType="begin"/>
          </w:r>
          <w:r>
            <w:instrText xml:space="preserve"> PAGEREF _Toc28875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_Toc2692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2.6.6. </w:t>
          </w:r>
          <w:r>
            <w:rPr>
              <w:rFonts w:hint="eastAsia"/>
              <w:lang w:val="en-US" w:eastAsia="zh-CN"/>
            </w:rPr>
            <w:t>服务评价</w:t>
          </w:r>
          <w:r>
            <w:tab/>
          </w:r>
          <w:r>
            <w:fldChar w:fldCharType="begin"/>
          </w:r>
          <w:r>
            <w:instrText xml:space="preserve"> PAGEREF _Toc2692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_Toc24156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3. </w:t>
          </w:r>
          <w:r>
            <w:rPr>
              <w:rFonts w:hint="eastAsia" w:ascii="黑体" w:hAnsi="Calibri" w:eastAsia="黑体" w:cs="Times New Roman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_Toc24156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jc w:val="center"/>
            <w:rPr>
              <w:rFonts w:eastAsia="黑体"/>
              <w:b/>
              <w:bCs/>
              <w:sz w:val="28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 w:eastAsia="黑体"/>
              <w:bCs/>
            </w:rPr>
            <w:fldChar w:fldCharType="end"/>
          </w:r>
        </w:p>
      </w:sdtContent>
    </w:sdt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0" w:name="_Toc290881815"/>
      <w:bookmarkStart w:id="1" w:name="_Toc11344"/>
      <w:bookmarkStart w:id="2" w:name="_Toc6591"/>
      <w:bookmarkStart w:id="3" w:name="_Toc407200889"/>
      <w:r>
        <w:rPr>
          <w:rFonts w:hint="eastAsia" w:ascii="黑体" w:hAnsi="Calibri" w:eastAsia="黑体" w:cs="Times New Roman"/>
        </w:rPr>
        <w:t>登录</w:t>
      </w:r>
      <w:bookmarkEnd w:id="0"/>
      <w:bookmarkEnd w:id="1"/>
      <w:bookmarkEnd w:id="2"/>
      <w:bookmarkEnd w:id="3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后台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系统地址：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begin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instrText xml:space="preserve"> HYPERLINK "http://113.104.21.213:8090/main" </w:instrTex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separate"/>
      </w:r>
      <w:r>
        <w:rPr>
          <w:rStyle w:val="22"/>
          <w:rFonts w:hint="eastAsia" w:ascii="宋体" w:hAnsi="宋体" w:eastAsia="宋体" w:cs="Times New Roman"/>
          <w:kern w:val="2"/>
          <w:sz w:val="24"/>
          <w:szCs w:val="24"/>
        </w:rPr>
        <w:t>http://</w:t>
      </w:r>
      <w:r>
        <w:rPr>
          <w:rStyle w:val="22"/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jyzx.yunfu.gov.cn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end"/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门户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系统地址：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begin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instrText xml:space="preserve"> HYPERLINK "http://113.104.21.213:8090/main" </w:instrTex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separate"/>
      </w:r>
      <w:r>
        <w:rPr>
          <w:rStyle w:val="22"/>
          <w:rFonts w:hint="eastAsia" w:ascii="宋体" w:hAnsi="宋体" w:eastAsia="宋体" w:cs="Times New Roman"/>
          <w:kern w:val="2"/>
          <w:sz w:val="24"/>
          <w:szCs w:val="24"/>
        </w:rPr>
        <w:t>http://</w:t>
      </w:r>
      <w:r>
        <w:rPr>
          <w:rStyle w:val="22"/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jyzx.yunfu.gov.cn/portal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end"/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（建议使用360/360极速浏览器）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color w:val="0000FF"/>
          <w:kern w:val="2"/>
          <w:sz w:val="24"/>
          <w:szCs w:val="24"/>
        </w:rPr>
      </w:pPr>
      <w:r>
        <w:drawing>
          <wp:inline distT="0" distB="0" distL="114300" distR="114300">
            <wp:extent cx="5266690" cy="247713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进入登录界面，输入正确的用户名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密码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和验证码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，然后点击【登录】，即可进入系统。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</w:pP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  <w:lang w:val="en-US" w:eastAsia="zh-CN"/>
        </w:rPr>
        <w:t>注：2022年2月1号之前在旧平台注册的账号，可以使用原新点系统的账号进行登录，请通过找回密码功能修改密码。也可以使用旧系统的CA进行登录，CA密码不变。</w:t>
      </w: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</w:rPr>
        <w:t>使用CA登录，需要插入企业CA KEY，选择“CA登录”方式，输入PIN码，系统验证通过后可进入系统。注意，第一次使用的时候需要安装驱动程序，请点击“多CA兼容登录驱动程序下载”，进行驱动程序的安装。</w:t>
      </w: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  <w:lang w:val="en-US" w:eastAsia="zh-CN"/>
        </w:rPr>
        <w:t>本系统支持GDCA、SZCA、NETCA登录。</w:t>
      </w:r>
    </w:p>
    <w:p>
      <w:pPr>
        <w:pStyle w:val="3"/>
        <w:numPr>
          <w:ilvl w:val="1"/>
          <w:numId w:val="0"/>
        </w:numPr>
        <w:spacing w:line="240" w:lineRule="auto"/>
        <w:ind w:leftChars="0"/>
      </w:pPr>
      <w:bookmarkStart w:id="4" w:name="_Toc4181"/>
      <w:bookmarkStart w:id="5" w:name="_Toc18465"/>
      <w:bookmarkStart w:id="6" w:name="_Toc14441"/>
      <w:r>
        <w:rPr>
          <w:rFonts w:hint="eastAsia"/>
        </w:rPr>
        <w:t>业务流程</w:t>
      </w:r>
      <w:bookmarkEnd w:id="4"/>
      <w:bookmarkEnd w:id="5"/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675" cy="5253355"/>
            <wp:effectExtent l="0" t="0" r="14605" b="4445"/>
            <wp:docPr id="4" name="图片 4" descr="D:\YunfuGgzy\01需求\02业务需求\产权交易\产权交易流程图v2.jpg产权交易流程图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YunfuGgzy\01需求\02业务需求\产权交易\产权交易流程图v2.jpg产权交易流程图v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7" w:name="_Toc10232"/>
      <w:r>
        <w:rPr>
          <w:rFonts w:hint="eastAsia" w:ascii="黑体" w:hAnsi="Calibri" w:eastAsia="黑体" w:cs="Times New Roman"/>
        </w:rPr>
        <w:t>业务操作说明</w:t>
      </w:r>
      <w:bookmarkEnd w:id="6"/>
      <w:bookmarkEnd w:id="7"/>
    </w:p>
    <w:p>
      <w:pPr>
        <w:pStyle w:val="3"/>
        <w:bidi w:val="0"/>
      </w:pPr>
      <w:bookmarkStart w:id="8" w:name="_Toc27625"/>
      <w:r>
        <w:rPr>
          <w:rFonts w:hint="eastAsia"/>
          <w:lang w:val="en-US" w:eastAsia="zh-CN"/>
        </w:rPr>
        <w:t>查看交易公告和标的</w:t>
      </w:r>
      <w:bookmarkEnd w:id="8"/>
    </w:p>
    <w:p>
      <w:pPr>
        <w:ind w:firstLine="44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00300"/>
            <wp:effectExtent l="0" t="0" r="635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4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正在公告标的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查看正在公告标的具体信息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00300"/>
            <wp:effectExtent l="0" t="0" r="635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9" w:name="_Toc18535"/>
      <w:r>
        <w:rPr>
          <w:rFonts w:hint="eastAsia"/>
        </w:rPr>
        <w:t>竞投报名</w:t>
      </w:r>
      <w:bookmarkEnd w:id="9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竞投人登陆系统，竞投人点击菜单“竞买人报名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报名”，进入页面，点击“报名”按钮。</w:t>
      </w:r>
    </w:p>
    <w:p>
      <w:r>
        <w:drawing>
          <wp:inline distT="0" distB="0" distL="114300" distR="114300">
            <wp:extent cx="5272405" cy="1879600"/>
            <wp:effectExtent l="0" t="0" r="63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进入报名页面，填写报名信息，点击“提交报名”按钮，校验页面数据，然后弹出竞买申请书</w:t>
      </w:r>
    </w:p>
    <w:p>
      <w:pPr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72405" cy="2457450"/>
            <wp:effectExtent l="0" t="0" r="63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在竞买申请书页面，点击“下载承诺书”按钮，能下载承诺书，点击“我同意”按钮，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系统自动生成竞买申请书文件</w:t>
      </w:r>
    </w:p>
    <w:p>
      <w:r>
        <w:drawing>
          <wp:inline distT="0" distB="0" distL="114300" distR="114300">
            <wp:extent cx="5268595" cy="2437130"/>
            <wp:effectExtent l="0" t="0" r="8255" b="1270"/>
            <wp:docPr id="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前审方式时，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在竞投人报名资格材料提交页面，点击“上传附件”按钮，上传附件资料，然后点击“提交审核”按钮，提交资格材料给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委托方审核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2" name="图片 22" descr="前审资格审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前审资格审核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0" w:name="_Toc489"/>
      <w:r>
        <w:rPr>
          <w:rFonts w:hint="eastAsia"/>
        </w:rPr>
        <w:t>提交资格材料</w:t>
      </w:r>
      <w:bookmarkEnd w:id="10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项目是资格前审方式时，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人除了从竞投报名模块进行提交资格资料以外，也可以从提交资格材料模块进行提交资料。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点击菜单“竞买人报名 &gt; 提交资格材料”，进入页面，点击“上传”按钮。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1" name="图片 21" descr="前审资格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前审资格审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进入上传页面，上传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相关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附件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竞买申请书需要下载打印纸质版盖章后上传回系统中，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点击“提交审核”按钮，提交成功之后，数据提交给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委托方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进行审核。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drawing>
          <wp:inline distT="0" distB="0" distL="114300" distR="114300">
            <wp:extent cx="5266690" cy="2476500"/>
            <wp:effectExtent l="0" t="0" r="6350" b="7620"/>
            <wp:docPr id="26" name="图片 26" descr="前审资格审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前审资格审核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5" name="图片 25" descr="前审资格审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前审资格审核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1" w:name="_Toc20638"/>
      <w:r>
        <w:rPr>
          <w:rFonts w:hint="eastAsia"/>
        </w:rPr>
        <w:t>保证金</w:t>
      </w:r>
      <w:bookmarkEnd w:id="11"/>
    </w:p>
    <w:p>
      <w:pPr>
        <w:pStyle w:val="4"/>
        <w:bidi w:val="0"/>
      </w:pPr>
      <w:bookmarkStart w:id="12" w:name="_Toc31294"/>
      <w:r>
        <w:rPr>
          <w:rFonts w:hint="eastAsia"/>
          <w:lang w:val="en-US" w:eastAsia="zh-CN"/>
        </w:rPr>
        <w:t>缴纳保证金</w:t>
      </w:r>
      <w:bookmarkEnd w:id="12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 竞投人点击菜单“竞买人报名 &gt; 报名查询”，进入页面，点击“缴纳保证金”按钮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1820545"/>
            <wp:effectExtent l="0" t="0" r="6350" b="8255"/>
            <wp:docPr id="27" name="图片 27" descr="微信截图_2021122809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截图_202112280925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进入到缴纳保证金页面，勾选银行，然后点击“确认，下一步”按钮，然后生成子账号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2405" cy="2292350"/>
            <wp:effectExtent l="0" t="0" r="635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子账号生成成功之后，使用网银进行保证金转账，转账成功后系统自动更新保证金缴纳状态。</w:t>
      </w:r>
    </w:p>
    <w:p>
      <w:r>
        <w:drawing>
          <wp:inline distT="0" distB="0" distL="114300" distR="114300">
            <wp:extent cx="5272405" cy="1483360"/>
            <wp:effectExtent l="0" t="0" r="635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3" w:name="_Toc26068"/>
      <w:r>
        <w:rPr>
          <w:rFonts w:hint="eastAsia"/>
          <w:lang w:val="en-US" w:eastAsia="zh-CN"/>
        </w:rPr>
        <w:t>保证金查询</w:t>
      </w:r>
      <w:bookmarkEnd w:id="13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保证金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已缴纳保证金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可以查看标的保证金状态。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4" w:name="_Toc11429"/>
      <w:r>
        <w:rPr>
          <w:rFonts w:hint="eastAsia"/>
        </w:rPr>
        <w:t>交易竞拍</w:t>
      </w:r>
      <w:bookmarkEnd w:id="14"/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pStyle w:val="4"/>
      </w:pPr>
      <w:bookmarkStart w:id="15" w:name="_Toc12966"/>
      <w:r>
        <w:rPr>
          <w:rFonts w:hint="eastAsia"/>
        </w:rPr>
        <w:t>正在竞拍</w:t>
      </w:r>
      <w:bookmarkEnd w:id="15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项目拍卖时间到了之后，竞投人点击菜单“交易竞拍 &gt; 正在竞拍”，进入页面，点击“竞买出价”按钮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7325" cy="1880235"/>
            <wp:effectExtent l="0" t="0" r="5715" b="9525"/>
            <wp:docPr id="1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t="139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进入到竞买出价页面，竞买人可以使用倍数报价、手动报价这两种方式进行出价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3675" cy="2753360"/>
            <wp:effectExtent l="0" t="0" r="3175" b="8890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选择倍数报价的方式，可以手动修改增加幅度，然后点击“确认出价”按钮，出价成功</w:t>
      </w:r>
    </w:p>
    <w:p/>
    <w:p>
      <w:r>
        <w:drawing>
          <wp:inline distT="0" distB="0" distL="114300" distR="114300">
            <wp:extent cx="5271135" cy="2154555"/>
            <wp:effectExtent l="0" t="0" r="5715" b="17145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查看出价记录列表，可以看到本企业和其他企业的出价情况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4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6690" cy="2476500"/>
            <wp:effectExtent l="0" t="0" r="10160" b="0"/>
            <wp:docPr id="1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选择手动报价的方式，然后输入想要出价的金额，然后点击“确认出价”按钮。出价成功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5420" cy="2446020"/>
            <wp:effectExtent l="0" t="0" r="11430" b="11430"/>
            <wp:docPr id="1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时间到了限时竞价时，系统自动进入限时竞价环节，在限时竞价期间，会根据设置的时间进行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倒计时</w:t>
      </w:r>
    </w:p>
    <w:p>
      <w:r>
        <w:drawing>
          <wp:inline distT="0" distB="0" distL="114300" distR="114300">
            <wp:extent cx="5267960" cy="2204085"/>
            <wp:effectExtent l="0" t="0" r="5080" b="57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限时竞价时间结束之后，出价最高者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，系统弹窗提示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竞价成功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67325" cy="2372995"/>
            <wp:effectExtent l="0" t="0" r="9525" b="8255"/>
            <wp:docPr id="1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27575"/>
      <w:r>
        <w:rPr>
          <w:rFonts w:hint="eastAsia"/>
          <w:lang w:val="en-US" w:eastAsia="zh-CN"/>
        </w:rPr>
        <w:t>查看</w:t>
      </w:r>
      <w:r>
        <w:rPr>
          <w:rFonts w:hint="eastAsia"/>
        </w:rPr>
        <w:t>竞</w:t>
      </w:r>
      <w:r>
        <w:rPr>
          <w:rFonts w:hint="eastAsia"/>
          <w:lang w:val="en-US" w:eastAsia="zh-CN"/>
        </w:rPr>
        <w:t>价</w:t>
      </w:r>
      <w:r>
        <w:rPr>
          <w:rFonts w:hint="eastAsia"/>
        </w:rPr>
        <w:t>成功</w:t>
      </w:r>
      <w:r>
        <w:rPr>
          <w:rFonts w:hint="eastAsia"/>
          <w:lang w:val="en-US" w:eastAsia="zh-CN"/>
        </w:rPr>
        <w:t>的标的</w:t>
      </w:r>
      <w:bookmarkEnd w:id="16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竞价结束，竞投人点击菜单“交易竞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成功的项目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72405" cy="2457450"/>
            <wp:effectExtent l="0" t="0" r="635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在竞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成功页面，点击“查看”按钮，进入页面查看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2405" cy="2457450"/>
            <wp:effectExtent l="0" t="0" r="63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 w:val="0"/>
        <w:adjustRightInd/>
        <w:snapToGrid/>
        <w:spacing w:before="62" w:beforeLines="20" w:after="62" w:afterLines="20" w:line="360" w:lineRule="auto"/>
        <w:jc w:val="both"/>
      </w:pP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pStyle w:val="4"/>
      </w:pPr>
      <w:bookmarkStart w:id="17" w:name="_Toc4086"/>
      <w:r>
        <w:rPr>
          <w:rFonts w:hint="eastAsia"/>
          <w:lang w:val="en-US" w:eastAsia="zh-CN"/>
        </w:rPr>
        <w:t>查看</w:t>
      </w:r>
      <w:r>
        <w:rPr>
          <w:rFonts w:hint="eastAsia"/>
        </w:rPr>
        <w:t>竞</w:t>
      </w:r>
      <w:r>
        <w:rPr>
          <w:rFonts w:hint="eastAsia"/>
          <w:lang w:val="en-US" w:eastAsia="zh-CN"/>
        </w:rPr>
        <w:t>价</w:t>
      </w:r>
      <w:r>
        <w:rPr>
          <w:rFonts w:hint="eastAsia"/>
        </w:rPr>
        <w:t>失败</w:t>
      </w:r>
      <w:r>
        <w:rPr>
          <w:rFonts w:hint="eastAsia"/>
          <w:lang w:val="en-US" w:eastAsia="zh-CN"/>
        </w:rPr>
        <w:t>的标的</w:t>
      </w:r>
      <w:bookmarkEnd w:id="17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竞价结束，竞投人点击菜单“交易竞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失败”，进入页面，可以查看到竞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失败的项目，点击“查看”按钮，可以进入页面查看详细</w:t>
      </w:r>
    </w:p>
    <w:p>
      <w:r>
        <w:drawing>
          <wp:inline distT="0" distB="0" distL="114300" distR="114300">
            <wp:extent cx="5272405" cy="2457450"/>
            <wp:effectExtent l="0" t="0" r="635" b="1143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457450"/>
            <wp:effectExtent l="0" t="0" r="635" b="1143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8" w:name="_Toc25298"/>
      <w:r>
        <w:rPr>
          <w:rFonts w:hint="eastAsia"/>
          <w:lang w:val="en-US" w:eastAsia="zh-CN"/>
        </w:rPr>
        <w:t>交易结果处理</w:t>
      </w:r>
      <w:bookmarkEnd w:id="18"/>
    </w:p>
    <w:p>
      <w:pPr>
        <w:pStyle w:val="4"/>
        <w:bidi w:val="0"/>
      </w:pPr>
      <w:bookmarkStart w:id="19" w:name="_Toc24998"/>
      <w:r>
        <w:rPr>
          <w:rFonts w:hint="eastAsia"/>
          <w:lang w:val="en-US" w:eastAsia="zh-CN"/>
        </w:rPr>
        <w:t>提交后审资料</w:t>
      </w:r>
      <w:bookmarkEnd w:id="19"/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提交后审资料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进入后审资料提交页面。</w:t>
      </w:r>
    </w:p>
    <w:p>
      <w:r>
        <w:drawing>
          <wp:inline distT="0" distB="0" distL="114300" distR="114300">
            <wp:extent cx="5266690" cy="1809750"/>
            <wp:effectExtent l="0" t="0" r="635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上传相关资料后点击“提交审核”按钮完成资格后审资料的提交。</w:t>
      </w:r>
    </w:p>
    <w:p>
      <w:r>
        <w:drawing>
          <wp:inline distT="0" distB="0" distL="114300" distR="114300">
            <wp:extent cx="5266690" cy="2400300"/>
            <wp:effectExtent l="0" t="0" r="635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0" w:name="_Toc7264"/>
      <w:r>
        <w:rPr>
          <w:rFonts w:hint="eastAsia"/>
          <w:lang w:val="en-US" w:eastAsia="zh-CN"/>
        </w:rPr>
        <w:t>提交成交确认资料</w:t>
      </w:r>
      <w:bookmarkEnd w:id="20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进入成交确认资料提交页面。</w:t>
      </w:r>
    </w:p>
    <w:p>
      <w:r>
        <w:drawing>
          <wp:inline distT="0" distB="0" distL="114300" distR="114300">
            <wp:extent cx="5266690" cy="2045970"/>
            <wp:effectExtent l="0" t="0" r="6350" b="1143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上传相关资料后点击“保存”按钮暂时保存资料，点击“提交”按钮完成成交确认资料的上传。</w:t>
      </w:r>
    </w:p>
    <w:p>
      <w:r>
        <w:drawing>
          <wp:inline distT="0" distB="0" distL="114300" distR="114300">
            <wp:extent cx="5266690" cy="2045335"/>
            <wp:effectExtent l="0" t="0" r="6350" b="1206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1" w:name="_Toc11840"/>
      <w:r>
        <w:rPr>
          <w:rFonts w:hint="eastAsia"/>
          <w:lang w:val="en-US" w:eastAsia="zh-CN"/>
        </w:rPr>
        <w:t>放弃成交</w:t>
      </w:r>
      <w:bookmarkEnd w:id="21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放弃成交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进入放弃成交信息填写页面。</w:t>
      </w:r>
    </w:p>
    <w:p>
      <w:r>
        <w:drawing>
          <wp:inline distT="0" distB="0" distL="114300" distR="114300">
            <wp:extent cx="5266690" cy="2592705"/>
            <wp:effectExtent l="0" t="0" r="6350" b="1333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上传相关资料，填写放弃成交原因后，点击“放弃”按钮放弃成交。</w:t>
      </w:r>
    </w:p>
    <w:p>
      <w:r>
        <w:drawing>
          <wp:inline distT="0" distB="0" distL="114300" distR="114300">
            <wp:extent cx="5268595" cy="2615565"/>
            <wp:effectExtent l="0" t="0" r="4445" b="571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2" w:name="_Toc15207"/>
      <w:r>
        <w:rPr>
          <w:rFonts w:hint="eastAsia"/>
          <w:lang w:val="en-US" w:eastAsia="zh-CN"/>
        </w:rPr>
        <w:t>查看成交确认资料</w:t>
      </w:r>
      <w:bookmarkEnd w:id="22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查看成交确认资料。</w:t>
      </w:r>
    </w:p>
    <w:p>
      <w:r>
        <w:drawing>
          <wp:inline distT="0" distB="0" distL="114300" distR="114300">
            <wp:extent cx="5266690" cy="2247900"/>
            <wp:effectExtent l="0" t="0" r="6350" b="762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702435"/>
            <wp:effectExtent l="0" t="0" r="5080" b="444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3" w:name="_Toc28875"/>
      <w:r>
        <w:rPr>
          <w:rFonts w:hint="eastAsia"/>
          <w:lang w:val="en-US" w:eastAsia="zh-CN"/>
        </w:rPr>
        <w:t>查看交易结果公示</w:t>
      </w:r>
      <w:bookmarkEnd w:id="23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投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查看交易结果公示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查看交易结果公示。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016125"/>
            <wp:effectExtent l="0" t="0" r="4445" b="1079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4" w:name="_Toc2692"/>
      <w:r>
        <w:rPr>
          <w:rFonts w:hint="eastAsia"/>
          <w:lang w:val="en-US" w:eastAsia="zh-CN"/>
        </w:rPr>
        <w:t>服务评价</w:t>
      </w:r>
      <w:bookmarkEnd w:id="24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服务评价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我要评价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进入评价页面对交易中心的服务进行评价。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00300"/>
            <wp:effectExtent l="0" t="0" r="6350" b="762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25" w:name="_Toc24156"/>
      <w:r>
        <w:rPr>
          <w:rFonts w:hint="eastAsia" w:ascii="黑体" w:hAnsi="Calibri" w:eastAsia="黑体" w:cs="Times New Roman"/>
        </w:rPr>
        <w:t>技术支持</w:t>
      </w:r>
      <w:bookmarkEnd w:id="25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技术支持联系人：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赖工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电话：0766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8819989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QQ：624175059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uXNVEPAgAABwQAAA4AAABkcnMvZTJvRG9jLnhtbK1TzY7TMBC+I/EO&#10;lu80aStW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TF/n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uXNVE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F568C"/>
    <w:multiLevelType w:val="multilevel"/>
    <w:tmpl w:val="3F5F568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6EBB02D"/>
    <w:multiLevelType w:val="multilevel"/>
    <w:tmpl w:val="56EBB02D"/>
    <w:lvl w:ilvl="0" w:tentative="0">
      <w:start w:val="2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46"/>
    <w:rsid w:val="00016D7C"/>
    <w:rsid w:val="00085330"/>
    <w:rsid w:val="0010396A"/>
    <w:rsid w:val="001674A9"/>
    <w:rsid w:val="0019213D"/>
    <w:rsid w:val="001C7974"/>
    <w:rsid w:val="001D37BC"/>
    <w:rsid w:val="001E0DE5"/>
    <w:rsid w:val="00204938"/>
    <w:rsid w:val="00213720"/>
    <w:rsid w:val="00261103"/>
    <w:rsid w:val="00277D43"/>
    <w:rsid w:val="0029623D"/>
    <w:rsid w:val="002B0238"/>
    <w:rsid w:val="002E0A7A"/>
    <w:rsid w:val="00353081"/>
    <w:rsid w:val="00361A9A"/>
    <w:rsid w:val="003639BF"/>
    <w:rsid w:val="00373A13"/>
    <w:rsid w:val="00392F2E"/>
    <w:rsid w:val="00394DB0"/>
    <w:rsid w:val="003955EE"/>
    <w:rsid w:val="003D3261"/>
    <w:rsid w:val="00476025"/>
    <w:rsid w:val="004964F4"/>
    <w:rsid w:val="00497ACA"/>
    <w:rsid w:val="004B0040"/>
    <w:rsid w:val="004C5854"/>
    <w:rsid w:val="00553A06"/>
    <w:rsid w:val="00585C63"/>
    <w:rsid w:val="00587402"/>
    <w:rsid w:val="005D4BD7"/>
    <w:rsid w:val="005E3C7E"/>
    <w:rsid w:val="005E3D86"/>
    <w:rsid w:val="00623823"/>
    <w:rsid w:val="00660F2E"/>
    <w:rsid w:val="006673DD"/>
    <w:rsid w:val="006750DD"/>
    <w:rsid w:val="006B6A1B"/>
    <w:rsid w:val="006D3A05"/>
    <w:rsid w:val="007068E9"/>
    <w:rsid w:val="007313D9"/>
    <w:rsid w:val="007903F9"/>
    <w:rsid w:val="007B61A0"/>
    <w:rsid w:val="007D482A"/>
    <w:rsid w:val="007E153E"/>
    <w:rsid w:val="008372DB"/>
    <w:rsid w:val="00841040"/>
    <w:rsid w:val="008729F6"/>
    <w:rsid w:val="008A0560"/>
    <w:rsid w:val="00902FC3"/>
    <w:rsid w:val="009409A1"/>
    <w:rsid w:val="00983EA0"/>
    <w:rsid w:val="009A47B4"/>
    <w:rsid w:val="009A75E4"/>
    <w:rsid w:val="009B6426"/>
    <w:rsid w:val="009E2CFA"/>
    <w:rsid w:val="00A15001"/>
    <w:rsid w:val="00A2278D"/>
    <w:rsid w:val="00A24B21"/>
    <w:rsid w:val="00A26B9B"/>
    <w:rsid w:val="00A43B30"/>
    <w:rsid w:val="00A776DF"/>
    <w:rsid w:val="00AA24B2"/>
    <w:rsid w:val="00AF13C4"/>
    <w:rsid w:val="00B01DAA"/>
    <w:rsid w:val="00B62D15"/>
    <w:rsid w:val="00B70C64"/>
    <w:rsid w:val="00B71363"/>
    <w:rsid w:val="00B90F17"/>
    <w:rsid w:val="00BB0E21"/>
    <w:rsid w:val="00BD4446"/>
    <w:rsid w:val="00BE09AC"/>
    <w:rsid w:val="00C21F38"/>
    <w:rsid w:val="00CB11E5"/>
    <w:rsid w:val="00CB76F5"/>
    <w:rsid w:val="00CD359B"/>
    <w:rsid w:val="00D03586"/>
    <w:rsid w:val="00D2410F"/>
    <w:rsid w:val="00D41377"/>
    <w:rsid w:val="00D4795E"/>
    <w:rsid w:val="00DB3D83"/>
    <w:rsid w:val="00DC1088"/>
    <w:rsid w:val="00E04062"/>
    <w:rsid w:val="00E05FD5"/>
    <w:rsid w:val="00E2735C"/>
    <w:rsid w:val="00E645AC"/>
    <w:rsid w:val="00E93DB6"/>
    <w:rsid w:val="00EA0888"/>
    <w:rsid w:val="00EC74E3"/>
    <w:rsid w:val="00F049AC"/>
    <w:rsid w:val="00F22AED"/>
    <w:rsid w:val="00F65B8B"/>
    <w:rsid w:val="00FA2A5B"/>
    <w:rsid w:val="00FA6B7D"/>
    <w:rsid w:val="00FC12A8"/>
    <w:rsid w:val="00FD2F48"/>
    <w:rsid w:val="00FF516F"/>
    <w:rsid w:val="01093842"/>
    <w:rsid w:val="01F13D6B"/>
    <w:rsid w:val="01F472A9"/>
    <w:rsid w:val="020515AD"/>
    <w:rsid w:val="02F344FA"/>
    <w:rsid w:val="034A735D"/>
    <w:rsid w:val="03EB3121"/>
    <w:rsid w:val="03ED5B28"/>
    <w:rsid w:val="04235BBB"/>
    <w:rsid w:val="04EF777A"/>
    <w:rsid w:val="0594729B"/>
    <w:rsid w:val="05E232D5"/>
    <w:rsid w:val="060511EF"/>
    <w:rsid w:val="0652102D"/>
    <w:rsid w:val="06B25D4D"/>
    <w:rsid w:val="06FB6940"/>
    <w:rsid w:val="07867CCC"/>
    <w:rsid w:val="07A6121F"/>
    <w:rsid w:val="082958B4"/>
    <w:rsid w:val="082B0EAC"/>
    <w:rsid w:val="09052CF6"/>
    <w:rsid w:val="093A1657"/>
    <w:rsid w:val="09BA3DC6"/>
    <w:rsid w:val="09D775EC"/>
    <w:rsid w:val="09EB4DD4"/>
    <w:rsid w:val="0A82254C"/>
    <w:rsid w:val="0BAD7697"/>
    <w:rsid w:val="0BCE455A"/>
    <w:rsid w:val="0C8F447A"/>
    <w:rsid w:val="0C9941C5"/>
    <w:rsid w:val="0D0C314A"/>
    <w:rsid w:val="0D2A252A"/>
    <w:rsid w:val="0D56434B"/>
    <w:rsid w:val="0D5E3204"/>
    <w:rsid w:val="0D870660"/>
    <w:rsid w:val="0DA177C9"/>
    <w:rsid w:val="0E2456FB"/>
    <w:rsid w:val="0E46076F"/>
    <w:rsid w:val="0E4C255B"/>
    <w:rsid w:val="0ED532FB"/>
    <w:rsid w:val="0F2B26AF"/>
    <w:rsid w:val="100C0D4C"/>
    <w:rsid w:val="106E64E3"/>
    <w:rsid w:val="10A21647"/>
    <w:rsid w:val="10DA201B"/>
    <w:rsid w:val="114000DC"/>
    <w:rsid w:val="11416316"/>
    <w:rsid w:val="11D7684D"/>
    <w:rsid w:val="12345433"/>
    <w:rsid w:val="12A714C0"/>
    <w:rsid w:val="12ED61BD"/>
    <w:rsid w:val="130945BE"/>
    <w:rsid w:val="13E64BA0"/>
    <w:rsid w:val="13FD21E7"/>
    <w:rsid w:val="140161EE"/>
    <w:rsid w:val="14120F9F"/>
    <w:rsid w:val="14710401"/>
    <w:rsid w:val="14C22DAB"/>
    <w:rsid w:val="14D27A43"/>
    <w:rsid w:val="152A750C"/>
    <w:rsid w:val="15B324F5"/>
    <w:rsid w:val="15EA017D"/>
    <w:rsid w:val="162A022D"/>
    <w:rsid w:val="163E1B6A"/>
    <w:rsid w:val="165F6063"/>
    <w:rsid w:val="1674261F"/>
    <w:rsid w:val="175B522E"/>
    <w:rsid w:val="17694042"/>
    <w:rsid w:val="17D905CF"/>
    <w:rsid w:val="17FD036A"/>
    <w:rsid w:val="17FE7199"/>
    <w:rsid w:val="181541A7"/>
    <w:rsid w:val="18160E3D"/>
    <w:rsid w:val="18300BF7"/>
    <w:rsid w:val="18B0311A"/>
    <w:rsid w:val="18E4307E"/>
    <w:rsid w:val="18ED2FBF"/>
    <w:rsid w:val="197D20D1"/>
    <w:rsid w:val="1A155913"/>
    <w:rsid w:val="1A203864"/>
    <w:rsid w:val="1A745923"/>
    <w:rsid w:val="1B693FF4"/>
    <w:rsid w:val="1BB9587D"/>
    <w:rsid w:val="1C523CA3"/>
    <w:rsid w:val="1C70295B"/>
    <w:rsid w:val="1D2D6657"/>
    <w:rsid w:val="1D630360"/>
    <w:rsid w:val="1EE97244"/>
    <w:rsid w:val="1F10332B"/>
    <w:rsid w:val="1F6732E1"/>
    <w:rsid w:val="1F8B0821"/>
    <w:rsid w:val="1FE15D48"/>
    <w:rsid w:val="1FE16D92"/>
    <w:rsid w:val="1FE95324"/>
    <w:rsid w:val="1FEE74DC"/>
    <w:rsid w:val="201F0A47"/>
    <w:rsid w:val="209E0C69"/>
    <w:rsid w:val="20A0536E"/>
    <w:rsid w:val="2272671C"/>
    <w:rsid w:val="22752D03"/>
    <w:rsid w:val="230462B1"/>
    <w:rsid w:val="23172F69"/>
    <w:rsid w:val="23446AA7"/>
    <w:rsid w:val="2346553A"/>
    <w:rsid w:val="24001416"/>
    <w:rsid w:val="24291070"/>
    <w:rsid w:val="24692985"/>
    <w:rsid w:val="247B3D2D"/>
    <w:rsid w:val="24906580"/>
    <w:rsid w:val="24AF2344"/>
    <w:rsid w:val="250D1426"/>
    <w:rsid w:val="2558191F"/>
    <w:rsid w:val="26914024"/>
    <w:rsid w:val="275C7E83"/>
    <w:rsid w:val="27CD3E06"/>
    <w:rsid w:val="289851DC"/>
    <w:rsid w:val="29020848"/>
    <w:rsid w:val="291137F5"/>
    <w:rsid w:val="293E613B"/>
    <w:rsid w:val="29507463"/>
    <w:rsid w:val="295C7E38"/>
    <w:rsid w:val="29BE40DE"/>
    <w:rsid w:val="2A0A2F11"/>
    <w:rsid w:val="2A1D193D"/>
    <w:rsid w:val="2A6A147C"/>
    <w:rsid w:val="2A726F88"/>
    <w:rsid w:val="2ABF0A0D"/>
    <w:rsid w:val="2ABF3E72"/>
    <w:rsid w:val="2B1971F4"/>
    <w:rsid w:val="2B882DDB"/>
    <w:rsid w:val="2BC07D77"/>
    <w:rsid w:val="2C5F37C4"/>
    <w:rsid w:val="2C82266C"/>
    <w:rsid w:val="2CA771D0"/>
    <w:rsid w:val="2CCE5529"/>
    <w:rsid w:val="2D2A00B1"/>
    <w:rsid w:val="2E0119E3"/>
    <w:rsid w:val="2F2F5728"/>
    <w:rsid w:val="2FB65E9C"/>
    <w:rsid w:val="302E0324"/>
    <w:rsid w:val="307076E4"/>
    <w:rsid w:val="30966870"/>
    <w:rsid w:val="31722A0B"/>
    <w:rsid w:val="31965ABD"/>
    <w:rsid w:val="31C61227"/>
    <w:rsid w:val="31E71CE4"/>
    <w:rsid w:val="31F41229"/>
    <w:rsid w:val="323D2EFB"/>
    <w:rsid w:val="32B54909"/>
    <w:rsid w:val="32F83EEF"/>
    <w:rsid w:val="334718AA"/>
    <w:rsid w:val="337C63E2"/>
    <w:rsid w:val="3480562F"/>
    <w:rsid w:val="348A6927"/>
    <w:rsid w:val="35E90A70"/>
    <w:rsid w:val="36FB3A3E"/>
    <w:rsid w:val="37C412AA"/>
    <w:rsid w:val="37F56CFE"/>
    <w:rsid w:val="381B4AF5"/>
    <w:rsid w:val="386F1E14"/>
    <w:rsid w:val="39591D22"/>
    <w:rsid w:val="39E30ACA"/>
    <w:rsid w:val="39E339F7"/>
    <w:rsid w:val="39E62898"/>
    <w:rsid w:val="3AAC7F55"/>
    <w:rsid w:val="3ABC4736"/>
    <w:rsid w:val="3BB86550"/>
    <w:rsid w:val="3BDA26AB"/>
    <w:rsid w:val="3C203BBC"/>
    <w:rsid w:val="3C8F6671"/>
    <w:rsid w:val="3CC40E25"/>
    <w:rsid w:val="3D036170"/>
    <w:rsid w:val="3D4B0F3E"/>
    <w:rsid w:val="3D7C03C1"/>
    <w:rsid w:val="3DB15D74"/>
    <w:rsid w:val="3DC21A6B"/>
    <w:rsid w:val="3E6261AB"/>
    <w:rsid w:val="3E760FE8"/>
    <w:rsid w:val="3EB06B77"/>
    <w:rsid w:val="40154EB9"/>
    <w:rsid w:val="40B02598"/>
    <w:rsid w:val="40CF7A04"/>
    <w:rsid w:val="41160E87"/>
    <w:rsid w:val="416A1C29"/>
    <w:rsid w:val="41E03E9D"/>
    <w:rsid w:val="424307ED"/>
    <w:rsid w:val="42C419E1"/>
    <w:rsid w:val="437F30E1"/>
    <w:rsid w:val="43C46996"/>
    <w:rsid w:val="441C2606"/>
    <w:rsid w:val="45071FDE"/>
    <w:rsid w:val="451B6685"/>
    <w:rsid w:val="45A06674"/>
    <w:rsid w:val="45FA731C"/>
    <w:rsid w:val="469A2DDE"/>
    <w:rsid w:val="46AB764B"/>
    <w:rsid w:val="47454352"/>
    <w:rsid w:val="48730C31"/>
    <w:rsid w:val="49202E3E"/>
    <w:rsid w:val="4A5E1D93"/>
    <w:rsid w:val="4AD01703"/>
    <w:rsid w:val="4B326047"/>
    <w:rsid w:val="4B396357"/>
    <w:rsid w:val="4B8E50C5"/>
    <w:rsid w:val="4C0627AE"/>
    <w:rsid w:val="4CC0624F"/>
    <w:rsid w:val="4CF34D93"/>
    <w:rsid w:val="4E432F4E"/>
    <w:rsid w:val="4EE17BB1"/>
    <w:rsid w:val="4EE322D7"/>
    <w:rsid w:val="4F161963"/>
    <w:rsid w:val="4F2A5DC6"/>
    <w:rsid w:val="4F556F37"/>
    <w:rsid w:val="4F917582"/>
    <w:rsid w:val="503414DD"/>
    <w:rsid w:val="50826F95"/>
    <w:rsid w:val="51951BF2"/>
    <w:rsid w:val="51BC648A"/>
    <w:rsid w:val="529C12ED"/>
    <w:rsid w:val="52CC6868"/>
    <w:rsid w:val="532F23B4"/>
    <w:rsid w:val="53454559"/>
    <w:rsid w:val="5365230E"/>
    <w:rsid w:val="53E803A6"/>
    <w:rsid w:val="543A6931"/>
    <w:rsid w:val="54F962F3"/>
    <w:rsid w:val="551F1586"/>
    <w:rsid w:val="557D2B68"/>
    <w:rsid w:val="55B7012A"/>
    <w:rsid w:val="56C55F31"/>
    <w:rsid w:val="57E37D64"/>
    <w:rsid w:val="58520F6A"/>
    <w:rsid w:val="58975736"/>
    <w:rsid w:val="58FA78C7"/>
    <w:rsid w:val="58FF02AC"/>
    <w:rsid w:val="59524405"/>
    <w:rsid w:val="5977053B"/>
    <w:rsid w:val="59967482"/>
    <w:rsid w:val="59DF1B61"/>
    <w:rsid w:val="5B3348AC"/>
    <w:rsid w:val="5C1B66E5"/>
    <w:rsid w:val="5C4C3530"/>
    <w:rsid w:val="5CF02465"/>
    <w:rsid w:val="5D7002FD"/>
    <w:rsid w:val="5DFA4F8A"/>
    <w:rsid w:val="5EFF4AB0"/>
    <w:rsid w:val="5F765910"/>
    <w:rsid w:val="602546DE"/>
    <w:rsid w:val="602D6443"/>
    <w:rsid w:val="603409D4"/>
    <w:rsid w:val="611B0F24"/>
    <w:rsid w:val="61A8395F"/>
    <w:rsid w:val="61CE2F72"/>
    <w:rsid w:val="62537588"/>
    <w:rsid w:val="625825CC"/>
    <w:rsid w:val="625D206C"/>
    <w:rsid w:val="630000FC"/>
    <w:rsid w:val="63C766E9"/>
    <w:rsid w:val="6497022B"/>
    <w:rsid w:val="65083CAD"/>
    <w:rsid w:val="6564693C"/>
    <w:rsid w:val="65763B40"/>
    <w:rsid w:val="65C4585B"/>
    <w:rsid w:val="65CC7931"/>
    <w:rsid w:val="66664C8F"/>
    <w:rsid w:val="66EA7200"/>
    <w:rsid w:val="67AF7989"/>
    <w:rsid w:val="67B76610"/>
    <w:rsid w:val="67FC7C8C"/>
    <w:rsid w:val="68760031"/>
    <w:rsid w:val="697F6DFD"/>
    <w:rsid w:val="69902B6B"/>
    <w:rsid w:val="69A21600"/>
    <w:rsid w:val="69E70C2B"/>
    <w:rsid w:val="6AC53BFC"/>
    <w:rsid w:val="6ADC4E36"/>
    <w:rsid w:val="6BE77122"/>
    <w:rsid w:val="6C4F062A"/>
    <w:rsid w:val="6C5F4EBE"/>
    <w:rsid w:val="6CDD1B53"/>
    <w:rsid w:val="6CF90CF0"/>
    <w:rsid w:val="6D136D3C"/>
    <w:rsid w:val="6D3D5F36"/>
    <w:rsid w:val="6D80459B"/>
    <w:rsid w:val="6D8B7F60"/>
    <w:rsid w:val="6E0D68B0"/>
    <w:rsid w:val="6EC57D19"/>
    <w:rsid w:val="6ED768FC"/>
    <w:rsid w:val="6F46511F"/>
    <w:rsid w:val="6FC24F69"/>
    <w:rsid w:val="70350A84"/>
    <w:rsid w:val="70547A9B"/>
    <w:rsid w:val="70B57AA1"/>
    <w:rsid w:val="71A76383"/>
    <w:rsid w:val="71EA060B"/>
    <w:rsid w:val="724C17E3"/>
    <w:rsid w:val="726E6F4A"/>
    <w:rsid w:val="72E61EEA"/>
    <w:rsid w:val="739101E7"/>
    <w:rsid w:val="73FD1259"/>
    <w:rsid w:val="74206256"/>
    <w:rsid w:val="74880F24"/>
    <w:rsid w:val="7519643E"/>
    <w:rsid w:val="75C66263"/>
    <w:rsid w:val="76222E38"/>
    <w:rsid w:val="76637894"/>
    <w:rsid w:val="76E05490"/>
    <w:rsid w:val="779B449A"/>
    <w:rsid w:val="77E762A5"/>
    <w:rsid w:val="77F948B2"/>
    <w:rsid w:val="780517B1"/>
    <w:rsid w:val="78392245"/>
    <w:rsid w:val="785F0292"/>
    <w:rsid w:val="78633B3E"/>
    <w:rsid w:val="792A21D6"/>
    <w:rsid w:val="7930205C"/>
    <w:rsid w:val="79E011D5"/>
    <w:rsid w:val="7A164223"/>
    <w:rsid w:val="7AB96454"/>
    <w:rsid w:val="7B657DEF"/>
    <w:rsid w:val="7B6B7C58"/>
    <w:rsid w:val="7B747935"/>
    <w:rsid w:val="7BA77340"/>
    <w:rsid w:val="7BD434E7"/>
    <w:rsid w:val="7BF4741E"/>
    <w:rsid w:val="7C423754"/>
    <w:rsid w:val="7C8C31E0"/>
    <w:rsid w:val="7CBE0147"/>
    <w:rsid w:val="7CFD1736"/>
    <w:rsid w:val="7D19289A"/>
    <w:rsid w:val="7D387594"/>
    <w:rsid w:val="7D734152"/>
    <w:rsid w:val="7D935F6D"/>
    <w:rsid w:val="7E343703"/>
    <w:rsid w:val="7F342968"/>
    <w:rsid w:val="7F4E2095"/>
    <w:rsid w:val="7FE0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eastAsia="宋体"/>
      <w:sz w:val="32"/>
    </w:rPr>
  </w:style>
  <w:style w:type="paragraph" w:styleId="5">
    <w:name w:val="heading 4"/>
    <w:basedOn w:val="4"/>
    <w:next w:val="1"/>
    <w:unhideWhenUsed/>
    <w:qFormat/>
    <w:uiPriority w:val="9"/>
    <w:pPr>
      <w:numPr>
        <w:ilvl w:val="3"/>
      </w:numPr>
      <w:tabs>
        <w:tab w:val="left" w:pos="432"/>
        <w:tab w:val="left" w:pos="864"/>
        <w:tab w:val="left" w:pos="1290"/>
      </w:tabs>
      <w:spacing w:before="280" w:after="290" w:line="376" w:lineRule="auto"/>
      <w:outlineLvl w:val="3"/>
    </w:pPr>
    <w:rPr>
      <w:rFonts w:ascii="Arial" w:hAnsi="Arial" w:eastAsia="黑体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tabs>
        <w:tab w:val="left" w:pos="1008"/>
      </w:tabs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34"/>
    <w:semiHidden/>
    <w:unhideWhenUsed/>
    <w:qFormat/>
    <w:uiPriority w:val="99"/>
    <w:rPr>
      <w:b/>
      <w:bCs/>
    </w:rPr>
  </w:style>
  <w:style w:type="paragraph" w:styleId="12">
    <w:name w:val="annotation text"/>
    <w:basedOn w:val="1"/>
    <w:link w:val="33"/>
    <w:semiHidden/>
    <w:unhideWhenUsed/>
    <w:qFormat/>
    <w:uiPriority w:val="99"/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5">
    <w:name w:val="Balloon Text"/>
    <w:basedOn w:val="1"/>
    <w:link w:val="35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16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</w:rPr>
  </w:style>
  <w:style w:type="paragraph" w:styleId="17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1">
    <w:name w:val="FollowedHyperlink"/>
    <w:basedOn w:val="20"/>
    <w:semiHidden/>
    <w:unhideWhenUsed/>
    <w:qFormat/>
    <w:uiPriority w:val="99"/>
    <w:rPr>
      <w:color w:val="800080"/>
      <w:u w:val="single"/>
    </w:rPr>
  </w:style>
  <w:style w:type="character" w:styleId="22">
    <w:name w:val="Hyperlink"/>
    <w:basedOn w:val="20"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5">
    <w:name w:val="日期 字符"/>
    <w:basedOn w:val="20"/>
    <w:link w:val="14"/>
    <w:semiHidden/>
    <w:qFormat/>
    <w:uiPriority w:val="99"/>
    <w:rPr>
      <w:rFonts w:ascii="Tahoma" w:hAnsi="Tahoma" w:eastAsia="微软雅黑"/>
      <w:kern w:val="0"/>
      <w:sz w:val="22"/>
    </w:rPr>
  </w:style>
  <w:style w:type="character" w:customStyle="1" w:styleId="26">
    <w:name w:val="标题 1 字符"/>
    <w:basedOn w:val="20"/>
    <w:link w:val="2"/>
    <w:qFormat/>
    <w:uiPriority w:val="9"/>
    <w:rPr>
      <w:rFonts w:ascii="Tahoma" w:hAnsi="Tahoma" w:eastAsia="微软雅黑"/>
      <w:b/>
      <w:bCs/>
      <w:kern w:val="44"/>
      <w:sz w:val="44"/>
      <w:szCs w:val="44"/>
    </w:rPr>
  </w:style>
  <w:style w:type="character" w:customStyle="1" w:styleId="27">
    <w:name w:val="标题 2 字符"/>
    <w:basedOn w:val="20"/>
    <w:link w:val="3"/>
    <w:qFormat/>
    <w:uiPriority w:val="9"/>
    <w:rPr>
      <w:rFonts w:eastAsia="黑体" w:asciiTheme="majorHAnsi" w:hAnsiTheme="majorHAnsi" w:cstheme="majorBidi"/>
      <w:b/>
      <w:bCs/>
      <w:kern w:val="0"/>
      <w:sz w:val="32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apple-converted-space"/>
    <w:basedOn w:val="20"/>
    <w:qFormat/>
    <w:uiPriority w:val="0"/>
  </w:style>
  <w:style w:type="paragraph" w:customStyle="1" w:styleId="30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31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32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character" w:customStyle="1" w:styleId="33">
    <w:name w:val="批注文字 字符"/>
    <w:basedOn w:val="20"/>
    <w:link w:val="12"/>
    <w:semiHidden/>
    <w:qFormat/>
    <w:uiPriority w:val="99"/>
    <w:rPr>
      <w:rFonts w:ascii="Tahoma" w:hAnsi="Tahoma" w:eastAsia="微软雅黑" w:cstheme="minorBidi"/>
      <w:sz w:val="22"/>
      <w:szCs w:val="22"/>
    </w:rPr>
  </w:style>
  <w:style w:type="character" w:customStyle="1" w:styleId="34">
    <w:name w:val="批注主题 字符"/>
    <w:basedOn w:val="33"/>
    <w:link w:val="11"/>
    <w:semiHidden/>
    <w:qFormat/>
    <w:uiPriority w:val="99"/>
    <w:rPr>
      <w:rFonts w:ascii="Tahoma" w:hAnsi="Tahoma" w:eastAsia="微软雅黑" w:cstheme="minorBidi"/>
      <w:b/>
      <w:bCs/>
      <w:sz w:val="22"/>
      <w:szCs w:val="22"/>
    </w:rPr>
  </w:style>
  <w:style w:type="character" w:customStyle="1" w:styleId="35">
    <w:name w:val="批注框文本 字符"/>
    <w:basedOn w:val="20"/>
    <w:link w:val="15"/>
    <w:semiHidden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36">
    <w:name w:val="Unresolved Mention"/>
    <w:basedOn w:val="2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F0547A-D008-4625-B0F7-C43EFE3C42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14</Pages>
  <Words>300</Words>
  <Characters>1715</Characters>
  <Lines>14</Lines>
  <Paragraphs>4</Paragraphs>
  <TotalTime>1</TotalTime>
  <ScaleCrop>false</ScaleCrop>
  <LinksUpToDate>false</LinksUpToDate>
  <CharactersWithSpaces>2011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2017-04-10T09:48:00Z</dcterms:created>
  <dc:creator>User</dc:creator>
  <cp:lastModifiedBy>Administrator</cp:lastModifiedBy>
  <cp:lastPrinted>2020-05-28T02:43:00Z</cp:lastPrinted>
  <dcterms:modified xsi:type="dcterms:W3CDTF">2022-04-06T02:55:04Z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ICV">
    <vt:lpwstr>21FC369B94294DE1A785EF4FBD07A862</vt:lpwstr>
  </property>
</Properties>
</file>