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国有建设用地开发利用监管协议</w:t>
      </w:r>
    </w:p>
    <w:p>
      <w:pPr>
        <w:pStyle w:val="6"/>
        <w:spacing w:line="600" w:lineRule="exact"/>
        <w:ind w:firstLine="0" w:firstLineChars="0"/>
        <w:rPr>
          <w:rFonts w:ascii="黑体" w:hAnsi="黑体" w:eastAsia="黑体" w:cs="黑体"/>
          <w:lang w:val="en-US"/>
        </w:rPr>
      </w:pPr>
    </w:p>
    <w:p>
      <w:pPr>
        <w:spacing w:line="600" w:lineRule="exact"/>
        <w:rPr>
          <w:rFonts w:hint="eastAsia"/>
          <w:sz w:val="32"/>
          <w:szCs w:val="32"/>
        </w:rPr>
      </w:pPr>
      <w:r>
        <w:rPr>
          <w:rFonts w:hint="eastAsia"/>
          <w:sz w:val="32"/>
          <w:szCs w:val="32"/>
        </w:rPr>
        <w:t>甲方：郁南县产业园区管理委员会</w:t>
      </w:r>
    </w:p>
    <w:p>
      <w:pPr>
        <w:spacing w:line="600" w:lineRule="exact"/>
        <w:rPr>
          <w:rFonts w:hint="eastAsia"/>
          <w:sz w:val="32"/>
          <w:szCs w:val="32"/>
          <w:lang w:val="en-US" w:eastAsia="zh-CN"/>
        </w:rPr>
      </w:pPr>
      <w:r>
        <w:rPr>
          <w:rFonts w:hint="eastAsia"/>
          <w:sz w:val="32"/>
          <w:szCs w:val="32"/>
        </w:rPr>
        <w:t>乙方：</w:t>
      </w:r>
    </w:p>
    <w:p>
      <w:pPr>
        <w:spacing w:line="600" w:lineRule="exact"/>
        <w:ind w:firstLine="640" w:firstLineChars="200"/>
        <w:rPr>
          <w:rFonts w:cs="Arial Unicode MS"/>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乙方于</w:t>
      </w:r>
      <w:r>
        <w:rPr>
          <w:rFonts w:hint="eastAsia"/>
          <w:sz w:val="32"/>
          <w:szCs w:val="32"/>
          <w:u w:val="single"/>
        </w:rPr>
        <w:t xml:space="preserve">   </w:t>
      </w:r>
      <w:r>
        <w:rPr>
          <w:sz w:val="32"/>
          <w:szCs w:val="32"/>
        </w:rPr>
        <w:t>年</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月</w:t>
      </w:r>
      <w:r>
        <w:rPr>
          <w:rFonts w:hint="eastAsia"/>
          <w:sz w:val="32"/>
          <w:szCs w:val="32"/>
          <w:u w:val="single"/>
        </w:rPr>
        <w:t xml:space="preserve">   </w:t>
      </w:r>
      <w:r>
        <w:rPr>
          <w:rFonts w:hint="eastAsia"/>
          <w:sz w:val="32"/>
          <w:szCs w:val="32"/>
        </w:rPr>
        <w:t>日</w:t>
      </w:r>
      <w:r>
        <w:rPr>
          <w:sz w:val="32"/>
          <w:szCs w:val="32"/>
        </w:rPr>
        <w:t>公开竞得</w:t>
      </w:r>
      <w:r>
        <w:rPr>
          <w:rFonts w:hint="eastAsia" w:cs="Arial Unicode MS"/>
          <w:sz w:val="32"/>
          <w:szCs w:val="32"/>
          <w:u w:val="single"/>
        </w:rPr>
        <w:t xml:space="preserve"> </w:t>
      </w:r>
      <w:r>
        <w:rPr>
          <w:rFonts w:hint="eastAsia" w:cs="Arial Unicode MS"/>
          <w:sz w:val="32"/>
          <w:szCs w:val="32"/>
          <w:u w:val="single"/>
          <w:lang w:val="en-US" w:eastAsia="zh-CN"/>
        </w:rPr>
        <w:t>大湾工业园区B05-1-B-2地块</w:t>
      </w:r>
      <w:r>
        <w:rPr>
          <w:rFonts w:hint="eastAsia" w:cs="Arial Unicode MS"/>
          <w:sz w:val="32"/>
          <w:szCs w:val="32"/>
          <w:u w:val="single"/>
        </w:rPr>
        <w:t xml:space="preserve"> </w:t>
      </w:r>
      <w:r>
        <w:rPr>
          <w:rFonts w:hint="eastAsia" w:cs="Arial Unicode MS"/>
          <w:bCs/>
          <w:sz w:val="32"/>
          <w:szCs w:val="32"/>
        </w:rPr>
        <w:t>地块</w:t>
      </w:r>
      <w:r>
        <w:rPr>
          <w:sz w:val="32"/>
          <w:szCs w:val="32"/>
        </w:rPr>
        <w:t>(下称“本地块”)的土地使用权，土地用途为</w:t>
      </w:r>
      <w:r>
        <w:rPr>
          <w:rFonts w:hint="eastAsia"/>
          <w:sz w:val="32"/>
          <w:szCs w:val="32"/>
          <w:u w:val="single"/>
        </w:rPr>
        <w:t xml:space="preserve"> </w:t>
      </w:r>
      <w:r>
        <w:rPr>
          <w:rFonts w:hint="eastAsia"/>
          <w:sz w:val="32"/>
          <w:szCs w:val="32"/>
          <w:u w:val="single"/>
          <w:lang w:val="en-US" w:eastAsia="zh-CN"/>
        </w:rPr>
        <w:t>工业用地（M3）</w:t>
      </w:r>
      <w:r>
        <w:rPr>
          <w:sz w:val="32"/>
          <w:szCs w:val="32"/>
        </w:rPr>
        <w:t>。</w:t>
      </w:r>
      <w:r>
        <w:rPr>
          <w:rFonts w:hint="eastAsia"/>
          <w:sz w:val="32"/>
          <w:szCs w:val="32"/>
        </w:rPr>
        <w:t>本宗地面积</w:t>
      </w:r>
      <w:r>
        <w:rPr>
          <w:rFonts w:hint="eastAsia"/>
          <w:sz w:val="32"/>
          <w:szCs w:val="32"/>
          <w:u w:val="single"/>
        </w:rPr>
        <w:t xml:space="preserve"> </w:t>
      </w:r>
      <w:r>
        <w:rPr>
          <w:rFonts w:hint="eastAsia"/>
          <w:sz w:val="32"/>
          <w:szCs w:val="32"/>
          <w:u w:val="single"/>
          <w:lang w:val="en-US" w:eastAsia="zh-CN"/>
        </w:rPr>
        <w:t>22710.99</w:t>
      </w:r>
      <w:r>
        <w:rPr>
          <w:rFonts w:hint="eastAsia"/>
          <w:sz w:val="32"/>
          <w:szCs w:val="32"/>
          <w:u w:val="single"/>
        </w:rPr>
        <w:t xml:space="preserve"> </w:t>
      </w:r>
      <w:r>
        <w:rPr>
          <w:rFonts w:hint="eastAsia" w:cs="Arial Unicode MS"/>
          <w:bCs/>
          <w:sz w:val="32"/>
          <w:szCs w:val="32"/>
        </w:rPr>
        <w:t xml:space="preserve">平方米（ </w:t>
      </w:r>
      <w:r>
        <w:rPr>
          <w:rFonts w:hint="eastAsia" w:cs="Arial Unicode MS"/>
          <w:bCs/>
          <w:sz w:val="32"/>
          <w:szCs w:val="32"/>
          <w:lang w:val="en-US" w:eastAsia="zh-CN"/>
        </w:rPr>
        <w:t>34.1</w:t>
      </w:r>
      <w:r>
        <w:rPr>
          <w:rFonts w:hint="eastAsia" w:cs="Arial Unicode MS"/>
          <w:bCs/>
          <w:sz w:val="32"/>
          <w:szCs w:val="32"/>
        </w:rPr>
        <w:t xml:space="preserve"> 亩）</w:t>
      </w:r>
      <w:r>
        <w:rPr>
          <w:rFonts w:hint="eastAsia"/>
          <w:sz w:val="32"/>
          <w:szCs w:val="32"/>
        </w:rPr>
        <w:t>，成交地价款（以下简称“地价款”）总额人民币（大写）</w:t>
      </w:r>
      <w:r>
        <w:rPr>
          <w:rFonts w:hint="eastAsia"/>
          <w:sz w:val="32"/>
          <w:szCs w:val="32"/>
          <w:u w:val="single"/>
        </w:rPr>
        <w:t xml:space="preserve">      </w:t>
      </w:r>
      <w:r>
        <w:rPr>
          <w:rFonts w:hint="eastAsia"/>
          <w:sz w:val="32"/>
          <w:szCs w:val="32"/>
        </w:rPr>
        <w:t>万元正（小写￥</w:t>
      </w:r>
      <w:r>
        <w:rPr>
          <w:rFonts w:hint="eastAsia"/>
          <w:sz w:val="32"/>
          <w:szCs w:val="32"/>
          <w:u w:val="single"/>
        </w:rPr>
        <w:t xml:space="preserve">      </w:t>
      </w:r>
      <w:r>
        <w:rPr>
          <w:rFonts w:hint="eastAsia"/>
          <w:sz w:val="32"/>
          <w:szCs w:val="32"/>
        </w:rPr>
        <w:t>元）。</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hint="eastAsia"/>
          <w:sz w:val="32"/>
          <w:szCs w:val="32"/>
        </w:rPr>
        <w:t>为保障土地有序、高效开发利用，</w:t>
      </w:r>
      <w:r>
        <w:rPr>
          <w:sz w:val="32"/>
          <w:szCs w:val="32"/>
        </w:rPr>
        <w:t>甲、乙双方在平等自愿的基础上，订立本协议并共同遵守，具体内容如下：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eastAsia="黑体" w:cs="黑体"/>
          <w:sz w:val="32"/>
          <w:szCs w:val="32"/>
        </w:rPr>
        <w:t>第一条</w:t>
      </w:r>
      <w:r>
        <w:rPr>
          <w:sz w:val="32"/>
          <w:szCs w:val="32"/>
        </w:rPr>
        <w:t xml:space="preserve">  </w:t>
      </w:r>
      <w:r>
        <w:rPr>
          <w:rFonts w:hint="eastAsia"/>
          <w:sz w:val="32"/>
          <w:szCs w:val="32"/>
        </w:rPr>
        <w:t>本协议为本地块《国有建设用地使用权出让合同》(下称“《出让合同》”)的必要组成部分，乙方参与本宗地的竞买，视为乙方已认同本协议主要内容。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eastAsia="黑体" w:cs="黑体"/>
          <w:sz w:val="32"/>
          <w:szCs w:val="32"/>
        </w:rPr>
        <w:t>第二条</w:t>
      </w:r>
      <w:r>
        <w:rPr>
          <w:sz w:val="32"/>
          <w:szCs w:val="32"/>
        </w:rPr>
        <w:t xml:space="preserve">  </w:t>
      </w:r>
      <w:r>
        <w:rPr>
          <w:rFonts w:hint="eastAsia"/>
          <w:sz w:val="32"/>
          <w:szCs w:val="32"/>
        </w:rPr>
        <w:t>乙方须在云浮市郁南县设立独立法人、独立核算的开发、营运及销售公司负责在本地块落户项目的开发、运营、销售及进出口经营业务。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eastAsia="黑体" w:cs="黑体"/>
          <w:sz w:val="32"/>
          <w:szCs w:val="32"/>
        </w:rPr>
        <w:t>第三条</w:t>
      </w:r>
      <w:r>
        <w:rPr>
          <w:sz w:val="32"/>
          <w:szCs w:val="32"/>
        </w:rPr>
        <w:t xml:space="preserve"> </w:t>
      </w:r>
      <w:r>
        <w:rPr>
          <w:rFonts w:hint="eastAsia"/>
          <w:sz w:val="32"/>
          <w:szCs w:val="32"/>
          <w:lang w:val="en-US"/>
        </w:rPr>
        <w:t xml:space="preserve"> </w:t>
      </w:r>
      <w:r>
        <w:rPr>
          <w:rFonts w:hint="eastAsia"/>
          <w:sz w:val="32"/>
          <w:szCs w:val="32"/>
        </w:rPr>
        <w:t>乙方在本地块红线范围内落户的项目要符合以下要求：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rPr>
        <w:t>（一）要符合郁南县的产业规划，属于</w:t>
      </w:r>
      <w:r>
        <w:rPr>
          <w:rFonts w:hint="eastAsia" w:cs="Arial Unicode MS"/>
          <w:sz w:val="32"/>
          <w:szCs w:val="32"/>
          <w:u w:val="single"/>
          <w:lang w:val="en-US" w:eastAsia="zh-CN"/>
        </w:rPr>
        <w:t>新材料化工</w:t>
      </w:r>
      <w:r>
        <w:rPr>
          <w:rFonts w:hint="eastAsia" w:cs="Arial Unicode MS"/>
          <w:sz w:val="32"/>
          <w:szCs w:val="32"/>
        </w:rPr>
        <w:t>类型</w:t>
      </w:r>
      <w:r>
        <w:rPr>
          <w:rFonts w:hint="eastAsia"/>
          <w:sz w:val="32"/>
          <w:szCs w:val="32"/>
        </w:rPr>
        <w:t>项目且须通过郁南县的准入评审才能办理各项落户手续。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rPr>
        <w:t>（二）截至项目约定达产日，项目的投资强度不少于人民币</w:t>
      </w:r>
      <w:r>
        <w:rPr>
          <w:rFonts w:hint="eastAsia"/>
          <w:sz w:val="32"/>
          <w:szCs w:val="32"/>
          <w:highlight w:val="none"/>
          <w:u w:val="single"/>
          <w:lang w:val="en-US"/>
        </w:rPr>
        <w:t>200</w:t>
      </w:r>
      <w:r>
        <w:rPr>
          <w:rFonts w:hint="eastAsia"/>
          <w:sz w:val="32"/>
          <w:szCs w:val="32"/>
          <w:highlight w:val="none"/>
        </w:rPr>
        <w:t>万元/亩，</w:t>
      </w:r>
      <w:r>
        <w:rPr>
          <w:rFonts w:hint="eastAsia"/>
          <w:sz w:val="32"/>
          <w:szCs w:val="32"/>
        </w:rPr>
        <w:t>投资强度为项目单位用地面积固定资产投资额，其中项目固定资产投资包括土地、建筑物及设备投资。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rPr>
        <w:t>投资强度考核在项目达产后进行。乙方须在项目达产之日起6个月内，向甲方提交由具备相关资质的第三方机构核定的固定资产投资报告。甲方对乙方提交的固定资产投资报告组织相关部门进行复核，复核结果作为项目投资强度考核的依据。如乙方未事先提出延期申请或者延期申请未经甲方同意而逾期提交资料（延期原则上最长不可超过6个月），作固定资产零投入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eastAsia="黑体" w:cs="黑体"/>
          <w:sz w:val="32"/>
          <w:szCs w:val="32"/>
        </w:rPr>
        <w:t>第四条</w:t>
      </w:r>
      <w:r>
        <w:rPr>
          <w:sz w:val="32"/>
          <w:szCs w:val="32"/>
        </w:rPr>
        <w:t xml:space="preserve">  </w:t>
      </w:r>
      <w:r>
        <w:rPr>
          <w:rFonts w:hint="eastAsia" w:eastAsia="黑体" w:cs="黑体"/>
          <w:sz w:val="32"/>
          <w:szCs w:val="32"/>
        </w:rPr>
        <w:t>开发进度及建设要求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rPr>
        <w:t>乙方须自签订土地出让合同之日起，</w:t>
      </w:r>
      <w:r>
        <w:rPr>
          <w:rFonts w:hint="eastAsia"/>
          <w:sz w:val="32"/>
          <w:szCs w:val="32"/>
          <w:u w:val="single"/>
          <w:lang w:val="en-US"/>
        </w:rPr>
        <w:t>12</w:t>
      </w:r>
      <w:r>
        <w:rPr>
          <w:rFonts w:hint="eastAsia"/>
          <w:sz w:val="32"/>
          <w:szCs w:val="32"/>
        </w:rPr>
        <w:t>个月内动工建设，</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sz w:val="32"/>
          <w:szCs w:val="32"/>
        </w:rPr>
      </w:pPr>
      <w:r>
        <w:rPr>
          <w:rFonts w:hint="eastAsia"/>
          <w:sz w:val="32"/>
          <w:szCs w:val="32"/>
          <w:u w:val="single"/>
          <w:lang w:val="en-US"/>
        </w:rPr>
        <w:t>24</w:t>
      </w:r>
      <w:r>
        <w:rPr>
          <w:rFonts w:hint="eastAsia"/>
          <w:sz w:val="32"/>
          <w:szCs w:val="32"/>
        </w:rPr>
        <w:t>个月内竣工并投产，</w:t>
      </w:r>
      <w:r>
        <w:rPr>
          <w:rFonts w:hint="eastAsia"/>
          <w:sz w:val="32"/>
          <w:szCs w:val="32"/>
          <w:u w:val="single"/>
          <w:lang w:val="en-US"/>
        </w:rPr>
        <w:t>48</w:t>
      </w:r>
      <w:r>
        <w:rPr>
          <w:rFonts w:hint="eastAsia"/>
          <w:sz w:val="32"/>
          <w:szCs w:val="32"/>
        </w:rPr>
        <w:t>个月内全面达产。项目动工、竣工标准以出让合同为准。项目达产具体时间以乙方提交的书面资料为准。若乙方未提交书面资料的，项目达产之日则为土地交付之日起</w:t>
      </w:r>
      <w:r>
        <w:rPr>
          <w:rFonts w:hint="eastAsia"/>
          <w:sz w:val="32"/>
          <w:szCs w:val="32"/>
          <w:u w:val="single"/>
          <w:lang w:val="en-US"/>
        </w:rPr>
        <w:t>48</w:t>
      </w:r>
      <w:r>
        <w:rPr>
          <w:rFonts w:hint="eastAsia"/>
          <w:sz w:val="32"/>
          <w:szCs w:val="32"/>
        </w:rPr>
        <w:t>个月内的最后一日。如因甲方原因，影响了项目进度的，乙方可向甲方提出动工、竣工投产及达产时间的顺延。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eastAsia="黑体" w:cs="黑体"/>
          <w:sz w:val="32"/>
          <w:szCs w:val="32"/>
        </w:rPr>
        <w:t>第</w:t>
      </w:r>
      <w:r>
        <w:rPr>
          <w:rFonts w:hint="eastAsia" w:eastAsia="黑体" w:cs="黑体"/>
          <w:sz w:val="32"/>
          <w:szCs w:val="32"/>
        </w:rPr>
        <w:t>五</w:t>
      </w:r>
      <w:r>
        <w:rPr>
          <w:rFonts w:eastAsia="黑体" w:cs="黑体"/>
          <w:sz w:val="32"/>
          <w:szCs w:val="32"/>
        </w:rPr>
        <w:t xml:space="preserve">条  </w:t>
      </w:r>
      <w:r>
        <w:rPr>
          <w:rFonts w:hint="eastAsia" w:eastAsia="黑体" w:cs="黑体"/>
          <w:sz w:val="32"/>
          <w:szCs w:val="32"/>
        </w:rPr>
        <w:t>纳税要求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hint="eastAsia"/>
          <w:sz w:val="32"/>
          <w:szCs w:val="32"/>
        </w:rPr>
        <w:t>甲方对乙方进行经济贡献考核，总考核期分为两个部分：一是自合同约定投产时间至合同约定达产时间之间，创税强度须达人民币</w:t>
      </w:r>
      <w:r>
        <w:rPr>
          <w:rFonts w:hint="eastAsia"/>
          <w:sz w:val="32"/>
          <w:szCs w:val="32"/>
          <w:u w:val="single"/>
          <w:lang w:val="en-US" w:eastAsia="zh-CN"/>
        </w:rPr>
        <w:t>15</w:t>
      </w:r>
      <w:bookmarkStart w:id="0" w:name="_GoBack"/>
      <w:bookmarkEnd w:id="0"/>
      <w:r>
        <w:rPr>
          <w:rFonts w:hint="eastAsia"/>
          <w:sz w:val="32"/>
          <w:szCs w:val="32"/>
        </w:rPr>
        <w:t>万元/亩/年；二是自合同约定的达产时间后的第1个月至第</w:t>
      </w:r>
      <w:r>
        <w:rPr>
          <w:rFonts w:hint="eastAsia"/>
          <w:sz w:val="32"/>
          <w:szCs w:val="32"/>
          <w:lang w:val="en-US"/>
        </w:rPr>
        <w:t>36个月，</w:t>
      </w:r>
      <w:r>
        <w:rPr>
          <w:rFonts w:hint="eastAsia"/>
          <w:sz w:val="32"/>
          <w:szCs w:val="32"/>
        </w:rPr>
        <w:t>该考核期为3年，创税强度须达人民币</w:t>
      </w:r>
      <w:r>
        <w:rPr>
          <w:rFonts w:hint="eastAsia"/>
          <w:sz w:val="32"/>
          <w:szCs w:val="32"/>
          <w:u w:val="single"/>
          <w:lang w:val="en-US" w:eastAsia="zh-CN"/>
        </w:rPr>
        <w:t>30</w:t>
      </w:r>
      <w:r>
        <w:rPr>
          <w:rFonts w:hint="eastAsia"/>
          <w:sz w:val="32"/>
          <w:szCs w:val="32"/>
        </w:rPr>
        <w:t>万元/亩/年。考核期内甲方每年对乙方进行一次考核。项目实际创税额由国家税务总局郁南县税务局提供的纳税证明作为考核计算依据。按所属期税款计算（下同）。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hint="eastAsia"/>
          <w:sz w:val="32"/>
          <w:szCs w:val="32"/>
        </w:rPr>
        <w:t>每个经济贡献考核期结束后6个月内，乙方须向甲方提交由国家税务总局郁南县税务局出具的考核期内的相关纳税证明。甲方对乙方提交的纳税证明进行复核，复核结果作为项目创税强度考核的依据。年度税收超过年度考核约定额度部分可纳入下一考核年度的额度统计。</w:t>
      </w:r>
    </w:p>
    <w:p>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pPr>
      <w:r>
        <w:rPr>
          <w:rFonts w:hint="eastAsia"/>
          <w:sz w:val="32"/>
          <w:szCs w:val="32"/>
        </w:rPr>
        <w:t>如果乙方提前投产或达产的，可以申请从实际投产或达产时开始考核。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eastAsia="黑体" w:cs="黑体"/>
          <w:sz w:val="32"/>
          <w:szCs w:val="32"/>
        </w:rPr>
      </w:pPr>
      <w:r>
        <w:rPr>
          <w:rFonts w:hint="eastAsia" w:eastAsia="黑体" w:cs="黑体"/>
          <w:sz w:val="32"/>
          <w:szCs w:val="32"/>
        </w:rPr>
        <w:t>第六条  违约责任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hint="eastAsia"/>
          <w:sz w:val="32"/>
          <w:szCs w:val="32"/>
        </w:rPr>
        <w:t>（一）未达投资强度要求。截至项目约定日期，投资强度未达到约定标准的，乙方须自甲方书面确定其违约之日起30日内一次性向甲方支付违约金。违约金的计算公式为：</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hint="eastAsia"/>
          <w:sz w:val="32"/>
          <w:szCs w:val="32"/>
        </w:rPr>
        <w:t>违约金=[（约定投资强度-实际投资强度）÷约定投资强度]×地价款。</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hint="eastAsia"/>
          <w:sz w:val="32"/>
          <w:szCs w:val="32"/>
        </w:rPr>
        <w:t>（二）未达经济贡献要求。在本协议第五条约定的经济贡献考核期内，若项目年度税收强度低于约定标准，乙方须自甲方书面确定其违约之日起30日内支付该年度的税收差额补偿金。补偿金计算公式为：</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hint="eastAsia"/>
          <w:sz w:val="32"/>
          <w:szCs w:val="32"/>
        </w:rPr>
        <w:t>补偿金＝用地面积×约定税收强度－实际年税收贡献额</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sz w:val="32"/>
          <w:szCs w:val="32"/>
        </w:rPr>
      </w:pPr>
      <w:r>
        <w:rPr>
          <w:rFonts w:hint="eastAsia"/>
          <w:sz w:val="32"/>
          <w:szCs w:val="32"/>
        </w:rPr>
        <w:t>乙方逾期不支付的，甲方将按补偿金总额的0.3%，按日向乙方收取滞纳金。</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eastAsia="黑体" w:cs="黑体"/>
          <w:sz w:val="32"/>
          <w:szCs w:val="32"/>
        </w:rPr>
        <w:t>第</w:t>
      </w:r>
      <w:r>
        <w:rPr>
          <w:rFonts w:hint="eastAsia" w:eastAsia="黑体" w:cs="黑体"/>
          <w:sz w:val="32"/>
          <w:szCs w:val="32"/>
        </w:rPr>
        <w:t>七</w:t>
      </w:r>
      <w:r>
        <w:rPr>
          <w:rFonts w:eastAsia="黑体" w:cs="黑体"/>
          <w:sz w:val="32"/>
          <w:szCs w:val="32"/>
        </w:rPr>
        <w:t>条</w:t>
      </w:r>
      <w:r>
        <w:rPr>
          <w:sz w:val="32"/>
          <w:szCs w:val="32"/>
        </w:rPr>
        <w:t xml:space="preserve">  </w:t>
      </w:r>
      <w:r>
        <w:rPr>
          <w:rFonts w:hint="eastAsia"/>
          <w:sz w:val="32"/>
          <w:szCs w:val="32"/>
        </w:rPr>
        <w:t>若乙方对土地进行转让或抵押的，乙方必须告知受</w:t>
      </w:r>
      <w:r>
        <w:rPr>
          <w:rFonts w:hint="eastAsia"/>
          <w:sz w:val="32"/>
          <w:szCs w:val="32"/>
          <w:lang w:val="en-US"/>
        </w:rPr>
        <w:t>让方或</w:t>
      </w:r>
      <w:r>
        <w:fldChar w:fldCharType="begin"/>
      </w:r>
      <w:r>
        <w:instrText xml:space="preserve"> HYPERLINK "http://www.64365.com/baike/dyq/" \t "_blank" \o "抵押权" </w:instrText>
      </w:r>
      <w:r>
        <w:fldChar w:fldCharType="separate"/>
      </w:r>
      <w:r>
        <w:rPr>
          <w:sz w:val="32"/>
          <w:szCs w:val="32"/>
          <w:lang w:val="en-US"/>
        </w:rPr>
        <w:t>抵押权</w:t>
      </w:r>
      <w:r>
        <w:rPr>
          <w:sz w:val="32"/>
          <w:szCs w:val="32"/>
          <w:lang w:val="en-US"/>
        </w:rPr>
        <w:fldChar w:fldCharType="end"/>
      </w:r>
      <w:r>
        <w:rPr>
          <w:sz w:val="32"/>
          <w:szCs w:val="32"/>
          <w:lang w:val="en-US"/>
        </w:rPr>
        <w:t>人</w:t>
      </w:r>
      <w:r>
        <w:rPr>
          <w:rFonts w:hint="eastAsia"/>
          <w:sz w:val="32"/>
          <w:szCs w:val="32"/>
          <w:lang w:val="en-US"/>
        </w:rPr>
        <w:t>《国有建设用地开发利用监管协议》全部条款。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eastAsia="黑体" w:cs="黑体"/>
          <w:sz w:val="32"/>
          <w:szCs w:val="32"/>
        </w:rPr>
        <w:t>第</w:t>
      </w:r>
      <w:r>
        <w:rPr>
          <w:rFonts w:hint="eastAsia" w:eastAsia="黑体" w:cs="黑体"/>
          <w:sz w:val="32"/>
          <w:szCs w:val="32"/>
        </w:rPr>
        <w:t>八</w:t>
      </w:r>
      <w:r>
        <w:rPr>
          <w:rFonts w:eastAsia="黑体" w:cs="黑体"/>
          <w:sz w:val="32"/>
          <w:szCs w:val="32"/>
        </w:rPr>
        <w:t>条</w:t>
      </w:r>
      <w:r>
        <w:rPr>
          <w:sz w:val="32"/>
          <w:szCs w:val="32"/>
        </w:rPr>
        <w:t xml:space="preserve"> </w:t>
      </w:r>
      <w:r>
        <w:rPr>
          <w:rFonts w:eastAsia="黑体" w:cs="黑体"/>
          <w:sz w:val="32"/>
          <w:szCs w:val="32"/>
        </w:rPr>
        <w:t xml:space="preserve"> </w:t>
      </w:r>
      <w:r>
        <w:rPr>
          <w:rFonts w:hint="eastAsia"/>
          <w:sz w:val="32"/>
          <w:szCs w:val="32"/>
        </w:rPr>
        <w:t>本协议书未尽事宜，可由双方另行协商并签订备忘录或补充协议书，作为协议书的组成部分，与本协议书具有同等法律效力。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eastAsia="黑体" w:cs="黑体"/>
          <w:sz w:val="32"/>
          <w:szCs w:val="32"/>
        </w:rPr>
        <w:t>第九条</w:t>
      </w:r>
      <w:r>
        <w:rPr>
          <w:sz w:val="32"/>
          <w:szCs w:val="32"/>
        </w:rPr>
        <w:t xml:space="preserve"> </w:t>
      </w:r>
      <w:r>
        <w:rPr>
          <w:rFonts w:hint="eastAsia"/>
          <w:sz w:val="32"/>
          <w:szCs w:val="32"/>
        </w:rPr>
        <w:t xml:space="preserve"> 甲方负责对本协议约定事项进行监管，郁南县招商引资工作领导小组组成单位共同配合监管。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cs="Arial Unicode MS"/>
          <w:b/>
          <w:sz w:val="32"/>
          <w:szCs w:val="32"/>
        </w:rPr>
      </w:pPr>
      <w:r>
        <w:rPr>
          <w:rFonts w:eastAsia="黑体" w:cs="黑体"/>
          <w:sz w:val="32"/>
          <w:szCs w:val="32"/>
        </w:rPr>
        <w:t>第</w:t>
      </w:r>
      <w:r>
        <w:rPr>
          <w:rFonts w:hint="eastAsia" w:eastAsia="黑体" w:cs="黑体"/>
          <w:sz w:val="32"/>
          <w:szCs w:val="32"/>
        </w:rPr>
        <w:t>十</w:t>
      </w:r>
      <w:r>
        <w:rPr>
          <w:rFonts w:eastAsia="黑体" w:cs="黑体"/>
          <w:sz w:val="32"/>
          <w:szCs w:val="32"/>
        </w:rPr>
        <w:t>条</w:t>
      </w:r>
      <w:r>
        <w:rPr>
          <w:sz w:val="32"/>
          <w:szCs w:val="32"/>
        </w:rPr>
        <w:t xml:space="preserve">  </w:t>
      </w:r>
      <w:r>
        <w:rPr>
          <w:rFonts w:hint="eastAsia"/>
          <w:sz w:val="32"/>
          <w:szCs w:val="32"/>
        </w:rPr>
        <w:t>本协议一式伍份，自双方签字盖章之日起生效。甲乙双方各执一份，郁南县商务局、郁南县司法局、郁南县</w:t>
      </w:r>
      <w:r>
        <w:rPr>
          <w:rFonts w:hint="eastAsia"/>
          <w:sz w:val="32"/>
          <w:szCs w:val="32"/>
          <w:lang w:val="en-US" w:eastAsia="zh-CN"/>
        </w:rPr>
        <w:t>自然资源局</w:t>
      </w:r>
      <w:r>
        <w:rPr>
          <w:rFonts w:hint="eastAsia"/>
          <w:sz w:val="32"/>
          <w:szCs w:val="32"/>
        </w:rPr>
        <w:t>各存档一份，每份协议均具有同等法律效力。</w:t>
      </w:r>
    </w:p>
    <w:p>
      <w:pPr>
        <w:spacing w:line="600" w:lineRule="exact"/>
        <w:rPr>
          <w:rFonts w:cs="Arial Unicode MS"/>
          <w:b/>
          <w:sz w:val="32"/>
          <w:szCs w:val="32"/>
        </w:rPr>
      </w:pPr>
    </w:p>
    <w:p>
      <w:pPr>
        <w:spacing w:line="600" w:lineRule="exact"/>
        <w:rPr>
          <w:rFonts w:cs="Arial Unicode MS"/>
          <w:b/>
          <w:sz w:val="32"/>
          <w:szCs w:val="32"/>
        </w:rPr>
      </w:pPr>
    </w:p>
    <w:p>
      <w:pPr>
        <w:spacing w:line="600" w:lineRule="exact"/>
        <w:ind w:left="5760" w:hanging="5760" w:hangingChars="1800"/>
        <w:rPr>
          <w:sz w:val="32"/>
          <w:szCs w:val="32"/>
        </w:rPr>
      </w:pPr>
      <w:r>
        <w:rPr>
          <w:rFonts w:hint="eastAsia" w:cs="Arial Unicode MS"/>
          <w:bCs/>
          <w:sz w:val="32"/>
          <w:szCs w:val="32"/>
        </w:rPr>
        <w:t>甲方：</w:t>
      </w:r>
      <w:r>
        <w:rPr>
          <w:rFonts w:hint="eastAsia"/>
          <w:sz w:val="32"/>
          <w:szCs w:val="32"/>
        </w:rPr>
        <w:t>郁南县产业园区管理委员会</w:t>
      </w:r>
      <w:r>
        <w:rPr>
          <w:rFonts w:hint="eastAsia" w:cs="Arial Unicode MS"/>
          <w:bCs/>
          <w:sz w:val="32"/>
          <w:szCs w:val="32"/>
          <w:lang w:val="en-US"/>
        </w:rPr>
        <w:t xml:space="preserve">        </w:t>
      </w:r>
      <w:r>
        <w:rPr>
          <w:rFonts w:hint="eastAsia" w:cs="Arial Unicode MS"/>
          <w:bCs/>
          <w:sz w:val="32"/>
          <w:szCs w:val="32"/>
        </w:rPr>
        <w:t>乙方：</w:t>
      </w:r>
    </w:p>
    <w:p>
      <w:pPr>
        <w:spacing w:line="600" w:lineRule="exact"/>
        <w:ind w:firstLine="640" w:firstLineChars="200"/>
        <w:rPr>
          <w:rFonts w:cs="Arial Unicode MS"/>
          <w:bCs/>
          <w:sz w:val="32"/>
          <w:szCs w:val="32"/>
        </w:rPr>
      </w:pPr>
      <w:r>
        <w:rPr>
          <w:rFonts w:hint="eastAsia" w:cs="Arial Unicode MS"/>
          <w:bCs/>
          <w:sz w:val="32"/>
          <w:szCs w:val="32"/>
        </w:rPr>
        <w:t>（盖章）</w:t>
      </w:r>
      <w:r>
        <w:rPr>
          <w:rFonts w:hint="eastAsia" w:cs="Arial Unicode MS"/>
          <w:bCs/>
          <w:sz w:val="32"/>
          <w:szCs w:val="32"/>
          <w:lang w:val="en-US"/>
        </w:rPr>
        <w:t xml:space="preserve">                      </w:t>
      </w:r>
      <w:r>
        <w:rPr>
          <w:rFonts w:hint="eastAsia" w:cs="Arial Unicode MS"/>
          <w:bCs/>
          <w:sz w:val="32"/>
          <w:szCs w:val="32"/>
        </w:rPr>
        <w:t>（盖章）</w:t>
      </w:r>
    </w:p>
    <w:p>
      <w:pPr>
        <w:spacing w:line="600" w:lineRule="exact"/>
        <w:rPr>
          <w:rFonts w:cs="Arial Unicode MS"/>
          <w:bCs/>
          <w:sz w:val="32"/>
          <w:szCs w:val="32"/>
        </w:rPr>
      </w:pPr>
    </w:p>
    <w:p>
      <w:pPr>
        <w:spacing w:line="600" w:lineRule="exact"/>
        <w:rPr>
          <w:rFonts w:cs="Arial Unicode MS"/>
          <w:bCs/>
          <w:sz w:val="32"/>
          <w:szCs w:val="32"/>
        </w:rPr>
      </w:pPr>
    </w:p>
    <w:p>
      <w:pPr>
        <w:spacing w:line="600" w:lineRule="exact"/>
        <w:rPr>
          <w:rFonts w:cs="Arial Unicode MS"/>
          <w:bCs/>
          <w:sz w:val="32"/>
          <w:szCs w:val="32"/>
        </w:rPr>
      </w:pPr>
      <w:r>
        <w:rPr>
          <w:rFonts w:hint="eastAsia" w:cs="Arial Unicode MS"/>
          <w:bCs/>
          <w:sz w:val="32"/>
          <w:szCs w:val="32"/>
        </w:rPr>
        <w:t>法人或授权代表：</w:t>
      </w:r>
      <w:r>
        <w:rPr>
          <w:rFonts w:hint="eastAsia" w:cs="Arial Unicode MS"/>
          <w:bCs/>
          <w:sz w:val="32"/>
          <w:szCs w:val="32"/>
          <w:lang w:val="en-US"/>
        </w:rPr>
        <w:t xml:space="preserve">               </w:t>
      </w:r>
      <w:r>
        <w:rPr>
          <w:rFonts w:hint="eastAsia" w:cs="Arial Unicode MS"/>
          <w:bCs/>
          <w:sz w:val="32"/>
          <w:szCs w:val="32"/>
        </w:rPr>
        <w:t>法人或授权代表：</w:t>
      </w:r>
    </w:p>
    <w:p>
      <w:pPr>
        <w:spacing w:line="600" w:lineRule="exact"/>
        <w:rPr>
          <w:rFonts w:cs="Arial Unicode MS"/>
          <w:bCs/>
          <w:sz w:val="32"/>
          <w:szCs w:val="32"/>
        </w:rPr>
      </w:pPr>
    </w:p>
    <w:p>
      <w:pPr>
        <w:spacing w:line="600" w:lineRule="exact"/>
        <w:rPr>
          <w:rFonts w:cs="Arial Unicode MS"/>
          <w:bCs/>
          <w:sz w:val="32"/>
          <w:szCs w:val="32"/>
        </w:rPr>
      </w:pPr>
    </w:p>
    <w:p>
      <w:pPr>
        <w:spacing w:line="600" w:lineRule="exact"/>
        <w:jc w:val="center"/>
      </w:pPr>
      <w:r>
        <w:rPr>
          <w:rFonts w:hint="eastAsia" w:cs="Arial Unicode MS"/>
          <w:bCs/>
          <w:sz w:val="32"/>
          <w:szCs w:val="32"/>
        </w:rPr>
        <w:t xml:space="preserve">日期：   </w:t>
      </w:r>
      <w:r>
        <w:rPr>
          <w:rFonts w:hint="eastAsia" w:cs="Arial Unicode MS"/>
          <w:bCs/>
          <w:sz w:val="32"/>
          <w:szCs w:val="32"/>
          <w:lang w:val="en-US"/>
        </w:rPr>
        <w:t xml:space="preserve">  </w:t>
      </w:r>
      <w:r>
        <w:rPr>
          <w:rFonts w:hint="eastAsia" w:cs="Arial Unicode MS"/>
          <w:bCs/>
          <w:sz w:val="32"/>
          <w:szCs w:val="32"/>
        </w:rPr>
        <w:t xml:space="preserve">年 </w:t>
      </w:r>
      <w:r>
        <w:rPr>
          <w:rFonts w:hint="eastAsia" w:cs="Arial Unicode MS"/>
          <w:bCs/>
          <w:sz w:val="32"/>
          <w:szCs w:val="32"/>
          <w:lang w:val="en-US" w:eastAsia="zh-CN"/>
        </w:rPr>
        <w:t xml:space="preserve">  </w:t>
      </w:r>
      <w:r>
        <w:rPr>
          <w:rFonts w:hint="eastAsia" w:cs="Arial Unicode MS"/>
          <w:bCs/>
          <w:sz w:val="32"/>
          <w:szCs w:val="32"/>
        </w:rPr>
        <w:t xml:space="preserve"> 月  </w:t>
      </w:r>
      <w:r>
        <w:rPr>
          <w:rFonts w:hint="eastAsia" w:cs="Arial Unicode MS"/>
          <w:bCs/>
          <w:sz w:val="32"/>
          <w:szCs w:val="32"/>
          <w:lang w:val="en-US" w:eastAsia="zh-CN"/>
        </w:rPr>
        <w:t xml:space="preserve">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mZjUyN2I3MDMyMTAwYzQzMTYzZTIyNGJhZDQ1ZDgifQ=="/>
  </w:docVars>
  <w:rsids>
    <w:rsidRoot w:val="445C0D8D"/>
    <w:rsid w:val="000246D6"/>
    <w:rsid w:val="000F0FB1"/>
    <w:rsid w:val="002627AA"/>
    <w:rsid w:val="00293196"/>
    <w:rsid w:val="004057E9"/>
    <w:rsid w:val="00530AB8"/>
    <w:rsid w:val="00775697"/>
    <w:rsid w:val="008E4626"/>
    <w:rsid w:val="00FB7F67"/>
    <w:rsid w:val="02947211"/>
    <w:rsid w:val="05833757"/>
    <w:rsid w:val="11397EB8"/>
    <w:rsid w:val="11DA60A8"/>
    <w:rsid w:val="11F87A9D"/>
    <w:rsid w:val="17490FB8"/>
    <w:rsid w:val="17744334"/>
    <w:rsid w:val="17EB5073"/>
    <w:rsid w:val="1DF66DC2"/>
    <w:rsid w:val="2A603550"/>
    <w:rsid w:val="33213073"/>
    <w:rsid w:val="35591D01"/>
    <w:rsid w:val="36F079A3"/>
    <w:rsid w:val="405B43C6"/>
    <w:rsid w:val="445C0D8D"/>
    <w:rsid w:val="494A505E"/>
    <w:rsid w:val="4B454DBC"/>
    <w:rsid w:val="4C9E36E7"/>
    <w:rsid w:val="524C4BD1"/>
    <w:rsid w:val="62370835"/>
    <w:rsid w:val="69012421"/>
    <w:rsid w:val="76792054"/>
    <w:rsid w:val="76F20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rPr>
      <w:sz w:val="32"/>
      <w:szCs w:val="32"/>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ind w:firstLine="420" w:firstLineChars="100"/>
    </w:pPr>
  </w:style>
  <w:style w:type="paragraph" w:customStyle="1" w:styleId="9">
    <w:name w:val="BodyText1I2"/>
    <w:basedOn w:val="1"/>
    <w:next w:val="10"/>
    <w:qFormat/>
    <w:uiPriority w:val="0"/>
    <w:pPr>
      <w:ind w:firstLine="420" w:firstLineChars="200"/>
      <w:jc w:val="both"/>
    </w:pPr>
    <w:rPr>
      <w:rFonts w:ascii="Calibri" w:hAnsi="Calibri" w:eastAsia="宋体"/>
      <w:kern w:val="2"/>
      <w:sz w:val="21"/>
      <w:lang w:val="en-US" w:bidi="ar-SA"/>
    </w:rPr>
  </w:style>
  <w:style w:type="paragraph" w:customStyle="1" w:styleId="10">
    <w:name w:val="BodyText1I"/>
    <w:basedOn w:val="11"/>
    <w:qFormat/>
    <w:uiPriority w:val="0"/>
    <w:pPr>
      <w:ind w:firstLine="420" w:firstLineChars="100"/>
    </w:pPr>
  </w:style>
  <w:style w:type="paragraph" w:customStyle="1" w:styleId="11">
    <w:name w:val="BodyText"/>
    <w:basedOn w:val="1"/>
    <w:qFormat/>
    <w:uiPriority w:val="0"/>
    <w:pPr>
      <w:jc w:val="both"/>
    </w:pPr>
    <w:rPr>
      <w:rFonts w:ascii="Calibri" w:hAnsi="Calibri" w:eastAsia="宋体"/>
      <w:kern w:val="2"/>
      <w:sz w:val="21"/>
      <w:lang w:val="en-US" w:bidi="ar-SA"/>
    </w:rPr>
  </w:style>
  <w:style w:type="character" w:customStyle="1" w:styleId="12">
    <w:name w:val="页眉 Char"/>
    <w:basedOn w:val="8"/>
    <w:link w:val="5"/>
    <w:qFormat/>
    <w:uiPriority w:val="0"/>
    <w:rPr>
      <w:rFonts w:ascii="仿宋_GB2312" w:hAnsi="仿宋_GB2312" w:eastAsia="仿宋_GB2312" w:cs="仿宋_GB2312"/>
      <w:sz w:val="18"/>
      <w:szCs w:val="18"/>
      <w:lang w:val="zh-CN" w:bidi="zh-CN"/>
    </w:rPr>
  </w:style>
  <w:style w:type="character" w:customStyle="1" w:styleId="13">
    <w:name w:val="页脚 Char"/>
    <w:basedOn w:val="8"/>
    <w:link w:val="4"/>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1681</Words>
  <Characters>1696</Characters>
  <Lines>13</Lines>
  <Paragraphs>3</Paragraphs>
  <TotalTime>7</TotalTime>
  <ScaleCrop>false</ScaleCrop>
  <LinksUpToDate>false</LinksUpToDate>
  <CharactersWithSpaces>1824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2021-08-23T00:45:00Z</dcterms:created>
  <dc:creator>Baymax__霖</dc:creator>
  <cp:lastModifiedBy>Administrator</cp:lastModifiedBy>
  <dcterms:modified xsi:type="dcterms:W3CDTF">2023-08-03T05:51:18Z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0112D789209F4C0C859586EA25FB05CB</vt:lpwstr>
  </property>
</Properties>
</file>